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3"/>
        <w:spacing w:line="360" w:lineRule="auto"/>
        <w:rPr>
          <w:rFonts w:hint="eastAsia"/>
          <w:b/>
          <w:bCs/>
          <w:sz w:val="40"/>
          <w:szCs w:val="40"/>
          <w:highlight w:val="none"/>
        </w:rPr>
      </w:pPr>
      <w:bookmarkStart w:id="0" w:name="_Toc578"/>
      <w:bookmarkStart w:id="1" w:name="_Toc5725"/>
      <w:bookmarkStart w:id="2" w:name="_Toc6478"/>
      <w:r>
        <w:rPr>
          <w:rFonts w:hint="eastAsia"/>
          <w:b/>
          <w:bCs/>
          <w:sz w:val="40"/>
          <w:szCs w:val="40"/>
          <w:highlight w:val="none"/>
        </w:rPr>
        <w:t>项目编号：</w:t>
      </w:r>
      <w:r>
        <w:rPr>
          <w:rFonts w:hint="eastAsia"/>
          <w:b/>
          <w:bCs/>
          <w:sz w:val="40"/>
          <w:szCs w:val="40"/>
          <w:highlight w:val="none"/>
        </w:rPr>
        <w:tab/>
      </w:r>
      <w:r>
        <w:rPr>
          <w:rFonts w:hint="eastAsia"/>
          <w:b/>
          <w:bCs/>
          <w:sz w:val="40"/>
          <w:szCs w:val="40"/>
          <w:highlight w:val="none"/>
        </w:rPr>
        <w:t xml:space="preserve">510101202100196 </w:t>
      </w:r>
    </w:p>
    <w:p>
      <w:pPr>
        <w:pStyle w:val="33"/>
        <w:spacing w:line="360" w:lineRule="auto"/>
        <w:rPr>
          <w:rFonts w:hint="eastAsia"/>
          <w:b/>
          <w:bCs/>
          <w:sz w:val="40"/>
          <w:szCs w:val="40"/>
          <w:highlight w:val="none"/>
        </w:rPr>
      </w:pPr>
      <w:r>
        <w:rPr>
          <w:rFonts w:hint="eastAsia"/>
          <w:b/>
          <w:bCs/>
          <w:sz w:val="40"/>
          <w:szCs w:val="40"/>
          <w:highlight w:val="none"/>
        </w:rPr>
        <w:t>内部编号：ZCQXZB-2021-0207S</w:t>
      </w:r>
    </w:p>
    <w:p>
      <w:pPr>
        <w:pStyle w:val="33"/>
        <w:spacing w:line="360" w:lineRule="auto"/>
        <w:rPr>
          <w:b/>
          <w:bCs/>
          <w:sz w:val="40"/>
          <w:szCs w:val="40"/>
          <w:highlight w:val="none"/>
        </w:rPr>
      </w:pPr>
      <w:r>
        <w:rPr>
          <w:rFonts w:hint="eastAsia"/>
          <w:b/>
          <w:bCs/>
          <w:sz w:val="40"/>
          <w:szCs w:val="40"/>
          <w:highlight w:val="none"/>
        </w:rPr>
        <w:t>项目名称：</w:t>
      </w:r>
      <w:r>
        <w:rPr>
          <w:rFonts w:hint="eastAsia"/>
          <w:b/>
          <w:bCs/>
          <w:sz w:val="40"/>
          <w:szCs w:val="40"/>
          <w:highlight w:val="none"/>
          <w:lang w:val="en-US" w:eastAsia="zh-CN"/>
        </w:rPr>
        <w:t>四川省</w:t>
      </w:r>
      <w:r>
        <w:rPr>
          <w:rFonts w:hint="eastAsia"/>
          <w:b/>
          <w:bCs/>
          <w:sz w:val="40"/>
          <w:szCs w:val="40"/>
          <w:highlight w:val="none"/>
        </w:rPr>
        <w:t>成都市中级人民法院案件材料扫描外包服务采购项目</w:t>
      </w:r>
    </w:p>
    <w:p>
      <w:pPr>
        <w:pStyle w:val="33"/>
        <w:spacing w:line="360" w:lineRule="auto"/>
        <w:rPr>
          <w:b/>
          <w:bCs/>
          <w:sz w:val="40"/>
          <w:szCs w:val="40"/>
          <w:highlight w:val="none"/>
        </w:rPr>
      </w:pPr>
      <w:r>
        <w:rPr>
          <w:rFonts w:hint="eastAsia"/>
          <w:b/>
          <w:bCs/>
          <w:sz w:val="40"/>
          <w:szCs w:val="40"/>
          <w:highlight w:val="none"/>
        </w:rPr>
        <w:t xml:space="preserve"> </w:t>
      </w:r>
    </w:p>
    <w:p>
      <w:pPr>
        <w:pStyle w:val="33"/>
        <w:wordWrap w:val="0"/>
        <w:topLinePunct/>
        <w:spacing w:before="2880" w:beforeLines="1200" w:after="2880" w:afterLines="1200" w:line="240" w:lineRule="auto"/>
        <w:jc w:val="center"/>
        <w:rPr>
          <w:b/>
          <w:bCs/>
          <w:sz w:val="96"/>
          <w:szCs w:val="96"/>
          <w:highlight w:val="none"/>
        </w:rPr>
      </w:pPr>
      <w:r>
        <w:rPr>
          <w:rFonts w:hint="eastAsia"/>
          <w:b/>
          <w:bCs/>
          <w:sz w:val="96"/>
          <w:szCs w:val="96"/>
          <w:highlight w:val="none"/>
        </w:rPr>
        <w:t>招标文件</w:t>
      </w:r>
    </w:p>
    <w:p>
      <w:pPr>
        <w:pStyle w:val="33"/>
        <w:spacing w:line="360" w:lineRule="auto"/>
        <w:jc w:val="center"/>
        <w:rPr>
          <w:b/>
          <w:bCs/>
          <w:sz w:val="28"/>
          <w:szCs w:val="28"/>
          <w:highlight w:val="none"/>
        </w:rPr>
      </w:pPr>
      <w:r>
        <w:rPr>
          <w:rFonts w:hint="eastAsia"/>
          <w:b/>
          <w:bCs/>
          <w:sz w:val="28"/>
          <w:szCs w:val="28"/>
          <w:highlight w:val="none"/>
        </w:rPr>
        <w:t>中国·四川</w:t>
      </w:r>
    </w:p>
    <w:p>
      <w:pPr>
        <w:pStyle w:val="33"/>
        <w:spacing w:line="360" w:lineRule="auto"/>
        <w:ind w:left="2400" w:leftChars="1000"/>
        <w:rPr>
          <w:b/>
          <w:bCs/>
          <w:sz w:val="28"/>
          <w:szCs w:val="28"/>
          <w:highlight w:val="none"/>
        </w:rPr>
      </w:pPr>
      <w:r>
        <w:rPr>
          <w:rFonts w:hint="eastAsia"/>
          <w:b/>
          <w:bCs/>
          <w:sz w:val="28"/>
          <w:szCs w:val="28"/>
          <w:highlight w:val="none"/>
        </w:rPr>
        <w:t>采   购   人：</w:t>
      </w:r>
      <w:r>
        <w:rPr>
          <w:rFonts w:hint="eastAsia"/>
          <w:b/>
          <w:bCs/>
          <w:sz w:val="28"/>
          <w:szCs w:val="28"/>
          <w:highlight w:val="none"/>
          <w:lang w:val="en-US" w:eastAsia="zh-CN"/>
        </w:rPr>
        <w:t>四川省</w:t>
      </w:r>
      <w:r>
        <w:rPr>
          <w:rFonts w:hint="eastAsia"/>
          <w:b/>
          <w:bCs/>
          <w:sz w:val="28"/>
          <w:szCs w:val="28"/>
          <w:highlight w:val="none"/>
        </w:rPr>
        <w:t xml:space="preserve">成都市中级人民法院         </w:t>
      </w:r>
    </w:p>
    <w:p>
      <w:pPr>
        <w:pStyle w:val="33"/>
        <w:spacing w:line="360" w:lineRule="auto"/>
        <w:ind w:left="2400" w:leftChars="1000"/>
        <w:rPr>
          <w:b/>
          <w:bCs/>
          <w:sz w:val="28"/>
          <w:szCs w:val="28"/>
          <w:highlight w:val="none"/>
        </w:rPr>
      </w:pPr>
      <w:r>
        <w:rPr>
          <w:rFonts w:hint="eastAsia"/>
          <w:b/>
          <w:bCs/>
          <w:sz w:val="28"/>
          <w:szCs w:val="28"/>
          <w:highlight w:val="none"/>
        </w:rPr>
        <w:t>采购代理机构：四川乾新招投标代理有限公司</w:t>
      </w:r>
    </w:p>
    <w:p>
      <w:pPr>
        <w:pStyle w:val="33"/>
        <w:spacing w:line="360" w:lineRule="auto"/>
        <w:ind w:left="2400" w:leftChars="1000"/>
        <w:rPr>
          <w:b/>
          <w:bCs/>
          <w:sz w:val="28"/>
          <w:szCs w:val="28"/>
          <w:highlight w:val="none"/>
        </w:rPr>
      </w:pPr>
      <w:r>
        <w:rPr>
          <w:rFonts w:hint="eastAsia"/>
          <w:b/>
          <w:bCs/>
          <w:sz w:val="28"/>
          <w:szCs w:val="28"/>
          <w:highlight w:val="none"/>
        </w:rPr>
        <w:t>文  件 编 制：由采购人和采购代理机构共同编制</w:t>
      </w:r>
    </w:p>
    <w:p>
      <w:pPr>
        <w:pStyle w:val="33"/>
        <w:spacing w:line="360" w:lineRule="auto"/>
        <w:jc w:val="center"/>
        <w:rPr>
          <w:b/>
          <w:bCs/>
          <w:sz w:val="28"/>
          <w:szCs w:val="28"/>
          <w:highlight w:val="none"/>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sz w:val="28"/>
          <w:szCs w:val="28"/>
          <w:highlight w:val="none"/>
        </w:rPr>
        <w:t>二○二</w:t>
      </w:r>
      <w:r>
        <w:rPr>
          <w:rFonts w:hint="eastAsia"/>
          <w:b/>
          <w:bCs/>
          <w:sz w:val="28"/>
          <w:szCs w:val="28"/>
          <w:highlight w:val="none"/>
          <w:lang w:val="en-US" w:eastAsia="zh-CN"/>
        </w:rPr>
        <w:t>一</w:t>
      </w:r>
      <w:r>
        <w:rPr>
          <w:rFonts w:hint="eastAsia"/>
          <w:b/>
          <w:bCs/>
          <w:sz w:val="28"/>
          <w:szCs w:val="28"/>
          <w:highlight w:val="none"/>
        </w:rPr>
        <w:t>年</w:t>
      </w:r>
      <w:r>
        <w:rPr>
          <w:rFonts w:hint="eastAsia"/>
          <w:b/>
          <w:bCs/>
          <w:sz w:val="28"/>
          <w:szCs w:val="28"/>
          <w:highlight w:val="none"/>
          <w:lang w:val="en-US" w:eastAsia="zh-CN"/>
        </w:rPr>
        <w:t>四</w:t>
      </w:r>
      <w:r>
        <w:rPr>
          <w:rFonts w:hint="eastAsia"/>
          <w:b/>
          <w:bCs/>
          <w:sz w:val="28"/>
          <w:szCs w:val="28"/>
          <w:highlight w:val="none"/>
        </w:rPr>
        <w:t>月</w:t>
      </w:r>
    </w:p>
    <w:p>
      <w:pPr>
        <w:pStyle w:val="33"/>
        <w:spacing w:line="240" w:lineRule="auto"/>
        <w:jc w:val="center"/>
        <w:rPr>
          <w:b/>
          <w:bCs/>
          <w:sz w:val="40"/>
          <w:szCs w:val="40"/>
          <w:highlight w:val="none"/>
        </w:rPr>
      </w:pPr>
      <w:bookmarkStart w:id="3" w:name="_Toc452473646"/>
      <w:bookmarkStart w:id="4" w:name="_Toc502651262"/>
      <w:bookmarkStart w:id="5" w:name="_Toc336690878"/>
      <w:bookmarkStart w:id="6" w:name="_Toc373139265"/>
      <w:bookmarkStart w:id="7" w:name="_Toc372620750"/>
      <w:bookmarkStart w:id="8" w:name="_Toc371958974"/>
      <w:r>
        <w:rPr>
          <w:rFonts w:hint="eastAsia"/>
          <w:b/>
          <w:bCs/>
          <w:sz w:val="40"/>
          <w:szCs w:val="40"/>
          <w:highlight w:val="none"/>
        </w:rPr>
        <w:t>政府采购阳光宣言</w:t>
      </w:r>
      <w:bookmarkEnd w:id="3"/>
      <w:bookmarkEnd w:id="4"/>
    </w:p>
    <w:p>
      <w:pPr>
        <w:pStyle w:val="33"/>
        <w:ind w:firstLine="480" w:firstLineChars="200"/>
        <w:rPr>
          <w:highlight w:val="none"/>
        </w:rPr>
      </w:pPr>
      <w:r>
        <w:rPr>
          <w:rFonts w:hint="eastAsia"/>
          <w:highlight w:val="none"/>
        </w:rPr>
        <w:t>四川乾新践行公平竞争、诚信的核心价值观，诚信于股东、诚信于服务对象、诚信于员工、诚信于社会。</w:t>
      </w:r>
    </w:p>
    <w:p>
      <w:pPr>
        <w:pStyle w:val="33"/>
        <w:ind w:firstLine="480" w:firstLineChars="200"/>
        <w:rPr>
          <w:highlight w:val="none"/>
        </w:rPr>
      </w:pPr>
      <w:r>
        <w:rPr>
          <w:rFonts w:hint="eastAsia"/>
          <w:highlight w:val="none"/>
        </w:rPr>
        <w:t>四川乾新全体员工严格遵守《乾新十戒》和《员工廉洁从业规定》，遵纪守法，强化自律，廉洁从业，规范经营。</w:t>
      </w:r>
    </w:p>
    <w:p>
      <w:pPr>
        <w:pStyle w:val="33"/>
        <w:ind w:firstLine="480" w:firstLineChars="200"/>
        <w:rPr>
          <w:highlight w:val="none"/>
        </w:rPr>
      </w:pPr>
      <w:r>
        <w:rPr>
          <w:rFonts w:hint="eastAsia"/>
          <w:highlight w:val="none"/>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33"/>
        <w:ind w:firstLine="480" w:firstLineChars="200"/>
        <w:rPr>
          <w:highlight w:val="none"/>
        </w:rPr>
      </w:pPr>
      <w:r>
        <w:rPr>
          <w:rFonts w:hint="eastAsia"/>
          <w:highlight w:val="none"/>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p>
    <w:p>
      <w:pPr>
        <w:pStyle w:val="35"/>
        <w:ind w:firstLine="480"/>
        <w:rPr>
          <w:highlight w:val="none"/>
        </w:rPr>
      </w:pPr>
      <w:r>
        <w:rPr>
          <w:rFonts w:hint="eastAsia"/>
          <w:highlight w:val="none"/>
        </w:rPr>
        <w:t>四川乾新不以向采购人及其亲属提供任何个人利益的方式谋求合作关系；</w:t>
      </w:r>
    </w:p>
    <w:p>
      <w:pPr>
        <w:pStyle w:val="35"/>
        <w:ind w:firstLine="480"/>
        <w:rPr>
          <w:highlight w:val="none"/>
        </w:rPr>
      </w:pPr>
      <w:r>
        <w:rPr>
          <w:rFonts w:hint="eastAsia"/>
          <w:highlight w:val="none"/>
        </w:rPr>
        <w:t xml:space="preserve">四川乾新不迷信任何实际存在的或虚构的所谓关系； </w:t>
      </w:r>
    </w:p>
    <w:p>
      <w:pPr>
        <w:pStyle w:val="35"/>
        <w:ind w:firstLine="480"/>
        <w:rPr>
          <w:highlight w:val="none"/>
        </w:rPr>
      </w:pPr>
      <w:r>
        <w:rPr>
          <w:rFonts w:hint="eastAsia"/>
          <w:highlight w:val="none"/>
        </w:rPr>
        <w:t>四川乾新不采取恶性竞争等不正当手段竞争业务；</w:t>
      </w:r>
    </w:p>
    <w:p>
      <w:pPr>
        <w:pStyle w:val="35"/>
        <w:ind w:firstLine="480"/>
        <w:rPr>
          <w:highlight w:val="none"/>
        </w:rPr>
      </w:pPr>
      <w:r>
        <w:rPr>
          <w:rFonts w:hint="eastAsia"/>
          <w:highlight w:val="none"/>
        </w:rPr>
        <w:t>四川乾新不向采购人提供好处费、回扣、现金及有价证券、支付凭证、贵重礼物；</w:t>
      </w:r>
    </w:p>
    <w:p>
      <w:pPr>
        <w:pStyle w:val="35"/>
        <w:ind w:firstLine="480"/>
        <w:rPr>
          <w:highlight w:val="none"/>
        </w:rPr>
      </w:pPr>
      <w:r>
        <w:rPr>
          <w:rFonts w:hint="eastAsia"/>
          <w:highlight w:val="none"/>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35"/>
        <w:ind w:firstLine="480"/>
        <w:rPr>
          <w:highlight w:val="none"/>
        </w:rPr>
      </w:pPr>
      <w:r>
        <w:rPr>
          <w:rFonts w:hint="eastAsia"/>
          <w:highlight w:val="none"/>
        </w:rPr>
        <w:t>供应商在参与项目时公平竞争，充分发挥市场主体作用，降低采购成本，节约采购资金；</w:t>
      </w:r>
    </w:p>
    <w:p>
      <w:pPr>
        <w:pStyle w:val="35"/>
        <w:ind w:firstLine="480"/>
        <w:rPr>
          <w:highlight w:val="none"/>
        </w:rPr>
      </w:pPr>
      <w:r>
        <w:rPr>
          <w:rFonts w:hint="eastAsia"/>
          <w:highlight w:val="none"/>
        </w:rPr>
        <w:t>四川乾新不与采购人、供应商串通投标；</w:t>
      </w:r>
    </w:p>
    <w:p>
      <w:pPr>
        <w:pStyle w:val="35"/>
        <w:ind w:firstLine="480"/>
        <w:rPr>
          <w:highlight w:val="none"/>
        </w:rPr>
      </w:pPr>
      <w:r>
        <w:rPr>
          <w:rFonts w:hint="eastAsia"/>
          <w:highlight w:val="none"/>
        </w:rPr>
        <w:t>四川乾新、采购人不与供应商就标底、其他单位的投标书等商业秘密及合同中的质量、价格、验收等条款进行私下商谈或者达成默契；</w:t>
      </w:r>
    </w:p>
    <w:p>
      <w:pPr>
        <w:pStyle w:val="35"/>
        <w:ind w:firstLine="480"/>
        <w:rPr>
          <w:highlight w:val="none"/>
        </w:rPr>
      </w:pPr>
      <w:r>
        <w:rPr>
          <w:rFonts w:hint="eastAsia"/>
          <w:highlight w:val="none"/>
        </w:rPr>
        <w:t>四川乾新坚决杜绝以下行为：①乾新员工有行贿倾向、建议等行为；②乾新员工有索贿、受贿等行为。</w:t>
      </w:r>
    </w:p>
    <w:p>
      <w:pPr>
        <w:pStyle w:val="33"/>
        <w:ind w:firstLine="480" w:firstLineChars="200"/>
        <w:rPr>
          <w:highlight w:val="none"/>
        </w:rPr>
      </w:pPr>
      <w:r>
        <w:rPr>
          <w:rFonts w:hint="eastAsia"/>
          <w:highlight w:val="none"/>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廉洁、公正、诚实信用的政采环境，共同推动政府采购阳光公开。 </w:t>
      </w:r>
    </w:p>
    <w:p>
      <w:pPr>
        <w:pStyle w:val="33"/>
        <w:ind w:firstLine="480" w:firstLineChars="200"/>
        <w:rPr>
          <w:highlight w:val="none"/>
        </w:rPr>
      </w:pPr>
      <w:r>
        <w:rPr>
          <w:rFonts w:hint="eastAsia"/>
          <w:highlight w:val="none"/>
        </w:rPr>
        <w:t>监察部投诉及举报邮箱：scqxzb_shl@163.com</w:t>
      </w:r>
    </w:p>
    <w:p>
      <w:pPr>
        <w:pStyle w:val="33"/>
        <w:ind w:firstLine="480" w:firstLineChars="200"/>
        <w:rPr>
          <w:highlight w:val="none"/>
        </w:rPr>
        <w:sectPr>
          <w:headerReference r:id="rId11" w:type="first"/>
          <w:footerReference r:id="rId13" w:type="first"/>
          <w:headerReference r:id="rId10" w:type="default"/>
          <w:footerReference r:id="rId12" w:type="default"/>
          <w:pgSz w:w="11906" w:h="16838"/>
          <w:pgMar w:top="1440" w:right="1083" w:bottom="1440" w:left="1083" w:header="851" w:footer="992" w:gutter="0"/>
          <w:cols w:space="720" w:num="1"/>
          <w:titlePg/>
          <w:docGrid w:linePitch="312" w:charSpace="0"/>
        </w:sectPr>
      </w:pPr>
      <w:r>
        <w:rPr>
          <w:rFonts w:hint="eastAsia"/>
          <w:highlight w:val="none"/>
        </w:rPr>
        <w:t>监察部投诉及举报电话：028-62630990</w:t>
      </w:r>
      <w:bookmarkEnd w:id="5"/>
      <w:bookmarkEnd w:id="6"/>
      <w:bookmarkEnd w:id="7"/>
      <w:bookmarkEnd w:id="8"/>
    </w:p>
    <w:p>
      <w:pPr>
        <w:pStyle w:val="33"/>
        <w:jc w:val="center"/>
        <w:rPr>
          <w:highlight w:val="none"/>
        </w:rPr>
      </w:pPr>
      <w:r>
        <w:rPr>
          <w:rFonts w:hint="eastAsia"/>
          <w:highlight w:val="none"/>
        </w:rPr>
        <w:t>目  录</w:t>
      </w:r>
      <w:bookmarkEnd w:id="0"/>
      <w:bookmarkEnd w:id="1"/>
    </w:p>
    <w:p>
      <w:pPr>
        <w:pStyle w:val="20"/>
        <w:tabs>
          <w:tab w:val="clear" w:pos="0"/>
        </w:tabs>
      </w:pPr>
      <w:bookmarkStart w:id="9" w:name="_Toc26242"/>
      <w:bookmarkStart w:id="10" w:name="_Toc15794"/>
      <w:bookmarkStart w:id="11" w:name="_Toc28748"/>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_Toc25830 </w:instrText>
      </w:r>
      <w:r>
        <w:rPr>
          <w:highlight w:val="none"/>
        </w:rPr>
        <w:fldChar w:fldCharType="separate"/>
      </w:r>
      <w:r>
        <w:rPr>
          <w:rFonts w:hint="eastAsia" w:ascii="宋体" w:hAnsi="宋体" w:eastAsia="宋体" w:cs="宋体"/>
        </w:rPr>
        <w:t xml:space="preserve">第一章 </w:t>
      </w:r>
      <w:r>
        <w:rPr>
          <w:rFonts w:hint="eastAsia"/>
          <w:highlight w:val="none"/>
        </w:rPr>
        <w:t>投标邀请</w:t>
      </w:r>
      <w:r>
        <w:tab/>
      </w:r>
      <w:r>
        <w:fldChar w:fldCharType="begin"/>
      </w:r>
      <w:r>
        <w:instrText xml:space="preserve"> PAGEREF _Toc25830 \h </w:instrText>
      </w:r>
      <w:r>
        <w:fldChar w:fldCharType="separate"/>
      </w:r>
      <w:r>
        <w:t>5</w:t>
      </w:r>
      <w:r>
        <w:fldChar w:fldCharType="end"/>
      </w:r>
      <w:r>
        <w:rPr>
          <w:highlight w:val="none"/>
        </w:rPr>
        <w:fldChar w:fldCharType="end"/>
      </w:r>
    </w:p>
    <w:p>
      <w:pPr>
        <w:pStyle w:val="20"/>
        <w:tabs>
          <w:tab w:val="clear" w:pos="0"/>
        </w:tabs>
      </w:pPr>
      <w:r>
        <w:rPr>
          <w:highlight w:val="none"/>
        </w:rPr>
        <w:fldChar w:fldCharType="begin"/>
      </w:r>
      <w:r>
        <w:rPr>
          <w:highlight w:val="none"/>
        </w:rPr>
        <w:instrText xml:space="preserve"> HYPERLINK \l _Toc7945 </w:instrText>
      </w:r>
      <w:r>
        <w:rPr>
          <w:highlight w:val="none"/>
        </w:rPr>
        <w:fldChar w:fldCharType="separate"/>
      </w:r>
      <w:r>
        <w:rPr>
          <w:rFonts w:hint="eastAsia" w:ascii="宋体" w:hAnsi="宋体" w:eastAsia="宋体" w:cs="宋体"/>
        </w:rPr>
        <w:t xml:space="preserve">第二章 </w:t>
      </w:r>
      <w:r>
        <w:rPr>
          <w:rFonts w:hint="eastAsia"/>
          <w:highlight w:val="none"/>
        </w:rPr>
        <w:t>投标人须知</w:t>
      </w:r>
      <w:r>
        <w:tab/>
      </w:r>
      <w:r>
        <w:fldChar w:fldCharType="begin"/>
      </w:r>
      <w:r>
        <w:instrText xml:space="preserve"> PAGEREF _Toc7945 \h </w:instrText>
      </w:r>
      <w:r>
        <w:fldChar w:fldCharType="separate"/>
      </w:r>
      <w:r>
        <w:t>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_Toc24535 </w:instrText>
      </w:r>
      <w:r>
        <w:rPr>
          <w:highlight w:val="none"/>
        </w:rPr>
        <w:fldChar w:fldCharType="separate"/>
      </w:r>
      <w:r>
        <w:rPr>
          <w:rFonts w:hint="eastAsia"/>
        </w:rPr>
        <w:t xml:space="preserve">一、 </w:t>
      </w:r>
      <w:r>
        <w:rPr>
          <w:rFonts w:hint="eastAsia"/>
          <w:highlight w:val="none"/>
        </w:rPr>
        <w:t>投标人须知前附表</w:t>
      </w:r>
      <w:r>
        <w:tab/>
      </w:r>
      <w:r>
        <w:fldChar w:fldCharType="begin"/>
      </w:r>
      <w:r>
        <w:instrText xml:space="preserve"> PAGEREF _Toc24535 \h </w:instrText>
      </w:r>
      <w:r>
        <w:fldChar w:fldCharType="separate"/>
      </w:r>
      <w:r>
        <w:t>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_Toc7542 </w:instrText>
      </w:r>
      <w:r>
        <w:rPr>
          <w:highlight w:val="none"/>
        </w:rPr>
        <w:fldChar w:fldCharType="separate"/>
      </w:r>
      <w:r>
        <w:rPr>
          <w:rFonts w:hint="eastAsia"/>
        </w:rPr>
        <w:t xml:space="preserve">二、 </w:t>
      </w:r>
      <w:r>
        <w:rPr>
          <w:rFonts w:hint="eastAsia"/>
          <w:highlight w:val="none"/>
        </w:rPr>
        <w:t>总 则</w:t>
      </w:r>
      <w:r>
        <w:tab/>
      </w:r>
      <w:r>
        <w:fldChar w:fldCharType="begin"/>
      </w:r>
      <w:r>
        <w:instrText xml:space="preserve"> PAGEREF _Toc7542 \h </w:instrText>
      </w:r>
      <w:r>
        <w:fldChar w:fldCharType="separate"/>
      </w:r>
      <w:r>
        <w:t>15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_Toc15215 </w:instrText>
      </w:r>
      <w:r>
        <w:rPr>
          <w:highlight w:val="none"/>
        </w:rPr>
        <w:fldChar w:fldCharType="separate"/>
      </w:r>
      <w:r>
        <w:rPr>
          <w:rFonts w:hint="eastAsia" w:ascii="宋体" w:hAnsi="宋体" w:eastAsia="宋体" w:cs="宋体"/>
        </w:rPr>
        <w:t xml:space="preserve">(一) </w:t>
      </w:r>
      <w:r>
        <w:rPr>
          <w:rFonts w:hint="eastAsia"/>
          <w:highlight w:val="none"/>
        </w:rPr>
        <w:t>适用范围</w:t>
      </w:r>
      <w:r>
        <w:tab/>
      </w:r>
      <w:r>
        <w:fldChar w:fldCharType="begin"/>
      </w:r>
      <w:r>
        <w:instrText xml:space="preserve"> PAGEREF _Toc15215 \h </w:instrText>
      </w:r>
      <w:r>
        <w:fldChar w:fldCharType="separate"/>
      </w:r>
      <w:r>
        <w:t>15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_Toc6197 </w:instrText>
      </w:r>
      <w:r>
        <w:rPr>
          <w:highlight w:val="none"/>
        </w:rPr>
        <w:fldChar w:fldCharType="separate"/>
      </w:r>
      <w:r>
        <w:rPr>
          <w:rFonts w:hint="eastAsia" w:ascii="宋体" w:hAnsi="宋体" w:eastAsia="宋体" w:cs="宋体"/>
        </w:rPr>
        <w:t xml:space="preserve">(二) </w:t>
      </w:r>
      <w:r>
        <w:rPr>
          <w:rFonts w:hint="eastAsia"/>
          <w:highlight w:val="none"/>
        </w:rPr>
        <w:t>有关定义</w:t>
      </w:r>
      <w:r>
        <w:tab/>
      </w:r>
      <w:r>
        <w:fldChar w:fldCharType="begin"/>
      </w:r>
      <w:r>
        <w:instrText xml:space="preserve"> PAGEREF _Toc6197 \h </w:instrText>
      </w:r>
      <w:r>
        <w:fldChar w:fldCharType="separate"/>
      </w:r>
      <w:r>
        <w:t>15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_Toc27712 </w:instrText>
      </w:r>
      <w:r>
        <w:rPr>
          <w:highlight w:val="none"/>
        </w:rPr>
        <w:fldChar w:fldCharType="separate"/>
      </w:r>
      <w:r>
        <w:rPr>
          <w:rFonts w:hint="eastAsia" w:ascii="宋体" w:hAnsi="宋体" w:eastAsia="宋体" w:cs="宋体"/>
        </w:rPr>
        <w:t xml:space="preserve">(三) </w:t>
      </w:r>
      <w:r>
        <w:rPr>
          <w:rFonts w:hint="eastAsia"/>
          <w:highlight w:val="none"/>
        </w:rPr>
        <w:t>合格的投标人(实质性要求)</w:t>
      </w:r>
      <w:r>
        <w:tab/>
      </w:r>
      <w:r>
        <w:fldChar w:fldCharType="begin"/>
      </w:r>
      <w:r>
        <w:instrText xml:space="preserve"> PAGEREF _Toc27712 \h </w:instrText>
      </w:r>
      <w:r>
        <w:fldChar w:fldCharType="separate"/>
      </w:r>
      <w:r>
        <w:t>15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_Toc17848 </w:instrText>
      </w:r>
      <w:r>
        <w:rPr>
          <w:highlight w:val="none"/>
        </w:rPr>
        <w:fldChar w:fldCharType="separate"/>
      </w:r>
      <w:r>
        <w:rPr>
          <w:rFonts w:hint="eastAsia" w:ascii="宋体" w:hAnsi="宋体" w:eastAsia="宋体" w:cs="宋体"/>
        </w:rPr>
        <w:t xml:space="preserve">(四) </w:t>
      </w:r>
      <w:r>
        <w:rPr>
          <w:rFonts w:hint="eastAsia"/>
          <w:highlight w:val="none"/>
        </w:rPr>
        <w:t>投标费用(实质性要求)</w:t>
      </w:r>
      <w:r>
        <w:tab/>
      </w:r>
      <w:r>
        <w:fldChar w:fldCharType="begin"/>
      </w:r>
      <w:r>
        <w:instrText xml:space="preserve"> PAGEREF _Toc17848 \h </w:instrText>
      </w:r>
      <w:r>
        <w:fldChar w:fldCharType="separate"/>
      </w:r>
      <w:r>
        <w:t>15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_Toc14969 </w:instrText>
      </w:r>
      <w:r>
        <w:rPr>
          <w:highlight w:val="none"/>
        </w:rPr>
        <w:fldChar w:fldCharType="separate"/>
      </w:r>
      <w:r>
        <w:rPr>
          <w:rFonts w:hint="eastAsia" w:ascii="宋体" w:hAnsi="宋体" w:eastAsia="宋体" w:cs="宋体"/>
        </w:rPr>
        <w:t xml:space="preserve">(五) </w:t>
      </w:r>
      <w:r>
        <w:rPr>
          <w:rFonts w:hint="eastAsia"/>
          <w:highlight w:val="none"/>
        </w:rPr>
        <w:t>充分、公平竞争保障措施(实质性要求)</w:t>
      </w:r>
      <w:r>
        <w:tab/>
      </w:r>
      <w:r>
        <w:fldChar w:fldCharType="begin"/>
      </w:r>
      <w:r>
        <w:instrText xml:space="preserve"> PAGEREF _Toc14969 \h </w:instrText>
      </w:r>
      <w:r>
        <w:fldChar w:fldCharType="separate"/>
      </w:r>
      <w:r>
        <w:t>15</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_Toc4842 </w:instrText>
      </w:r>
      <w:r>
        <w:rPr>
          <w:highlight w:val="none"/>
        </w:rPr>
        <w:fldChar w:fldCharType="separate"/>
      </w:r>
      <w:r>
        <w:rPr>
          <w:rFonts w:hint="eastAsia"/>
        </w:rPr>
        <w:t xml:space="preserve">三、 </w:t>
      </w:r>
      <w:r>
        <w:rPr>
          <w:rFonts w:hint="eastAsia"/>
          <w:highlight w:val="none"/>
        </w:rPr>
        <w:t>招标文件</w:t>
      </w:r>
      <w:r>
        <w:tab/>
      </w:r>
      <w:r>
        <w:fldChar w:fldCharType="begin"/>
      </w:r>
      <w:r>
        <w:instrText xml:space="preserve"> PAGEREF _Toc4842 \h </w:instrText>
      </w:r>
      <w:r>
        <w:fldChar w:fldCharType="separate"/>
      </w:r>
      <w:r>
        <w:t>16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_Toc30439 </w:instrText>
      </w:r>
      <w:r>
        <w:rPr>
          <w:highlight w:val="none"/>
        </w:rPr>
        <w:fldChar w:fldCharType="separate"/>
      </w:r>
      <w:r>
        <w:rPr>
          <w:rFonts w:hint="eastAsia" w:ascii="宋体" w:hAnsi="宋体" w:eastAsia="宋体" w:cs="宋体"/>
        </w:rPr>
        <w:t xml:space="preserve">(一) </w:t>
      </w:r>
      <w:r>
        <w:rPr>
          <w:rFonts w:hint="eastAsia"/>
          <w:highlight w:val="none"/>
        </w:rPr>
        <w:t>招标文件的构成</w:t>
      </w:r>
      <w:r>
        <w:tab/>
      </w:r>
      <w:r>
        <w:fldChar w:fldCharType="begin"/>
      </w:r>
      <w:r>
        <w:instrText xml:space="preserve"> PAGEREF _Toc30439 \h </w:instrText>
      </w:r>
      <w:r>
        <w:fldChar w:fldCharType="separate"/>
      </w:r>
      <w:r>
        <w:t>16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_Toc3763 </w:instrText>
      </w:r>
      <w:r>
        <w:rPr>
          <w:highlight w:val="none"/>
        </w:rPr>
        <w:fldChar w:fldCharType="separate"/>
      </w:r>
      <w:r>
        <w:rPr>
          <w:rFonts w:hint="eastAsia" w:ascii="宋体" w:hAnsi="宋体" w:eastAsia="宋体" w:cs="宋体"/>
        </w:rPr>
        <w:t xml:space="preserve">(二) </w:t>
      </w:r>
      <w:r>
        <w:rPr>
          <w:rFonts w:hint="eastAsia"/>
          <w:highlight w:val="none"/>
        </w:rPr>
        <w:t>招标文件的澄清和修改</w:t>
      </w:r>
      <w:r>
        <w:tab/>
      </w:r>
      <w:r>
        <w:fldChar w:fldCharType="begin"/>
      </w:r>
      <w:r>
        <w:instrText xml:space="preserve"> PAGEREF _Toc3763 \h </w:instrText>
      </w:r>
      <w:r>
        <w:fldChar w:fldCharType="separate"/>
      </w:r>
      <w:r>
        <w:t>17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_Toc6391 </w:instrText>
      </w:r>
      <w:r>
        <w:rPr>
          <w:highlight w:val="none"/>
        </w:rPr>
        <w:fldChar w:fldCharType="separate"/>
      </w:r>
      <w:r>
        <w:rPr>
          <w:rFonts w:hint="eastAsia" w:ascii="宋体" w:hAnsi="宋体" w:eastAsia="宋体" w:cs="宋体"/>
        </w:rPr>
        <w:t xml:space="preserve">(三) </w:t>
      </w:r>
      <w:r>
        <w:rPr>
          <w:rFonts w:hint="eastAsia"/>
          <w:highlight w:val="none"/>
        </w:rPr>
        <w:t>答疑会和现场考察</w:t>
      </w:r>
      <w:r>
        <w:tab/>
      </w:r>
      <w:r>
        <w:fldChar w:fldCharType="begin"/>
      </w:r>
      <w:r>
        <w:instrText xml:space="preserve"> PAGEREF _Toc6391 \h </w:instrText>
      </w:r>
      <w:r>
        <w:fldChar w:fldCharType="separate"/>
      </w:r>
      <w:r>
        <w:t>17</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_Toc28259 </w:instrText>
      </w:r>
      <w:r>
        <w:rPr>
          <w:highlight w:val="none"/>
        </w:rPr>
        <w:fldChar w:fldCharType="separate"/>
      </w:r>
      <w:r>
        <w:rPr>
          <w:rFonts w:hint="eastAsia"/>
        </w:rPr>
        <w:t xml:space="preserve">四、 </w:t>
      </w:r>
      <w:r>
        <w:rPr>
          <w:rFonts w:hint="eastAsia"/>
          <w:highlight w:val="none"/>
        </w:rPr>
        <w:t>投标文件</w:t>
      </w:r>
      <w:r>
        <w:tab/>
      </w:r>
      <w:r>
        <w:fldChar w:fldCharType="begin"/>
      </w:r>
      <w:r>
        <w:instrText xml:space="preserve"> PAGEREF _Toc28259 \h </w:instrText>
      </w:r>
      <w:r>
        <w:fldChar w:fldCharType="separate"/>
      </w:r>
      <w:r>
        <w:t>18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_Toc5612 </w:instrText>
      </w:r>
      <w:r>
        <w:rPr>
          <w:highlight w:val="none"/>
        </w:rPr>
        <w:fldChar w:fldCharType="separate"/>
      </w:r>
      <w:r>
        <w:rPr>
          <w:rFonts w:hint="eastAsia" w:ascii="宋体" w:hAnsi="宋体" w:eastAsia="宋体" w:cs="宋体"/>
        </w:rPr>
        <w:t xml:space="preserve">(一) </w:t>
      </w:r>
      <w:r>
        <w:rPr>
          <w:rFonts w:hint="eastAsia"/>
          <w:highlight w:val="none"/>
        </w:rPr>
        <w:t>投标文件的语言(实质性要求)</w:t>
      </w:r>
      <w:r>
        <w:tab/>
      </w:r>
      <w:r>
        <w:fldChar w:fldCharType="begin"/>
      </w:r>
      <w:r>
        <w:instrText xml:space="preserve"> PAGEREF _Toc5612 \h </w:instrText>
      </w:r>
      <w:r>
        <w:fldChar w:fldCharType="separate"/>
      </w:r>
      <w:r>
        <w:t>18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_Toc23193 </w:instrText>
      </w:r>
      <w:r>
        <w:rPr>
          <w:highlight w:val="none"/>
        </w:rPr>
        <w:fldChar w:fldCharType="separate"/>
      </w:r>
      <w:r>
        <w:rPr>
          <w:rFonts w:hint="eastAsia" w:ascii="宋体" w:hAnsi="宋体" w:eastAsia="宋体" w:cs="宋体"/>
        </w:rPr>
        <w:t xml:space="preserve">(二) </w:t>
      </w:r>
      <w:r>
        <w:rPr>
          <w:rFonts w:hint="eastAsia"/>
          <w:highlight w:val="none"/>
        </w:rPr>
        <w:t>计量单位(实质性要求)</w:t>
      </w:r>
      <w:r>
        <w:tab/>
      </w:r>
      <w:r>
        <w:fldChar w:fldCharType="begin"/>
      </w:r>
      <w:r>
        <w:instrText xml:space="preserve"> PAGEREF _Toc23193 \h </w:instrText>
      </w:r>
      <w:r>
        <w:fldChar w:fldCharType="separate"/>
      </w:r>
      <w:r>
        <w:t>18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_Toc678 </w:instrText>
      </w:r>
      <w:r>
        <w:rPr>
          <w:highlight w:val="none"/>
        </w:rPr>
        <w:fldChar w:fldCharType="separate"/>
      </w:r>
      <w:r>
        <w:rPr>
          <w:rFonts w:hint="eastAsia" w:ascii="宋体" w:hAnsi="宋体" w:eastAsia="宋体" w:cs="宋体"/>
        </w:rPr>
        <w:t xml:space="preserve">(三) </w:t>
      </w:r>
      <w:r>
        <w:rPr>
          <w:rFonts w:hint="eastAsia"/>
          <w:highlight w:val="none"/>
        </w:rPr>
        <w:t>投标货币(实质性要求)</w:t>
      </w:r>
      <w:r>
        <w:tab/>
      </w:r>
      <w:r>
        <w:fldChar w:fldCharType="begin"/>
      </w:r>
      <w:r>
        <w:instrText xml:space="preserve"> PAGEREF _Toc678 \h </w:instrText>
      </w:r>
      <w:r>
        <w:fldChar w:fldCharType="separate"/>
      </w:r>
      <w:r>
        <w:t>18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_Toc28785 </w:instrText>
      </w:r>
      <w:r>
        <w:rPr>
          <w:highlight w:val="none"/>
        </w:rPr>
        <w:fldChar w:fldCharType="separate"/>
      </w:r>
      <w:r>
        <w:rPr>
          <w:rFonts w:hint="eastAsia" w:ascii="宋体" w:hAnsi="宋体" w:eastAsia="宋体" w:cs="宋体"/>
        </w:rPr>
        <w:t xml:space="preserve">(四) </w:t>
      </w:r>
      <w:r>
        <w:rPr>
          <w:rFonts w:hint="eastAsia"/>
          <w:highlight w:val="none"/>
        </w:rPr>
        <w:t>联合体投标(实质性要求)</w:t>
      </w:r>
      <w:r>
        <w:tab/>
      </w:r>
      <w:r>
        <w:fldChar w:fldCharType="begin"/>
      </w:r>
      <w:r>
        <w:instrText xml:space="preserve"> PAGEREF _Toc28785 \h </w:instrText>
      </w:r>
      <w:r>
        <w:fldChar w:fldCharType="separate"/>
      </w:r>
      <w:r>
        <w:t>18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_Toc244 </w:instrText>
      </w:r>
      <w:r>
        <w:rPr>
          <w:highlight w:val="none"/>
        </w:rPr>
        <w:fldChar w:fldCharType="separate"/>
      </w:r>
      <w:r>
        <w:rPr>
          <w:rFonts w:hint="eastAsia" w:ascii="宋体" w:hAnsi="宋体" w:eastAsia="宋体" w:cs="宋体"/>
        </w:rPr>
        <w:t xml:space="preserve">(五) </w:t>
      </w:r>
      <w:r>
        <w:rPr>
          <w:rFonts w:hint="eastAsia"/>
          <w:highlight w:val="none"/>
        </w:rPr>
        <w:t>知识产权(实质性要求)</w:t>
      </w:r>
      <w:r>
        <w:tab/>
      </w:r>
      <w:r>
        <w:fldChar w:fldCharType="begin"/>
      </w:r>
      <w:r>
        <w:instrText xml:space="preserve"> PAGEREF _Toc244 \h </w:instrText>
      </w:r>
      <w:r>
        <w:fldChar w:fldCharType="separate"/>
      </w:r>
      <w:r>
        <w:t>18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_Toc31800 </w:instrText>
      </w:r>
      <w:r>
        <w:rPr>
          <w:highlight w:val="none"/>
        </w:rPr>
        <w:fldChar w:fldCharType="separate"/>
      </w:r>
      <w:r>
        <w:rPr>
          <w:rFonts w:hint="eastAsia" w:ascii="宋体" w:hAnsi="宋体" w:eastAsia="宋体" w:cs="宋体"/>
        </w:rPr>
        <w:t xml:space="preserve">(六) </w:t>
      </w:r>
      <w:r>
        <w:rPr>
          <w:rFonts w:hint="eastAsia"/>
          <w:highlight w:val="none"/>
        </w:rPr>
        <w:t>投标文件的组成</w:t>
      </w:r>
      <w:r>
        <w:tab/>
      </w:r>
      <w:r>
        <w:fldChar w:fldCharType="begin"/>
      </w:r>
      <w:r>
        <w:instrText xml:space="preserve"> PAGEREF _Toc31800 \h </w:instrText>
      </w:r>
      <w:r>
        <w:fldChar w:fldCharType="separate"/>
      </w:r>
      <w:r>
        <w:t>18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_Toc10518 </w:instrText>
      </w:r>
      <w:r>
        <w:rPr>
          <w:highlight w:val="none"/>
        </w:rPr>
        <w:fldChar w:fldCharType="separate"/>
      </w:r>
      <w:r>
        <w:rPr>
          <w:rFonts w:hint="eastAsia" w:ascii="宋体" w:hAnsi="宋体" w:eastAsia="宋体" w:cs="宋体"/>
        </w:rPr>
        <w:t xml:space="preserve">(七) </w:t>
      </w:r>
      <w:r>
        <w:rPr>
          <w:rFonts w:hint="eastAsia"/>
          <w:highlight w:val="none"/>
        </w:rPr>
        <w:t>投标文件格式</w:t>
      </w:r>
      <w:r>
        <w:tab/>
      </w:r>
      <w:r>
        <w:fldChar w:fldCharType="begin"/>
      </w:r>
      <w:r>
        <w:instrText xml:space="preserve"> PAGEREF _Toc10518 \h </w:instrText>
      </w:r>
      <w:r>
        <w:fldChar w:fldCharType="separate"/>
      </w:r>
      <w:r>
        <w:t>20</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_Toc233 </w:instrText>
      </w:r>
      <w:r>
        <w:rPr>
          <w:highlight w:val="none"/>
        </w:rPr>
        <w:fldChar w:fldCharType="separate"/>
      </w:r>
      <w:r>
        <w:rPr>
          <w:rFonts w:hint="eastAsia" w:ascii="宋体" w:hAnsi="宋体" w:eastAsia="宋体" w:cs="宋体"/>
        </w:rPr>
        <w:t xml:space="preserve">(八) </w:t>
      </w:r>
      <w:r>
        <w:rPr>
          <w:rFonts w:hint="eastAsia"/>
          <w:highlight w:val="none"/>
        </w:rPr>
        <w:t>投标保证金</w:t>
      </w:r>
      <w:r>
        <w:tab/>
      </w:r>
      <w:r>
        <w:fldChar w:fldCharType="begin"/>
      </w:r>
      <w:r>
        <w:instrText xml:space="preserve"> PAGEREF _Toc233 \h </w:instrText>
      </w:r>
      <w:r>
        <w:fldChar w:fldCharType="separate"/>
      </w:r>
      <w:r>
        <w:t>20</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_Toc28380 </w:instrText>
      </w:r>
      <w:r>
        <w:rPr>
          <w:highlight w:val="none"/>
        </w:rPr>
        <w:fldChar w:fldCharType="separate"/>
      </w:r>
      <w:r>
        <w:rPr>
          <w:rFonts w:hint="eastAsia" w:ascii="宋体" w:hAnsi="宋体" w:eastAsia="宋体" w:cs="宋体"/>
        </w:rPr>
        <w:t xml:space="preserve">(九) </w:t>
      </w:r>
      <w:r>
        <w:rPr>
          <w:rFonts w:hint="eastAsia"/>
          <w:highlight w:val="none"/>
        </w:rPr>
        <w:t>投标有效期(实质性要求)</w:t>
      </w:r>
      <w:r>
        <w:tab/>
      </w:r>
      <w:r>
        <w:fldChar w:fldCharType="begin"/>
      </w:r>
      <w:r>
        <w:instrText xml:space="preserve"> PAGEREF _Toc28380 \h </w:instrText>
      </w:r>
      <w:r>
        <w:fldChar w:fldCharType="separate"/>
      </w:r>
      <w:r>
        <w:t>20</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_Toc21170 </w:instrText>
      </w:r>
      <w:r>
        <w:rPr>
          <w:highlight w:val="none"/>
        </w:rPr>
        <w:fldChar w:fldCharType="separate"/>
      </w:r>
      <w:r>
        <w:rPr>
          <w:rFonts w:hint="eastAsia" w:ascii="宋体" w:hAnsi="宋体" w:eastAsia="宋体" w:cs="宋体"/>
        </w:rPr>
        <w:t xml:space="preserve">(十) </w:t>
      </w:r>
      <w:r>
        <w:rPr>
          <w:rFonts w:hint="eastAsia"/>
          <w:highlight w:val="none"/>
        </w:rPr>
        <w:t>投标文件的印制和签署</w:t>
      </w:r>
      <w:r>
        <w:tab/>
      </w:r>
      <w:r>
        <w:fldChar w:fldCharType="begin"/>
      </w:r>
      <w:r>
        <w:instrText xml:space="preserve"> PAGEREF _Toc21170 \h </w:instrText>
      </w:r>
      <w:r>
        <w:fldChar w:fldCharType="separate"/>
      </w:r>
      <w:r>
        <w:t>20</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_Toc13392 </w:instrText>
      </w:r>
      <w:r>
        <w:rPr>
          <w:highlight w:val="none"/>
        </w:rPr>
        <w:fldChar w:fldCharType="separate"/>
      </w:r>
      <w:r>
        <w:rPr>
          <w:rFonts w:hint="eastAsia" w:ascii="宋体" w:hAnsi="宋体" w:eastAsia="宋体" w:cs="宋体"/>
        </w:rPr>
        <w:t xml:space="preserve">(十一) </w:t>
      </w:r>
      <w:r>
        <w:rPr>
          <w:rFonts w:hint="eastAsia"/>
          <w:highlight w:val="none"/>
        </w:rPr>
        <w:t>投标文件的密封和标注</w:t>
      </w:r>
      <w:r>
        <w:tab/>
      </w:r>
      <w:r>
        <w:fldChar w:fldCharType="begin"/>
      </w:r>
      <w:r>
        <w:instrText xml:space="preserve"> PAGEREF _Toc13392 \h </w:instrText>
      </w:r>
      <w:r>
        <w:fldChar w:fldCharType="separate"/>
      </w:r>
      <w:r>
        <w:t>21</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_Toc25988 </w:instrText>
      </w:r>
      <w:r>
        <w:rPr>
          <w:highlight w:val="none"/>
        </w:rPr>
        <w:fldChar w:fldCharType="separate"/>
      </w:r>
      <w:r>
        <w:rPr>
          <w:rFonts w:hint="eastAsia" w:ascii="宋体" w:hAnsi="宋体" w:eastAsia="宋体" w:cs="宋体"/>
        </w:rPr>
        <w:t xml:space="preserve">(十二) </w:t>
      </w:r>
      <w:r>
        <w:rPr>
          <w:rFonts w:hint="eastAsia"/>
          <w:highlight w:val="none"/>
        </w:rPr>
        <w:t>投标文件的递交</w:t>
      </w:r>
      <w:r>
        <w:tab/>
      </w:r>
      <w:r>
        <w:fldChar w:fldCharType="begin"/>
      </w:r>
      <w:r>
        <w:instrText xml:space="preserve"> PAGEREF _Toc25988 \h </w:instrText>
      </w:r>
      <w:r>
        <w:fldChar w:fldCharType="separate"/>
      </w:r>
      <w:r>
        <w:t>21</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_Toc5997 </w:instrText>
      </w:r>
      <w:r>
        <w:rPr>
          <w:highlight w:val="none"/>
        </w:rPr>
        <w:fldChar w:fldCharType="separate"/>
      </w:r>
      <w:r>
        <w:rPr>
          <w:rFonts w:hint="eastAsia" w:ascii="宋体" w:hAnsi="宋体" w:eastAsia="宋体" w:cs="宋体"/>
        </w:rPr>
        <w:t xml:space="preserve">(十三) </w:t>
      </w:r>
      <w:r>
        <w:rPr>
          <w:rFonts w:hint="eastAsia"/>
          <w:highlight w:val="none"/>
        </w:rPr>
        <w:t>投标文件的修改和撤回</w:t>
      </w:r>
      <w:r>
        <w:tab/>
      </w:r>
      <w:r>
        <w:fldChar w:fldCharType="begin"/>
      </w:r>
      <w:r>
        <w:instrText xml:space="preserve"> PAGEREF _Toc5997 \h </w:instrText>
      </w:r>
      <w:r>
        <w:fldChar w:fldCharType="separate"/>
      </w:r>
      <w:r>
        <w:t>22</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_Toc6675 </w:instrText>
      </w:r>
      <w:r>
        <w:rPr>
          <w:highlight w:val="none"/>
        </w:rPr>
        <w:fldChar w:fldCharType="separate"/>
      </w:r>
      <w:r>
        <w:rPr>
          <w:rFonts w:hint="eastAsia"/>
        </w:rPr>
        <w:t xml:space="preserve">五、 </w:t>
      </w:r>
      <w:r>
        <w:rPr>
          <w:rFonts w:hint="eastAsia"/>
          <w:highlight w:val="none"/>
        </w:rPr>
        <w:t>开标和中标</w:t>
      </w:r>
      <w:r>
        <w:tab/>
      </w:r>
      <w:r>
        <w:fldChar w:fldCharType="begin"/>
      </w:r>
      <w:r>
        <w:instrText xml:space="preserve"> PAGEREF _Toc6675 \h </w:instrText>
      </w:r>
      <w:r>
        <w:fldChar w:fldCharType="separate"/>
      </w:r>
      <w:r>
        <w:t>22</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_Toc20019 </w:instrText>
      </w:r>
      <w:r>
        <w:rPr>
          <w:highlight w:val="none"/>
        </w:rPr>
        <w:fldChar w:fldCharType="separate"/>
      </w:r>
      <w:r>
        <w:rPr>
          <w:rFonts w:hint="eastAsia" w:ascii="宋体" w:hAnsi="宋体" w:eastAsia="宋体" w:cs="宋体"/>
        </w:rPr>
        <w:t xml:space="preserve">(一) </w:t>
      </w:r>
      <w:r>
        <w:rPr>
          <w:rFonts w:hint="eastAsia"/>
          <w:highlight w:val="none"/>
        </w:rPr>
        <w:t>开标</w:t>
      </w:r>
      <w:r>
        <w:tab/>
      </w:r>
      <w:r>
        <w:fldChar w:fldCharType="begin"/>
      </w:r>
      <w:r>
        <w:instrText xml:space="preserve"> PAGEREF _Toc20019 \h </w:instrText>
      </w:r>
      <w:r>
        <w:fldChar w:fldCharType="separate"/>
      </w:r>
      <w:r>
        <w:t>22</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_Toc11790 </w:instrText>
      </w:r>
      <w:r>
        <w:rPr>
          <w:highlight w:val="none"/>
        </w:rPr>
        <w:fldChar w:fldCharType="separate"/>
      </w:r>
      <w:r>
        <w:rPr>
          <w:rFonts w:hint="eastAsia" w:ascii="宋体" w:hAnsi="宋体" w:eastAsia="宋体" w:cs="宋体"/>
        </w:rPr>
        <w:t xml:space="preserve">(二) </w:t>
      </w:r>
      <w:r>
        <w:rPr>
          <w:rFonts w:hint="eastAsia"/>
          <w:highlight w:val="none"/>
        </w:rPr>
        <w:t>开标程序</w:t>
      </w:r>
      <w:r>
        <w:tab/>
      </w:r>
      <w:r>
        <w:fldChar w:fldCharType="begin"/>
      </w:r>
      <w:r>
        <w:instrText xml:space="preserve"> PAGEREF _Toc11790 \h </w:instrText>
      </w:r>
      <w:r>
        <w:fldChar w:fldCharType="separate"/>
      </w:r>
      <w:r>
        <w:t>23</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_Toc18552 </w:instrText>
      </w:r>
      <w:r>
        <w:rPr>
          <w:highlight w:val="none"/>
        </w:rPr>
        <w:fldChar w:fldCharType="separate"/>
      </w:r>
      <w:r>
        <w:rPr>
          <w:rFonts w:hint="eastAsia" w:ascii="宋体" w:hAnsi="宋体" w:eastAsia="宋体" w:cs="宋体"/>
        </w:rPr>
        <w:t xml:space="preserve">(三) </w:t>
      </w:r>
      <w:r>
        <w:rPr>
          <w:rFonts w:hint="eastAsia"/>
          <w:highlight w:val="none"/>
        </w:rPr>
        <w:t>开评标过程存档</w:t>
      </w:r>
      <w:r>
        <w:tab/>
      </w:r>
      <w:r>
        <w:fldChar w:fldCharType="begin"/>
      </w:r>
      <w:r>
        <w:instrText xml:space="preserve"> PAGEREF _Toc18552 \h </w:instrText>
      </w:r>
      <w:r>
        <w:fldChar w:fldCharType="separate"/>
      </w:r>
      <w:r>
        <w:t>23</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_Toc32566 </w:instrText>
      </w:r>
      <w:r>
        <w:rPr>
          <w:highlight w:val="none"/>
        </w:rPr>
        <w:fldChar w:fldCharType="separate"/>
      </w:r>
      <w:r>
        <w:rPr>
          <w:rFonts w:hint="eastAsia" w:ascii="宋体" w:hAnsi="宋体" w:eastAsia="宋体" w:cs="宋体"/>
        </w:rPr>
        <w:t xml:space="preserve">(四) </w:t>
      </w:r>
      <w:r>
        <w:rPr>
          <w:rFonts w:hint="eastAsia"/>
          <w:highlight w:val="none"/>
        </w:rPr>
        <w:t>中标结果</w:t>
      </w:r>
      <w:r>
        <w:tab/>
      </w:r>
      <w:r>
        <w:fldChar w:fldCharType="begin"/>
      </w:r>
      <w:r>
        <w:instrText xml:space="preserve"> PAGEREF _Toc32566 \h </w:instrText>
      </w:r>
      <w:r>
        <w:fldChar w:fldCharType="separate"/>
      </w:r>
      <w:r>
        <w:t>23</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_Toc14201 </w:instrText>
      </w:r>
      <w:r>
        <w:rPr>
          <w:highlight w:val="none"/>
        </w:rPr>
        <w:fldChar w:fldCharType="separate"/>
      </w:r>
      <w:r>
        <w:rPr>
          <w:rFonts w:hint="eastAsia" w:ascii="宋体" w:hAnsi="宋体" w:eastAsia="宋体" w:cs="宋体"/>
        </w:rPr>
        <w:t xml:space="preserve">(五) </w:t>
      </w:r>
      <w:r>
        <w:rPr>
          <w:rFonts w:hint="eastAsia"/>
          <w:highlight w:val="none"/>
        </w:rPr>
        <w:t>中标通知书</w:t>
      </w:r>
      <w:r>
        <w:tab/>
      </w:r>
      <w:r>
        <w:fldChar w:fldCharType="begin"/>
      </w:r>
      <w:r>
        <w:instrText xml:space="preserve"> PAGEREF _Toc14201 \h </w:instrText>
      </w:r>
      <w:r>
        <w:fldChar w:fldCharType="separate"/>
      </w:r>
      <w:r>
        <w:t>24</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_Toc28921 </w:instrText>
      </w:r>
      <w:r>
        <w:rPr>
          <w:highlight w:val="none"/>
        </w:rPr>
        <w:fldChar w:fldCharType="separate"/>
      </w:r>
      <w:r>
        <w:rPr>
          <w:rFonts w:hint="eastAsia"/>
        </w:rPr>
        <w:t xml:space="preserve">六、 </w:t>
      </w:r>
      <w:r>
        <w:rPr>
          <w:rFonts w:hint="eastAsia"/>
          <w:highlight w:val="none"/>
        </w:rPr>
        <w:t>签订及履行合同和验收</w:t>
      </w:r>
      <w:r>
        <w:tab/>
      </w:r>
      <w:r>
        <w:fldChar w:fldCharType="begin"/>
      </w:r>
      <w:r>
        <w:instrText xml:space="preserve"> PAGEREF _Toc28921 \h </w:instrText>
      </w:r>
      <w:r>
        <w:fldChar w:fldCharType="separate"/>
      </w:r>
      <w:r>
        <w:t>24</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_Toc22239 </w:instrText>
      </w:r>
      <w:r>
        <w:rPr>
          <w:highlight w:val="none"/>
        </w:rPr>
        <w:fldChar w:fldCharType="separate"/>
      </w:r>
      <w:r>
        <w:rPr>
          <w:rFonts w:hint="eastAsia" w:ascii="宋体" w:hAnsi="宋体" w:eastAsia="宋体" w:cs="宋体"/>
        </w:rPr>
        <w:t xml:space="preserve">(一) </w:t>
      </w:r>
      <w:r>
        <w:rPr>
          <w:rFonts w:hint="eastAsia"/>
          <w:highlight w:val="none"/>
        </w:rPr>
        <w:t>签订合同</w:t>
      </w:r>
      <w:r>
        <w:tab/>
      </w:r>
      <w:r>
        <w:fldChar w:fldCharType="begin"/>
      </w:r>
      <w:r>
        <w:instrText xml:space="preserve"> PAGEREF _Toc22239 \h </w:instrText>
      </w:r>
      <w:r>
        <w:fldChar w:fldCharType="separate"/>
      </w:r>
      <w:r>
        <w:t>24</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eastAsia="宋体" w:cs="宋体"/>
        </w:rPr>
        <w:t xml:space="preserve">(二) </w:t>
      </w:r>
      <w:r>
        <w:rPr>
          <w:rFonts w:hint="eastAsia"/>
          <w:highlight w:val="none"/>
        </w:rPr>
        <w:t>合同分包(实质性要求)</w:t>
      </w:r>
      <w:r>
        <w:tab/>
      </w:r>
      <w:r>
        <w:fldChar w:fldCharType="begin"/>
      </w:r>
      <w:r>
        <w:instrText xml:space="preserve"> PAGEREF _Toc21609 \h </w:instrText>
      </w:r>
      <w:r>
        <w:fldChar w:fldCharType="separate"/>
      </w:r>
      <w:r>
        <w:t>24</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_Toc23241 </w:instrText>
      </w:r>
      <w:r>
        <w:rPr>
          <w:highlight w:val="none"/>
        </w:rPr>
        <w:fldChar w:fldCharType="separate"/>
      </w:r>
      <w:r>
        <w:rPr>
          <w:rFonts w:hint="eastAsia" w:ascii="宋体" w:hAnsi="宋体" w:eastAsia="宋体" w:cs="宋体"/>
        </w:rPr>
        <w:t xml:space="preserve">(三) </w:t>
      </w:r>
      <w:r>
        <w:rPr>
          <w:rFonts w:hint="eastAsia"/>
          <w:highlight w:val="none"/>
        </w:rPr>
        <w:t>合同转包(实质性要求)</w:t>
      </w:r>
      <w:r>
        <w:tab/>
      </w:r>
      <w:r>
        <w:fldChar w:fldCharType="begin"/>
      </w:r>
      <w:r>
        <w:instrText xml:space="preserve"> PAGEREF _Toc23241 \h </w:instrText>
      </w:r>
      <w:r>
        <w:fldChar w:fldCharType="separate"/>
      </w:r>
      <w:r>
        <w:t>25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_Toc25759 </w:instrText>
      </w:r>
      <w:r>
        <w:rPr>
          <w:highlight w:val="none"/>
        </w:rPr>
        <w:fldChar w:fldCharType="separate"/>
      </w:r>
      <w:r>
        <w:rPr>
          <w:rFonts w:hint="eastAsia" w:ascii="宋体" w:hAnsi="宋体" w:eastAsia="宋体" w:cs="宋体"/>
        </w:rPr>
        <w:t xml:space="preserve">(四) </w:t>
      </w:r>
      <w:r>
        <w:rPr>
          <w:rFonts w:hint="eastAsia"/>
          <w:highlight w:val="none"/>
        </w:rPr>
        <w:t>补充合同</w:t>
      </w:r>
      <w:r>
        <w:tab/>
      </w:r>
      <w:r>
        <w:fldChar w:fldCharType="begin"/>
      </w:r>
      <w:r>
        <w:instrText xml:space="preserve"> PAGEREF _Toc25759 \h </w:instrText>
      </w:r>
      <w:r>
        <w:fldChar w:fldCharType="separate"/>
      </w:r>
      <w:r>
        <w:t>25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_Toc152 </w:instrText>
      </w:r>
      <w:r>
        <w:rPr>
          <w:highlight w:val="none"/>
        </w:rPr>
        <w:fldChar w:fldCharType="separate"/>
      </w:r>
      <w:r>
        <w:rPr>
          <w:rFonts w:hint="eastAsia" w:ascii="宋体" w:hAnsi="宋体" w:eastAsia="宋体" w:cs="宋体"/>
        </w:rPr>
        <w:t xml:space="preserve">(五) </w:t>
      </w:r>
      <w:r>
        <w:rPr>
          <w:rFonts w:hint="eastAsia"/>
          <w:highlight w:val="none"/>
        </w:rPr>
        <w:t>合同公告备案</w:t>
      </w:r>
      <w:r>
        <w:tab/>
      </w:r>
      <w:r>
        <w:fldChar w:fldCharType="begin"/>
      </w:r>
      <w:r>
        <w:instrText xml:space="preserve"> PAGEREF _Toc152 \h </w:instrText>
      </w:r>
      <w:r>
        <w:fldChar w:fldCharType="separate"/>
      </w:r>
      <w:r>
        <w:t>25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_Toc25365 </w:instrText>
      </w:r>
      <w:r>
        <w:rPr>
          <w:highlight w:val="none"/>
        </w:rPr>
        <w:fldChar w:fldCharType="separate"/>
      </w:r>
      <w:r>
        <w:rPr>
          <w:rFonts w:hint="eastAsia" w:ascii="宋体" w:hAnsi="宋体" w:eastAsia="宋体" w:cs="宋体"/>
        </w:rPr>
        <w:t xml:space="preserve">(六) </w:t>
      </w:r>
      <w:r>
        <w:rPr>
          <w:rFonts w:hint="eastAsia"/>
          <w:highlight w:val="none"/>
        </w:rPr>
        <w:t>履约保证金(实质性要求)</w:t>
      </w:r>
      <w:r>
        <w:tab/>
      </w:r>
      <w:r>
        <w:fldChar w:fldCharType="begin"/>
      </w:r>
      <w:r>
        <w:instrText xml:space="preserve"> PAGEREF _Toc25365 \h </w:instrText>
      </w:r>
      <w:r>
        <w:fldChar w:fldCharType="separate"/>
      </w:r>
      <w:r>
        <w:t>25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_Toc14707 </w:instrText>
      </w:r>
      <w:r>
        <w:rPr>
          <w:highlight w:val="none"/>
        </w:rPr>
        <w:fldChar w:fldCharType="separate"/>
      </w:r>
      <w:r>
        <w:rPr>
          <w:rFonts w:hint="eastAsia" w:ascii="宋体" w:hAnsi="宋体" w:eastAsia="宋体" w:cs="宋体"/>
        </w:rPr>
        <w:t xml:space="preserve">(七) </w:t>
      </w:r>
      <w:r>
        <w:rPr>
          <w:rFonts w:hint="eastAsia"/>
          <w:highlight w:val="none"/>
        </w:rPr>
        <w:t>履行合同</w:t>
      </w:r>
      <w:r>
        <w:tab/>
      </w:r>
      <w:r>
        <w:fldChar w:fldCharType="begin"/>
      </w:r>
      <w:r>
        <w:instrText xml:space="preserve"> PAGEREF _Toc14707 \h </w:instrText>
      </w:r>
      <w:r>
        <w:fldChar w:fldCharType="separate"/>
      </w:r>
      <w:r>
        <w:t>25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_Toc24070 </w:instrText>
      </w:r>
      <w:r>
        <w:rPr>
          <w:highlight w:val="none"/>
        </w:rPr>
        <w:fldChar w:fldCharType="separate"/>
      </w:r>
      <w:r>
        <w:rPr>
          <w:rFonts w:hint="eastAsia" w:ascii="宋体" w:hAnsi="宋体" w:eastAsia="宋体" w:cs="宋体"/>
        </w:rPr>
        <w:t xml:space="preserve">(八) </w:t>
      </w:r>
      <w:r>
        <w:rPr>
          <w:rFonts w:hint="eastAsia"/>
          <w:highlight w:val="none"/>
        </w:rPr>
        <w:t>验收</w:t>
      </w:r>
      <w:r>
        <w:tab/>
      </w:r>
      <w:r>
        <w:fldChar w:fldCharType="begin"/>
      </w:r>
      <w:r>
        <w:instrText xml:space="preserve"> PAGEREF _Toc24070 \h </w:instrText>
      </w:r>
      <w:r>
        <w:fldChar w:fldCharType="separate"/>
      </w:r>
      <w:r>
        <w:t>25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_Toc21945 </w:instrText>
      </w:r>
      <w:r>
        <w:rPr>
          <w:highlight w:val="none"/>
        </w:rPr>
        <w:fldChar w:fldCharType="separate"/>
      </w:r>
      <w:r>
        <w:rPr>
          <w:rFonts w:hint="eastAsia" w:ascii="宋体" w:hAnsi="宋体" w:eastAsia="宋体" w:cs="宋体"/>
        </w:rPr>
        <w:t xml:space="preserve">(九) </w:t>
      </w:r>
      <w:r>
        <w:rPr>
          <w:rFonts w:hint="eastAsia"/>
          <w:highlight w:val="none"/>
        </w:rPr>
        <w:t>资金支付方式、时间、条件</w:t>
      </w:r>
      <w:r>
        <w:tab/>
      </w:r>
      <w:r>
        <w:fldChar w:fldCharType="begin"/>
      </w:r>
      <w:r>
        <w:instrText xml:space="preserve"> PAGEREF _Toc21945 \h </w:instrText>
      </w:r>
      <w:r>
        <w:fldChar w:fldCharType="separate"/>
      </w:r>
      <w:r>
        <w:t>25</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_Toc26895 </w:instrText>
      </w:r>
      <w:r>
        <w:rPr>
          <w:highlight w:val="none"/>
        </w:rPr>
        <w:fldChar w:fldCharType="separate"/>
      </w:r>
      <w:r>
        <w:rPr>
          <w:rFonts w:hint="eastAsia"/>
        </w:rPr>
        <w:t xml:space="preserve">七、 </w:t>
      </w:r>
      <w:r>
        <w:rPr>
          <w:rFonts w:hint="eastAsia"/>
          <w:highlight w:val="none"/>
        </w:rPr>
        <w:t>投标纪律要求</w:t>
      </w:r>
      <w:r>
        <w:tab/>
      </w:r>
      <w:r>
        <w:fldChar w:fldCharType="begin"/>
      </w:r>
      <w:r>
        <w:instrText xml:space="preserve"> PAGEREF _Toc26895 \h </w:instrText>
      </w:r>
      <w:r>
        <w:fldChar w:fldCharType="separate"/>
      </w:r>
      <w:r>
        <w:t>26</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_Toc32686 </w:instrText>
      </w:r>
      <w:r>
        <w:rPr>
          <w:highlight w:val="none"/>
        </w:rPr>
        <w:fldChar w:fldCharType="separate"/>
      </w:r>
      <w:r>
        <w:rPr>
          <w:rFonts w:hint="eastAsia"/>
        </w:rPr>
        <w:t xml:space="preserve">八、 </w:t>
      </w:r>
      <w:r>
        <w:rPr>
          <w:rFonts w:hint="eastAsia"/>
          <w:highlight w:val="none"/>
        </w:rPr>
        <w:t>其他</w:t>
      </w:r>
      <w:r>
        <w:tab/>
      </w:r>
      <w:r>
        <w:fldChar w:fldCharType="begin"/>
      </w:r>
      <w:r>
        <w:instrText xml:space="preserve"> PAGEREF _Toc32686 \h </w:instrText>
      </w:r>
      <w:r>
        <w:fldChar w:fldCharType="separate"/>
      </w:r>
      <w:r>
        <w:t>26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_Toc18969 </w:instrText>
      </w:r>
      <w:r>
        <w:rPr>
          <w:highlight w:val="none"/>
        </w:rPr>
        <w:fldChar w:fldCharType="separate"/>
      </w:r>
      <w:r>
        <w:rPr>
          <w:rFonts w:hint="eastAsia" w:ascii="宋体" w:hAnsi="宋体" w:eastAsia="宋体" w:cs="宋体"/>
        </w:rPr>
        <w:t xml:space="preserve">(一) </w:t>
      </w:r>
      <w:r>
        <w:rPr>
          <w:rFonts w:hint="eastAsia"/>
          <w:highlight w:val="none"/>
        </w:rPr>
        <w:t>询问、质疑和投诉</w:t>
      </w:r>
      <w:r>
        <w:tab/>
      </w:r>
      <w:r>
        <w:fldChar w:fldCharType="begin"/>
      </w:r>
      <w:r>
        <w:instrText xml:space="preserve"> PAGEREF _Toc18969 \h </w:instrText>
      </w:r>
      <w:r>
        <w:fldChar w:fldCharType="separate"/>
      </w:r>
      <w:r>
        <w:t>26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_Toc32621 </w:instrText>
      </w:r>
      <w:r>
        <w:rPr>
          <w:highlight w:val="none"/>
        </w:rPr>
        <w:fldChar w:fldCharType="separate"/>
      </w:r>
      <w:r>
        <w:rPr>
          <w:rFonts w:hint="eastAsia" w:ascii="宋体" w:hAnsi="宋体" w:eastAsia="宋体" w:cs="宋体"/>
        </w:rPr>
        <w:t xml:space="preserve">(二) </w:t>
      </w:r>
      <w:r>
        <w:rPr>
          <w:rFonts w:hint="eastAsia"/>
          <w:highlight w:val="none"/>
        </w:rPr>
        <w:t>关于行贿犯罪档案查询工作的规定</w:t>
      </w:r>
      <w:r>
        <w:tab/>
      </w:r>
      <w:r>
        <w:fldChar w:fldCharType="begin"/>
      </w:r>
      <w:r>
        <w:instrText xml:space="preserve"> PAGEREF _Toc32621 \h </w:instrText>
      </w:r>
      <w:r>
        <w:fldChar w:fldCharType="separate"/>
      </w:r>
      <w:r>
        <w:t>26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_Toc9059 </w:instrText>
      </w:r>
      <w:r>
        <w:rPr>
          <w:highlight w:val="none"/>
        </w:rPr>
        <w:fldChar w:fldCharType="separate"/>
      </w:r>
      <w:r>
        <w:rPr>
          <w:rFonts w:hint="eastAsia" w:ascii="宋体" w:hAnsi="宋体" w:eastAsia="宋体" w:cs="宋体"/>
        </w:rPr>
        <w:t xml:space="preserve">(三) </w:t>
      </w:r>
      <w:r>
        <w:rPr>
          <w:rFonts w:hint="eastAsia"/>
          <w:highlight w:val="none"/>
        </w:rPr>
        <w:t>串通投标的情形</w:t>
      </w:r>
      <w:r>
        <w:tab/>
      </w:r>
      <w:r>
        <w:fldChar w:fldCharType="begin"/>
      </w:r>
      <w:r>
        <w:instrText xml:space="preserve"> PAGEREF _Toc9059 \h </w:instrText>
      </w:r>
      <w:r>
        <w:fldChar w:fldCharType="separate"/>
      </w:r>
      <w:r>
        <w:t>26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_Toc9883 </w:instrText>
      </w:r>
      <w:r>
        <w:rPr>
          <w:highlight w:val="none"/>
        </w:rPr>
        <w:fldChar w:fldCharType="separate"/>
      </w:r>
      <w:r>
        <w:rPr>
          <w:rFonts w:hint="eastAsia" w:ascii="宋体" w:hAnsi="宋体" w:eastAsia="宋体" w:cs="宋体"/>
        </w:rPr>
        <w:t xml:space="preserve">(四) </w:t>
      </w:r>
      <w:r>
        <w:rPr>
          <w:rFonts w:hint="eastAsia"/>
          <w:highlight w:val="none"/>
        </w:rPr>
        <w:t>投标人信用信息查询</w:t>
      </w:r>
      <w:r>
        <w:tab/>
      </w:r>
      <w:r>
        <w:fldChar w:fldCharType="begin"/>
      </w:r>
      <w:r>
        <w:instrText xml:space="preserve"> PAGEREF _Toc9883 \h </w:instrText>
      </w:r>
      <w:r>
        <w:fldChar w:fldCharType="separate"/>
      </w:r>
      <w:r>
        <w:t>27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_Toc24277 </w:instrText>
      </w:r>
      <w:r>
        <w:rPr>
          <w:highlight w:val="none"/>
        </w:rPr>
        <w:fldChar w:fldCharType="separate"/>
      </w:r>
      <w:r>
        <w:rPr>
          <w:rFonts w:hint="eastAsia" w:ascii="宋体" w:hAnsi="宋体" w:eastAsia="宋体" w:cs="宋体"/>
        </w:rPr>
        <w:t xml:space="preserve">(五) </w:t>
      </w:r>
      <w:r>
        <w:rPr>
          <w:rFonts w:hint="eastAsia"/>
          <w:highlight w:val="none"/>
        </w:rPr>
        <w:t>解释说明</w:t>
      </w:r>
      <w:r>
        <w:tab/>
      </w:r>
      <w:r>
        <w:fldChar w:fldCharType="begin"/>
      </w:r>
      <w:r>
        <w:instrText xml:space="preserve"> PAGEREF _Toc24277 \h </w:instrText>
      </w:r>
      <w:r>
        <w:fldChar w:fldCharType="separate"/>
      </w:r>
      <w:r>
        <w:t>27</w:t>
      </w:r>
      <w:r>
        <w:fldChar w:fldCharType="end"/>
      </w:r>
      <w:r>
        <w:rPr>
          <w:highlight w:val="none"/>
        </w:rPr>
        <w:fldChar w:fldCharType="end"/>
      </w:r>
    </w:p>
    <w:p>
      <w:pPr>
        <w:pStyle w:val="20"/>
        <w:tabs>
          <w:tab w:val="clear" w:pos="0"/>
        </w:tabs>
      </w:pPr>
      <w:r>
        <w:rPr>
          <w:highlight w:val="none"/>
        </w:rPr>
        <w:fldChar w:fldCharType="begin"/>
      </w:r>
      <w:r>
        <w:rPr>
          <w:highlight w:val="none"/>
        </w:rPr>
        <w:instrText xml:space="preserve"> HYPERLINK \l _Toc754 </w:instrText>
      </w:r>
      <w:r>
        <w:rPr>
          <w:highlight w:val="none"/>
        </w:rPr>
        <w:fldChar w:fldCharType="separate"/>
      </w:r>
      <w:r>
        <w:rPr>
          <w:rFonts w:hint="eastAsia" w:ascii="宋体" w:hAnsi="宋体" w:eastAsia="宋体" w:cs="宋体"/>
        </w:rPr>
        <w:t xml:space="preserve">第三章 </w:t>
      </w:r>
      <w:r>
        <w:rPr>
          <w:rFonts w:hint="eastAsia"/>
          <w:highlight w:val="none"/>
        </w:rPr>
        <w:t>投标文件格式</w:t>
      </w:r>
      <w:r>
        <w:tab/>
      </w:r>
      <w:r>
        <w:fldChar w:fldCharType="begin"/>
      </w:r>
      <w:r>
        <w:instrText xml:space="preserve"> PAGEREF _Toc754 \h </w:instrText>
      </w:r>
      <w:r>
        <w:fldChar w:fldCharType="separate"/>
      </w:r>
      <w:r>
        <w:t>29</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_Toc14573 </w:instrText>
      </w:r>
      <w:r>
        <w:rPr>
          <w:highlight w:val="none"/>
        </w:rPr>
        <w:fldChar w:fldCharType="separate"/>
      </w:r>
      <w:r>
        <w:rPr>
          <w:rFonts w:hint="eastAsia"/>
          <w:szCs w:val="32"/>
          <w:highlight w:val="none"/>
        </w:rPr>
        <w:t>第一部分 资格、资质性及其他类似效力投标文件(格式)</w:t>
      </w:r>
      <w:r>
        <w:tab/>
      </w:r>
      <w:r>
        <w:fldChar w:fldCharType="begin"/>
      </w:r>
      <w:r>
        <w:instrText xml:space="preserve"> PAGEREF _Toc14573 \h </w:instrText>
      </w:r>
      <w:r>
        <w:fldChar w:fldCharType="separate"/>
      </w:r>
      <w:r>
        <w:t>32</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_Toc22009 </w:instrText>
      </w:r>
      <w:r>
        <w:rPr>
          <w:highlight w:val="none"/>
        </w:rPr>
        <w:fldChar w:fldCharType="separate"/>
      </w:r>
      <w:r>
        <w:rPr>
          <w:rFonts w:hint="eastAsia"/>
        </w:rPr>
        <w:t xml:space="preserve">一、 </w:t>
      </w:r>
      <w:r>
        <w:rPr>
          <w:rFonts w:hint="eastAsia"/>
          <w:highlight w:val="none"/>
        </w:rPr>
        <w:t>法定代表人/单位负责人授权书</w:t>
      </w:r>
      <w:r>
        <w:tab/>
      </w:r>
      <w:r>
        <w:fldChar w:fldCharType="begin"/>
      </w:r>
      <w:r>
        <w:instrText xml:space="preserve"> PAGEREF _Toc22009 \h </w:instrText>
      </w:r>
      <w:r>
        <w:fldChar w:fldCharType="separate"/>
      </w:r>
      <w:r>
        <w:t>33</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_Toc4107 </w:instrText>
      </w:r>
      <w:r>
        <w:rPr>
          <w:highlight w:val="none"/>
        </w:rPr>
        <w:fldChar w:fldCharType="separate"/>
      </w:r>
      <w:r>
        <w:rPr>
          <w:rFonts w:hint="eastAsia"/>
        </w:rPr>
        <w:t xml:space="preserve">一、 </w:t>
      </w:r>
      <w:r>
        <w:rPr>
          <w:rFonts w:hint="eastAsia"/>
          <w:highlight w:val="none"/>
        </w:rPr>
        <w:t>法定代表人/单位负责人证明书</w:t>
      </w:r>
      <w:r>
        <w:tab/>
      </w:r>
      <w:r>
        <w:fldChar w:fldCharType="begin"/>
      </w:r>
      <w:r>
        <w:instrText xml:space="preserve"> PAGEREF _Toc4107 \h </w:instrText>
      </w:r>
      <w:r>
        <w:fldChar w:fldCharType="separate"/>
      </w:r>
      <w:r>
        <w:t>34</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_Toc930 </w:instrText>
      </w:r>
      <w:r>
        <w:rPr>
          <w:highlight w:val="none"/>
        </w:rPr>
        <w:fldChar w:fldCharType="separate"/>
      </w:r>
      <w:r>
        <w:rPr>
          <w:rFonts w:hint="eastAsia"/>
        </w:rPr>
        <w:t xml:space="preserve">二、 </w:t>
      </w:r>
      <w:r>
        <w:rPr>
          <w:rFonts w:hint="eastAsia"/>
          <w:highlight w:val="none"/>
        </w:rPr>
        <w:t>具有独立承担民事责任的能力的证明材料</w:t>
      </w:r>
      <w:r>
        <w:tab/>
      </w:r>
      <w:r>
        <w:fldChar w:fldCharType="begin"/>
      </w:r>
      <w:r>
        <w:instrText xml:space="preserve"> PAGEREF _Toc930 \h </w:instrText>
      </w:r>
      <w:r>
        <w:fldChar w:fldCharType="separate"/>
      </w:r>
      <w:r>
        <w:t>35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_Toc809 </w:instrText>
      </w:r>
      <w:r>
        <w:rPr>
          <w:highlight w:val="none"/>
        </w:rPr>
        <w:fldChar w:fldCharType="separate"/>
      </w:r>
      <w:r>
        <w:rPr>
          <w:rFonts w:hint="eastAsia"/>
        </w:rPr>
        <w:t xml:space="preserve">三、 </w:t>
      </w:r>
      <w:r>
        <w:rPr>
          <w:rFonts w:hint="eastAsia"/>
          <w:highlight w:val="none"/>
        </w:rPr>
        <w:t>投标人具有良好的商业信誉和健全的财务会计制度的证明材料</w:t>
      </w:r>
      <w:r>
        <w:tab/>
      </w:r>
      <w:r>
        <w:fldChar w:fldCharType="begin"/>
      </w:r>
      <w:r>
        <w:instrText xml:space="preserve"> PAGEREF _Toc809 \h </w:instrText>
      </w:r>
      <w:r>
        <w:fldChar w:fldCharType="separate"/>
      </w:r>
      <w:r>
        <w:t>36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_Toc30369 </w:instrText>
      </w:r>
      <w:r>
        <w:rPr>
          <w:highlight w:val="none"/>
        </w:rPr>
        <w:fldChar w:fldCharType="separate"/>
      </w:r>
      <w:r>
        <w:rPr>
          <w:rFonts w:hint="eastAsia"/>
        </w:rPr>
        <w:t xml:space="preserve">四、 </w:t>
      </w:r>
      <w:r>
        <w:rPr>
          <w:rFonts w:hint="eastAsia"/>
          <w:highlight w:val="none"/>
        </w:rPr>
        <w:t>投标人具有依法缴纳税收和社会保障资金的良好记录的证明材料</w:t>
      </w:r>
      <w:r>
        <w:tab/>
      </w:r>
      <w:r>
        <w:fldChar w:fldCharType="begin"/>
      </w:r>
      <w:r>
        <w:instrText xml:space="preserve"> PAGEREF _Toc30369 \h </w:instrText>
      </w:r>
      <w:r>
        <w:fldChar w:fldCharType="separate"/>
      </w:r>
      <w:r>
        <w:t>37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_Toc832 </w:instrText>
      </w:r>
      <w:r>
        <w:rPr>
          <w:highlight w:val="none"/>
        </w:rPr>
        <w:fldChar w:fldCharType="separate"/>
      </w:r>
      <w:r>
        <w:rPr>
          <w:rFonts w:hint="eastAsia"/>
        </w:rPr>
        <w:t xml:space="preserve">五、 </w:t>
      </w:r>
      <w:r>
        <w:rPr>
          <w:rFonts w:hint="eastAsia"/>
          <w:highlight w:val="none"/>
        </w:rPr>
        <w:t>投标人具有履行合同所必需的设备和专业技术能力证明材料</w:t>
      </w:r>
      <w:r>
        <w:tab/>
      </w:r>
      <w:r>
        <w:fldChar w:fldCharType="begin"/>
      </w:r>
      <w:r>
        <w:instrText xml:space="preserve"> PAGEREF _Toc832 \h </w:instrText>
      </w:r>
      <w:r>
        <w:fldChar w:fldCharType="separate"/>
      </w:r>
      <w:r>
        <w:t>38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_Toc12476 </w:instrText>
      </w:r>
      <w:r>
        <w:rPr>
          <w:highlight w:val="none"/>
        </w:rPr>
        <w:fldChar w:fldCharType="separate"/>
      </w:r>
      <w:r>
        <w:rPr>
          <w:rFonts w:hint="eastAsia"/>
        </w:rPr>
        <w:t xml:space="preserve">六、 </w:t>
      </w:r>
      <w:r>
        <w:rPr>
          <w:rFonts w:hint="eastAsia"/>
          <w:highlight w:val="none"/>
        </w:rPr>
        <w:t>投标人参加政府采购活动前三年内，在经营活动中没有重大违法记录的证明材料</w:t>
      </w:r>
      <w:r>
        <w:tab/>
      </w:r>
      <w:r>
        <w:fldChar w:fldCharType="begin"/>
      </w:r>
      <w:r>
        <w:instrText xml:space="preserve"> PAGEREF _Toc12476 \h </w:instrText>
      </w:r>
      <w:r>
        <w:fldChar w:fldCharType="separate"/>
      </w:r>
      <w:r>
        <w:t>39</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_Toc21739 </w:instrText>
      </w:r>
      <w:r>
        <w:rPr>
          <w:highlight w:val="none"/>
        </w:rPr>
        <w:fldChar w:fldCharType="separate"/>
      </w:r>
      <w:r>
        <w:rPr>
          <w:rFonts w:hint="eastAsia"/>
          <w:lang w:val="zh-CN"/>
        </w:rPr>
        <w:t xml:space="preserve">七、 </w:t>
      </w:r>
      <w:r>
        <w:rPr>
          <w:rFonts w:hint="eastAsia"/>
          <w:highlight w:val="none"/>
        </w:rPr>
        <w:t>投标人</w:t>
      </w:r>
      <w:r>
        <w:rPr>
          <w:rFonts w:hint="eastAsia"/>
          <w:highlight w:val="none"/>
          <w:lang w:val="zh-CN"/>
        </w:rPr>
        <w:t>及其现任法定代表人、主要负责人不得具有行贿犯罪记录</w:t>
      </w:r>
      <w:r>
        <w:rPr>
          <w:rFonts w:hint="eastAsia"/>
          <w:highlight w:val="none"/>
        </w:rPr>
        <w:t>的承诺函</w:t>
      </w:r>
      <w:r>
        <w:tab/>
      </w:r>
      <w:r>
        <w:fldChar w:fldCharType="begin"/>
      </w:r>
      <w:r>
        <w:instrText xml:space="preserve"> PAGEREF _Toc21739 \h </w:instrText>
      </w:r>
      <w:r>
        <w:fldChar w:fldCharType="separate"/>
      </w:r>
      <w:r>
        <w:t>40</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_Toc11881 </w:instrText>
      </w:r>
      <w:r>
        <w:rPr>
          <w:highlight w:val="none"/>
        </w:rPr>
        <w:fldChar w:fldCharType="separate"/>
      </w:r>
      <w:r>
        <w:rPr>
          <w:rFonts w:hint="eastAsia"/>
        </w:rPr>
        <w:t xml:space="preserve">八、 </w:t>
      </w:r>
      <w:r>
        <w:rPr>
          <w:rFonts w:hint="eastAsia"/>
          <w:highlight w:val="none"/>
        </w:rPr>
        <w:t>根据采购项目的特殊要求，供应商提供具有特定条件的证明材料</w:t>
      </w:r>
      <w:r>
        <w:tab/>
      </w:r>
      <w:r>
        <w:fldChar w:fldCharType="begin"/>
      </w:r>
      <w:r>
        <w:instrText xml:space="preserve"> PAGEREF _Toc11881 \h </w:instrText>
      </w:r>
      <w:r>
        <w:fldChar w:fldCharType="separate"/>
      </w:r>
      <w:r>
        <w:t>41</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_Toc11267 </w:instrText>
      </w:r>
      <w:r>
        <w:rPr>
          <w:highlight w:val="none"/>
        </w:rPr>
        <w:fldChar w:fldCharType="separate"/>
      </w:r>
      <w:r>
        <w:rPr>
          <w:rFonts w:hint="eastAsia"/>
        </w:rPr>
        <w:t xml:space="preserve">九、 </w:t>
      </w:r>
      <w:r>
        <w:rPr>
          <w:rFonts w:hint="eastAsia"/>
          <w:highlight w:val="none"/>
        </w:rPr>
        <w:t>信用信息查询</w:t>
      </w:r>
      <w:r>
        <w:tab/>
      </w:r>
      <w:r>
        <w:fldChar w:fldCharType="begin"/>
      </w:r>
      <w:r>
        <w:instrText xml:space="preserve"> PAGEREF _Toc11267 \h </w:instrText>
      </w:r>
      <w:r>
        <w:fldChar w:fldCharType="separate"/>
      </w:r>
      <w:r>
        <w:t>42</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_Toc16487 </w:instrText>
      </w:r>
      <w:r>
        <w:rPr>
          <w:highlight w:val="none"/>
        </w:rPr>
        <w:fldChar w:fldCharType="separate"/>
      </w:r>
      <w:r>
        <w:rPr>
          <w:rFonts w:hint="eastAsia"/>
        </w:rPr>
        <w:t xml:space="preserve">十、 </w:t>
      </w:r>
      <w:r>
        <w:rPr>
          <w:rFonts w:hint="eastAsia"/>
          <w:highlight w:val="none"/>
        </w:rPr>
        <w:t>符合《中华人民共和国政府采购法》第二十二条规定的条件的承诺及声明函</w:t>
      </w:r>
      <w:r>
        <w:tab/>
      </w:r>
      <w:r>
        <w:fldChar w:fldCharType="begin"/>
      </w:r>
      <w:r>
        <w:instrText xml:space="preserve"> PAGEREF _Toc16487 \h </w:instrText>
      </w:r>
      <w:r>
        <w:fldChar w:fldCharType="separate"/>
      </w:r>
      <w:r>
        <w:t>43</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_Toc6480 </w:instrText>
      </w:r>
      <w:r>
        <w:rPr>
          <w:highlight w:val="none"/>
        </w:rPr>
        <w:fldChar w:fldCharType="separate"/>
      </w:r>
      <w:r>
        <w:rPr>
          <w:rFonts w:hint="eastAsia"/>
          <w:szCs w:val="32"/>
          <w:highlight w:val="none"/>
        </w:rPr>
        <w:t>第二部分 其他投标文件(格式)</w:t>
      </w:r>
      <w:r>
        <w:tab/>
      </w:r>
      <w:r>
        <w:fldChar w:fldCharType="begin"/>
      </w:r>
      <w:r>
        <w:instrText xml:space="preserve"> PAGEREF _Toc6480 \h </w:instrText>
      </w:r>
      <w:r>
        <w:fldChar w:fldCharType="separate"/>
      </w:r>
      <w:r>
        <w:t>44</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_Toc21319 </w:instrText>
      </w:r>
      <w:r>
        <w:rPr>
          <w:highlight w:val="none"/>
        </w:rPr>
        <w:fldChar w:fldCharType="separate"/>
      </w:r>
      <w:r>
        <w:rPr>
          <w:rFonts w:hint="eastAsia"/>
        </w:rPr>
        <w:t xml:space="preserve">一、 </w:t>
      </w:r>
      <w:r>
        <w:rPr>
          <w:rFonts w:hint="eastAsia"/>
          <w:highlight w:val="none"/>
        </w:rPr>
        <w:t>投标函</w:t>
      </w:r>
      <w:r>
        <w:tab/>
      </w:r>
      <w:r>
        <w:fldChar w:fldCharType="begin"/>
      </w:r>
      <w:r>
        <w:instrText xml:space="preserve"> PAGEREF _Toc21319 \h </w:instrText>
      </w:r>
      <w:r>
        <w:fldChar w:fldCharType="separate"/>
      </w:r>
      <w:r>
        <w:t>45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_Toc638 </w:instrText>
      </w:r>
      <w:r>
        <w:rPr>
          <w:highlight w:val="none"/>
        </w:rPr>
        <w:fldChar w:fldCharType="separate"/>
      </w:r>
      <w:r>
        <w:rPr>
          <w:rFonts w:hint="eastAsia"/>
        </w:rPr>
        <w:t xml:space="preserve">二、 </w:t>
      </w:r>
      <w:r>
        <w:rPr>
          <w:rFonts w:hint="eastAsia"/>
          <w:highlight w:val="none"/>
        </w:rPr>
        <w:t>实质性要求承诺</w:t>
      </w:r>
      <w:r>
        <w:tab/>
      </w:r>
      <w:r>
        <w:fldChar w:fldCharType="begin"/>
      </w:r>
      <w:r>
        <w:instrText xml:space="preserve"> PAGEREF _Toc638 \h </w:instrText>
      </w:r>
      <w:r>
        <w:fldChar w:fldCharType="separate"/>
      </w:r>
      <w:r>
        <w:t>47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_Toc7156 </w:instrText>
      </w:r>
      <w:r>
        <w:rPr>
          <w:highlight w:val="none"/>
        </w:rPr>
        <w:fldChar w:fldCharType="separate"/>
      </w:r>
      <w:r>
        <w:rPr>
          <w:rFonts w:hint="eastAsia"/>
        </w:rPr>
        <w:t xml:space="preserve">三、 </w:t>
      </w:r>
      <w:r>
        <w:rPr>
          <w:rFonts w:hint="eastAsia"/>
          <w:highlight w:val="none"/>
        </w:rPr>
        <w:t>投标人诚信情况承诺函</w:t>
      </w:r>
      <w:r>
        <w:tab/>
      </w:r>
      <w:r>
        <w:fldChar w:fldCharType="begin"/>
      </w:r>
      <w:r>
        <w:instrText xml:space="preserve"> PAGEREF _Toc7156 \h </w:instrText>
      </w:r>
      <w:r>
        <w:fldChar w:fldCharType="separate"/>
      </w:r>
      <w:r>
        <w:t>49</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_Toc24308 </w:instrText>
      </w:r>
      <w:r>
        <w:rPr>
          <w:highlight w:val="none"/>
        </w:rPr>
        <w:fldChar w:fldCharType="separate"/>
      </w:r>
      <w:r>
        <w:rPr>
          <w:rFonts w:hint="eastAsia"/>
        </w:rPr>
        <w:t xml:space="preserve">四、 </w:t>
      </w:r>
      <w:r>
        <w:rPr>
          <w:rFonts w:hint="eastAsia"/>
          <w:highlight w:val="none"/>
        </w:rPr>
        <w:t>投标人基本情况表</w:t>
      </w:r>
      <w:r>
        <w:tab/>
      </w:r>
      <w:r>
        <w:fldChar w:fldCharType="begin"/>
      </w:r>
      <w:r>
        <w:instrText xml:space="preserve"> PAGEREF _Toc24308 \h </w:instrText>
      </w:r>
      <w:r>
        <w:fldChar w:fldCharType="separate"/>
      </w:r>
      <w:r>
        <w:t>50</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_Toc6586 </w:instrText>
      </w:r>
      <w:r>
        <w:rPr>
          <w:highlight w:val="none"/>
        </w:rPr>
        <w:fldChar w:fldCharType="separate"/>
      </w:r>
      <w:r>
        <w:rPr>
          <w:rFonts w:hint="eastAsia"/>
        </w:rPr>
        <w:t xml:space="preserve">五、 </w:t>
      </w:r>
      <w:r>
        <w:rPr>
          <w:rFonts w:hint="eastAsia"/>
          <w:highlight w:val="none"/>
        </w:rPr>
        <w:t>开标一览表</w:t>
      </w:r>
      <w:r>
        <w:tab/>
      </w:r>
      <w:r>
        <w:fldChar w:fldCharType="begin"/>
      </w:r>
      <w:r>
        <w:instrText xml:space="preserve"> PAGEREF _Toc6586 \h </w:instrText>
      </w:r>
      <w:r>
        <w:fldChar w:fldCharType="separate"/>
      </w:r>
      <w:r>
        <w:t>51</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_Toc2122 </w:instrText>
      </w:r>
      <w:r>
        <w:rPr>
          <w:highlight w:val="none"/>
        </w:rPr>
        <w:fldChar w:fldCharType="separate"/>
      </w:r>
      <w:r>
        <w:rPr>
          <w:rFonts w:hint="eastAsia"/>
        </w:rPr>
        <w:t xml:space="preserve">六、 </w:t>
      </w:r>
      <w:r>
        <w:rPr>
          <w:rFonts w:hint="eastAsia"/>
          <w:highlight w:val="none"/>
        </w:rPr>
        <w:t>商务应答表</w:t>
      </w:r>
      <w:r>
        <w:tab/>
      </w:r>
      <w:r>
        <w:fldChar w:fldCharType="begin"/>
      </w:r>
      <w:r>
        <w:instrText xml:space="preserve"> PAGEREF _Toc2122 \h </w:instrText>
      </w:r>
      <w:r>
        <w:fldChar w:fldCharType="separate"/>
      </w:r>
      <w:r>
        <w:t>53</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_Toc8548 </w:instrText>
      </w:r>
      <w:r>
        <w:rPr>
          <w:highlight w:val="none"/>
        </w:rPr>
        <w:fldChar w:fldCharType="separate"/>
      </w:r>
      <w:r>
        <w:rPr>
          <w:rFonts w:hint="eastAsia"/>
        </w:rPr>
        <w:t xml:space="preserve">七、 </w:t>
      </w:r>
      <w:r>
        <w:rPr>
          <w:rFonts w:hint="eastAsia"/>
          <w:highlight w:val="none"/>
        </w:rPr>
        <w:t>服务应答表</w:t>
      </w:r>
      <w:r>
        <w:tab/>
      </w:r>
      <w:r>
        <w:fldChar w:fldCharType="begin"/>
      </w:r>
      <w:r>
        <w:instrText xml:space="preserve"> PAGEREF _Toc8548 \h </w:instrText>
      </w:r>
      <w:r>
        <w:fldChar w:fldCharType="separate"/>
      </w:r>
      <w:r>
        <w:t>54</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_Toc9061 </w:instrText>
      </w:r>
      <w:r>
        <w:rPr>
          <w:highlight w:val="none"/>
        </w:rPr>
        <w:fldChar w:fldCharType="separate"/>
      </w:r>
      <w:r>
        <w:rPr>
          <w:rFonts w:hint="eastAsia"/>
        </w:rPr>
        <w:t xml:space="preserve">八、 </w:t>
      </w:r>
      <w:r>
        <w:rPr>
          <w:rFonts w:hint="eastAsia"/>
          <w:highlight w:val="none"/>
        </w:rPr>
        <w:t>履约能力及相关证明</w:t>
      </w:r>
      <w:r>
        <w:tab/>
      </w:r>
      <w:r>
        <w:fldChar w:fldCharType="begin"/>
      </w:r>
      <w:r>
        <w:instrText xml:space="preserve"> PAGEREF _Toc9061 \h </w:instrText>
      </w:r>
      <w:r>
        <w:fldChar w:fldCharType="separate"/>
      </w:r>
      <w:r>
        <w:t>55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_Toc613 </w:instrText>
      </w:r>
      <w:r>
        <w:rPr>
          <w:highlight w:val="none"/>
        </w:rPr>
        <w:fldChar w:fldCharType="separate"/>
      </w:r>
      <w:r>
        <w:rPr>
          <w:rFonts w:hint="eastAsia"/>
        </w:rPr>
        <w:t xml:space="preserve">九、 </w:t>
      </w:r>
      <w:r>
        <w:rPr>
          <w:rFonts w:hint="eastAsia"/>
          <w:highlight w:val="none"/>
        </w:rPr>
        <w:t>投标人针对本项目人员配置情况表</w:t>
      </w:r>
      <w:r>
        <w:tab/>
      </w:r>
      <w:r>
        <w:fldChar w:fldCharType="begin"/>
      </w:r>
      <w:r>
        <w:instrText xml:space="preserve"> PAGEREF _Toc613 \h </w:instrText>
      </w:r>
      <w:r>
        <w:fldChar w:fldCharType="separate"/>
      </w:r>
      <w:r>
        <w:t>56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_Toc3976 </w:instrText>
      </w:r>
      <w:r>
        <w:rPr>
          <w:highlight w:val="none"/>
        </w:rPr>
        <w:fldChar w:fldCharType="separate"/>
      </w:r>
      <w:r>
        <w:rPr>
          <w:rFonts w:hint="eastAsia"/>
        </w:rPr>
        <w:t xml:space="preserve">十、 </w:t>
      </w:r>
      <w:r>
        <w:rPr>
          <w:rFonts w:hint="eastAsia"/>
          <w:highlight w:val="none"/>
        </w:rPr>
        <w:t>中小企业声明函(如涉及)</w:t>
      </w:r>
      <w:r>
        <w:tab/>
      </w:r>
      <w:r>
        <w:fldChar w:fldCharType="begin"/>
      </w:r>
      <w:r>
        <w:instrText xml:space="preserve"> PAGEREF _Toc3976 \h </w:instrText>
      </w:r>
      <w:r>
        <w:fldChar w:fldCharType="separate"/>
      </w:r>
      <w:r>
        <w:t>57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_Toc7722 </w:instrText>
      </w:r>
      <w:r>
        <w:rPr>
          <w:highlight w:val="none"/>
        </w:rPr>
        <w:fldChar w:fldCharType="separate"/>
      </w:r>
      <w:r>
        <w:rPr>
          <w:rFonts w:hint="eastAsia"/>
        </w:rPr>
        <w:t xml:space="preserve">十一、 </w:t>
      </w:r>
      <w:r>
        <w:rPr>
          <w:rFonts w:hint="eastAsia"/>
          <w:highlight w:val="none"/>
        </w:rPr>
        <w:t>监狱企业相关证明材料(如涉及)</w:t>
      </w:r>
      <w:r>
        <w:tab/>
      </w:r>
      <w:r>
        <w:fldChar w:fldCharType="begin"/>
      </w:r>
      <w:r>
        <w:instrText xml:space="preserve"> PAGEREF _Toc7722 \h </w:instrText>
      </w:r>
      <w:r>
        <w:fldChar w:fldCharType="separate"/>
      </w:r>
      <w:r>
        <w:t>58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_Toc29400 </w:instrText>
      </w:r>
      <w:r>
        <w:rPr>
          <w:highlight w:val="none"/>
        </w:rPr>
        <w:fldChar w:fldCharType="separate"/>
      </w:r>
      <w:r>
        <w:rPr>
          <w:rFonts w:hint="eastAsia"/>
        </w:rPr>
        <w:t xml:space="preserve">十二、 </w:t>
      </w:r>
      <w:r>
        <w:rPr>
          <w:rFonts w:hint="eastAsia"/>
          <w:highlight w:val="none"/>
        </w:rPr>
        <w:t>残疾人福利性单位声明函(如涉及)</w:t>
      </w:r>
      <w:r>
        <w:tab/>
      </w:r>
      <w:r>
        <w:fldChar w:fldCharType="begin"/>
      </w:r>
      <w:r>
        <w:instrText xml:space="preserve"> PAGEREF _Toc29400 \h </w:instrText>
      </w:r>
      <w:r>
        <w:fldChar w:fldCharType="separate"/>
      </w:r>
      <w:r>
        <w:t>59</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_Toc19197 </w:instrText>
      </w:r>
      <w:r>
        <w:rPr>
          <w:highlight w:val="none"/>
        </w:rPr>
        <w:fldChar w:fldCharType="separate"/>
      </w:r>
      <w:r>
        <w:rPr>
          <w:rFonts w:hint="eastAsia"/>
        </w:rPr>
        <w:t xml:space="preserve">十三、 </w:t>
      </w:r>
      <w:r>
        <w:rPr>
          <w:rFonts w:hint="eastAsia"/>
          <w:highlight w:val="none"/>
        </w:rPr>
        <w:t>服务方案</w:t>
      </w:r>
      <w:r>
        <w:tab/>
      </w:r>
      <w:r>
        <w:fldChar w:fldCharType="begin"/>
      </w:r>
      <w:r>
        <w:instrText xml:space="preserve"> PAGEREF _Toc19197 \h </w:instrText>
      </w:r>
      <w:r>
        <w:fldChar w:fldCharType="separate"/>
      </w:r>
      <w:r>
        <w:t>60</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_Toc30765 </w:instrText>
      </w:r>
      <w:r>
        <w:rPr>
          <w:highlight w:val="none"/>
        </w:rPr>
        <w:fldChar w:fldCharType="separate"/>
      </w:r>
      <w:r>
        <w:rPr>
          <w:rFonts w:hint="eastAsia" w:ascii="宋体" w:hAnsi="宋体" w:eastAsia="宋体"/>
          <w:snapToGrid w:val="0"/>
          <w:highlight w:val="none"/>
          <w:lang w:val="en-US" w:eastAsia="zh-CN"/>
        </w:rPr>
        <w:t>十四、商品包装、快递包装承诺函</w:t>
      </w:r>
      <w:r>
        <w:tab/>
      </w:r>
      <w:r>
        <w:fldChar w:fldCharType="begin"/>
      </w:r>
      <w:r>
        <w:instrText xml:space="preserve"> PAGEREF _Toc30765 \h </w:instrText>
      </w:r>
      <w:r>
        <w:fldChar w:fldCharType="separate"/>
      </w:r>
      <w:r>
        <w:t>61</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_Toc26418 </w:instrText>
      </w:r>
      <w:r>
        <w:rPr>
          <w:highlight w:val="none"/>
        </w:rPr>
        <w:fldChar w:fldCharType="separate"/>
      </w:r>
      <w:r>
        <w:rPr>
          <w:rFonts w:hint="eastAsia"/>
          <w:highlight w:val="none"/>
          <w:lang w:val="en-US" w:eastAsia="zh-CN"/>
        </w:rPr>
        <w:t>十五、</w:t>
      </w:r>
      <w:r>
        <w:rPr>
          <w:rFonts w:hint="eastAsia"/>
          <w:highlight w:val="none"/>
        </w:rPr>
        <w:t>招标代理服务费承诺函</w:t>
      </w:r>
      <w:r>
        <w:tab/>
      </w:r>
      <w:r>
        <w:fldChar w:fldCharType="begin"/>
      </w:r>
      <w:r>
        <w:instrText xml:space="preserve"> PAGEREF _Toc26418 \h </w:instrText>
      </w:r>
      <w:r>
        <w:fldChar w:fldCharType="separate"/>
      </w:r>
      <w:r>
        <w:t>62</w:t>
      </w:r>
      <w:r>
        <w:fldChar w:fldCharType="end"/>
      </w:r>
      <w:r>
        <w:rPr>
          <w:highlight w:val="none"/>
        </w:rPr>
        <w:fldChar w:fldCharType="end"/>
      </w:r>
    </w:p>
    <w:p>
      <w:pPr>
        <w:pStyle w:val="20"/>
        <w:tabs>
          <w:tab w:val="clear" w:pos="0"/>
        </w:tabs>
      </w:pPr>
      <w:r>
        <w:rPr>
          <w:highlight w:val="none"/>
        </w:rPr>
        <w:fldChar w:fldCharType="begin"/>
      </w:r>
      <w:r>
        <w:rPr>
          <w:highlight w:val="none"/>
        </w:rPr>
        <w:instrText xml:space="preserve"> HYPERLINK \l _Toc12315 </w:instrText>
      </w:r>
      <w:r>
        <w:rPr>
          <w:highlight w:val="none"/>
        </w:rPr>
        <w:fldChar w:fldCharType="separate"/>
      </w:r>
      <w:r>
        <w:rPr>
          <w:rFonts w:hint="eastAsia" w:ascii="宋体" w:hAnsi="宋体" w:eastAsia="宋体" w:cs="宋体"/>
          <w:w w:val="95"/>
        </w:rPr>
        <w:t xml:space="preserve">第四章 </w:t>
      </w:r>
      <w:r>
        <w:rPr>
          <w:rFonts w:hint="eastAsia"/>
          <w:w w:val="95"/>
          <w:highlight w:val="none"/>
        </w:rPr>
        <w:t>投标人和投标产品的资格、资质性及其他类似效力要求</w:t>
      </w:r>
      <w:r>
        <w:tab/>
      </w:r>
      <w:r>
        <w:fldChar w:fldCharType="begin"/>
      </w:r>
      <w:r>
        <w:instrText xml:space="preserve"> PAGEREF _Toc12315 \h </w:instrText>
      </w:r>
      <w:r>
        <w:fldChar w:fldCharType="separate"/>
      </w:r>
      <w:r>
        <w:t>63</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_Toc26214 </w:instrText>
      </w:r>
      <w:r>
        <w:rPr>
          <w:highlight w:val="none"/>
        </w:rPr>
        <w:fldChar w:fldCharType="separate"/>
      </w:r>
      <w:r>
        <w:rPr>
          <w:rFonts w:hint="eastAsia" w:ascii="宋体" w:hAnsi="宋体" w:eastAsia="宋体" w:cs="宋体"/>
          <w:lang w:val="zh-CN"/>
        </w:rPr>
        <w:t xml:space="preserve">一、 </w:t>
      </w:r>
      <w:r>
        <w:rPr>
          <w:rFonts w:hint="eastAsia"/>
          <w:highlight w:val="none"/>
        </w:rPr>
        <w:t>投标人资格、资质性及其他类似效力要求</w:t>
      </w:r>
      <w:r>
        <w:tab/>
      </w:r>
      <w:r>
        <w:fldChar w:fldCharType="begin"/>
      </w:r>
      <w:r>
        <w:instrText xml:space="preserve"> PAGEREF _Toc26214 \h </w:instrText>
      </w:r>
      <w:r>
        <w:fldChar w:fldCharType="separate"/>
      </w:r>
      <w:r>
        <w:t>63</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_Toc22429 </w:instrText>
      </w:r>
      <w:r>
        <w:rPr>
          <w:highlight w:val="none"/>
        </w:rPr>
        <w:fldChar w:fldCharType="separate"/>
      </w:r>
      <w:r>
        <w:rPr>
          <w:rFonts w:hint="eastAsia" w:ascii="宋体" w:hAnsi="宋体" w:eastAsia="宋体" w:cs="宋体"/>
        </w:rPr>
        <w:t xml:space="preserve">二、 </w:t>
      </w:r>
      <w:r>
        <w:rPr>
          <w:rFonts w:hint="eastAsia"/>
          <w:highlight w:val="none"/>
        </w:rPr>
        <w:t>投标产品的资格、资质性及其他类似效力要求</w:t>
      </w:r>
      <w:r>
        <w:tab/>
      </w:r>
      <w:r>
        <w:fldChar w:fldCharType="begin"/>
      </w:r>
      <w:r>
        <w:instrText xml:space="preserve"> PAGEREF _Toc22429 \h </w:instrText>
      </w:r>
      <w:r>
        <w:fldChar w:fldCharType="separate"/>
      </w:r>
      <w:r>
        <w:t>63</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_Toc12833 </w:instrText>
      </w:r>
      <w:r>
        <w:rPr>
          <w:highlight w:val="none"/>
        </w:rPr>
        <w:fldChar w:fldCharType="separate"/>
      </w:r>
      <w:r>
        <w:rPr>
          <w:rFonts w:hint="eastAsia" w:ascii="宋体" w:hAnsi="宋体" w:eastAsia="宋体" w:cs="宋体"/>
        </w:rPr>
        <w:t xml:space="preserve">三、 </w:t>
      </w:r>
      <w:r>
        <w:rPr>
          <w:rFonts w:hint="eastAsia"/>
          <w:highlight w:val="none"/>
        </w:rPr>
        <w:t>其他类似效力要求</w:t>
      </w:r>
      <w:r>
        <w:tab/>
      </w:r>
      <w:r>
        <w:fldChar w:fldCharType="begin"/>
      </w:r>
      <w:r>
        <w:instrText xml:space="preserve"> PAGEREF _Toc12833 \h </w:instrText>
      </w:r>
      <w:r>
        <w:fldChar w:fldCharType="separate"/>
      </w:r>
      <w:r>
        <w:t>63</w:t>
      </w:r>
      <w:r>
        <w:fldChar w:fldCharType="end"/>
      </w:r>
      <w:r>
        <w:rPr>
          <w:highlight w:val="none"/>
        </w:rPr>
        <w:fldChar w:fldCharType="end"/>
      </w:r>
    </w:p>
    <w:p>
      <w:pPr>
        <w:pStyle w:val="20"/>
        <w:tabs>
          <w:tab w:val="clear" w:pos="0"/>
        </w:tabs>
      </w:pPr>
      <w:r>
        <w:rPr>
          <w:highlight w:val="none"/>
        </w:rPr>
        <w:fldChar w:fldCharType="begin"/>
      </w:r>
      <w:r>
        <w:rPr>
          <w:highlight w:val="none"/>
        </w:rPr>
        <w:instrText xml:space="preserve"> HYPERLINK \l _Toc6347 </w:instrText>
      </w:r>
      <w:r>
        <w:rPr>
          <w:highlight w:val="none"/>
        </w:rPr>
        <w:fldChar w:fldCharType="separate"/>
      </w:r>
      <w:r>
        <w:rPr>
          <w:rFonts w:hint="eastAsia" w:ascii="宋体" w:hAnsi="宋体" w:eastAsia="宋体" w:cs="宋体"/>
        </w:rPr>
        <w:t xml:space="preserve">第五章 </w:t>
      </w:r>
      <w:r>
        <w:rPr>
          <w:rFonts w:hint="eastAsia"/>
          <w:highlight w:val="none"/>
        </w:rPr>
        <w:t>资格性审查内容</w:t>
      </w:r>
      <w:r>
        <w:tab/>
      </w:r>
      <w:r>
        <w:fldChar w:fldCharType="begin"/>
      </w:r>
      <w:r>
        <w:instrText xml:space="preserve"> PAGEREF _Toc6347 \h </w:instrText>
      </w:r>
      <w:r>
        <w:fldChar w:fldCharType="separate"/>
      </w:r>
      <w:r>
        <w:t>65</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_Toc15996 </w:instrText>
      </w:r>
      <w:r>
        <w:rPr>
          <w:highlight w:val="none"/>
        </w:rPr>
        <w:fldChar w:fldCharType="separate"/>
      </w:r>
      <w:r>
        <w:rPr>
          <w:rFonts w:hint="eastAsia" w:ascii="宋体" w:hAnsi="宋体" w:eastAsia="宋体" w:cs="宋体"/>
        </w:rPr>
        <w:t xml:space="preserve">一、 </w:t>
      </w:r>
      <w:r>
        <w:rPr>
          <w:rFonts w:hint="eastAsia"/>
          <w:highlight w:val="none"/>
        </w:rPr>
        <w:t>应当提供的投标人及投标产品资格、资质性及其他类似效力要求的相关证明材料</w:t>
      </w:r>
      <w:r>
        <w:tab/>
      </w:r>
      <w:r>
        <w:fldChar w:fldCharType="begin"/>
      </w:r>
      <w:r>
        <w:instrText xml:space="preserve"> PAGEREF _Toc15996 \h </w:instrText>
      </w:r>
      <w:r>
        <w:fldChar w:fldCharType="separate"/>
      </w:r>
      <w:r>
        <w:t>65</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_Toc5087 </w:instrText>
      </w:r>
      <w:r>
        <w:rPr>
          <w:highlight w:val="none"/>
        </w:rPr>
        <w:fldChar w:fldCharType="separate"/>
      </w:r>
      <w:r>
        <w:rPr>
          <w:rFonts w:hint="eastAsia" w:ascii="宋体" w:hAnsi="宋体" w:eastAsia="宋体" w:cs="宋体"/>
        </w:rPr>
        <w:t xml:space="preserve">二、 </w:t>
      </w:r>
      <w:r>
        <w:rPr>
          <w:rFonts w:hint="eastAsia"/>
          <w:highlight w:val="none"/>
        </w:rPr>
        <w:t>审查程序</w:t>
      </w:r>
      <w:r>
        <w:tab/>
      </w:r>
      <w:r>
        <w:fldChar w:fldCharType="begin"/>
      </w:r>
      <w:r>
        <w:instrText xml:space="preserve"> PAGEREF _Toc5087 \h </w:instrText>
      </w:r>
      <w:r>
        <w:fldChar w:fldCharType="separate"/>
      </w:r>
      <w:r>
        <w:t>67</w:t>
      </w:r>
      <w:r>
        <w:fldChar w:fldCharType="end"/>
      </w:r>
      <w:r>
        <w:rPr>
          <w:highlight w:val="none"/>
        </w:rPr>
        <w:fldChar w:fldCharType="end"/>
      </w:r>
    </w:p>
    <w:p>
      <w:pPr>
        <w:pStyle w:val="20"/>
        <w:tabs>
          <w:tab w:val="clear" w:pos="0"/>
        </w:tabs>
      </w:pPr>
      <w:r>
        <w:rPr>
          <w:highlight w:val="none"/>
        </w:rPr>
        <w:fldChar w:fldCharType="begin"/>
      </w:r>
      <w:r>
        <w:rPr>
          <w:highlight w:val="none"/>
        </w:rPr>
        <w:instrText xml:space="preserve"> HYPERLINK \l _Toc22983 </w:instrText>
      </w:r>
      <w:r>
        <w:rPr>
          <w:highlight w:val="none"/>
        </w:rPr>
        <w:fldChar w:fldCharType="separate"/>
      </w:r>
      <w:r>
        <w:rPr>
          <w:rFonts w:hint="eastAsia" w:ascii="宋体" w:hAnsi="宋体" w:eastAsia="宋体" w:cs="宋体"/>
        </w:rPr>
        <w:t xml:space="preserve">第六章 </w:t>
      </w:r>
      <w:r>
        <w:rPr>
          <w:rFonts w:hint="eastAsia"/>
          <w:highlight w:val="none"/>
        </w:rPr>
        <w:t>招标项目技术、服务、政府采购合同内容条款及其他商务要求</w:t>
      </w:r>
      <w:r>
        <w:tab/>
      </w:r>
      <w:r>
        <w:fldChar w:fldCharType="begin"/>
      </w:r>
      <w:r>
        <w:instrText xml:space="preserve"> PAGEREF _Toc22983 \h </w:instrText>
      </w:r>
      <w:r>
        <w:fldChar w:fldCharType="separate"/>
      </w:r>
      <w:r>
        <w:t>68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_Toc20169 </w:instrText>
      </w:r>
      <w:r>
        <w:rPr>
          <w:highlight w:val="none"/>
        </w:rPr>
        <w:fldChar w:fldCharType="separate"/>
      </w:r>
      <w:r>
        <w:rPr>
          <w:rFonts w:hint="eastAsia" w:ascii="宋体" w:hAnsi="宋体" w:eastAsia="宋体" w:cs="宋体"/>
          <w:bCs w:val="0"/>
          <w:szCs w:val="24"/>
        </w:rPr>
        <w:t xml:space="preserve">一、 </w:t>
      </w:r>
      <w:r>
        <w:rPr>
          <w:rFonts w:hint="eastAsia" w:ascii="宋体" w:hAnsi="宋体" w:eastAsia="宋体" w:cs="宋体"/>
          <w:bCs w:val="0"/>
          <w:szCs w:val="24"/>
          <w:highlight w:val="none"/>
        </w:rPr>
        <w:t>项目概况</w:t>
      </w:r>
      <w:r>
        <w:tab/>
      </w:r>
      <w:r>
        <w:fldChar w:fldCharType="begin"/>
      </w:r>
      <w:r>
        <w:instrText xml:space="preserve"> PAGEREF _Toc20169 \h </w:instrText>
      </w:r>
      <w:r>
        <w:fldChar w:fldCharType="separate"/>
      </w:r>
      <w:r>
        <w:t>68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_Toc18515 </w:instrText>
      </w:r>
      <w:r>
        <w:rPr>
          <w:highlight w:val="none"/>
        </w:rPr>
        <w:fldChar w:fldCharType="separate"/>
      </w:r>
      <w:r>
        <w:rPr>
          <w:rFonts w:hint="eastAsia" w:ascii="宋体" w:hAnsi="宋体" w:eastAsia="宋体" w:cs="宋体"/>
          <w:bCs w:val="0"/>
          <w:i w:val="0"/>
          <w:iCs w:val="0"/>
          <w:dstrike w:val="0"/>
          <w:szCs w:val="24"/>
        </w:rPr>
        <w:t xml:space="preserve">二、 </w:t>
      </w:r>
      <w:r>
        <w:rPr>
          <w:rFonts w:hint="eastAsia" w:ascii="宋体" w:hAnsi="宋体" w:eastAsia="宋体" w:cs="宋体"/>
          <w:bCs w:val="0"/>
          <w:i w:val="0"/>
          <w:iCs w:val="0"/>
          <w:dstrike w:val="0"/>
          <w:szCs w:val="24"/>
          <w:highlight w:val="none"/>
        </w:rPr>
        <w:t>项目工作总量及内容</w:t>
      </w:r>
      <w:r>
        <w:tab/>
      </w:r>
      <w:r>
        <w:fldChar w:fldCharType="begin"/>
      </w:r>
      <w:r>
        <w:instrText xml:space="preserve"> PAGEREF _Toc18515 \h </w:instrText>
      </w:r>
      <w:r>
        <w:fldChar w:fldCharType="separate"/>
      </w:r>
      <w:r>
        <w:t>68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_Toc18404 </w:instrText>
      </w:r>
      <w:r>
        <w:rPr>
          <w:highlight w:val="none"/>
        </w:rPr>
        <w:fldChar w:fldCharType="separate"/>
      </w:r>
      <w:r>
        <w:rPr>
          <w:rFonts w:hint="eastAsia" w:ascii="宋体" w:hAnsi="宋体" w:eastAsia="宋体" w:cs="宋体"/>
          <w:bCs w:val="0"/>
          <w:i w:val="0"/>
          <w:iCs w:val="0"/>
          <w:dstrike w:val="0"/>
          <w:szCs w:val="24"/>
        </w:rPr>
        <w:t xml:space="preserve">三、 </w:t>
      </w:r>
      <w:r>
        <w:rPr>
          <w:rFonts w:hint="eastAsia" w:ascii="宋体" w:hAnsi="宋体" w:eastAsia="宋体" w:cs="宋体"/>
          <w:bCs w:val="0"/>
          <w:i w:val="0"/>
          <w:iCs w:val="0"/>
          <w:dstrike w:val="0"/>
          <w:szCs w:val="24"/>
          <w:highlight w:val="none"/>
        </w:rPr>
        <w:t>项目总体要求</w:t>
      </w:r>
      <w:r>
        <w:tab/>
      </w:r>
      <w:r>
        <w:fldChar w:fldCharType="begin"/>
      </w:r>
      <w:r>
        <w:instrText xml:space="preserve"> PAGEREF _Toc18404 \h </w:instrText>
      </w:r>
      <w:r>
        <w:fldChar w:fldCharType="separate"/>
      </w:r>
      <w:r>
        <w:t>68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_Toc14918 </w:instrText>
      </w:r>
      <w:r>
        <w:rPr>
          <w:highlight w:val="none"/>
        </w:rPr>
        <w:fldChar w:fldCharType="separate"/>
      </w:r>
      <w:r>
        <w:rPr>
          <w:rFonts w:hint="eastAsia" w:ascii="宋体" w:hAnsi="宋体" w:eastAsia="宋体" w:cs="宋体"/>
          <w:szCs w:val="24"/>
          <w:highlight w:val="none"/>
        </w:rPr>
        <w:t>※</w:t>
      </w:r>
      <w:r>
        <w:rPr>
          <w:rFonts w:hint="eastAsia" w:ascii="宋体" w:hAnsi="宋体" w:eastAsia="宋体" w:cs="宋体"/>
          <w:bCs w:val="0"/>
          <w:szCs w:val="24"/>
          <w:highlight w:val="none"/>
          <w:lang w:val="en-US" w:eastAsia="zh-CN"/>
        </w:rPr>
        <w:t>四</w:t>
      </w:r>
      <w:r>
        <w:rPr>
          <w:rFonts w:hint="eastAsia" w:ascii="宋体" w:hAnsi="宋体" w:eastAsia="宋体" w:cs="宋体"/>
          <w:bCs w:val="0"/>
          <w:szCs w:val="24"/>
          <w:highlight w:val="none"/>
        </w:rPr>
        <w:t>、遵循的技术标准</w:t>
      </w:r>
      <w:r>
        <w:tab/>
      </w:r>
      <w:r>
        <w:fldChar w:fldCharType="begin"/>
      </w:r>
      <w:r>
        <w:instrText xml:space="preserve"> PAGEREF _Toc14918 \h </w:instrText>
      </w:r>
      <w:r>
        <w:fldChar w:fldCharType="separate"/>
      </w:r>
      <w:r>
        <w:t>69</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_Toc9227 </w:instrText>
      </w:r>
      <w:r>
        <w:rPr>
          <w:highlight w:val="none"/>
        </w:rPr>
        <w:fldChar w:fldCharType="separate"/>
      </w:r>
      <w:r>
        <w:rPr>
          <w:rFonts w:hint="eastAsia" w:ascii="宋体" w:hAnsi="宋体" w:eastAsia="宋体" w:cs="宋体"/>
          <w:szCs w:val="24"/>
          <w:highlight w:val="none"/>
        </w:rPr>
        <w:t>※</w:t>
      </w:r>
      <w:r>
        <w:rPr>
          <w:rFonts w:hint="eastAsia" w:ascii="宋体" w:hAnsi="宋体" w:eastAsia="宋体" w:cs="宋体"/>
          <w:bCs w:val="0"/>
          <w:i w:val="0"/>
          <w:iCs w:val="0"/>
          <w:dstrike w:val="0"/>
          <w:szCs w:val="24"/>
          <w:highlight w:val="none"/>
        </w:rPr>
        <w:t>五、案件材料扫描外包项目要求</w:t>
      </w:r>
      <w:r>
        <w:tab/>
      </w:r>
      <w:r>
        <w:fldChar w:fldCharType="begin"/>
      </w:r>
      <w:r>
        <w:instrText xml:space="preserve"> PAGEREF _Toc9227 \h </w:instrText>
      </w:r>
      <w:r>
        <w:fldChar w:fldCharType="separate"/>
      </w:r>
      <w:r>
        <w:t>69</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_Toc10093 </w:instrText>
      </w:r>
      <w:r>
        <w:rPr>
          <w:highlight w:val="none"/>
        </w:rPr>
        <w:fldChar w:fldCharType="separate"/>
      </w:r>
      <w:r>
        <w:rPr>
          <w:rFonts w:hint="eastAsia" w:ascii="宋体" w:hAnsi="宋体" w:eastAsia="宋体" w:cs="宋体"/>
          <w:bCs w:val="0"/>
          <w:szCs w:val="24"/>
          <w:highlight w:val="none"/>
          <w:lang w:val="en-US" w:eastAsia="zh-CN"/>
        </w:rPr>
        <w:t>六、</w:t>
      </w:r>
      <w:r>
        <w:rPr>
          <w:rFonts w:hint="eastAsia" w:ascii="宋体" w:hAnsi="宋体" w:eastAsia="宋体" w:cs="宋体"/>
          <w:szCs w:val="24"/>
          <w:highlight w:val="none"/>
        </w:rPr>
        <w:t>验收方法和标准</w:t>
      </w:r>
      <w:r>
        <w:tab/>
      </w:r>
      <w:r>
        <w:fldChar w:fldCharType="begin"/>
      </w:r>
      <w:r>
        <w:instrText xml:space="preserve"> PAGEREF _Toc10093 \h </w:instrText>
      </w:r>
      <w:r>
        <w:fldChar w:fldCharType="separate"/>
      </w:r>
      <w:r>
        <w:t>72</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_Toc4323 </w:instrText>
      </w:r>
      <w:r>
        <w:rPr>
          <w:highlight w:val="none"/>
        </w:rPr>
        <w:fldChar w:fldCharType="separate"/>
      </w:r>
      <w:r>
        <w:rPr>
          <w:rFonts w:hint="eastAsia" w:ascii="宋体" w:hAnsi="宋体" w:eastAsia="宋体" w:cs="宋体"/>
          <w:szCs w:val="24"/>
          <w:highlight w:val="none"/>
        </w:rPr>
        <w:t>※</w:t>
      </w:r>
      <w:r>
        <w:rPr>
          <w:rFonts w:hint="eastAsia" w:ascii="宋体" w:hAnsi="宋体" w:eastAsia="宋体" w:cs="宋体"/>
          <w:bCs w:val="0"/>
          <w:szCs w:val="24"/>
          <w:highlight w:val="none"/>
        </w:rPr>
        <w:t>七、安全保密</w:t>
      </w:r>
      <w:r>
        <w:tab/>
      </w:r>
      <w:r>
        <w:fldChar w:fldCharType="begin"/>
      </w:r>
      <w:r>
        <w:instrText xml:space="preserve"> PAGEREF _Toc4323 \h </w:instrText>
      </w:r>
      <w:r>
        <w:fldChar w:fldCharType="separate"/>
      </w:r>
      <w:r>
        <w:t>72</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_Toc6305 </w:instrText>
      </w:r>
      <w:r>
        <w:rPr>
          <w:highlight w:val="none"/>
        </w:rPr>
        <w:fldChar w:fldCharType="separate"/>
      </w:r>
      <w:r>
        <w:rPr>
          <w:rFonts w:hint="eastAsia" w:ascii="宋体" w:hAnsi="宋体" w:eastAsia="宋体" w:cs="宋体"/>
          <w:bCs w:val="0"/>
          <w:szCs w:val="24"/>
          <w:highlight w:val="none"/>
          <w:lang w:val="en-US" w:eastAsia="zh-CN"/>
        </w:rPr>
        <w:t>八、履约要求</w:t>
      </w:r>
      <w:r>
        <w:tab/>
      </w:r>
      <w:r>
        <w:fldChar w:fldCharType="begin"/>
      </w:r>
      <w:r>
        <w:instrText xml:space="preserve"> PAGEREF _Toc6305 \h </w:instrText>
      </w:r>
      <w:r>
        <w:fldChar w:fldCharType="separate"/>
      </w:r>
      <w:r>
        <w:t>72</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_Toc6201 </w:instrText>
      </w:r>
      <w:r>
        <w:rPr>
          <w:highlight w:val="none"/>
        </w:rPr>
        <w:fldChar w:fldCharType="separate"/>
      </w:r>
      <w:r>
        <w:rPr>
          <w:rFonts w:hint="eastAsia" w:ascii="宋体" w:hAnsi="宋体" w:eastAsia="宋体" w:cs="宋体"/>
          <w:bCs w:val="0"/>
          <w:szCs w:val="24"/>
          <w:highlight w:val="none"/>
          <w:lang w:val="en-US" w:eastAsia="zh-CN"/>
        </w:rPr>
        <w:t>九</w:t>
      </w:r>
      <w:r>
        <w:rPr>
          <w:rFonts w:hint="eastAsia" w:ascii="宋体" w:hAnsi="宋体" w:eastAsia="宋体" w:cs="宋体"/>
          <w:bCs w:val="0"/>
          <w:szCs w:val="24"/>
          <w:highlight w:val="none"/>
        </w:rPr>
        <w:t>、</w:t>
      </w:r>
      <w:r>
        <w:rPr>
          <w:rFonts w:hint="eastAsia" w:ascii="宋体" w:hAnsi="宋体" w:eastAsia="宋体" w:cs="宋体"/>
          <w:szCs w:val="24"/>
          <w:highlight w:val="none"/>
        </w:rPr>
        <w:t>商务要求</w:t>
      </w:r>
      <w:r>
        <w:tab/>
      </w:r>
      <w:r>
        <w:fldChar w:fldCharType="begin"/>
      </w:r>
      <w:r>
        <w:instrText xml:space="preserve"> PAGEREF _Toc6201 \h </w:instrText>
      </w:r>
      <w:r>
        <w:fldChar w:fldCharType="separate"/>
      </w:r>
      <w:r>
        <w:t>73</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_Toc27498 </w:instrText>
      </w:r>
      <w:r>
        <w:rPr>
          <w:highlight w:val="none"/>
        </w:rPr>
        <w:fldChar w:fldCharType="separate"/>
      </w:r>
      <w:r>
        <w:rPr>
          <w:rFonts w:hint="eastAsia" w:ascii="宋体" w:hAnsi="宋体" w:eastAsia="宋体" w:cs="宋体"/>
          <w:szCs w:val="24"/>
          <w:highlight w:val="none"/>
          <w:lang w:val="en-US" w:eastAsia="zh-CN"/>
        </w:rPr>
        <w:t>十、</w:t>
      </w:r>
      <w:r>
        <w:rPr>
          <w:rFonts w:hint="eastAsia" w:ascii="宋体" w:hAnsi="宋体" w:eastAsia="宋体" w:cs="宋体"/>
          <w:szCs w:val="24"/>
          <w:highlight w:val="none"/>
        </w:rPr>
        <w:t>其他要求</w:t>
      </w:r>
      <w:r>
        <w:tab/>
      </w:r>
      <w:r>
        <w:fldChar w:fldCharType="begin"/>
      </w:r>
      <w:r>
        <w:instrText xml:space="preserve"> PAGEREF _Toc27498 \h </w:instrText>
      </w:r>
      <w:r>
        <w:fldChar w:fldCharType="separate"/>
      </w:r>
      <w:r>
        <w:t>75</w:t>
      </w:r>
      <w:r>
        <w:fldChar w:fldCharType="end"/>
      </w:r>
      <w:r>
        <w:rPr>
          <w:highlight w:val="none"/>
        </w:rPr>
        <w:fldChar w:fldCharType="end"/>
      </w:r>
    </w:p>
    <w:p>
      <w:pPr>
        <w:pStyle w:val="20"/>
        <w:tabs>
          <w:tab w:val="clear" w:pos="0"/>
        </w:tabs>
      </w:pPr>
      <w:r>
        <w:rPr>
          <w:highlight w:val="none"/>
        </w:rPr>
        <w:fldChar w:fldCharType="begin"/>
      </w:r>
      <w:r>
        <w:rPr>
          <w:highlight w:val="none"/>
        </w:rPr>
        <w:instrText xml:space="preserve"> HYPERLINK \l _Toc30880 </w:instrText>
      </w:r>
      <w:r>
        <w:rPr>
          <w:highlight w:val="none"/>
        </w:rPr>
        <w:fldChar w:fldCharType="separate"/>
      </w:r>
      <w:r>
        <w:rPr>
          <w:rFonts w:hint="eastAsia" w:ascii="宋体" w:hAnsi="宋体" w:eastAsia="宋体" w:cs="宋体"/>
        </w:rPr>
        <w:t xml:space="preserve">第七章 </w:t>
      </w:r>
      <w:r>
        <w:rPr>
          <w:rFonts w:hint="eastAsia"/>
          <w:highlight w:val="none"/>
        </w:rPr>
        <w:t>评标办法</w:t>
      </w:r>
      <w:r>
        <w:tab/>
      </w:r>
      <w:r>
        <w:fldChar w:fldCharType="begin"/>
      </w:r>
      <w:r>
        <w:instrText xml:space="preserve"> PAGEREF _Toc30880 \h </w:instrText>
      </w:r>
      <w:r>
        <w:fldChar w:fldCharType="separate"/>
      </w:r>
      <w:r>
        <w:t>76</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_Toc1681 </w:instrText>
      </w:r>
      <w:r>
        <w:rPr>
          <w:highlight w:val="none"/>
        </w:rPr>
        <w:fldChar w:fldCharType="separate"/>
      </w:r>
      <w:r>
        <w:rPr>
          <w:rFonts w:hint="eastAsia" w:ascii="宋体" w:hAnsi="宋体" w:eastAsia="宋体" w:cs="宋体"/>
        </w:rPr>
        <w:t xml:space="preserve">一、 </w:t>
      </w:r>
      <w:r>
        <w:rPr>
          <w:rFonts w:hint="eastAsia"/>
          <w:highlight w:val="none"/>
        </w:rPr>
        <w:t>总则</w:t>
      </w:r>
      <w:r>
        <w:tab/>
      </w:r>
      <w:r>
        <w:fldChar w:fldCharType="begin"/>
      </w:r>
      <w:r>
        <w:instrText xml:space="preserve"> PAGEREF _Toc1681 \h </w:instrText>
      </w:r>
      <w:r>
        <w:fldChar w:fldCharType="separate"/>
      </w:r>
      <w:r>
        <w:t>76</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_Toc7732 </w:instrText>
      </w:r>
      <w:r>
        <w:rPr>
          <w:highlight w:val="none"/>
        </w:rPr>
        <w:fldChar w:fldCharType="separate"/>
      </w:r>
      <w:r>
        <w:rPr>
          <w:rFonts w:hint="eastAsia" w:ascii="宋体" w:hAnsi="宋体" w:eastAsia="宋体" w:cs="宋体"/>
        </w:rPr>
        <w:t xml:space="preserve">二、 </w:t>
      </w:r>
      <w:r>
        <w:rPr>
          <w:rFonts w:hint="eastAsia"/>
          <w:highlight w:val="none"/>
        </w:rPr>
        <w:t>评标方法</w:t>
      </w:r>
      <w:r>
        <w:tab/>
      </w:r>
      <w:r>
        <w:fldChar w:fldCharType="begin"/>
      </w:r>
      <w:r>
        <w:instrText xml:space="preserve"> PAGEREF _Toc7732 \h </w:instrText>
      </w:r>
      <w:r>
        <w:fldChar w:fldCharType="separate"/>
      </w:r>
      <w:r>
        <w:t>76</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_Toc11347 </w:instrText>
      </w:r>
      <w:r>
        <w:rPr>
          <w:highlight w:val="none"/>
        </w:rPr>
        <w:fldChar w:fldCharType="separate"/>
      </w:r>
      <w:r>
        <w:rPr>
          <w:rFonts w:hint="eastAsia" w:ascii="宋体" w:hAnsi="宋体" w:eastAsia="宋体" w:cs="宋体"/>
        </w:rPr>
        <w:t xml:space="preserve">三、 </w:t>
      </w:r>
      <w:r>
        <w:rPr>
          <w:rFonts w:hint="eastAsia"/>
          <w:highlight w:val="none"/>
        </w:rPr>
        <w:t>评标程序</w:t>
      </w:r>
      <w:r>
        <w:tab/>
      </w:r>
      <w:r>
        <w:fldChar w:fldCharType="begin"/>
      </w:r>
      <w:r>
        <w:instrText xml:space="preserve"> PAGEREF _Toc11347 \h </w:instrText>
      </w:r>
      <w:r>
        <w:fldChar w:fldCharType="separate"/>
      </w:r>
      <w:r>
        <w:t>76</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_Toc30347 </w:instrText>
      </w:r>
      <w:r>
        <w:rPr>
          <w:highlight w:val="none"/>
        </w:rPr>
        <w:fldChar w:fldCharType="separate"/>
      </w:r>
      <w:r>
        <w:rPr>
          <w:rFonts w:hint="eastAsia" w:ascii="宋体" w:hAnsi="宋体" w:eastAsia="宋体" w:cs="宋体"/>
        </w:rPr>
        <w:t xml:space="preserve">四、 </w:t>
      </w:r>
      <w:r>
        <w:rPr>
          <w:rFonts w:hint="eastAsia"/>
          <w:highlight w:val="none"/>
        </w:rPr>
        <w:t>评标细则及标准</w:t>
      </w:r>
      <w:r>
        <w:tab/>
      </w:r>
      <w:r>
        <w:fldChar w:fldCharType="begin"/>
      </w:r>
      <w:r>
        <w:instrText xml:space="preserve"> PAGEREF _Toc30347 \h </w:instrText>
      </w:r>
      <w:r>
        <w:fldChar w:fldCharType="separate"/>
      </w:r>
      <w:r>
        <w:t>79</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_Toc7957 </w:instrText>
      </w:r>
      <w:r>
        <w:rPr>
          <w:highlight w:val="none"/>
        </w:rPr>
        <w:fldChar w:fldCharType="separate"/>
      </w:r>
      <w:r>
        <w:rPr>
          <w:rFonts w:hint="eastAsia" w:ascii="宋体" w:hAnsi="宋体" w:eastAsia="宋体" w:cs="宋体"/>
        </w:rPr>
        <w:t xml:space="preserve">五、 </w:t>
      </w:r>
      <w:r>
        <w:rPr>
          <w:rFonts w:hint="eastAsia"/>
          <w:highlight w:val="none"/>
        </w:rPr>
        <w:t>复核</w:t>
      </w:r>
      <w:r>
        <w:tab/>
      </w:r>
      <w:r>
        <w:fldChar w:fldCharType="begin"/>
      </w:r>
      <w:r>
        <w:instrText xml:space="preserve"> PAGEREF _Toc7957 \h </w:instrText>
      </w:r>
      <w:r>
        <w:fldChar w:fldCharType="separate"/>
      </w:r>
      <w:r>
        <w:t>83</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_Toc8464 </w:instrText>
      </w:r>
      <w:r>
        <w:rPr>
          <w:highlight w:val="none"/>
        </w:rPr>
        <w:fldChar w:fldCharType="separate"/>
      </w:r>
      <w:r>
        <w:rPr>
          <w:rFonts w:hint="eastAsia" w:ascii="宋体" w:hAnsi="宋体" w:eastAsia="宋体" w:cs="宋体"/>
        </w:rPr>
        <w:t xml:space="preserve">六、 </w:t>
      </w:r>
      <w:r>
        <w:rPr>
          <w:rFonts w:hint="eastAsia"/>
          <w:highlight w:val="none"/>
        </w:rPr>
        <w:t>推荐中标候选供应商</w:t>
      </w:r>
      <w:r>
        <w:tab/>
      </w:r>
      <w:r>
        <w:fldChar w:fldCharType="begin"/>
      </w:r>
      <w:r>
        <w:instrText xml:space="preserve"> PAGEREF _Toc8464 \h </w:instrText>
      </w:r>
      <w:r>
        <w:fldChar w:fldCharType="separate"/>
      </w:r>
      <w:r>
        <w:t>84</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_Toc13511 </w:instrText>
      </w:r>
      <w:r>
        <w:rPr>
          <w:highlight w:val="none"/>
        </w:rPr>
        <w:fldChar w:fldCharType="separate"/>
      </w:r>
      <w:r>
        <w:rPr>
          <w:rFonts w:hint="eastAsia" w:ascii="宋体" w:hAnsi="宋体" w:eastAsia="宋体" w:cs="宋体"/>
        </w:rPr>
        <w:t xml:space="preserve">七、 </w:t>
      </w:r>
      <w:r>
        <w:rPr>
          <w:rFonts w:hint="eastAsia"/>
          <w:highlight w:val="none"/>
        </w:rPr>
        <w:t>出具评标报告</w:t>
      </w:r>
      <w:r>
        <w:tab/>
      </w:r>
      <w:r>
        <w:fldChar w:fldCharType="begin"/>
      </w:r>
      <w:r>
        <w:instrText xml:space="preserve"> PAGEREF _Toc13511 \h </w:instrText>
      </w:r>
      <w:r>
        <w:fldChar w:fldCharType="separate"/>
      </w:r>
      <w:r>
        <w:t>84</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_Toc18268 </w:instrText>
      </w:r>
      <w:r>
        <w:rPr>
          <w:highlight w:val="none"/>
        </w:rPr>
        <w:fldChar w:fldCharType="separate"/>
      </w:r>
      <w:r>
        <w:rPr>
          <w:rFonts w:hint="eastAsia" w:ascii="宋体" w:hAnsi="宋体" w:eastAsia="宋体" w:cs="宋体"/>
        </w:rPr>
        <w:t xml:space="preserve">八、 </w:t>
      </w:r>
      <w:r>
        <w:rPr>
          <w:rFonts w:hint="eastAsia"/>
          <w:highlight w:val="none"/>
        </w:rPr>
        <w:t>废标</w:t>
      </w:r>
      <w:r>
        <w:tab/>
      </w:r>
      <w:r>
        <w:fldChar w:fldCharType="begin"/>
      </w:r>
      <w:r>
        <w:instrText xml:space="preserve"> PAGEREF _Toc18268 \h </w:instrText>
      </w:r>
      <w:r>
        <w:fldChar w:fldCharType="separate"/>
      </w:r>
      <w:r>
        <w:t>85</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_Toc5723 </w:instrText>
      </w:r>
      <w:r>
        <w:rPr>
          <w:highlight w:val="none"/>
        </w:rPr>
        <w:fldChar w:fldCharType="separate"/>
      </w:r>
      <w:r>
        <w:rPr>
          <w:rFonts w:hint="eastAsia" w:ascii="宋体" w:hAnsi="宋体" w:eastAsia="宋体" w:cs="宋体"/>
        </w:rPr>
        <w:t xml:space="preserve">九、 </w:t>
      </w:r>
      <w:r>
        <w:rPr>
          <w:rFonts w:hint="eastAsia"/>
          <w:highlight w:val="none"/>
        </w:rPr>
        <w:t>定标</w:t>
      </w:r>
      <w:r>
        <w:tab/>
      </w:r>
      <w:r>
        <w:fldChar w:fldCharType="begin"/>
      </w:r>
      <w:r>
        <w:instrText xml:space="preserve"> PAGEREF _Toc5723 \h </w:instrText>
      </w:r>
      <w:r>
        <w:fldChar w:fldCharType="separate"/>
      </w:r>
      <w:r>
        <w:t>85</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_Toc1364 </w:instrText>
      </w:r>
      <w:r>
        <w:rPr>
          <w:highlight w:val="none"/>
        </w:rPr>
        <w:fldChar w:fldCharType="separate"/>
      </w:r>
      <w:r>
        <w:rPr>
          <w:rFonts w:hint="eastAsia" w:ascii="宋体" w:hAnsi="宋体" w:eastAsia="宋体" w:cs="宋体"/>
        </w:rPr>
        <w:t xml:space="preserve">十、 </w:t>
      </w:r>
      <w:r>
        <w:rPr>
          <w:rFonts w:hint="eastAsia"/>
          <w:highlight w:val="none"/>
        </w:rPr>
        <w:t>评标专家在政府采购活动中承担以下义务</w:t>
      </w:r>
      <w:r>
        <w:tab/>
      </w:r>
      <w:r>
        <w:fldChar w:fldCharType="begin"/>
      </w:r>
      <w:r>
        <w:instrText xml:space="preserve"> PAGEREF _Toc1364 \h </w:instrText>
      </w:r>
      <w:r>
        <w:fldChar w:fldCharType="separate"/>
      </w:r>
      <w:r>
        <w:t>86</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_Toc5115 </w:instrText>
      </w:r>
      <w:r>
        <w:rPr>
          <w:highlight w:val="none"/>
        </w:rPr>
        <w:fldChar w:fldCharType="separate"/>
      </w:r>
      <w:r>
        <w:rPr>
          <w:rFonts w:hint="eastAsia" w:ascii="宋体" w:hAnsi="宋体" w:eastAsia="宋体" w:cs="宋体"/>
        </w:rPr>
        <w:t xml:space="preserve">十一、 </w:t>
      </w:r>
      <w:r>
        <w:rPr>
          <w:rFonts w:hint="eastAsia"/>
          <w:highlight w:val="none"/>
        </w:rPr>
        <w:t>评标专家在政府采购活动中应当遵守以下工作纪律</w:t>
      </w:r>
      <w:r>
        <w:tab/>
      </w:r>
      <w:r>
        <w:fldChar w:fldCharType="begin"/>
      </w:r>
      <w:r>
        <w:instrText xml:space="preserve"> PAGEREF _Toc5115 \h </w:instrText>
      </w:r>
      <w:r>
        <w:fldChar w:fldCharType="separate"/>
      </w:r>
      <w:r>
        <w:t>86</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_Toc18179 </w:instrText>
      </w:r>
      <w:r>
        <w:rPr>
          <w:highlight w:val="none"/>
        </w:rPr>
        <w:fldChar w:fldCharType="separate"/>
      </w:r>
      <w:r>
        <w:rPr>
          <w:rFonts w:hint="eastAsia" w:ascii="宋体" w:hAnsi="宋体" w:eastAsia="宋体" w:cs="宋体"/>
        </w:rPr>
        <w:t xml:space="preserve">十二、 </w:t>
      </w:r>
      <w:r>
        <w:rPr>
          <w:rFonts w:hint="eastAsia"/>
          <w:highlight w:val="none"/>
        </w:rPr>
        <w:t>评标委员会及其成员不得有下列行为</w:t>
      </w:r>
      <w:r>
        <w:tab/>
      </w:r>
      <w:r>
        <w:fldChar w:fldCharType="begin"/>
      </w:r>
      <w:r>
        <w:instrText xml:space="preserve"> PAGEREF _Toc18179 \h </w:instrText>
      </w:r>
      <w:r>
        <w:fldChar w:fldCharType="separate"/>
      </w:r>
      <w:r>
        <w:t>87</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_Toc31713 </w:instrText>
      </w:r>
      <w:r>
        <w:rPr>
          <w:highlight w:val="none"/>
        </w:rPr>
        <w:fldChar w:fldCharType="separate"/>
      </w:r>
      <w:r>
        <w:rPr>
          <w:rFonts w:hint="eastAsia" w:ascii="宋体" w:hAnsi="宋体" w:eastAsia="宋体" w:cs="宋体"/>
        </w:rPr>
        <w:t xml:space="preserve">十三、 </w:t>
      </w:r>
      <w:r>
        <w:rPr>
          <w:rFonts w:hint="eastAsia"/>
          <w:highlight w:val="none"/>
        </w:rPr>
        <w:t>评标委员会及其成员不得有下列违约情形</w:t>
      </w:r>
      <w:r>
        <w:tab/>
      </w:r>
      <w:r>
        <w:fldChar w:fldCharType="begin"/>
      </w:r>
      <w:r>
        <w:instrText xml:space="preserve"> PAGEREF _Toc31713 \h </w:instrText>
      </w:r>
      <w:r>
        <w:fldChar w:fldCharType="separate"/>
      </w:r>
      <w:r>
        <w:t>87</w:t>
      </w:r>
      <w:r>
        <w:fldChar w:fldCharType="end"/>
      </w:r>
      <w:r>
        <w:rPr>
          <w:highlight w:val="none"/>
        </w:rPr>
        <w:fldChar w:fldCharType="end"/>
      </w:r>
    </w:p>
    <w:p>
      <w:pPr>
        <w:pStyle w:val="20"/>
        <w:tabs>
          <w:tab w:val="clear" w:pos="0"/>
        </w:tabs>
      </w:pPr>
      <w:r>
        <w:rPr>
          <w:highlight w:val="none"/>
        </w:rPr>
        <w:fldChar w:fldCharType="begin"/>
      </w:r>
      <w:r>
        <w:rPr>
          <w:highlight w:val="none"/>
        </w:rPr>
        <w:instrText xml:space="preserve"> HYPERLINK \l _Toc29333 </w:instrText>
      </w:r>
      <w:r>
        <w:rPr>
          <w:highlight w:val="none"/>
        </w:rPr>
        <w:fldChar w:fldCharType="separate"/>
      </w:r>
      <w:r>
        <w:rPr>
          <w:rFonts w:hint="eastAsia" w:ascii="宋体" w:hAnsi="宋体" w:eastAsia="宋体" w:cs="宋体"/>
        </w:rPr>
        <w:t xml:space="preserve">第八章 </w:t>
      </w:r>
      <w:r>
        <w:rPr>
          <w:rFonts w:hint="eastAsia"/>
          <w:highlight w:val="none"/>
        </w:rPr>
        <w:t>政府采购合同(参考文本)</w:t>
      </w:r>
      <w:r>
        <w:tab/>
      </w:r>
      <w:r>
        <w:fldChar w:fldCharType="begin"/>
      </w:r>
      <w:r>
        <w:instrText xml:space="preserve"> PAGEREF _Toc29333 \h </w:instrText>
      </w:r>
      <w:r>
        <w:fldChar w:fldCharType="separate"/>
      </w:r>
      <w:r>
        <w:t>88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_Toc4351 </w:instrText>
      </w:r>
      <w:r>
        <w:rPr>
          <w:highlight w:val="none"/>
        </w:rPr>
        <w:fldChar w:fldCharType="separate"/>
      </w:r>
      <w:r>
        <w:rPr>
          <w:rFonts w:hint="eastAsia" w:ascii="宋体" w:hAnsi="宋体" w:eastAsia="宋体" w:cs="宋体"/>
        </w:rPr>
        <w:t xml:space="preserve">一、 </w:t>
      </w:r>
      <w:r>
        <w:rPr>
          <w:rFonts w:hint="eastAsia" w:asciiTheme="minorEastAsia" w:hAnsiTheme="minorEastAsia" w:eastAsiaTheme="minorEastAsia" w:cstheme="minorEastAsia"/>
          <w:highlight w:val="none"/>
        </w:rPr>
        <w:t>项目基本情况</w:t>
      </w:r>
      <w:r>
        <w:tab/>
      </w:r>
      <w:r>
        <w:fldChar w:fldCharType="begin"/>
      </w:r>
      <w:r>
        <w:instrText xml:space="preserve"> PAGEREF _Toc4351 \h </w:instrText>
      </w:r>
      <w:r>
        <w:fldChar w:fldCharType="separate"/>
      </w:r>
      <w:r>
        <w:t>88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_Toc9950 </w:instrText>
      </w:r>
      <w:r>
        <w:rPr>
          <w:highlight w:val="none"/>
        </w:rPr>
        <w:fldChar w:fldCharType="separate"/>
      </w:r>
      <w:r>
        <w:rPr>
          <w:rFonts w:hint="eastAsia" w:ascii="宋体" w:hAnsi="宋体" w:eastAsia="宋体" w:cs="宋体"/>
        </w:rPr>
        <w:t xml:space="preserve">二、 </w:t>
      </w:r>
      <w:r>
        <w:rPr>
          <w:rFonts w:hint="eastAsia"/>
          <w:highlight w:val="none"/>
        </w:rPr>
        <w:t>合同履行</w:t>
      </w:r>
      <w:r>
        <w:tab/>
      </w:r>
      <w:r>
        <w:fldChar w:fldCharType="begin"/>
      </w:r>
      <w:r>
        <w:instrText xml:space="preserve"> PAGEREF _Toc9950 \h </w:instrText>
      </w:r>
      <w:r>
        <w:fldChar w:fldCharType="separate"/>
      </w:r>
      <w:r>
        <w:t>88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_Toc26586 </w:instrText>
      </w:r>
      <w:r>
        <w:rPr>
          <w:highlight w:val="none"/>
        </w:rPr>
        <w:fldChar w:fldCharType="separate"/>
      </w:r>
      <w:r>
        <w:rPr>
          <w:rFonts w:hint="eastAsia" w:ascii="宋体" w:hAnsi="宋体" w:eastAsia="宋体" w:cs="宋体"/>
        </w:rPr>
        <w:t xml:space="preserve">三、 </w:t>
      </w:r>
      <w:r>
        <w:rPr>
          <w:rFonts w:hint="eastAsia"/>
          <w:highlight w:val="none"/>
        </w:rPr>
        <w:t>合同标的</w:t>
      </w:r>
      <w:r>
        <w:tab/>
      </w:r>
      <w:r>
        <w:fldChar w:fldCharType="begin"/>
      </w:r>
      <w:r>
        <w:instrText xml:space="preserve"> PAGEREF _Toc26586 \h </w:instrText>
      </w:r>
      <w:r>
        <w:fldChar w:fldCharType="separate"/>
      </w:r>
      <w:r>
        <w:t>88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_Toc23370 </w:instrText>
      </w:r>
      <w:r>
        <w:rPr>
          <w:highlight w:val="none"/>
        </w:rPr>
        <w:fldChar w:fldCharType="separate"/>
      </w:r>
      <w:r>
        <w:rPr>
          <w:rFonts w:hint="eastAsia" w:ascii="宋体" w:hAnsi="宋体" w:eastAsia="宋体" w:cs="宋体"/>
        </w:rPr>
        <w:t xml:space="preserve">四、 </w:t>
      </w:r>
      <w:r>
        <w:rPr>
          <w:rFonts w:hint="eastAsia"/>
          <w:highlight w:val="none"/>
        </w:rPr>
        <w:t>质量标准</w:t>
      </w:r>
      <w:r>
        <w:tab/>
      </w:r>
      <w:r>
        <w:fldChar w:fldCharType="begin"/>
      </w:r>
      <w:r>
        <w:instrText xml:space="preserve"> PAGEREF _Toc23370 \h </w:instrText>
      </w:r>
      <w:r>
        <w:fldChar w:fldCharType="separate"/>
      </w:r>
      <w:r>
        <w:t>88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_Toc25411 </w:instrText>
      </w:r>
      <w:r>
        <w:rPr>
          <w:highlight w:val="none"/>
        </w:rPr>
        <w:fldChar w:fldCharType="separate"/>
      </w:r>
      <w:r>
        <w:rPr>
          <w:rFonts w:hint="eastAsia" w:ascii="宋体" w:hAnsi="宋体" w:eastAsia="宋体" w:cs="宋体"/>
        </w:rPr>
        <w:t xml:space="preserve">五、 </w:t>
      </w:r>
      <w:r>
        <w:rPr>
          <w:rFonts w:hint="eastAsia"/>
          <w:highlight w:val="none"/>
        </w:rPr>
        <w:t>验收要求</w:t>
      </w:r>
      <w:r>
        <w:tab/>
      </w:r>
      <w:r>
        <w:fldChar w:fldCharType="begin"/>
      </w:r>
      <w:r>
        <w:instrText xml:space="preserve"> PAGEREF _Toc25411 \h </w:instrText>
      </w:r>
      <w:r>
        <w:fldChar w:fldCharType="separate"/>
      </w:r>
      <w:r>
        <w:t>88</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_Toc21551 </w:instrText>
      </w:r>
      <w:r>
        <w:rPr>
          <w:highlight w:val="none"/>
        </w:rPr>
        <w:fldChar w:fldCharType="separate"/>
      </w:r>
      <w:r>
        <w:rPr>
          <w:rFonts w:hint="eastAsia" w:ascii="宋体" w:hAnsi="宋体" w:eastAsia="宋体" w:cs="宋体"/>
        </w:rPr>
        <w:t xml:space="preserve">六、 </w:t>
      </w:r>
      <w:r>
        <w:rPr>
          <w:rFonts w:hint="eastAsia"/>
          <w:highlight w:val="none"/>
        </w:rPr>
        <w:t>合同价款及支付方式</w:t>
      </w:r>
      <w:r>
        <w:tab/>
      </w:r>
      <w:r>
        <w:fldChar w:fldCharType="begin"/>
      </w:r>
      <w:r>
        <w:instrText xml:space="preserve"> PAGEREF _Toc21551 \h </w:instrText>
      </w:r>
      <w:r>
        <w:fldChar w:fldCharType="separate"/>
      </w:r>
      <w:r>
        <w:t>89</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_Toc6099 </w:instrText>
      </w:r>
      <w:r>
        <w:rPr>
          <w:highlight w:val="none"/>
        </w:rPr>
        <w:fldChar w:fldCharType="separate"/>
      </w:r>
      <w:r>
        <w:rPr>
          <w:rFonts w:hint="eastAsia" w:ascii="宋体" w:hAnsi="宋体" w:eastAsia="宋体" w:cs="宋体"/>
        </w:rPr>
        <w:t xml:space="preserve">七、 </w:t>
      </w:r>
      <w:r>
        <w:rPr>
          <w:rFonts w:hint="eastAsia"/>
          <w:highlight w:val="none"/>
        </w:rPr>
        <w:t>知识产权</w:t>
      </w:r>
      <w:r>
        <w:tab/>
      </w:r>
      <w:r>
        <w:fldChar w:fldCharType="begin"/>
      </w:r>
      <w:r>
        <w:instrText xml:space="preserve"> PAGEREF _Toc6099 \h </w:instrText>
      </w:r>
      <w:r>
        <w:fldChar w:fldCharType="separate"/>
      </w:r>
      <w:r>
        <w:t>89</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_Toc14043 </w:instrText>
      </w:r>
      <w:r>
        <w:rPr>
          <w:highlight w:val="none"/>
        </w:rPr>
        <w:fldChar w:fldCharType="separate"/>
      </w:r>
      <w:r>
        <w:rPr>
          <w:rFonts w:hint="eastAsia" w:ascii="宋体" w:hAnsi="宋体" w:eastAsia="宋体" w:cs="宋体"/>
        </w:rPr>
        <w:t xml:space="preserve">八、 </w:t>
      </w:r>
      <w:r>
        <w:rPr>
          <w:rFonts w:hint="eastAsia"/>
          <w:highlight w:val="none"/>
        </w:rPr>
        <w:t>无产权瑕疵条款</w:t>
      </w:r>
      <w:r>
        <w:tab/>
      </w:r>
      <w:r>
        <w:fldChar w:fldCharType="begin"/>
      </w:r>
      <w:r>
        <w:instrText xml:space="preserve"> PAGEREF _Toc14043 \h </w:instrText>
      </w:r>
      <w:r>
        <w:fldChar w:fldCharType="separate"/>
      </w:r>
      <w:r>
        <w:t>89</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_Toc21593 </w:instrText>
      </w:r>
      <w:r>
        <w:rPr>
          <w:highlight w:val="none"/>
        </w:rPr>
        <w:fldChar w:fldCharType="separate"/>
      </w:r>
      <w:r>
        <w:rPr>
          <w:rFonts w:hint="eastAsia" w:ascii="宋体" w:hAnsi="宋体" w:eastAsia="宋体" w:cs="宋体"/>
        </w:rPr>
        <w:t xml:space="preserve">九、 </w:t>
      </w:r>
      <w:r>
        <w:rPr>
          <w:rFonts w:hint="eastAsia"/>
          <w:highlight w:val="none"/>
        </w:rPr>
        <w:t>甲方的权利和义务</w:t>
      </w:r>
      <w:r>
        <w:tab/>
      </w:r>
      <w:r>
        <w:fldChar w:fldCharType="begin"/>
      </w:r>
      <w:r>
        <w:instrText xml:space="preserve"> PAGEREF _Toc21593 \h </w:instrText>
      </w:r>
      <w:r>
        <w:fldChar w:fldCharType="separate"/>
      </w:r>
      <w:r>
        <w:t>89</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_Toc8909 </w:instrText>
      </w:r>
      <w:r>
        <w:rPr>
          <w:highlight w:val="none"/>
        </w:rPr>
        <w:fldChar w:fldCharType="separate"/>
      </w:r>
      <w:r>
        <w:rPr>
          <w:rFonts w:hint="eastAsia" w:ascii="宋体" w:hAnsi="宋体" w:eastAsia="宋体" w:cs="宋体"/>
        </w:rPr>
        <w:t xml:space="preserve">十、 </w:t>
      </w:r>
      <w:r>
        <w:rPr>
          <w:rFonts w:hint="eastAsia"/>
          <w:highlight w:val="none"/>
        </w:rPr>
        <w:t>乙方的权利和义务</w:t>
      </w:r>
      <w:r>
        <w:tab/>
      </w:r>
      <w:r>
        <w:fldChar w:fldCharType="begin"/>
      </w:r>
      <w:r>
        <w:instrText xml:space="preserve"> PAGEREF _Toc8909 \h </w:instrText>
      </w:r>
      <w:r>
        <w:fldChar w:fldCharType="separate"/>
      </w:r>
      <w:r>
        <w:t>89</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_Toc8699 </w:instrText>
      </w:r>
      <w:r>
        <w:rPr>
          <w:highlight w:val="none"/>
        </w:rPr>
        <w:fldChar w:fldCharType="separate"/>
      </w:r>
      <w:r>
        <w:rPr>
          <w:rFonts w:hint="eastAsia" w:ascii="宋体" w:hAnsi="宋体" w:eastAsia="宋体" w:cs="宋体"/>
        </w:rPr>
        <w:t xml:space="preserve">十一、 </w:t>
      </w:r>
      <w:r>
        <w:rPr>
          <w:rFonts w:hint="eastAsia"/>
          <w:highlight w:val="none"/>
        </w:rPr>
        <w:t>违约责任</w:t>
      </w:r>
      <w:r>
        <w:tab/>
      </w:r>
      <w:r>
        <w:fldChar w:fldCharType="begin"/>
      </w:r>
      <w:r>
        <w:instrText xml:space="preserve"> PAGEREF _Toc8699 \h </w:instrText>
      </w:r>
      <w:r>
        <w:fldChar w:fldCharType="separate"/>
      </w:r>
      <w:r>
        <w:t>90</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_Toc12028 </w:instrText>
      </w:r>
      <w:r>
        <w:rPr>
          <w:highlight w:val="none"/>
        </w:rPr>
        <w:fldChar w:fldCharType="separate"/>
      </w:r>
      <w:r>
        <w:rPr>
          <w:rFonts w:hint="eastAsia" w:ascii="宋体" w:hAnsi="宋体" w:eastAsia="宋体" w:cs="宋体"/>
        </w:rPr>
        <w:t xml:space="preserve">十二、 </w:t>
      </w:r>
      <w:r>
        <w:rPr>
          <w:rFonts w:hint="eastAsia"/>
          <w:highlight w:val="none"/>
        </w:rPr>
        <w:t>不可抗力事件处理</w:t>
      </w:r>
      <w:r>
        <w:tab/>
      </w:r>
      <w:r>
        <w:fldChar w:fldCharType="begin"/>
      </w:r>
      <w:r>
        <w:instrText xml:space="preserve"> PAGEREF _Toc12028 \h </w:instrText>
      </w:r>
      <w:r>
        <w:fldChar w:fldCharType="separate"/>
      </w:r>
      <w:r>
        <w:t>90</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_Toc4122 </w:instrText>
      </w:r>
      <w:r>
        <w:rPr>
          <w:highlight w:val="none"/>
        </w:rPr>
        <w:fldChar w:fldCharType="separate"/>
      </w:r>
      <w:r>
        <w:rPr>
          <w:rFonts w:hint="eastAsia" w:ascii="宋体" w:hAnsi="宋体" w:eastAsia="宋体" w:cs="宋体"/>
        </w:rPr>
        <w:t xml:space="preserve">十三、 </w:t>
      </w:r>
      <w:r>
        <w:rPr>
          <w:rFonts w:hint="eastAsia"/>
          <w:highlight w:val="none"/>
        </w:rPr>
        <w:t>解决争议的方法</w:t>
      </w:r>
      <w:r>
        <w:tab/>
      </w:r>
      <w:r>
        <w:fldChar w:fldCharType="begin"/>
      </w:r>
      <w:r>
        <w:instrText xml:space="preserve"> PAGEREF _Toc4122 \h </w:instrText>
      </w:r>
      <w:r>
        <w:fldChar w:fldCharType="separate"/>
      </w:r>
      <w:r>
        <w:t>90</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_Toc2895 </w:instrText>
      </w:r>
      <w:r>
        <w:rPr>
          <w:highlight w:val="none"/>
        </w:rPr>
        <w:fldChar w:fldCharType="separate"/>
      </w:r>
      <w:r>
        <w:rPr>
          <w:rFonts w:hint="eastAsia" w:ascii="宋体" w:hAnsi="宋体" w:eastAsia="宋体" w:cs="宋体"/>
        </w:rPr>
        <w:t xml:space="preserve">十四、 </w:t>
      </w:r>
      <w:r>
        <w:rPr>
          <w:rFonts w:hint="eastAsia"/>
          <w:highlight w:val="none"/>
        </w:rPr>
        <w:t>合同生效及其他</w:t>
      </w:r>
      <w:r>
        <w:tab/>
      </w:r>
      <w:r>
        <w:fldChar w:fldCharType="begin"/>
      </w:r>
      <w:r>
        <w:instrText xml:space="preserve"> PAGEREF _Toc2895 \h </w:instrText>
      </w:r>
      <w:r>
        <w:fldChar w:fldCharType="separate"/>
      </w:r>
      <w:r>
        <w:t>90</w:t>
      </w:r>
      <w:r>
        <w:fldChar w:fldCharType="end"/>
      </w:r>
      <w:r>
        <w:rPr>
          <w:highlight w:val="none"/>
        </w:rPr>
        <w:fldChar w:fldCharType="end"/>
      </w:r>
    </w:p>
    <w:p>
      <w:pPr>
        <w:pStyle w:val="21"/>
        <w:tabs>
          <w:tab w:val="right" w:leader="dot" w:pos="9746"/>
          <w:tab w:val="clear" w:pos="0"/>
        </w:tabs>
      </w:pPr>
      <w:r>
        <w:rPr>
          <w:highlight w:val="none"/>
        </w:rPr>
        <w:fldChar w:fldCharType="begin"/>
      </w:r>
      <w:r>
        <w:rPr>
          <w:highlight w:val="none"/>
        </w:rPr>
        <w:instrText xml:space="preserve"> HYPERLINK \l _Toc22840 </w:instrText>
      </w:r>
      <w:r>
        <w:rPr>
          <w:highlight w:val="none"/>
        </w:rPr>
        <w:fldChar w:fldCharType="separate"/>
      </w:r>
      <w:r>
        <w:rPr>
          <w:rFonts w:hint="eastAsia" w:ascii="宋体" w:hAnsi="宋体" w:eastAsia="宋体" w:cs="宋体"/>
        </w:rPr>
        <w:t xml:space="preserve">十五、 </w:t>
      </w:r>
      <w:r>
        <w:rPr>
          <w:rFonts w:hint="eastAsia"/>
          <w:highlight w:val="none"/>
        </w:rPr>
        <w:t>附件</w:t>
      </w:r>
      <w:r>
        <w:tab/>
      </w:r>
      <w:r>
        <w:fldChar w:fldCharType="begin"/>
      </w:r>
      <w:r>
        <w:instrText xml:space="preserve"> PAGEREF _Toc22840 \h </w:instrText>
      </w:r>
      <w:r>
        <w:fldChar w:fldCharType="separate"/>
      </w:r>
      <w:r>
        <w:t>90</w:t>
      </w:r>
      <w:r>
        <w:fldChar w:fldCharType="end"/>
      </w:r>
      <w:r>
        <w:rPr>
          <w:highlight w:val="none"/>
        </w:rPr>
        <w:fldChar w:fldCharType="end"/>
      </w:r>
    </w:p>
    <w:p>
      <w:pPr>
        <w:pStyle w:val="20"/>
        <w:tabs>
          <w:tab w:val="clear" w:pos="0"/>
        </w:tabs>
      </w:pPr>
      <w:r>
        <w:rPr>
          <w:highlight w:val="none"/>
        </w:rPr>
        <w:fldChar w:fldCharType="begin"/>
      </w:r>
      <w:r>
        <w:rPr>
          <w:highlight w:val="none"/>
        </w:rPr>
        <w:instrText xml:space="preserve"> HYPERLINK \l _Toc8018 </w:instrText>
      </w:r>
      <w:r>
        <w:rPr>
          <w:highlight w:val="none"/>
        </w:rPr>
        <w:fldChar w:fldCharType="separate"/>
      </w:r>
      <w:r>
        <w:rPr>
          <w:rFonts w:hint="eastAsia" w:ascii="宋体" w:hAnsi="宋体" w:eastAsia="宋体" w:cs="宋体"/>
        </w:rPr>
        <w:t xml:space="preserve">第九章 </w:t>
      </w:r>
      <w:r>
        <w:rPr>
          <w:rFonts w:hint="eastAsia"/>
          <w:highlight w:val="none"/>
        </w:rPr>
        <w:t>附件</w:t>
      </w:r>
      <w:r>
        <w:tab/>
      </w:r>
      <w:r>
        <w:fldChar w:fldCharType="begin"/>
      </w:r>
      <w:r>
        <w:instrText xml:space="preserve"> PAGEREF _Toc8018 \h </w:instrText>
      </w:r>
      <w:r>
        <w:fldChar w:fldCharType="separate"/>
      </w:r>
      <w:r>
        <w:t>93</w:t>
      </w:r>
      <w:r>
        <w:fldChar w:fldCharType="end"/>
      </w:r>
      <w:r>
        <w:rPr>
          <w:highlight w:val="none"/>
        </w:rPr>
        <w:fldChar w:fldCharType="end"/>
      </w:r>
    </w:p>
    <w:p>
      <w:pPr>
        <w:rPr>
          <w:highlight w:val="none"/>
        </w:rPr>
      </w:pPr>
      <w:r>
        <w:rPr>
          <w:highlight w:val="none"/>
        </w:rPr>
        <w:fldChar w:fldCharType="end"/>
      </w:r>
    </w:p>
    <w:p>
      <w:pPr>
        <w:pStyle w:val="48"/>
        <w:spacing w:before="120" w:after="120"/>
        <w:rPr>
          <w:highlight w:val="none"/>
        </w:rPr>
      </w:pPr>
      <w:r>
        <w:rPr>
          <w:rFonts w:hint="eastAsia"/>
          <w:highlight w:val="none"/>
        </w:rPr>
        <w:br w:type="page"/>
      </w:r>
      <w:bookmarkEnd w:id="2"/>
      <w:bookmarkEnd w:id="9"/>
      <w:bookmarkEnd w:id="10"/>
      <w:bookmarkStart w:id="12" w:name="_Toc31775"/>
      <w:bookmarkStart w:id="13" w:name="_Toc14347"/>
      <w:bookmarkStart w:id="14" w:name="_Toc9731"/>
      <w:bookmarkStart w:id="15" w:name="_Toc4810"/>
      <w:bookmarkStart w:id="16" w:name="_Toc25830"/>
      <w:bookmarkStart w:id="17" w:name="_Toc213397009"/>
      <w:bookmarkStart w:id="18" w:name="_Toc213396759"/>
      <w:bookmarkStart w:id="19" w:name="_Toc213496267"/>
      <w:bookmarkStart w:id="20" w:name="_Toc217446031"/>
      <w:bookmarkStart w:id="21" w:name="_Toc213396945"/>
      <w:r>
        <w:rPr>
          <w:rFonts w:hint="eastAsia"/>
          <w:highlight w:val="none"/>
        </w:rPr>
        <w:t>投标邀请</w:t>
      </w:r>
      <w:bookmarkEnd w:id="11"/>
      <w:bookmarkEnd w:id="12"/>
      <w:bookmarkEnd w:id="13"/>
      <w:bookmarkEnd w:id="14"/>
      <w:bookmarkEnd w:id="15"/>
      <w:bookmarkEnd w:id="16"/>
    </w:p>
    <w:p>
      <w:pPr>
        <w:pStyle w:val="46"/>
        <w:rPr>
          <w:highlight w:val="none"/>
        </w:rPr>
      </w:pPr>
      <w:r>
        <w:rPr>
          <w:rFonts w:hint="eastAsia"/>
          <w:highlight w:val="none"/>
          <w:lang w:val="zh-CN"/>
        </w:rPr>
        <w:t>四川乾新招投标代理有限公司</w:t>
      </w:r>
      <w:r>
        <w:rPr>
          <w:rFonts w:hint="eastAsia"/>
          <w:highlight w:val="none"/>
        </w:rPr>
        <w:t>受</w:t>
      </w:r>
      <w:r>
        <w:rPr>
          <w:rFonts w:hint="eastAsia"/>
          <w:highlight w:val="none"/>
          <w:lang w:val="en-US" w:eastAsia="zh-CN"/>
        </w:rPr>
        <w:t>四川省</w:t>
      </w:r>
      <w:r>
        <w:rPr>
          <w:rFonts w:hint="eastAsia"/>
          <w:highlight w:val="none"/>
        </w:rPr>
        <w:t>成都市中级人民法院的委托，拟对</w:t>
      </w:r>
      <w:r>
        <w:rPr>
          <w:rFonts w:hint="eastAsia"/>
          <w:highlight w:val="none"/>
          <w:lang w:val="en-US" w:eastAsia="zh-CN"/>
        </w:rPr>
        <w:t>四川省</w:t>
      </w:r>
      <w:r>
        <w:rPr>
          <w:rFonts w:hint="eastAsia"/>
          <w:highlight w:val="none"/>
        </w:rPr>
        <w:t>成都市中级人民法院案件材料扫描外包服务采购项目进行国内公开招标，兹邀请符合本次招标要求的供应商参加投标。</w:t>
      </w:r>
    </w:p>
    <w:p>
      <w:pPr>
        <w:pStyle w:val="42"/>
        <w:numPr>
          <w:ilvl w:val="0"/>
          <w:numId w:val="7"/>
        </w:numPr>
        <w:spacing w:line="420" w:lineRule="exact"/>
        <w:ind w:firstLine="482" w:firstLineChars="200"/>
        <w:rPr>
          <w:highlight w:val="none"/>
        </w:rPr>
      </w:pPr>
      <w:r>
        <w:rPr>
          <w:rFonts w:hint="eastAsia"/>
          <w:b/>
          <w:bCs/>
          <w:highlight w:val="none"/>
        </w:rPr>
        <w:t>项目编号：</w:t>
      </w:r>
      <w:r>
        <w:rPr>
          <w:rFonts w:hint="eastAsia"/>
          <w:b/>
          <w:bCs/>
          <w:highlight w:val="none"/>
        </w:rPr>
        <w:tab/>
      </w:r>
      <w:r>
        <w:rPr>
          <w:rFonts w:hint="eastAsia"/>
          <w:b/>
          <w:bCs/>
          <w:highlight w:val="none"/>
        </w:rPr>
        <w:t xml:space="preserve">510101202100196 </w:t>
      </w:r>
      <w:r>
        <w:rPr>
          <w:rFonts w:hint="eastAsia"/>
          <w:highlight w:val="none"/>
        </w:rPr>
        <w:t xml:space="preserve">         </w:t>
      </w:r>
    </w:p>
    <w:p>
      <w:pPr>
        <w:pStyle w:val="42"/>
        <w:numPr>
          <w:ilvl w:val="0"/>
          <w:numId w:val="7"/>
        </w:numPr>
        <w:spacing w:line="420" w:lineRule="exact"/>
        <w:ind w:firstLine="482" w:firstLineChars="200"/>
        <w:rPr>
          <w:highlight w:val="none"/>
        </w:rPr>
      </w:pPr>
      <w:r>
        <w:rPr>
          <w:rFonts w:hint="eastAsia"/>
          <w:b/>
          <w:bCs/>
          <w:highlight w:val="none"/>
        </w:rPr>
        <w:t>项目名称：</w:t>
      </w:r>
      <w:r>
        <w:rPr>
          <w:rFonts w:hint="eastAsia"/>
          <w:b w:val="0"/>
          <w:bCs w:val="0"/>
          <w:highlight w:val="none"/>
          <w:lang w:val="en-US" w:eastAsia="zh-CN"/>
        </w:rPr>
        <w:t>四川省</w:t>
      </w:r>
      <w:r>
        <w:rPr>
          <w:rFonts w:hint="eastAsia"/>
          <w:b w:val="0"/>
          <w:bCs w:val="0"/>
          <w:highlight w:val="none"/>
        </w:rPr>
        <w:t>成都市中级人民法院案件材料扫描外包服务采购项目</w:t>
      </w:r>
    </w:p>
    <w:p>
      <w:pPr>
        <w:pStyle w:val="42"/>
        <w:numPr>
          <w:ilvl w:val="0"/>
          <w:numId w:val="7"/>
        </w:numPr>
        <w:spacing w:line="420" w:lineRule="exact"/>
        <w:ind w:firstLine="482" w:firstLineChars="200"/>
        <w:rPr>
          <w:highlight w:val="none"/>
        </w:rPr>
      </w:pPr>
      <w:r>
        <w:rPr>
          <w:rFonts w:hint="eastAsia"/>
          <w:b/>
          <w:bCs/>
          <w:highlight w:val="none"/>
        </w:rPr>
        <w:t>资金来源：</w:t>
      </w:r>
      <w:r>
        <w:rPr>
          <w:rFonts w:hint="eastAsia" w:ascii="宋体" w:hAnsi="宋体" w:eastAsia="宋体" w:cstheme="minorBidi"/>
          <w:b w:val="0"/>
          <w:bCs w:val="0"/>
          <w:sz w:val="24"/>
          <w:szCs w:val="24"/>
          <w:highlight w:val="none"/>
        </w:rPr>
        <w:t>根据</w:t>
      </w:r>
      <w:r>
        <w:rPr>
          <w:rFonts w:hint="eastAsia" w:ascii="宋体" w:hAnsi="宋体" w:eastAsia="宋体" w:cstheme="minorBidi"/>
          <w:b w:val="0"/>
          <w:bCs w:val="0"/>
          <w:sz w:val="24"/>
          <w:szCs w:val="24"/>
          <w:highlight w:val="none"/>
          <w:lang w:val="en-US" w:eastAsia="zh-CN"/>
        </w:rPr>
        <w:t>成都</w:t>
      </w:r>
      <w:r>
        <w:rPr>
          <w:rFonts w:hint="eastAsia" w:ascii="宋体" w:hAnsi="宋体" w:eastAsia="宋体" w:cstheme="minorBidi"/>
          <w:b w:val="0"/>
          <w:bCs w:val="0"/>
          <w:sz w:val="24"/>
          <w:szCs w:val="24"/>
          <w:highlight w:val="none"/>
        </w:rPr>
        <w:t>市财政局下达的《成都市市级政府采购实施计划备案表》（备案号：〔</w:t>
      </w:r>
      <w:r>
        <w:rPr>
          <w:rFonts w:hint="eastAsia" w:ascii="宋体" w:hAnsi="宋体" w:eastAsia="宋体" w:cstheme="minorBidi"/>
          <w:b w:val="0"/>
          <w:bCs w:val="0"/>
          <w:sz w:val="24"/>
          <w:szCs w:val="24"/>
          <w:highlight w:val="none"/>
          <w:lang w:val="en-US" w:eastAsia="zh-CN"/>
        </w:rPr>
        <w:t>2021</w:t>
      </w:r>
      <w:r>
        <w:rPr>
          <w:rFonts w:hint="eastAsia" w:ascii="宋体" w:hAnsi="宋体" w:eastAsia="宋体" w:cstheme="minorBidi"/>
          <w:b w:val="0"/>
          <w:bCs w:val="0"/>
          <w:sz w:val="24"/>
          <w:szCs w:val="24"/>
          <w:highlight w:val="none"/>
        </w:rPr>
        <w:t>〕</w:t>
      </w:r>
      <w:r>
        <w:rPr>
          <w:rFonts w:hint="eastAsia" w:cstheme="minorBidi"/>
          <w:b w:val="0"/>
          <w:bCs w:val="0"/>
          <w:sz w:val="24"/>
          <w:szCs w:val="24"/>
          <w:highlight w:val="none"/>
          <w:u w:val="none"/>
          <w:lang w:val="en-US" w:eastAsia="zh-CN"/>
        </w:rPr>
        <w:t>1195</w:t>
      </w:r>
      <w:r>
        <w:rPr>
          <w:rFonts w:hint="eastAsia" w:ascii="宋体" w:hAnsi="宋体" w:eastAsia="宋体" w:cstheme="minorBidi"/>
          <w:b w:val="0"/>
          <w:bCs w:val="0"/>
          <w:sz w:val="24"/>
          <w:szCs w:val="24"/>
          <w:highlight w:val="none"/>
        </w:rPr>
        <w:t>号），该项目20</w:t>
      </w:r>
      <w:r>
        <w:rPr>
          <w:rFonts w:hint="eastAsia" w:ascii="宋体" w:hAnsi="宋体" w:eastAsia="宋体" w:cstheme="minorBidi"/>
          <w:b w:val="0"/>
          <w:bCs w:val="0"/>
          <w:sz w:val="24"/>
          <w:szCs w:val="24"/>
          <w:highlight w:val="none"/>
          <w:lang w:val="en-US" w:eastAsia="zh-CN"/>
        </w:rPr>
        <w:t>21</w:t>
      </w:r>
      <w:r>
        <w:rPr>
          <w:rFonts w:hint="eastAsia" w:ascii="宋体" w:hAnsi="宋体" w:eastAsia="宋体" w:cstheme="minorBidi"/>
          <w:b w:val="0"/>
          <w:bCs w:val="0"/>
          <w:sz w:val="24"/>
          <w:szCs w:val="24"/>
          <w:highlight w:val="none"/>
        </w:rPr>
        <w:t>年预算资金为</w:t>
      </w:r>
      <w:r>
        <w:rPr>
          <w:rFonts w:hint="eastAsia" w:cstheme="minorBidi"/>
          <w:b w:val="0"/>
          <w:bCs w:val="0"/>
          <w:sz w:val="24"/>
          <w:szCs w:val="24"/>
          <w:highlight w:val="none"/>
          <w:lang w:val="en-US" w:eastAsia="zh-CN"/>
        </w:rPr>
        <w:t>人民币</w:t>
      </w:r>
      <w:r>
        <w:rPr>
          <w:rFonts w:hint="eastAsia" w:ascii="宋体" w:hAnsi="宋体" w:eastAsia="宋体" w:cstheme="minorBidi"/>
          <w:b w:val="0"/>
          <w:bCs w:val="0"/>
          <w:sz w:val="24"/>
          <w:szCs w:val="24"/>
          <w:highlight w:val="none"/>
        </w:rPr>
        <w:t>449.5万元</w:t>
      </w:r>
      <w:r>
        <w:rPr>
          <w:rFonts w:hint="eastAsia"/>
          <w:highlight w:val="none"/>
        </w:rPr>
        <w:t>。</w:t>
      </w:r>
    </w:p>
    <w:p>
      <w:pPr>
        <w:pStyle w:val="42"/>
        <w:numPr>
          <w:ilvl w:val="0"/>
          <w:numId w:val="7"/>
        </w:numPr>
        <w:spacing w:line="420" w:lineRule="exact"/>
        <w:ind w:firstLine="482" w:firstLineChars="200"/>
        <w:rPr>
          <w:b/>
          <w:bCs/>
          <w:color w:val="000000" w:themeColor="text1"/>
          <w:highlight w:val="none"/>
          <w14:textFill>
            <w14:solidFill>
              <w14:schemeClr w14:val="tx1"/>
            </w14:solidFill>
          </w14:textFill>
        </w:rPr>
      </w:pPr>
      <w:r>
        <w:rPr>
          <w:rFonts w:hint="eastAsia"/>
          <w:b/>
          <w:bCs/>
          <w:highlight w:val="none"/>
        </w:rPr>
        <w:t>招标项目简介：</w:t>
      </w:r>
    </w:p>
    <w:p>
      <w:pPr>
        <w:pStyle w:val="42"/>
        <w:ind w:firstLine="482" w:firstLineChars="200"/>
        <w:rPr>
          <w:highlight w:val="none"/>
        </w:rPr>
      </w:pPr>
      <w:r>
        <w:rPr>
          <w:rFonts w:hint="eastAsia"/>
          <w:b/>
          <w:bCs/>
          <w:color w:val="000000" w:themeColor="text1"/>
          <w:highlight w:val="none"/>
          <w14:textFill>
            <w14:solidFill>
              <w14:schemeClr w14:val="tx1"/>
            </w14:solidFill>
          </w14:textFill>
        </w:rPr>
        <w:t>(一)采购内容：案件材料扫描外包服务</w:t>
      </w:r>
      <w:r>
        <w:rPr>
          <w:rFonts w:hint="eastAsia"/>
          <w:color w:val="000000" w:themeColor="text1"/>
          <w:highlight w:val="none"/>
          <w14:textFill>
            <w14:solidFill>
              <w14:schemeClr w14:val="tx1"/>
            </w14:solidFill>
          </w14:textFill>
        </w:rPr>
        <w:t>,共计1个包，设置1名中</w:t>
      </w:r>
      <w:r>
        <w:rPr>
          <w:rFonts w:hint="eastAsia"/>
          <w:highlight w:val="none"/>
        </w:rPr>
        <w:t>标人，具体详见招标文件第六章。</w:t>
      </w:r>
    </w:p>
    <w:p>
      <w:pPr>
        <w:pStyle w:val="42"/>
        <w:ind w:firstLine="482" w:firstLineChars="200"/>
        <w:rPr>
          <w:highlight w:val="none"/>
        </w:rPr>
      </w:pPr>
      <w:r>
        <w:rPr>
          <w:rFonts w:hint="eastAsia"/>
          <w:b/>
          <w:bCs/>
          <w:highlight w:val="none"/>
        </w:rPr>
        <w:t>(二)采购用途：</w:t>
      </w:r>
      <w:r>
        <w:rPr>
          <w:rFonts w:hint="eastAsia"/>
          <w:highlight w:val="none"/>
          <w:lang w:val="en-US" w:eastAsia="zh-CN"/>
        </w:rPr>
        <w:t>规范案件材料的电子化管理，快速实现案件档案归档、监控、分享、查找的功能</w:t>
      </w:r>
      <w:r>
        <w:rPr>
          <w:rFonts w:hint="eastAsia"/>
          <w:highlight w:val="none"/>
        </w:rPr>
        <w:t>。</w:t>
      </w:r>
    </w:p>
    <w:p>
      <w:pPr>
        <w:pStyle w:val="42"/>
        <w:ind w:firstLine="482" w:firstLineChars="200"/>
        <w:rPr>
          <w:highlight w:val="none"/>
        </w:rPr>
      </w:pPr>
      <w:r>
        <w:rPr>
          <w:rFonts w:hint="eastAsia"/>
          <w:b/>
          <w:bCs/>
          <w:highlight w:val="none"/>
        </w:rPr>
        <w:t>(三)项目性质：</w:t>
      </w:r>
      <w:r>
        <w:rPr>
          <w:rFonts w:hint="eastAsia"/>
          <w:highlight w:val="none"/>
        </w:rPr>
        <w:t>政府采购。</w:t>
      </w:r>
      <w:bookmarkStart w:id="1651" w:name="_GoBack"/>
      <w:bookmarkEnd w:id="1651"/>
    </w:p>
    <w:p>
      <w:pPr>
        <w:pStyle w:val="42"/>
        <w:numPr>
          <w:ilvl w:val="0"/>
          <w:numId w:val="7"/>
        </w:numPr>
        <w:spacing w:line="420" w:lineRule="exact"/>
        <w:ind w:firstLine="482" w:firstLineChars="200"/>
        <w:rPr>
          <w:b/>
          <w:bCs/>
          <w:highlight w:val="none"/>
        </w:rPr>
      </w:pPr>
      <w:r>
        <w:rPr>
          <w:rFonts w:hint="eastAsia"/>
          <w:b/>
          <w:bCs/>
          <w:highlight w:val="none"/>
        </w:rPr>
        <w:t>供应商参加本次政府采购活动应具备下列条件：</w:t>
      </w:r>
    </w:p>
    <w:p>
      <w:pPr>
        <w:pStyle w:val="42"/>
        <w:spacing w:line="460" w:lineRule="exact"/>
        <w:ind w:firstLine="480" w:firstLineChars="200"/>
        <w:rPr>
          <w:rFonts w:hint="eastAsia" w:cs="宋体"/>
          <w:highlight w:val="none"/>
          <w:lang w:val="zh-CN"/>
        </w:rPr>
      </w:pPr>
      <w:r>
        <w:rPr>
          <w:rFonts w:hint="eastAsia" w:cs="宋体"/>
          <w:highlight w:val="none"/>
        </w:rPr>
        <w:t>(一)</w:t>
      </w:r>
      <w:r>
        <w:rPr>
          <w:rFonts w:hint="eastAsia" w:cs="宋体"/>
          <w:highlight w:val="none"/>
          <w:lang w:val="zh-CN"/>
        </w:rPr>
        <w:t>符合《中华人民共和国政府采购法》第二十二条规定的条件：</w:t>
      </w:r>
    </w:p>
    <w:p>
      <w:pPr>
        <w:pStyle w:val="42"/>
        <w:spacing w:line="460" w:lineRule="exact"/>
        <w:ind w:firstLine="480" w:firstLineChars="200"/>
        <w:rPr>
          <w:rFonts w:hint="eastAsia" w:cs="宋体"/>
          <w:highlight w:val="none"/>
        </w:rPr>
      </w:pPr>
      <w:r>
        <w:rPr>
          <w:rFonts w:hint="eastAsia" w:cs="宋体"/>
          <w:highlight w:val="none"/>
        </w:rPr>
        <w:t>1.具有独立承担</w:t>
      </w:r>
      <w:r>
        <w:rPr>
          <w:rFonts w:hint="eastAsia" w:cs="宋体"/>
          <w:highlight w:val="none"/>
        </w:rPr>
        <w:fldChar w:fldCharType="begin"/>
      </w:r>
      <w:r>
        <w:rPr>
          <w:rFonts w:hint="eastAsia" w:cs="宋体"/>
          <w:highlight w:val="none"/>
        </w:rPr>
        <w:instrText xml:space="preserve"> HYPERLINK "http://www.lawtime.cn/info/minfa/mszeren/" \t "_blank" </w:instrText>
      </w:r>
      <w:r>
        <w:rPr>
          <w:rFonts w:hint="eastAsia" w:cs="宋体"/>
          <w:highlight w:val="none"/>
        </w:rPr>
        <w:fldChar w:fldCharType="separate"/>
      </w:r>
      <w:r>
        <w:rPr>
          <w:rFonts w:hint="eastAsia" w:cs="宋体"/>
          <w:highlight w:val="none"/>
        </w:rPr>
        <w:t>民事责任</w:t>
      </w:r>
      <w:r>
        <w:rPr>
          <w:rFonts w:hint="eastAsia" w:cs="宋体"/>
          <w:highlight w:val="none"/>
        </w:rPr>
        <w:fldChar w:fldCharType="end"/>
      </w:r>
      <w:r>
        <w:rPr>
          <w:rFonts w:hint="eastAsia" w:cs="宋体"/>
          <w:highlight w:val="none"/>
        </w:rPr>
        <w:t>的能力；</w:t>
      </w:r>
    </w:p>
    <w:p>
      <w:pPr>
        <w:pStyle w:val="42"/>
        <w:spacing w:line="460" w:lineRule="exact"/>
        <w:ind w:firstLine="480" w:firstLineChars="200"/>
        <w:rPr>
          <w:rFonts w:hint="eastAsia" w:cs="宋体"/>
          <w:highlight w:val="none"/>
        </w:rPr>
      </w:pPr>
      <w:r>
        <w:rPr>
          <w:rFonts w:hint="eastAsia" w:cs="宋体"/>
          <w:highlight w:val="none"/>
        </w:rPr>
        <w:t>2.具有良好的商业信誉和健全的财务会计制度；</w:t>
      </w:r>
    </w:p>
    <w:p>
      <w:pPr>
        <w:pStyle w:val="42"/>
        <w:spacing w:line="460" w:lineRule="exact"/>
        <w:ind w:firstLine="480" w:firstLineChars="200"/>
        <w:rPr>
          <w:rFonts w:hint="eastAsia" w:cs="宋体"/>
          <w:highlight w:val="none"/>
        </w:rPr>
      </w:pPr>
      <w:r>
        <w:rPr>
          <w:rFonts w:hint="eastAsia" w:cs="宋体"/>
          <w:highlight w:val="none"/>
        </w:rPr>
        <w:t>3.具有履行合同所必需的设备和专业技术能力；</w:t>
      </w:r>
    </w:p>
    <w:p>
      <w:pPr>
        <w:pStyle w:val="42"/>
        <w:spacing w:line="460" w:lineRule="exact"/>
        <w:ind w:firstLine="480" w:firstLineChars="200"/>
        <w:rPr>
          <w:rFonts w:hint="eastAsia" w:cs="宋体"/>
          <w:highlight w:val="none"/>
        </w:rPr>
      </w:pPr>
      <w:r>
        <w:rPr>
          <w:rFonts w:hint="eastAsia" w:cs="宋体"/>
          <w:highlight w:val="none"/>
        </w:rPr>
        <w:t>4.有依法缴纳税收和</w:t>
      </w:r>
      <w:r>
        <w:rPr>
          <w:rFonts w:hint="eastAsia" w:cs="宋体"/>
          <w:highlight w:val="none"/>
        </w:rPr>
        <w:fldChar w:fldCharType="begin"/>
      </w:r>
      <w:r>
        <w:rPr>
          <w:rFonts w:hint="eastAsia" w:cs="宋体"/>
          <w:highlight w:val="none"/>
        </w:rPr>
        <w:instrText xml:space="preserve"> HYPERLINK "http://www.lawtime.cn/info/laodong/shehuibaozhang/" \t "_blank" </w:instrText>
      </w:r>
      <w:r>
        <w:rPr>
          <w:rFonts w:hint="eastAsia" w:cs="宋体"/>
          <w:highlight w:val="none"/>
        </w:rPr>
        <w:fldChar w:fldCharType="separate"/>
      </w:r>
      <w:r>
        <w:rPr>
          <w:rFonts w:hint="eastAsia" w:cs="宋体"/>
          <w:highlight w:val="none"/>
        </w:rPr>
        <w:t>社会保障</w:t>
      </w:r>
      <w:r>
        <w:rPr>
          <w:rFonts w:hint="eastAsia" w:cs="宋体"/>
          <w:highlight w:val="none"/>
        </w:rPr>
        <w:fldChar w:fldCharType="end"/>
      </w:r>
      <w:r>
        <w:rPr>
          <w:rFonts w:hint="eastAsia" w:cs="宋体"/>
          <w:highlight w:val="none"/>
        </w:rPr>
        <w:t>资金的良好记录；</w:t>
      </w:r>
    </w:p>
    <w:p>
      <w:pPr>
        <w:pStyle w:val="42"/>
        <w:spacing w:line="460" w:lineRule="exact"/>
        <w:ind w:firstLine="480" w:firstLineChars="200"/>
        <w:rPr>
          <w:rFonts w:hint="eastAsia" w:cs="宋体"/>
          <w:highlight w:val="none"/>
        </w:rPr>
      </w:pPr>
      <w:r>
        <w:rPr>
          <w:rFonts w:hint="eastAsia" w:cs="宋体"/>
          <w:highlight w:val="none"/>
        </w:rPr>
        <w:t>5.参加政府采购活动前三年内，在经营活动中没有重大违法记录；</w:t>
      </w:r>
    </w:p>
    <w:p>
      <w:pPr>
        <w:pStyle w:val="42"/>
        <w:spacing w:line="460" w:lineRule="exact"/>
        <w:ind w:firstLine="480" w:firstLineChars="200"/>
        <w:rPr>
          <w:rFonts w:hint="eastAsia" w:cs="宋体"/>
          <w:highlight w:val="none"/>
        </w:rPr>
      </w:pPr>
      <w:r>
        <w:rPr>
          <w:rFonts w:hint="eastAsia" w:cs="宋体"/>
          <w:highlight w:val="none"/>
        </w:rPr>
        <w:t>6.法律、</w:t>
      </w:r>
      <w:r>
        <w:rPr>
          <w:rFonts w:hint="eastAsia" w:cs="宋体"/>
          <w:highlight w:val="none"/>
        </w:rPr>
        <w:fldChar w:fldCharType="begin"/>
      </w:r>
      <w:r>
        <w:rPr>
          <w:rFonts w:hint="eastAsia" w:cs="宋体"/>
          <w:highlight w:val="none"/>
        </w:rPr>
        <w:instrText xml:space="preserve"> HYPERLINK "http://www.lawtime.cn/info/sifakaoshi/xingzhengfa/" \t "_blank" </w:instrText>
      </w:r>
      <w:r>
        <w:rPr>
          <w:rFonts w:hint="eastAsia" w:cs="宋体"/>
          <w:highlight w:val="none"/>
        </w:rPr>
        <w:fldChar w:fldCharType="separate"/>
      </w:r>
      <w:r>
        <w:rPr>
          <w:rFonts w:hint="eastAsia" w:cs="宋体"/>
          <w:highlight w:val="none"/>
        </w:rPr>
        <w:t>行政法</w:t>
      </w:r>
      <w:r>
        <w:rPr>
          <w:rFonts w:hint="eastAsia" w:cs="宋体"/>
          <w:highlight w:val="none"/>
        </w:rPr>
        <w:fldChar w:fldCharType="end"/>
      </w:r>
      <w:r>
        <w:rPr>
          <w:rFonts w:hint="eastAsia" w:cs="宋体"/>
          <w:highlight w:val="none"/>
        </w:rPr>
        <w:t>规规定的其他条件；</w:t>
      </w:r>
    </w:p>
    <w:p>
      <w:pPr>
        <w:pStyle w:val="42"/>
        <w:spacing w:line="460" w:lineRule="exact"/>
        <w:ind w:firstLine="480" w:firstLineChars="200"/>
        <w:rPr>
          <w:rFonts w:hint="eastAsia" w:cs="宋体"/>
          <w:highlight w:val="none"/>
          <w:lang w:val="zh-CN"/>
        </w:rPr>
      </w:pPr>
      <w:r>
        <w:rPr>
          <w:rFonts w:hint="eastAsia" w:cs="宋体"/>
          <w:highlight w:val="none"/>
        </w:rPr>
        <w:t>(二)根据采购项目的特殊要求，规定供应商的特定条件</w:t>
      </w:r>
      <w:r>
        <w:rPr>
          <w:rFonts w:hint="eastAsia" w:cs="宋体"/>
          <w:highlight w:val="none"/>
          <w:lang w:val="zh-CN"/>
        </w:rPr>
        <w:t>：</w:t>
      </w:r>
    </w:p>
    <w:p>
      <w:pPr>
        <w:pStyle w:val="42"/>
        <w:spacing w:line="460" w:lineRule="exact"/>
        <w:ind w:firstLine="480" w:firstLineChars="200"/>
        <w:rPr>
          <w:rFonts w:hint="eastAsia" w:cs="宋体"/>
          <w:highlight w:val="none"/>
          <w:lang w:val="en-US" w:eastAsia="zh-CN"/>
        </w:rPr>
      </w:pPr>
      <w:r>
        <w:rPr>
          <w:rFonts w:hint="eastAsia" w:cs="宋体"/>
          <w:highlight w:val="none"/>
        </w:rPr>
        <w:t>1</w:t>
      </w:r>
      <w:r>
        <w:rPr>
          <w:rFonts w:hint="eastAsia" w:cs="宋体"/>
          <w:highlight w:val="none"/>
          <w:lang w:val="en-US" w:eastAsia="zh-CN"/>
        </w:rPr>
        <w:t>.投标人具有国家保密局颁发的《国家秘密载体印制资质》（涉密档案数字化加工）乙级或以上资质证书，适用地域包含“四川省”；省外资质投标人须持有四川省国家保密局的备案批准文件。</w:t>
      </w:r>
    </w:p>
    <w:p>
      <w:pPr>
        <w:pStyle w:val="42"/>
        <w:spacing w:line="460" w:lineRule="exact"/>
        <w:ind w:firstLine="480" w:firstLineChars="200"/>
        <w:rPr>
          <w:highlight w:val="none"/>
          <w:lang w:val="zh-CN"/>
        </w:rPr>
      </w:pPr>
      <w:r>
        <w:rPr>
          <w:rFonts w:hint="eastAsia" w:cs="宋体"/>
          <w:highlight w:val="none"/>
          <w:lang w:val="en-US" w:eastAsia="zh-CN"/>
        </w:rPr>
        <w:t>2</w:t>
      </w:r>
      <w:r>
        <w:rPr>
          <w:rFonts w:hint="eastAsia" w:cs="宋体"/>
          <w:highlight w:val="none"/>
        </w:rPr>
        <w:t>.本项目</w:t>
      </w:r>
      <w:r>
        <w:rPr>
          <w:rFonts w:hint="eastAsia" w:cs="宋体"/>
          <w:highlight w:val="none"/>
          <w:lang w:val="en-US" w:eastAsia="zh-CN"/>
        </w:rPr>
        <w:t>不</w:t>
      </w:r>
      <w:r>
        <w:rPr>
          <w:rFonts w:hint="eastAsia" w:cs="宋体"/>
          <w:highlight w:val="none"/>
        </w:rPr>
        <w:t>接受联合体投标。</w:t>
      </w:r>
    </w:p>
    <w:p>
      <w:pPr>
        <w:pStyle w:val="42"/>
        <w:numPr>
          <w:ilvl w:val="0"/>
          <w:numId w:val="7"/>
        </w:numPr>
        <w:spacing w:line="420" w:lineRule="exact"/>
        <w:ind w:firstLine="482" w:firstLineChars="200"/>
        <w:rPr>
          <w:b/>
          <w:bCs/>
          <w:highlight w:val="none"/>
        </w:rPr>
      </w:pPr>
      <w:r>
        <w:rPr>
          <w:rFonts w:hint="eastAsia"/>
          <w:b/>
          <w:bCs/>
          <w:highlight w:val="none"/>
        </w:rPr>
        <w:t>禁止参加本次采购活动的供应商</w:t>
      </w:r>
    </w:p>
    <w:p>
      <w:pPr>
        <w:pStyle w:val="33"/>
        <w:spacing w:line="420" w:lineRule="exact"/>
        <w:ind w:firstLine="480" w:firstLineChars="200"/>
        <w:rPr>
          <w:highlight w:val="none"/>
        </w:rPr>
      </w:pPr>
      <w:bookmarkStart w:id="22" w:name="PO_默认文件内容_4"/>
      <w:r>
        <w:rPr>
          <w:rFonts w:hint="eastAsia"/>
          <w:highlight w:val="none"/>
        </w:rPr>
        <w:t>根据《关于在政府采购活动中查询及使用信用记录有关问题的通知》(财库〔2016〕125号)的要求，采购代理机构将通过“信用中国”网站(www.creditchina.gov.cn)、“中国政府采购网”网站(www.ccgp.gov.cn)等渠道查询供应商在投标文件递交截止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22"/>
    <w:p>
      <w:pPr>
        <w:pStyle w:val="42"/>
        <w:numPr>
          <w:ilvl w:val="0"/>
          <w:numId w:val="7"/>
        </w:numPr>
        <w:spacing w:line="420" w:lineRule="exact"/>
        <w:ind w:firstLine="482" w:firstLineChars="200"/>
        <w:rPr>
          <w:b/>
          <w:bCs/>
          <w:highlight w:val="none"/>
        </w:rPr>
      </w:pPr>
      <w:r>
        <w:rPr>
          <w:rFonts w:hint="eastAsia"/>
          <w:b/>
          <w:bCs/>
          <w:highlight w:val="none"/>
        </w:rPr>
        <w:t>获取招标文件的时间期限、地点、方式及招标文件售价</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(一)</w:t>
      </w:r>
      <w:r>
        <w:rPr>
          <w:rFonts w:hint="eastAsia"/>
          <w:b/>
          <w:bCs/>
          <w:highlight w:val="none"/>
        </w:rPr>
        <w:t>获取招标文件的时间期限(即报名时间)</w:t>
      </w:r>
      <w:r>
        <w:rPr>
          <w:rFonts w:hint="eastAsia"/>
          <w:highlight w:val="none"/>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4</w:t>
      </w:r>
      <w:r>
        <w:rPr>
          <w:rFonts w:hint="eastAsia"/>
          <w:highlight w:val="none"/>
          <w:u w:val="single"/>
          <w:lang w:eastAsia="zh-CN"/>
        </w:rPr>
        <w:t>月</w:t>
      </w:r>
      <w:r>
        <w:rPr>
          <w:rFonts w:hint="eastAsia"/>
          <w:highlight w:val="none"/>
          <w:u w:val="single"/>
          <w:lang w:val="en-US" w:eastAsia="zh-CN"/>
        </w:rPr>
        <w:t>28</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5</w:t>
      </w:r>
      <w:r>
        <w:rPr>
          <w:rFonts w:hint="eastAsia"/>
          <w:highlight w:val="none"/>
          <w:u w:val="single"/>
          <w:lang w:eastAsia="zh-CN"/>
        </w:rPr>
        <w:t>月</w:t>
      </w:r>
      <w:r>
        <w:rPr>
          <w:rFonts w:hint="eastAsia"/>
          <w:highlight w:val="none"/>
          <w:u w:val="single"/>
          <w:lang w:val="en-US" w:eastAsia="zh-CN"/>
        </w:rPr>
        <w:t>7</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获取招标文件的地点</w:t>
      </w:r>
      <w:r>
        <w:rPr>
          <w:rFonts w:hint="eastAsia"/>
          <w:b/>
          <w:bCs/>
          <w:highlight w:val="none"/>
          <w:lang w:eastAsia="zh-CN"/>
        </w:rPr>
        <w:t>：</w:t>
      </w:r>
      <w:r>
        <w:rPr>
          <w:rFonts w:hint="eastAsia"/>
          <w:highlight w:val="none"/>
        </w:rPr>
        <w:t>四川乾新招投标代理有限公司</w:t>
      </w:r>
      <w:r>
        <w:rPr>
          <w:rFonts w:hint="eastAsia"/>
          <w:highlight w:val="none"/>
          <w:lang w:val="en-US"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en-US" w:eastAsia="zh-CN"/>
        </w:rPr>
        <w:t>)</w:t>
      </w:r>
      <w:r>
        <w:rPr>
          <w:rFonts w:hint="eastAsia"/>
          <w:highlight w:val="none"/>
          <w:lang w:val="zh-CN"/>
        </w:rPr>
        <w:t>。</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获取招标文件的方式</w:t>
      </w:r>
      <w:r>
        <w:rPr>
          <w:rFonts w:hint="eastAsia"/>
          <w:b/>
          <w:bCs/>
          <w:highlight w:val="none"/>
          <w:lang w:eastAsia="zh-CN"/>
        </w:rPr>
        <w:t>：</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在本项目招标文件获取时间期内，在采购代理机构指定网站(http：//www.</w:t>
      </w:r>
      <w:r>
        <w:rPr>
          <w:rFonts w:hint="eastAsia"/>
          <w:b/>
          <w:bCs/>
          <w:highlight w:val="none"/>
          <w:lang w:eastAsia="zh-CN"/>
        </w:rPr>
        <w:t>qxztb.cn</w:t>
      </w:r>
      <w:r>
        <w:rPr>
          <w:rFonts w:hint="eastAsia"/>
          <w:b/>
          <w:bCs/>
          <w:highlight w:val="none"/>
          <w:lang w:val="en-US" w:eastAsia="zh-CN"/>
        </w:rPr>
        <w:t>)购买，具体购买流程详见该网站的“标书在线购买流程”</w:t>
      </w:r>
      <w:r>
        <w:rPr>
          <w:rFonts w:hint="eastAsia"/>
          <w:highlight w:val="none"/>
          <w:lang w:val="en-US" w:eastAsia="zh-CN"/>
        </w:rPr>
        <w:t>。</w:t>
      </w:r>
    </w:p>
    <w:p>
      <w:pPr>
        <w:pStyle w:val="42"/>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rPr>
      </w:pPr>
      <w:r>
        <w:rPr>
          <w:rFonts w:hint="eastAsia"/>
          <w:b/>
          <w:bCs/>
          <w:highlight w:val="none"/>
          <w:lang w:val="en-US" w:eastAsia="zh-CN"/>
        </w:rPr>
        <w:t>(四)</w:t>
      </w:r>
      <w:r>
        <w:rPr>
          <w:rFonts w:hint="eastAsia"/>
          <w:b/>
          <w:bCs/>
          <w:highlight w:val="none"/>
          <w:lang w:val="zh-CN"/>
        </w:rPr>
        <w:t>招标文件售价：</w:t>
      </w:r>
      <w:r>
        <w:rPr>
          <w:rFonts w:hint="eastAsia"/>
          <w:highlight w:val="none"/>
          <w:lang w:val="zh-CN"/>
        </w:rPr>
        <w:t>人民币</w:t>
      </w:r>
      <w:r>
        <w:rPr>
          <w:rFonts w:hint="eastAsia"/>
          <w:highlight w:val="none"/>
          <w:lang w:val="en-US" w:eastAsia="zh-CN"/>
        </w:rPr>
        <w:t>0元</w:t>
      </w:r>
      <w:r>
        <w:rPr>
          <w:rFonts w:hint="eastAsia"/>
          <w:highlight w:val="none"/>
          <w:lang w:val="zh-CN"/>
        </w:rPr>
        <w:t>/份(招标文件</w:t>
      </w:r>
      <w:r>
        <w:rPr>
          <w:rFonts w:hint="eastAsia"/>
          <w:highlight w:val="none"/>
          <w:lang w:val="en-US" w:eastAsia="zh-CN"/>
        </w:rPr>
        <w:t>免费提供</w:t>
      </w:r>
      <w:r>
        <w:rPr>
          <w:rFonts w:hint="eastAsia"/>
          <w:highlight w:val="none"/>
          <w:lang w:val="zh-CN"/>
        </w:rPr>
        <w:t xml:space="preserve">, </w:t>
      </w:r>
      <w:r>
        <w:rPr>
          <w:rFonts w:hint="eastAsia"/>
          <w:highlight w:val="none"/>
        </w:rPr>
        <w:t>投标资格</w:t>
      </w:r>
      <w:r>
        <w:rPr>
          <w:rFonts w:hint="eastAsia"/>
          <w:highlight w:val="none"/>
          <w:lang w:eastAsia="zh-CN"/>
        </w:rPr>
        <w:t>不得</w:t>
      </w:r>
      <w:r>
        <w:rPr>
          <w:rFonts w:hint="eastAsia"/>
          <w:highlight w:val="none"/>
        </w:rPr>
        <w:t>转让)。</w:t>
      </w:r>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rPr>
      </w:pPr>
      <w:r>
        <w:rPr>
          <w:rFonts w:hint="eastAsia"/>
          <w:b/>
          <w:bCs/>
          <w:highlight w:val="none"/>
          <w:lang w:val="en-US" w:eastAsia="zh-CN"/>
        </w:rPr>
        <w:t>(五)</w:t>
      </w:r>
      <w:r>
        <w:rPr>
          <w:rFonts w:hint="eastAsia"/>
          <w:highlight w:val="none"/>
        </w:rPr>
        <w:t>供应商应在规定的时间内</w:t>
      </w:r>
      <w:r>
        <w:rPr>
          <w:rFonts w:hint="eastAsia"/>
          <w:highlight w:val="none"/>
          <w:lang w:val="en-US" w:eastAsia="zh-CN"/>
        </w:rPr>
        <w:t>按上述要求获取</w:t>
      </w:r>
      <w:r>
        <w:rPr>
          <w:rFonts w:hint="eastAsia"/>
          <w:highlight w:val="none"/>
        </w:rPr>
        <w:t>本</w:t>
      </w:r>
      <w:r>
        <w:rPr>
          <w:rFonts w:hint="eastAsia"/>
          <w:highlight w:val="none"/>
          <w:lang w:val="en-US" w:eastAsia="zh-CN"/>
        </w:rPr>
        <w:t>招标</w:t>
      </w:r>
      <w:r>
        <w:rPr>
          <w:rFonts w:hint="eastAsia"/>
          <w:highlight w:val="none"/>
        </w:rPr>
        <w:t>文件并登记，</w:t>
      </w:r>
      <w:r>
        <w:rPr>
          <w:rFonts w:hint="eastAsia"/>
          <w:highlight w:val="none"/>
          <w:lang w:val="en-US" w:eastAsia="zh-CN"/>
        </w:rPr>
        <w:t>否则</w:t>
      </w:r>
      <w:r>
        <w:rPr>
          <w:rFonts w:hint="eastAsia"/>
          <w:highlight w:val="none"/>
        </w:rPr>
        <w:t>均无资格参加该项目的</w:t>
      </w:r>
      <w:r>
        <w:rPr>
          <w:rFonts w:hint="eastAsia"/>
          <w:highlight w:val="none"/>
          <w:lang w:val="en-US" w:eastAsia="zh-CN"/>
        </w:rPr>
        <w:t>投标</w:t>
      </w:r>
      <w:r>
        <w:rPr>
          <w:rFonts w:hint="eastAsia"/>
          <w:highlight w:val="none"/>
        </w:rPr>
        <w:t>。</w:t>
      </w:r>
    </w:p>
    <w:p>
      <w:pPr>
        <w:pStyle w:val="42"/>
        <w:numPr>
          <w:ilvl w:val="0"/>
          <w:numId w:val="7"/>
        </w:numPr>
        <w:spacing w:line="420" w:lineRule="exact"/>
        <w:ind w:firstLine="482" w:firstLineChars="200"/>
        <w:rPr>
          <w:b/>
          <w:bCs/>
          <w:highlight w:val="none"/>
        </w:rPr>
      </w:pPr>
      <w:r>
        <w:rPr>
          <w:rFonts w:hint="eastAsia"/>
          <w:b/>
          <w:bCs/>
          <w:highlight w:val="none"/>
        </w:rPr>
        <w:t>投标文件的递交</w:t>
      </w:r>
    </w:p>
    <w:p>
      <w:pPr>
        <w:pStyle w:val="42"/>
        <w:ind w:firstLine="480" w:firstLineChars="200"/>
        <w:rPr>
          <w:highlight w:val="none"/>
        </w:rPr>
      </w:pPr>
      <w:r>
        <w:rPr>
          <w:rFonts w:hint="eastAsia"/>
          <w:highlight w:val="none"/>
        </w:rPr>
        <w:t>(一)投标文件递交起止时间：202</w:t>
      </w:r>
      <w:r>
        <w:rPr>
          <w:rFonts w:hint="eastAsia"/>
          <w:highlight w:val="none"/>
          <w:lang w:val="en-US" w:eastAsia="zh-CN"/>
        </w:rPr>
        <w:t>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18</w:t>
      </w:r>
      <w:r>
        <w:rPr>
          <w:rFonts w:hint="eastAsia"/>
          <w:highlight w:val="none"/>
        </w:rPr>
        <w:t>日09时30分至10时00分。</w:t>
      </w:r>
    </w:p>
    <w:p>
      <w:pPr>
        <w:pStyle w:val="42"/>
        <w:ind w:firstLine="480" w:firstLineChars="200"/>
        <w:rPr>
          <w:highlight w:val="none"/>
        </w:rPr>
      </w:pPr>
      <w:r>
        <w:rPr>
          <w:rFonts w:hint="eastAsia"/>
          <w:highlight w:val="none"/>
        </w:rPr>
        <w:t>(二)投标文件递交地点：</w:t>
      </w:r>
      <w:r>
        <w:rPr>
          <w:rFonts w:hint="eastAsia"/>
          <w:highlight w:val="none"/>
          <w:lang w:val="zh-CN"/>
        </w:rPr>
        <w:t>成都市高新区吉庆三路333号蜀都中心二期一号楼一单元401号</w:t>
      </w:r>
      <w:r>
        <w:rPr>
          <w:rFonts w:hint="eastAsia"/>
          <w:highlight w:val="none"/>
        </w:rPr>
        <w:t>本项目开标室。</w:t>
      </w:r>
    </w:p>
    <w:p>
      <w:pPr>
        <w:pStyle w:val="42"/>
        <w:ind w:firstLine="480" w:firstLineChars="200"/>
        <w:rPr>
          <w:highlight w:val="none"/>
        </w:rPr>
      </w:pPr>
      <w:r>
        <w:rPr>
          <w:rFonts w:hint="eastAsia"/>
          <w:highlight w:val="none"/>
        </w:rPr>
        <w:t>(三)投标文件必须在投标截止时间前送达开标地点，逾期送达的投标文件恕不接收，本次招标不接受邮寄的投标文件。</w:t>
      </w:r>
    </w:p>
    <w:p>
      <w:pPr>
        <w:pStyle w:val="42"/>
        <w:numPr>
          <w:ilvl w:val="0"/>
          <w:numId w:val="7"/>
        </w:numPr>
        <w:spacing w:line="420" w:lineRule="exact"/>
        <w:ind w:firstLine="482" w:firstLineChars="200"/>
        <w:rPr>
          <w:highlight w:val="none"/>
        </w:rPr>
      </w:pPr>
      <w:r>
        <w:rPr>
          <w:rFonts w:hint="eastAsia"/>
          <w:b/>
          <w:bCs/>
          <w:highlight w:val="none"/>
        </w:rPr>
        <w:t>投标截止时间及开标时间：</w:t>
      </w:r>
      <w:r>
        <w:rPr>
          <w:rFonts w:hint="eastAsia"/>
          <w:highlight w:val="none"/>
        </w:rPr>
        <w:t>202</w:t>
      </w:r>
      <w:r>
        <w:rPr>
          <w:rFonts w:hint="eastAsia"/>
          <w:highlight w:val="none"/>
          <w:lang w:val="en-US" w:eastAsia="zh-CN"/>
        </w:rPr>
        <w:t>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18</w:t>
      </w:r>
      <w:r>
        <w:rPr>
          <w:rFonts w:hint="eastAsia"/>
          <w:highlight w:val="none"/>
        </w:rPr>
        <w:t>日10时00分。</w:t>
      </w:r>
    </w:p>
    <w:p>
      <w:pPr>
        <w:pStyle w:val="42"/>
        <w:numPr>
          <w:ilvl w:val="0"/>
          <w:numId w:val="7"/>
        </w:numPr>
        <w:spacing w:line="420" w:lineRule="exact"/>
        <w:ind w:firstLine="482" w:firstLineChars="200"/>
        <w:rPr>
          <w:highlight w:val="none"/>
        </w:rPr>
      </w:pPr>
      <w:r>
        <w:rPr>
          <w:rFonts w:hint="eastAsia"/>
          <w:b/>
          <w:bCs/>
          <w:highlight w:val="none"/>
        </w:rPr>
        <w:t>开标地点：</w:t>
      </w:r>
      <w:r>
        <w:rPr>
          <w:rFonts w:hint="eastAsia"/>
          <w:highlight w:val="none"/>
          <w:lang w:val="zh-CN"/>
        </w:rPr>
        <w:t>成都市高新区吉庆三路333号蜀都中心二期一号楼一单元401号</w:t>
      </w:r>
      <w:r>
        <w:rPr>
          <w:rFonts w:hint="eastAsia"/>
          <w:highlight w:val="none"/>
        </w:rPr>
        <w:t>本项目开标室。</w:t>
      </w:r>
    </w:p>
    <w:p>
      <w:pPr>
        <w:pStyle w:val="42"/>
        <w:numPr>
          <w:ilvl w:val="0"/>
          <w:numId w:val="7"/>
        </w:numPr>
        <w:spacing w:line="420" w:lineRule="exact"/>
        <w:ind w:firstLine="482" w:firstLineChars="200"/>
        <w:rPr>
          <w:b/>
          <w:bCs/>
          <w:highlight w:val="none"/>
        </w:rPr>
      </w:pPr>
      <w:r>
        <w:rPr>
          <w:rFonts w:hint="eastAsia"/>
          <w:b/>
          <w:bCs/>
          <w:highlight w:val="none"/>
        </w:rPr>
        <w:t>采购信息发布媒体：“四川政府采购网”。</w:t>
      </w:r>
    </w:p>
    <w:p>
      <w:pPr>
        <w:pStyle w:val="42"/>
        <w:numPr>
          <w:ilvl w:val="0"/>
          <w:numId w:val="7"/>
        </w:numPr>
        <w:spacing w:line="420" w:lineRule="exact"/>
        <w:ind w:firstLine="482" w:firstLineChars="200"/>
        <w:rPr>
          <w:b/>
          <w:bCs/>
          <w:highlight w:val="none"/>
        </w:rPr>
      </w:pPr>
      <w:r>
        <w:rPr>
          <w:rFonts w:hint="eastAsia"/>
          <w:b/>
          <w:bCs/>
          <w:highlight w:val="none"/>
        </w:rPr>
        <w:t>供应商信用融资：</w:t>
      </w:r>
    </w:p>
    <w:p>
      <w:pPr>
        <w:pStyle w:val="46"/>
        <w:spacing w:line="420" w:lineRule="exact"/>
        <w:jc w:val="both"/>
        <w:rPr>
          <w:highlight w:val="none"/>
        </w:rPr>
      </w:pPr>
      <w:r>
        <w:rPr>
          <w:rFonts w:hint="eastAsia"/>
          <w:highlight w:val="none"/>
        </w:rPr>
        <w:t>根据《四川省财政厅关于推进四川省政府采购供应商信用融资工作的通知》(川财采〔2018〕123号)文件要求，为助力解决政府采购中标、中标人资金不足、融资难、融资贵的困难，促进供应商依法诚信参加政府采购活动，有融资需求的供应商可根据四川政府采购网公示的银行及其“政采贷”产品，自行选择符合自身情况的“政采贷”银行及其产品，凭中标通知书向银行提出贷款意向申请，并按照相关规定要求和贷款流程申请信用融资贷款。</w:t>
      </w:r>
    </w:p>
    <w:p>
      <w:pPr>
        <w:pStyle w:val="42"/>
        <w:numPr>
          <w:ilvl w:val="0"/>
          <w:numId w:val="7"/>
        </w:numPr>
        <w:spacing w:line="420" w:lineRule="exact"/>
        <w:ind w:firstLine="482" w:firstLineChars="200"/>
        <w:rPr>
          <w:b/>
          <w:bCs/>
          <w:highlight w:val="none"/>
        </w:rPr>
      </w:pPr>
      <w:r>
        <w:rPr>
          <w:rFonts w:hint="eastAsia"/>
          <w:b/>
          <w:bCs/>
          <w:highlight w:val="none"/>
        </w:rPr>
        <w:t>对本次招标提出询问，请按以下方式联系。</w:t>
      </w:r>
    </w:p>
    <w:p>
      <w:pPr>
        <w:pStyle w:val="42"/>
        <w:spacing w:line="460" w:lineRule="exact"/>
        <w:ind w:firstLine="480" w:firstLineChars="200"/>
        <w:rPr>
          <w:highlight w:val="none"/>
        </w:rPr>
      </w:pPr>
      <w:r>
        <w:rPr>
          <w:rFonts w:hint="eastAsia"/>
          <w:highlight w:val="none"/>
        </w:rPr>
        <w:t>(一)采购人信息</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名    称：</w:t>
      </w:r>
      <w:r>
        <w:rPr>
          <w:rFonts w:hint="eastAsia" w:ascii="宋体" w:hAnsi="宋体" w:eastAsia="宋体"/>
          <w:highlight w:val="none"/>
          <w:lang w:val="zh-CN" w:eastAsia="zh-CN"/>
        </w:rPr>
        <w:t>四川省</w:t>
      </w:r>
      <w:r>
        <w:rPr>
          <w:rFonts w:hint="eastAsia" w:ascii="宋体" w:hAnsi="宋体" w:eastAsia="宋体"/>
          <w:highlight w:val="none"/>
          <w:lang w:val="zh-CN"/>
        </w:rPr>
        <w:t>成都市中级人民法院</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 xml:space="preserve">地    址：成都市金牛区抚琴西路109号 </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联 系 人：</w:t>
      </w:r>
      <w:r>
        <w:rPr>
          <w:rFonts w:hint="eastAsia" w:ascii="宋体" w:hAnsi="宋体" w:eastAsia="宋体"/>
          <w:highlight w:val="none"/>
          <w:lang w:val="en-US" w:eastAsia="zh-CN"/>
        </w:rPr>
        <w:t>夏</w:t>
      </w:r>
      <w:r>
        <w:rPr>
          <w:rFonts w:hint="eastAsia" w:ascii="宋体" w:hAnsi="宋体" w:eastAsia="宋体"/>
          <w:highlight w:val="none"/>
          <w:lang w:val="zh-CN"/>
        </w:rPr>
        <w:t xml:space="preserve">老师 </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联系方式：028-</w:t>
      </w:r>
      <w:r>
        <w:rPr>
          <w:rFonts w:hint="eastAsia" w:ascii="宋体" w:hAnsi="宋体" w:eastAsia="宋体"/>
          <w:highlight w:val="none"/>
          <w:lang w:val="en-US" w:eastAsia="zh-CN"/>
        </w:rPr>
        <w:t>82915333</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(二)采购代理机构信息</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名    称：四川乾新招投标代理有限公司</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地    址：成都市高新区吉庆三路333号蜀都中心二期一号楼一单元401号</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联 系 人：</w:t>
      </w:r>
      <w:r>
        <w:rPr>
          <w:rFonts w:hint="eastAsia"/>
          <w:highlight w:val="none"/>
          <w:lang w:val="en-US" w:eastAsia="zh-CN"/>
        </w:rPr>
        <w:t>蒋文伟</w:t>
      </w:r>
    </w:p>
    <w:p>
      <w:pPr>
        <w:pStyle w:val="42"/>
        <w:spacing w:line="460" w:lineRule="exact"/>
        <w:ind w:firstLine="480" w:firstLineChars="200"/>
        <w:rPr>
          <w:rFonts w:hint="eastAsia"/>
          <w:highlight w:val="none"/>
          <w:lang w:val="en-US" w:eastAsia="zh-CN"/>
        </w:rPr>
      </w:pPr>
      <w:r>
        <w:rPr>
          <w:rFonts w:hint="eastAsia" w:ascii="宋体" w:hAnsi="宋体" w:eastAsia="宋体"/>
          <w:highlight w:val="none"/>
          <w:lang w:val="zh-CN"/>
        </w:rPr>
        <w:t>联系电话：028-61375575、62600820、62630990转</w:t>
      </w:r>
      <w:r>
        <w:rPr>
          <w:rFonts w:hint="eastAsia"/>
          <w:highlight w:val="none"/>
          <w:lang w:val="en-US" w:eastAsia="zh-CN"/>
        </w:rPr>
        <w:t>617</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传    真：028-83381268</w:t>
      </w:r>
    </w:p>
    <w:p>
      <w:pPr>
        <w:pStyle w:val="42"/>
        <w:spacing w:line="460" w:lineRule="exact"/>
        <w:ind w:firstLine="480" w:firstLineChars="200"/>
        <w:rPr>
          <w:rFonts w:hint="eastAsia" w:ascii="宋体" w:hAnsi="宋体" w:eastAsia="宋体"/>
          <w:highlight w:val="none"/>
          <w:lang w:val="zh-CN"/>
        </w:rPr>
      </w:pPr>
      <w:r>
        <w:rPr>
          <w:rFonts w:hint="eastAsia" w:ascii="宋体" w:hAnsi="宋体" w:eastAsia="宋体"/>
          <w:highlight w:val="none"/>
          <w:lang w:val="zh-CN"/>
        </w:rPr>
        <w:t>电子邮件：</w:t>
      </w:r>
      <w:r>
        <w:rPr>
          <w:rFonts w:hint="eastAsia" w:ascii="宋体" w:hAnsi="宋体" w:eastAsia="宋体"/>
          <w:highlight w:val="none"/>
          <w:lang w:val="zh-CN"/>
        </w:rPr>
        <w:fldChar w:fldCharType="begin"/>
      </w:r>
      <w:r>
        <w:rPr>
          <w:rFonts w:hint="eastAsia" w:ascii="宋体" w:hAnsi="宋体" w:eastAsia="宋体"/>
          <w:highlight w:val="none"/>
          <w:lang w:val="zh-CN"/>
        </w:rPr>
        <w:instrText xml:space="preserve"> HYPERLINK "mailto:scqxzb@163.com" </w:instrText>
      </w:r>
      <w:r>
        <w:rPr>
          <w:rFonts w:hint="eastAsia" w:ascii="宋体" w:hAnsi="宋体" w:eastAsia="宋体"/>
          <w:highlight w:val="none"/>
          <w:lang w:val="zh-CN"/>
        </w:rPr>
        <w:fldChar w:fldCharType="separate"/>
      </w:r>
      <w:r>
        <w:rPr>
          <w:rFonts w:hint="eastAsia" w:ascii="宋体" w:hAnsi="宋体" w:eastAsia="宋体"/>
          <w:highlight w:val="none"/>
          <w:lang w:val="zh-CN"/>
        </w:rPr>
        <w:t>scqxzb@163.com</w:t>
      </w:r>
      <w:r>
        <w:rPr>
          <w:rFonts w:hint="eastAsia" w:ascii="宋体" w:hAnsi="宋体" w:eastAsia="宋体"/>
          <w:highlight w:val="none"/>
          <w:lang w:val="zh-CN"/>
        </w:rPr>
        <w:fldChar w:fldCharType="end"/>
      </w:r>
    </w:p>
    <w:p>
      <w:pPr>
        <w:pStyle w:val="48"/>
        <w:spacing w:before="120" w:after="120"/>
        <w:rPr>
          <w:highlight w:val="none"/>
        </w:rPr>
      </w:pPr>
      <w:r>
        <w:rPr>
          <w:rFonts w:hint="eastAsia"/>
          <w:highlight w:val="none"/>
        </w:rPr>
        <w:br w:type="page"/>
      </w:r>
      <w:bookmarkEnd w:id="17"/>
      <w:bookmarkEnd w:id="18"/>
      <w:bookmarkEnd w:id="19"/>
      <w:bookmarkEnd w:id="20"/>
      <w:bookmarkEnd w:id="21"/>
      <w:bookmarkStart w:id="23" w:name="_Toc23718"/>
      <w:bookmarkStart w:id="24" w:name="_Toc30888"/>
      <w:bookmarkStart w:id="25" w:name="_Toc7416"/>
      <w:bookmarkStart w:id="26" w:name="_Toc25668"/>
      <w:bookmarkStart w:id="27" w:name="_Toc22259"/>
      <w:bookmarkStart w:id="28" w:name="_Toc7945"/>
      <w:bookmarkStart w:id="29" w:name="_Toc2482"/>
      <w:bookmarkStart w:id="30" w:name="_Toc28623"/>
      <w:r>
        <w:rPr>
          <w:rFonts w:hint="eastAsia"/>
          <w:highlight w:val="none"/>
        </w:rPr>
        <w:t>投标人须知</w:t>
      </w:r>
      <w:bookmarkEnd w:id="23"/>
      <w:bookmarkEnd w:id="24"/>
      <w:bookmarkEnd w:id="25"/>
      <w:bookmarkEnd w:id="26"/>
      <w:bookmarkEnd w:id="27"/>
      <w:bookmarkEnd w:id="28"/>
      <w:bookmarkEnd w:id="29"/>
      <w:bookmarkEnd w:id="30"/>
    </w:p>
    <w:p>
      <w:pPr>
        <w:pStyle w:val="43"/>
        <w:spacing w:before="120" w:after="120"/>
        <w:rPr>
          <w:highlight w:val="none"/>
        </w:rPr>
      </w:pPr>
      <w:bookmarkStart w:id="31" w:name="_Toc189727030"/>
      <w:bookmarkStart w:id="32" w:name="_Toc25175"/>
      <w:bookmarkStart w:id="33" w:name="_Toc6734"/>
      <w:bookmarkStart w:id="34" w:name="_Toc213396760"/>
      <w:bookmarkStart w:id="35" w:name="_Toc217446032"/>
      <w:bookmarkStart w:id="36" w:name="_Toc28824"/>
      <w:bookmarkStart w:id="37" w:name="_Toc31215"/>
      <w:bookmarkStart w:id="38" w:name="_Toc24535"/>
      <w:bookmarkStart w:id="39" w:name="_Toc25049"/>
      <w:bookmarkStart w:id="40" w:name="_Toc213396946"/>
      <w:bookmarkStart w:id="41" w:name="_Toc14035"/>
      <w:bookmarkStart w:id="42" w:name="_Toc327196261"/>
      <w:bookmarkStart w:id="43" w:name="_Toc213496268"/>
      <w:bookmarkStart w:id="44" w:name="_Toc213397010"/>
      <w:bookmarkStart w:id="45" w:name="_Toc27653"/>
      <w:r>
        <w:rPr>
          <w:rFonts w:hint="eastAsia"/>
          <w:highlight w:val="none"/>
        </w:rPr>
        <w:t>投标人须知前附表</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Style w:val="2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5"/>
              <w:rPr>
                <w:b/>
                <w:bCs/>
                <w:highlight w:val="none"/>
                <w:lang w:val="zh-CN"/>
              </w:rPr>
            </w:pPr>
            <w:bookmarkStart w:id="46" w:name="_Toc327196262"/>
            <w:r>
              <w:rPr>
                <w:rFonts w:hint="eastAsia"/>
                <w:b/>
                <w:bCs/>
                <w:highlight w:val="none"/>
                <w:lang w:val="zh-CN"/>
              </w:rPr>
              <w:t>序号</w:t>
            </w:r>
          </w:p>
        </w:tc>
        <w:tc>
          <w:tcPr>
            <w:tcW w:w="1936" w:type="dxa"/>
            <w:vAlign w:val="center"/>
          </w:tcPr>
          <w:p>
            <w:pPr>
              <w:pStyle w:val="45"/>
              <w:rPr>
                <w:b/>
                <w:bCs/>
                <w:highlight w:val="none"/>
                <w:lang w:val="zh-CN"/>
              </w:rPr>
            </w:pPr>
            <w:r>
              <w:rPr>
                <w:rFonts w:hint="eastAsia"/>
                <w:b/>
                <w:bCs/>
                <w:highlight w:val="none"/>
              </w:rPr>
              <w:t>条款名称</w:t>
            </w:r>
            <w:r>
              <w:rPr>
                <w:rFonts w:hint="eastAsia"/>
                <w:b/>
                <w:bCs/>
                <w:highlight w:val="none"/>
                <w:lang w:val="zh-CN"/>
              </w:rPr>
              <w:t xml:space="preserve"> </w:t>
            </w:r>
          </w:p>
        </w:tc>
        <w:tc>
          <w:tcPr>
            <w:tcW w:w="7244" w:type="dxa"/>
            <w:vAlign w:val="center"/>
          </w:tcPr>
          <w:p>
            <w:pPr>
              <w:pStyle w:val="45"/>
              <w:rPr>
                <w:b/>
                <w:bCs/>
                <w:highlight w:val="none"/>
                <w:lang w:val="zh-CN"/>
              </w:rPr>
            </w:pPr>
            <w:r>
              <w:rPr>
                <w:rFonts w:hint="eastAsia"/>
                <w:b/>
                <w:bCs/>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bidi w:val="0"/>
              <w:rPr>
                <w:rFonts w:hint="eastAsia"/>
                <w:highlight w:val="none"/>
                <w:lang w:val="en-US" w:eastAsia="zh-CN"/>
              </w:rPr>
            </w:pPr>
            <w:r>
              <w:rPr>
                <w:rFonts w:hint="eastAsia"/>
                <w:highlight w:val="none"/>
                <w:lang w:val="en-US" w:eastAsia="zh-CN"/>
              </w:rPr>
              <w:t>采购预算</w:t>
            </w:r>
          </w:p>
          <w:p>
            <w:pPr>
              <w:pStyle w:val="45"/>
              <w:bidi w:val="0"/>
              <w:rPr>
                <w:highlight w:val="none"/>
                <w:lang w:val="zh-CN"/>
              </w:rPr>
            </w:pPr>
            <w:r>
              <w:rPr>
                <w:rFonts w:hint="eastAsia"/>
                <w:highlight w:val="none"/>
                <w:lang w:val="en-US" w:eastAsia="zh-CN"/>
              </w:rPr>
              <w:t>(实质性要求)</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highlight w:val="none"/>
              </w:rPr>
            </w:pPr>
            <w:r>
              <w:rPr>
                <w:rFonts w:hint="eastAsia"/>
                <w:highlight w:val="none"/>
                <w:lang w:val="zh-CN"/>
              </w:rPr>
              <w:t>本项目</w:t>
            </w:r>
            <w:r>
              <w:rPr>
                <w:rFonts w:hint="eastAsia"/>
                <w:highlight w:val="none"/>
              </w:rPr>
              <w:t>采购</w:t>
            </w:r>
            <w:r>
              <w:rPr>
                <w:rFonts w:hint="eastAsia"/>
                <w:highlight w:val="none"/>
                <w:lang w:val="zh-CN"/>
              </w:rPr>
              <w:t>预算为人民币449.5万元。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bidi w:val="0"/>
              <w:rPr>
                <w:rFonts w:hint="default"/>
                <w:highlight w:val="none"/>
                <w:lang w:val="en-US" w:eastAsia="zh-CN"/>
              </w:rPr>
            </w:pPr>
            <w:r>
              <w:rPr>
                <w:rFonts w:hint="eastAsia"/>
                <w:highlight w:val="none"/>
                <w:lang w:val="en-US" w:eastAsia="zh-CN"/>
              </w:rPr>
              <w:t>最高限价及报价要求</w:t>
            </w:r>
          </w:p>
          <w:p>
            <w:pPr>
              <w:pStyle w:val="45"/>
              <w:bidi w:val="0"/>
              <w:rPr>
                <w:highlight w:val="none"/>
              </w:rPr>
            </w:pPr>
            <w:r>
              <w:rPr>
                <w:rFonts w:hint="eastAsia"/>
                <w:highlight w:val="none"/>
                <w:lang w:val="zh-CN" w:eastAsia="zh-CN"/>
              </w:rPr>
              <w:t>(实质性要求)</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1.本项目单价最高限价：①新增案件扫描及整理归档服务：按案件计价，单价最高限价64元/件；②迈维系统案件补充扫描服务及电子卷宗智能编目服务：按劳务派遣计价，单价最高限价65000元/人/年。</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highlight w:val="none"/>
              </w:rPr>
            </w:pPr>
            <w:r>
              <w:rPr>
                <w:rFonts w:hint="eastAsia"/>
                <w:highlight w:val="none"/>
                <w:lang w:val="en-US" w:eastAsia="zh-CN"/>
              </w:rPr>
              <w:t>2.</w:t>
            </w:r>
            <w:r>
              <w:rPr>
                <w:rFonts w:hint="eastAsia"/>
                <w:highlight w:val="none"/>
                <w:lang w:val="zh-CN"/>
              </w:rPr>
              <w:t>本项目</w:t>
            </w:r>
            <w:r>
              <w:rPr>
                <w:rFonts w:hint="eastAsia"/>
                <w:highlight w:val="none"/>
              </w:rPr>
              <w:t>投标报价</w:t>
            </w:r>
            <w:r>
              <w:rPr>
                <w:rFonts w:hint="eastAsia"/>
                <w:highlight w:val="none"/>
                <w:lang w:val="zh-CN"/>
              </w:rPr>
              <w:t>不</w:t>
            </w:r>
            <w:r>
              <w:rPr>
                <w:rFonts w:hint="eastAsia"/>
                <w:highlight w:val="none"/>
                <w:lang w:val="en-US" w:eastAsia="zh-CN"/>
              </w:rPr>
              <w:t>得</w:t>
            </w:r>
            <w:r>
              <w:rPr>
                <w:rFonts w:hint="eastAsia"/>
                <w:highlight w:val="none"/>
                <w:lang w:val="zh-CN"/>
              </w:rPr>
              <w:t>超过</w:t>
            </w:r>
            <w:r>
              <w:rPr>
                <w:rFonts w:hint="eastAsia"/>
                <w:highlight w:val="none"/>
                <w:lang w:val="en-US" w:eastAsia="zh-CN"/>
              </w:rPr>
              <w:t>采购单价最高限价</w:t>
            </w:r>
            <w:r>
              <w:rPr>
                <w:rFonts w:hint="eastAsia"/>
                <w:highlight w:val="none"/>
                <w:lang w:val="zh-CN" w:eastAsia="zh-CN"/>
              </w:rPr>
              <w:t>，</w:t>
            </w:r>
            <w:r>
              <w:rPr>
                <w:rFonts w:hint="eastAsia"/>
                <w:highlight w:val="none"/>
              </w:rPr>
              <w:t>否则将被视为无效投标</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rPr>
                <w:rFonts w:hint="eastAsia"/>
                <w:highlight w:val="none"/>
                <w:lang w:val="zh-CN" w:eastAsia="zh-CN"/>
              </w:rPr>
            </w:pPr>
            <w:r>
              <w:rPr>
                <w:rFonts w:hint="eastAsia"/>
                <w:highlight w:val="none"/>
                <w:lang w:val="en-US" w:eastAsia="zh-CN"/>
              </w:rPr>
              <w:t>项目属性</w:t>
            </w:r>
          </w:p>
        </w:tc>
        <w:tc>
          <w:tcPr>
            <w:tcW w:w="7244" w:type="dxa"/>
            <w:vAlign w:val="center"/>
          </w:tcPr>
          <w:p>
            <w:pPr>
              <w:pStyle w:val="41"/>
              <w:ind w:left="60" w:leftChars="25" w:right="60" w:rightChars="25"/>
              <w:rPr>
                <w:rFonts w:hint="eastAsia"/>
                <w:highlight w:val="none"/>
                <w:lang w:val="en-US" w:eastAsia="zh-CN"/>
              </w:rPr>
            </w:pPr>
            <w:r>
              <w:rPr>
                <w:rFonts w:hint="eastAsia"/>
                <w:highlight w:val="none"/>
                <w:lang w:val="en-US" w:eastAsia="zh-CN"/>
              </w:rPr>
              <w:t>本项目属于服务类采购项目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highlight w:val="none"/>
                <w:lang w:val="zh-CN" w:eastAsia="zh-CN"/>
              </w:rPr>
            </w:pPr>
            <w:r>
              <w:rPr>
                <w:rFonts w:hint="eastAsia"/>
                <w:highlight w:val="none"/>
                <w:lang w:val="en-US" w:eastAsia="zh-CN"/>
              </w:rPr>
              <w:t>本项目所属行业</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en-US" w:eastAsia="zh-CN"/>
              </w:rPr>
              <w:t>本项目所属行业为租赁和商务服务</w:t>
            </w:r>
            <w:r>
              <w:rPr>
                <w:rFonts w:hint="eastAsia"/>
                <w:highlight w:val="none"/>
                <w:u w:val="none"/>
                <w:lang w:val="en-US" w:eastAsia="zh-CN"/>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rPr>
                <w:highlight w:val="none"/>
                <w:lang w:val="zh-CN"/>
              </w:rPr>
            </w:pPr>
            <w:r>
              <w:rPr>
                <w:rFonts w:hint="eastAsia"/>
                <w:highlight w:val="none"/>
                <w:lang w:val="zh-CN"/>
              </w:rPr>
              <w:t>定向采购</w:t>
            </w:r>
          </w:p>
        </w:tc>
        <w:tc>
          <w:tcPr>
            <w:tcW w:w="7244" w:type="dxa"/>
            <w:vAlign w:val="center"/>
          </w:tcPr>
          <w:p>
            <w:pPr>
              <w:pStyle w:val="41"/>
              <w:ind w:left="72" w:leftChars="30"/>
              <w:rPr>
                <w:highlight w:val="none"/>
              </w:rPr>
            </w:pPr>
            <w:r>
              <w:rPr>
                <w:rFonts w:hint="eastAsia"/>
                <w:highlight w:val="none"/>
              </w:rPr>
              <w:t>本项目为</w:t>
            </w:r>
            <w:r>
              <w:rPr>
                <w:rFonts w:hint="eastAsia"/>
                <w:highlight w:val="none"/>
                <w:lang w:val="zh-CN"/>
              </w:rPr>
              <w:t>非专门面向中小微企业</w:t>
            </w:r>
            <w:r>
              <w:rPr>
                <w:rFonts w:hint="eastAsia"/>
                <w:highlight w:val="none"/>
              </w:rPr>
              <w:t>采购</w:t>
            </w:r>
            <w:r>
              <w:rPr>
                <w:rFonts w:hint="eastAsia"/>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rPr>
                <w:highlight w:val="none"/>
                <w:lang w:val="zh-CN"/>
              </w:rPr>
            </w:pPr>
            <w:r>
              <w:rPr>
                <w:rFonts w:hint="eastAsia"/>
                <w:highlight w:val="none"/>
                <w:lang w:val="zh-CN"/>
              </w:rPr>
              <w:t>采购方式</w:t>
            </w:r>
          </w:p>
        </w:tc>
        <w:tc>
          <w:tcPr>
            <w:tcW w:w="7244" w:type="dxa"/>
            <w:vAlign w:val="center"/>
          </w:tcPr>
          <w:p>
            <w:pPr>
              <w:pStyle w:val="41"/>
              <w:ind w:left="72" w:leftChars="30"/>
              <w:rPr>
                <w:highlight w:val="none"/>
                <w:lang w:val="zh-CN"/>
              </w:rPr>
            </w:pPr>
            <w:r>
              <w:rPr>
                <w:rFonts w:hint="eastAsia"/>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rPr>
                <w:highlight w:val="none"/>
                <w:lang w:val="zh-CN"/>
              </w:rPr>
            </w:pPr>
            <w:r>
              <w:rPr>
                <w:rFonts w:hint="eastAsia"/>
                <w:highlight w:val="none"/>
                <w:lang w:val="zh-CN"/>
              </w:rPr>
              <w:t>评标方法</w:t>
            </w:r>
          </w:p>
        </w:tc>
        <w:tc>
          <w:tcPr>
            <w:tcW w:w="7244" w:type="dxa"/>
            <w:vAlign w:val="center"/>
          </w:tcPr>
          <w:p>
            <w:pPr>
              <w:pStyle w:val="41"/>
              <w:ind w:left="72" w:leftChars="30"/>
              <w:rPr>
                <w:highlight w:val="none"/>
                <w:lang w:val="zh-CN"/>
              </w:rPr>
            </w:pPr>
            <w:r>
              <w:rPr>
                <w:rFonts w:hint="eastAsia"/>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rPr>
                <w:highlight w:val="none"/>
              </w:rPr>
            </w:pPr>
            <w:r>
              <w:rPr>
                <w:rFonts w:hint="eastAsia"/>
                <w:highlight w:val="none"/>
              </w:rPr>
              <w:t>联合体投标</w:t>
            </w:r>
          </w:p>
          <w:p>
            <w:pPr>
              <w:pStyle w:val="45"/>
              <w:rPr>
                <w:highlight w:val="none"/>
                <w:lang w:val="zh-CN"/>
              </w:rPr>
            </w:pPr>
            <w:r>
              <w:rPr>
                <w:rFonts w:hint="eastAsia"/>
                <w:highlight w:val="none"/>
              </w:rPr>
              <w:t>(实质性要求)</w:t>
            </w:r>
          </w:p>
        </w:tc>
        <w:tc>
          <w:tcPr>
            <w:tcW w:w="7244" w:type="dxa"/>
            <w:vAlign w:val="center"/>
          </w:tcPr>
          <w:p>
            <w:pPr>
              <w:pStyle w:val="41"/>
              <w:ind w:left="72" w:leftChars="30"/>
              <w:rPr>
                <w:highlight w:val="none"/>
                <w:lang w:val="zh-CN"/>
              </w:rPr>
            </w:pPr>
            <w:r>
              <w:rPr>
                <w:rFonts w:hint="eastAsia"/>
                <w:highlight w:val="none"/>
              </w:rPr>
              <w:t>本项目</w:t>
            </w:r>
            <w:r>
              <w:rPr>
                <w:rFonts w:hint="eastAsia"/>
                <w:highlight w:val="none"/>
                <w:lang w:val="en-US" w:eastAsia="zh-CN"/>
              </w:rPr>
              <w:t>不</w:t>
            </w:r>
            <w:r>
              <w:rPr>
                <w:rFonts w:hint="eastAsia"/>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rPr>
                <w:highlight w:val="none"/>
              </w:rPr>
            </w:pPr>
            <w:r>
              <w:rPr>
                <w:rFonts w:hint="eastAsia"/>
                <w:highlight w:val="none"/>
              </w:rPr>
              <w:t>投标有效期</w:t>
            </w:r>
          </w:p>
          <w:p>
            <w:pPr>
              <w:pStyle w:val="45"/>
              <w:rPr>
                <w:highlight w:val="none"/>
                <w:lang w:val="zh-CN"/>
              </w:rPr>
            </w:pPr>
            <w:r>
              <w:rPr>
                <w:rFonts w:hint="eastAsia"/>
                <w:highlight w:val="none"/>
              </w:rPr>
              <w:t>(实质性要求)</w:t>
            </w:r>
          </w:p>
        </w:tc>
        <w:tc>
          <w:tcPr>
            <w:tcW w:w="7244" w:type="dxa"/>
            <w:vAlign w:val="center"/>
          </w:tcPr>
          <w:p>
            <w:pPr>
              <w:pStyle w:val="41"/>
              <w:ind w:left="72" w:leftChars="30"/>
              <w:rPr>
                <w:highlight w:val="none"/>
                <w:lang w:val="zh-CN"/>
              </w:rPr>
            </w:pPr>
            <w:r>
              <w:rPr>
                <w:rFonts w:hint="eastAsia"/>
                <w:highlight w:val="none"/>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rPr>
                <w:highlight w:val="none"/>
                <w:lang w:val="zh-CN"/>
              </w:rPr>
            </w:pPr>
            <w:r>
              <w:rPr>
                <w:rFonts w:hint="eastAsia"/>
                <w:highlight w:val="none"/>
              </w:rPr>
              <w:t>备选投标方案和报价</w:t>
            </w:r>
          </w:p>
        </w:tc>
        <w:tc>
          <w:tcPr>
            <w:tcW w:w="7244" w:type="dxa"/>
            <w:vAlign w:val="center"/>
          </w:tcPr>
          <w:p>
            <w:pPr>
              <w:pStyle w:val="41"/>
              <w:ind w:left="72" w:leftChars="30"/>
              <w:rPr>
                <w:highlight w:val="none"/>
                <w:lang w:val="zh-CN"/>
              </w:rPr>
            </w:pPr>
            <w:r>
              <w:rPr>
                <w:rFonts w:hint="eastAsia"/>
                <w:highlight w:val="none"/>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bidi w:val="0"/>
              <w:rPr>
                <w:rFonts w:hint="default"/>
                <w:highlight w:val="none"/>
                <w:lang w:val="en-US" w:eastAsia="zh-CN"/>
              </w:rPr>
            </w:pPr>
            <w:r>
              <w:rPr>
                <w:rFonts w:hint="eastAsia"/>
                <w:highlight w:val="none"/>
                <w:lang w:val="en-US" w:eastAsia="zh-CN"/>
              </w:rPr>
              <w:t>质量要求、履约验收</w:t>
            </w:r>
          </w:p>
          <w:p>
            <w:pPr>
              <w:pStyle w:val="45"/>
              <w:bidi w:val="0"/>
              <w:rPr>
                <w:highlight w:val="none"/>
              </w:rPr>
            </w:pPr>
            <w:r>
              <w:rPr>
                <w:rFonts w:hint="eastAsia"/>
                <w:highlight w:val="none"/>
                <w:lang w:val="en-US" w:eastAsia="zh-CN"/>
              </w:rPr>
              <w:t>(实质性要求)</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1.质量要求：符合国家相关标准、行业标准、地方标准或者其他标准、规范要求；</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highlight w:val="none"/>
              </w:rPr>
            </w:pPr>
            <w:r>
              <w:rPr>
                <w:rFonts w:hint="eastAsia"/>
                <w:highlight w:val="none"/>
                <w:lang w:val="en-US" w:eastAsia="zh-CN"/>
              </w:rPr>
              <w:t>2.履约验收：中标人与采购人应严格按照《财政部关于进一步加强政府采购需求和履约验收管理的指导意见》(财库〔2016〕205号)、参照四川省财政厅《四川省政府采购项目需求论证和履约验收管理办法》(川财采〔2015〕32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bidi w:val="0"/>
              <w:rPr>
                <w:rFonts w:hint="eastAsia"/>
                <w:highlight w:val="none"/>
                <w:lang w:val="en-US" w:eastAsia="zh-CN"/>
              </w:rPr>
            </w:pPr>
            <w:r>
              <w:rPr>
                <w:rFonts w:hint="eastAsia"/>
                <w:highlight w:val="none"/>
              </w:rPr>
              <w:t>现场</w:t>
            </w:r>
            <w:r>
              <w:rPr>
                <w:rFonts w:hint="eastAsia"/>
                <w:highlight w:val="none"/>
                <w:lang w:val="en-US" w:eastAsia="zh-CN"/>
              </w:rPr>
              <w:t>考察、标前</w:t>
            </w:r>
          </w:p>
          <w:p>
            <w:pPr>
              <w:pStyle w:val="45"/>
              <w:bidi w:val="0"/>
              <w:rPr>
                <w:highlight w:val="none"/>
              </w:rPr>
            </w:pPr>
            <w:r>
              <w:rPr>
                <w:rFonts w:hint="eastAsia"/>
                <w:highlight w:val="none"/>
              </w:rPr>
              <w:t>答疑</w:t>
            </w:r>
            <w:r>
              <w:rPr>
                <w:rFonts w:hint="eastAsia"/>
                <w:highlight w:val="none"/>
                <w:lang w:val="en-US" w:eastAsia="zh-CN"/>
              </w:rPr>
              <w:t>会</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采购人、采购代理机构可以视采购项目的具体情况，组织</w:t>
            </w:r>
            <w:r>
              <w:rPr>
                <w:rFonts w:hint="eastAsia"/>
                <w:highlight w:val="none"/>
                <w:lang w:eastAsia="zh-CN"/>
              </w:rPr>
              <w:t>投标人</w:t>
            </w:r>
            <w:r>
              <w:rPr>
                <w:rFonts w:hint="eastAsia"/>
                <w:highlight w:val="none"/>
              </w:rPr>
              <w:t>进行现场考察或</w:t>
            </w:r>
            <w:r>
              <w:rPr>
                <w:rFonts w:hint="eastAsia"/>
                <w:highlight w:val="none"/>
                <w:lang w:eastAsia="zh-CN"/>
              </w:rPr>
              <w:t>开标</w:t>
            </w:r>
            <w:r>
              <w:rPr>
                <w:rFonts w:hint="eastAsia"/>
                <w:highlight w:val="none"/>
              </w:rPr>
              <w:t>前答疑会，但不得单独或分别组织只有一个</w:t>
            </w:r>
            <w:r>
              <w:rPr>
                <w:rFonts w:hint="eastAsia"/>
                <w:highlight w:val="none"/>
                <w:lang w:eastAsia="zh-CN"/>
              </w:rPr>
              <w:t>投标人</w:t>
            </w:r>
            <w:r>
              <w:rPr>
                <w:rFonts w:hint="eastAsia"/>
                <w:highlight w:val="none"/>
              </w:rPr>
              <w:t>参加的现场考察和答疑会。若组织答疑会和现场考察以采购代理机构通知为准。</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highlight w:val="none"/>
              </w:rPr>
            </w:pPr>
            <w:r>
              <w:rPr>
                <w:rFonts w:hint="eastAsia"/>
                <w:highlight w:val="none"/>
                <w:lang w:val="en-US" w:eastAsia="zh-CN"/>
              </w:rPr>
              <w:t>2.</w:t>
            </w:r>
            <w:r>
              <w:rPr>
                <w:rFonts w:hint="eastAsia"/>
                <w:highlight w:val="none"/>
                <w:lang w:eastAsia="zh-CN"/>
              </w:rPr>
              <w:t>投标人</w:t>
            </w:r>
            <w:r>
              <w:rPr>
                <w:rFonts w:hint="eastAsia"/>
                <w:highlight w:val="none"/>
              </w:rPr>
              <w:t>考察现场所发生的一切费用由</w:t>
            </w:r>
            <w:r>
              <w:rPr>
                <w:rFonts w:hint="eastAsia"/>
                <w:highlight w:val="none"/>
                <w:lang w:eastAsia="zh-CN"/>
              </w:rPr>
              <w:t>投标人</w:t>
            </w:r>
            <w:r>
              <w:rPr>
                <w:rFonts w:hint="eastAsia"/>
                <w:highlight w:val="none"/>
                <w:lang w:val="en-US" w:eastAsia="zh-CN"/>
              </w:rPr>
              <w:t>自行</w:t>
            </w:r>
            <w:r>
              <w:rPr>
                <w:rFonts w:hint="eastAsia"/>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color w:val="000000" w:themeColor="text1"/>
                <w:highlight w:val="none"/>
                <w:lang w:val="zh-CN"/>
                <w14:textFill>
                  <w14:solidFill>
                    <w14:schemeClr w14:val="tx1"/>
                  </w14:solidFill>
                </w14:textFill>
              </w:rPr>
            </w:pPr>
          </w:p>
        </w:tc>
        <w:tc>
          <w:tcPr>
            <w:tcW w:w="1936" w:type="dxa"/>
            <w:vAlign w:val="center"/>
          </w:tcPr>
          <w:p>
            <w:pPr>
              <w:pStyle w:val="45"/>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投标保证金</w:t>
            </w:r>
          </w:p>
        </w:tc>
        <w:tc>
          <w:tcPr>
            <w:tcW w:w="7244" w:type="dxa"/>
            <w:vAlign w:val="center"/>
          </w:tcPr>
          <w:p>
            <w:pPr>
              <w:pStyle w:val="41"/>
              <w:ind w:left="72" w:leftChars="30"/>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lang w:val="zh-CN"/>
              </w:rPr>
            </w:pPr>
          </w:p>
        </w:tc>
        <w:tc>
          <w:tcPr>
            <w:tcW w:w="1936" w:type="dxa"/>
            <w:vAlign w:val="center"/>
          </w:tcPr>
          <w:p>
            <w:pPr>
              <w:pStyle w:val="45"/>
              <w:rPr>
                <w:highlight w:val="none"/>
              </w:rPr>
            </w:pPr>
            <w:r>
              <w:rPr>
                <w:rFonts w:hint="eastAsia"/>
                <w:highlight w:val="none"/>
              </w:rPr>
              <w:t>低于成本价不正当竞争预防措施</w:t>
            </w:r>
          </w:p>
          <w:p>
            <w:pPr>
              <w:pStyle w:val="45"/>
              <w:rPr>
                <w:highlight w:val="none"/>
                <w:lang w:val="zh-CN"/>
              </w:rPr>
            </w:pPr>
            <w:r>
              <w:rPr>
                <w:rFonts w:hint="eastAsia"/>
                <w:highlight w:val="none"/>
              </w:rPr>
              <w:t>(实质性要求)</w:t>
            </w:r>
          </w:p>
        </w:tc>
        <w:tc>
          <w:tcPr>
            <w:tcW w:w="7244" w:type="dxa"/>
            <w:vAlign w:val="center"/>
          </w:tcPr>
          <w:p>
            <w:pPr>
              <w:pStyle w:val="41"/>
              <w:ind w:left="72" w:leftChars="30"/>
              <w:rPr>
                <w:highlight w:val="none"/>
              </w:rPr>
            </w:pPr>
            <w:r>
              <w:rPr>
                <w:rFonts w:hint="eastAsia"/>
                <w:highlight w:val="none"/>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1"/>
              <w:ind w:left="72" w:leftChars="30"/>
              <w:rPr>
                <w:highlight w:val="none"/>
              </w:rPr>
            </w:pPr>
            <w:r>
              <w:rPr>
                <w:rFonts w:hint="eastAsia"/>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1"/>
              <w:ind w:left="72" w:leftChars="30"/>
              <w:rPr>
                <w:highlight w:val="none"/>
              </w:rPr>
            </w:pPr>
            <w:r>
              <w:rPr>
                <w:rFonts w:hint="eastAsia"/>
                <w:highlight w:val="none"/>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bidi w:val="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小微企业、监狱企业</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残疾人福利性单位</w:t>
            </w:r>
            <w:r>
              <w:rPr>
                <w:rFonts w:hint="eastAsia" w:cs="宋体"/>
                <w:color w:val="000000" w:themeColor="text1"/>
                <w:highlight w:val="none"/>
                <w14:textFill>
                  <w14:solidFill>
                    <w14:schemeClr w14:val="tx1"/>
                  </w14:solidFill>
                </w14:textFill>
              </w:rPr>
              <w:t>价格扣除和失信企业报价加成或者扣分</w:t>
            </w:r>
          </w:p>
          <w:p>
            <w:pPr>
              <w:pStyle w:val="45"/>
              <w:bidi w:val="0"/>
              <w:rPr>
                <w:rFonts w:hint="eastAsia"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实质性要求</w:t>
            </w:r>
            <w:r>
              <w:rPr>
                <w:rFonts w:hint="eastAsia" w:cs="宋体"/>
                <w:color w:val="000000" w:themeColor="text1"/>
                <w:highlight w:val="none"/>
                <w:lang w:eastAsia="zh-CN"/>
                <w14:textFill>
                  <w14:solidFill>
                    <w14:schemeClr w14:val="tx1"/>
                  </w14:solidFill>
                </w14:textFill>
              </w:rPr>
              <w:t>)</w:t>
            </w:r>
          </w:p>
        </w:tc>
        <w:tc>
          <w:tcPr>
            <w:tcW w:w="7244"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14:textFill>
                  <w14:solidFill>
                    <w14:schemeClr w14:val="tx1"/>
                  </w14:solidFill>
                </w14:textFill>
              </w:rPr>
              <w:t>政府采购促进中小企业发展</w:t>
            </w:r>
            <w:r>
              <w:rPr>
                <w:rFonts w:hint="eastAsia" w:cs="宋体"/>
                <w:color w:val="000000" w:themeColor="text1"/>
                <w:highlight w:val="none"/>
                <w:lang w:val="en-US" w:eastAsia="zh-CN"/>
                <w14:textFill>
                  <w14:solidFill>
                    <w14:schemeClr w14:val="tx1"/>
                  </w14:solidFill>
                </w14:textFill>
              </w:rPr>
              <w:t>政策</w:t>
            </w:r>
          </w:p>
          <w:p>
            <w:pPr>
              <w:pStyle w:val="41"/>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ind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b/>
                <w:bCs/>
                <w:color w:val="000000" w:themeColor="text1"/>
                <w:highlight w:val="none"/>
                <w:lang w:val="en-US" w:eastAsia="zh-CN"/>
                <w14:textFill>
                  <w14:solidFill>
                    <w14:schemeClr w14:val="tx1"/>
                  </w14:solidFill>
                </w14:textFill>
              </w:rPr>
              <w:t>定义：</w:t>
            </w:r>
            <w:r>
              <w:rPr>
                <w:rFonts w:hint="eastAsia" w:cs="宋体"/>
                <w:color w:val="000000" w:themeColor="text1"/>
                <w:highlight w:val="none"/>
                <w:lang w:val="en-US" w:eastAsia="zh-CN"/>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1"/>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ind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b/>
                <w:bCs/>
                <w:color w:val="000000" w:themeColor="text1"/>
                <w:highlight w:val="none"/>
                <w:lang w:val="en-US" w:eastAsia="zh-CN"/>
                <w14:textFill>
                  <w14:solidFill>
                    <w14:schemeClr w14:val="tx1"/>
                  </w14:solidFill>
                </w14:textFill>
              </w:rPr>
              <w:t>适用情形：</w:t>
            </w:r>
            <w:r>
              <w:rPr>
                <w:rFonts w:hint="eastAsia" w:cs="宋体"/>
                <w:color w:val="000000" w:themeColor="text1"/>
                <w:highlight w:val="none"/>
                <w:lang w:val="en-US" w:eastAsia="zh-CN"/>
                <w14:textFill>
                  <w14:solidFill>
                    <w14:schemeClr w14:val="tx1"/>
                  </w14:solidFill>
                </w14:textFill>
              </w:rPr>
              <w:t>（1）在货物采购项目中，货物由中小企业制造，即货 物由中小企业生产且使用该中小企业商号或者注册商标；</w:t>
            </w:r>
          </w:p>
          <w:p>
            <w:pPr>
              <w:pStyle w:val="41"/>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（2）在货物采购项目中，供应商提供的货物既有中小企业制造货物，也有大型企业制造货物的，不享受本办法规定的中小企业扶持政策。</w:t>
            </w:r>
          </w:p>
          <w:p>
            <w:pPr>
              <w:pStyle w:val="41"/>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（3）以联合体形式参加政府采购活动，联合体各方均为中小企业的，联合体视同中小企业。其中，联合体各方均为小微企业的，联合体视同小微企业。</w:t>
            </w:r>
          </w:p>
          <w:p>
            <w:pPr>
              <w:pStyle w:val="41"/>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注：关于中小微型企业划分标准详见附件二。</w:t>
            </w:r>
          </w:p>
          <w:p>
            <w:pPr>
              <w:pStyle w:val="41"/>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ind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执行方式：</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根据关于印发《政府采购促进中小企业发展管理办法》的通知</w:t>
            </w:r>
            <w:r>
              <w:rPr>
                <w:rFonts w:hint="eastAsia" w:cs="宋体"/>
                <w:color w:val="000000" w:themeColor="text1"/>
                <w:highlight w:val="none"/>
                <w:lang w:eastAsia="zh-CN"/>
                <w14:textFill>
                  <w14:solidFill>
                    <w14:schemeClr w14:val="tx1"/>
                  </w14:solidFill>
                </w14:textFill>
              </w:rPr>
              <w:t>（财库〔2020〕46号）、四川省财政厅 四川省经济和信息化委员会中国人民银行成都分行关于印发《四川省政府采购促进中小企业发展的若干规定》(</w:t>
            </w:r>
            <w:r>
              <w:rPr>
                <w:rFonts w:hint="eastAsia" w:cs="宋体"/>
                <w:color w:val="000000" w:themeColor="text1"/>
                <w:highlight w:val="none"/>
                <w:lang w:val="en-US" w:eastAsia="zh-CN"/>
                <w14:textFill>
                  <w14:solidFill>
                    <w14:schemeClr w14:val="tx1"/>
                  </w14:solidFill>
                </w14:textFill>
              </w:rPr>
              <w:t>川财采〔</w:t>
            </w:r>
            <w:r>
              <w:rPr>
                <w:rFonts w:hint="eastAsia" w:cs="宋体"/>
                <w:color w:val="000000" w:themeColor="text1"/>
                <w:highlight w:val="none"/>
                <w:lang w:eastAsia="zh-CN"/>
                <w14:textFill>
                  <w14:solidFill>
                    <w14:schemeClr w14:val="tx1"/>
                  </w14:solidFill>
                </w14:textFill>
              </w:rPr>
              <w:t>201</w:t>
            </w:r>
            <w:r>
              <w:rPr>
                <w:rFonts w:hint="eastAsia" w:cs="宋体"/>
                <w:color w:val="000000" w:themeColor="text1"/>
                <w:highlight w:val="none"/>
                <w:lang w:val="en-US" w:eastAsia="zh-CN"/>
                <w14:textFill>
                  <w14:solidFill>
                    <w14:schemeClr w14:val="tx1"/>
                  </w14:solidFill>
                </w14:textFill>
              </w:rPr>
              <w:t>6〕35</w:t>
            </w:r>
            <w:r>
              <w:rPr>
                <w:rFonts w:hint="eastAsia" w:cs="宋体"/>
                <w:color w:val="000000" w:themeColor="text1"/>
                <w:highlight w:val="none"/>
                <w:lang w:eastAsia="zh-CN"/>
                <w14:textFill>
                  <w14:solidFill>
                    <w14:schemeClr w14:val="tx1"/>
                  </w14:solidFill>
                </w14:textFill>
              </w:rPr>
              <w:t>号)</w:t>
            </w:r>
            <w:r>
              <w:rPr>
                <w:rFonts w:hint="eastAsia" w:cs="宋体"/>
                <w:color w:val="000000" w:themeColor="text1"/>
                <w:highlight w:val="none"/>
                <w14:textFill>
                  <w14:solidFill>
                    <w14:schemeClr w14:val="tx1"/>
                  </w14:solidFill>
                </w14:textFill>
              </w:rPr>
              <w:t>的规定，对小型和微型企业的价格给予</w:t>
            </w:r>
            <w:r>
              <w:rPr>
                <w:rFonts w:hint="eastAsia" w:cs="宋体"/>
                <w:color w:val="000000" w:themeColor="text1"/>
                <w:highlight w:val="none"/>
                <w:lang w:val="en-US" w:eastAsia="zh-CN"/>
                <w14:textFill>
                  <w14:solidFill>
                    <w14:schemeClr w14:val="tx1"/>
                  </w14:solidFill>
                </w14:textFill>
              </w:rPr>
              <w:t>10</w:t>
            </w:r>
            <w:r>
              <w:rPr>
                <w:rFonts w:hint="eastAsia" w:cs="宋体"/>
                <w:color w:val="000000" w:themeColor="text1"/>
                <w:highlight w:val="none"/>
                <w14:textFill>
                  <w14:solidFill>
                    <w14:schemeClr w14:val="tx1"/>
                  </w14:solidFill>
                </w14:textFill>
              </w:rPr>
              <w:t>%的价格扣除，用扣除后的价格参与评审</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如涉及</w:t>
            </w:r>
            <w:r>
              <w:rPr>
                <w:rFonts w:hint="eastAsia" w:cs="宋体"/>
                <w:color w:val="000000" w:themeColor="text1"/>
                <w:spacing w:val="8"/>
                <w:highlight w:val="none"/>
                <w14:textFill>
                  <w14:solidFill>
                    <w14:schemeClr w14:val="tx1"/>
                  </w14:solidFill>
                </w14:textFill>
              </w:rPr>
              <w:t>对于经主管预算单位统筹后未预留份额专门</w:t>
            </w:r>
            <w:r>
              <w:rPr>
                <w:rFonts w:hint="eastAsia" w:cs="宋体"/>
                <w:color w:val="000000" w:themeColor="text1"/>
                <w:highlight w:val="none"/>
                <w14:textFill>
                  <w14:solidFill>
                    <w14:schemeClr w14:val="tx1"/>
                  </w14:solidFill>
                </w14:textFill>
              </w:rPr>
              <w:t>面向中小企业采购的采购项目，以及预留份额项</w:t>
            </w:r>
            <w:r>
              <w:rPr>
                <w:rFonts w:hint="eastAsia" w:ascii="宋体" w:hAnsi="宋体" w:eastAsia="宋体" w:cs="宋体"/>
                <w:color w:val="000000" w:themeColor="text1"/>
                <w:highlight w:val="none"/>
                <w14:textFill>
                  <w14:solidFill>
                    <w14:schemeClr w14:val="tx1"/>
                  </w14:solidFill>
                </w14:textFill>
              </w:rPr>
              <w:t>目中的非预</w:t>
            </w:r>
            <w:r>
              <w:rPr>
                <w:rFonts w:hint="eastAsia" w:ascii="宋体" w:hAnsi="宋体" w:eastAsia="宋体" w:cs="宋体"/>
                <w:color w:val="000000" w:themeColor="text1"/>
                <w:spacing w:val="0"/>
                <w:highlight w:val="none"/>
                <w14:textFill>
                  <w14:solidFill>
                    <w14:schemeClr w14:val="tx1"/>
                  </w14:solidFill>
                </w14:textFill>
              </w:rPr>
              <w:t>留部分采购包</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参加政府采购活动的中小企业应当提供《中小企业声明函》原件。</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spacing w:val="0"/>
                <w:highlight w:val="none"/>
                <w14:textFill>
                  <w14:solidFill>
                    <w14:schemeClr w14:val="tx1"/>
                  </w14:solidFill>
                </w14:textFill>
              </w:rPr>
              <w:t>供应商按照本办法规定提供声明函内容不</w:t>
            </w:r>
            <w:r>
              <w:rPr>
                <w:rFonts w:hint="eastAsia" w:ascii="宋体" w:hAnsi="宋体" w:eastAsia="宋体" w:cs="宋体"/>
                <w:color w:val="000000" w:themeColor="text1"/>
                <w:spacing w:val="0"/>
                <w:w w:val="100"/>
                <w:highlight w:val="none"/>
                <w14:textFill>
                  <w14:solidFill>
                    <w14:schemeClr w14:val="tx1"/>
                  </w14:solidFill>
                </w14:textFill>
              </w:rPr>
              <w:t>实的，属于提供虚假材料谋取中标、成交，依照《中华人民</w:t>
            </w:r>
            <w:r>
              <w:rPr>
                <w:rFonts w:hint="eastAsia" w:ascii="宋体" w:hAnsi="宋体" w:eastAsia="宋体" w:cs="宋体"/>
                <w:color w:val="000000" w:themeColor="text1"/>
                <w:spacing w:val="0"/>
                <w:highlight w:val="none"/>
                <w14:textFill>
                  <w14:solidFill>
                    <w14:schemeClr w14:val="tx1"/>
                  </w14:solidFill>
                </w14:textFill>
              </w:rPr>
              <w:t>共和国政府采购法》等国家有关规定追究相应责任</w:t>
            </w:r>
            <w:r>
              <w:rPr>
                <w:rFonts w:hint="eastAsia" w:ascii="宋体" w:hAnsi="宋体" w:eastAsia="宋体" w:cs="宋体"/>
                <w:color w:val="000000" w:themeColor="text1"/>
                <w:highlight w:val="none"/>
                <w:lang w:val="en-US" w:eastAsia="zh-CN"/>
                <w14:textFill>
                  <w14:solidFill>
                    <w14:schemeClr w14:val="tx1"/>
                  </w14:solidFill>
                </w14:textFill>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val="en-US" w:eastAsia="zh-CN"/>
                <w14:textFill>
                  <w14:solidFill>
                    <w14:schemeClr w14:val="tx1"/>
                  </w14:solidFill>
                </w14:textFill>
              </w:rPr>
              <w:t>（4）本项目</w:t>
            </w:r>
            <w:r>
              <w:rPr>
                <w:rFonts w:hint="eastAsia" w:ascii="宋体" w:hAnsi="宋体" w:eastAsia="宋体" w:cs="宋体"/>
                <w:color w:val="000000" w:themeColor="text1"/>
                <w:spacing w:val="0"/>
                <w:w w:val="100"/>
                <w:highlight w:val="none"/>
                <w14:textFill>
                  <w14:solidFill>
                    <w14:schemeClr w14:val="tx1"/>
                  </w14:solidFill>
                </w14:textFill>
              </w:rPr>
              <w:t>接受大中型企业与小微企业组成联合体或者允许大中</w:t>
            </w:r>
            <w:r>
              <w:rPr>
                <w:rFonts w:hint="eastAsia" w:ascii="宋体" w:hAnsi="宋体" w:eastAsia="宋体" w:cs="宋体"/>
                <w:color w:val="000000" w:themeColor="text1"/>
                <w:spacing w:val="0"/>
                <w:highlight w:val="none"/>
                <w14:textFill>
                  <w14:solidFill>
                    <w14:schemeClr w14:val="tx1"/>
                  </w14:solidFill>
                </w14:textFill>
              </w:rPr>
              <w:t>型企业向一家或者多家小微企业分包的采购项目，对于联合</w:t>
            </w:r>
            <w:r>
              <w:rPr>
                <w:rFonts w:hint="eastAsia" w:ascii="宋体" w:hAnsi="宋体" w:eastAsia="宋体" w:cs="宋体"/>
                <w:color w:val="000000" w:themeColor="text1"/>
                <w:spacing w:val="0"/>
                <w:w w:val="100"/>
                <w:highlight w:val="none"/>
                <w14:textFill>
                  <w14:solidFill>
                    <w14:schemeClr w14:val="tx1"/>
                  </w14:solidFill>
                </w14:textFill>
              </w:rPr>
              <w:t>协议或者分包意向协议约定小微企业的合同份额占到合同</w:t>
            </w:r>
            <w:r>
              <w:rPr>
                <w:rFonts w:hint="eastAsia" w:ascii="宋体" w:hAnsi="宋体" w:eastAsia="宋体" w:cs="宋体"/>
                <w:color w:val="000000" w:themeColor="text1"/>
                <w:spacing w:val="0"/>
                <w:highlight w:val="none"/>
                <w14:textFill>
                  <w14:solidFill>
                    <w14:schemeClr w14:val="tx1"/>
                  </w14:solidFill>
                </w14:textFill>
              </w:rPr>
              <w:t xml:space="preserve">总金额 </w:t>
            </w:r>
            <w:r>
              <w:rPr>
                <w:rFonts w:hint="eastAsia" w:ascii="宋体" w:hAnsi="宋体" w:eastAsia="宋体" w:cs="宋体"/>
                <w:color w:val="000000" w:themeColor="text1"/>
                <w:highlight w:val="none"/>
                <w14:textFill>
                  <w14:solidFill>
                    <w14:schemeClr w14:val="tx1"/>
                  </w14:solidFill>
                </w14:textFill>
              </w:rPr>
              <w:t>30%以上的，采购人、采购代理机构应当对联合体或</w:t>
            </w:r>
            <w:r>
              <w:rPr>
                <w:rFonts w:hint="eastAsia" w:ascii="宋体" w:hAnsi="宋体" w:eastAsia="宋体" w:cs="宋体"/>
                <w:color w:val="000000" w:themeColor="text1"/>
                <w:spacing w:val="0"/>
                <w:highlight w:val="none"/>
                <w14:textFill>
                  <w14:solidFill>
                    <w14:schemeClr w14:val="tx1"/>
                  </w14:solidFill>
                </w14:textFill>
              </w:rPr>
              <w:t>者大中型企业的报价给予</w:t>
            </w:r>
            <w:r>
              <w:rPr>
                <w:rFonts w:hint="eastAsia" w:ascii="宋体" w:hAnsi="宋体" w:eastAsia="宋体" w:cs="宋体"/>
                <w:color w:val="000000" w:themeColor="text1"/>
                <w:highlight w:val="none"/>
                <w14:textFill>
                  <w14:solidFill>
                    <w14:schemeClr w14:val="tx1"/>
                  </w14:solidFill>
                </w14:textFill>
              </w:rPr>
              <w:t>3%的扣</w:t>
            </w:r>
            <w:r>
              <w:rPr>
                <w:rFonts w:hint="eastAsia" w:ascii="宋体" w:hAnsi="宋体" w:eastAsia="宋体" w:cs="宋体"/>
                <w:color w:val="000000" w:themeColor="text1"/>
                <w:spacing w:val="0"/>
                <w:w w:val="100"/>
                <w:highlight w:val="none"/>
                <w14:textFill>
                  <w14:solidFill>
                    <w14:schemeClr w14:val="tx1"/>
                  </w14:solidFill>
                </w14:textFill>
              </w:rPr>
              <w:t>除，用扣除后的价格参加评审</w:t>
            </w:r>
            <w:r>
              <w:rPr>
                <w:rFonts w:hint="eastAsia" w:ascii="宋体" w:hAnsi="宋体" w:eastAsia="宋体" w:cs="宋体"/>
                <w:color w:val="000000" w:themeColor="text1"/>
                <w:spacing w:val="0"/>
                <w:w w:val="10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组成联合体或者接受分包的小微企业与联合体内其他企业、分包企业之间存在直接控股、管理关系的，不享受价格扣除优惠政策</w:t>
            </w:r>
            <w:r>
              <w:rPr>
                <w:rFonts w:hint="eastAsia" w:ascii="宋体" w:hAnsi="宋体" w:eastAsia="宋体" w:cs="宋体"/>
                <w:color w:val="000000" w:themeColor="text1"/>
                <w:spacing w:val="0"/>
                <w:w w:val="100"/>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b/>
                <w:bCs/>
                <w:color w:val="000000" w:themeColor="text1"/>
                <w:highlight w:val="none"/>
                <w:lang w:val="en-US" w:eastAsia="zh-CN"/>
                <w14:textFill>
                  <w14:solidFill>
                    <w14:schemeClr w14:val="tx1"/>
                  </w14:solidFill>
                </w14:textFill>
              </w:rPr>
            </w:pPr>
            <w:r>
              <w:rPr>
                <w:rFonts w:hint="eastAsia" w:cs="宋体"/>
                <w:b/>
                <w:bCs/>
                <w:color w:val="000000" w:themeColor="text1"/>
                <w:highlight w:val="none"/>
                <w:lang w:val="en-US" w:eastAsia="zh-CN"/>
                <w14:textFill>
                  <w14:solidFill>
                    <w14:schemeClr w14:val="tx1"/>
                  </w14:solidFill>
                </w14:textFill>
              </w:rPr>
              <w:t>注：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二、监狱企业价格扣除</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2.本项目对监狱企业</w:t>
            </w:r>
            <w:r>
              <w:rPr>
                <w:rFonts w:hint="eastAsia" w:cs="宋体"/>
                <w:color w:val="000000" w:themeColor="text1"/>
                <w:highlight w:val="none"/>
                <w:lang w:eastAsia="zh-CN"/>
                <w14:textFill>
                  <w14:solidFill>
                    <w14:schemeClr w14:val="tx1"/>
                  </w14:solidFill>
                </w14:textFill>
              </w:rPr>
              <w:t>参与投标</w:t>
            </w:r>
            <w:r>
              <w:rPr>
                <w:rFonts w:hint="eastAsia" w:cs="宋体"/>
                <w:color w:val="000000" w:themeColor="text1"/>
                <w:highlight w:val="none"/>
                <w14:textFill>
                  <w14:solidFill>
                    <w14:schemeClr w14:val="tx1"/>
                  </w14:solidFill>
                </w14:textFill>
              </w:rPr>
              <w:t>的价格给予</w:t>
            </w:r>
            <w:r>
              <w:rPr>
                <w:rFonts w:hint="eastAsia" w:cs="宋体"/>
                <w:color w:val="000000" w:themeColor="text1"/>
                <w:highlight w:val="none"/>
                <w:lang w:val="en-US" w:eastAsia="zh-CN"/>
                <w14:textFill>
                  <w14:solidFill>
                    <w14:schemeClr w14:val="tx1"/>
                  </w14:solidFill>
                </w14:textFill>
              </w:rPr>
              <w:t>10</w:t>
            </w:r>
            <w:r>
              <w:rPr>
                <w:rFonts w:hint="eastAsia" w:cs="宋体"/>
                <w:color w:val="000000" w:themeColor="text1"/>
                <w:highlight w:val="none"/>
                <w14:textFill>
                  <w14:solidFill>
                    <w14:schemeClr w14:val="tx1"/>
                  </w14:solidFill>
                </w14:textFill>
              </w:rPr>
              <w:t>%的扣除，用扣除后的价格参与评审。</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3.监狱企业参加政府采购活动时，应当提供由省级以上监狱管理局、戒毒管理局</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含新疆生产建设兵团</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出具的属于监狱企业的证明文件。</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w:t>
            </w:r>
            <w:r>
              <w:rPr>
                <w:rFonts w:hint="eastAsia" w:cs="宋体"/>
                <w:color w:val="000000" w:themeColor="text1"/>
                <w:highlight w:val="none"/>
                <w14:textFill>
                  <w14:solidFill>
                    <w14:schemeClr w14:val="tx1"/>
                  </w14:solidFill>
                </w14:textFill>
              </w:rPr>
              <w:t>监狱企业</w:t>
            </w:r>
            <w:r>
              <w:rPr>
                <w:rFonts w:hint="eastAsia" w:cs="宋体"/>
                <w:color w:val="000000" w:themeColor="text1"/>
                <w:highlight w:val="none"/>
                <w:lang w:val="en-US" w:eastAsia="zh-CN"/>
                <w14:textFill>
                  <w14:solidFill>
                    <w14:schemeClr w14:val="tx1"/>
                  </w14:solidFill>
                </w14:textFill>
              </w:rPr>
              <w:t>属于小型、微型企业的，不重复享受政策。</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三、残疾人福利性单位</w:t>
            </w:r>
            <w:r>
              <w:rPr>
                <w:rFonts w:hint="eastAsia" w:cs="宋体"/>
                <w:color w:val="000000" w:themeColor="text1"/>
                <w:highlight w:val="none"/>
                <w14:textFill>
                  <w14:solidFill>
                    <w14:schemeClr w14:val="tx1"/>
                  </w14:solidFill>
                </w14:textFill>
              </w:rPr>
              <w:t>价格扣除</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2.本项目对残疾人福利性单位参与投标的价格给予10</w:t>
            </w: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的扣除，用扣除后的价格参与评审。</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3.残疾人福利性单位参加政府采购活动时，应当提供本通知规定的《残疾人福利性单位声明函》。</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4.供应商提供的《残疾人福利性单位声明函》与事实不符的，依照《政府采购法》第七十七条第一款的规定追究法律责任。</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5.残疾人福利性单位属于小型、微型企业的，不重复享受政策。</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四</w:t>
            </w:r>
            <w:r>
              <w:rPr>
                <w:rFonts w:hint="eastAsia" w:cs="宋体"/>
                <w:color w:val="000000" w:themeColor="text1"/>
                <w:highlight w:val="none"/>
                <w14:textFill>
                  <w14:solidFill>
                    <w14:schemeClr w14:val="tx1"/>
                  </w14:solidFill>
                </w14:textFill>
              </w:rPr>
              <w:t>、失信企业报价加成或者扣分</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cs="宋体"/>
                <w:color w:val="000000" w:themeColor="text1"/>
                <w:kern w:val="0"/>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r>
              <w:rPr>
                <w:rFonts w:hint="eastAsia" w:cs="宋体"/>
                <w:color w:val="000000" w:themeColor="text1"/>
                <w:highlight w:val="none"/>
                <w:lang w:val="en-US" w:eastAsia="zh-CN"/>
                <w14:textFill>
                  <w14:solidFill>
                    <w14:schemeClr w14:val="tx1"/>
                  </w14:solidFill>
                </w14:textFill>
              </w:rPr>
              <w:t>参照</w:t>
            </w:r>
            <w:r>
              <w:rPr>
                <w:rFonts w:hint="eastAsia" w:cs="宋体"/>
                <w:color w:val="000000" w:themeColor="text1"/>
                <w:highlight w:val="none"/>
                <w14:textFill>
                  <w14:solidFill>
                    <w14:schemeClr w14:val="tx1"/>
                  </w14:solidFill>
                </w14:textFill>
              </w:rPr>
              <w:t>《四川省政府采购当事人诚信管理办法》，对记入诚信档案的且在有效期内的失信供应商，在参加政府采购活动中实行10%的报价加成</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以加成后报价作为该供应商报价评审。供应商失信行为惩戒实行无限制累加制，因其失信行为进行报价加成惩戒后报价超过政府采购预算或</w:t>
            </w:r>
            <w:r>
              <w:rPr>
                <w:rFonts w:hint="eastAsia" w:cs="宋体"/>
                <w:color w:val="000000" w:themeColor="text1"/>
                <w:highlight w:val="none"/>
                <w:lang w:val="en-US" w:eastAsia="zh-CN"/>
                <w14:textFill>
                  <w14:solidFill>
                    <w14:schemeClr w14:val="tx1"/>
                  </w14:solidFill>
                </w14:textFill>
              </w:rPr>
              <w:t>单价</w:t>
            </w:r>
            <w:r>
              <w:rPr>
                <w:rFonts w:hint="eastAsia" w:cs="宋体"/>
                <w:color w:val="000000" w:themeColor="text1"/>
                <w:highlight w:val="none"/>
                <w14:textFill>
                  <w14:solidFill>
                    <w14:schemeClr w14:val="tx1"/>
                  </w14:solidFill>
                </w14:textFill>
              </w:rPr>
              <w:t>最高限价的，其</w:t>
            </w:r>
            <w:r>
              <w:rPr>
                <w:rFonts w:hint="eastAsia" w:cs="宋体"/>
                <w:color w:val="000000" w:themeColor="text1"/>
                <w:highlight w:val="none"/>
                <w:lang w:val="en-US" w:eastAsia="zh-CN"/>
                <w14:textFill>
                  <w14:solidFill>
                    <w14:schemeClr w14:val="tx1"/>
                  </w14:solidFill>
                </w14:textFill>
              </w:rPr>
              <w:t>响应文件</w:t>
            </w:r>
            <w:r>
              <w:rPr>
                <w:rFonts w:hint="eastAsia" w:cs="宋体"/>
                <w:color w:val="000000" w:themeColor="text1"/>
                <w:highlight w:val="none"/>
                <w14:textFill>
                  <w14:solidFill>
                    <w14:schemeClr w14:val="tx1"/>
                  </w14:solidFill>
                </w14:textFill>
              </w:rPr>
              <w:t>按照无效处理</w:t>
            </w:r>
            <w:r>
              <w:rPr>
                <w:rFonts w:hint="eastAsia"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对记入诚信档案的且在有效期内的</w:t>
            </w:r>
            <w:r>
              <w:rPr>
                <w:rFonts w:hint="eastAsia" w:cs="宋体"/>
                <w:color w:val="000000" w:themeColor="text1"/>
                <w:kern w:val="0"/>
                <w:highlight w:val="none"/>
                <w:lang w:val="en-US" w:eastAsia="zh-CN"/>
                <w14:textFill>
                  <w14:solidFill>
                    <w14:schemeClr w14:val="tx1"/>
                  </w14:solidFill>
                </w14:textFill>
              </w:rPr>
              <w:t>失信</w:t>
            </w:r>
            <w:r>
              <w:rPr>
                <w:rFonts w:hint="eastAsia" w:ascii="宋体" w:hAnsi="宋体" w:cs="宋体"/>
                <w:color w:val="000000" w:themeColor="text1"/>
                <w:kern w:val="0"/>
                <w:highlight w:val="none"/>
                <w14:textFill>
                  <w14:solidFill>
                    <w14:schemeClr w14:val="tx1"/>
                  </w14:solidFill>
                </w14:textFill>
              </w:rPr>
              <w:t>供应商，</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2.供应商参加政府采购活动时，应当就</w:t>
            </w:r>
            <w:r>
              <w:rPr>
                <w:rFonts w:hint="eastAsia" w:cs="宋体"/>
                <w:color w:val="000000" w:themeColor="text1"/>
                <w:highlight w:val="none"/>
                <w:lang w:val="en-US" w:eastAsia="zh-CN"/>
                <w14:textFill>
                  <w14:solidFill>
                    <w14:schemeClr w14:val="tx1"/>
                  </w14:solidFill>
                </w14:textFill>
              </w:rPr>
              <w:t>其</w:t>
            </w:r>
            <w:r>
              <w:rPr>
                <w:rFonts w:hint="eastAsia" w:cs="宋体"/>
                <w:color w:val="000000" w:themeColor="text1"/>
                <w:highlight w:val="none"/>
                <w14:textFill>
                  <w14:solidFill>
                    <w14:schemeClr w14:val="tx1"/>
                  </w14:solidFill>
                </w14:textFill>
              </w:rPr>
              <w:t>诚信情况在</w:t>
            </w:r>
            <w:r>
              <w:rPr>
                <w:rFonts w:hint="eastAsia" w:cs="宋体"/>
                <w:color w:val="000000" w:themeColor="text1"/>
                <w:highlight w:val="none"/>
                <w:lang w:val="en-US" w:eastAsia="zh-CN"/>
                <w14:textFill>
                  <w14:solidFill>
                    <w14:schemeClr w14:val="tx1"/>
                  </w14:solidFill>
                </w14:textFill>
              </w:rPr>
              <w:t>投标</w:t>
            </w:r>
            <w:r>
              <w:rPr>
                <w:rFonts w:hint="eastAsia" w:cs="宋体"/>
                <w:color w:val="000000" w:themeColor="text1"/>
                <w:highlight w:val="none"/>
                <w14:textFill>
                  <w14:solidFill>
                    <w14:schemeClr w14:val="tx1"/>
                  </w14:solidFill>
                </w14:textFill>
              </w:rPr>
              <w:t>文件中进行承诺。</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3.“信用中国”网站</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www.creditchina.gov.cn</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中列入失信被执行人和重大税收违法案件当事人名单的供应商和</w:t>
            </w:r>
            <w:r>
              <w:rPr>
                <w:rFonts w:hint="eastAsia" w:cs="宋体"/>
                <w:color w:val="000000" w:themeColor="text1"/>
                <w:highlight w:val="none"/>
                <w:lang w:eastAsia="zh-CN"/>
                <w14:textFill>
                  <w14:solidFill>
                    <w14:schemeClr w14:val="tx1"/>
                  </w14:solidFill>
                </w14:textFill>
              </w:rPr>
              <w:t>“中国政府采购网”(</w:t>
            </w:r>
            <w:r>
              <w:rPr>
                <w:rFonts w:hint="eastAsia" w:cs="宋体"/>
                <w:color w:val="000000" w:themeColor="text1"/>
                <w:highlight w:val="none"/>
                <w14:textFill>
                  <w14:solidFill>
                    <w14:schemeClr w14:val="tx1"/>
                  </w14:solidFill>
                </w14:textFill>
              </w:rPr>
              <w:t>www.ccgp.gov.cn</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政府采购严重违法失信行为记录名单中被财政部门禁止参加政府采购活动的供应商参加</w:t>
            </w:r>
            <w:r>
              <w:rPr>
                <w:rFonts w:hint="eastAsia" w:cs="宋体"/>
                <w:color w:val="000000" w:themeColor="text1"/>
                <w:highlight w:val="none"/>
                <w:lang w:val="en-US" w:eastAsia="zh-CN"/>
                <w14:textFill>
                  <w14:solidFill>
                    <w14:schemeClr w14:val="tx1"/>
                  </w14:solidFill>
                </w14:textFill>
              </w:rPr>
              <w:t>本</w:t>
            </w:r>
            <w:r>
              <w:rPr>
                <w:rFonts w:hint="eastAsia" w:cs="宋体"/>
                <w:color w:val="000000" w:themeColor="text1"/>
                <w:highlight w:val="none"/>
                <w14:textFill>
                  <w14:solidFill>
                    <w14:schemeClr w14:val="tx1"/>
                  </w14:solidFill>
                </w14:textFill>
              </w:rPr>
              <w:t>项目</w:t>
            </w:r>
            <w:r>
              <w:rPr>
                <w:rFonts w:hint="eastAsia" w:cs="宋体"/>
                <w:color w:val="000000" w:themeColor="text1"/>
                <w:highlight w:val="none"/>
                <w:lang w:val="en-US" w:eastAsia="zh-CN"/>
                <w14:textFill>
                  <w14:solidFill>
                    <w14:schemeClr w14:val="tx1"/>
                  </w14:solidFill>
                </w14:textFill>
              </w:rPr>
              <w:t>投标</w:t>
            </w:r>
            <w:r>
              <w:rPr>
                <w:rFonts w:hint="eastAsia" w:cs="宋体"/>
                <w:color w:val="000000" w:themeColor="text1"/>
                <w:highlight w:val="none"/>
                <w14:textFill>
                  <w14:solidFill>
                    <w14:schemeClr w14:val="tx1"/>
                  </w14:solidFill>
                </w14:textFill>
              </w:rPr>
              <w:t>作</w:t>
            </w:r>
            <w:r>
              <w:rPr>
                <w:rFonts w:hint="eastAsia" w:cs="宋体"/>
                <w:color w:val="000000" w:themeColor="text1"/>
                <w:highlight w:val="none"/>
                <w:lang w:val="en-US" w:eastAsia="zh-CN"/>
                <w14:textFill>
                  <w14:solidFill>
                    <w14:schemeClr w14:val="tx1"/>
                  </w14:solidFill>
                </w14:textFill>
              </w:rPr>
              <w:t>无效投标</w:t>
            </w:r>
            <w:r>
              <w:rPr>
                <w:rFonts w:hint="eastAsia" w:cs="宋体"/>
                <w:color w:val="000000" w:themeColor="text1"/>
                <w:highlight w:val="none"/>
                <w14:textFill>
                  <w14:solidFill>
                    <w14:schemeClr w14:val="tx1"/>
                  </w14:solidFill>
                </w14:textFill>
              </w:rPr>
              <w:t>处理，不予报价加成或者扣分。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rPr>
            </w:pPr>
            <w:r>
              <w:rPr>
                <w:rFonts w:hint="eastAsia"/>
                <w:highlight w:val="none"/>
              </w:rPr>
              <w:t>建议品牌或者供应商</w:t>
            </w:r>
          </w:p>
          <w:p>
            <w:pPr>
              <w:pStyle w:val="45"/>
              <w:rPr>
                <w:highlight w:val="none"/>
              </w:rPr>
            </w:pPr>
            <w:r>
              <w:rPr>
                <w:rFonts w:hint="eastAsia"/>
                <w:highlight w:val="none"/>
              </w:rPr>
              <w:t>(如涉及)</w:t>
            </w:r>
          </w:p>
        </w:tc>
        <w:tc>
          <w:tcPr>
            <w:tcW w:w="7244" w:type="dxa"/>
            <w:vAlign w:val="center"/>
          </w:tcPr>
          <w:p>
            <w:pPr>
              <w:pStyle w:val="41"/>
              <w:ind w:left="72" w:leftChars="30"/>
              <w:rPr>
                <w:highlight w:val="none"/>
              </w:rPr>
            </w:pPr>
            <w:r>
              <w:rPr>
                <w:rFonts w:hint="eastAsia"/>
                <w:highlight w:val="none"/>
              </w:rPr>
              <w:t>若采购文件涉及建议品牌或者供应商，其目的是为了准确清楚说明采购项目的技术标准和要求，其意思表示为“参照或相当于”建议品牌或者供应商，其品牌或供应商具有可替代性。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bidi w:val="0"/>
              <w:rPr>
                <w:highlight w:val="none"/>
              </w:rPr>
            </w:pPr>
            <w:r>
              <w:rPr>
                <w:rFonts w:hint="eastAsia"/>
                <w:highlight w:val="none"/>
                <w:lang w:val="en-US" w:eastAsia="zh-CN"/>
              </w:rPr>
              <w:t>节能产品、环境标志产品、无线局域网产品采购政策</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0" w:leftChars="0" w:right="60" w:rightChars="25" w:firstLine="0" w:firstLineChars="0"/>
              <w:textAlignment w:val="auto"/>
              <w:rPr>
                <w:highlight w:val="none"/>
              </w:rPr>
            </w:pPr>
            <w:r>
              <w:rPr>
                <w:rFonts w:hint="eastAsia"/>
                <w:highlight w:val="none"/>
                <w:lang w:val="en-US" w:eastAsia="zh-CN"/>
              </w:rPr>
              <w:t>本项目不涉及节能产品、环境标志产品、无线局域网产品，故不在招标文件中体现相关政策。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rPr>
            </w:pPr>
            <w:r>
              <w:rPr>
                <w:rFonts w:hint="eastAsia"/>
                <w:highlight w:val="none"/>
              </w:rPr>
              <w:t>其他强制性规定</w:t>
            </w:r>
          </w:p>
          <w:p>
            <w:pPr>
              <w:pStyle w:val="45"/>
              <w:rPr>
                <w:highlight w:val="none"/>
              </w:rPr>
            </w:pPr>
            <w:r>
              <w:rPr>
                <w:rFonts w:hint="eastAsia"/>
                <w:highlight w:val="none"/>
              </w:rPr>
              <w:t>(如涉及时作为实质性要求)</w:t>
            </w:r>
          </w:p>
        </w:tc>
        <w:tc>
          <w:tcPr>
            <w:tcW w:w="7244" w:type="dxa"/>
            <w:vAlign w:val="center"/>
          </w:tcPr>
          <w:p>
            <w:pPr>
              <w:pStyle w:val="41"/>
              <w:ind w:left="72" w:leftChars="30"/>
              <w:rPr>
                <w:highlight w:val="none"/>
              </w:rPr>
            </w:pPr>
            <w:r>
              <w:rPr>
                <w:rFonts w:hint="eastAsia"/>
                <w:highlight w:val="none"/>
              </w:rPr>
              <w:t>国家或行业主管部门对采购产品的技术标准、质量标准和资格资质条件等有强制性规定的，必须符合其要求。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lang w:val="zh-CN"/>
              </w:rPr>
            </w:pPr>
            <w:r>
              <w:rPr>
                <w:rFonts w:hint="eastAsia"/>
                <w:highlight w:val="none"/>
                <w:lang w:val="zh-CN"/>
              </w:rPr>
              <w:t>评</w:t>
            </w:r>
            <w:r>
              <w:rPr>
                <w:rFonts w:hint="eastAsia"/>
                <w:highlight w:val="none"/>
              </w:rPr>
              <w:t>审</w:t>
            </w:r>
            <w:r>
              <w:rPr>
                <w:rFonts w:hint="eastAsia"/>
                <w:highlight w:val="none"/>
                <w:lang w:val="zh-CN"/>
              </w:rPr>
              <w:t>情况的公告</w:t>
            </w:r>
          </w:p>
        </w:tc>
        <w:tc>
          <w:tcPr>
            <w:tcW w:w="7244" w:type="dxa"/>
            <w:vAlign w:val="center"/>
          </w:tcPr>
          <w:p>
            <w:pPr>
              <w:pStyle w:val="41"/>
              <w:ind w:left="72" w:leftChars="30"/>
              <w:rPr>
                <w:highlight w:val="none"/>
              </w:rPr>
            </w:pPr>
            <w:r>
              <w:rPr>
                <w:rFonts w:hint="eastAsia"/>
                <w:highlight w:val="none"/>
              </w:rPr>
              <w:t>1.所有供应商投标文件资格性、符合性审查情况、采用综合评分法时的总得分和分项汇总得分情况、评审结果等将在“四川政府采购网”采购结果公告附件中予以公告。</w:t>
            </w:r>
          </w:p>
          <w:p>
            <w:pPr>
              <w:pStyle w:val="41"/>
              <w:ind w:left="72" w:leftChars="30"/>
              <w:rPr>
                <w:highlight w:val="none"/>
                <w:lang w:val="zh-CN"/>
              </w:rPr>
            </w:pPr>
            <w:r>
              <w:rPr>
                <w:rFonts w:hint="eastAsia"/>
                <w:highlight w:val="none"/>
              </w:rPr>
              <w:t>2.</w:t>
            </w:r>
            <w:r>
              <w:rPr>
                <w:rFonts w:hint="eastAsia"/>
                <w:highlight w:val="none"/>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lang w:val="zh-CN"/>
              </w:rPr>
            </w:pPr>
            <w:r>
              <w:rPr>
                <w:rFonts w:hint="eastAsia"/>
                <w:highlight w:val="none"/>
              </w:rPr>
              <w:t>中标通知书领取</w:t>
            </w:r>
          </w:p>
        </w:tc>
        <w:tc>
          <w:tcPr>
            <w:tcW w:w="7244" w:type="dxa"/>
            <w:vAlign w:val="center"/>
          </w:tcPr>
          <w:p>
            <w:pPr>
              <w:pStyle w:val="41"/>
              <w:ind w:left="72" w:leftChars="3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采购代理机构在中标人确定后2个工作日内，在“四川政府采购网”上发布中标公告，同时向中标人发出中标通知书。</w:t>
            </w:r>
          </w:p>
          <w:p>
            <w:pPr>
              <w:pStyle w:val="41"/>
              <w:ind w:left="72" w:leftChars="3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请中标人凭有效身份证明证件到采购代理机构领取中标通知书，逾期</w:t>
            </w:r>
            <w:r>
              <w:rPr>
                <w:rFonts w:hint="eastAsia"/>
                <w:color w:val="000000" w:themeColor="text1"/>
                <w:highlight w:val="none"/>
                <w14:textFill>
                  <w14:solidFill>
                    <w14:schemeClr w14:val="tx1"/>
                  </w14:solidFill>
                </w14:textFill>
              </w:rPr>
              <w:t>不领取，</w:t>
            </w:r>
            <w:r>
              <w:rPr>
                <w:rFonts w:hint="eastAsia"/>
                <w:color w:val="000000" w:themeColor="text1"/>
                <w:highlight w:val="none"/>
                <w:lang w:val="zh-CN"/>
                <w14:textFill>
                  <w14:solidFill>
                    <w14:schemeClr w14:val="tx1"/>
                  </w14:solidFill>
                </w14:textFill>
              </w:rPr>
              <w:t>采购代理机构将中标通知书快递至中标人，中标人自行承担相关不利后果。</w:t>
            </w:r>
          </w:p>
          <w:p>
            <w:pPr>
              <w:pStyle w:val="41"/>
              <w:ind w:left="72" w:leftChars="3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联系人：</w:t>
            </w:r>
            <w:r>
              <w:rPr>
                <w:rFonts w:hint="eastAsia"/>
                <w:color w:val="000000" w:themeColor="text1"/>
                <w:highlight w:val="none"/>
                <w:lang w:val="en-US" w:eastAsia="zh-CN"/>
                <w14:textFill>
                  <w14:solidFill>
                    <w14:schemeClr w14:val="tx1"/>
                  </w14:solidFill>
                </w14:textFill>
              </w:rPr>
              <w:t>朱琴</w:t>
            </w:r>
          </w:p>
          <w:p>
            <w:pPr>
              <w:pStyle w:val="41"/>
              <w:ind w:left="72" w:leftChars="3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联系电话：028-61375575、62600820、62630990转601或602</w:t>
            </w:r>
          </w:p>
          <w:p>
            <w:pPr>
              <w:pStyle w:val="41"/>
              <w:ind w:left="72" w:leftChars="3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地址：</w:t>
            </w:r>
            <w:r>
              <w:rPr>
                <w:rFonts w:hint="eastAsia"/>
                <w:color w:val="000000" w:themeColor="text1"/>
                <w:highlight w:val="none"/>
                <w14:textFill>
                  <w14:solidFill>
                    <w14:schemeClr w14:val="tx1"/>
                  </w14:solidFill>
                </w14:textFill>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lang w:val="zh-CN"/>
              </w:rPr>
            </w:pPr>
            <w:r>
              <w:rPr>
                <w:rFonts w:hint="eastAsia"/>
                <w:highlight w:val="none"/>
              </w:rPr>
              <w:t>招标</w:t>
            </w:r>
            <w:r>
              <w:rPr>
                <w:rFonts w:hint="eastAsia"/>
                <w:highlight w:val="none"/>
                <w:lang w:val="zh-CN"/>
              </w:rPr>
              <w:t>代理</w:t>
            </w:r>
          </w:p>
          <w:p>
            <w:pPr>
              <w:pStyle w:val="45"/>
              <w:rPr>
                <w:highlight w:val="none"/>
              </w:rPr>
            </w:pPr>
            <w:r>
              <w:rPr>
                <w:rFonts w:hint="eastAsia"/>
                <w:highlight w:val="none"/>
                <w:lang w:val="zh-CN"/>
              </w:rPr>
              <w:t>服务费</w:t>
            </w:r>
          </w:p>
        </w:tc>
        <w:tc>
          <w:tcPr>
            <w:tcW w:w="7244" w:type="dxa"/>
            <w:vAlign w:val="center"/>
          </w:tcPr>
          <w:p>
            <w:pPr>
              <w:pStyle w:val="41"/>
              <w:ind w:left="72" w:leftChars="3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1.收取标准：采购代理服务费（不包括处理招标阶段的诉讼所需的费用）</w:t>
            </w:r>
            <w:r>
              <w:rPr>
                <w:rFonts w:hint="eastAsia"/>
                <w:color w:val="000000" w:themeColor="text1"/>
                <w:highlight w:val="none"/>
                <w:lang w:val="en-US" w:eastAsia="zh-CN"/>
                <w14:textFill>
                  <w14:solidFill>
                    <w14:schemeClr w14:val="tx1"/>
                  </w14:solidFill>
                </w14:textFill>
              </w:rPr>
              <w:t>以成本加合理利润为原则，</w:t>
            </w:r>
            <w:r>
              <w:rPr>
                <w:rFonts w:hint="eastAsia"/>
                <w:color w:val="000000" w:themeColor="text1"/>
                <w:highlight w:val="none"/>
                <w14:textFill>
                  <w14:solidFill>
                    <w14:schemeClr w14:val="tx1"/>
                  </w14:solidFill>
                </w14:textFill>
              </w:rPr>
              <w:t>参照2002年10月15日国家计委印发的《招标代理服务收费管理暂行办法》（计价格[2002]1980号）之附件《招标代理服务收费标准》按预算金额计取。</w:t>
            </w:r>
          </w:p>
          <w:p>
            <w:pPr>
              <w:pStyle w:val="41"/>
              <w:ind w:left="72" w:leftChars="30"/>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2.收取方式：</w:t>
            </w:r>
            <w:r>
              <w:rPr>
                <w:rFonts w:hint="eastAsia"/>
                <w:color w:val="000000" w:themeColor="text1"/>
                <w:highlight w:val="none"/>
                <w:lang w:val="zh-CN"/>
                <w14:textFill>
                  <w14:solidFill>
                    <w14:schemeClr w14:val="tx1"/>
                  </w14:solidFill>
                </w14:textFill>
              </w:rPr>
              <w:t>中标通知发出后二个工作日内由中标人一次性支付</w:t>
            </w:r>
            <w:r>
              <w:rPr>
                <w:rFonts w:hint="eastAsia"/>
                <w:color w:val="000000" w:themeColor="text1"/>
                <w:highlight w:val="none"/>
                <w14:textFill>
                  <w14:solidFill>
                    <w14:schemeClr w14:val="tx1"/>
                  </w14:solidFill>
                </w14:textFill>
              </w:rPr>
              <w:t>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lang w:val="zh-CN"/>
              </w:rPr>
            </w:pPr>
            <w:r>
              <w:rPr>
                <w:rFonts w:hint="eastAsia"/>
                <w:highlight w:val="none"/>
                <w:lang w:val="zh-CN"/>
              </w:rPr>
              <w:t>履约保证金</w:t>
            </w:r>
          </w:p>
        </w:tc>
        <w:tc>
          <w:tcPr>
            <w:tcW w:w="7244" w:type="dxa"/>
            <w:vAlign w:val="center"/>
          </w:tcPr>
          <w:p>
            <w:pPr>
              <w:pStyle w:val="4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rPr>
            </w:pPr>
            <w:r>
              <w:rPr>
                <w:rFonts w:hint="eastAsia"/>
                <w:highlight w:val="none"/>
              </w:rPr>
              <w:t>政府采购供应商信用融资</w:t>
            </w:r>
          </w:p>
        </w:tc>
        <w:tc>
          <w:tcPr>
            <w:tcW w:w="7244" w:type="dxa"/>
            <w:vAlign w:val="center"/>
          </w:tcPr>
          <w:p>
            <w:pPr>
              <w:pStyle w:val="41"/>
              <w:ind w:left="72" w:leftChars="3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1"/>
              <w:ind w:left="72" w:leftChars="3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41"/>
              <w:ind w:left="72" w:leftChars="3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3.“政采贷”政策咨询电话：</w:t>
            </w:r>
            <w:r>
              <w:rPr>
                <w:rFonts w:hint="eastAsia"/>
                <w:color w:val="000000" w:themeColor="text1"/>
                <w:highlight w:val="none"/>
                <w:lang w:val="zh-CN"/>
                <w14:textFill>
                  <w14:solidFill>
                    <w14:schemeClr w14:val="tx1"/>
                  </w14:solidFill>
                </w14:textFill>
              </w:rPr>
              <w:t>028-61375575转6</w:t>
            </w:r>
            <w:r>
              <w:rPr>
                <w:rFonts w:hint="eastAsia"/>
                <w:color w:val="000000" w:themeColor="text1"/>
                <w:highlight w:val="none"/>
                <w14:textFill>
                  <w14:solidFill>
                    <w14:schemeClr w14:val="tx1"/>
                  </w14:solidFill>
                </w14:textFill>
              </w:rPr>
              <w:t>08。</w:t>
            </w:r>
          </w:p>
          <w:p>
            <w:pPr>
              <w:pStyle w:val="41"/>
              <w:ind w:left="72" w:leftChars="3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注：相关政策文件详见本采购文件附件内容。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tcPr>
          <w:p>
            <w:pPr>
              <w:pStyle w:val="45"/>
              <w:rPr>
                <w:highlight w:val="none"/>
              </w:rPr>
            </w:pPr>
          </w:p>
          <w:p>
            <w:pPr>
              <w:pStyle w:val="45"/>
              <w:rPr>
                <w:highlight w:val="none"/>
              </w:rPr>
            </w:pPr>
            <w:r>
              <w:rPr>
                <w:rFonts w:hint="eastAsia"/>
                <w:highlight w:val="none"/>
              </w:rPr>
              <w:t>政府采购合同公告备案</w:t>
            </w:r>
          </w:p>
        </w:tc>
        <w:tc>
          <w:tcPr>
            <w:tcW w:w="7244" w:type="dxa"/>
          </w:tcPr>
          <w:p>
            <w:pPr>
              <w:pStyle w:val="41"/>
              <w:ind w:left="72" w:leftChars="30"/>
              <w:rPr>
                <w:highlight w:val="none"/>
              </w:rPr>
            </w:pPr>
            <w:r>
              <w:rPr>
                <w:rFonts w:hint="eastAsia"/>
                <w:highlight w:val="none"/>
              </w:rPr>
              <w:t>政府采购合同签订之日起2个工作日内，政府采购合同将在“四川政府采购网”公告；政府采购合同签订之日起七个工作日内，政府采购合同将向本采购项目同级财政部门</w:t>
            </w:r>
            <w:r>
              <w:rPr>
                <w:rFonts w:hint="eastAsia"/>
                <w:highlight w:val="none"/>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lang w:val="zh-CN"/>
              </w:rPr>
            </w:pPr>
            <w:r>
              <w:rPr>
                <w:rFonts w:hint="eastAsia"/>
                <w:highlight w:val="none"/>
              </w:rPr>
              <w:t>供应商询问</w:t>
            </w:r>
          </w:p>
        </w:tc>
        <w:tc>
          <w:tcPr>
            <w:tcW w:w="7244" w:type="dxa"/>
          </w:tcPr>
          <w:p>
            <w:pPr>
              <w:pStyle w:val="41"/>
              <w:ind w:left="72" w:leftChars="30"/>
              <w:rPr>
                <w:highlight w:val="none"/>
                <w:lang w:val="zh-CN"/>
              </w:rPr>
            </w:pPr>
            <w:r>
              <w:rPr>
                <w:rFonts w:hint="eastAsia"/>
                <w:highlight w:val="none"/>
              </w:rPr>
              <w:t>1.根据委托代理协议约定，</w:t>
            </w:r>
            <w:r>
              <w:rPr>
                <w:rFonts w:hint="eastAsia"/>
                <w:highlight w:val="none"/>
                <w:lang w:eastAsia="zh-CN"/>
              </w:rPr>
              <w:t>甲方负责对采购文件技术参数部分的询问答复的资料提供，乙方进行采购文件技术参数部分的询问的答复；乙方负责采购文件技术参数部分以外的询问的答复</w:t>
            </w:r>
            <w:r>
              <w:rPr>
                <w:rFonts w:hint="eastAsia"/>
                <w:highlight w:val="none"/>
              </w:rPr>
              <w:t>。</w:t>
            </w:r>
          </w:p>
          <w:p>
            <w:pPr>
              <w:pStyle w:val="41"/>
              <w:ind w:left="72" w:leftChars="30"/>
              <w:rPr>
                <w:highlight w:val="none"/>
              </w:rPr>
            </w:pPr>
            <w:r>
              <w:rPr>
                <w:rFonts w:hint="eastAsia"/>
                <w:highlight w:val="none"/>
              </w:rPr>
              <w:t>2.询问内容不得涉及评审秘密、国家机密和商业秘密等保密内容。</w:t>
            </w:r>
          </w:p>
          <w:p>
            <w:pPr>
              <w:pStyle w:val="41"/>
              <w:ind w:left="72" w:leftChars="30"/>
              <w:rPr>
                <w:highlight w:val="none"/>
              </w:rPr>
            </w:pPr>
            <w:r>
              <w:rPr>
                <w:rFonts w:hint="eastAsia"/>
                <w:highlight w:val="none"/>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1"/>
              <w:ind w:left="72" w:leftChars="30"/>
              <w:rPr>
                <w:highlight w:val="none"/>
              </w:rPr>
            </w:pPr>
            <w:r>
              <w:rPr>
                <w:rFonts w:hint="eastAsia"/>
                <w:highlight w:val="none"/>
                <w:lang w:val="zh-CN"/>
              </w:rPr>
              <w:t>联系人：</w:t>
            </w:r>
            <w:r>
              <w:rPr>
                <w:rFonts w:hint="eastAsia"/>
                <w:highlight w:val="none"/>
                <w:lang w:val="en-US" w:eastAsia="zh-CN"/>
              </w:rPr>
              <w:t>蒋文伟</w:t>
            </w:r>
          </w:p>
          <w:p>
            <w:pPr>
              <w:pStyle w:val="41"/>
              <w:ind w:left="72" w:leftChars="30"/>
              <w:rPr>
                <w:rFonts w:hint="eastAsia"/>
                <w:highlight w:val="none"/>
                <w:lang w:val="en-US" w:eastAsia="zh-CN"/>
              </w:rPr>
            </w:pPr>
            <w:r>
              <w:rPr>
                <w:rFonts w:hint="eastAsia"/>
                <w:highlight w:val="none"/>
                <w:lang w:val="zh-CN"/>
              </w:rPr>
              <w:t>联系电话：</w:t>
            </w:r>
            <w:r>
              <w:rPr>
                <w:rFonts w:hint="eastAsia"/>
                <w:highlight w:val="none"/>
              </w:rPr>
              <w:t>028-61375575、62600820、62630990转6</w:t>
            </w:r>
            <w:r>
              <w:rPr>
                <w:rFonts w:hint="eastAsia"/>
                <w:highlight w:val="none"/>
                <w:lang w:val="en-US" w:eastAsia="zh-CN"/>
              </w:rPr>
              <w:t>79</w:t>
            </w:r>
          </w:p>
          <w:p>
            <w:pPr>
              <w:pStyle w:val="41"/>
              <w:ind w:left="72" w:leftChars="30"/>
              <w:rPr>
                <w:highlight w:val="none"/>
                <w:lang w:val="zh-CN"/>
              </w:rPr>
            </w:pPr>
            <w:r>
              <w:rPr>
                <w:rFonts w:hint="eastAsia"/>
                <w:highlight w:val="none"/>
                <w:lang w:val="zh-CN"/>
              </w:rPr>
              <w:t>地址：成都市高新区吉庆三路333号蜀都中心二期一号楼一单元401号</w:t>
            </w:r>
          </w:p>
          <w:p>
            <w:pPr>
              <w:pStyle w:val="41"/>
              <w:ind w:left="72" w:leftChars="30"/>
              <w:rPr>
                <w:highlight w:val="none"/>
              </w:rPr>
            </w:pPr>
            <w:r>
              <w:rPr>
                <w:rFonts w:hint="eastAsia"/>
                <w:highlight w:val="none"/>
              </w:rPr>
              <w:t>邮编：610041</w:t>
            </w:r>
          </w:p>
          <w:p>
            <w:pPr>
              <w:pStyle w:val="41"/>
              <w:ind w:left="72" w:leftChars="30"/>
              <w:rPr>
                <w:highlight w:val="none"/>
              </w:rPr>
            </w:pPr>
            <w:r>
              <w:rPr>
                <w:rFonts w:hint="eastAsia"/>
                <w:highlight w:val="none"/>
              </w:rPr>
              <w:t>4.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w:t>
            </w:r>
            <w:r>
              <w:rPr>
                <w:highlight w:val="none"/>
              </w:rPr>
              <w:t>②</w:t>
            </w:r>
            <w:r>
              <w:rPr>
                <w:rFonts w:hint="eastAsia"/>
                <w:highlight w:val="none"/>
              </w:rPr>
              <w:t>采购过程、采购结果环节：参与采购活动的供应商可以对采购过程、采购结果相关问题向四川乾新招投标代理有限公司提出询问，未参与采购活动的供应商不得对此环节提出询问。</w:t>
            </w:r>
            <w:r>
              <w:rPr>
                <w:highlight w:val="none"/>
              </w:rPr>
              <w:t>③</w:t>
            </w:r>
            <w:r>
              <w:rPr>
                <w:rFonts w:hint="eastAsia"/>
                <w:highlight w:val="none"/>
              </w:rPr>
              <w:t>询问提出的时间原则上以政府采购活动中有效质疑的时间计算为准。</w:t>
            </w:r>
          </w:p>
          <w:p>
            <w:pPr>
              <w:pStyle w:val="41"/>
              <w:ind w:left="72" w:leftChars="30"/>
              <w:rPr>
                <w:highlight w:val="none"/>
              </w:rPr>
            </w:pPr>
            <w:r>
              <w:rPr>
                <w:rFonts w:hint="eastAsia"/>
                <w:highlight w:val="none"/>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41"/>
              <w:ind w:left="72" w:leftChars="30"/>
              <w:rPr>
                <w:highlight w:val="none"/>
              </w:rPr>
            </w:pPr>
            <w:r>
              <w:rPr>
                <w:rFonts w:hint="eastAsia"/>
                <w:highlight w:val="none"/>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lang w:val="zh-CN"/>
              </w:rPr>
            </w:pPr>
            <w:r>
              <w:rPr>
                <w:rFonts w:hint="eastAsia"/>
                <w:highlight w:val="none"/>
              </w:rPr>
              <w:t>供应商质疑</w:t>
            </w:r>
          </w:p>
        </w:tc>
        <w:tc>
          <w:tcPr>
            <w:tcW w:w="7244" w:type="dxa"/>
            <w:vAlign w:val="center"/>
          </w:tcPr>
          <w:p>
            <w:pPr>
              <w:pStyle w:val="41"/>
              <w:ind w:left="72" w:leftChars="30"/>
              <w:rPr>
                <w:highlight w:val="none"/>
              </w:rPr>
            </w:pPr>
            <w:r>
              <w:rPr>
                <w:rFonts w:hint="eastAsia"/>
                <w:highlight w:val="none"/>
              </w:rPr>
              <w:t>1.根据委托代理协议约定，</w:t>
            </w:r>
            <w:r>
              <w:rPr>
                <w:rFonts w:hint="eastAsia"/>
                <w:highlight w:val="none"/>
                <w:lang w:eastAsia="zh-CN"/>
              </w:rPr>
              <w:t>甲方负责对采购文件技术参数部分的质疑答复的资料提供，乙方进行采购文件技术参数部分的质疑的答复；乙方负责采购文件技术参数部分以外的质疑的答复</w:t>
            </w:r>
            <w:r>
              <w:rPr>
                <w:rFonts w:hint="eastAsia"/>
                <w:highlight w:val="none"/>
              </w:rPr>
              <w:t>。</w:t>
            </w:r>
            <w:r>
              <w:rPr>
                <w:rFonts w:hint="eastAsia"/>
                <w:highlight w:val="none"/>
              </w:rPr>
              <w:br w:type="textWrapping"/>
            </w:r>
            <w:r>
              <w:rPr>
                <w:rFonts w:hint="eastAsia"/>
                <w:highlight w:val="none"/>
              </w:rPr>
              <w:t>2.供应商提出质疑应当坚持依法依规、诚实信用原则；不得超出采购文件、采购过程、采购结果的范围，不得进行虚假、恶意质疑，不得以质疑为手段获取不当得利、实现非法目的。</w:t>
            </w:r>
            <w:r>
              <w:rPr>
                <w:rFonts w:hint="eastAsia"/>
                <w:highlight w:val="none"/>
              </w:rPr>
              <w:br w:type="textWrapping"/>
            </w:r>
            <w:r>
              <w:rPr>
                <w:rFonts w:hint="eastAsia"/>
                <w:highlight w:val="none"/>
              </w:rPr>
              <w:t>3.提出质疑函的时限要求：供应商认为采购文件、采购过程、中标使自己的权益受到损害的，可以在知道或者应知其权益受到损害之日起7个工作日内，以书面形式向采购人、采购代理机构提出质疑。</w:t>
            </w:r>
            <w:r>
              <w:rPr>
                <w:rFonts w:hint="eastAsia"/>
                <w:highlight w:val="none"/>
              </w:rPr>
              <w:br w:type="textWrapping"/>
            </w:r>
            <w:r>
              <w:rPr>
                <w:rFonts w:hint="eastAsia"/>
                <w:highlight w:val="none"/>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41"/>
              <w:ind w:left="72" w:leftChars="30"/>
              <w:rPr>
                <w:highlight w:val="none"/>
              </w:rPr>
            </w:pPr>
            <w:r>
              <w:rPr>
                <w:rFonts w:hint="eastAsia"/>
                <w:highlight w:val="none"/>
              </w:rPr>
              <w:t>联系人：滕德伟</w:t>
            </w:r>
          </w:p>
          <w:p>
            <w:pPr>
              <w:pStyle w:val="41"/>
              <w:ind w:left="72" w:leftChars="30"/>
              <w:rPr>
                <w:highlight w:val="none"/>
              </w:rPr>
            </w:pPr>
            <w:r>
              <w:rPr>
                <w:rFonts w:hint="eastAsia"/>
                <w:highlight w:val="none"/>
              </w:rPr>
              <w:t>联系部门：质量控制部</w:t>
            </w:r>
          </w:p>
          <w:p>
            <w:pPr>
              <w:pStyle w:val="41"/>
              <w:ind w:left="72" w:leftChars="30"/>
              <w:rPr>
                <w:highlight w:val="none"/>
              </w:rPr>
            </w:pPr>
            <w:r>
              <w:rPr>
                <w:rFonts w:hint="eastAsia"/>
                <w:highlight w:val="none"/>
              </w:rPr>
              <w:t>联系电话：028-61375575、62600820、62630990转656</w:t>
            </w:r>
          </w:p>
          <w:p>
            <w:pPr>
              <w:pStyle w:val="41"/>
              <w:ind w:left="72" w:leftChars="30"/>
              <w:rPr>
                <w:highlight w:val="none"/>
              </w:rPr>
            </w:pPr>
            <w:r>
              <w:rPr>
                <w:rFonts w:hint="eastAsia"/>
                <w:highlight w:val="none"/>
              </w:rPr>
              <w:t>通讯地址：</w:t>
            </w:r>
            <w:r>
              <w:rPr>
                <w:rFonts w:hint="eastAsia"/>
                <w:highlight w:val="none"/>
                <w:lang w:val="zh-CN"/>
              </w:rPr>
              <w:t>成都市高新区吉庆三路333号蜀都中心二期一号楼一单元401号</w:t>
            </w:r>
          </w:p>
          <w:p>
            <w:pPr>
              <w:pStyle w:val="41"/>
              <w:ind w:left="72" w:leftChars="30"/>
              <w:rPr>
                <w:highlight w:val="none"/>
              </w:rPr>
            </w:pPr>
            <w:r>
              <w:rPr>
                <w:rFonts w:hint="eastAsia"/>
                <w:highlight w:val="none"/>
              </w:rPr>
              <w:t>邮编：610041</w:t>
            </w:r>
          </w:p>
          <w:p>
            <w:pPr>
              <w:pStyle w:val="41"/>
              <w:ind w:left="72" w:leftChars="30"/>
              <w:rPr>
                <w:highlight w:val="none"/>
              </w:rPr>
            </w:pPr>
            <w:r>
              <w:rPr>
                <w:rFonts w:hint="eastAsia"/>
                <w:highlight w:val="none"/>
              </w:rPr>
              <w:t>注：①根据《中华人民共和国政府采购法》等法律法规规定，供应商质疑应当有明确的请求和必要的证明材料，须符合《政府采购质疑和投诉办法》(财政部第94号令)规定，并使用财政部下发《质疑函》范本。</w:t>
            </w:r>
          </w:p>
          <w:p>
            <w:pPr>
              <w:pStyle w:val="41"/>
              <w:ind w:left="72" w:leftChars="30"/>
              <w:rPr>
                <w:highlight w:val="none"/>
              </w:rPr>
            </w:pPr>
            <w:r>
              <w:rPr>
                <w:rFonts w:hint="eastAsia"/>
                <w:highlight w:val="none"/>
              </w:rPr>
              <w:t>明确的请求是指：供应商对采购文件还是对采购过程还是对中标结果提出质疑；想要达到的结果，如中标无效、废标、重新组织采购、赔偿、追究法律责任等；</w:t>
            </w:r>
          </w:p>
          <w:p>
            <w:pPr>
              <w:pStyle w:val="41"/>
              <w:ind w:left="72" w:leftChars="30"/>
              <w:rPr>
                <w:highlight w:val="none"/>
              </w:rPr>
            </w:pPr>
            <w:r>
              <w:rPr>
                <w:rFonts w:hint="eastAsia"/>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41"/>
              <w:ind w:left="72" w:leftChars="30"/>
              <w:rPr>
                <w:highlight w:val="none"/>
              </w:rPr>
            </w:pPr>
            <w:r>
              <w:rPr>
                <w:rFonts w:hint="eastAsia"/>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1"/>
              <w:ind w:left="72" w:leftChars="30"/>
              <w:rPr>
                <w:highlight w:val="none"/>
              </w:rPr>
            </w:pPr>
            <w:r>
              <w:rPr>
                <w:rFonts w:hint="eastAsia"/>
                <w:highlight w:val="none"/>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keepNext w:val="0"/>
              <w:keepLines w:val="0"/>
              <w:pageBreakBefore w:val="0"/>
              <w:widowControl w:val="0"/>
              <w:kinsoku/>
              <w:wordWrap w:val="0"/>
              <w:overflowPunct/>
              <w:topLinePunct/>
              <w:autoSpaceDE/>
              <w:autoSpaceDN/>
              <w:bidi w:val="0"/>
              <w:adjustRightInd w:val="0"/>
              <w:snapToGrid w:val="0"/>
              <w:ind w:left="48" w:leftChars="20"/>
              <w:textAlignment w:val="auto"/>
              <w:rPr>
                <w:highlight w:val="none"/>
                <w:lang w:val="zh-CN"/>
              </w:rPr>
            </w:pPr>
            <w:r>
              <w:rPr>
                <w:rFonts w:hint="eastAsia" w:ascii="宋体" w:hAnsi="宋体" w:eastAsia="宋体" w:cs="宋体"/>
                <w:color w:val="000000" w:themeColor="text1"/>
                <w:sz w:val="21"/>
                <w:szCs w:val="21"/>
                <w:highlight w:val="none"/>
                <w14:textFill>
                  <w14:solidFill>
                    <w14:schemeClr w14:val="tx1"/>
                  </w14:solidFill>
                </w14:textFill>
              </w:rPr>
              <w:t>供应商投诉</w:t>
            </w:r>
          </w:p>
        </w:tc>
        <w:tc>
          <w:tcPr>
            <w:tcW w:w="7244" w:type="dxa"/>
            <w:vAlign w:val="top"/>
          </w:tcPr>
          <w:p>
            <w:pPr>
              <w:pStyle w:val="41"/>
              <w:keepNext w:val="0"/>
              <w:keepLines w:val="0"/>
              <w:pageBreakBefore w:val="0"/>
              <w:widowControl w:val="0"/>
              <w:kinsoku/>
              <w:wordWrap w:val="0"/>
              <w:overflowPunct/>
              <w:topLinePunct/>
              <w:autoSpaceDE/>
              <w:autoSpaceDN/>
              <w:bidi w:val="0"/>
              <w:adjustRightInd w:val="0"/>
              <w:snapToGrid w:val="0"/>
              <w:ind w:left="48" w:leftChars="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投诉受理单位：成都市财政局</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pStyle w:val="41"/>
              <w:keepNext w:val="0"/>
              <w:keepLines w:val="0"/>
              <w:pageBreakBefore w:val="0"/>
              <w:widowControl w:val="0"/>
              <w:kinsoku/>
              <w:wordWrap w:val="0"/>
              <w:overflowPunct/>
              <w:topLinePunct/>
              <w:autoSpaceDE/>
              <w:autoSpaceDN/>
              <w:bidi w:val="0"/>
              <w:adjustRightInd w:val="0"/>
              <w:snapToGrid w:val="0"/>
              <w:ind w:left="48" w:leftChars="2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联系电话：028-61882648</w:t>
            </w:r>
          </w:p>
          <w:p>
            <w:pPr>
              <w:pStyle w:val="41"/>
              <w:ind w:left="24" w:leftChars="10" w:right="24" w:rightChars="10"/>
              <w:rPr>
                <w:color w:val="auto"/>
                <w:highlight w:val="none"/>
              </w:rPr>
            </w:pPr>
            <w:r>
              <w:rPr>
                <w:rFonts w:hint="eastAsia"/>
                <w:color w:val="auto"/>
                <w:highlight w:val="none"/>
              </w:rPr>
              <w:t xml:space="preserve">地址：成都市锦城大道366号 </w:t>
            </w:r>
          </w:p>
          <w:p>
            <w:pPr>
              <w:pStyle w:val="41"/>
              <w:ind w:left="24" w:leftChars="10" w:right="24" w:rightChars="10"/>
              <w:rPr>
                <w:color w:val="auto"/>
                <w:highlight w:val="none"/>
              </w:rPr>
            </w:pPr>
            <w:r>
              <w:rPr>
                <w:rFonts w:hint="eastAsia"/>
                <w:color w:val="auto"/>
                <w:highlight w:val="none"/>
              </w:rPr>
              <w:t>邮编：610041</w:t>
            </w:r>
          </w:p>
          <w:p>
            <w:pPr>
              <w:pStyle w:val="41"/>
              <w:keepNext w:val="0"/>
              <w:keepLines w:val="0"/>
              <w:pageBreakBefore w:val="0"/>
              <w:widowControl w:val="0"/>
              <w:kinsoku/>
              <w:wordWrap w:val="0"/>
              <w:overflowPunct/>
              <w:topLinePunct/>
              <w:autoSpaceDE/>
              <w:autoSpaceDN/>
              <w:bidi w:val="0"/>
              <w:adjustRightInd w:val="0"/>
              <w:snapToGrid w:val="0"/>
              <w:ind w:left="48" w:leftChars="20"/>
              <w:textAlignment w:val="auto"/>
              <w:rPr>
                <w:highlight w:val="none"/>
              </w:rPr>
            </w:pPr>
            <w:r>
              <w:rPr>
                <w:rFonts w:hint="eastAsia" w:ascii="宋体" w:hAnsi="宋体" w:eastAsia="宋体" w:cs="宋体"/>
                <w:color w:val="000000" w:themeColor="text1"/>
                <w:sz w:val="21"/>
                <w:szCs w:val="21"/>
                <w:highlight w:val="none"/>
                <w14:textFill>
                  <w14:solidFill>
                    <w14:schemeClr w14:val="tx1"/>
                  </w14:solidFill>
                </w14:textFill>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rPr>
            </w:pPr>
            <w:r>
              <w:rPr>
                <w:rFonts w:hint="eastAsia"/>
                <w:highlight w:val="none"/>
              </w:rPr>
              <w:t>招标文件咨询</w:t>
            </w:r>
          </w:p>
        </w:tc>
        <w:tc>
          <w:tcPr>
            <w:tcW w:w="7244" w:type="dxa"/>
            <w:vAlign w:val="center"/>
          </w:tcPr>
          <w:p>
            <w:pPr>
              <w:pStyle w:val="45"/>
              <w:jc w:val="left"/>
              <w:rPr>
                <w:highlight w:val="none"/>
                <w:lang w:val="zh-CN"/>
              </w:rPr>
            </w:pPr>
            <w:r>
              <w:rPr>
                <w:rFonts w:hint="eastAsia"/>
                <w:highlight w:val="none"/>
                <w:lang w:val="zh-CN"/>
              </w:rPr>
              <w:t>联系人：</w:t>
            </w:r>
            <w:r>
              <w:rPr>
                <w:rFonts w:hint="eastAsia"/>
                <w:highlight w:val="none"/>
                <w:lang w:val="en-US" w:eastAsia="zh-CN"/>
              </w:rPr>
              <w:t>蒋文伟</w:t>
            </w:r>
          </w:p>
          <w:p>
            <w:pPr>
              <w:pStyle w:val="45"/>
              <w:jc w:val="left"/>
              <w:rPr>
                <w:rFonts w:hint="default" w:eastAsia="宋体"/>
                <w:highlight w:val="none"/>
                <w:lang w:val="en-US" w:eastAsia="zh-CN"/>
              </w:rPr>
            </w:pPr>
            <w:r>
              <w:rPr>
                <w:rFonts w:hint="eastAsia"/>
                <w:highlight w:val="none"/>
                <w:lang w:val="zh-CN"/>
              </w:rPr>
              <w:t>联系电话：</w:t>
            </w:r>
            <w:r>
              <w:rPr>
                <w:rFonts w:hint="eastAsia"/>
                <w:highlight w:val="none"/>
              </w:rPr>
              <w:t>028-61375575、62600820、62630990转6</w:t>
            </w:r>
            <w:r>
              <w:rPr>
                <w:rFonts w:hint="eastAsia"/>
                <w:highlight w:val="no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rPr>
            </w:pPr>
            <w:r>
              <w:rPr>
                <w:rFonts w:hint="eastAsia"/>
                <w:highlight w:val="none"/>
              </w:rPr>
              <w:t>开评标工作咨询</w:t>
            </w:r>
          </w:p>
        </w:tc>
        <w:tc>
          <w:tcPr>
            <w:tcW w:w="7244" w:type="dxa"/>
            <w:vAlign w:val="center"/>
          </w:tcPr>
          <w:p>
            <w:pPr>
              <w:pStyle w:val="45"/>
              <w:jc w:val="left"/>
              <w:rPr>
                <w:highlight w:val="none"/>
                <w:lang w:val="zh-CN"/>
              </w:rPr>
            </w:pPr>
            <w:r>
              <w:rPr>
                <w:rFonts w:hint="eastAsia"/>
                <w:highlight w:val="none"/>
                <w:lang w:val="zh-CN"/>
              </w:rPr>
              <w:t>联系人：</w:t>
            </w:r>
            <w:r>
              <w:rPr>
                <w:rFonts w:hint="eastAsia"/>
                <w:highlight w:val="none"/>
                <w:lang w:val="en-US" w:eastAsia="zh-CN"/>
              </w:rPr>
              <w:t>蒋文伟</w:t>
            </w:r>
          </w:p>
          <w:p>
            <w:pPr>
              <w:pStyle w:val="45"/>
              <w:jc w:val="left"/>
              <w:rPr>
                <w:rFonts w:hint="default" w:eastAsia="宋体"/>
                <w:highlight w:val="none"/>
                <w:lang w:val="en-US" w:eastAsia="zh-CN"/>
              </w:rPr>
            </w:pPr>
            <w:r>
              <w:rPr>
                <w:rFonts w:hint="eastAsia"/>
                <w:highlight w:val="none"/>
                <w:lang w:val="zh-CN"/>
              </w:rPr>
              <w:t>联系电话：</w:t>
            </w:r>
            <w:r>
              <w:rPr>
                <w:rFonts w:hint="eastAsia"/>
                <w:highlight w:val="none"/>
              </w:rPr>
              <w:t>028-61375575、62600820、62630990转</w:t>
            </w:r>
            <w:r>
              <w:rPr>
                <w:rFonts w:hint="eastAsia"/>
                <w:highlight w:val="none"/>
                <w:lang w:val="en-US" w:eastAsia="zh-CN"/>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rPr>
            </w:pPr>
            <w:r>
              <w:rPr>
                <w:rFonts w:hint="eastAsia"/>
                <w:highlight w:val="none"/>
              </w:rPr>
              <w:t>服务质量投诉电话</w:t>
            </w:r>
          </w:p>
        </w:tc>
        <w:tc>
          <w:tcPr>
            <w:tcW w:w="7244" w:type="dxa"/>
            <w:vAlign w:val="center"/>
          </w:tcPr>
          <w:p>
            <w:pPr>
              <w:pStyle w:val="41"/>
              <w:ind w:left="72" w:leftChars="30"/>
              <w:rPr>
                <w:highlight w:val="none"/>
              </w:rPr>
            </w:pPr>
            <w:r>
              <w:rPr>
                <w:rFonts w:hint="eastAsia"/>
                <w:highlight w:val="none"/>
              </w:rPr>
              <w:t>联系人：滕德伟</w:t>
            </w:r>
          </w:p>
          <w:p>
            <w:pPr>
              <w:pStyle w:val="41"/>
              <w:ind w:left="72" w:leftChars="30"/>
              <w:rPr>
                <w:highlight w:val="none"/>
              </w:rPr>
            </w:pPr>
            <w:r>
              <w:rPr>
                <w:rFonts w:hint="eastAsia"/>
                <w:highlight w:val="none"/>
              </w:rPr>
              <w:t>联系电话：028-61375575、62600820、62630990转656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rPr>
            </w:pPr>
            <w:r>
              <w:rPr>
                <w:rFonts w:hint="eastAsia"/>
                <w:highlight w:val="none"/>
                <w:lang w:val="zh-CN"/>
              </w:rPr>
              <w:t>声明承诺提醒</w:t>
            </w:r>
          </w:p>
        </w:tc>
        <w:tc>
          <w:tcPr>
            <w:tcW w:w="7244" w:type="dxa"/>
            <w:vAlign w:val="center"/>
          </w:tcPr>
          <w:p>
            <w:pPr>
              <w:pStyle w:val="45"/>
              <w:jc w:val="left"/>
              <w:rPr>
                <w:highlight w:val="none"/>
              </w:rPr>
            </w:pPr>
            <w:r>
              <w:rPr>
                <w:rFonts w:hint="eastAsia"/>
                <w:highlight w:val="none"/>
              </w:rPr>
              <w:t>投标人的投标</w:t>
            </w:r>
            <w:r>
              <w:rPr>
                <w:rFonts w:hint="eastAsia"/>
                <w:highlight w:val="none"/>
                <w:lang w:val="zh-CN"/>
              </w:rPr>
              <w:t>文件中提供的各种声明和承诺应当真实有效，无效声明和承诺、虚假声明和承诺将由</w:t>
            </w:r>
            <w:r>
              <w:rPr>
                <w:rFonts w:hint="eastAsia"/>
                <w:highlight w:val="none"/>
              </w:rPr>
              <w:t>投标人</w:t>
            </w:r>
            <w:r>
              <w:rPr>
                <w:rFonts w:hint="eastAsia"/>
                <w:highlight w:val="none"/>
                <w:lang w:val="zh-CN"/>
              </w:rPr>
              <w:t>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5"/>
              <w:numPr>
                <w:ilvl w:val="0"/>
                <w:numId w:val="8"/>
              </w:numPr>
              <w:rPr>
                <w:highlight w:val="none"/>
              </w:rPr>
            </w:pPr>
          </w:p>
        </w:tc>
        <w:tc>
          <w:tcPr>
            <w:tcW w:w="1936" w:type="dxa"/>
            <w:vAlign w:val="center"/>
          </w:tcPr>
          <w:p>
            <w:pPr>
              <w:pStyle w:val="45"/>
              <w:rPr>
                <w:highlight w:val="none"/>
              </w:rPr>
            </w:pPr>
            <w:r>
              <w:rPr>
                <w:rFonts w:hint="eastAsia"/>
                <w:highlight w:val="none"/>
              </w:rPr>
              <w:t>备注</w:t>
            </w:r>
          </w:p>
        </w:tc>
        <w:tc>
          <w:tcPr>
            <w:tcW w:w="7244" w:type="dxa"/>
            <w:vAlign w:val="center"/>
          </w:tcPr>
          <w:p>
            <w:pPr>
              <w:pStyle w:val="41"/>
              <w:ind w:left="72" w:leftChars="30"/>
              <w:rPr>
                <w:highlight w:val="none"/>
              </w:rPr>
            </w:pPr>
            <w:r>
              <w:rPr>
                <w:rFonts w:hint="eastAsia"/>
                <w:highlight w:val="none"/>
              </w:rPr>
              <w:t>若招标文件中其他内容与投标人须知前附表内容不一致的，以投标人须知前附表为准。</w:t>
            </w:r>
          </w:p>
        </w:tc>
      </w:tr>
    </w:tbl>
    <w:p>
      <w:pPr>
        <w:pStyle w:val="43"/>
        <w:spacing w:before="120" w:after="120"/>
        <w:rPr>
          <w:highlight w:val="none"/>
        </w:rPr>
      </w:pPr>
      <w:r>
        <w:rPr>
          <w:rFonts w:hint="eastAsia"/>
          <w:highlight w:val="none"/>
        </w:rPr>
        <w:br w:type="page"/>
      </w:r>
      <w:bookmarkStart w:id="47" w:name="_Toc32086"/>
      <w:bookmarkStart w:id="48" w:name="_Toc2042"/>
      <w:bookmarkStart w:id="49" w:name="_Toc4011"/>
      <w:bookmarkStart w:id="50" w:name="_Toc23295"/>
      <w:bookmarkStart w:id="51" w:name="_Toc3875"/>
      <w:bookmarkStart w:id="52" w:name="_Toc7542"/>
      <w:bookmarkStart w:id="53" w:name="_Toc26593"/>
      <w:bookmarkStart w:id="54" w:name="_Toc22849"/>
      <w:r>
        <w:rPr>
          <w:rFonts w:hint="eastAsia"/>
          <w:highlight w:val="none"/>
        </w:rPr>
        <w:t>总 则</w:t>
      </w:r>
      <w:bookmarkEnd w:id="46"/>
      <w:bookmarkEnd w:id="47"/>
      <w:bookmarkEnd w:id="48"/>
      <w:bookmarkEnd w:id="49"/>
      <w:bookmarkEnd w:id="50"/>
      <w:bookmarkEnd w:id="51"/>
      <w:bookmarkEnd w:id="52"/>
      <w:bookmarkEnd w:id="53"/>
      <w:bookmarkEnd w:id="54"/>
    </w:p>
    <w:p>
      <w:pPr>
        <w:pStyle w:val="49"/>
        <w:ind w:firstLine="482"/>
        <w:rPr>
          <w:highlight w:val="none"/>
        </w:rPr>
      </w:pPr>
      <w:bookmarkStart w:id="55" w:name="_Toc32648"/>
      <w:bookmarkStart w:id="56" w:name="_Toc327196263"/>
      <w:bookmarkStart w:id="57" w:name="_Toc217446034"/>
      <w:bookmarkStart w:id="58" w:name="_Toc319440119"/>
      <w:bookmarkStart w:id="59" w:name="_Toc20769"/>
      <w:bookmarkStart w:id="60" w:name="_Toc3601"/>
      <w:bookmarkStart w:id="61" w:name="_Toc5790"/>
      <w:bookmarkStart w:id="62" w:name="_Toc29532"/>
      <w:bookmarkStart w:id="63" w:name="_Toc28450"/>
      <w:bookmarkStart w:id="64" w:name="_Toc10311"/>
      <w:bookmarkStart w:id="65" w:name="_Toc319439877"/>
      <w:bookmarkStart w:id="66" w:name="_Toc31870"/>
      <w:bookmarkStart w:id="67" w:name="_Toc16575"/>
      <w:bookmarkStart w:id="68" w:name="_Toc309897492"/>
      <w:bookmarkStart w:id="69" w:name="_Toc307501086"/>
      <w:bookmarkStart w:id="70" w:name="_Toc12046"/>
      <w:bookmarkStart w:id="71" w:name="_Toc308084574"/>
      <w:bookmarkStart w:id="72" w:name="_Toc29700"/>
      <w:bookmarkStart w:id="73" w:name="_Toc22773"/>
      <w:bookmarkStart w:id="74" w:name="_Toc15215"/>
      <w:bookmarkStart w:id="75" w:name="_Toc307564829"/>
      <w:bookmarkStart w:id="76" w:name="_Toc23796"/>
      <w:bookmarkStart w:id="77" w:name="_Toc308188129"/>
      <w:bookmarkStart w:id="78" w:name="_Toc32483"/>
      <w:r>
        <w:rPr>
          <w:rFonts w:hint="eastAsia"/>
          <w:highlight w:val="none"/>
        </w:rPr>
        <w:t>适用范围</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35"/>
        <w:numPr>
          <w:ilvl w:val="2"/>
          <w:numId w:val="0"/>
        </w:numPr>
        <w:ind w:left="480" w:leftChars="200"/>
        <w:rPr>
          <w:highlight w:val="none"/>
        </w:rPr>
      </w:pPr>
      <w:r>
        <w:rPr>
          <w:rFonts w:hint="eastAsia"/>
          <w:highlight w:val="none"/>
        </w:rPr>
        <w:t>本招标文件仅适用于本次公开招标采购项目。</w:t>
      </w:r>
    </w:p>
    <w:p>
      <w:pPr>
        <w:pStyle w:val="49"/>
        <w:ind w:firstLine="482"/>
        <w:rPr>
          <w:highlight w:val="none"/>
        </w:rPr>
      </w:pPr>
      <w:bookmarkStart w:id="79" w:name="_Toc309897493"/>
      <w:bookmarkStart w:id="80" w:name="_Toc7942"/>
      <w:bookmarkStart w:id="81" w:name="_Toc5524"/>
      <w:bookmarkStart w:id="82" w:name="_Toc19069"/>
      <w:bookmarkStart w:id="83" w:name="_Toc16858"/>
      <w:bookmarkStart w:id="84" w:name="_Toc24751"/>
      <w:bookmarkStart w:id="85" w:name="_Toc307564830"/>
      <w:bookmarkStart w:id="86" w:name="_Toc308188130"/>
      <w:bookmarkStart w:id="87" w:name="_Toc156"/>
      <w:bookmarkStart w:id="88" w:name="_Toc327196264"/>
      <w:bookmarkStart w:id="89" w:name="_Toc23104"/>
      <w:bookmarkStart w:id="90" w:name="_Toc13022"/>
      <w:bookmarkStart w:id="91" w:name="_Toc19670"/>
      <w:bookmarkStart w:id="92" w:name="_Toc12194"/>
      <w:bookmarkStart w:id="93" w:name="_Toc319439878"/>
      <w:bookmarkStart w:id="94" w:name="_Toc308084575"/>
      <w:bookmarkStart w:id="95" w:name="_Toc6197"/>
      <w:bookmarkStart w:id="96" w:name="_Toc24985"/>
      <w:bookmarkStart w:id="97" w:name="_Toc319440120"/>
      <w:bookmarkStart w:id="98" w:name="_Toc2775"/>
      <w:bookmarkStart w:id="99" w:name="_Toc307501087"/>
      <w:bookmarkStart w:id="100" w:name="_Toc524"/>
      <w:bookmarkStart w:id="101" w:name="_Toc217446035"/>
      <w:bookmarkStart w:id="102" w:name="_Toc30543"/>
      <w:r>
        <w:rPr>
          <w:rFonts w:hint="eastAsia"/>
          <w:highlight w:val="none"/>
        </w:rPr>
        <w:t>有关定义</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Style w:val="63"/>
        <w:ind w:firstLine="480"/>
        <w:rPr>
          <w:highlight w:val="none"/>
        </w:rPr>
      </w:pPr>
      <w:r>
        <w:rPr>
          <w:rFonts w:hint="eastAsia"/>
          <w:highlight w:val="none"/>
        </w:rPr>
        <w:t>“采购人”系指依法进行政府采购的国家机关、事业单位、团体组织。本次招标的采购人是</w:t>
      </w:r>
      <w:r>
        <w:rPr>
          <w:rFonts w:hint="eastAsia"/>
          <w:highlight w:val="none"/>
          <w:lang w:val="en-US" w:eastAsia="zh-CN"/>
        </w:rPr>
        <w:t>四川省</w:t>
      </w:r>
      <w:r>
        <w:rPr>
          <w:rFonts w:hint="eastAsia"/>
          <w:highlight w:val="none"/>
        </w:rPr>
        <w:t>成都市中级人民法院。</w:t>
      </w:r>
    </w:p>
    <w:p>
      <w:pPr>
        <w:pStyle w:val="63"/>
        <w:ind w:firstLine="480"/>
        <w:rPr>
          <w:highlight w:val="none"/>
        </w:rPr>
      </w:pPr>
      <w:r>
        <w:rPr>
          <w:rFonts w:hint="eastAsia"/>
          <w:highlight w:val="none"/>
        </w:rPr>
        <w:t>“采购代理机构”系指根据采购人的委托依法办理招标事宜的采购机构。本次招标的采购代理机构是四川乾新招投标代理有限公司。</w:t>
      </w:r>
    </w:p>
    <w:p>
      <w:pPr>
        <w:pStyle w:val="63"/>
        <w:ind w:firstLine="480"/>
        <w:rPr>
          <w:highlight w:val="none"/>
        </w:rPr>
      </w:pPr>
      <w:r>
        <w:rPr>
          <w:rFonts w:hint="eastAsia"/>
          <w:highlight w:val="none"/>
        </w:rPr>
        <w:t>“招标采购单位”系指“采购人”和“采购代理机构”的统称。</w:t>
      </w:r>
    </w:p>
    <w:p>
      <w:pPr>
        <w:pStyle w:val="63"/>
        <w:ind w:firstLine="480"/>
        <w:rPr>
          <w:highlight w:val="none"/>
        </w:rPr>
      </w:pPr>
      <w:r>
        <w:rPr>
          <w:rFonts w:hint="eastAsia"/>
          <w:highlight w:val="none"/>
        </w:rPr>
        <w:t>“投标人”系指购买了招标文件拟参加投标和向采购人提供服务的供应商。</w:t>
      </w:r>
    </w:p>
    <w:p>
      <w:pPr>
        <w:pStyle w:val="63"/>
        <w:ind w:firstLine="480"/>
        <w:rPr>
          <w:highlight w:val="none"/>
        </w:rPr>
      </w:pPr>
      <w:r>
        <w:rPr>
          <w:rFonts w:hint="eastAsia"/>
          <w:highlight w:val="none"/>
        </w:rPr>
        <w:t>本招标文件各部分规定的期间以时、日、月、年计算。期间开始的时和日，不计算在期间内，而从次日开始计算。期间届满的最后一天是节假日的，以节假日后的第一日为期间届满的日期。</w:t>
      </w:r>
    </w:p>
    <w:p>
      <w:pPr>
        <w:pStyle w:val="63"/>
        <w:ind w:firstLine="480"/>
        <w:rPr>
          <w:highlight w:val="none"/>
        </w:rPr>
      </w:pPr>
      <w:r>
        <w:rPr>
          <w:rFonts w:hint="eastAsia"/>
          <w:highlight w:val="none"/>
        </w:rPr>
        <w:t>本招标文件各部分规定的时间均以北京时间为准。</w:t>
      </w:r>
    </w:p>
    <w:p>
      <w:pPr>
        <w:pStyle w:val="49"/>
        <w:ind w:firstLine="482"/>
        <w:rPr>
          <w:highlight w:val="none"/>
        </w:rPr>
      </w:pPr>
      <w:bookmarkStart w:id="103" w:name="_Toc29784"/>
      <w:bookmarkStart w:id="104" w:name="_Toc309897494"/>
      <w:bookmarkStart w:id="105" w:name="_Toc319439879"/>
      <w:bookmarkStart w:id="106" w:name="_Toc308188131"/>
      <w:bookmarkStart w:id="107" w:name="_Toc30244"/>
      <w:bookmarkStart w:id="108" w:name="_Toc217446036"/>
      <w:bookmarkStart w:id="109" w:name="_Toc327196265"/>
      <w:bookmarkStart w:id="110" w:name="_Toc26508"/>
      <w:bookmarkStart w:id="111" w:name="_Toc3060"/>
      <w:bookmarkStart w:id="112" w:name="_Toc319440121"/>
      <w:bookmarkStart w:id="113" w:name="_Toc217390843"/>
      <w:bookmarkStart w:id="114" w:name="_Toc307564831"/>
      <w:bookmarkStart w:id="115" w:name="_Toc183582207"/>
      <w:bookmarkStart w:id="116" w:name="_Toc308084576"/>
      <w:bookmarkStart w:id="117" w:name="_Toc307501088"/>
      <w:bookmarkStart w:id="118" w:name="_Toc183682344"/>
      <w:bookmarkStart w:id="119" w:name="_Toc22174"/>
      <w:bookmarkStart w:id="120" w:name="_Toc23383"/>
      <w:bookmarkStart w:id="121" w:name="_Toc7511"/>
      <w:bookmarkStart w:id="122" w:name="_Toc24547"/>
      <w:bookmarkStart w:id="123" w:name="_Toc27712"/>
      <w:bookmarkStart w:id="124" w:name="_Toc9442"/>
      <w:bookmarkStart w:id="125" w:name="_Toc22489"/>
      <w:bookmarkStart w:id="126" w:name="_Toc31295"/>
      <w:bookmarkStart w:id="127" w:name="_Toc30689"/>
      <w:bookmarkStart w:id="128" w:name="_Toc10451"/>
      <w:bookmarkStart w:id="129" w:name="_Toc4501"/>
      <w:r>
        <w:rPr>
          <w:rFonts w:hint="eastAsia"/>
          <w:highlight w:val="none"/>
        </w:rPr>
        <w:t>合格的投标人</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highlight w:val="none"/>
        </w:rPr>
        <w:t>(实质性要求)</w:t>
      </w:r>
      <w:bookmarkEnd w:id="123"/>
      <w:bookmarkEnd w:id="124"/>
      <w:bookmarkEnd w:id="125"/>
      <w:bookmarkEnd w:id="126"/>
      <w:bookmarkEnd w:id="127"/>
      <w:bookmarkEnd w:id="128"/>
      <w:bookmarkEnd w:id="129"/>
    </w:p>
    <w:p>
      <w:pPr>
        <w:pStyle w:val="46"/>
        <w:rPr>
          <w:highlight w:val="none"/>
        </w:rPr>
      </w:pPr>
      <w:r>
        <w:rPr>
          <w:rFonts w:hint="eastAsia"/>
          <w:highlight w:val="none"/>
        </w:rPr>
        <w:t>合格的投标人应具备以下条件：</w:t>
      </w:r>
    </w:p>
    <w:p>
      <w:pPr>
        <w:pStyle w:val="63"/>
        <w:ind w:firstLine="480"/>
        <w:rPr>
          <w:highlight w:val="none"/>
        </w:rPr>
      </w:pPr>
      <w:r>
        <w:rPr>
          <w:rFonts w:hint="eastAsia"/>
          <w:highlight w:val="none"/>
        </w:rPr>
        <w:t>本招标文件“投标邀请”第五条规定的条件；</w:t>
      </w:r>
    </w:p>
    <w:p>
      <w:pPr>
        <w:pStyle w:val="63"/>
        <w:ind w:firstLine="480"/>
        <w:rPr>
          <w:highlight w:val="none"/>
        </w:rPr>
      </w:pPr>
      <w:r>
        <w:rPr>
          <w:rFonts w:hint="eastAsia"/>
          <w:highlight w:val="none"/>
        </w:rPr>
        <w:t>遵守国家有关的法律、法规、规章和其他政策制度；</w:t>
      </w:r>
    </w:p>
    <w:p>
      <w:pPr>
        <w:pStyle w:val="63"/>
        <w:ind w:firstLine="480"/>
        <w:rPr>
          <w:highlight w:val="none"/>
        </w:rPr>
      </w:pPr>
      <w:r>
        <w:rPr>
          <w:rFonts w:hint="eastAsia"/>
          <w:highlight w:val="none"/>
        </w:rPr>
        <w:t>向采购代理机构依法获取了招标文件并完成登记。</w:t>
      </w:r>
    </w:p>
    <w:p>
      <w:pPr>
        <w:pStyle w:val="49"/>
        <w:ind w:firstLine="482"/>
        <w:rPr>
          <w:highlight w:val="none"/>
        </w:rPr>
      </w:pPr>
      <w:bookmarkStart w:id="130" w:name="_Toc9761"/>
      <w:bookmarkStart w:id="131" w:name="_Toc319440122"/>
      <w:bookmarkStart w:id="132" w:name="_Toc4414"/>
      <w:bookmarkStart w:id="133" w:name="_Toc26952"/>
      <w:bookmarkStart w:id="134" w:name="_Toc307501089"/>
      <w:bookmarkStart w:id="135" w:name="_Toc5067"/>
      <w:bookmarkStart w:id="136" w:name="_Toc308084577"/>
      <w:bookmarkStart w:id="137" w:name="_Toc183582208"/>
      <w:bookmarkStart w:id="138" w:name="_Toc21649"/>
      <w:bookmarkStart w:id="139" w:name="_Toc217446037"/>
      <w:bookmarkStart w:id="140" w:name="_Toc12293"/>
      <w:bookmarkStart w:id="141" w:name="_Toc327196266"/>
      <w:bookmarkStart w:id="142" w:name="_Toc308188132"/>
      <w:bookmarkStart w:id="143" w:name="_Toc309897495"/>
      <w:bookmarkStart w:id="144" w:name="_Toc28895"/>
      <w:bookmarkStart w:id="145" w:name="_Toc319439880"/>
      <w:bookmarkStart w:id="146" w:name="_Toc183682345"/>
      <w:bookmarkStart w:id="147" w:name="_Toc14323"/>
      <w:bookmarkStart w:id="148" w:name="_Toc307564832"/>
      <w:bookmarkStart w:id="149" w:name="_Toc31729"/>
      <w:bookmarkStart w:id="150" w:name="_Toc13550"/>
      <w:bookmarkStart w:id="151" w:name="_Toc20132"/>
      <w:bookmarkStart w:id="152" w:name="_Toc32702"/>
      <w:bookmarkStart w:id="153" w:name="_Toc17848"/>
      <w:bookmarkStart w:id="154" w:name="_Toc22829"/>
      <w:bookmarkStart w:id="155" w:name="_Toc7047"/>
      <w:r>
        <w:rPr>
          <w:rFonts w:hint="eastAsia"/>
          <w:highlight w:val="none"/>
        </w:rPr>
        <w:t>投标费用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hint="eastAsia"/>
          <w:highlight w:val="none"/>
        </w:rPr>
        <w:t>(实质性要求)</w:t>
      </w:r>
      <w:bookmarkEnd w:id="149"/>
      <w:bookmarkEnd w:id="150"/>
      <w:bookmarkEnd w:id="151"/>
      <w:bookmarkEnd w:id="152"/>
      <w:bookmarkEnd w:id="153"/>
      <w:bookmarkEnd w:id="154"/>
      <w:bookmarkEnd w:id="155"/>
    </w:p>
    <w:p>
      <w:pPr>
        <w:pStyle w:val="46"/>
        <w:rPr>
          <w:highlight w:val="none"/>
        </w:rPr>
      </w:pPr>
      <w:r>
        <w:rPr>
          <w:rFonts w:hint="eastAsia"/>
          <w:highlight w:val="none"/>
        </w:rPr>
        <w:t>无论投标的结果如何，投标人参加投标的有关费用由投标人自行承担。</w:t>
      </w:r>
    </w:p>
    <w:p>
      <w:pPr>
        <w:pStyle w:val="49"/>
        <w:ind w:firstLine="482"/>
        <w:rPr>
          <w:highlight w:val="none"/>
        </w:rPr>
      </w:pPr>
      <w:bookmarkStart w:id="156" w:name="_Toc7710"/>
      <w:bookmarkStart w:id="157" w:name="_Toc307501090"/>
      <w:bookmarkStart w:id="158" w:name="_Toc27604"/>
      <w:bookmarkStart w:id="159" w:name="_Toc309897496"/>
      <w:bookmarkStart w:id="160" w:name="_Toc18993"/>
      <w:bookmarkStart w:id="161" w:name="_Toc319439881"/>
      <w:bookmarkStart w:id="162" w:name="_Toc319440123"/>
      <w:bookmarkStart w:id="163" w:name="_Toc11131"/>
      <w:bookmarkStart w:id="164" w:name="_Toc27927"/>
      <w:bookmarkStart w:id="165" w:name="_Toc327196267"/>
      <w:bookmarkStart w:id="166" w:name="_Toc28490"/>
      <w:bookmarkStart w:id="167" w:name="_Toc11996"/>
      <w:bookmarkStart w:id="168" w:name="_Toc307564833"/>
      <w:bookmarkStart w:id="169" w:name="_Toc308188133"/>
      <w:bookmarkStart w:id="170" w:name="_Toc18984"/>
      <w:bookmarkStart w:id="171" w:name="_Toc308084578"/>
      <w:bookmarkStart w:id="172" w:name="_Toc5564"/>
      <w:bookmarkStart w:id="173" w:name="_Toc16241"/>
      <w:bookmarkStart w:id="174" w:name="_Toc14969"/>
      <w:bookmarkStart w:id="175" w:name="_Toc6955"/>
      <w:bookmarkStart w:id="176" w:name="_Toc11923"/>
      <w:bookmarkStart w:id="177" w:name="_Toc17668"/>
      <w:bookmarkStart w:id="178" w:name="_Toc433"/>
      <w:r>
        <w:rPr>
          <w:rFonts w:hint="eastAsia"/>
          <w:highlight w:val="none"/>
        </w:rPr>
        <w:t>充分、公平竞争保障措施</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hint="eastAsia"/>
          <w:highlight w:val="none"/>
        </w:rPr>
        <w:t>(实质性要求)</w:t>
      </w:r>
      <w:bookmarkEnd w:id="172"/>
      <w:bookmarkEnd w:id="173"/>
      <w:bookmarkEnd w:id="174"/>
      <w:bookmarkEnd w:id="175"/>
      <w:bookmarkEnd w:id="176"/>
      <w:bookmarkEnd w:id="177"/>
      <w:bookmarkEnd w:id="178"/>
    </w:p>
    <w:p>
      <w:pPr>
        <w:pStyle w:val="63"/>
        <w:ind w:firstLine="480"/>
        <w:rPr>
          <w:highlight w:val="none"/>
        </w:rPr>
      </w:pPr>
      <w:bookmarkStart w:id="179" w:name="_Toc77400779"/>
      <w:bookmarkStart w:id="180" w:name="_Toc183682346"/>
      <w:bookmarkStart w:id="181" w:name="_Toc13891"/>
      <w:bookmarkStart w:id="182" w:name="_Toc183582209"/>
      <w:bookmarkStart w:id="183" w:name="_Toc89075875"/>
      <w:bookmarkStart w:id="184" w:name="_Toc327196268"/>
      <w:bookmarkStart w:id="185" w:name="_Toc217446038"/>
      <w:r>
        <w:rPr>
          <w:rFonts w:hint="eastAsia"/>
          <w:highlight w:val="none"/>
        </w:rPr>
        <w:t>利害关系供应商处理。</w:t>
      </w:r>
    </w:p>
    <w:p>
      <w:pPr>
        <w:pStyle w:val="46"/>
        <w:rPr>
          <w:rFonts w:hint="eastAsia"/>
          <w:highlight w:val="none"/>
        </w:rPr>
      </w:pPr>
      <w:r>
        <w:rPr>
          <w:rFonts w:hint="eastAsia"/>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6"/>
        <w:rPr>
          <w:highlight w:val="none"/>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3"/>
        <w:ind w:firstLine="480"/>
        <w:rPr>
          <w:highlight w:val="none"/>
        </w:rPr>
      </w:pPr>
      <w:r>
        <w:rPr>
          <w:rFonts w:hint="eastAsia"/>
          <w:highlight w:val="none"/>
        </w:rPr>
        <w:t>前期参与供应商处理。</w:t>
      </w:r>
    </w:p>
    <w:p>
      <w:pPr>
        <w:pStyle w:val="46"/>
        <w:rPr>
          <w:highlight w:val="none"/>
        </w:rPr>
      </w:pPr>
      <w:r>
        <w:rPr>
          <w:rFonts w:hint="eastAsia"/>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6"/>
        <w:rPr>
          <w:highlight w:val="none"/>
        </w:rPr>
      </w:pPr>
      <w:r>
        <w:rPr>
          <w:rFonts w:hint="eastAsia"/>
          <w:highlight w:val="none"/>
          <w:lang w:val="en-US" w:eastAsia="zh-CN"/>
        </w:rPr>
        <w:t>注：</w:t>
      </w:r>
      <w:r>
        <w:rPr>
          <w:rFonts w:hint="eastAsia"/>
          <w:highlight w:val="none"/>
        </w:rPr>
        <w:t>本项目无符合本条规定的供应商。</w:t>
      </w:r>
    </w:p>
    <w:p>
      <w:pPr>
        <w:pStyle w:val="63"/>
        <w:ind w:firstLine="480"/>
        <w:rPr>
          <w:highlight w:val="none"/>
        </w:rPr>
      </w:pPr>
      <w:r>
        <w:rPr>
          <w:rFonts w:hint="eastAsia"/>
          <w:highlight w:val="none"/>
        </w:rPr>
        <w:t>利害关系代理人处理。</w:t>
      </w:r>
    </w:p>
    <w:p>
      <w:pPr>
        <w:pStyle w:val="64"/>
        <w:ind w:firstLine="480"/>
        <w:rPr>
          <w:highlight w:val="none"/>
        </w:rPr>
      </w:pPr>
      <w:r>
        <w:rPr>
          <w:rFonts w:hint="eastAsia"/>
          <w:highlight w:val="none"/>
        </w:rPr>
        <w:t>在同一合同项下的采购项目中，若有2家及以上的供应商同时委托同一个自然人、同一家庭的人员、同一单位的人员作为其代理人，其投标文件作为无效处理。</w:t>
      </w:r>
    </w:p>
    <w:p>
      <w:pPr>
        <w:pStyle w:val="64"/>
        <w:ind w:firstLine="480"/>
        <w:rPr>
          <w:highlight w:val="none"/>
        </w:rPr>
      </w:pPr>
      <w:r>
        <w:rPr>
          <w:rFonts w:hint="eastAsia"/>
          <w:highlight w:val="none"/>
        </w:rPr>
        <w:t>供应商实际控制人或者中高级管理人员，同时是采购代理机构工作人员，不得参与本项目政府采购活动。</w:t>
      </w:r>
    </w:p>
    <w:p>
      <w:pPr>
        <w:pStyle w:val="64"/>
        <w:ind w:firstLine="480"/>
        <w:rPr>
          <w:highlight w:val="none"/>
        </w:rPr>
      </w:pPr>
      <w:r>
        <w:rPr>
          <w:rFonts w:hint="eastAsia"/>
          <w:highlight w:val="none"/>
        </w:rPr>
        <w:t>同一母公司的两家以上的子公司只能组成联合体参加本项目同一合同项下的采购活动，不得以不同供应商身份同时参加本项目同一合同项下的采购活动。</w:t>
      </w:r>
    </w:p>
    <w:p>
      <w:pPr>
        <w:pStyle w:val="64"/>
        <w:ind w:firstLine="480"/>
        <w:rPr>
          <w:highlight w:val="none"/>
        </w:rPr>
      </w:pPr>
      <w:r>
        <w:rPr>
          <w:rFonts w:hint="eastAsia"/>
          <w:highlight w:val="none"/>
        </w:rPr>
        <w:t>供应商与采购代理机构存在关联关系，或者是采购代理机构的母公司或子公司，不得参加本项目政府采购活动。</w:t>
      </w:r>
    </w:p>
    <w:p>
      <w:pPr>
        <w:pStyle w:val="43"/>
        <w:spacing w:before="120" w:after="120"/>
        <w:rPr>
          <w:highlight w:val="none"/>
        </w:rPr>
      </w:pPr>
      <w:bookmarkStart w:id="186" w:name="_Toc4842"/>
      <w:bookmarkStart w:id="187" w:name="_Toc9792"/>
      <w:bookmarkStart w:id="188" w:name="_Toc12750"/>
      <w:bookmarkStart w:id="189" w:name="_Toc21075"/>
      <w:bookmarkStart w:id="190" w:name="_Toc27564"/>
      <w:bookmarkStart w:id="191" w:name="_Toc12561"/>
      <w:bookmarkStart w:id="192" w:name="_Toc14125"/>
      <w:r>
        <w:rPr>
          <w:rFonts w:hint="eastAsia"/>
          <w:highlight w:val="none"/>
        </w:rPr>
        <w:t>招标文件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49"/>
        <w:numPr>
          <w:ilvl w:val="2"/>
          <w:numId w:val="11"/>
        </w:numPr>
        <w:ind w:firstLine="482"/>
        <w:rPr>
          <w:highlight w:val="none"/>
        </w:rPr>
      </w:pPr>
      <w:bookmarkStart w:id="193" w:name="_Toc16404"/>
      <w:bookmarkStart w:id="194" w:name="_Toc307564835"/>
      <w:bookmarkStart w:id="195" w:name="_Toc21985"/>
      <w:bookmarkStart w:id="196" w:name="_Toc29703"/>
      <w:bookmarkStart w:id="197" w:name="_Toc24565"/>
      <w:bookmarkStart w:id="198" w:name="_Toc327196269"/>
      <w:bookmarkStart w:id="199" w:name="_Toc29642"/>
      <w:bookmarkStart w:id="200" w:name="_Toc2239"/>
      <w:bookmarkStart w:id="201" w:name="_Toc25874"/>
      <w:bookmarkStart w:id="202" w:name="_Toc25650"/>
      <w:bookmarkStart w:id="203" w:name="_Toc217446039"/>
      <w:bookmarkStart w:id="204" w:name="_Toc308084580"/>
      <w:bookmarkStart w:id="205" w:name="_Toc319440125"/>
      <w:bookmarkStart w:id="206" w:name="_Toc319439883"/>
      <w:bookmarkStart w:id="207" w:name="_Toc308188135"/>
      <w:bookmarkStart w:id="208" w:name="_Toc8808"/>
      <w:bookmarkStart w:id="209" w:name="_Toc183582210"/>
      <w:bookmarkStart w:id="210" w:name="_Toc9613"/>
      <w:bookmarkStart w:id="211" w:name="_Toc22520"/>
      <w:bookmarkStart w:id="212" w:name="_Toc183682347"/>
      <w:bookmarkStart w:id="213" w:name="_Toc19030"/>
      <w:bookmarkStart w:id="214" w:name="_Toc307501092"/>
      <w:bookmarkStart w:id="215" w:name="_Toc309897498"/>
      <w:bookmarkStart w:id="216" w:name="_Toc31582"/>
      <w:bookmarkStart w:id="217" w:name="_Toc5983"/>
      <w:bookmarkStart w:id="218" w:name="_Toc30439"/>
      <w:r>
        <w:rPr>
          <w:rFonts w:hint="eastAsia"/>
          <w:highlight w:val="none"/>
        </w:rPr>
        <w:t>招标文件的构成</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63"/>
        <w:ind w:firstLine="480"/>
        <w:rPr>
          <w:highlight w:val="none"/>
        </w:rPr>
      </w:pPr>
      <w:r>
        <w:rPr>
          <w:rFonts w:hint="eastAsia"/>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4"/>
        <w:ind w:firstLine="480"/>
        <w:rPr>
          <w:highlight w:val="none"/>
        </w:rPr>
      </w:pPr>
      <w:r>
        <w:rPr>
          <w:rFonts w:hint="eastAsia"/>
          <w:highlight w:val="none"/>
        </w:rPr>
        <w:t>投标邀请；</w:t>
      </w:r>
    </w:p>
    <w:p>
      <w:pPr>
        <w:pStyle w:val="64"/>
        <w:ind w:firstLine="480"/>
        <w:rPr>
          <w:highlight w:val="none"/>
        </w:rPr>
      </w:pPr>
      <w:r>
        <w:rPr>
          <w:rFonts w:hint="eastAsia"/>
          <w:highlight w:val="none"/>
        </w:rPr>
        <w:t>投标人须知(包括投标文件的密封、签署、盖章要求等)；</w:t>
      </w:r>
    </w:p>
    <w:p>
      <w:pPr>
        <w:pStyle w:val="64"/>
        <w:ind w:firstLine="480"/>
        <w:rPr>
          <w:highlight w:val="none"/>
        </w:rPr>
      </w:pPr>
      <w:r>
        <w:rPr>
          <w:rFonts w:hint="eastAsia"/>
          <w:highlight w:val="none"/>
        </w:rPr>
        <w:t>投标人应当提交的资格、资信证明文件；</w:t>
      </w:r>
    </w:p>
    <w:p>
      <w:pPr>
        <w:pStyle w:val="64"/>
        <w:ind w:firstLine="480"/>
        <w:rPr>
          <w:highlight w:val="none"/>
        </w:rPr>
      </w:pPr>
      <w:r>
        <w:rPr>
          <w:rFonts w:hint="eastAsia"/>
          <w:highlight w:val="none"/>
        </w:rPr>
        <w:t>为落实政府采购政策，采购标的需满足的要求，以及投标人须提供的证明材料；</w:t>
      </w:r>
    </w:p>
    <w:p>
      <w:pPr>
        <w:pStyle w:val="64"/>
        <w:ind w:firstLine="480"/>
        <w:rPr>
          <w:highlight w:val="none"/>
        </w:rPr>
      </w:pPr>
      <w:r>
        <w:rPr>
          <w:rFonts w:hint="eastAsia"/>
          <w:highlight w:val="none"/>
        </w:rPr>
        <w:t>投标文件编制要求、投标报价要求；</w:t>
      </w:r>
    </w:p>
    <w:p>
      <w:pPr>
        <w:pStyle w:val="64"/>
        <w:ind w:firstLine="480"/>
        <w:rPr>
          <w:highlight w:val="none"/>
        </w:rPr>
      </w:pPr>
      <w:r>
        <w:rPr>
          <w:rFonts w:hint="eastAsia"/>
          <w:highlight w:val="none"/>
        </w:rPr>
        <w:t>采购项目预算金额，设定最高限价的，还应当公开最高限价；</w:t>
      </w:r>
    </w:p>
    <w:p>
      <w:pPr>
        <w:pStyle w:val="64"/>
        <w:ind w:firstLine="480"/>
        <w:rPr>
          <w:highlight w:val="none"/>
        </w:rPr>
      </w:pPr>
      <w:r>
        <w:rPr>
          <w:rFonts w:hint="eastAsia"/>
          <w:highlight w:val="none"/>
        </w:rPr>
        <w:t>采购项目的技术规格、数量、服务标准、验收等要求，包括附件、图纸(如涉及)等；</w:t>
      </w:r>
    </w:p>
    <w:p>
      <w:pPr>
        <w:pStyle w:val="64"/>
        <w:ind w:firstLine="480"/>
        <w:rPr>
          <w:highlight w:val="none"/>
        </w:rPr>
      </w:pPr>
      <w:r>
        <w:rPr>
          <w:rFonts w:hint="eastAsia"/>
          <w:highlight w:val="none"/>
        </w:rPr>
        <w:t>拟签订的合同文本；</w:t>
      </w:r>
    </w:p>
    <w:p>
      <w:pPr>
        <w:pStyle w:val="64"/>
        <w:ind w:firstLine="480"/>
        <w:rPr>
          <w:highlight w:val="none"/>
        </w:rPr>
      </w:pPr>
      <w:r>
        <w:rPr>
          <w:rFonts w:hint="eastAsia"/>
          <w:highlight w:val="none"/>
        </w:rPr>
        <w:t>货物、服务提供的时间、地点、方式；</w:t>
      </w:r>
    </w:p>
    <w:p>
      <w:pPr>
        <w:pStyle w:val="64"/>
        <w:ind w:firstLine="480"/>
        <w:rPr>
          <w:highlight w:val="none"/>
        </w:rPr>
      </w:pPr>
      <w:r>
        <w:rPr>
          <w:rFonts w:hint="eastAsia"/>
          <w:highlight w:val="none"/>
        </w:rPr>
        <w:t>采购资金的支付方式、时间、条件；</w:t>
      </w:r>
    </w:p>
    <w:p>
      <w:pPr>
        <w:pStyle w:val="64"/>
        <w:ind w:firstLine="480"/>
        <w:rPr>
          <w:highlight w:val="none"/>
        </w:rPr>
      </w:pPr>
      <w:r>
        <w:rPr>
          <w:rFonts w:hint="eastAsia"/>
          <w:highlight w:val="none"/>
        </w:rPr>
        <w:t>评标方法、评标标准和投标无效情形；</w:t>
      </w:r>
    </w:p>
    <w:p>
      <w:pPr>
        <w:pStyle w:val="64"/>
        <w:ind w:firstLine="480"/>
        <w:rPr>
          <w:highlight w:val="none"/>
        </w:rPr>
      </w:pPr>
      <w:r>
        <w:rPr>
          <w:rFonts w:hint="eastAsia"/>
          <w:highlight w:val="none"/>
        </w:rPr>
        <w:t>投标有效期；</w:t>
      </w:r>
    </w:p>
    <w:p>
      <w:pPr>
        <w:pStyle w:val="64"/>
        <w:ind w:firstLine="480"/>
        <w:rPr>
          <w:highlight w:val="none"/>
        </w:rPr>
      </w:pPr>
      <w:r>
        <w:rPr>
          <w:rFonts w:hint="eastAsia"/>
          <w:highlight w:val="none"/>
        </w:rPr>
        <w:t>投标截止时间、开标时间及地点；</w:t>
      </w:r>
    </w:p>
    <w:p>
      <w:pPr>
        <w:pStyle w:val="64"/>
        <w:ind w:firstLine="480"/>
        <w:rPr>
          <w:highlight w:val="none"/>
        </w:rPr>
      </w:pPr>
      <w:r>
        <w:rPr>
          <w:rFonts w:hint="eastAsia"/>
          <w:highlight w:val="none"/>
        </w:rPr>
        <w:t>采购代理机构代理费用的收取标准和方式；</w:t>
      </w:r>
    </w:p>
    <w:p>
      <w:pPr>
        <w:pStyle w:val="64"/>
        <w:ind w:firstLine="480"/>
        <w:rPr>
          <w:highlight w:val="none"/>
        </w:rPr>
      </w:pPr>
      <w:r>
        <w:rPr>
          <w:rFonts w:hint="eastAsia"/>
          <w:highlight w:val="none"/>
        </w:rPr>
        <w:t>投标人信用信息查询渠道及截止时点、信用信息查询记录和证据留存的具体方式、信用信息的使用规则等；</w:t>
      </w:r>
    </w:p>
    <w:p>
      <w:pPr>
        <w:pStyle w:val="64"/>
        <w:ind w:firstLine="480"/>
        <w:rPr>
          <w:highlight w:val="none"/>
        </w:rPr>
      </w:pPr>
      <w:r>
        <w:rPr>
          <w:rFonts w:hint="eastAsia"/>
          <w:highlight w:val="none"/>
        </w:rPr>
        <w:t>省级以上财政部门规定的其他事项。</w:t>
      </w:r>
    </w:p>
    <w:p>
      <w:pPr>
        <w:pStyle w:val="63"/>
        <w:numPr>
          <w:ilvl w:val="3"/>
          <w:numId w:val="11"/>
        </w:numPr>
        <w:ind w:firstLine="480"/>
        <w:rPr>
          <w:highlight w:val="none"/>
        </w:rPr>
      </w:pPr>
      <w:r>
        <w:rPr>
          <w:rFonts w:hint="eastAsia"/>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9"/>
        <w:ind w:firstLine="482"/>
        <w:rPr>
          <w:highlight w:val="none"/>
        </w:rPr>
      </w:pPr>
      <w:bookmarkStart w:id="219" w:name="_Toc183682348"/>
      <w:bookmarkStart w:id="220" w:name="_Toc183582211"/>
      <w:bookmarkStart w:id="221" w:name="_Toc319440126"/>
      <w:bookmarkStart w:id="222" w:name="_Toc19612"/>
      <w:bookmarkStart w:id="223" w:name="_Toc25894"/>
      <w:bookmarkStart w:id="224" w:name="_Toc11995"/>
      <w:bookmarkStart w:id="225" w:name="_Toc16291"/>
      <w:bookmarkStart w:id="226" w:name="_Toc26020"/>
      <w:bookmarkStart w:id="227" w:name="_Toc3110"/>
      <w:bookmarkStart w:id="228" w:name="_Toc217446040"/>
      <w:bookmarkStart w:id="229" w:name="_Toc7541"/>
      <w:bookmarkStart w:id="230" w:name="_Toc307564836"/>
      <w:bookmarkStart w:id="231" w:name="_Toc12604"/>
      <w:bookmarkStart w:id="232" w:name="_Toc308188136"/>
      <w:bookmarkStart w:id="233" w:name="_Toc27690"/>
      <w:bookmarkStart w:id="234" w:name="_Toc22085"/>
      <w:bookmarkStart w:id="235" w:name="_Toc319439884"/>
      <w:bookmarkStart w:id="236" w:name="_Toc12371"/>
      <w:bookmarkStart w:id="237" w:name="_Toc13600"/>
      <w:bookmarkStart w:id="238" w:name="_Toc308084581"/>
      <w:bookmarkStart w:id="239" w:name="_Toc307501093"/>
      <w:bookmarkStart w:id="240" w:name="_Toc31172"/>
      <w:bookmarkStart w:id="241" w:name="_Toc327196270"/>
      <w:bookmarkStart w:id="242" w:name="_Toc3763"/>
      <w:bookmarkStart w:id="243" w:name="_Toc17632"/>
      <w:bookmarkStart w:id="244" w:name="_Toc309897499"/>
      <w:r>
        <w:rPr>
          <w:rFonts w:hint="eastAsia"/>
          <w:highlight w:val="none"/>
        </w:rPr>
        <w:t>招标文件的澄清</w:t>
      </w:r>
      <w:bookmarkEnd w:id="219"/>
      <w:bookmarkEnd w:id="220"/>
      <w:r>
        <w:rPr>
          <w:rFonts w:hint="eastAsia"/>
          <w:highlight w:val="none"/>
        </w:rPr>
        <w:t>和修改</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63"/>
        <w:ind w:firstLine="480"/>
        <w:rPr>
          <w:highlight w:val="none"/>
        </w:rPr>
      </w:pPr>
      <w:bookmarkStart w:id="245" w:name="_Toc9735"/>
      <w:bookmarkStart w:id="246" w:name="_Toc2637"/>
      <w:bookmarkStart w:id="247" w:name="_Toc308084582"/>
      <w:bookmarkStart w:id="248" w:name="_Toc8838"/>
      <w:bookmarkStart w:id="249" w:name="_Toc22061"/>
      <w:bookmarkStart w:id="250" w:name="_Toc309897500"/>
      <w:bookmarkStart w:id="251" w:name="_Toc308188137"/>
      <w:bookmarkStart w:id="252" w:name="_Toc327196271"/>
      <w:bookmarkStart w:id="253" w:name="_Toc319439885"/>
      <w:bookmarkStart w:id="254" w:name="_Toc307564837"/>
      <w:bookmarkStart w:id="255" w:name="_Toc319440127"/>
      <w:bookmarkStart w:id="256" w:name="_Toc217446041"/>
      <w:bookmarkStart w:id="257" w:name="_Toc3361"/>
      <w:bookmarkStart w:id="258" w:name="_Toc307501094"/>
      <w:bookmarkStart w:id="259" w:name="_Toc6811"/>
      <w:bookmarkStart w:id="260" w:name="_Toc208848971"/>
      <w:bookmarkStart w:id="261" w:name="_Toc17111"/>
      <w:bookmarkStart w:id="262" w:name="_Toc3159"/>
      <w:bookmarkStart w:id="263" w:name="_Toc7026"/>
      <w:bookmarkStart w:id="264" w:name="_Toc24226"/>
      <w:r>
        <w:rPr>
          <w:rFonts w:hint="eastAsia"/>
          <w:highlight w:val="none"/>
        </w:rPr>
        <w:t>在投标截止时间前，招标采购单位无论出于何种原因，可以对招标文件进行澄清或者修改；投标人认为需要对招标文件进行澄清或者修改的，可以以书面形式向招标采购单位提出申请，但招标采购单位可以决定是否采纳投标人的申请事项。</w:t>
      </w:r>
    </w:p>
    <w:p>
      <w:pPr>
        <w:pStyle w:val="63"/>
        <w:ind w:firstLine="480"/>
        <w:rPr>
          <w:highlight w:val="none"/>
        </w:rPr>
      </w:pPr>
      <w:r>
        <w:rPr>
          <w:rFonts w:hint="eastAsia"/>
          <w:highlight w:val="none"/>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63"/>
        <w:ind w:firstLine="480"/>
        <w:rPr>
          <w:highlight w:val="none"/>
        </w:rPr>
      </w:pPr>
      <w:r>
        <w:rPr>
          <w:rFonts w:hint="eastAsia"/>
          <w:highlight w:val="none"/>
        </w:rPr>
        <w:t>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pStyle w:val="46"/>
        <w:rPr>
          <w:highlight w:val="none"/>
        </w:rPr>
      </w:pPr>
      <w:r>
        <w:rPr>
          <w:rFonts w:hint="eastAsia"/>
          <w:highlight w:val="none"/>
        </w:rPr>
        <w:t>更正通知通过供应商报名时备注的电子邮箱发送至所有购买招标文件的供应商，供应商在收到相应更正通知后，将更正公告打印后加盖单位公章回传至我司邮箱：scqxzb@163.com。如供应商未给予书面回复，则视为收到并认可该更正通知的内容。</w:t>
      </w:r>
    </w:p>
    <w:p>
      <w:pPr>
        <w:pStyle w:val="49"/>
        <w:ind w:firstLine="482"/>
        <w:rPr>
          <w:highlight w:val="none"/>
        </w:rPr>
      </w:pPr>
      <w:bookmarkStart w:id="265" w:name="_Toc31570"/>
      <w:bookmarkStart w:id="266" w:name="_Toc6391"/>
      <w:bookmarkStart w:id="267" w:name="_Toc589"/>
      <w:bookmarkStart w:id="268" w:name="_Toc30282"/>
      <w:bookmarkStart w:id="269" w:name="_Toc16805"/>
      <w:r>
        <w:rPr>
          <w:rFonts w:hint="eastAsia"/>
          <w:highlight w:val="none"/>
        </w:rPr>
        <w:t>答疑会和现场考察</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63"/>
        <w:ind w:firstLine="480"/>
        <w:rPr>
          <w:highlight w:val="none"/>
        </w:rPr>
      </w:pPr>
      <w:bookmarkStart w:id="270" w:name="_Toc20199"/>
      <w:bookmarkStart w:id="271" w:name="_Toc77400780"/>
      <w:bookmarkStart w:id="272" w:name="_Toc183582214"/>
      <w:bookmarkStart w:id="273" w:name="_Toc89075876"/>
      <w:bookmarkStart w:id="274" w:name="_Toc327196272"/>
      <w:bookmarkStart w:id="275" w:name="_Toc183682351"/>
      <w:bookmarkStart w:id="276" w:name="_Toc217446042"/>
      <w:r>
        <w:rPr>
          <w:rFonts w:hint="eastAsia"/>
          <w:highlight w:val="none"/>
        </w:rPr>
        <w:t>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63"/>
        <w:ind w:firstLine="480"/>
        <w:rPr>
          <w:highlight w:val="none"/>
        </w:rPr>
      </w:pPr>
      <w:r>
        <w:rPr>
          <w:rFonts w:hint="eastAsia"/>
          <w:highlight w:val="none"/>
        </w:rPr>
        <w:t>投标人考察现场所发生的一切费用由投标人自己承担。</w:t>
      </w:r>
    </w:p>
    <w:p>
      <w:pPr>
        <w:pStyle w:val="43"/>
        <w:spacing w:before="120" w:after="120"/>
        <w:rPr>
          <w:highlight w:val="none"/>
        </w:rPr>
      </w:pPr>
      <w:bookmarkStart w:id="277" w:name="_Toc22767"/>
      <w:bookmarkStart w:id="278" w:name="_Toc615"/>
      <w:bookmarkStart w:id="279" w:name="_Toc27479"/>
      <w:bookmarkStart w:id="280" w:name="_Toc31695"/>
      <w:bookmarkStart w:id="281" w:name="_Toc5046"/>
      <w:bookmarkStart w:id="282" w:name="_Toc16131"/>
      <w:bookmarkStart w:id="283" w:name="_Toc28259"/>
      <w:r>
        <w:rPr>
          <w:rFonts w:hint="eastAsia"/>
          <w:highlight w:val="none"/>
        </w:rPr>
        <w:t>投标文件</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49"/>
        <w:numPr>
          <w:ilvl w:val="2"/>
          <w:numId w:val="12"/>
        </w:numPr>
        <w:ind w:firstLine="482"/>
        <w:rPr>
          <w:highlight w:val="none"/>
        </w:rPr>
      </w:pPr>
      <w:bookmarkStart w:id="284" w:name="_Toc183682352"/>
      <w:bookmarkStart w:id="285" w:name="_Toc307501096"/>
      <w:bookmarkStart w:id="286" w:name="_Toc319440129"/>
      <w:bookmarkStart w:id="287" w:name="_Toc308084584"/>
      <w:bookmarkStart w:id="288" w:name="_Toc308188139"/>
      <w:bookmarkStart w:id="289" w:name="_Toc27053"/>
      <w:bookmarkStart w:id="290" w:name="_Toc1641"/>
      <w:bookmarkStart w:id="291" w:name="_Toc29330"/>
      <w:bookmarkStart w:id="292" w:name="_Toc3041"/>
      <w:bookmarkStart w:id="293" w:name="_Toc217446043"/>
      <w:bookmarkStart w:id="294" w:name="_Toc21169"/>
      <w:bookmarkStart w:id="295" w:name="_Toc23564"/>
      <w:bookmarkStart w:id="296" w:name="_Toc307564839"/>
      <w:bookmarkStart w:id="297" w:name="_Toc327196273"/>
      <w:bookmarkStart w:id="298" w:name="_Toc309897502"/>
      <w:bookmarkStart w:id="299" w:name="_Toc2601"/>
      <w:bookmarkStart w:id="300" w:name="_Toc26076"/>
      <w:bookmarkStart w:id="301" w:name="_Toc319439887"/>
      <w:bookmarkStart w:id="302" w:name="_Toc183582215"/>
      <w:bookmarkStart w:id="303" w:name="_Toc14178"/>
      <w:bookmarkStart w:id="304" w:name="_Toc18145"/>
      <w:bookmarkStart w:id="305" w:name="_Toc8388"/>
      <w:bookmarkStart w:id="306" w:name="_Toc11217"/>
      <w:bookmarkStart w:id="307" w:name="_Toc25952"/>
      <w:bookmarkStart w:id="308" w:name="_Toc28369"/>
      <w:bookmarkStart w:id="309" w:name="_Toc5612"/>
      <w:r>
        <w:rPr>
          <w:rFonts w:hint="eastAsia"/>
          <w:highlight w:val="none"/>
        </w:rPr>
        <w:t>投标文件的语言</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hint="eastAsia"/>
          <w:highlight w:val="none"/>
        </w:rPr>
        <w:t>(实质性要求)</w:t>
      </w:r>
      <w:bookmarkEnd w:id="303"/>
      <w:bookmarkEnd w:id="304"/>
      <w:bookmarkEnd w:id="305"/>
      <w:bookmarkEnd w:id="306"/>
      <w:bookmarkEnd w:id="307"/>
      <w:bookmarkEnd w:id="308"/>
      <w:bookmarkEnd w:id="309"/>
    </w:p>
    <w:p>
      <w:pPr>
        <w:pStyle w:val="63"/>
        <w:ind w:firstLine="480"/>
        <w:rPr>
          <w:highlight w:val="none"/>
        </w:rPr>
      </w:pPr>
      <w:r>
        <w:rPr>
          <w:rFonts w:hint="eastAsia"/>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63"/>
        <w:ind w:firstLine="480"/>
        <w:rPr>
          <w:highlight w:val="none"/>
        </w:rPr>
      </w:pPr>
      <w:r>
        <w:rPr>
          <w:rFonts w:hint="eastAsia"/>
          <w:highlight w:val="none"/>
        </w:rPr>
        <w:t>翻译的中文资料与外文资料如果出现差异和矛盾时，以中文为准。但不能故意错误翻译，否则，投标人的投标文件将作为无效投标处理。</w:t>
      </w:r>
    </w:p>
    <w:p>
      <w:pPr>
        <w:pStyle w:val="49"/>
        <w:ind w:firstLine="482"/>
        <w:rPr>
          <w:highlight w:val="none"/>
        </w:rPr>
      </w:pPr>
      <w:bookmarkStart w:id="310" w:name="_Toc12195"/>
      <w:bookmarkStart w:id="311" w:name="_Toc319439888"/>
      <w:bookmarkStart w:id="312" w:name="_Toc308188140"/>
      <w:bookmarkStart w:id="313" w:name="_Toc15145"/>
      <w:bookmarkStart w:id="314" w:name="_Toc308084585"/>
      <w:bookmarkStart w:id="315" w:name="_Toc17444"/>
      <w:bookmarkStart w:id="316" w:name="_Toc319440130"/>
      <w:bookmarkStart w:id="317" w:name="_Toc307564840"/>
      <w:bookmarkStart w:id="318" w:name="_Toc2379"/>
      <w:bookmarkStart w:id="319" w:name="_Toc183582216"/>
      <w:bookmarkStart w:id="320" w:name="_Toc307501097"/>
      <w:bookmarkStart w:id="321" w:name="_Toc309897503"/>
      <w:bookmarkStart w:id="322" w:name="_Toc15226"/>
      <w:bookmarkStart w:id="323" w:name="_Toc20091"/>
      <w:bookmarkStart w:id="324" w:name="_Toc327196274"/>
      <w:bookmarkStart w:id="325" w:name="_Toc183682353"/>
      <w:bookmarkStart w:id="326" w:name="_Toc217446044"/>
      <w:bookmarkStart w:id="327" w:name="_Toc20188"/>
      <w:bookmarkStart w:id="328" w:name="_Toc11901"/>
      <w:bookmarkStart w:id="329" w:name="_Toc12658"/>
      <w:bookmarkStart w:id="330" w:name="_Toc11949"/>
      <w:bookmarkStart w:id="331" w:name="_Toc19972"/>
      <w:bookmarkStart w:id="332" w:name="_Toc23193"/>
      <w:bookmarkStart w:id="333" w:name="_Toc10594"/>
      <w:bookmarkStart w:id="334" w:name="_Toc18700"/>
      <w:bookmarkStart w:id="335" w:name="_Toc27948"/>
      <w:r>
        <w:rPr>
          <w:rFonts w:hint="eastAsia"/>
          <w:highlight w:val="none"/>
        </w:rPr>
        <w:t>计量单位</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highlight w:val="none"/>
        </w:rPr>
        <w:t>(实质性要求)</w:t>
      </w:r>
      <w:bookmarkEnd w:id="329"/>
      <w:bookmarkEnd w:id="330"/>
      <w:bookmarkEnd w:id="331"/>
      <w:bookmarkEnd w:id="332"/>
      <w:bookmarkEnd w:id="333"/>
      <w:bookmarkEnd w:id="334"/>
      <w:bookmarkEnd w:id="335"/>
    </w:p>
    <w:p>
      <w:pPr>
        <w:pStyle w:val="46"/>
        <w:rPr>
          <w:highlight w:val="none"/>
        </w:rPr>
      </w:pPr>
      <w:r>
        <w:rPr>
          <w:rFonts w:hint="eastAsia"/>
          <w:highlight w:val="none"/>
        </w:rPr>
        <w:t>除技术规格及要求中另有规定外，本采购项下的投标均采用国家法定的计量单位。</w:t>
      </w:r>
    </w:p>
    <w:p>
      <w:pPr>
        <w:pStyle w:val="49"/>
        <w:ind w:firstLine="482"/>
        <w:rPr>
          <w:highlight w:val="none"/>
        </w:rPr>
      </w:pPr>
      <w:bookmarkStart w:id="336" w:name="_Toc25216"/>
      <w:bookmarkStart w:id="337" w:name="_Toc307501098"/>
      <w:bookmarkStart w:id="338" w:name="_Toc8803"/>
      <w:bookmarkStart w:id="339" w:name="_Toc24761"/>
      <w:bookmarkStart w:id="340" w:name="_Toc309897504"/>
      <w:bookmarkStart w:id="341" w:name="_Toc319440131"/>
      <w:bookmarkStart w:id="342" w:name="_Toc327196275"/>
      <w:bookmarkStart w:id="343" w:name="_Toc22739"/>
      <w:bookmarkStart w:id="344" w:name="_Toc307564841"/>
      <w:bookmarkStart w:id="345" w:name="_Toc15435"/>
      <w:bookmarkStart w:id="346" w:name="_Toc8881"/>
      <w:bookmarkStart w:id="347" w:name="_Toc319439889"/>
      <w:bookmarkStart w:id="348" w:name="_Toc16798"/>
      <w:bookmarkStart w:id="349" w:name="_Toc308084586"/>
      <w:bookmarkStart w:id="350" w:name="_Toc308188141"/>
      <w:bookmarkStart w:id="351" w:name="_Toc217446045"/>
      <w:bookmarkStart w:id="352" w:name="_Toc698"/>
      <w:bookmarkStart w:id="353" w:name="_Toc19960"/>
      <w:bookmarkStart w:id="354" w:name="_Toc18229"/>
      <w:bookmarkStart w:id="355" w:name="_Toc5601"/>
      <w:bookmarkStart w:id="356" w:name="_Toc678"/>
      <w:bookmarkStart w:id="357" w:name="_Toc11633"/>
      <w:bookmarkStart w:id="358" w:name="_Toc20780"/>
      <w:bookmarkStart w:id="359" w:name="_Toc15872"/>
      <w:r>
        <w:rPr>
          <w:rFonts w:hint="eastAsia"/>
          <w:highlight w:val="none"/>
        </w:rPr>
        <w:t>投标货币</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Fonts w:hint="eastAsia"/>
          <w:highlight w:val="none"/>
        </w:rPr>
        <w:t>(实质性要求)</w:t>
      </w:r>
      <w:bookmarkEnd w:id="353"/>
      <w:bookmarkEnd w:id="354"/>
      <w:bookmarkEnd w:id="355"/>
      <w:bookmarkEnd w:id="356"/>
      <w:bookmarkEnd w:id="357"/>
      <w:bookmarkEnd w:id="358"/>
      <w:bookmarkEnd w:id="359"/>
    </w:p>
    <w:p>
      <w:pPr>
        <w:pStyle w:val="46"/>
        <w:rPr>
          <w:highlight w:val="none"/>
        </w:rPr>
      </w:pPr>
      <w:r>
        <w:rPr>
          <w:rFonts w:hint="eastAsia"/>
          <w:highlight w:val="none"/>
        </w:rPr>
        <w:t>本次招标项目的投标均以人民币报价。</w:t>
      </w:r>
    </w:p>
    <w:p>
      <w:pPr>
        <w:pStyle w:val="49"/>
        <w:ind w:firstLine="482"/>
        <w:rPr>
          <w:highlight w:val="none"/>
        </w:rPr>
      </w:pPr>
      <w:bookmarkStart w:id="360" w:name="_Toc21894"/>
      <w:bookmarkStart w:id="361" w:name="_Toc25266"/>
      <w:bookmarkStart w:id="362" w:name="_Toc307501099"/>
      <w:bookmarkStart w:id="363" w:name="_Toc319440132"/>
      <w:bookmarkStart w:id="364" w:name="_Toc32667"/>
      <w:bookmarkStart w:id="365" w:name="_Toc16409"/>
      <w:bookmarkStart w:id="366" w:name="_Toc24432"/>
      <w:bookmarkStart w:id="367" w:name="_Toc25923"/>
      <w:bookmarkStart w:id="368" w:name="_Toc15074"/>
      <w:bookmarkStart w:id="369" w:name="_Toc307564842"/>
      <w:bookmarkStart w:id="370" w:name="_Toc8550"/>
      <w:bookmarkStart w:id="371" w:name="_Toc309897505"/>
      <w:bookmarkStart w:id="372" w:name="_Toc21797"/>
      <w:bookmarkStart w:id="373" w:name="_Toc7935"/>
      <w:bookmarkStart w:id="374" w:name="_Toc327196276"/>
      <w:bookmarkStart w:id="375" w:name="_Toc217446046"/>
      <w:bookmarkStart w:id="376" w:name="_Toc4336"/>
      <w:bookmarkStart w:id="377" w:name="_Toc308188142"/>
      <w:bookmarkStart w:id="378" w:name="_Toc319439890"/>
      <w:bookmarkStart w:id="379" w:name="_Toc32108"/>
      <w:bookmarkStart w:id="380" w:name="_Toc308084587"/>
      <w:bookmarkStart w:id="381" w:name="_Toc28785"/>
      <w:bookmarkStart w:id="382" w:name="_Toc30171"/>
      <w:bookmarkStart w:id="383" w:name="_Toc7172"/>
      <w:bookmarkStart w:id="384" w:name="_Toc26637"/>
      <w:bookmarkStart w:id="385" w:name="_Toc30958"/>
      <w:bookmarkStart w:id="386" w:name="_Toc217446047"/>
      <w:bookmarkStart w:id="387" w:name="_Toc319439891"/>
      <w:bookmarkStart w:id="388" w:name="_Toc309897506"/>
      <w:bookmarkStart w:id="389" w:name="_Toc307501100"/>
      <w:bookmarkStart w:id="390" w:name="_Toc308084588"/>
      <w:bookmarkStart w:id="391" w:name="_Toc307564843"/>
      <w:bookmarkStart w:id="392" w:name="_Toc2050"/>
      <w:bookmarkStart w:id="393" w:name="_Toc27877"/>
      <w:bookmarkStart w:id="394" w:name="_Toc18912"/>
      <w:bookmarkStart w:id="395" w:name="_Toc319440133"/>
      <w:bookmarkStart w:id="396" w:name="_Toc327196277"/>
      <w:bookmarkStart w:id="397" w:name="_Toc13754"/>
      <w:bookmarkStart w:id="398" w:name="_Toc7819"/>
      <w:bookmarkStart w:id="399" w:name="_Toc308188143"/>
      <w:bookmarkStart w:id="400" w:name="_Toc3781"/>
      <w:bookmarkStart w:id="401" w:name="_Toc10974"/>
      <w:bookmarkStart w:id="402" w:name="_Toc9626"/>
      <w:bookmarkStart w:id="403" w:name="_Toc15468"/>
      <w:r>
        <w:rPr>
          <w:rFonts w:hint="eastAsia"/>
          <w:highlight w:val="none"/>
        </w:rPr>
        <w:t>联合体投标</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hint="eastAsia"/>
          <w:highlight w:val="none"/>
        </w:rPr>
        <w:t>(实质性要求)</w:t>
      </w:r>
      <w:bookmarkEnd w:id="381"/>
      <w:bookmarkEnd w:id="382"/>
      <w:bookmarkEnd w:id="383"/>
      <w:bookmarkEnd w:id="384"/>
    </w:p>
    <w:p>
      <w:pPr>
        <w:pStyle w:val="42"/>
        <w:ind w:firstLine="480" w:firstLineChars="200"/>
        <w:rPr>
          <w:highlight w:val="none"/>
        </w:rPr>
      </w:pPr>
      <w:r>
        <w:rPr>
          <w:rFonts w:hint="eastAsia"/>
          <w:highlight w:val="none"/>
        </w:rPr>
        <w:t>本项目</w:t>
      </w:r>
      <w:r>
        <w:rPr>
          <w:rFonts w:hint="eastAsia"/>
          <w:highlight w:val="none"/>
          <w:lang w:val="en-US" w:eastAsia="zh-CN"/>
        </w:rPr>
        <w:t>不</w:t>
      </w:r>
      <w:r>
        <w:rPr>
          <w:rFonts w:hint="eastAsia"/>
          <w:highlight w:val="none"/>
        </w:rPr>
        <w:t>接受联合体投标。</w:t>
      </w:r>
    </w:p>
    <w:p>
      <w:pPr>
        <w:pStyle w:val="49"/>
        <w:ind w:firstLine="482"/>
        <w:rPr>
          <w:highlight w:val="none"/>
        </w:rPr>
      </w:pPr>
      <w:bookmarkStart w:id="404" w:name="_Toc244"/>
      <w:bookmarkStart w:id="405" w:name="_Toc13298"/>
      <w:bookmarkStart w:id="406" w:name="_Toc14442"/>
      <w:bookmarkStart w:id="407" w:name="_Toc30619"/>
      <w:bookmarkStart w:id="408" w:name="_Toc30421"/>
      <w:r>
        <w:rPr>
          <w:rFonts w:hint="eastAsia"/>
          <w:highlight w:val="none"/>
        </w:rPr>
        <w:t>知识产权</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eastAsia"/>
          <w:highlight w:val="none"/>
        </w:rPr>
        <w:t>(实质性要求)</w:t>
      </w:r>
      <w:bookmarkEnd w:id="402"/>
      <w:bookmarkEnd w:id="403"/>
      <w:bookmarkEnd w:id="404"/>
      <w:bookmarkEnd w:id="405"/>
      <w:bookmarkEnd w:id="406"/>
      <w:bookmarkEnd w:id="407"/>
      <w:bookmarkEnd w:id="408"/>
    </w:p>
    <w:p>
      <w:pPr>
        <w:pStyle w:val="63"/>
        <w:ind w:firstLine="480"/>
        <w:rPr>
          <w:highlight w:val="none"/>
        </w:rPr>
      </w:pPr>
      <w:bookmarkStart w:id="409" w:name="_Toc7660"/>
      <w:bookmarkStart w:id="410" w:name="_Toc319439892"/>
      <w:bookmarkStart w:id="411" w:name="_Toc183682354"/>
      <w:bookmarkStart w:id="412" w:name="_Toc327196278"/>
      <w:bookmarkStart w:id="413" w:name="_Toc6143"/>
      <w:bookmarkStart w:id="414" w:name="_Toc2706"/>
      <w:bookmarkStart w:id="415" w:name="_Toc307501101"/>
      <w:bookmarkStart w:id="416" w:name="_Toc308084589"/>
      <w:bookmarkStart w:id="417" w:name="_Toc5369"/>
      <w:bookmarkStart w:id="418" w:name="_Toc319440134"/>
      <w:bookmarkStart w:id="419" w:name="_Toc11856"/>
      <w:bookmarkStart w:id="420" w:name="_Toc309897507"/>
      <w:bookmarkStart w:id="421" w:name="_Toc8432"/>
      <w:bookmarkStart w:id="422" w:name="_Toc308188144"/>
      <w:bookmarkStart w:id="423" w:name="_Toc10817"/>
      <w:bookmarkStart w:id="424" w:name="_Toc183582217"/>
      <w:bookmarkStart w:id="425" w:name="_Toc217446048"/>
      <w:bookmarkStart w:id="426" w:name="_Toc16281"/>
      <w:bookmarkStart w:id="427" w:name="_Toc1140"/>
      <w:bookmarkStart w:id="428" w:name="_Toc30708"/>
      <w:bookmarkStart w:id="429" w:name="_Toc307564844"/>
      <w:r>
        <w:rPr>
          <w:rFonts w:hint="eastAsia"/>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3"/>
        <w:ind w:firstLine="480"/>
        <w:rPr>
          <w:highlight w:val="none"/>
        </w:rPr>
      </w:pPr>
      <w:r>
        <w:rPr>
          <w:rFonts w:hint="eastAsia"/>
          <w:highlight w:val="none"/>
        </w:rPr>
        <w:t>采购人享有本项目实施过程中产生的知识成果及知识产权。</w:t>
      </w:r>
    </w:p>
    <w:p>
      <w:pPr>
        <w:pStyle w:val="63"/>
        <w:ind w:firstLine="480"/>
        <w:rPr>
          <w:highlight w:val="none"/>
        </w:rPr>
      </w:pPr>
      <w:r>
        <w:rPr>
          <w:rFonts w:hint="eastAsia"/>
          <w:highlight w:val="none"/>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r>
        <w:rPr>
          <w:highlight w:val="none"/>
        </w:rPr>
        <w:t>同时需在投标文件中提供声明，并提供相关知识产权证明文件，否则视为投标人未在本项目实施过程中采用自有知识成果，不影响有效性</w:t>
      </w:r>
      <w:r>
        <w:rPr>
          <w:rFonts w:hint="eastAsia"/>
          <w:highlight w:val="none"/>
        </w:rPr>
        <w:t>。</w:t>
      </w:r>
    </w:p>
    <w:p>
      <w:pPr>
        <w:pStyle w:val="63"/>
        <w:ind w:firstLine="480"/>
        <w:rPr>
          <w:highlight w:val="none"/>
        </w:rPr>
      </w:pPr>
      <w:r>
        <w:rPr>
          <w:rFonts w:hint="eastAsia"/>
          <w:highlight w:val="none"/>
        </w:rPr>
        <w:t xml:space="preserve">如采用投标人所不拥有的知识产权，则在投标报价中必须包括合法获取该知识产权的相关费用。 </w:t>
      </w:r>
    </w:p>
    <w:p>
      <w:pPr>
        <w:pStyle w:val="63"/>
        <w:ind w:firstLine="480"/>
        <w:rPr>
          <w:highlight w:val="none"/>
        </w:rPr>
      </w:pPr>
      <w:r>
        <w:rPr>
          <w:rFonts w:hint="eastAsia"/>
          <w:highlight w:val="none"/>
        </w:rPr>
        <w:t>如采购项目涉及知识产权时按照此条要求执行。</w:t>
      </w:r>
    </w:p>
    <w:p>
      <w:pPr>
        <w:pStyle w:val="49"/>
        <w:ind w:firstLine="482"/>
        <w:rPr>
          <w:highlight w:val="none"/>
        </w:rPr>
      </w:pPr>
      <w:bookmarkStart w:id="430" w:name="_Toc5225"/>
      <w:bookmarkStart w:id="431" w:name="_Toc31800"/>
      <w:bookmarkStart w:id="432" w:name="_Toc13790"/>
      <w:bookmarkStart w:id="433" w:name="_Toc28082"/>
      <w:bookmarkStart w:id="434" w:name="_Toc28370"/>
      <w:r>
        <w:rPr>
          <w:rFonts w:hint="eastAsia"/>
          <w:highlight w:val="none"/>
        </w:rPr>
        <w:t>投标文件的组成</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46"/>
        <w:rPr>
          <w:highlight w:val="none"/>
        </w:rPr>
      </w:pPr>
      <w:bookmarkStart w:id="435" w:name="_Toc183582218"/>
      <w:bookmarkStart w:id="436" w:name="_Toc307501102"/>
      <w:bookmarkStart w:id="437" w:name="_Toc217446049"/>
      <w:bookmarkStart w:id="438" w:name="_Toc183682355"/>
      <w:r>
        <w:rPr>
          <w:rFonts w:hint="eastAsia"/>
          <w:highlight w:val="none"/>
        </w:rPr>
        <w:t>投标人应按照招标文件的规定和要求编制投标文件，否则视为无效投标。投标人拟在中标后将中标项目的非主体、非关键性工作交由他人完成的，应当在投标文件中载明。投标人编写的投标文件应包括以下两部分：</w:t>
      </w:r>
    </w:p>
    <w:p>
      <w:pPr>
        <w:pStyle w:val="63"/>
        <w:ind w:firstLine="480"/>
        <w:rPr>
          <w:highlight w:val="none"/>
        </w:rPr>
      </w:pPr>
      <w:r>
        <w:rPr>
          <w:rFonts w:hint="eastAsia"/>
          <w:highlight w:val="none"/>
        </w:rPr>
        <w:t>第一部分：资格、资质性及其他类似效力投标文件(用于资格审查)</w:t>
      </w:r>
    </w:p>
    <w:p>
      <w:pPr>
        <w:pStyle w:val="46"/>
        <w:rPr>
          <w:highlight w:val="none"/>
        </w:rPr>
      </w:pPr>
      <w:r>
        <w:rPr>
          <w:rFonts w:hint="eastAsia"/>
          <w:highlight w:val="none"/>
        </w:rPr>
        <w:t>按照招标文件第四、五章要求提供相关资格、资质性及其他类似效力要求的相关证明材料。</w:t>
      </w:r>
    </w:p>
    <w:p>
      <w:pPr>
        <w:pStyle w:val="63"/>
        <w:ind w:firstLine="480"/>
        <w:rPr>
          <w:highlight w:val="none"/>
        </w:rPr>
      </w:pPr>
      <w:r>
        <w:rPr>
          <w:rFonts w:hint="eastAsia"/>
          <w:highlight w:val="none"/>
        </w:rPr>
        <w:t>第二部分：其它投标文件(用于资格审查以外的评标)</w:t>
      </w:r>
    </w:p>
    <w:p>
      <w:pPr>
        <w:pStyle w:val="46"/>
        <w:rPr>
          <w:highlight w:val="none"/>
        </w:rPr>
      </w:pPr>
      <w:r>
        <w:rPr>
          <w:rFonts w:hint="eastAsia"/>
          <w:highlight w:val="none"/>
        </w:rPr>
        <w:t>按照招标文件要求提供以下相关材料：</w:t>
      </w:r>
    </w:p>
    <w:p>
      <w:pPr>
        <w:pStyle w:val="64"/>
        <w:ind w:firstLine="482"/>
        <w:rPr>
          <w:b/>
          <w:bCs/>
          <w:highlight w:val="none"/>
        </w:rPr>
      </w:pPr>
      <w:r>
        <w:rPr>
          <w:rFonts w:hint="eastAsia"/>
          <w:b/>
          <w:bCs/>
          <w:highlight w:val="none"/>
        </w:rPr>
        <w:t>报价部分。</w:t>
      </w:r>
    </w:p>
    <w:p>
      <w:pPr>
        <w:pStyle w:val="36"/>
        <w:numPr>
          <w:ilvl w:val="3"/>
          <w:numId w:val="0"/>
        </w:numPr>
        <w:ind w:left="480" w:leftChars="200"/>
        <w:rPr>
          <w:highlight w:val="none"/>
        </w:rPr>
      </w:pPr>
      <w:r>
        <w:rPr>
          <w:rFonts w:hint="eastAsia"/>
          <w:highlight w:val="none"/>
        </w:rPr>
        <w:t>投标人按照以下要求填写的“开标一览表”。本次招标报价要求：</w:t>
      </w:r>
    </w:p>
    <w:p>
      <w:pPr>
        <w:pStyle w:val="65"/>
        <w:ind w:firstLine="480"/>
        <w:rPr>
          <w:highlight w:val="none"/>
        </w:rPr>
      </w:pPr>
      <w:r>
        <w:rPr>
          <w:rFonts w:hint="eastAsia"/>
          <w:highlight w:val="none"/>
          <w:lang w:val="en-US" w:eastAsia="zh-CN"/>
        </w:rPr>
        <w:t>本项目采用报单价形式进行报价，投标报价不得超过各项单价最高限价，项目结算以中标单价和实际履约工作量据实结算。</w:t>
      </w:r>
    </w:p>
    <w:p>
      <w:pPr>
        <w:pStyle w:val="65"/>
        <w:ind w:firstLine="480"/>
        <w:rPr>
          <w:highlight w:val="none"/>
        </w:rPr>
      </w:pPr>
      <w:r>
        <w:rPr>
          <w:rFonts w:hint="eastAsia"/>
          <w:highlight w:val="none"/>
        </w:rPr>
        <w:t>投标人的报价是投标人响应招标项目要求的全部工作内容的价格体现，包括完成本项目所涉及的一切费用</w:t>
      </w:r>
      <w:r>
        <w:rPr>
          <w:rFonts w:hint="eastAsia"/>
          <w:highlight w:val="none"/>
          <w:lang w:val="zh-CN"/>
        </w:rPr>
        <w:t>(实质性要求)</w:t>
      </w:r>
      <w:r>
        <w:rPr>
          <w:rFonts w:hint="eastAsia"/>
          <w:highlight w:val="none"/>
        </w:rPr>
        <w:t>。</w:t>
      </w:r>
    </w:p>
    <w:p>
      <w:pPr>
        <w:pStyle w:val="65"/>
        <w:ind w:firstLine="480"/>
        <w:rPr>
          <w:highlight w:val="none"/>
        </w:rPr>
      </w:pPr>
      <w:r>
        <w:rPr>
          <w:rFonts w:hint="eastAsia"/>
          <w:highlight w:val="none"/>
        </w:rPr>
        <w:t>投标人只允许有一个报价，并且在合同履行过程中是固定不变的，任何有选择或可调整的报价将不予接受，并按无效投标处理</w:t>
      </w:r>
      <w:r>
        <w:rPr>
          <w:rFonts w:hint="eastAsia"/>
          <w:highlight w:val="none"/>
          <w:lang w:val="zh-CN"/>
        </w:rPr>
        <w:t>(实质性要求)</w:t>
      </w:r>
      <w:r>
        <w:rPr>
          <w:rFonts w:hint="eastAsia"/>
          <w:highlight w:val="none"/>
        </w:rPr>
        <w:t>。</w:t>
      </w:r>
    </w:p>
    <w:p>
      <w:pPr>
        <w:pStyle w:val="65"/>
        <w:ind w:firstLine="480"/>
        <w:rPr>
          <w:highlight w:val="none"/>
          <w:lang w:val="zh-CN"/>
        </w:rPr>
      </w:pPr>
      <w:r>
        <w:rPr>
          <w:rFonts w:hint="eastAsia"/>
          <w:highlight w:val="none"/>
          <w:lang w:val="zh-CN"/>
        </w:rPr>
        <w:t>供应商的失信行为受到行政处罚或司法惩处的，按投标人须知</w:t>
      </w:r>
      <w:r>
        <w:rPr>
          <w:rFonts w:hint="eastAsia"/>
          <w:highlight w:val="none"/>
        </w:rPr>
        <w:t>前</w:t>
      </w:r>
      <w:r>
        <w:rPr>
          <w:rFonts w:hint="eastAsia"/>
          <w:highlight w:val="none"/>
          <w:lang w:val="zh-CN"/>
        </w:rPr>
        <w:t>附表中规定的价格加成方式进行惩戒。</w:t>
      </w:r>
    </w:p>
    <w:p>
      <w:pPr>
        <w:pStyle w:val="64"/>
        <w:ind w:firstLine="482"/>
        <w:rPr>
          <w:b/>
          <w:bCs/>
          <w:highlight w:val="none"/>
          <w:lang w:val="zh-CN"/>
        </w:rPr>
      </w:pPr>
      <w:r>
        <w:rPr>
          <w:rFonts w:hint="eastAsia"/>
          <w:b/>
          <w:bCs/>
          <w:highlight w:val="none"/>
        </w:rPr>
        <w:t>服务</w:t>
      </w:r>
      <w:r>
        <w:rPr>
          <w:rFonts w:hint="eastAsia"/>
          <w:b/>
          <w:bCs/>
          <w:highlight w:val="none"/>
          <w:lang w:val="zh-CN"/>
        </w:rPr>
        <w:t>部分</w:t>
      </w:r>
    </w:p>
    <w:p>
      <w:pPr>
        <w:pStyle w:val="46"/>
        <w:rPr>
          <w:highlight w:val="none"/>
          <w:lang w:val="zh-CN"/>
        </w:rPr>
      </w:pPr>
      <w:r>
        <w:rPr>
          <w:rFonts w:hint="eastAsia"/>
          <w:highlight w:val="none"/>
          <w:lang w:val="zh-CN"/>
        </w:rPr>
        <w:t>投标人按照招标文件要求做出的服务应答，主要是针对招标项目的服务要求做出的实质性响应和满足。投标人的服务应答应尽可能包括下列内容：</w:t>
      </w:r>
    </w:p>
    <w:p>
      <w:pPr>
        <w:pStyle w:val="65"/>
        <w:ind w:firstLine="480"/>
        <w:rPr>
          <w:highlight w:val="none"/>
          <w:lang w:val="zh-CN"/>
        </w:rPr>
      </w:pPr>
      <w:r>
        <w:rPr>
          <w:rFonts w:hint="eastAsia"/>
          <w:highlight w:val="none"/>
          <w:lang w:val="en-US" w:eastAsia="zh-CN"/>
        </w:rPr>
        <w:t>履约</w:t>
      </w:r>
      <w:r>
        <w:rPr>
          <w:rFonts w:hint="eastAsia"/>
          <w:highlight w:val="none"/>
          <w:lang w:val="zh-CN"/>
        </w:rPr>
        <w:t>能力、服务方案(包含项目实施方案)；</w:t>
      </w:r>
    </w:p>
    <w:p>
      <w:pPr>
        <w:pStyle w:val="65"/>
        <w:ind w:firstLine="480"/>
        <w:rPr>
          <w:highlight w:val="none"/>
          <w:lang w:val="zh-CN"/>
        </w:rPr>
      </w:pPr>
      <w:r>
        <w:rPr>
          <w:rFonts w:hint="eastAsia"/>
          <w:highlight w:val="none"/>
          <w:lang w:val="zh-CN"/>
        </w:rPr>
        <w:t>拟投本项目的</w:t>
      </w:r>
      <w:r>
        <w:rPr>
          <w:rFonts w:hint="eastAsia"/>
          <w:highlight w:val="none"/>
        </w:rPr>
        <w:t>团队项目负责人</w:t>
      </w:r>
      <w:r>
        <w:rPr>
          <w:rFonts w:hint="eastAsia"/>
          <w:highlight w:val="none"/>
          <w:lang w:val="zh-CN"/>
        </w:rPr>
        <w:t>、技术</w:t>
      </w:r>
      <w:r>
        <w:rPr>
          <w:rFonts w:hint="eastAsia"/>
          <w:highlight w:val="none"/>
        </w:rPr>
        <w:t>负责人</w:t>
      </w:r>
      <w:r>
        <w:rPr>
          <w:rFonts w:hint="eastAsia"/>
          <w:highlight w:val="none"/>
          <w:lang w:val="zh-CN"/>
        </w:rPr>
        <w:t>及服务人员(如涉及需投入设备的项目可列明设备清单)；</w:t>
      </w:r>
    </w:p>
    <w:p>
      <w:pPr>
        <w:pStyle w:val="65"/>
        <w:ind w:firstLine="480"/>
        <w:rPr>
          <w:highlight w:val="none"/>
          <w:lang w:val="zh-CN"/>
        </w:rPr>
      </w:pPr>
      <w:r>
        <w:rPr>
          <w:rFonts w:hint="eastAsia"/>
          <w:highlight w:val="none"/>
          <w:lang w:val="zh-CN"/>
        </w:rPr>
        <w:t>服务应答表；</w:t>
      </w:r>
    </w:p>
    <w:p>
      <w:pPr>
        <w:pStyle w:val="65"/>
        <w:ind w:firstLine="480"/>
        <w:rPr>
          <w:highlight w:val="none"/>
        </w:rPr>
      </w:pPr>
      <w:r>
        <w:rPr>
          <w:rFonts w:hint="eastAsia"/>
          <w:highlight w:val="none"/>
          <w:lang w:val="zh-CN"/>
        </w:rPr>
        <w:t>投标人认为需要提供的文件和资料</w:t>
      </w:r>
      <w:r>
        <w:rPr>
          <w:rFonts w:hint="eastAsia"/>
          <w:highlight w:val="none"/>
        </w:rPr>
        <w:t>。</w:t>
      </w:r>
    </w:p>
    <w:p>
      <w:pPr>
        <w:pStyle w:val="64"/>
        <w:ind w:firstLine="482"/>
        <w:rPr>
          <w:b/>
          <w:bCs/>
          <w:highlight w:val="none"/>
        </w:rPr>
      </w:pPr>
      <w:r>
        <w:rPr>
          <w:rFonts w:hint="eastAsia"/>
          <w:b/>
          <w:bCs/>
          <w:highlight w:val="none"/>
        </w:rPr>
        <w:t>商务部分</w:t>
      </w:r>
    </w:p>
    <w:p>
      <w:pPr>
        <w:pStyle w:val="46"/>
        <w:rPr>
          <w:highlight w:val="none"/>
        </w:rPr>
      </w:pPr>
      <w:r>
        <w:rPr>
          <w:rFonts w:hint="eastAsia"/>
          <w:highlight w:val="none"/>
        </w:rPr>
        <w:t>投标人按照招标文件要求提供的有关证明材料；至少应包括但不限于以下内容：</w:t>
      </w:r>
    </w:p>
    <w:p>
      <w:pPr>
        <w:pStyle w:val="65"/>
        <w:ind w:firstLine="480"/>
        <w:rPr>
          <w:highlight w:val="none"/>
        </w:rPr>
      </w:pPr>
      <w:bookmarkStart w:id="439" w:name="_Toc310410799"/>
      <w:bookmarkStart w:id="440" w:name="_Toc310411990"/>
      <w:bookmarkStart w:id="441" w:name="_Toc148505258"/>
      <w:bookmarkStart w:id="442" w:name="_Toc177972975"/>
      <w:bookmarkStart w:id="443" w:name="_Toc310412059"/>
      <w:bookmarkStart w:id="444" w:name="_Toc177972289"/>
      <w:bookmarkStart w:id="445" w:name="_Toc338418069"/>
      <w:r>
        <w:rPr>
          <w:rFonts w:hint="eastAsia"/>
          <w:highlight w:val="none"/>
        </w:rPr>
        <w:t>投标函；</w:t>
      </w:r>
    </w:p>
    <w:p>
      <w:pPr>
        <w:pStyle w:val="65"/>
        <w:ind w:firstLine="480"/>
        <w:rPr>
          <w:highlight w:val="none"/>
        </w:rPr>
      </w:pPr>
      <w:r>
        <w:rPr>
          <w:rFonts w:hint="eastAsia"/>
          <w:highlight w:val="none"/>
        </w:rPr>
        <w:t>投标人基本情况表；</w:t>
      </w:r>
    </w:p>
    <w:p>
      <w:pPr>
        <w:pStyle w:val="65"/>
        <w:ind w:firstLine="480"/>
        <w:rPr>
          <w:highlight w:val="none"/>
        </w:rPr>
      </w:pPr>
      <w:r>
        <w:rPr>
          <w:rFonts w:hint="eastAsia"/>
          <w:highlight w:val="none"/>
        </w:rPr>
        <w:t>商务应答表；</w:t>
      </w:r>
    </w:p>
    <w:p>
      <w:pPr>
        <w:pStyle w:val="65"/>
        <w:ind w:firstLine="480"/>
        <w:rPr>
          <w:highlight w:val="none"/>
        </w:rPr>
      </w:pPr>
      <w:r>
        <w:rPr>
          <w:rFonts w:hint="eastAsia"/>
          <w:highlight w:val="none"/>
        </w:rPr>
        <w:t>招标代理服务费承诺函；</w:t>
      </w:r>
    </w:p>
    <w:p>
      <w:pPr>
        <w:pStyle w:val="65"/>
        <w:ind w:firstLine="480"/>
        <w:rPr>
          <w:highlight w:val="none"/>
        </w:rPr>
      </w:pPr>
      <w:r>
        <w:rPr>
          <w:rFonts w:hint="eastAsia"/>
          <w:highlight w:val="none"/>
        </w:rPr>
        <w:t>投标人认为应当提供的其他证明材料；</w:t>
      </w:r>
    </w:p>
    <w:p>
      <w:pPr>
        <w:pStyle w:val="65"/>
        <w:ind w:firstLine="480"/>
        <w:rPr>
          <w:highlight w:val="none"/>
        </w:rPr>
      </w:pPr>
      <w:r>
        <w:rPr>
          <w:rFonts w:hint="eastAsia"/>
          <w:highlight w:val="none"/>
        </w:rPr>
        <w:t>招标文件规定的其他商务要求。</w:t>
      </w:r>
    </w:p>
    <w:bookmarkEnd w:id="439"/>
    <w:bookmarkEnd w:id="440"/>
    <w:bookmarkEnd w:id="441"/>
    <w:bookmarkEnd w:id="442"/>
    <w:bookmarkEnd w:id="443"/>
    <w:bookmarkEnd w:id="444"/>
    <w:bookmarkEnd w:id="445"/>
    <w:p>
      <w:pPr>
        <w:pStyle w:val="64"/>
        <w:ind w:firstLine="480"/>
        <w:rPr>
          <w:highlight w:val="none"/>
        </w:rPr>
      </w:pPr>
      <w:r>
        <w:rPr>
          <w:rFonts w:hint="eastAsia"/>
          <w:highlight w:val="none"/>
        </w:rPr>
        <w:t>其他部分。</w:t>
      </w:r>
    </w:p>
    <w:p>
      <w:pPr>
        <w:pStyle w:val="46"/>
        <w:rPr>
          <w:highlight w:val="none"/>
        </w:rPr>
      </w:pPr>
      <w:r>
        <w:rPr>
          <w:rFonts w:hint="eastAsia"/>
          <w:highlight w:val="none"/>
        </w:rPr>
        <w:t>投标人按照招标文件要求作出的其他应答和承诺。</w:t>
      </w:r>
    </w:p>
    <w:p>
      <w:pPr>
        <w:pStyle w:val="47"/>
        <w:ind w:firstLine="482"/>
        <w:rPr>
          <w:highlight w:val="none"/>
        </w:rPr>
      </w:pPr>
      <w:r>
        <w:rPr>
          <w:rFonts w:hint="eastAsia"/>
          <w:highlight w:val="none"/>
        </w:rPr>
        <w:t>注：以上1、2要求提供的证明材料均需加盖投标人公章，若未加盖投标人公章的，则该证明材料涉及的评分项不予评分，涉及资格条件或实质性要求的评审项按未通过处理。</w:t>
      </w:r>
    </w:p>
    <w:p>
      <w:pPr>
        <w:pStyle w:val="46"/>
        <w:ind w:firstLine="482"/>
        <w:rPr>
          <w:b/>
          <w:bCs/>
          <w:highlight w:val="none"/>
        </w:rPr>
      </w:pPr>
      <w:r>
        <w:rPr>
          <w:rFonts w:hint="eastAsia"/>
          <w:b/>
          <w:bCs/>
          <w:highlight w:val="none"/>
        </w:rPr>
        <w:t>若综合评分明细表和技术参数中需要提供的证明材料上述未提及，投标人根据综合评分明细表和技术参数提供相关的证明材料。</w:t>
      </w:r>
    </w:p>
    <w:p>
      <w:pPr>
        <w:pStyle w:val="49"/>
        <w:ind w:firstLine="482"/>
        <w:rPr>
          <w:highlight w:val="none"/>
        </w:rPr>
      </w:pPr>
      <w:bookmarkStart w:id="446" w:name="_Toc327196279"/>
      <w:bookmarkStart w:id="447" w:name="_Toc319439893"/>
      <w:bookmarkStart w:id="448" w:name="_Toc26967"/>
      <w:bookmarkStart w:id="449" w:name="_Toc15763"/>
      <w:bookmarkStart w:id="450" w:name="_Toc308084590"/>
      <w:bookmarkStart w:id="451" w:name="_Toc307564845"/>
      <w:bookmarkStart w:id="452" w:name="_Toc6789"/>
      <w:bookmarkStart w:id="453" w:name="_Toc32288"/>
      <w:bookmarkStart w:id="454" w:name="_Toc10947"/>
      <w:bookmarkStart w:id="455" w:name="_Toc10668"/>
      <w:bookmarkStart w:id="456" w:name="_Toc4288"/>
      <w:bookmarkStart w:id="457" w:name="_Toc309897508"/>
      <w:bookmarkStart w:id="458" w:name="_Toc1874"/>
      <w:bookmarkStart w:id="459" w:name="_Toc3096"/>
      <w:bookmarkStart w:id="460" w:name="_Toc32103"/>
      <w:bookmarkStart w:id="461" w:name="_Toc31136"/>
      <w:bookmarkStart w:id="462" w:name="_Toc23655"/>
      <w:bookmarkStart w:id="463" w:name="_Toc31194"/>
      <w:bookmarkStart w:id="464" w:name="_Toc308188145"/>
      <w:bookmarkStart w:id="465" w:name="_Toc319440135"/>
      <w:bookmarkStart w:id="466" w:name="_Toc32685"/>
      <w:bookmarkStart w:id="467" w:name="_Toc10518"/>
      <w:r>
        <w:rPr>
          <w:rFonts w:hint="eastAsia"/>
          <w:highlight w:val="none"/>
        </w:rPr>
        <w:t>投标文件格式</w:t>
      </w:r>
      <w:bookmarkEnd w:id="435"/>
      <w:bookmarkEnd w:id="436"/>
      <w:bookmarkEnd w:id="437"/>
      <w:bookmarkEnd w:id="438"/>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hint="eastAsia"/>
          <w:highlight w:val="none"/>
        </w:rPr>
        <w:tab/>
      </w:r>
    </w:p>
    <w:p>
      <w:pPr>
        <w:pStyle w:val="63"/>
        <w:ind w:firstLine="480"/>
        <w:rPr>
          <w:highlight w:val="none"/>
        </w:rPr>
      </w:pPr>
      <w:r>
        <w:rPr>
          <w:rFonts w:hint="eastAsia"/>
          <w:highlight w:val="none"/>
        </w:rPr>
        <w:t>投标人应按照招标文件第三章中提供的“投标文件格式”填写相关内容。</w:t>
      </w:r>
    </w:p>
    <w:p>
      <w:pPr>
        <w:pStyle w:val="63"/>
        <w:ind w:firstLine="480"/>
        <w:rPr>
          <w:highlight w:val="none"/>
        </w:rPr>
      </w:pPr>
      <w:r>
        <w:rPr>
          <w:rFonts w:hint="eastAsia"/>
          <w:highlight w:val="none"/>
        </w:rPr>
        <w:t>对于没有格式要求的由投标人自行编写。</w:t>
      </w:r>
    </w:p>
    <w:p>
      <w:pPr>
        <w:pStyle w:val="49"/>
        <w:ind w:firstLine="482"/>
        <w:rPr>
          <w:highlight w:val="none"/>
        </w:rPr>
      </w:pPr>
      <w:bookmarkStart w:id="468" w:name="_Toc233"/>
      <w:bookmarkStart w:id="469" w:name="_Toc31944"/>
      <w:bookmarkStart w:id="470" w:name="_Toc4102"/>
      <w:bookmarkStart w:id="471" w:name="_Toc20642"/>
      <w:bookmarkStart w:id="472" w:name="_Toc327196280"/>
      <w:bookmarkStart w:id="473" w:name="_Toc18329"/>
      <w:bookmarkStart w:id="474" w:name="_Toc21884"/>
      <w:bookmarkStart w:id="475" w:name="_Toc308188146"/>
      <w:bookmarkStart w:id="476" w:name="_Toc29891"/>
      <w:bookmarkStart w:id="477" w:name="_Toc14436"/>
      <w:bookmarkStart w:id="478" w:name="_Toc309897509"/>
      <w:bookmarkStart w:id="479" w:name="_Toc319439894"/>
      <w:bookmarkStart w:id="480" w:name="_Toc10812"/>
      <w:bookmarkStart w:id="481" w:name="_Toc217446050"/>
      <w:bookmarkStart w:id="482" w:name="_Toc2456"/>
      <w:bookmarkStart w:id="483" w:name="_Toc183682360"/>
      <w:bookmarkStart w:id="484" w:name="_Toc307501103"/>
      <w:bookmarkStart w:id="485" w:name="_Toc6582"/>
      <w:bookmarkStart w:id="486" w:name="_Toc319440136"/>
      <w:bookmarkStart w:id="487" w:name="_Toc27418"/>
      <w:bookmarkStart w:id="488" w:name="_Toc183582223"/>
      <w:bookmarkStart w:id="489" w:name="_Toc16016"/>
      <w:bookmarkStart w:id="490" w:name="_Toc307564846"/>
      <w:bookmarkStart w:id="491" w:name="_Toc21967"/>
      <w:bookmarkStart w:id="492" w:name="_Toc14382"/>
      <w:bookmarkStart w:id="493" w:name="_Toc308084591"/>
      <w:r>
        <w:rPr>
          <w:rFonts w:hint="eastAsia"/>
          <w:highlight w:val="none"/>
        </w:rPr>
        <w:t>投标保证金</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pStyle w:val="63"/>
        <w:numPr>
          <w:ilvl w:val="3"/>
          <w:numId w:val="0"/>
        </w:numPr>
        <w:ind w:firstLine="480" w:firstLineChars="200"/>
        <w:rPr>
          <w:highlight w:val="none"/>
        </w:rPr>
      </w:pPr>
      <w:bookmarkStart w:id="494" w:name="_Toc217446051"/>
      <w:bookmarkStart w:id="495" w:name="_Toc308084592"/>
      <w:bookmarkStart w:id="496" w:name="_Toc327196281"/>
      <w:bookmarkStart w:id="497" w:name="_Toc9356"/>
      <w:bookmarkStart w:id="498" w:name="_Toc319440137"/>
      <w:bookmarkStart w:id="499" w:name="_Toc319439895"/>
      <w:bookmarkStart w:id="500" w:name="_Toc308188147"/>
      <w:bookmarkStart w:id="501" w:name="_Toc307564847"/>
      <w:bookmarkStart w:id="502" w:name="_Toc26011"/>
      <w:bookmarkStart w:id="503" w:name="_Toc31284"/>
      <w:bookmarkStart w:id="504" w:name="_Toc29434"/>
      <w:bookmarkStart w:id="505" w:name="_Toc183682361"/>
      <w:bookmarkStart w:id="506" w:name="_Toc21338"/>
      <w:bookmarkStart w:id="507" w:name="_Toc13956"/>
      <w:bookmarkStart w:id="508" w:name="_Toc17857"/>
      <w:bookmarkStart w:id="509" w:name="_Toc307501104"/>
      <w:bookmarkStart w:id="510" w:name="_Toc309897510"/>
      <w:bookmarkStart w:id="511" w:name="_Toc27589"/>
      <w:bookmarkStart w:id="512" w:name="_Toc183582224"/>
      <w:r>
        <w:rPr>
          <w:rFonts w:hint="eastAsia"/>
          <w:highlight w:val="none"/>
        </w:rPr>
        <w:t>本项目不收取投标保证金。</w:t>
      </w:r>
    </w:p>
    <w:p>
      <w:pPr>
        <w:pStyle w:val="49"/>
        <w:ind w:firstLine="482"/>
        <w:rPr>
          <w:highlight w:val="none"/>
        </w:rPr>
      </w:pPr>
      <w:bookmarkStart w:id="513" w:name="_Toc20243"/>
      <w:bookmarkStart w:id="514" w:name="_Toc3561"/>
      <w:bookmarkStart w:id="515" w:name="_Toc925"/>
      <w:bookmarkStart w:id="516" w:name="_Toc28380"/>
      <w:bookmarkStart w:id="517" w:name="_Toc30115"/>
      <w:bookmarkStart w:id="518" w:name="_Toc19115"/>
      <w:bookmarkStart w:id="519" w:name="_Toc29511"/>
      <w:r>
        <w:rPr>
          <w:rFonts w:hint="eastAsia"/>
          <w:highlight w:val="none"/>
        </w:rPr>
        <w:t>投标有效期</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Fonts w:hint="eastAsia"/>
          <w:highlight w:val="none"/>
        </w:rPr>
        <w:t>(实质性要求</w:t>
      </w:r>
      <w:bookmarkEnd w:id="513"/>
      <w:r>
        <w:rPr>
          <w:rFonts w:hint="eastAsia"/>
          <w:highlight w:val="none"/>
        </w:rPr>
        <w:t>)</w:t>
      </w:r>
      <w:bookmarkEnd w:id="514"/>
      <w:bookmarkEnd w:id="515"/>
      <w:bookmarkEnd w:id="516"/>
      <w:bookmarkEnd w:id="517"/>
      <w:bookmarkEnd w:id="518"/>
      <w:bookmarkEnd w:id="519"/>
    </w:p>
    <w:p>
      <w:pPr>
        <w:pStyle w:val="63"/>
        <w:ind w:firstLine="480"/>
        <w:rPr>
          <w:highlight w:val="none"/>
        </w:rPr>
      </w:pPr>
      <w:r>
        <w:rPr>
          <w:rFonts w:hint="eastAsia"/>
          <w:highlight w:val="none"/>
        </w:rPr>
        <w:t>投标有效期为提交投标文件的截止之日起90日。投标人投标文件中必须载明投标有效期，投标文件中载明的投标有效期可以长于招标文件规定的期限，但不得短于招标文件规定的期限。否则，其投标文件将作为无效投标处理。</w:t>
      </w:r>
    </w:p>
    <w:p>
      <w:pPr>
        <w:pStyle w:val="63"/>
        <w:ind w:firstLine="480"/>
        <w:rPr>
          <w:highlight w:val="none"/>
        </w:rPr>
      </w:pPr>
      <w:r>
        <w:rPr>
          <w:rFonts w:hint="eastAsia"/>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63"/>
        <w:ind w:firstLine="480"/>
        <w:rPr>
          <w:highlight w:val="none"/>
        </w:rPr>
      </w:pPr>
      <w:r>
        <w:rPr>
          <w:rFonts w:hint="eastAsia"/>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9"/>
        <w:ind w:firstLine="482"/>
        <w:rPr>
          <w:highlight w:val="none"/>
        </w:rPr>
      </w:pPr>
      <w:bookmarkStart w:id="520" w:name="_Toc21170"/>
      <w:bookmarkStart w:id="521" w:name="_Toc12545"/>
      <w:bookmarkStart w:id="522" w:name="_Toc12381"/>
      <w:bookmarkStart w:id="523" w:name="_Toc319439896"/>
      <w:bookmarkStart w:id="524" w:name="_Toc3717"/>
      <w:bookmarkStart w:id="525" w:name="_Toc7213"/>
      <w:bookmarkStart w:id="526" w:name="_Toc24656"/>
      <w:bookmarkStart w:id="527" w:name="_Toc327196282"/>
      <w:bookmarkStart w:id="528" w:name="_Toc27612"/>
      <w:bookmarkStart w:id="529" w:name="_Toc309897511"/>
      <w:bookmarkStart w:id="530" w:name="_Toc183582225"/>
      <w:bookmarkStart w:id="531" w:name="_Toc16227"/>
      <w:bookmarkStart w:id="532" w:name="_Toc27461"/>
      <w:bookmarkStart w:id="533" w:name="_Toc25471"/>
      <w:bookmarkStart w:id="534" w:name="_Toc308084593"/>
      <w:bookmarkStart w:id="535" w:name="_Toc217446052"/>
      <w:bookmarkStart w:id="536" w:name="_Toc16740"/>
      <w:bookmarkStart w:id="537" w:name="_Toc22593"/>
      <w:bookmarkStart w:id="538" w:name="_Toc308188148"/>
      <w:bookmarkStart w:id="539" w:name="_Toc183682362"/>
      <w:bookmarkStart w:id="540" w:name="_Toc307564848"/>
      <w:bookmarkStart w:id="541" w:name="_Toc307501105"/>
      <w:bookmarkStart w:id="542" w:name="_Toc6239"/>
      <w:bookmarkStart w:id="543" w:name="_Toc3077"/>
      <w:bookmarkStart w:id="544" w:name="_Toc26817"/>
      <w:bookmarkStart w:id="545" w:name="_Toc319440138"/>
      <w:r>
        <w:rPr>
          <w:rFonts w:hint="eastAsia"/>
          <w:highlight w:val="none"/>
        </w:rPr>
        <w:t>投标文件的印制和签署</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63"/>
        <w:ind w:firstLine="480"/>
        <w:rPr>
          <w:highlight w:val="none"/>
        </w:rPr>
      </w:pPr>
      <w:bookmarkStart w:id="546" w:name="_Toc77400781"/>
      <w:bookmarkStart w:id="547" w:name="_Toc89075877"/>
      <w:bookmarkStart w:id="548" w:name="_Toc183582226"/>
      <w:bookmarkStart w:id="549" w:name="_Toc183682363"/>
      <w:bookmarkStart w:id="550" w:name="_Toc307501106"/>
      <w:bookmarkStart w:id="551" w:name="_Toc319440139"/>
      <w:bookmarkStart w:id="552" w:name="_Toc19635"/>
      <w:bookmarkStart w:id="553" w:name="_Toc308084594"/>
      <w:bookmarkStart w:id="554" w:name="_Toc307564849"/>
      <w:bookmarkStart w:id="555" w:name="_Toc23675"/>
      <w:bookmarkStart w:id="556" w:name="_Toc308188149"/>
      <w:bookmarkStart w:id="557" w:name="_Toc13153"/>
      <w:bookmarkStart w:id="558" w:name="_Toc319439897"/>
      <w:bookmarkStart w:id="559" w:name="_Toc327196283"/>
      <w:bookmarkStart w:id="560" w:name="_Toc16752"/>
      <w:bookmarkStart w:id="561" w:name="_Toc217446053"/>
      <w:bookmarkStart w:id="562" w:name="_Toc27443"/>
      <w:bookmarkStart w:id="563" w:name="_Toc10555"/>
      <w:bookmarkStart w:id="564" w:name="_Toc17010"/>
      <w:bookmarkStart w:id="565" w:name="_Toc309897512"/>
      <w:bookmarkStart w:id="566" w:name="_Toc6805"/>
      <w:bookmarkStart w:id="567" w:name="_Toc5019"/>
      <w:bookmarkStart w:id="568" w:name="_Toc23619"/>
      <w:r>
        <w:rPr>
          <w:rFonts w:hint="eastAsia"/>
          <w:highlight w:val="none"/>
        </w:rPr>
        <w:t>投标文件分《资格、资质性及其他类似效力投标文件》、《其他投标文件》两部分，分册装订，内容不得相互混装。</w:t>
      </w:r>
    </w:p>
    <w:p>
      <w:pPr>
        <w:pStyle w:val="63"/>
        <w:ind w:firstLine="480"/>
        <w:rPr>
          <w:highlight w:val="none"/>
        </w:rPr>
      </w:pPr>
      <w:r>
        <w:rPr>
          <w:rFonts w:hint="eastAsia"/>
          <w:highlight w:val="none"/>
        </w:rPr>
        <w:t>投标文件按招标文件要求的格式进行密封。资格、资质性及其他类似效力投标文件用于采购人或采购代理机构对投标人进行资格审查，其他投标文件用于评标委员会评审。</w:t>
      </w:r>
    </w:p>
    <w:p>
      <w:pPr>
        <w:pStyle w:val="63"/>
        <w:ind w:firstLine="480"/>
        <w:rPr>
          <w:highlight w:val="none"/>
        </w:rPr>
      </w:pPr>
      <w:r>
        <w:rPr>
          <w:rFonts w:hint="eastAsia"/>
          <w:highlight w:val="none"/>
        </w:rPr>
        <w:t>投标人递交的投标文件为一式叁份，其中正本壹份、副本贰份，单独提交用于开标唱标的“开标一览表”壹份原件(加盖公章，复印件无效)</w:t>
      </w:r>
      <w:r>
        <w:rPr>
          <w:rFonts w:hint="eastAsia"/>
          <w:b/>
          <w:bCs/>
          <w:highlight w:val="none"/>
        </w:rPr>
        <w:t>(实质性要求)</w:t>
      </w:r>
      <w:r>
        <w:rPr>
          <w:rFonts w:hint="eastAsia"/>
          <w:highlight w:val="none"/>
        </w:rPr>
        <w:t>。</w:t>
      </w:r>
    </w:p>
    <w:p>
      <w:pPr>
        <w:pStyle w:val="63"/>
        <w:ind w:firstLine="480"/>
        <w:rPr>
          <w:highlight w:val="none"/>
        </w:rPr>
      </w:pPr>
      <w:r>
        <w:rPr>
          <w:rFonts w:hint="eastAsia"/>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3"/>
        <w:ind w:firstLine="480"/>
        <w:rPr>
          <w:highlight w:val="none"/>
        </w:rPr>
      </w:pPr>
      <w:r>
        <w:rPr>
          <w:rFonts w:hint="eastAsia"/>
          <w:highlight w:val="none"/>
        </w:rPr>
        <w:t>“开标一览表”除单独密封提交外，还应编制于其他投标文件正副本内，如有遗漏，将视为无效投标</w:t>
      </w:r>
      <w:r>
        <w:rPr>
          <w:rFonts w:hint="eastAsia"/>
          <w:b/>
          <w:bCs/>
          <w:highlight w:val="none"/>
        </w:rPr>
        <w:t>(实质性要求)</w:t>
      </w:r>
      <w:r>
        <w:rPr>
          <w:rFonts w:hint="eastAsia"/>
          <w:highlight w:val="none"/>
        </w:rPr>
        <w:t>。</w:t>
      </w:r>
    </w:p>
    <w:p>
      <w:pPr>
        <w:pStyle w:val="63"/>
        <w:ind w:firstLine="480"/>
        <w:rPr>
          <w:highlight w:val="none"/>
        </w:rPr>
      </w:pPr>
      <w:r>
        <w:rPr>
          <w:rFonts w:hint="eastAsia"/>
          <w:highlight w:val="none"/>
        </w:rPr>
        <w:t>投标文件正本和副本统一用A4幅面纸印制(图、表及证件可以除外)，逐页编码，可双面打印。</w:t>
      </w:r>
    </w:p>
    <w:p>
      <w:pPr>
        <w:pStyle w:val="63"/>
        <w:ind w:firstLine="480"/>
        <w:rPr>
          <w:highlight w:val="none"/>
        </w:rPr>
      </w:pPr>
      <w:r>
        <w:rPr>
          <w:rFonts w:hint="eastAsia"/>
          <w:highlight w:val="none"/>
        </w:rPr>
        <w:t>投标文件的正本和副本应采用左侧胶装，不得散装或者活页装订。</w:t>
      </w:r>
    </w:p>
    <w:p>
      <w:pPr>
        <w:pStyle w:val="63"/>
        <w:ind w:firstLine="480"/>
        <w:rPr>
          <w:highlight w:val="none"/>
        </w:rPr>
      </w:pPr>
      <w:r>
        <w:rPr>
          <w:rFonts w:hint="eastAsia"/>
          <w:highlight w:val="none"/>
        </w:rPr>
        <w:t>若投标文件内容较多，可分册装订，并在封面标明次序及册数。</w:t>
      </w:r>
    </w:p>
    <w:p>
      <w:pPr>
        <w:pStyle w:val="63"/>
        <w:ind w:firstLine="480"/>
        <w:rPr>
          <w:highlight w:val="none"/>
        </w:rPr>
      </w:pPr>
      <w:r>
        <w:rPr>
          <w:rFonts w:hint="eastAsia"/>
          <w:highlight w:val="none"/>
        </w:rPr>
        <w:t>投标文件中的证明、证件及附件等复印件应集中紧附在相应正文内容后面，并尽量与前面正文部分的顺序相对应。</w:t>
      </w:r>
    </w:p>
    <w:p>
      <w:pPr>
        <w:pStyle w:val="63"/>
        <w:ind w:firstLine="480"/>
        <w:rPr>
          <w:highlight w:val="none"/>
        </w:rPr>
      </w:pPr>
      <w:r>
        <w:rPr>
          <w:rFonts w:hint="eastAsia"/>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highlight w:val="none"/>
        </w:rPr>
        <w:t>(实质性要求)</w:t>
      </w:r>
      <w:r>
        <w:rPr>
          <w:rFonts w:hint="eastAsia"/>
          <w:highlight w:val="none"/>
        </w:rPr>
        <w:t>。</w:t>
      </w:r>
    </w:p>
    <w:p>
      <w:pPr>
        <w:pStyle w:val="63"/>
        <w:ind w:firstLine="480"/>
        <w:rPr>
          <w:highlight w:val="none"/>
        </w:rPr>
      </w:pPr>
      <w:r>
        <w:rPr>
          <w:rFonts w:hint="eastAsia"/>
          <w:highlight w:val="none"/>
        </w:rPr>
        <w:t>投标文件应根据上述要求制作，签署、盖章，内容应完整。</w:t>
      </w:r>
    </w:p>
    <w:p>
      <w:pPr>
        <w:pStyle w:val="63"/>
        <w:ind w:firstLine="480"/>
        <w:rPr>
          <w:highlight w:val="none"/>
        </w:rPr>
      </w:pPr>
      <w:r>
        <w:rPr>
          <w:rFonts w:hint="eastAsia"/>
          <w:highlight w:val="none"/>
        </w:rPr>
        <w:t>本招标文件要求的复印件是指对图文进行复制后的文件，包括扫描、复印、影印等方式复制的材料。</w:t>
      </w:r>
    </w:p>
    <w:p>
      <w:pPr>
        <w:pStyle w:val="49"/>
        <w:ind w:firstLine="482"/>
        <w:rPr>
          <w:highlight w:val="none"/>
        </w:rPr>
      </w:pPr>
      <w:bookmarkStart w:id="569" w:name="_Toc3843"/>
      <w:bookmarkStart w:id="570" w:name="_Toc13392"/>
      <w:bookmarkStart w:id="571" w:name="_Toc27398"/>
      <w:bookmarkStart w:id="572" w:name="_Toc17731"/>
      <w:bookmarkStart w:id="573" w:name="_Toc19839"/>
      <w:r>
        <w:rPr>
          <w:rFonts w:hint="eastAsia"/>
          <w:highlight w:val="none"/>
        </w:rPr>
        <w:t>投标文件的密封和标</w:t>
      </w:r>
      <w:bookmarkEnd w:id="546"/>
      <w:bookmarkEnd w:id="547"/>
      <w:bookmarkEnd w:id="548"/>
      <w:bookmarkEnd w:id="549"/>
      <w:r>
        <w:rPr>
          <w:rFonts w:hint="eastAsia"/>
          <w:highlight w:val="none"/>
        </w:rPr>
        <w:t>注</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pStyle w:val="63"/>
        <w:ind w:firstLine="480"/>
        <w:rPr>
          <w:highlight w:val="none"/>
        </w:rPr>
      </w:pPr>
      <w:bookmarkStart w:id="574" w:name="_Toc183582227"/>
      <w:bookmarkStart w:id="575" w:name="_Toc183682364"/>
      <w:bookmarkStart w:id="576" w:name="_Toc308188150"/>
      <w:bookmarkStart w:id="577" w:name="_Toc308084595"/>
      <w:bookmarkStart w:id="578" w:name="_Toc307501107"/>
      <w:bookmarkStart w:id="579" w:name="_Toc5768"/>
      <w:bookmarkStart w:id="580" w:name="_Toc309897513"/>
      <w:bookmarkStart w:id="581" w:name="_Toc54"/>
      <w:bookmarkStart w:id="582" w:name="_Toc20273"/>
      <w:bookmarkStart w:id="583" w:name="_Toc2092"/>
      <w:bookmarkStart w:id="584" w:name="_Toc217446054"/>
      <w:bookmarkStart w:id="585" w:name="_Toc327196284"/>
      <w:bookmarkStart w:id="586" w:name="_Toc319439898"/>
      <w:bookmarkStart w:id="587" w:name="_Toc319440140"/>
      <w:bookmarkStart w:id="588" w:name="_Toc25113"/>
      <w:bookmarkStart w:id="589" w:name="_Toc7231"/>
      <w:bookmarkStart w:id="590" w:name="_Toc307564850"/>
      <w:r>
        <w:rPr>
          <w:rFonts w:hint="eastAsia"/>
          <w:highlight w:val="none"/>
        </w:rPr>
        <w:t>投标人应在投标文件正本和所有副本的封面上注明投标人名称、项目编号、项目名称、投标日期、分包号(如有分包)。</w:t>
      </w:r>
    </w:p>
    <w:p>
      <w:pPr>
        <w:pStyle w:val="63"/>
        <w:ind w:firstLine="480"/>
        <w:rPr>
          <w:highlight w:val="none"/>
        </w:rPr>
      </w:pPr>
      <w:r>
        <w:rPr>
          <w:rFonts w:hint="eastAsia"/>
          <w:highlight w:val="none"/>
        </w:rPr>
        <w:t>资格、资质性及其他类似效力投标文件、其他投标文件、用于开标唱标单独提交的开标一览表，应分别封装于不同的密封袋内，密封袋的封口处应粘贴牢固，密封袋上应分别标上“资格、资质性及其他类似效力投标文件”、“其他投标文件”、“开标一览表”字样，并注明投标人名称、项目名称、项目编号、分包号(如有分包)、投标日期，并在封口处加盖投标人公章。</w:t>
      </w:r>
    </w:p>
    <w:p>
      <w:pPr>
        <w:pStyle w:val="63"/>
        <w:ind w:firstLine="480"/>
        <w:rPr>
          <w:highlight w:val="none"/>
        </w:rPr>
      </w:pPr>
      <w:r>
        <w:rPr>
          <w:rFonts w:hint="eastAsia"/>
          <w:highlight w:val="none"/>
        </w:rPr>
        <w:t>未按照招标文件要求密封的投标文件，将被采购代理机构拒收。</w:t>
      </w:r>
    </w:p>
    <w:p>
      <w:pPr>
        <w:pStyle w:val="49"/>
        <w:ind w:firstLine="482"/>
        <w:rPr>
          <w:highlight w:val="none"/>
        </w:rPr>
      </w:pPr>
      <w:bookmarkStart w:id="591" w:name="_Toc25988"/>
      <w:bookmarkStart w:id="592" w:name="_Toc27234"/>
      <w:bookmarkStart w:id="593" w:name="_Toc19406"/>
      <w:bookmarkStart w:id="594" w:name="_Toc23534"/>
      <w:bookmarkStart w:id="595" w:name="_Toc30361"/>
      <w:bookmarkStart w:id="596" w:name="_Toc18232"/>
      <w:bookmarkStart w:id="597" w:name="_Toc25983"/>
      <w:bookmarkStart w:id="598" w:name="_Toc25947"/>
      <w:bookmarkStart w:id="599" w:name="_Toc9965"/>
      <w:r>
        <w:rPr>
          <w:rFonts w:hint="eastAsia"/>
          <w:highlight w:val="none"/>
        </w:rPr>
        <w:t>投标文件的</w:t>
      </w:r>
      <w:bookmarkEnd w:id="574"/>
      <w:bookmarkEnd w:id="575"/>
      <w:r>
        <w:rPr>
          <w:rFonts w:hint="eastAsia"/>
          <w:highlight w:val="none"/>
        </w:rPr>
        <w:t>递交</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63"/>
        <w:ind w:firstLine="480"/>
        <w:rPr>
          <w:highlight w:val="none"/>
        </w:rPr>
      </w:pPr>
      <w:r>
        <w:rPr>
          <w:rFonts w:hint="eastAsia"/>
          <w:highlight w:val="none"/>
        </w:rPr>
        <w:t>投标人应在招标文件规定的投标截止时间前，将投标文件按招标文件规定密封后送达开标地点。</w:t>
      </w:r>
    </w:p>
    <w:p>
      <w:pPr>
        <w:pStyle w:val="63"/>
        <w:ind w:firstLine="480"/>
        <w:rPr>
          <w:highlight w:val="none"/>
        </w:rPr>
      </w:pPr>
      <w:r>
        <w:rPr>
          <w:rFonts w:hint="eastAsia"/>
          <w:highlight w:val="none"/>
        </w:rPr>
        <w:t>逾期送达或者未按照招标文件要求密封的投标文件，将被采购代理机构拒收，并告知投标人不予接收的原因。</w:t>
      </w:r>
    </w:p>
    <w:p>
      <w:pPr>
        <w:pStyle w:val="63"/>
        <w:ind w:firstLine="480"/>
        <w:rPr>
          <w:highlight w:val="none"/>
        </w:rPr>
      </w:pPr>
      <w:r>
        <w:rPr>
          <w:rFonts w:hint="eastAsia"/>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63"/>
        <w:ind w:firstLine="480"/>
        <w:rPr>
          <w:highlight w:val="none"/>
        </w:rPr>
      </w:pPr>
      <w:r>
        <w:rPr>
          <w:rFonts w:hint="eastAsia"/>
          <w:highlight w:val="none"/>
        </w:rPr>
        <w:t>递交投标文件时，投标供应商名称和投标文件的项目编号、分包号(如有分包)应当与报名供应商名称和招标文件的项目编号、分包号(如有分包)一致。但是，投标文件实质内容与报名供应商名称和招标文件的项目编号、分包号(如有分包)一致，只是封面文字错误的，可以在评标过程中当面予以澄清，以有效的澄清材料作为认定投标文件是否有效的依据。</w:t>
      </w:r>
    </w:p>
    <w:p>
      <w:pPr>
        <w:pStyle w:val="63"/>
        <w:ind w:firstLine="480"/>
        <w:rPr>
          <w:highlight w:val="none"/>
        </w:rPr>
      </w:pPr>
      <w:r>
        <w:rPr>
          <w:rFonts w:hint="eastAsia"/>
          <w:highlight w:val="none"/>
        </w:rPr>
        <w:t>本次招标不接收邮寄的投标文件。</w:t>
      </w:r>
    </w:p>
    <w:p>
      <w:pPr>
        <w:pStyle w:val="49"/>
        <w:ind w:firstLine="482"/>
        <w:rPr>
          <w:highlight w:val="none"/>
        </w:rPr>
      </w:pPr>
      <w:bookmarkStart w:id="600" w:name="_Toc183582228"/>
      <w:bookmarkStart w:id="601" w:name="_Toc183682365"/>
      <w:bookmarkStart w:id="602" w:name="_Toc307501108"/>
      <w:bookmarkStart w:id="603" w:name="_Toc8333"/>
      <w:bookmarkStart w:id="604" w:name="_Toc3865"/>
      <w:bookmarkStart w:id="605" w:name="_Toc327196285"/>
      <w:bookmarkStart w:id="606" w:name="_Toc17045"/>
      <w:bookmarkStart w:id="607" w:name="_Toc319439899"/>
      <w:bookmarkStart w:id="608" w:name="_Toc309897514"/>
      <w:bookmarkStart w:id="609" w:name="_Toc6140"/>
      <w:bookmarkStart w:id="610" w:name="_Toc308084596"/>
      <w:bookmarkStart w:id="611" w:name="_Toc23816"/>
      <w:bookmarkStart w:id="612" w:name="_Toc307564851"/>
      <w:bookmarkStart w:id="613" w:name="_Toc15674"/>
      <w:bookmarkStart w:id="614" w:name="_Toc15293"/>
      <w:bookmarkStart w:id="615" w:name="_Toc11509"/>
      <w:bookmarkStart w:id="616" w:name="_Toc319440141"/>
      <w:bookmarkStart w:id="617" w:name="_Toc217446055"/>
      <w:bookmarkStart w:id="618" w:name="_Toc4178"/>
      <w:bookmarkStart w:id="619" w:name="_Toc7313"/>
      <w:bookmarkStart w:id="620" w:name="_Toc1451"/>
      <w:bookmarkStart w:id="621" w:name="_Toc5997"/>
      <w:bookmarkStart w:id="622" w:name="_Toc22634"/>
      <w:bookmarkStart w:id="623" w:name="_Toc308188151"/>
      <w:bookmarkStart w:id="624" w:name="_Toc12138"/>
      <w:bookmarkStart w:id="625" w:name="_Toc26118"/>
      <w:r>
        <w:rPr>
          <w:rFonts w:hint="eastAsia"/>
          <w:highlight w:val="none"/>
        </w:rPr>
        <w:t>投标文件的修改和撤</w:t>
      </w:r>
      <w:bookmarkEnd w:id="600"/>
      <w:bookmarkEnd w:id="601"/>
      <w:r>
        <w:rPr>
          <w:rFonts w:hint="eastAsia"/>
          <w:highlight w:val="none"/>
        </w:rPr>
        <w:t>回</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pPr>
        <w:pStyle w:val="63"/>
        <w:ind w:firstLine="480"/>
        <w:rPr>
          <w:highlight w:val="none"/>
        </w:rPr>
      </w:pPr>
      <w:r>
        <w:rPr>
          <w:rFonts w:hint="eastAsia"/>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63"/>
        <w:ind w:firstLine="480"/>
        <w:rPr>
          <w:highlight w:val="none"/>
        </w:rPr>
      </w:pPr>
      <w:r>
        <w:rPr>
          <w:rFonts w:hint="eastAsia"/>
          <w:highlight w:val="none"/>
        </w:rPr>
        <w:t>投标人的修改书或撤回通知书，应由其法定代表人/单位负责人或授权代表签署并盖单位印章。修改书应按第二章第四节第十一条规定进行密封和标注，并在密封袋上标注“修改”字样。</w:t>
      </w:r>
    </w:p>
    <w:p>
      <w:pPr>
        <w:pStyle w:val="63"/>
        <w:ind w:firstLine="480"/>
        <w:rPr>
          <w:highlight w:val="none"/>
        </w:rPr>
      </w:pPr>
      <w:r>
        <w:rPr>
          <w:rFonts w:hint="eastAsia"/>
          <w:highlight w:val="none"/>
        </w:rPr>
        <w:t>在投标截止时间之后，投标人不得对其递交的投标文件做任何修改，撤回投标的，将按照有关规定进行相应处理。</w:t>
      </w:r>
    </w:p>
    <w:p>
      <w:pPr>
        <w:pStyle w:val="43"/>
        <w:spacing w:before="120" w:after="120"/>
        <w:rPr>
          <w:highlight w:val="none"/>
        </w:rPr>
      </w:pPr>
      <w:bookmarkStart w:id="626" w:name="_Toc21531"/>
      <w:bookmarkStart w:id="627" w:name="_Toc77400782"/>
      <w:bookmarkStart w:id="628" w:name="_Toc89075878"/>
      <w:bookmarkStart w:id="629" w:name="_Toc26913"/>
      <w:bookmarkStart w:id="630" w:name="_Toc16817"/>
      <w:bookmarkStart w:id="631" w:name="_Toc15691"/>
      <w:bookmarkStart w:id="632" w:name="_Toc24962"/>
      <w:bookmarkStart w:id="633" w:name="_Toc20720"/>
      <w:bookmarkStart w:id="634" w:name="_Toc183682368"/>
      <w:bookmarkStart w:id="635" w:name="_Toc20291"/>
      <w:bookmarkStart w:id="636" w:name="_Toc327196286"/>
      <w:bookmarkStart w:id="637" w:name="_Toc217446056"/>
      <w:bookmarkStart w:id="638" w:name="_Toc6675"/>
      <w:bookmarkStart w:id="639" w:name="_Toc183582231"/>
      <w:r>
        <w:rPr>
          <w:rFonts w:hint="eastAsia"/>
          <w:highlight w:val="none"/>
        </w:rPr>
        <w:t>开标和中标</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49"/>
        <w:numPr>
          <w:ilvl w:val="2"/>
          <w:numId w:val="13"/>
        </w:numPr>
        <w:ind w:firstLine="482"/>
        <w:rPr>
          <w:highlight w:val="none"/>
        </w:rPr>
      </w:pPr>
      <w:bookmarkStart w:id="640" w:name="_Toc19952"/>
      <w:bookmarkStart w:id="641" w:name="_Toc217446057"/>
      <w:bookmarkStart w:id="642" w:name="_Toc319439901"/>
      <w:bookmarkStart w:id="643" w:name="_Toc309897516"/>
      <w:bookmarkStart w:id="644" w:name="_Toc16983"/>
      <w:bookmarkStart w:id="645" w:name="_Toc327196287"/>
      <w:bookmarkStart w:id="646" w:name="_Toc23998"/>
      <w:bookmarkStart w:id="647" w:name="_Toc13237"/>
      <w:bookmarkStart w:id="648" w:name="_Toc29031"/>
      <w:bookmarkStart w:id="649" w:name="_Toc18049"/>
      <w:bookmarkStart w:id="650" w:name="_Toc27321"/>
      <w:bookmarkStart w:id="651" w:name="_Toc6289"/>
      <w:bookmarkStart w:id="652" w:name="_Toc29493"/>
      <w:bookmarkStart w:id="653" w:name="_Toc8915"/>
      <w:bookmarkStart w:id="654" w:name="_Toc307564853"/>
      <w:bookmarkStart w:id="655" w:name="_Toc15426"/>
      <w:bookmarkStart w:id="656" w:name="_Toc308084598"/>
      <w:bookmarkStart w:id="657" w:name="_Toc13303"/>
      <w:bookmarkStart w:id="658" w:name="_Toc183682369"/>
      <w:bookmarkStart w:id="659" w:name="_Toc20019"/>
      <w:bookmarkStart w:id="660" w:name="_Toc11957"/>
      <w:bookmarkStart w:id="661" w:name="_Toc18947"/>
      <w:bookmarkStart w:id="662" w:name="_Toc307501110"/>
      <w:bookmarkStart w:id="663" w:name="_Toc183582232"/>
      <w:bookmarkStart w:id="664" w:name="_Toc308188153"/>
      <w:bookmarkStart w:id="665" w:name="_Toc319440143"/>
      <w:r>
        <w:rPr>
          <w:rFonts w:hint="eastAsia"/>
          <w:highlight w:val="none"/>
        </w:rPr>
        <w:t>开标</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pStyle w:val="63"/>
        <w:numPr>
          <w:ilvl w:val="3"/>
          <w:numId w:val="14"/>
        </w:numPr>
        <w:ind w:firstLine="480"/>
        <w:rPr>
          <w:highlight w:val="none"/>
        </w:rPr>
      </w:pPr>
      <w:bookmarkStart w:id="666" w:name="_Toc319439902"/>
      <w:bookmarkStart w:id="667" w:name="_Toc319440144"/>
      <w:bookmarkStart w:id="668" w:name="_Toc307501111"/>
      <w:bookmarkStart w:id="669" w:name="_Toc308084599"/>
      <w:bookmarkStart w:id="670" w:name="_Toc217446058"/>
      <w:bookmarkStart w:id="671" w:name="_Toc308188154"/>
      <w:bookmarkStart w:id="672" w:name="_Toc307564854"/>
      <w:bookmarkStart w:id="673" w:name="_Toc309897517"/>
      <w:bookmarkStart w:id="674" w:name="_Toc327196288"/>
      <w:r>
        <w:rPr>
          <w:rFonts w:hint="eastAsia"/>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p>
    <w:p>
      <w:pPr>
        <w:pStyle w:val="63"/>
        <w:numPr>
          <w:ilvl w:val="3"/>
          <w:numId w:val="14"/>
        </w:numPr>
        <w:ind w:firstLine="480"/>
        <w:rPr>
          <w:highlight w:val="none"/>
        </w:rPr>
      </w:pPr>
      <w:r>
        <w:rPr>
          <w:rFonts w:hint="eastAsia"/>
          <w:highlight w:val="none"/>
        </w:rPr>
        <w:t>开标活动对外公开，在保证正常开标秩序的前提下，允许除投标人及其代表之外的其他人员观摩开标活动。其他人员需要参加开标活动的，须事先向采购代理机构书面申请并取得同意后方能参加，且在开标现场须服从采购代理机构的安排。</w:t>
      </w:r>
    </w:p>
    <w:p>
      <w:pPr>
        <w:pStyle w:val="63"/>
        <w:numPr>
          <w:ilvl w:val="3"/>
          <w:numId w:val="14"/>
        </w:numPr>
        <w:ind w:firstLine="480"/>
        <w:rPr>
          <w:highlight w:val="none"/>
        </w:rPr>
      </w:pPr>
      <w:r>
        <w:rPr>
          <w:rFonts w:hint="eastAsia"/>
          <w:highlight w:val="none"/>
        </w:rPr>
        <w:t>开标时，可根据具体情况邀请有关监督管理部门对开标活动进行现场监督。</w:t>
      </w:r>
    </w:p>
    <w:p>
      <w:pPr>
        <w:pStyle w:val="63"/>
        <w:numPr>
          <w:ilvl w:val="3"/>
          <w:numId w:val="14"/>
        </w:numPr>
        <w:ind w:firstLine="480"/>
        <w:rPr>
          <w:highlight w:val="none"/>
        </w:rPr>
      </w:pPr>
      <w:r>
        <w:rPr>
          <w:rFonts w:hint="eastAsia"/>
          <w:highlight w:val="none"/>
        </w:rPr>
        <w:t>开标时，由投标人或者其推选的代表先检查其自己递交的投标文件的密封情况，经确认无误后，由招标工作人员将投标人单独提交用于开标唱标的“开标一览表”当众拆封，并由唱标人员按照招标文件规定的内容进行宣读。</w:t>
      </w:r>
    </w:p>
    <w:p>
      <w:pPr>
        <w:pStyle w:val="63"/>
        <w:numPr>
          <w:ilvl w:val="3"/>
          <w:numId w:val="14"/>
        </w:numPr>
        <w:ind w:firstLine="480"/>
        <w:rPr>
          <w:highlight w:val="none"/>
        </w:rPr>
      </w:pPr>
      <w:r>
        <w:rPr>
          <w:rFonts w:hint="eastAsia"/>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至开标主持人或者现场监督人员，要求开标现场记录人员予以记录，但不得干扰、阻挠开标工作的正常进行。</w:t>
      </w:r>
    </w:p>
    <w:p>
      <w:pPr>
        <w:pStyle w:val="63"/>
        <w:numPr>
          <w:ilvl w:val="3"/>
          <w:numId w:val="14"/>
        </w:numPr>
        <w:ind w:firstLine="480"/>
        <w:rPr>
          <w:highlight w:val="none"/>
        </w:rPr>
      </w:pPr>
      <w:r>
        <w:rPr>
          <w:rFonts w:hint="eastAsia"/>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3"/>
        <w:numPr>
          <w:ilvl w:val="3"/>
          <w:numId w:val="14"/>
        </w:numPr>
        <w:ind w:firstLine="480"/>
        <w:rPr>
          <w:highlight w:val="none"/>
        </w:rPr>
      </w:pPr>
      <w:r>
        <w:rPr>
          <w:rFonts w:hint="eastAsia"/>
          <w:highlight w:val="none"/>
        </w:rPr>
        <w:t>投标文件中相关内容与“开标一览表”不一致的，以“开标一览表”为准。对不同文字文本投标文件的解释发生异议的，以中文文本为准。</w:t>
      </w:r>
    </w:p>
    <w:p>
      <w:pPr>
        <w:pStyle w:val="63"/>
        <w:numPr>
          <w:ilvl w:val="3"/>
          <w:numId w:val="14"/>
        </w:numPr>
        <w:ind w:firstLine="480"/>
        <w:rPr>
          <w:highlight w:val="none"/>
        </w:rPr>
      </w:pPr>
      <w:r>
        <w:rPr>
          <w:rFonts w:hint="eastAsia"/>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49"/>
        <w:numPr>
          <w:ilvl w:val="2"/>
          <w:numId w:val="13"/>
        </w:numPr>
        <w:ind w:firstLine="482"/>
        <w:rPr>
          <w:highlight w:val="none"/>
        </w:rPr>
      </w:pPr>
      <w:bookmarkStart w:id="675" w:name="_Toc12443"/>
      <w:bookmarkStart w:id="676" w:name="_Toc24509"/>
      <w:bookmarkStart w:id="677" w:name="_Toc7168"/>
      <w:bookmarkStart w:id="678" w:name="_Toc11790"/>
      <w:bookmarkStart w:id="679" w:name="_Toc18256"/>
      <w:bookmarkStart w:id="680" w:name="_Toc15266"/>
      <w:bookmarkStart w:id="681" w:name="_Toc19405"/>
      <w:bookmarkStart w:id="682" w:name="_Toc26350"/>
      <w:bookmarkStart w:id="683" w:name="_Toc827"/>
      <w:bookmarkStart w:id="684" w:name="_Toc20885"/>
      <w:bookmarkStart w:id="685" w:name="_Toc10782"/>
      <w:bookmarkStart w:id="686" w:name="_Toc12755"/>
      <w:bookmarkStart w:id="687" w:name="_Toc17927"/>
      <w:bookmarkStart w:id="688" w:name="_Toc3048"/>
      <w:bookmarkStart w:id="689" w:name="_Toc5097"/>
      <w:r>
        <w:rPr>
          <w:rFonts w:hint="eastAsia"/>
          <w:highlight w:val="none"/>
        </w:rPr>
        <w:t>开标程序</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pStyle w:val="46"/>
        <w:rPr>
          <w:highlight w:val="none"/>
        </w:rPr>
      </w:pPr>
      <w:r>
        <w:rPr>
          <w:rFonts w:hint="eastAsia"/>
          <w:highlight w:val="none"/>
        </w:rPr>
        <w:t>开标会主持人按照招标文件规定的开标时间宣布开标，按照规定要求主持开标会。开标将按以下程序进行：</w:t>
      </w:r>
    </w:p>
    <w:p>
      <w:pPr>
        <w:pStyle w:val="63"/>
        <w:numPr>
          <w:ilvl w:val="3"/>
          <w:numId w:val="13"/>
        </w:numPr>
        <w:ind w:firstLine="480"/>
        <w:rPr>
          <w:highlight w:val="none"/>
        </w:rPr>
      </w:pPr>
      <w:bookmarkStart w:id="690" w:name="_Toc13983"/>
      <w:bookmarkStart w:id="691" w:name="_Toc13447"/>
      <w:bookmarkStart w:id="692" w:name="_Toc183582238"/>
      <w:bookmarkStart w:id="693" w:name="_Toc183682375"/>
      <w:bookmarkStart w:id="694" w:name="_Toc308084600"/>
      <w:bookmarkStart w:id="695" w:name="_Toc15967"/>
      <w:bookmarkStart w:id="696" w:name="_Toc307501112"/>
      <w:bookmarkStart w:id="697" w:name="_Toc16512"/>
      <w:bookmarkStart w:id="698" w:name="_Toc319439903"/>
      <w:bookmarkStart w:id="699" w:name="_Toc28481"/>
      <w:bookmarkStart w:id="700" w:name="_Toc489"/>
      <w:bookmarkStart w:id="701" w:name="_Toc9806"/>
      <w:bookmarkStart w:id="702" w:name="_Toc309897518"/>
      <w:bookmarkStart w:id="703" w:name="_Toc307564855"/>
      <w:bookmarkStart w:id="704" w:name="_Toc217446063"/>
      <w:bookmarkStart w:id="705" w:name="_Toc319440145"/>
      <w:bookmarkStart w:id="706" w:name="_Toc28123"/>
      <w:bookmarkStart w:id="707" w:name="_Toc13751"/>
      <w:bookmarkStart w:id="708" w:name="_Toc327196289"/>
      <w:bookmarkStart w:id="709" w:name="_Toc8800"/>
      <w:bookmarkStart w:id="710" w:name="_Toc308188155"/>
      <w:r>
        <w:rPr>
          <w:rFonts w:hint="eastAsia"/>
          <w:highlight w:val="none"/>
        </w:rPr>
        <w:t>宣布开标会开始。当众宣布参加开标会主持人(唱标人)、会议记录人以及根据情况邀请的现场监督人等工作人员，根据“投标文件递交登记表”宣布参加投标的供应商名单。</w:t>
      </w:r>
    </w:p>
    <w:p>
      <w:pPr>
        <w:pStyle w:val="63"/>
        <w:numPr>
          <w:ilvl w:val="3"/>
          <w:numId w:val="13"/>
        </w:numPr>
        <w:ind w:firstLine="480"/>
        <w:rPr>
          <w:highlight w:val="none"/>
        </w:rPr>
      </w:pPr>
      <w:r>
        <w:rPr>
          <w:rFonts w:hint="eastAsia"/>
          <w:highlight w:val="none"/>
        </w:rPr>
        <w:t>宣布会场纪律和有关注意事项，根据投标人或者其推选的代表对投标文件密封的检查结果，当众宣布投标文件的密封情况。</w:t>
      </w:r>
    </w:p>
    <w:p>
      <w:pPr>
        <w:pStyle w:val="63"/>
        <w:numPr>
          <w:ilvl w:val="3"/>
          <w:numId w:val="13"/>
        </w:numPr>
        <w:ind w:firstLine="480"/>
        <w:rPr>
          <w:highlight w:val="none"/>
        </w:rPr>
      </w:pPr>
      <w:r>
        <w:rPr>
          <w:rFonts w:hint="eastAsia"/>
          <w:highlight w:val="none"/>
        </w:rPr>
        <w:t>投标人不足3家的，不得开标。</w:t>
      </w:r>
    </w:p>
    <w:p>
      <w:pPr>
        <w:pStyle w:val="63"/>
        <w:numPr>
          <w:ilvl w:val="3"/>
          <w:numId w:val="13"/>
        </w:numPr>
        <w:ind w:firstLine="480"/>
        <w:rPr>
          <w:highlight w:val="none"/>
        </w:rPr>
      </w:pPr>
      <w:r>
        <w:rPr>
          <w:rFonts w:hint="eastAsia"/>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3"/>
        <w:numPr>
          <w:ilvl w:val="3"/>
          <w:numId w:val="13"/>
        </w:numPr>
        <w:ind w:firstLine="480"/>
        <w:rPr>
          <w:highlight w:val="none"/>
        </w:rPr>
      </w:pPr>
      <w:r>
        <w:rPr>
          <w:rFonts w:hint="eastAsia"/>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3"/>
        <w:numPr>
          <w:ilvl w:val="3"/>
          <w:numId w:val="13"/>
        </w:numPr>
        <w:ind w:firstLine="480"/>
        <w:rPr>
          <w:highlight w:val="none"/>
        </w:rPr>
      </w:pPr>
      <w:r>
        <w:rPr>
          <w:rFonts w:hint="eastAsia"/>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四川政府采购网”上查询评标结果。</w:t>
      </w:r>
    </w:p>
    <w:bookmarkEnd w:id="690"/>
    <w:bookmarkEnd w:id="691"/>
    <w:p>
      <w:pPr>
        <w:pStyle w:val="49"/>
        <w:ind w:firstLine="482"/>
        <w:rPr>
          <w:highlight w:val="none"/>
        </w:rPr>
      </w:pPr>
      <w:bookmarkStart w:id="711" w:name="_Toc7571"/>
      <w:bookmarkStart w:id="712" w:name="_Toc9812"/>
      <w:bookmarkStart w:id="713" w:name="_Toc18552"/>
      <w:bookmarkStart w:id="714" w:name="_Toc4154"/>
      <w:bookmarkStart w:id="715" w:name="_Toc6332"/>
      <w:bookmarkStart w:id="716" w:name="_Toc128"/>
      <w:r>
        <w:rPr>
          <w:rFonts w:hint="eastAsia"/>
          <w:highlight w:val="none"/>
        </w:rPr>
        <w:t>开评标过程存档</w:t>
      </w:r>
      <w:bookmarkEnd w:id="711"/>
      <w:bookmarkEnd w:id="712"/>
      <w:bookmarkEnd w:id="713"/>
      <w:bookmarkEnd w:id="714"/>
    </w:p>
    <w:p>
      <w:pPr>
        <w:pStyle w:val="42"/>
        <w:ind w:firstLine="480" w:firstLineChars="200"/>
        <w:rPr>
          <w:highlight w:val="none"/>
        </w:rPr>
      </w:pPr>
      <w:r>
        <w:rPr>
          <w:rFonts w:hint="eastAsia"/>
          <w:highlight w:val="none"/>
        </w:rPr>
        <w:t>开标和评标过程进行全过程电子监控，并将电子监控资料存储介质留存归档。</w:t>
      </w:r>
    </w:p>
    <w:p>
      <w:pPr>
        <w:pStyle w:val="49"/>
        <w:ind w:firstLine="482"/>
        <w:rPr>
          <w:highlight w:val="none"/>
        </w:rPr>
      </w:pPr>
      <w:bookmarkStart w:id="717" w:name="_Toc22815"/>
      <w:bookmarkStart w:id="718" w:name="_Toc20343"/>
      <w:bookmarkStart w:id="719" w:name="_Toc9619"/>
      <w:bookmarkStart w:id="720" w:name="_Toc32566"/>
      <w:bookmarkStart w:id="721" w:name="_Toc32453"/>
      <w:r>
        <w:rPr>
          <w:rFonts w:hint="eastAsia"/>
          <w:highlight w:val="none"/>
        </w:rPr>
        <w:t>中标结果</w:t>
      </w:r>
      <w:bookmarkEnd w:id="717"/>
      <w:bookmarkEnd w:id="718"/>
      <w:bookmarkEnd w:id="719"/>
      <w:bookmarkEnd w:id="720"/>
    </w:p>
    <w:p>
      <w:pPr>
        <w:pStyle w:val="49"/>
        <w:numPr>
          <w:ilvl w:val="2"/>
          <w:numId w:val="0"/>
        </w:numPr>
        <w:ind w:firstLine="480" w:firstLineChars="200"/>
        <w:outlineLvl w:val="9"/>
        <w:rPr>
          <w:b w:val="0"/>
          <w:bCs/>
          <w:highlight w:val="none"/>
        </w:rPr>
      </w:pPr>
      <w:bookmarkStart w:id="722" w:name="_Toc9284"/>
      <w:bookmarkStart w:id="723" w:name="_Toc4508"/>
      <w:bookmarkStart w:id="724" w:name="_Toc27962"/>
      <w:bookmarkStart w:id="725" w:name="_Toc26659"/>
      <w:bookmarkStart w:id="726" w:name="_Toc15768"/>
      <w:bookmarkStart w:id="727" w:name="_Toc21750"/>
      <w:r>
        <w:rPr>
          <w:rFonts w:hint="eastAsia"/>
          <w:b w:val="0"/>
          <w:bCs/>
          <w:highlight w:val="none"/>
        </w:rPr>
        <w:t>1.采购人确定中标供应商后，将及时书面通知采购代理机构，采购代理机构在中标供应商确定后2个工作日内，在“四川政府采购网”公告中标结果，同时向中标供应商发出中标通知书。</w:t>
      </w:r>
      <w:bookmarkEnd w:id="722"/>
      <w:bookmarkEnd w:id="723"/>
      <w:bookmarkEnd w:id="724"/>
      <w:bookmarkEnd w:id="725"/>
      <w:bookmarkEnd w:id="726"/>
      <w:bookmarkEnd w:id="727"/>
    </w:p>
    <w:p>
      <w:pPr>
        <w:pStyle w:val="49"/>
        <w:numPr>
          <w:ilvl w:val="2"/>
          <w:numId w:val="0"/>
        </w:numPr>
        <w:ind w:firstLine="480" w:firstLineChars="200"/>
        <w:outlineLvl w:val="9"/>
        <w:rPr>
          <w:b w:val="0"/>
          <w:bCs/>
          <w:highlight w:val="none"/>
        </w:rPr>
      </w:pPr>
      <w:bookmarkStart w:id="728" w:name="_Toc24215"/>
      <w:bookmarkStart w:id="729" w:name="_Toc12871"/>
      <w:bookmarkStart w:id="730" w:name="_Toc16355"/>
      <w:bookmarkStart w:id="731" w:name="_Toc6953"/>
      <w:bookmarkStart w:id="732" w:name="_Toc11136"/>
      <w:bookmarkStart w:id="733" w:name="_Toc20298"/>
      <w:r>
        <w:rPr>
          <w:rFonts w:hint="eastAsia"/>
          <w:b w:val="0"/>
          <w:bCs/>
          <w:highlight w:val="none"/>
        </w:rPr>
        <w:t>2.供应商中标后应当及时领取中标通知书，不能及时领取或拒绝领取中标通知书的，采购代理机构将于中标供应商确定之日起两个工作日内采取邮寄、快递方式按照供应商投标文件中的地址送达中标通知书。</w:t>
      </w:r>
      <w:bookmarkEnd w:id="728"/>
      <w:bookmarkEnd w:id="729"/>
      <w:bookmarkEnd w:id="730"/>
      <w:bookmarkEnd w:id="731"/>
      <w:bookmarkEnd w:id="732"/>
      <w:bookmarkEnd w:id="733"/>
    </w:p>
    <w:p>
      <w:pPr>
        <w:pStyle w:val="49"/>
        <w:ind w:firstLine="482"/>
        <w:rPr>
          <w:highlight w:val="none"/>
        </w:rPr>
      </w:pPr>
      <w:bookmarkStart w:id="734" w:name="_Toc2298"/>
      <w:bookmarkStart w:id="735" w:name="_Toc14201"/>
      <w:bookmarkStart w:id="736" w:name="_Toc30825"/>
      <w:bookmarkStart w:id="737" w:name="_Toc10018"/>
      <w:r>
        <w:rPr>
          <w:rFonts w:hint="eastAsia"/>
          <w:highlight w:val="none"/>
        </w:rPr>
        <w:t>中标通知</w:t>
      </w:r>
      <w:bookmarkEnd w:id="692"/>
      <w:bookmarkEnd w:id="693"/>
      <w:r>
        <w:rPr>
          <w:rFonts w:hint="eastAsia"/>
          <w:highlight w:val="none"/>
        </w:rPr>
        <w:t>书</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5"/>
      <w:bookmarkEnd w:id="716"/>
      <w:bookmarkEnd w:id="721"/>
      <w:bookmarkEnd w:id="734"/>
      <w:bookmarkEnd w:id="735"/>
      <w:bookmarkEnd w:id="736"/>
      <w:bookmarkEnd w:id="737"/>
    </w:p>
    <w:p>
      <w:pPr>
        <w:pStyle w:val="63"/>
        <w:ind w:firstLine="480"/>
        <w:rPr>
          <w:highlight w:val="none"/>
        </w:rPr>
      </w:pPr>
      <w:r>
        <w:rPr>
          <w:rFonts w:hint="eastAsia"/>
          <w:highlight w:val="none"/>
        </w:rPr>
        <w:t>中标通知书为签订政府采购合同的依据，是合同的有效组成部分。</w:t>
      </w:r>
    </w:p>
    <w:p>
      <w:pPr>
        <w:pStyle w:val="63"/>
        <w:ind w:firstLine="480"/>
        <w:rPr>
          <w:highlight w:val="none"/>
        </w:rPr>
      </w:pPr>
      <w:r>
        <w:rPr>
          <w:rFonts w:hint="eastAsia"/>
          <w:highlight w:val="none"/>
        </w:rPr>
        <w:t>中标通知书对采购人和中标人均具有法律效力。中标通知书发出后，采购人改变中标结果，或者中标人无正当理由放弃中标的，应当承担相应的法律责任。</w:t>
      </w:r>
    </w:p>
    <w:p>
      <w:pPr>
        <w:pStyle w:val="63"/>
        <w:ind w:firstLine="480"/>
        <w:rPr>
          <w:highlight w:val="none"/>
        </w:rPr>
      </w:pPr>
      <w:r>
        <w:rPr>
          <w:rFonts w:hint="eastAsia"/>
          <w:highlight w:val="none"/>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63"/>
        <w:ind w:firstLine="480"/>
        <w:rPr>
          <w:highlight w:val="none"/>
        </w:rPr>
      </w:pPr>
      <w:r>
        <w:rPr>
          <w:rFonts w:hint="eastAsia"/>
          <w:highlight w:val="none"/>
        </w:rPr>
        <w:t>中标公告发出后，中标人自行领取中标通知书的，可凭有效身份证明证件和介绍信到采购代理机构领取中标通知书。</w:t>
      </w:r>
    </w:p>
    <w:p>
      <w:pPr>
        <w:pStyle w:val="43"/>
        <w:spacing w:before="120" w:after="120"/>
        <w:rPr>
          <w:highlight w:val="none"/>
        </w:rPr>
      </w:pPr>
      <w:bookmarkStart w:id="738" w:name="_Toc327196290"/>
      <w:bookmarkStart w:id="739" w:name="_Toc13383"/>
      <w:bookmarkStart w:id="740" w:name="_Toc27201"/>
      <w:bookmarkStart w:id="741" w:name="_Toc30422"/>
      <w:bookmarkStart w:id="742" w:name="_Toc10354"/>
      <w:bookmarkStart w:id="743" w:name="_Toc31247"/>
      <w:bookmarkStart w:id="744" w:name="_Toc2045"/>
      <w:bookmarkStart w:id="745" w:name="_Toc2685"/>
      <w:bookmarkStart w:id="746" w:name="_Toc28921"/>
      <w:bookmarkStart w:id="747" w:name="_Toc217446064"/>
      <w:bookmarkStart w:id="748" w:name="_Toc183682377"/>
      <w:bookmarkStart w:id="749" w:name="_Toc183582240"/>
      <w:r>
        <w:rPr>
          <w:rFonts w:hint="eastAsia"/>
          <w:highlight w:val="none"/>
        </w:rPr>
        <w:t>签订及履行合同和验收</w:t>
      </w:r>
      <w:bookmarkEnd w:id="738"/>
      <w:bookmarkEnd w:id="739"/>
      <w:bookmarkEnd w:id="740"/>
      <w:bookmarkEnd w:id="741"/>
      <w:bookmarkEnd w:id="742"/>
      <w:bookmarkEnd w:id="743"/>
      <w:bookmarkEnd w:id="744"/>
      <w:bookmarkEnd w:id="745"/>
      <w:bookmarkEnd w:id="746"/>
      <w:bookmarkEnd w:id="747"/>
    </w:p>
    <w:p>
      <w:pPr>
        <w:pStyle w:val="49"/>
        <w:numPr>
          <w:ilvl w:val="2"/>
          <w:numId w:val="15"/>
        </w:numPr>
        <w:ind w:firstLine="482"/>
        <w:rPr>
          <w:highlight w:val="none"/>
        </w:rPr>
      </w:pPr>
      <w:bookmarkStart w:id="750" w:name="_Toc4460"/>
      <w:bookmarkStart w:id="751" w:name="_Toc22239"/>
      <w:bookmarkStart w:id="752" w:name="_Toc5659"/>
      <w:bookmarkStart w:id="753" w:name="_Toc308084602"/>
      <w:bookmarkStart w:id="754" w:name="_Toc319440147"/>
      <w:bookmarkStart w:id="755" w:name="_Toc24949"/>
      <w:bookmarkStart w:id="756" w:name="_Toc307564857"/>
      <w:bookmarkStart w:id="757" w:name="_Toc307501114"/>
      <w:bookmarkStart w:id="758" w:name="_Toc308188157"/>
      <w:bookmarkStart w:id="759" w:name="_Toc11424"/>
      <w:bookmarkStart w:id="760" w:name="_Toc217446065"/>
      <w:bookmarkStart w:id="761" w:name="_Toc16835"/>
      <w:bookmarkStart w:id="762" w:name="_Toc327196291"/>
      <w:bookmarkStart w:id="763" w:name="_Toc309897520"/>
      <w:bookmarkStart w:id="764" w:name="_Toc11259"/>
      <w:bookmarkStart w:id="765" w:name="_Toc319439905"/>
      <w:bookmarkStart w:id="766" w:name="_Toc9464"/>
      <w:bookmarkStart w:id="767" w:name="_Toc20427"/>
      <w:bookmarkStart w:id="768" w:name="_Toc515"/>
      <w:bookmarkStart w:id="769" w:name="_Toc27989"/>
      <w:bookmarkStart w:id="770" w:name="_Toc3130"/>
      <w:bookmarkStart w:id="771" w:name="_Toc25992"/>
      <w:bookmarkStart w:id="772" w:name="_Toc19292"/>
      <w:bookmarkStart w:id="773" w:name="_Toc27214"/>
      <w:r>
        <w:rPr>
          <w:rFonts w:hint="eastAsia"/>
          <w:highlight w:val="none"/>
        </w:rPr>
        <w:t>签订合同</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pStyle w:val="63"/>
        <w:ind w:firstLine="480"/>
        <w:rPr>
          <w:highlight w:val="none"/>
        </w:rPr>
      </w:pPr>
      <w:bookmarkStart w:id="774" w:name="_Toc3758"/>
      <w:bookmarkStart w:id="775" w:name="_Toc309897521"/>
      <w:bookmarkStart w:id="776" w:name="_Toc20139"/>
      <w:bookmarkStart w:id="777" w:name="_Toc319440148"/>
      <w:bookmarkStart w:id="778" w:name="_Toc12489"/>
      <w:bookmarkStart w:id="779" w:name="_Toc319439906"/>
      <w:bookmarkStart w:id="780" w:name="_Toc217446066"/>
      <w:bookmarkStart w:id="781" w:name="_Toc31670"/>
      <w:bookmarkStart w:id="782" w:name="_Toc31397"/>
      <w:bookmarkStart w:id="783" w:name="_Toc12852"/>
      <w:bookmarkStart w:id="784" w:name="_Toc308084603"/>
      <w:bookmarkStart w:id="785" w:name="_Toc308188158"/>
      <w:bookmarkStart w:id="786" w:name="_Toc307501115"/>
      <w:bookmarkStart w:id="787" w:name="_Toc307564858"/>
      <w:bookmarkStart w:id="788" w:name="_Toc327196292"/>
      <w:bookmarkStart w:id="789" w:name="_Toc24196"/>
      <w:bookmarkStart w:id="790" w:name="_Toc25756"/>
      <w:bookmarkStart w:id="791" w:name="_Toc29795"/>
      <w:bookmarkStart w:id="792" w:name="_Toc26000"/>
      <w:r>
        <w:rPr>
          <w:rFonts w:hint="eastAsia"/>
          <w:highlight w:val="none"/>
        </w:rPr>
        <w:t>中标人在收到采购代理机构发出的《中标通知书》后，应在中标通知书发出之日起30日内与采购人签订采购合同。由于中标人的原因逾期未与采购人签订采购合同的，将视为放弃中标，取消其中标资格并将按相关规定进行处理。</w:t>
      </w:r>
    </w:p>
    <w:p>
      <w:pPr>
        <w:pStyle w:val="63"/>
        <w:ind w:firstLine="480"/>
        <w:rPr>
          <w:highlight w:val="none"/>
        </w:rPr>
      </w:pPr>
      <w:r>
        <w:rPr>
          <w:rFonts w:hint="eastAsia"/>
          <w:highlight w:val="none"/>
        </w:rPr>
        <w:t>政府采购合同应当包括采购人与中标人的名称和住所、标的、数量、质量、价款或者报酬、</w:t>
      </w:r>
      <w:r>
        <w:rPr>
          <w:rFonts w:hint="eastAsia"/>
          <w:highlight w:val="none"/>
          <w:lang w:eastAsia="zh-CN"/>
        </w:rPr>
        <w:t>服务期限</w:t>
      </w:r>
      <w:r>
        <w:rPr>
          <w:rFonts w:hint="eastAsia"/>
          <w:highlight w:val="none"/>
        </w:rPr>
        <w:t>及地点和方式、验收要求、违约责任、解决争议的方法等内容。</w:t>
      </w:r>
    </w:p>
    <w:p>
      <w:pPr>
        <w:pStyle w:val="63"/>
        <w:ind w:firstLine="480"/>
        <w:rPr>
          <w:highlight w:val="none"/>
        </w:rPr>
      </w:pPr>
      <w:r>
        <w:rPr>
          <w:rFonts w:hint="eastAsia"/>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63"/>
        <w:ind w:firstLine="480"/>
        <w:rPr>
          <w:highlight w:val="none"/>
        </w:rPr>
      </w:pPr>
      <w:r>
        <w:rPr>
          <w:rFonts w:hint="eastAsia"/>
          <w:highlight w:val="none"/>
        </w:rPr>
        <w:t>本项目的招标文件、中标供应商提交的投标文件、评审中的澄清、中标通知书等文件均具有法律约束力，属于合同组成部分。</w:t>
      </w:r>
    </w:p>
    <w:p>
      <w:pPr>
        <w:pStyle w:val="63"/>
        <w:ind w:firstLine="480"/>
        <w:rPr>
          <w:highlight w:val="none"/>
        </w:rPr>
      </w:pPr>
      <w:r>
        <w:rPr>
          <w:rFonts w:hint="eastAsia"/>
          <w:highlight w:val="none"/>
        </w:rPr>
        <w:t>中标人因不可抗力原因不能履行采购合同或放弃中标的，采购人可以与排在中标人之后第一位的中标候选人签订采购合同，以此类推。</w:t>
      </w:r>
    </w:p>
    <w:p>
      <w:pPr>
        <w:pStyle w:val="63"/>
        <w:ind w:firstLine="480"/>
        <w:rPr>
          <w:highlight w:val="none"/>
        </w:rPr>
      </w:pPr>
      <w:r>
        <w:rPr>
          <w:rFonts w:hint="eastAsia"/>
          <w:highlight w:val="none"/>
        </w:rPr>
        <w:t>中标人在合同签订之后2个工作日内，将签订的合同送采购代理机构进行合同编号。</w:t>
      </w:r>
    </w:p>
    <w:p>
      <w:pPr>
        <w:pStyle w:val="49"/>
        <w:numPr>
          <w:ilvl w:val="2"/>
          <w:numId w:val="15"/>
        </w:numPr>
        <w:ind w:firstLine="482"/>
        <w:rPr>
          <w:highlight w:val="none"/>
        </w:rPr>
      </w:pPr>
      <w:bookmarkStart w:id="793" w:name="_Toc20576"/>
      <w:bookmarkStart w:id="794" w:name="_Toc16194"/>
      <w:bookmarkStart w:id="795" w:name="_Toc21609"/>
      <w:bookmarkStart w:id="796" w:name="_Toc11625"/>
      <w:bookmarkStart w:id="797" w:name="_Toc12864"/>
      <w:r>
        <w:rPr>
          <w:rFonts w:hint="eastAsia"/>
          <w:highlight w:val="none"/>
        </w:rPr>
        <w:t>合同</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Pr>
          <w:rFonts w:hint="eastAsia"/>
          <w:highlight w:val="none"/>
        </w:rPr>
        <w:t>分包</w:t>
      </w:r>
      <w:bookmarkEnd w:id="789"/>
      <w:bookmarkEnd w:id="790"/>
      <w:r>
        <w:rPr>
          <w:rFonts w:hint="eastAsia"/>
          <w:highlight w:val="none"/>
        </w:rPr>
        <w:t>(实质性要求)</w:t>
      </w:r>
      <w:bookmarkEnd w:id="791"/>
      <w:bookmarkEnd w:id="792"/>
      <w:bookmarkEnd w:id="793"/>
      <w:bookmarkEnd w:id="794"/>
      <w:bookmarkEnd w:id="795"/>
      <w:bookmarkEnd w:id="796"/>
      <w:bookmarkEnd w:id="797"/>
    </w:p>
    <w:p>
      <w:pPr>
        <w:pStyle w:val="46"/>
        <w:rPr>
          <w:highlight w:val="none"/>
        </w:rPr>
      </w:pPr>
      <w:bookmarkStart w:id="798" w:name="_Toc327196293"/>
      <w:bookmarkStart w:id="799" w:name="_Toc307501116"/>
      <w:bookmarkStart w:id="800" w:name="_Toc217446067"/>
      <w:bookmarkStart w:id="801" w:name="_Toc19999"/>
      <w:bookmarkStart w:id="802" w:name="_Toc308084604"/>
      <w:bookmarkStart w:id="803" w:name="_Toc29552"/>
      <w:bookmarkStart w:id="804" w:name="_Toc319439907"/>
      <w:bookmarkStart w:id="805" w:name="_Toc30954"/>
      <w:bookmarkStart w:id="806" w:name="_Toc309897522"/>
      <w:bookmarkStart w:id="807" w:name="_Toc308188159"/>
      <w:bookmarkStart w:id="808" w:name="_Toc29842"/>
      <w:bookmarkStart w:id="809" w:name="_Toc30827"/>
      <w:bookmarkStart w:id="810" w:name="_Toc29332"/>
      <w:bookmarkStart w:id="811" w:name="_Toc15644"/>
      <w:bookmarkStart w:id="812" w:name="_Toc307564859"/>
      <w:bookmarkStart w:id="813" w:name="_Toc319440149"/>
      <w:bookmarkStart w:id="814" w:name="_Toc16143"/>
      <w:r>
        <w:rPr>
          <w:rFonts w:hint="eastAsia"/>
          <w:highlight w:val="none"/>
        </w:rPr>
        <w:t>本项目不允许分包。</w:t>
      </w:r>
    </w:p>
    <w:p>
      <w:pPr>
        <w:pStyle w:val="49"/>
        <w:numPr>
          <w:ilvl w:val="2"/>
          <w:numId w:val="15"/>
        </w:numPr>
        <w:ind w:firstLine="482"/>
        <w:rPr>
          <w:highlight w:val="none"/>
        </w:rPr>
      </w:pPr>
      <w:bookmarkStart w:id="815" w:name="_Toc28937"/>
      <w:bookmarkStart w:id="816" w:name="_Toc15187"/>
      <w:bookmarkStart w:id="817" w:name="_Toc17226"/>
      <w:bookmarkStart w:id="818" w:name="_Toc6086"/>
      <w:bookmarkStart w:id="819" w:name="_Toc23241"/>
      <w:bookmarkStart w:id="820" w:name="_Toc5242"/>
      <w:bookmarkStart w:id="821" w:name="_Toc29526"/>
      <w:r>
        <w:rPr>
          <w:rFonts w:hint="eastAsia"/>
          <w:highlight w:val="none"/>
        </w:rPr>
        <w:t>合同转包(实质性要求)</w:t>
      </w:r>
      <w:bookmarkEnd w:id="815"/>
      <w:bookmarkEnd w:id="816"/>
      <w:bookmarkEnd w:id="817"/>
      <w:bookmarkEnd w:id="818"/>
      <w:bookmarkEnd w:id="819"/>
      <w:bookmarkEnd w:id="820"/>
      <w:bookmarkEnd w:id="821"/>
    </w:p>
    <w:p>
      <w:pPr>
        <w:pStyle w:val="46"/>
        <w:rPr>
          <w:highlight w:val="none"/>
        </w:rPr>
      </w:pPr>
      <w:r>
        <w:rPr>
          <w:rFonts w:hint="eastAsia"/>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6"/>
        <w:rPr>
          <w:highlight w:val="none"/>
        </w:rPr>
      </w:pPr>
      <w:r>
        <w:rPr>
          <w:rFonts w:hint="eastAsia"/>
          <w:highlight w:val="none"/>
        </w:rPr>
        <w:t>中标人转包的，视同拒绝履行政府采购合同义务，将依法追究法律责任。</w:t>
      </w:r>
    </w:p>
    <w:p>
      <w:pPr>
        <w:pStyle w:val="49"/>
        <w:numPr>
          <w:ilvl w:val="2"/>
          <w:numId w:val="15"/>
        </w:numPr>
        <w:ind w:firstLine="482"/>
        <w:rPr>
          <w:highlight w:val="none"/>
        </w:rPr>
      </w:pPr>
      <w:bookmarkStart w:id="822" w:name="_Toc12603"/>
      <w:bookmarkStart w:id="823" w:name="_Toc26583"/>
      <w:bookmarkStart w:id="824" w:name="_Toc11992"/>
      <w:bookmarkStart w:id="825" w:name="_Toc12993"/>
      <w:bookmarkStart w:id="826" w:name="_Toc25759"/>
      <w:bookmarkStart w:id="827" w:name="_Toc5009"/>
      <w:bookmarkStart w:id="828" w:name="_Toc9592"/>
      <w:r>
        <w:rPr>
          <w:rFonts w:hint="eastAsia"/>
          <w:highlight w:val="none"/>
        </w:rPr>
        <w:t>补充合同</w:t>
      </w:r>
      <w:bookmarkEnd w:id="822"/>
      <w:bookmarkEnd w:id="823"/>
      <w:bookmarkEnd w:id="824"/>
      <w:bookmarkEnd w:id="825"/>
      <w:bookmarkEnd w:id="826"/>
      <w:bookmarkEnd w:id="827"/>
      <w:bookmarkEnd w:id="828"/>
    </w:p>
    <w:p>
      <w:pPr>
        <w:pStyle w:val="46"/>
        <w:rPr>
          <w:highlight w:val="none"/>
        </w:rPr>
      </w:pPr>
      <w:r>
        <w:rPr>
          <w:rFonts w:hint="eastAsia"/>
          <w:highlight w:val="none"/>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49"/>
        <w:numPr>
          <w:ilvl w:val="2"/>
          <w:numId w:val="15"/>
        </w:numPr>
        <w:ind w:firstLine="482"/>
        <w:rPr>
          <w:highlight w:val="none"/>
        </w:rPr>
      </w:pPr>
      <w:bookmarkStart w:id="829" w:name="_Toc30638"/>
      <w:bookmarkStart w:id="830" w:name="_Toc13715"/>
      <w:bookmarkStart w:id="831" w:name="_Toc12689"/>
      <w:bookmarkStart w:id="832" w:name="_Toc8575"/>
      <w:bookmarkStart w:id="833" w:name="_Toc27224"/>
      <w:bookmarkStart w:id="834" w:name="_Toc152"/>
      <w:bookmarkStart w:id="835" w:name="_Toc31475"/>
      <w:r>
        <w:rPr>
          <w:rFonts w:hint="eastAsia"/>
          <w:highlight w:val="none"/>
        </w:rPr>
        <w:t>合同公告</w:t>
      </w:r>
      <w:bookmarkEnd w:id="829"/>
      <w:bookmarkEnd w:id="830"/>
      <w:bookmarkEnd w:id="831"/>
      <w:r>
        <w:rPr>
          <w:rFonts w:hint="eastAsia"/>
          <w:highlight w:val="none"/>
        </w:rPr>
        <w:t>备案</w:t>
      </w:r>
      <w:bookmarkEnd w:id="832"/>
      <w:bookmarkEnd w:id="833"/>
      <w:bookmarkEnd w:id="834"/>
      <w:bookmarkEnd w:id="835"/>
    </w:p>
    <w:p>
      <w:pPr>
        <w:pStyle w:val="46"/>
        <w:rPr>
          <w:highlight w:val="none"/>
        </w:rPr>
      </w:pPr>
      <w:r>
        <w:rPr>
          <w:rFonts w:hint="eastAsia"/>
          <w:highlight w:val="none"/>
        </w:rPr>
        <w:t>采购人应当自政府采购合同签订(双方当事人均已签字盖章)之日起2个工作日内，将政府采购合同在省级以上人民政府财政部门指定的媒体“四川政府采购网”公告，但政府采购合同中涉及国家秘密、商业秘密的内容除外。采购人应当将政府采购合同副本自签订(双方当事人均已签字盖章)之日起七个工作日内通过“四川政府采购网”报同级财政部门备案。</w:t>
      </w:r>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Pr>
        <w:pStyle w:val="49"/>
        <w:numPr>
          <w:ilvl w:val="2"/>
          <w:numId w:val="15"/>
        </w:numPr>
        <w:ind w:firstLine="482"/>
        <w:rPr>
          <w:highlight w:val="none"/>
        </w:rPr>
      </w:pPr>
      <w:bookmarkStart w:id="836" w:name="_Toc308164812"/>
      <w:bookmarkStart w:id="837" w:name="_Toc25365"/>
      <w:bookmarkStart w:id="838" w:name="_Toc18251"/>
      <w:bookmarkStart w:id="839" w:name="_Toc7337"/>
      <w:bookmarkStart w:id="840" w:name="_Toc31704"/>
      <w:bookmarkStart w:id="841" w:name="_Toc22322"/>
      <w:bookmarkStart w:id="842" w:name="_Toc24147"/>
      <w:bookmarkStart w:id="843" w:name="_Toc24237"/>
      <w:bookmarkStart w:id="844" w:name="_Toc30856"/>
      <w:bookmarkStart w:id="845" w:name="_Toc27331"/>
      <w:bookmarkStart w:id="846" w:name="_Toc307564860"/>
      <w:bookmarkStart w:id="847" w:name="_Toc27686"/>
      <w:bookmarkStart w:id="848" w:name="_Toc307501117"/>
      <w:bookmarkStart w:id="849" w:name="_Toc28404"/>
      <w:bookmarkStart w:id="850" w:name="_Toc308188160"/>
      <w:bookmarkStart w:id="851" w:name="_Toc11533"/>
      <w:bookmarkStart w:id="852" w:name="_Toc309897523"/>
      <w:bookmarkStart w:id="853" w:name="_Toc327196294"/>
      <w:bookmarkStart w:id="854" w:name="_Toc319440150"/>
      <w:bookmarkStart w:id="855" w:name="_Toc16034"/>
      <w:bookmarkStart w:id="856" w:name="_Toc217446068"/>
      <w:bookmarkStart w:id="857" w:name="_Toc22746"/>
      <w:bookmarkStart w:id="858" w:name="_Toc319439908"/>
      <w:bookmarkStart w:id="859" w:name="_Toc308084605"/>
      <w:bookmarkStart w:id="860" w:name="_Toc19537"/>
      <w:r>
        <w:rPr>
          <w:rFonts w:hint="eastAsia"/>
          <w:highlight w:val="none"/>
        </w:rPr>
        <w:t>履约保证金</w:t>
      </w:r>
      <w:bookmarkEnd w:id="836"/>
      <w:r>
        <w:rPr>
          <w:rFonts w:hint="eastAsia"/>
          <w:highlight w:val="none"/>
        </w:rPr>
        <w:t>(实质性要求)</w:t>
      </w:r>
      <w:bookmarkEnd w:id="837"/>
      <w:bookmarkEnd w:id="838"/>
      <w:bookmarkEnd w:id="839"/>
      <w:bookmarkEnd w:id="840"/>
      <w:bookmarkEnd w:id="841"/>
      <w:bookmarkEnd w:id="842"/>
      <w:bookmarkEnd w:id="843"/>
    </w:p>
    <w:p>
      <w:pPr>
        <w:pStyle w:val="63"/>
        <w:numPr>
          <w:ilvl w:val="3"/>
          <w:numId w:val="0"/>
        </w:numPr>
        <w:ind w:firstLine="480" w:firstLineChars="200"/>
        <w:rPr>
          <w:highlight w:val="none"/>
        </w:rPr>
      </w:pPr>
      <w:r>
        <w:rPr>
          <w:rFonts w:hint="eastAsia"/>
          <w:highlight w:val="none"/>
        </w:rPr>
        <w:t>本项目不收取履约保证金。</w:t>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Pr>
        <w:pStyle w:val="49"/>
        <w:numPr>
          <w:ilvl w:val="2"/>
          <w:numId w:val="15"/>
        </w:numPr>
        <w:ind w:firstLine="482"/>
        <w:rPr>
          <w:highlight w:val="none"/>
        </w:rPr>
      </w:pPr>
      <w:bookmarkStart w:id="861" w:name="_Toc13194"/>
      <w:bookmarkStart w:id="862" w:name="_Toc29503"/>
      <w:bookmarkStart w:id="863" w:name="_Toc15310"/>
      <w:bookmarkStart w:id="864" w:name="_Toc31085"/>
      <w:bookmarkStart w:id="865" w:name="_Toc14707"/>
      <w:bookmarkStart w:id="866" w:name="_Toc19974"/>
      <w:bookmarkStart w:id="867" w:name="_Toc432"/>
      <w:bookmarkStart w:id="868" w:name="_Toc308084607"/>
      <w:bookmarkStart w:id="869" w:name="_Toc5754"/>
      <w:bookmarkStart w:id="870" w:name="_Toc9815"/>
      <w:bookmarkStart w:id="871" w:name="_Toc27114"/>
      <w:bookmarkStart w:id="872" w:name="_Toc15219"/>
      <w:bookmarkStart w:id="873" w:name="_Toc327196296"/>
      <w:bookmarkStart w:id="874" w:name="_Toc307564862"/>
      <w:bookmarkStart w:id="875" w:name="_Toc309897525"/>
      <w:bookmarkStart w:id="876" w:name="_Toc307501119"/>
      <w:bookmarkStart w:id="877" w:name="_Toc319440152"/>
      <w:bookmarkStart w:id="878" w:name="_Toc217446070"/>
      <w:bookmarkStart w:id="879" w:name="_Toc18547"/>
      <w:bookmarkStart w:id="880" w:name="_Toc9916"/>
      <w:bookmarkStart w:id="881" w:name="_Toc27872"/>
      <w:bookmarkStart w:id="882" w:name="_Toc17018"/>
      <w:bookmarkStart w:id="883" w:name="_Toc319439910"/>
      <w:bookmarkStart w:id="884" w:name="_Toc308188162"/>
      <w:r>
        <w:rPr>
          <w:rFonts w:hint="eastAsia"/>
          <w:highlight w:val="none"/>
        </w:rPr>
        <w:t>履行合同</w:t>
      </w:r>
      <w:bookmarkEnd w:id="861"/>
      <w:bookmarkEnd w:id="862"/>
      <w:bookmarkEnd w:id="863"/>
      <w:bookmarkEnd w:id="864"/>
      <w:bookmarkEnd w:id="865"/>
      <w:bookmarkEnd w:id="866"/>
      <w:bookmarkEnd w:id="867"/>
    </w:p>
    <w:p>
      <w:pPr>
        <w:pStyle w:val="63"/>
        <w:ind w:firstLine="480"/>
        <w:rPr>
          <w:highlight w:val="none"/>
        </w:rPr>
      </w:pPr>
      <w:bookmarkStart w:id="885" w:name="_Toc31"/>
      <w:bookmarkStart w:id="886" w:name="_Toc12435"/>
      <w:r>
        <w:rPr>
          <w:rFonts w:hint="eastAsia"/>
          <w:highlight w:val="none"/>
        </w:rPr>
        <w:t>采购人与中标人应当根据合同的约定依法履行合同义务。</w:t>
      </w:r>
    </w:p>
    <w:p>
      <w:pPr>
        <w:pStyle w:val="63"/>
        <w:ind w:firstLine="480"/>
        <w:rPr>
          <w:highlight w:val="none"/>
        </w:rPr>
      </w:pPr>
      <w:r>
        <w:rPr>
          <w:rFonts w:hint="eastAsia"/>
          <w:highlight w:val="none"/>
        </w:rPr>
        <w:t>政府采购合同的履行、违约责任和解决争议的方法等适用《</w:t>
      </w:r>
      <w:r>
        <w:rPr>
          <w:rFonts w:hint="eastAsia"/>
          <w:highlight w:val="none"/>
          <w:lang w:eastAsia="zh-CN"/>
        </w:rPr>
        <w:t>中华人民共和国民法典</w:t>
      </w:r>
      <w:r>
        <w:rPr>
          <w:rFonts w:hint="eastAsia"/>
          <w:highlight w:val="none"/>
        </w:rPr>
        <w:t>》。</w:t>
      </w:r>
    </w:p>
    <w:p>
      <w:pPr>
        <w:pStyle w:val="49"/>
        <w:numPr>
          <w:ilvl w:val="2"/>
          <w:numId w:val="15"/>
        </w:numPr>
        <w:ind w:firstLine="482"/>
        <w:rPr>
          <w:highlight w:val="none"/>
        </w:rPr>
      </w:pPr>
      <w:bookmarkStart w:id="887" w:name="_Toc22276"/>
      <w:bookmarkStart w:id="888" w:name="_Toc2296"/>
      <w:bookmarkStart w:id="889" w:name="_Toc24070"/>
      <w:bookmarkStart w:id="890" w:name="_Toc25845"/>
      <w:bookmarkStart w:id="891" w:name="_Toc16022"/>
      <w:r>
        <w:rPr>
          <w:rFonts w:hint="eastAsia"/>
          <w:highlight w:val="none"/>
        </w:rPr>
        <w:t>验收</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pStyle w:val="63"/>
        <w:ind w:firstLine="480"/>
        <w:rPr>
          <w:highlight w:val="none"/>
        </w:rPr>
      </w:pPr>
      <w:bookmarkStart w:id="892" w:name="_Toc217446071"/>
      <w:r>
        <w:rPr>
          <w:rFonts w:hint="eastAsia"/>
          <w:highlight w:val="none"/>
        </w:rPr>
        <w:t>本项目采购人及其委托的采购代理机构将严格按照《财政部关于进一步加强政府采购需求和履约验收管理的指导意见》(财库〔2016〕205号)、</w:t>
      </w:r>
      <w:r>
        <w:rPr>
          <w:rFonts w:hint="eastAsia"/>
          <w:highlight w:val="none"/>
          <w:lang w:val="en-US" w:eastAsia="zh-CN"/>
        </w:rPr>
        <w:t>参照</w:t>
      </w:r>
      <w:r>
        <w:rPr>
          <w:rFonts w:hint="eastAsia"/>
          <w:highlight w:val="none"/>
        </w:rPr>
        <w:t>《四川省政府采购项目需求论证和履约验收管理办法》(川财采〔2015〕32号)的要求进行验收。</w:t>
      </w:r>
    </w:p>
    <w:p>
      <w:pPr>
        <w:pStyle w:val="63"/>
        <w:ind w:firstLine="480"/>
        <w:rPr>
          <w:highlight w:val="none"/>
        </w:rPr>
      </w:pPr>
      <w:r>
        <w:rPr>
          <w:rFonts w:hint="eastAsia"/>
          <w:highlight w:val="none"/>
        </w:rPr>
        <w:t>验收结果合格的，中标人凭验收报告办理结算手续；验收结果不合格的，将不予支付采购资金，还可能会报本项目同级财政部门按照政府采购法律法规及</w:t>
      </w:r>
      <w:r>
        <w:rPr>
          <w:rFonts w:hint="eastAsia"/>
          <w:highlight w:val="none"/>
          <w:lang w:val="en-US" w:eastAsia="zh-CN"/>
        </w:rPr>
        <w:t>参照</w:t>
      </w:r>
      <w:r>
        <w:rPr>
          <w:rFonts w:hint="eastAsia"/>
          <w:highlight w:val="none"/>
        </w:rPr>
        <w:t>《四川省政府采购当事人诚信管理办法》(川财采〔2015〕33号)等有关规定给予行政处罚或者以失信行为记入诚信档案。</w:t>
      </w:r>
    </w:p>
    <w:bookmarkEnd w:id="748"/>
    <w:bookmarkEnd w:id="749"/>
    <w:bookmarkEnd w:id="892"/>
    <w:p>
      <w:pPr>
        <w:pStyle w:val="49"/>
        <w:numPr>
          <w:ilvl w:val="2"/>
          <w:numId w:val="15"/>
        </w:numPr>
        <w:ind w:firstLine="482"/>
        <w:rPr>
          <w:highlight w:val="none"/>
        </w:rPr>
      </w:pPr>
      <w:bookmarkStart w:id="893" w:name="_Toc308164818"/>
      <w:bookmarkStart w:id="894" w:name="_Toc1587"/>
      <w:bookmarkStart w:id="895" w:name="_Toc1603"/>
      <w:bookmarkStart w:id="896" w:name="_Toc16716"/>
      <w:bookmarkStart w:id="897" w:name="_Toc21945"/>
      <w:bookmarkStart w:id="898" w:name="_Toc25140"/>
      <w:bookmarkStart w:id="899" w:name="_Toc17896"/>
      <w:bookmarkStart w:id="900" w:name="_Toc3266"/>
      <w:bookmarkStart w:id="901" w:name="_Toc16219"/>
      <w:bookmarkStart w:id="902" w:name="_Toc327196297"/>
      <w:bookmarkStart w:id="903" w:name="_Toc217446074"/>
      <w:bookmarkStart w:id="904" w:name="_Toc183682380"/>
      <w:bookmarkStart w:id="905" w:name="_Toc183582243"/>
      <w:r>
        <w:rPr>
          <w:rFonts w:hint="eastAsia"/>
          <w:highlight w:val="none"/>
        </w:rPr>
        <w:t>资金支付</w:t>
      </w:r>
      <w:bookmarkEnd w:id="893"/>
      <w:r>
        <w:rPr>
          <w:rFonts w:hint="eastAsia"/>
          <w:highlight w:val="none"/>
        </w:rPr>
        <w:t>方式、时间、条件</w:t>
      </w:r>
      <w:bookmarkEnd w:id="894"/>
      <w:bookmarkEnd w:id="895"/>
      <w:bookmarkEnd w:id="896"/>
      <w:bookmarkEnd w:id="897"/>
      <w:bookmarkEnd w:id="898"/>
      <w:bookmarkEnd w:id="899"/>
      <w:bookmarkEnd w:id="900"/>
    </w:p>
    <w:p>
      <w:pPr>
        <w:pStyle w:val="63"/>
        <w:ind w:firstLine="480"/>
        <w:rPr>
          <w:highlight w:val="none"/>
        </w:rPr>
      </w:pPr>
      <w:r>
        <w:rPr>
          <w:rFonts w:hint="eastAsia"/>
          <w:highlight w:val="none"/>
        </w:rPr>
        <w:t>采购资金的支付方式：采购人将按照政府采购合同规定，及时向中标人以银行转账方式支付采购资金。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63"/>
        <w:ind w:firstLine="480"/>
        <w:rPr>
          <w:highlight w:val="none"/>
        </w:rPr>
      </w:pPr>
      <w:r>
        <w:rPr>
          <w:rFonts w:hint="eastAsia"/>
          <w:highlight w:val="none"/>
        </w:rPr>
        <w:t>采购资金的支付时间：详见招标文件第六章。</w:t>
      </w:r>
    </w:p>
    <w:p>
      <w:pPr>
        <w:pStyle w:val="63"/>
        <w:ind w:firstLine="480"/>
        <w:rPr>
          <w:highlight w:val="none"/>
        </w:rPr>
      </w:pPr>
      <w:r>
        <w:rPr>
          <w:rFonts w:hint="eastAsia"/>
          <w:highlight w:val="none"/>
        </w:rPr>
        <w:t>采购资金的支付条件：详见招标文件第六章。</w:t>
      </w:r>
    </w:p>
    <w:p>
      <w:pPr>
        <w:pStyle w:val="43"/>
        <w:spacing w:before="120" w:after="120"/>
        <w:rPr>
          <w:highlight w:val="none"/>
        </w:rPr>
      </w:pPr>
      <w:bookmarkStart w:id="906" w:name="_Toc23074"/>
      <w:bookmarkStart w:id="907" w:name="_Toc27770"/>
      <w:bookmarkStart w:id="908" w:name="_Toc15972"/>
      <w:bookmarkStart w:id="909" w:name="_Toc26895"/>
      <w:bookmarkStart w:id="910" w:name="_Toc31133"/>
      <w:bookmarkStart w:id="911" w:name="_Toc3955"/>
      <w:bookmarkStart w:id="912" w:name="_Toc4791"/>
      <w:r>
        <w:rPr>
          <w:rFonts w:hint="eastAsia"/>
          <w:highlight w:val="none"/>
        </w:rPr>
        <w:t>投标纪律要求</w:t>
      </w:r>
      <w:bookmarkEnd w:id="901"/>
      <w:bookmarkEnd w:id="902"/>
      <w:bookmarkEnd w:id="903"/>
      <w:bookmarkEnd w:id="906"/>
      <w:bookmarkEnd w:id="907"/>
      <w:bookmarkEnd w:id="908"/>
      <w:bookmarkEnd w:id="909"/>
      <w:bookmarkEnd w:id="910"/>
      <w:bookmarkEnd w:id="911"/>
      <w:bookmarkEnd w:id="912"/>
    </w:p>
    <w:p>
      <w:pPr>
        <w:pStyle w:val="46"/>
        <w:rPr>
          <w:highlight w:val="none"/>
        </w:rPr>
      </w:pPr>
      <w:bookmarkStart w:id="913" w:name="_Toc27399"/>
      <w:bookmarkStart w:id="914" w:name="_Toc17887"/>
      <w:bookmarkStart w:id="915" w:name="_Toc6284"/>
      <w:bookmarkStart w:id="916" w:name="_Toc307564864"/>
      <w:bookmarkStart w:id="917" w:name="_Toc319439912"/>
      <w:bookmarkStart w:id="918" w:name="_Toc5014"/>
      <w:bookmarkStart w:id="919" w:name="_Toc30964"/>
      <w:bookmarkStart w:id="920" w:name="_Toc327196298"/>
      <w:bookmarkStart w:id="921" w:name="_Toc11074"/>
      <w:bookmarkStart w:id="922" w:name="_Toc10754"/>
      <w:bookmarkStart w:id="923" w:name="_Toc308188164"/>
      <w:bookmarkStart w:id="924" w:name="_Toc308084609"/>
      <w:bookmarkStart w:id="925" w:name="_Toc31498"/>
      <w:bookmarkStart w:id="926" w:name="_Toc319440154"/>
      <w:bookmarkStart w:id="927" w:name="_Toc309897527"/>
      <w:bookmarkStart w:id="928" w:name="_Toc1828"/>
      <w:bookmarkStart w:id="929" w:name="_Toc217446075"/>
      <w:bookmarkStart w:id="930" w:name="_Toc20490"/>
      <w:bookmarkStart w:id="931" w:name="_Toc307501121"/>
      <w:bookmarkStart w:id="932" w:name="_Toc21018"/>
      <w:r>
        <w:rPr>
          <w:rFonts w:hint="eastAsia"/>
          <w:highlight w:val="none"/>
        </w:rPr>
        <w:t>投标人不得具有的情形</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Fonts w:hint="eastAsia"/>
          <w:highlight w:val="none"/>
        </w:rPr>
        <w:t>：</w:t>
      </w:r>
    </w:p>
    <w:p>
      <w:pPr>
        <w:pStyle w:val="32"/>
        <w:numPr>
          <w:ilvl w:val="1"/>
          <w:numId w:val="16"/>
        </w:numPr>
        <w:ind w:firstLine="480"/>
        <w:rPr>
          <w:highlight w:val="none"/>
        </w:rPr>
      </w:pPr>
      <w:r>
        <w:rPr>
          <w:rFonts w:hint="eastAsia"/>
          <w:highlight w:val="none"/>
        </w:rPr>
        <w:t>提供虚假材料谋取中标；</w:t>
      </w:r>
    </w:p>
    <w:p>
      <w:pPr>
        <w:pStyle w:val="32"/>
        <w:numPr>
          <w:ilvl w:val="1"/>
          <w:numId w:val="16"/>
        </w:numPr>
        <w:ind w:firstLine="480"/>
        <w:rPr>
          <w:highlight w:val="none"/>
        </w:rPr>
      </w:pPr>
      <w:r>
        <w:rPr>
          <w:rFonts w:hint="eastAsia"/>
          <w:highlight w:val="none"/>
        </w:rPr>
        <w:t>采取不正当手段诋毁、排挤其他投标人；</w:t>
      </w:r>
    </w:p>
    <w:p>
      <w:pPr>
        <w:pStyle w:val="32"/>
        <w:numPr>
          <w:ilvl w:val="1"/>
          <w:numId w:val="16"/>
        </w:numPr>
        <w:ind w:firstLine="480"/>
        <w:rPr>
          <w:highlight w:val="none"/>
        </w:rPr>
      </w:pPr>
      <w:r>
        <w:rPr>
          <w:rFonts w:hint="eastAsia"/>
          <w:highlight w:val="none"/>
        </w:rPr>
        <w:t>与招标采购单位、其他投标人恶意串通；</w:t>
      </w:r>
    </w:p>
    <w:p>
      <w:pPr>
        <w:pStyle w:val="32"/>
        <w:numPr>
          <w:ilvl w:val="1"/>
          <w:numId w:val="16"/>
        </w:numPr>
        <w:ind w:firstLine="480"/>
        <w:rPr>
          <w:highlight w:val="none"/>
        </w:rPr>
      </w:pPr>
      <w:r>
        <w:rPr>
          <w:rFonts w:hint="eastAsia"/>
          <w:highlight w:val="none"/>
        </w:rPr>
        <w:t>向招标采购单位、评标委员会成员行贿或者提供其他不正当利益；</w:t>
      </w:r>
    </w:p>
    <w:p>
      <w:pPr>
        <w:pStyle w:val="32"/>
        <w:numPr>
          <w:ilvl w:val="1"/>
          <w:numId w:val="16"/>
        </w:numPr>
        <w:ind w:firstLine="480"/>
        <w:rPr>
          <w:highlight w:val="none"/>
        </w:rPr>
      </w:pPr>
      <w:r>
        <w:rPr>
          <w:rFonts w:hint="eastAsia"/>
          <w:highlight w:val="none"/>
        </w:rPr>
        <w:t>在招标过程中与招标采购单位进行协商谈判；</w:t>
      </w:r>
    </w:p>
    <w:p>
      <w:pPr>
        <w:pStyle w:val="32"/>
        <w:numPr>
          <w:ilvl w:val="1"/>
          <w:numId w:val="16"/>
        </w:numPr>
        <w:ind w:firstLine="480"/>
        <w:rPr>
          <w:highlight w:val="none"/>
        </w:rPr>
      </w:pPr>
      <w:r>
        <w:rPr>
          <w:rFonts w:hint="eastAsia"/>
          <w:highlight w:val="none"/>
        </w:rPr>
        <w:t>中标或者成交后无正当理由拒不与采购人签订政府采购合同；</w:t>
      </w:r>
    </w:p>
    <w:p>
      <w:pPr>
        <w:pStyle w:val="32"/>
        <w:numPr>
          <w:ilvl w:val="1"/>
          <w:numId w:val="16"/>
        </w:numPr>
        <w:ind w:firstLine="480"/>
        <w:rPr>
          <w:highlight w:val="none"/>
        </w:rPr>
      </w:pPr>
      <w:r>
        <w:rPr>
          <w:rFonts w:hint="eastAsia"/>
          <w:highlight w:val="none"/>
        </w:rPr>
        <w:t>未按照采购文件确定的事项签订政府采购合同；</w:t>
      </w:r>
    </w:p>
    <w:p>
      <w:pPr>
        <w:pStyle w:val="32"/>
        <w:numPr>
          <w:ilvl w:val="1"/>
          <w:numId w:val="16"/>
        </w:numPr>
        <w:ind w:firstLine="480"/>
        <w:rPr>
          <w:highlight w:val="none"/>
        </w:rPr>
      </w:pPr>
      <w:r>
        <w:rPr>
          <w:rFonts w:hint="eastAsia"/>
          <w:highlight w:val="none"/>
        </w:rPr>
        <w:t>将政府采购合同转包或者违规分包；</w:t>
      </w:r>
    </w:p>
    <w:p>
      <w:pPr>
        <w:pStyle w:val="32"/>
        <w:numPr>
          <w:ilvl w:val="1"/>
          <w:numId w:val="16"/>
        </w:numPr>
        <w:ind w:firstLine="480"/>
        <w:rPr>
          <w:highlight w:val="none"/>
        </w:rPr>
      </w:pPr>
      <w:r>
        <w:rPr>
          <w:rFonts w:hint="eastAsia"/>
          <w:highlight w:val="none"/>
        </w:rPr>
        <w:t>提供假冒伪劣产品；</w:t>
      </w:r>
    </w:p>
    <w:p>
      <w:pPr>
        <w:pStyle w:val="32"/>
        <w:numPr>
          <w:ilvl w:val="1"/>
          <w:numId w:val="16"/>
        </w:numPr>
        <w:ind w:firstLine="480"/>
        <w:rPr>
          <w:highlight w:val="none"/>
        </w:rPr>
      </w:pPr>
      <w:r>
        <w:rPr>
          <w:rFonts w:hint="eastAsia"/>
          <w:highlight w:val="none"/>
        </w:rPr>
        <w:t>擅自变更、中止或者终止政府采购合同；</w:t>
      </w:r>
    </w:p>
    <w:p>
      <w:pPr>
        <w:pStyle w:val="32"/>
        <w:numPr>
          <w:ilvl w:val="1"/>
          <w:numId w:val="16"/>
        </w:numPr>
        <w:ind w:firstLine="480"/>
        <w:rPr>
          <w:highlight w:val="none"/>
        </w:rPr>
      </w:pPr>
      <w:r>
        <w:rPr>
          <w:rFonts w:hint="eastAsia"/>
          <w:highlight w:val="none"/>
        </w:rPr>
        <w:t>拒绝有关部门的监督检查或者向监督检查部门提供虚假情况；</w:t>
      </w:r>
    </w:p>
    <w:p>
      <w:pPr>
        <w:pStyle w:val="32"/>
        <w:numPr>
          <w:ilvl w:val="1"/>
          <w:numId w:val="16"/>
        </w:numPr>
        <w:ind w:firstLine="480"/>
        <w:rPr>
          <w:highlight w:val="none"/>
        </w:rPr>
      </w:pPr>
      <w:r>
        <w:rPr>
          <w:rFonts w:hint="eastAsia"/>
          <w:highlight w:val="none"/>
        </w:rPr>
        <w:t>法律法规规定的其他情形。</w:t>
      </w:r>
    </w:p>
    <w:p>
      <w:pPr>
        <w:pStyle w:val="42"/>
        <w:ind w:firstLine="480" w:firstLineChars="200"/>
        <w:rPr>
          <w:highlight w:val="none"/>
        </w:rPr>
      </w:pPr>
      <w:bookmarkStart w:id="933" w:name="_Toc20327"/>
      <w:bookmarkStart w:id="934" w:name="_Toc525"/>
      <w:bookmarkStart w:id="935" w:name="_Toc8765"/>
      <w:bookmarkStart w:id="936" w:name="_Toc217446078"/>
      <w:r>
        <w:rPr>
          <w:rFonts w:hint="eastAsia"/>
          <w:highlight w:val="none"/>
        </w:rPr>
        <w:t>投标人有上述情形的，按照规定追究法律责任，具备(一)～(十)条情形之一的，同时将取消中标资格或者认定中标无效。</w:t>
      </w:r>
    </w:p>
    <w:bookmarkEnd w:id="933"/>
    <w:bookmarkEnd w:id="934"/>
    <w:bookmarkEnd w:id="935"/>
    <w:p>
      <w:pPr>
        <w:pStyle w:val="43"/>
        <w:spacing w:before="120" w:after="120"/>
        <w:rPr>
          <w:highlight w:val="none"/>
        </w:rPr>
      </w:pPr>
      <w:bookmarkStart w:id="937" w:name="_Toc20723"/>
      <w:bookmarkStart w:id="938" w:name="_Toc32686"/>
      <w:bookmarkStart w:id="939" w:name="_Toc14835"/>
      <w:bookmarkStart w:id="940" w:name="_Toc28734"/>
      <w:r>
        <w:rPr>
          <w:rFonts w:hint="eastAsia"/>
          <w:highlight w:val="none"/>
        </w:rPr>
        <w:t>其他</w:t>
      </w:r>
      <w:bookmarkEnd w:id="937"/>
      <w:bookmarkEnd w:id="938"/>
      <w:bookmarkEnd w:id="939"/>
      <w:bookmarkEnd w:id="940"/>
    </w:p>
    <w:p>
      <w:pPr>
        <w:pStyle w:val="49"/>
        <w:numPr>
          <w:ilvl w:val="2"/>
          <w:numId w:val="17"/>
        </w:numPr>
        <w:ind w:firstLine="482"/>
        <w:rPr>
          <w:highlight w:val="none"/>
        </w:rPr>
      </w:pPr>
      <w:bookmarkStart w:id="941" w:name="_Toc24165"/>
      <w:bookmarkStart w:id="942" w:name="_Toc414"/>
      <w:bookmarkStart w:id="943" w:name="_Toc24434"/>
      <w:bookmarkStart w:id="944" w:name="_Toc12421"/>
      <w:bookmarkStart w:id="945" w:name="_Toc1652"/>
      <w:bookmarkStart w:id="946" w:name="_Toc13272"/>
      <w:bookmarkStart w:id="947" w:name="_Toc20789"/>
      <w:bookmarkStart w:id="948" w:name="_Toc18969"/>
      <w:bookmarkStart w:id="949" w:name="_Toc24424"/>
      <w:bookmarkStart w:id="950" w:name="_Toc21424"/>
      <w:bookmarkStart w:id="951" w:name="_Toc327196301"/>
      <w:r>
        <w:rPr>
          <w:rFonts w:hint="eastAsia"/>
          <w:highlight w:val="none"/>
        </w:rPr>
        <w:t>询问</w:t>
      </w:r>
      <w:bookmarkEnd w:id="941"/>
      <w:bookmarkEnd w:id="942"/>
      <w:bookmarkEnd w:id="943"/>
      <w:bookmarkEnd w:id="944"/>
      <w:bookmarkEnd w:id="945"/>
      <w:r>
        <w:rPr>
          <w:rFonts w:hint="eastAsia"/>
          <w:highlight w:val="none"/>
        </w:rPr>
        <w:t>、质疑和投诉</w:t>
      </w:r>
      <w:bookmarkEnd w:id="946"/>
      <w:bookmarkEnd w:id="947"/>
      <w:bookmarkEnd w:id="948"/>
      <w:bookmarkEnd w:id="949"/>
    </w:p>
    <w:bookmarkEnd w:id="904"/>
    <w:bookmarkEnd w:id="905"/>
    <w:bookmarkEnd w:id="936"/>
    <w:bookmarkEnd w:id="950"/>
    <w:bookmarkEnd w:id="951"/>
    <w:p>
      <w:pPr>
        <w:pStyle w:val="46"/>
        <w:rPr>
          <w:highlight w:val="none"/>
        </w:rPr>
      </w:pPr>
      <w:r>
        <w:rPr>
          <w:rFonts w:hint="eastAsia"/>
          <w:highlight w:val="none"/>
        </w:rPr>
        <w:t>具体详见投标人须知前附表。</w:t>
      </w:r>
    </w:p>
    <w:p>
      <w:pPr>
        <w:pStyle w:val="49"/>
        <w:numPr>
          <w:ilvl w:val="2"/>
          <w:numId w:val="17"/>
        </w:numPr>
        <w:ind w:firstLine="482"/>
        <w:rPr>
          <w:highlight w:val="none"/>
        </w:rPr>
      </w:pPr>
      <w:bookmarkStart w:id="952" w:name="_Toc8852"/>
      <w:bookmarkStart w:id="953" w:name="_Toc32621"/>
      <w:bookmarkStart w:id="954" w:name="_Toc13711"/>
      <w:bookmarkStart w:id="955" w:name="_Toc15326"/>
      <w:bookmarkStart w:id="956" w:name="_Toc11857"/>
      <w:bookmarkStart w:id="957" w:name="_Toc22454"/>
      <w:bookmarkStart w:id="958" w:name="_Toc27417"/>
      <w:r>
        <w:rPr>
          <w:rFonts w:hint="eastAsia"/>
          <w:highlight w:val="none"/>
        </w:rPr>
        <w:t>关于行贿犯罪档案查询工作的规定</w:t>
      </w:r>
      <w:bookmarkEnd w:id="952"/>
      <w:bookmarkEnd w:id="953"/>
      <w:bookmarkEnd w:id="954"/>
      <w:bookmarkEnd w:id="955"/>
      <w:bookmarkEnd w:id="956"/>
      <w:bookmarkEnd w:id="957"/>
      <w:bookmarkEnd w:id="958"/>
    </w:p>
    <w:p>
      <w:pPr>
        <w:pStyle w:val="46"/>
        <w:rPr>
          <w:highlight w:val="none"/>
        </w:rPr>
      </w:pPr>
      <w:bookmarkStart w:id="959" w:name="_Toc24870"/>
      <w:bookmarkStart w:id="960" w:name="_Toc25217"/>
      <w:bookmarkStart w:id="961" w:name="_Toc5589"/>
      <w:r>
        <w:rPr>
          <w:rFonts w:hint="eastAsia"/>
          <w:highlight w:val="none"/>
        </w:rPr>
        <w:t>因国家检察机关职务犯罪侦查部门转隶工作已经完成，供应商参与采购活动时须按照采购文件要求提供承诺函或由采购代理机构通过“中国裁判文书网”查询，并将查询记录存档。</w:t>
      </w:r>
    </w:p>
    <w:p>
      <w:pPr>
        <w:pStyle w:val="49"/>
        <w:numPr>
          <w:ilvl w:val="2"/>
          <w:numId w:val="17"/>
        </w:numPr>
        <w:ind w:firstLine="482"/>
        <w:rPr>
          <w:highlight w:val="none"/>
        </w:rPr>
      </w:pPr>
      <w:bookmarkStart w:id="962" w:name="_Toc9059"/>
      <w:bookmarkStart w:id="963" w:name="_Toc28643"/>
      <w:bookmarkStart w:id="964" w:name="_Toc11714"/>
      <w:bookmarkStart w:id="965" w:name="_Toc9485"/>
      <w:r>
        <w:rPr>
          <w:rFonts w:hint="eastAsia"/>
          <w:highlight w:val="none"/>
        </w:rPr>
        <w:t>串通投标的情形</w:t>
      </w:r>
      <w:bookmarkEnd w:id="959"/>
      <w:bookmarkEnd w:id="960"/>
      <w:bookmarkEnd w:id="962"/>
      <w:bookmarkEnd w:id="963"/>
      <w:bookmarkEnd w:id="964"/>
      <w:bookmarkEnd w:id="965"/>
    </w:p>
    <w:p>
      <w:pPr>
        <w:pStyle w:val="46"/>
        <w:rPr>
          <w:highlight w:val="none"/>
        </w:rPr>
      </w:pPr>
      <w:r>
        <w:rPr>
          <w:rFonts w:hint="eastAsia"/>
          <w:highlight w:val="none"/>
        </w:rPr>
        <w:t>有下列情形之一的，视为投标人串通投标，其投标无效。</w:t>
      </w:r>
    </w:p>
    <w:p>
      <w:pPr>
        <w:pStyle w:val="46"/>
        <w:rPr>
          <w:highlight w:val="none"/>
        </w:rPr>
      </w:pPr>
      <w:r>
        <w:rPr>
          <w:rFonts w:hint="eastAsia"/>
          <w:highlight w:val="none"/>
        </w:rPr>
        <w:t>1.不同投标人的投标文件由同一单位或者个人编制；</w:t>
      </w:r>
    </w:p>
    <w:p>
      <w:pPr>
        <w:pStyle w:val="46"/>
        <w:rPr>
          <w:highlight w:val="none"/>
        </w:rPr>
      </w:pPr>
      <w:r>
        <w:rPr>
          <w:rFonts w:hint="eastAsia"/>
          <w:highlight w:val="none"/>
        </w:rPr>
        <w:t>2.不同投标人委托同一单位或者个人办理投标事宜；</w:t>
      </w:r>
    </w:p>
    <w:p>
      <w:pPr>
        <w:pStyle w:val="46"/>
        <w:rPr>
          <w:highlight w:val="none"/>
        </w:rPr>
      </w:pPr>
      <w:r>
        <w:rPr>
          <w:rFonts w:hint="eastAsia"/>
          <w:highlight w:val="none"/>
        </w:rPr>
        <w:t>3.不同投标人的投标文件载明的项目管理成员或者联系人员为同一人；</w:t>
      </w:r>
    </w:p>
    <w:p>
      <w:pPr>
        <w:pStyle w:val="46"/>
        <w:rPr>
          <w:highlight w:val="none"/>
        </w:rPr>
      </w:pPr>
      <w:r>
        <w:rPr>
          <w:rFonts w:hint="eastAsia"/>
          <w:highlight w:val="none"/>
        </w:rPr>
        <w:t>4.不同投标人的投标文件异常一致或者投标报价呈规律性差异；</w:t>
      </w:r>
    </w:p>
    <w:p>
      <w:pPr>
        <w:pStyle w:val="46"/>
        <w:rPr>
          <w:highlight w:val="none"/>
        </w:rPr>
      </w:pPr>
      <w:r>
        <w:rPr>
          <w:rFonts w:hint="eastAsia"/>
          <w:highlight w:val="none"/>
        </w:rPr>
        <w:t>5.不同投标人的投标文件相互混装；</w:t>
      </w:r>
    </w:p>
    <w:p>
      <w:pPr>
        <w:pStyle w:val="46"/>
        <w:rPr>
          <w:highlight w:val="none"/>
        </w:rPr>
      </w:pPr>
      <w:r>
        <w:rPr>
          <w:rFonts w:hint="eastAsia"/>
          <w:highlight w:val="none"/>
        </w:rPr>
        <w:t>6.不同投标人的投标保证金从同一单位或者个人的账户转出。</w:t>
      </w:r>
    </w:p>
    <w:p>
      <w:pPr>
        <w:pStyle w:val="49"/>
        <w:numPr>
          <w:ilvl w:val="2"/>
          <w:numId w:val="17"/>
        </w:numPr>
        <w:ind w:firstLine="482"/>
        <w:rPr>
          <w:highlight w:val="none"/>
        </w:rPr>
      </w:pPr>
      <w:bookmarkStart w:id="966" w:name="_Toc10983"/>
      <w:bookmarkStart w:id="967" w:name="_Toc17038"/>
      <w:bookmarkStart w:id="968" w:name="_Toc14457"/>
      <w:bookmarkStart w:id="969" w:name="_Toc9883"/>
      <w:bookmarkStart w:id="970" w:name="_Toc32334"/>
      <w:bookmarkStart w:id="971" w:name="_Toc22192"/>
      <w:bookmarkStart w:id="972" w:name="_Toc22449"/>
      <w:bookmarkStart w:id="973" w:name="_Toc6510"/>
      <w:r>
        <w:rPr>
          <w:rFonts w:hint="eastAsia"/>
          <w:highlight w:val="none"/>
        </w:rPr>
        <w:t>投标人信用信息查询</w:t>
      </w:r>
      <w:bookmarkEnd w:id="966"/>
      <w:bookmarkEnd w:id="967"/>
      <w:bookmarkEnd w:id="968"/>
      <w:bookmarkEnd w:id="969"/>
      <w:bookmarkEnd w:id="970"/>
      <w:bookmarkEnd w:id="971"/>
      <w:bookmarkEnd w:id="972"/>
      <w:bookmarkEnd w:id="973"/>
    </w:p>
    <w:p>
      <w:pPr>
        <w:pStyle w:val="32"/>
        <w:numPr>
          <w:ilvl w:val="1"/>
          <w:numId w:val="0"/>
        </w:numPr>
        <w:ind w:firstLine="480" w:firstLineChars="200"/>
        <w:rPr>
          <w:highlight w:val="none"/>
        </w:rPr>
      </w:pPr>
      <w:r>
        <w:rPr>
          <w:rFonts w:hint="eastAsia"/>
          <w:highlight w:val="none"/>
        </w:rPr>
        <w:t>1.投标人信用信息查询渠道</w:t>
      </w:r>
    </w:p>
    <w:p>
      <w:pPr>
        <w:pStyle w:val="46"/>
        <w:rPr>
          <w:highlight w:val="none"/>
        </w:rPr>
      </w:pPr>
      <w:r>
        <w:rPr>
          <w:rFonts w:hint="eastAsia"/>
          <w:highlight w:val="none"/>
        </w:rPr>
        <w:t>“信用中国”网站(www.creditchina.gov.cn)、“中国政府采购网”(www.ccgp.gov.cn)等。</w:t>
      </w:r>
    </w:p>
    <w:p>
      <w:pPr>
        <w:pStyle w:val="32"/>
        <w:numPr>
          <w:ilvl w:val="1"/>
          <w:numId w:val="0"/>
        </w:numPr>
        <w:ind w:firstLine="480" w:firstLineChars="200"/>
        <w:rPr>
          <w:highlight w:val="none"/>
        </w:rPr>
      </w:pPr>
      <w:r>
        <w:rPr>
          <w:rFonts w:hint="eastAsia"/>
          <w:highlight w:val="none"/>
        </w:rPr>
        <w:t>2.投标人信用信息查询截止时点</w:t>
      </w:r>
    </w:p>
    <w:p>
      <w:pPr>
        <w:pStyle w:val="46"/>
        <w:rPr>
          <w:highlight w:val="none"/>
        </w:rPr>
      </w:pPr>
      <w:r>
        <w:rPr>
          <w:rFonts w:hint="eastAsia"/>
          <w:highlight w:val="none"/>
        </w:rPr>
        <w:t>信用信息查询在资格审查阶段完成。</w:t>
      </w:r>
    </w:p>
    <w:p>
      <w:pPr>
        <w:pStyle w:val="32"/>
        <w:numPr>
          <w:ilvl w:val="1"/>
          <w:numId w:val="0"/>
        </w:numPr>
        <w:ind w:firstLine="480" w:firstLineChars="200"/>
        <w:rPr>
          <w:highlight w:val="none"/>
        </w:rPr>
      </w:pPr>
      <w:r>
        <w:rPr>
          <w:rFonts w:hint="eastAsia"/>
          <w:highlight w:val="none"/>
        </w:rPr>
        <w:t>3.投标人信用信息查询记录和证据留存的具体方式</w:t>
      </w:r>
    </w:p>
    <w:p>
      <w:pPr>
        <w:pStyle w:val="46"/>
        <w:rPr>
          <w:highlight w:val="none"/>
        </w:rPr>
      </w:pPr>
      <w:r>
        <w:rPr>
          <w:rFonts w:hint="eastAsia"/>
          <w:highlight w:val="none"/>
        </w:rPr>
        <w:t>采购代理机构通过“信用中国”网站、“中国政府采购网”等渠道对供应商进行信用记录查询，并将查询记录存档。</w:t>
      </w:r>
    </w:p>
    <w:p>
      <w:pPr>
        <w:pStyle w:val="32"/>
        <w:numPr>
          <w:ilvl w:val="1"/>
          <w:numId w:val="0"/>
        </w:numPr>
        <w:ind w:firstLine="480" w:firstLineChars="200"/>
        <w:rPr>
          <w:highlight w:val="none"/>
        </w:rPr>
      </w:pPr>
      <w:r>
        <w:rPr>
          <w:rFonts w:hint="eastAsia"/>
          <w:highlight w:val="none"/>
        </w:rPr>
        <w:t>4.投标人信用信息的使用：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49"/>
        <w:numPr>
          <w:ilvl w:val="2"/>
          <w:numId w:val="17"/>
        </w:numPr>
        <w:ind w:firstLine="482"/>
        <w:rPr>
          <w:highlight w:val="none"/>
        </w:rPr>
      </w:pPr>
      <w:bookmarkStart w:id="974" w:name="_Toc11616"/>
      <w:bookmarkStart w:id="975" w:name="_Toc28992"/>
      <w:bookmarkStart w:id="976" w:name="_Toc3694"/>
      <w:bookmarkStart w:id="977" w:name="_Toc24277"/>
      <w:r>
        <w:rPr>
          <w:rFonts w:hint="eastAsia"/>
          <w:highlight w:val="none"/>
        </w:rPr>
        <w:t>解释说明</w:t>
      </w:r>
      <w:bookmarkEnd w:id="974"/>
      <w:bookmarkEnd w:id="975"/>
      <w:bookmarkEnd w:id="976"/>
      <w:bookmarkEnd w:id="977"/>
    </w:p>
    <w:p>
      <w:pPr>
        <w:pStyle w:val="32"/>
        <w:numPr>
          <w:ilvl w:val="1"/>
          <w:numId w:val="0"/>
        </w:numPr>
        <w:ind w:firstLine="480" w:firstLineChars="200"/>
        <w:rPr>
          <w:highlight w:val="none"/>
        </w:rPr>
      </w:pPr>
      <w:r>
        <w:rPr>
          <w:rFonts w:hint="eastAsia"/>
          <w:highlight w:val="none"/>
        </w:rPr>
        <w:t>1.本招标文件中作为实质性要求的内容，除明确要求需在投标时提供承诺函等证明材料的外，采购人或采购代理机构或评标委员会在评审时，仅对投标文件是否违背实质性要求进行审查，如该项未违背实质性要求，视为满足实质性要求。</w:t>
      </w:r>
    </w:p>
    <w:p>
      <w:pPr>
        <w:pStyle w:val="32"/>
        <w:numPr>
          <w:ilvl w:val="1"/>
          <w:numId w:val="0"/>
        </w:numPr>
        <w:ind w:firstLine="480" w:firstLineChars="200"/>
        <w:rPr>
          <w:highlight w:val="none"/>
        </w:rPr>
      </w:pPr>
      <w:r>
        <w:rPr>
          <w:rFonts w:hint="eastAsia"/>
          <w:highlight w:val="none"/>
        </w:rPr>
        <w:t>2.本招标文件中所引用的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32"/>
        <w:numPr>
          <w:ilvl w:val="1"/>
          <w:numId w:val="0"/>
        </w:numPr>
        <w:ind w:firstLine="480" w:firstLineChars="200"/>
        <w:rPr>
          <w:highlight w:val="none"/>
        </w:rPr>
      </w:pPr>
      <w:r>
        <w:rPr>
          <w:rFonts w:hint="eastAsia"/>
          <w:highlight w:val="none"/>
        </w:rPr>
        <w:t>3.国家或行业主管部门对供应商和采购产品的技术标准、质量标准和资格资质条件等有强制性规定的，必须符合其要求</w:t>
      </w:r>
      <w:r>
        <w:rPr>
          <w:rFonts w:hint="eastAsia"/>
          <w:b/>
          <w:bCs/>
          <w:highlight w:val="none"/>
        </w:rPr>
        <w:t>(实质性要求)</w:t>
      </w:r>
      <w:r>
        <w:rPr>
          <w:rFonts w:hint="eastAsia"/>
          <w:highlight w:val="none"/>
        </w:rPr>
        <w:t>。</w:t>
      </w:r>
    </w:p>
    <w:p>
      <w:pPr>
        <w:pStyle w:val="32"/>
        <w:numPr>
          <w:ilvl w:val="1"/>
          <w:numId w:val="0"/>
        </w:numPr>
        <w:ind w:firstLine="480" w:firstLineChars="200"/>
        <w:rPr>
          <w:highlight w:val="none"/>
        </w:rPr>
      </w:pPr>
      <w:r>
        <w:rPr>
          <w:rFonts w:hint="eastAsia"/>
          <w:highlight w:val="none"/>
        </w:rPr>
        <w:t>4.</w:t>
      </w:r>
      <w:r>
        <w:rPr>
          <w:rFonts w:hint="eastAsia" w:cs="宋体"/>
          <w:highlight w:val="none"/>
        </w:rPr>
        <w:t>本项目涉及企业资质、产品认证、人员执业资格等描述与国家最新要求不一致时以最新要求为准。</w:t>
      </w:r>
    </w:p>
    <w:p>
      <w:pPr>
        <w:pStyle w:val="48"/>
        <w:numPr>
          <w:ilvl w:val="0"/>
          <w:numId w:val="11"/>
        </w:numPr>
        <w:spacing w:before="120" w:after="120"/>
        <w:rPr>
          <w:highlight w:val="none"/>
        </w:rPr>
      </w:pPr>
      <w:r>
        <w:rPr>
          <w:rFonts w:hint="eastAsia"/>
          <w:highlight w:val="none"/>
        </w:rPr>
        <w:br w:type="page"/>
      </w:r>
      <w:bookmarkEnd w:id="961"/>
      <w:bookmarkStart w:id="978" w:name="_Toc25961"/>
      <w:bookmarkStart w:id="979" w:name="_Toc10490"/>
      <w:bookmarkStart w:id="980" w:name="_Toc31434"/>
      <w:bookmarkStart w:id="981" w:name="_Toc3580"/>
      <w:bookmarkStart w:id="982" w:name="_Toc4206"/>
      <w:bookmarkStart w:id="983" w:name="_Toc29575"/>
      <w:bookmarkStart w:id="984" w:name="_Toc31402"/>
      <w:bookmarkStart w:id="985" w:name="_Toc754"/>
      <w:r>
        <w:rPr>
          <w:rFonts w:hint="eastAsia"/>
          <w:highlight w:val="none"/>
        </w:rPr>
        <w:t>投标文件格式</w:t>
      </w:r>
      <w:bookmarkEnd w:id="978"/>
      <w:bookmarkEnd w:id="979"/>
      <w:bookmarkEnd w:id="980"/>
      <w:bookmarkEnd w:id="981"/>
      <w:bookmarkEnd w:id="982"/>
      <w:bookmarkEnd w:id="983"/>
      <w:bookmarkEnd w:id="984"/>
      <w:bookmarkEnd w:id="985"/>
    </w:p>
    <w:p>
      <w:pPr>
        <w:pStyle w:val="50"/>
        <w:ind w:firstLine="480"/>
        <w:rPr>
          <w:highlight w:val="none"/>
        </w:rPr>
      </w:pPr>
      <w:bookmarkStart w:id="986" w:name="_Toc294688711"/>
      <w:bookmarkStart w:id="987" w:name="_Toc316462354"/>
      <w:bookmarkStart w:id="988" w:name="_Toc287367101"/>
      <w:bookmarkStart w:id="989" w:name="_Toc16460"/>
      <w:bookmarkStart w:id="990" w:name="_Toc182629023"/>
      <w:bookmarkStart w:id="991" w:name="_Toc295978802"/>
      <w:bookmarkStart w:id="992" w:name="_Toc439161746"/>
      <w:bookmarkStart w:id="993" w:name="_Toc211218954"/>
      <w:bookmarkStart w:id="994" w:name="_Toc294701519"/>
      <w:bookmarkStart w:id="995" w:name="_Toc182759327"/>
      <w:r>
        <w:rPr>
          <w:rFonts w:hint="eastAsia"/>
          <w:highlight w:val="none"/>
        </w:rPr>
        <w:t>一、本章所制投标文件格式，除格式中明确将该格式作为实质性要求的，一律不具有强制性。</w:t>
      </w:r>
    </w:p>
    <w:p>
      <w:pPr>
        <w:pStyle w:val="50"/>
        <w:ind w:firstLine="480"/>
        <w:rPr>
          <w:highlight w:val="none"/>
        </w:rPr>
      </w:pPr>
      <w:r>
        <w:rPr>
          <w:rFonts w:hint="eastAsia"/>
          <w:highlight w:val="none"/>
        </w:rPr>
        <w:t>二、本章所制投标文件格式有关表格中的备注栏，由投标人根据自身投标情况作解释性说明，不作为必填项。</w:t>
      </w:r>
    </w:p>
    <w:p>
      <w:pPr>
        <w:pStyle w:val="50"/>
        <w:ind w:firstLine="480"/>
        <w:rPr>
          <w:highlight w:val="none"/>
        </w:rPr>
      </w:pPr>
      <w:r>
        <w:rPr>
          <w:rFonts w:hint="eastAsia"/>
          <w:highlight w:val="none"/>
        </w:rPr>
        <w:t>三、本章格式中“注”的内容，供应商可自行决定是否保留在投标文件中，未保留的视为供应商默认接受“注”的内容。</w:t>
      </w:r>
    </w:p>
    <w:p>
      <w:pPr>
        <w:pStyle w:val="50"/>
        <w:ind w:firstLine="480"/>
        <w:rPr>
          <w:highlight w:val="none"/>
        </w:rPr>
      </w:pPr>
      <w:r>
        <w:rPr>
          <w:rFonts w:hint="eastAsia"/>
          <w:highlight w:val="none"/>
        </w:rPr>
        <w:t>四、本章所制投标文件格式中需要填写的相关内容事项，可能会与本采购项目无关，在不改变投标文件原义、不影响本项目采购需求的情况下，投标人可以不予填写，但应当注明。</w:t>
      </w:r>
    </w:p>
    <w:p>
      <w:pPr>
        <w:pStyle w:val="42"/>
        <w:rPr>
          <w:highlight w:val="none"/>
        </w:rPr>
      </w:pPr>
      <w:r>
        <w:rPr>
          <w:rFonts w:hint="eastAsia"/>
          <w:highlight w:val="none"/>
        </w:rPr>
        <w:br w:type="page"/>
      </w:r>
    </w:p>
    <w:p>
      <w:pPr>
        <w:pStyle w:val="33"/>
        <w:rPr>
          <w:highlight w:val="none"/>
        </w:rPr>
      </w:pPr>
      <w:r>
        <w:rPr>
          <w:rFonts w:hint="eastAsia"/>
          <w:highlight w:val="none"/>
        </w:rPr>
        <w:t>附件：密封袋的格式</w:t>
      </w:r>
    </w:p>
    <w:p>
      <w:pPr>
        <w:pStyle w:val="33"/>
        <w:rPr>
          <w:highlight w:val="none"/>
        </w:rPr>
      </w:pPr>
    </w:p>
    <w:p>
      <w:pPr>
        <w:pStyle w:val="33"/>
        <w:rPr>
          <w:highlight w:val="none"/>
        </w:rPr>
      </w:pPr>
    </w:p>
    <w:p>
      <w:pPr>
        <w:pStyle w:val="33"/>
        <w:rPr>
          <w:highlight w:val="none"/>
        </w:rPr>
      </w:pPr>
    </w:p>
    <w:tbl>
      <w:tblPr>
        <w:tblStyle w:val="23"/>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3"/>
              <w:rPr>
                <w:highlight w:val="none"/>
              </w:rPr>
            </w:pPr>
          </w:p>
          <w:p>
            <w:pPr>
              <w:pStyle w:val="33"/>
              <w:ind w:left="2400" w:leftChars="1000"/>
              <w:rPr>
                <w:highlight w:val="none"/>
              </w:rPr>
            </w:pPr>
            <w:r>
              <w:rPr>
                <w:rFonts w:hint="eastAsia"/>
                <w:highlight w:val="none"/>
              </w:rPr>
              <w:t>项目编号：</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pStyle w:val="33"/>
              <w:ind w:left="2400" w:leftChars="1000"/>
              <w:rPr>
                <w:highlight w:val="none"/>
              </w:rPr>
            </w:pPr>
            <w:r>
              <w:rPr>
                <w:rFonts w:hint="eastAsia"/>
                <w:highlight w:val="none"/>
              </w:rPr>
              <w:t>项目名称：</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pStyle w:val="33"/>
              <w:ind w:left="2400" w:leftChars="1000"/>
              <w:rPr>
                <w:highlight w:val="none"/>
              </w:rPr>
            </w:pPr>
          </w:p>
          <w:p>
            <w:pPr>
              <w:pStyle w:val="33"/>
              <w:rPr>
                <w:highlight w:val="none"/>
              </w:rPr>
            </w:pPr>
          </w:p>
          <w:p>
            <w:pPr>
              <w:pStyle w:val="33"/>
              <w:jc w:val="center"/>
              <w:rPr>
                <w:b/>
                <w:bCs/>
                <w:sz w:val="32"/>
                <w:szCs w:val="32"/>
                <w:highlight w:val="none"/>
              </w:rPr>
            </w:pPr>
            <w:r>
              <w:rPr>
                <w:rFonts w:hint="eastAsia"/>
                <w:b/>
                <w:bCs/>
                <w:sz w:val="32"/>
                <w:szCs w:val="32"/>
                <w:highlight w:val="none"/>
              </w:rPr>
              <w:t>资格、资质性及其他类似效力投标文件/其他投标文件</w:t>
            </w:r>
          </w:p>
          <w:p>
            <w:pPr>
              <w:pStyle w:val="33"/>
              <w:jc w:val="center"/>
              <w:rPr>
                <w:b/>
                <w:bCs/>
                <w:sz w:val="32"/>
                <w:szCs w:val="32"/>
                <w:highlight w:val="none"/>
              </w:rPr>
            </w:pPr>
            <w:r>
              <w:rPr>
                <w:rFonts w:hint="eastAsia"/>
                <w:b/>
                <w:bCs/>
                <w:sz w:val="32"/>
                <w:szCs w:val="32"/>
                <w:highlight w:val="none"/>
              </w:rPr>
              <w:t>/开标一览表</w:t>
            </w:r>
          </w:p>
          <w:p>
            <w:pPr>
              <w:pStyle w:val="33"/>
              <w:rPr>
                <w:highlight w:val="none"/>
              </w:rPr>
            </w:pPr>
          </w:p>
          <w:p>
            <w:pPr>
              <w:pStyle w:val="33"/>
              <w:ind w:left="2400" w:leftChars="1000"/>
              <w:rPr>
                <w:highlight w:val="none"/>
              </w:rPr>
            </w:pPr>
            <w:r>
              <w:rPr>
                <w:rFonts w:hint="eastAsia"/>
                <w:highlight w:val="none"/>
              </w:rPr>
              <w:t>投标人名称：</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pStyle w:val="33"/>
              <w:ind w:left="2400" w:leftChars="1000"/>
              <w:rPr>
                <w:highlight w:val="none"/>
              </w:rPr>
            </w:pPr>
            <w:r>
              <w:rPr>
                <w:rFonts w:hint="eastAsia"/>
                <w:highlight w:val="none"/>
              </w:rPr>
              <w:t>投标日期：</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pStyle w:val="33"/>
              <w:rPr>
                <w:highlight w:val="none"/>
              </w:rPr>
            </w:pPr>
          </w:p>
        </w:tc>
      </w:tr>
    </w:tbl>
    <w:p>
      <w:pPr>
        <w:pStyle w:val="33"/>
        <w:rPr>
          <w:highlight w:val="none"/>
        </w:rPr>
      </w:pPr>
      <w:bookmarkStart w:id="996" w:name="_Toc11581"/>
      <w:bookmarkStart w:id="997" w:name="_Toc6994"/>
      <w:r>
        <w:rPr>
          <w:rFonts w:hint="eastAsia"/>
          <w:highlight w:val="none"/>
        </w:rPr>
        <w:br w:type="page"/>
      </w:r>
    </w:p>
    <w:p>
      <w:pPr>
        <w:pStyle w:val="33"/>
        <w:rPr>
          <w:highlight w:val="none"/>
        </w:rPr>
      </w:pPr>
      <w:r>
        <w:rPr>
          <w:rFonts w:hint="eastAsia"/>
          <w:highlight w:val="none"/>
        </w:rPr>
        <w:t>投标文件封面格式</w:t>
      </w:r>
      <w:bookmarkEnd w:id="986"/>
      <w:bookmarkEnd w:id="987"/>
      <w:bookmarkEnd w:id="988"/>
      <w:bookmarkEnd w:id="989"/>
      <w:bookmarkEnd w:id="990"/>
      <w:bookmarkEnd w:id="991"/>
      <w:bookmarkEnd w:id="992"/>
      <w:bookmarkEnd w:id="993"/>
      <w:bookmarkEnd w:id="994"/>
      <w:bookmarkEnd w:id="995"/>
      <w:bookmarkEnd w:id="996"/>
      <w:bookmarkEnd w:id="997"/>
    </w:p>
    <w:p>
      <w:pPr>
        <w:pStyle w:val="33"/>
        <w:rPr>
          <w:highlight w:val="none"/>
        </w:rPr>
      </w:pPr>
      <w:r>
        <w:rPr>
          <w:rFonts w:hint="eastAsia"/>
          <w:highlight w:val="none"/>
        </w:rPr>
        <mc:AlternateContent>
          <mc:Choice Requires="wps">
            <w:drawing>
              <wp:anchor distT="0" distB="0" distL="114300" distR="114300" simplePos="0" relativeHeight="251662336" behindDoc="0" locked="0" layoutInCell="1" allowOverlap="1">
                <wp:simplePos x="0" y="0"/>
                <wp:positionH relativeFrom="column">
                  <wp:posOffset>4055745</wp:posOffset>
                </wp:positionH>
                <wp:positionV relativeFrom="paragraph">
                  <wp:posOffset>169545</wp:posOffset>
                </wp:positionV>
                <wp:extent cx="1137285" cy="65913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659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51.9pt;width:89.55pt;z-index:251662336;mso-width-relative:page;mso-height-relative:page;" fillcolor="#FFFFFF" filled="t" stroked="t" coordsize="21600,21600" o:gfxdata="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df1H1wAAAAoBAAAPAAAAAAAAAAEAIAAA&#10;ACIAAABkcnMvZG93bnJldi54bWxQSwECFAAUAAAACACHTuJAtwNaNQ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3"/>
        <w:rPr>
          <w:highlight w:val="none"/>
        </w:rPr>
      </w:pPr>
    </w:p>
    <w:p>
      <w:pPr>
        <w:pStyle w:val="33"/>
        <w:rPr>
          <w:highlight w:val="none"/>
        </w:rPr>
      </w:pPr>
    </w:p>
    <w:p>
      <w:pPr>
        <w:pStyle w:val="33"/>
        <w:rPr>
          <w:highlight w:val="none"/>
        </w:rPr>
      </w:pPr>
    </w:p>
    <w:p>
      <w:pPr>
        <w:pStyle w:val="33"/>
        <w:spacing w:line="360" w:lineRule="auto"/>
        <w:jc w:val="center"/>
        <w:rPr>
          <w:b/>
          <w:bCs/>
          <w:sz w:val="48"/>
          <w:szCs w:val="48"/>
          <w:highlight w:val="none"/>
        </w:rPr>
      </w:pPr>
    </w:p>
    <w:p>
      <w:pPr>
        <w:pStyle w:val="33"/>
        <w:spacing w:line="360" w:lineRule="auto"/>
        <w:jc w:val="center"/>
        <w:rPr>
          <w:b/>
          <w:bCs/>
          <w:sz w:val="48"/>
          <w:szCs w:val="48"/>
          <w:highlight w:val="none"/>
        </w:rPr>
      </w:pPr>
      <w:r>
        <w:rPr>
          <w:rFonts w:hint="eastAsia"/>
          <w:b/>
          <w:bCs/>
          <w:sz w:val="48"/>
          <w:szCs w:val="48"/>
          <w:highlight w:val="none"/>
        </w:rPr>
        <w:t>资格、资质性及其他类似效力投标文件</w:t>
      </w:r>
    </w:p>
    <w:p>
      <w:pPr>
        <w:pStyle w:val="33"/>
        <w:spacing w:line="360" w:lineRule="auto"/>
        <w:jc w:val="center"/>
        <w:rPr>
          <w:b/>
          <w:bCs/>
          <w:sz w:val="48"/>
          <w:szCs w:val="48"/>
          <w:highlight w:val="none"/>
        </w:rPr>
      </w:pPr>
      <w:r>
        <w:rPr>
          <w:rFonts w:hint="eastAsia"/>
          <w:b/>
          <w:bCs/>
          <w:sz w:val="48"/>
          <w:szCs w:val="48"/>
          <w:highlight w:val="none"/>
        </w:rPr>
        <w:t>/其他投标文件</w:t>
      </w:r>
    </w:p>
    <w:p>
      <w:pPr>
        <w:pStyle w:val="33"/>
        <w:rPr>
          <w:highlight w:val="none"/>
        </w:rPr>
      </w:pPr>
    </w:p>
    <w:p>
      <w:pPr>
        <w:pStyle w:val="33"/>
        <w:spacing w:line="480" w:lineRule="auto"/>
        <w:ind w:left="2400" w:leftChars="1000"/>
        <w:rPr>
          <w:b/>
          <w:bCs/>
          <w:sz w:val="32"/>
          <w:szCs w:val="32"/>
          <w:highlight w:val="none"/>
        </w:rPr>
      </w:pPr>
    </w:p>
    <w:p>
      <w:pPr>
        <w:pStyle w:val="33"/>
        <w:spacing w:line="480" w:lineRule="auto"/>
        <w:ind w:left="2400" w:leftChars="1000"/>
        <w:rPr>
          <w:b/>
          <w:bCs/>
          <w:sz w:val="32"/>
          <w:szCs w:val="32"/>
          <w:highlight w:val="none"/>
        </w:rPr>
      </w:pPr>
    </w:p>
    <w:p>
      <w:pPr>
        <w:pStyle w:val="33"/>
        <w:spacing w:line="480" w:lineRule="auto"/>
        <w:ind w:left="2400" w:leftChars="1000"/>
        <w:rPr>
          <w:b/>
          <w:bCs/>
          <w:sz w:val="32"/>
          <w:szCs w:val="32"/>
          <w:highlight w:val="none"/>
        </w:rPr>
      </w:pPr>
    </w:p>
    <w:p>
      <w:pPr>
        <w:pStyle w:val="33"/>
        <w:spacing w:line="480" w:lineRule="auto"/>
        <w:ind w:left="2400" w:leftChars="1000"/>
        <w:rPr>
          <w:b/>
          <w:bCs/>
          <w:sz w:val="32"/>
          <w:szCs w:val="32"/>
          <w:highlight w:val="none"/>
        </w:rPr>
      </w:pPr>
      <w:r>
        <w:rPr>
          <w:rFonts w:hint="eastAsia"/>
          <w:b/>
          <w:bCs/>
          <w:sz w:val="32"/>
          <w:szCs w:val="32"/>
          <w:highlight w:val="none"/>
        </w:rPr>
        <w:t>项目名称：</w:t>
      </w:r>
      <w:r>
        <w:rPr>
          <w:rFonts w:hint="eastAsia" w:asciiTheme="minorEastAsia" w:hAnsiTheme="minorEastAsia" w:eastAsiaTheme="minorEastAsia" w:cstheme="minorEastAsia"/>
          <w:b/>
          <w:bCs/>
          <w:sz w:val="32"/>
          <w:szCs w:val="32"/>
          <w:highlight w:val="none"/>
          <w:u w:val="single"/>
        </w:rPr>
        <w:t xml:space="preserve">                    </w:t>
      </w:r>
      <w:r>
        <w:rPr>
          <w:rFonts w:hint="eastAsia"/>
          <w:b/>
          <w:bCs/>
          <w:sz w:val="32"/>
          <w:szCs w:val="32"/>
          <w:highlight w:val="none"/>
        </w:rPr>
        <w:t xml:space="preserve">                      </w:t>
      </w:r>
    </w:p>
    <w:p>
      <w:pPr>
        <w:pStyle w:val="33"/>
        <w:spacing w:line="480" w:lineRule="auto"/>
        <w:ind w:left="2400" w:leftChars="1000"/>
        <w:rPr>
          <w:b/>
          <w:bCs/>
          <w:sz w:val="32"/>
          <w:szCs w:val="32"/>
          <w:highlight w:val="none"/>
        </w:rPr>
      </w:pPr>
      <w:r>
        <w:rPr>
          <w:rFonts w:hint="eastAsia"/>
          <w:b/>
          <w:bCs/>
          <w:sz w:val="32"/>
          <w:szCs w:val="32"/>
          <w:highlight w:val="none"/>
        </w:rPr>
        <w:t>项目编号：</w:t>
      </w:r>
      <w:r>
        <w:rPr>
          <w:rFonts w:hint="eastAsia" w:asciiTheme="minorEastAsia" w:hAnsiTheme="minorEastAsia" w:eastAsiaTheme="minorEastAsia" w:cstheme="minorEastAsia"/>
          <w:b/>
          <w:bCs/>
          <w:sz w:val="32"/>
          <w:szCs w:val="32"/>
          <w:highlight w:val="none"/>
          <w:u w:val="single"/>
        </w:rPr>
        <w:t xml:space="preserve">                    </w:t>
      </w:r>
      <w:r>
        <w:rPr>
          <w:rFonts w:hint="eastAsia"/>
          <w:b/>
          <w:bCs/>
          <w:sz w:val="32"/>
          <w:szCs w:val="32"/>
          <w:highlight w:val="none"/>
        </w:rPr>
        <w:t xml:space="preserve">                      </w:t>
      </w:r>
    </w:p>
    <w:p>
      <w:pPr>
        <w:pStyle w:val="33"/>
        <w:spacing w:line="480" w:lineRule="auto"/>
        <w:ind w:left="2400" w:leftChars="1000"/>
        <w:rPr>
          <w:b/>
          <w:bCs/>
          <w:sz w:val="32"/>
          <w:szCs w:val="32"/>
          <w:highlight w:val="none"/>
        </w:rPr>
      </w:pPr>
      <w:r>
        <w:rPr>
          <w:rFonts w:hint="eastAsia"/>
          <w:b/>
          <w:bCs/>
          <w:sz w:val="32"/>
          <w:szCs w:val="32"/>
          <w:highlight w:val="none"/>
        </w:rPr>
        <w:t>投标人名称：</w:t>
      </w:r>
      <w:r>
        <w:rPr>
          <w:rFonts w:hint="eastAsia" w:asciiTheme="minorEastAsia" w:hAnsiTheme="minorEastAsia" w:eastAsiaTheme="minorEastAsia" w:cstheme="minorEastAsia"/>
          <w:b/>
          <w:bCs/>
          <w:sz w:val="32"/>
          <w:szCs w:val="32"/>
          <w:highlight w:val="none"/>
          <w:u w:val="single"/>
        </w:rPr>
        <w:t xml:space="preserve">                  </w:t>
      </w:r>
      <w:r>
        <w:rPr>
          <w:rFonts w:hint="eastAsia"/>
          <w:b/>
          <w:bCs/>
          <w:sz w:val="32"/>
          <w:szCs w:val="32"/>
          <w:highlight w:val="none"/>
        </w:rPr>
        <w:t xml:space="preserve">                </w:t>
      </w:r>
    </w:p>
    <w:p>
      <w:pPr>
        <w:pStyle w:val="33"/>
        <w:spacing w:line="480" w:lineRule="auto"/>
        <w:ind w:left="2400" w:leftChars="1000"/>
        <w:rPr>
          <w:b/>
          <w:bCs/>
          <w:sz w:val="32"/>
          <w:szCs w:val="32"/>
          <w:highlight w:val="none"/>
        </w:rPr>
      </w:pPr>
      <w:r>
        <w:rPr>
          <w:rFonts w:hint="eastAsia"/>
          <w:b/>
          <w:bCs/>
          <w:sz w:val="32"/>
          <w:szCs w:val="32"/>
          <w:highlight w:val="none"/>
        </w:rPr>
        <w:t>投标日期：</w:t>
      </w:r>
      <w:r>
        <w:rPr>
          <w:rFonts w:hint="eastAsia"/>
          <w:b/>
          <w:bCs/>
          <w:sz w:val="32"/>
          <w:szCs w:val="32"/>
          <w:highlight w:val="none"/>
          <w:u w:val="single"/>
        </w:rPr>
        <w:t xml:space="preserve">      </w:t>
      </w:r>
      <w:r>
        <w:rPr>
          <w:rFonts w:hint="eastAsia"/>
          <w:b/>
          <w:bCs/>
          <w:sz w:val="32"/>
          <w:szCs w:val="32"/>
          <w:highlight w:val="none"/>
        </w:rPr>
        <w:t>年</w:t>
      </w:r>
      <w:r>
        <w:rPr>
          <w:rFonts w:hint="eastAsia"/>
          <w:b/>
          <w:bCs/>
          <w:sz w:val="32"/>
          <w:szCs w:val="32"/>
          <w:highlight w:val="none"/>
          <w:u w:val="single"/>
        </w:rPr>
        <w:t xml:space="preserve">    </w:t>
      </w:r>
      <w:r>
        <w:rPr>
          <w:rFonts w:hint="eastAsia"/>
          <w:b/>
          <w:bCs/>
          <w:sz w:val="32"/>
          <w:szCs w:val="32"/>
          <w:highlight w:val="none"/>
        </w:rPr>
        <w:t>月</w:t>
      </w:r>
      <w:r>
        <w:rPr>
          <w:rFonts w:hint="eastAsia"/>
          <w:b/>
          <w:bCs/>
          <w:sz w:val="32"/>
          <w:szCs w:val="32"/>
          <w:highlight w:val="none"/>
          <w:u w:val="single"/>
        </w:rPr>
        <w:t xml:space="preserve">    </w:t>
      </w:r>
      <w:r>
        <w:rPr>
          <w:rFonts w:hint="eastAsia"/>
          <w:b/>
          <w:bCs/>
          <w:sz w:val="32"/>
          <w:szCs w:val="32"/>
          <w:highlight w:val="none"/>
        </w:rPr>
        <w:t>日</w:t>
      </w:r>
    </w:p>
    <w:p>
      <w:pPr>
        <w:pStyle w:val="42"/>
        <w:rPr>
          <w:highlight w:val="none"/>
        </w:rPr>
      </w:pPr>
      <w:bookmarkStart w:id="998" w:name="_Toc31011"/>
      <w:bookmarkStart w:id="999" w:name="_Toc11556"/>
      <w:bookmarkStart w:id="1000" w:name="_Toc5565"/>
      <w:bookmarkStart w:id="1001" w:name="_Toc5306"/>
      <w:r>
        <w:rPr>
          <w:rFonts w:hint="eastAsia"/>
          <w:highlight w:val="none"/>
        </w:rPr>
        <w:br w:type="page"/>
      </w:r>
    </w:p>
    <w:bookmarkEnd w:id="998"/>
    <w:bookmarkEnd w:id="999"/>
    <w:bookmarkEnd w:id="1000"/>
    <w:bookmarkEnd w:id="1001"/>
    <w:p>
      <w:pPr>
        <w:pStyle w:val="42"/>
        <w:rPr>
          <w:highlight w:val="none"/>
        </w:rPr>
      </w:pPr>
      <w:bookmarkStart w:id="1002" w:name="_Toc15611"/>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bookmarkStart w:id="1003" w:name="_Toc24630"/>
    </w:p>
    <w:p>
      <w:pPr>
        <w:pStyle w:val="42"/>
        <w:rPr>
          <w:highlight w:val="none"/>
        </w:rPr>
      </w:pPr>
    </w:p>
    <w:p>
      <w:pPr>
        <w:pStyle w:val="42"/>
        <w:rPr>
          <w:highlight w:val="none"/>
        </w:rPr>
      </w:pPr>
    </w:p>
    <w:p>
      <w:pPr>
        <w:pStyle w:val="42"/>
        <w:rPr>
          <w:highlight w:val="none"/>
        </w:rPr>
      </w:pPr>
    </w:p>
    <w:p>
      <w:pPr>
        <w:pStyle w:val="42"/>
        <w:rPr>
          <w:highlight w:val="none"/>
        </w:rPr>
      </w:pPr>
    </w:p>
    <w:p>
      <w:pPr>
        <w:pStyle w:val="34"/>
        <w:numPr>
          <w:ilvl w:val="1"/>
          <w:numId w:val="0"/>
        </w:numPr>
        <w:spacing w:before="480" w:beforeLines="200"/>
        <w:jc w:val="center"/>
        <w:rPr>
          <w:sz w:val="32"/>
          <w:szCs w:val="32"/>
          <w:highlight w:val="none"/>
        </w:rPr>
      </w:pPr>
      <w:bookmarkStart w:id="1004" w:name="_Toc14573"/>
      <w:bookmarkStart w:id="1005" w:name="_Toc16733"/>
      <w:bookmarkStart w:id="1006" w:name="_Toc3158"/>
      <w:bookmarkStart w:id="1007" w:name="_Toc16900"/>
      <w:r>
        <w:rPr>
          <w:rFonts w:hint="eastAsia"/>
          <w:sz w:val="32"/>
          <w:szCs w:val="32"/>
          <w:highlight w:val="none"/>
        </w:rPr>
        <w:t>第一部分 资格、资质性及其他类似效力投标文件(格式)</w:t>
      </w:r>
      <w:bookmarkEnd w:id="1002"/>
      <w:bookmarkEnd w:id="1003"/>
      <w:bookmarkEnd w:id="1004"/>
      <w:bookmarkEnd w:id="1005"/>
      <w:bookmarkEnd w:id="1006"/>
      <w:bookmarkEnd w:id="1007"/>
      <w:bookmarkStart w:id="1008" w:name="_Toc16168"/>
      <w:bookmarkStart w:id="1009" w:name="_Toc23537"/>
    </w:p>
    <w:p>
      <w:pPr>
        <w:pStyle w:val="42"/>
        <w:rPr>
          <w:highlight w:val="none"/>
        </w:rPr>
      </w:pPr>
      <w:r>
        <w:rPr>
          <w:rFonts w:hint="eastAsia"/>
          <w:highlight w:val="none"/>
        </w:rPr>
        <w:br w:type="page"/>
      </w:r>
      <w:bookmarkEnd w:id="1008"/>
      <w:bookmarkEnd w:id="1009"/>
      <w:bookmarkStart w:id="1010" w:name="_Toc4996"/>
      <w:bookmarkStart w:id="1011" w:name="_Toc26837"/>
    </w:p>
    <w:bookmarkEnd w:id="1010"/>
    <w:bookmarkEnd w:id="1011"/>
    <w:p>
      <w:pPr>
        <w:pStyle w:val="44"/>
        <w:numPr>
          <w:ilvl w:val="0"/>
          <w:numId w:val="18"/>
        </w:numPr>
        <w:spacing w:before="120" w:after="120"/>
        <w:ind w:firstLine="0"/>
        <w:rPr>
          <w:highlight w:val="none"/>
        </w:rPr>
      </w:pPr>
      <w:bookmarkStart w:id="1012" w:name="_Toc22009"/>
      <w:bookmarkStart w:id="1013" w:name="_Toc31430"/>
      <w:bookmarkStart w:id="1014" w:name="_Toc17004"/>
      <w:bookmarkStart w:id="1015" w:name="_Toc527"/>
      <w:bookmarkStart w:id="1016" w:name="_Toc10470"/>
      <w:bookmarkStart w:id="1017" w:name="_Toc15054"/>
      <w:bookmarkStart w:id="1018" w:name="_Toc19166"/>
      <w:bookmarkStart w:id="1019" w:name="_Toc4865"/>
      <w:r>
        <w:rPr>
          <w:rFonts w:hint="eastAsia"/>
          <w:highlight w:val="none"/>
        </w:rPr>
        <w:t>法定代表人/单位负责人授权书</w:t>
      </w:r>
      <w:bookmarkEnd w:id="1012"/>
      <w:bookmarkEnd w:id="1013"/>
      <w:bookmarkEnd w:id="1014"/>
      <w:bookmarkEnd w:id="1015"/>
      <w:bookmarkEnd w:id="1016"/>
    </w:p>
    <w:p>
      <w:pPr>
        <w:pStyle w:val="42"/>
        <w:rPr>
          <w:highlight w:val="none"/>
        </w:rPr>
      </w:pPr>
      <w:r>
        <w:rPr>
          <w:rFonts w:hint="eastAsia" w:asciiTheme="minorEastAsia" w:hAnsiTheme="minorEastAsia" w:eastAsiaTheme="minorEastAsia" w:cstheme="minorEastAsia"/>
          <w:highlight w:val="none"/>
          <w:u w:val="single"/>
        </w:rPr>
        <w:t xml:space="preserve">                     </w:t>
      </w:r>
      <w:r>
        <w:rPr>
          <w:rFonts w:hint="eastAsia"/>
          <w:highlight w:val="none"/>
        </w:rPr>
        <w:t>(采购代理机构名称)：</w:t>
      </w:r>
    </w:p>
    <w:p>
      <w:pPr>
        <w:pStyle w:val="46"/>
        <w:rPr>
          <w:highlight w:val="none"/>
        </w:rPr>
      </w:pPr>
      <w:r>
        <w:rPr>
          <w:rFonts w:hint="eastAsia"/>
          <w:highlight w:val="none"/>
        </w:rPr>
        <w:t>本授权声明：</w:t>
      </w:r>
      <w:r>
        <w:rPr>
          <w:rFonts w:hint="eastAsia" w:asciiTheme="minorEastAsia" w:hAnsiTheme="minorEastAsia" w:eastAsiaTheme="minorEastAsia" w:cstheme="minorEastAsia"/>
          <w:highlight w:val="none"/>
          <w:u w:val="single"/>
        </w:rPr>
        <w:t xml:space="preserve">                     </w:t>
      </w:r>
      <w:r>
        <w:rPr>
          <w:rFonts w:hint="eastAsia"/>
          <w:highlight w:val="none"/>
        </w:rPr>
        <w:t>(投标人名称)</w:t>
      </w:r>
      <w:r>
        <w:rPr>
          <w:rFonts w:hint="eastAsia" w:asciiTheme="minorEastAsia" w:hAnsiTheme="minorEastAsia" w:eastAsiaTheme="minorEastAsia" w:cstheme="minorEastAsia"/>
          <w:highlight w:val="none"/>
          <w:u w:val="single"/>
        </w:rPr>
        <w:t xml:space="preserve">          </w:t>
      </w:r>
      <w:r>
        <w:rPr>
          <w:rFonts w:hint="eastAsia"/>
          <w:highlight w:val="none"/>
        </w:rPr>
        <w:t>(法定代表人/单位负责人姓名、职务)授权</w:t>
      </w:r>
      <w:r>
        <w:rPr>
          <w:rFonts w:hint="eastAsia" w:asciiTheme="minorEastAsia" w:hAnsiTheme="minorEastAsia" w:eastAsiaTheme="minorEastAsia" w:cstheme="minorEastAsia"/>
          <w:highlight w:val="none"/>
          <w:u w:val="single"/>
        </w:rPr>
        <w:t xml:space="preserve">                        </w:t>
      </w:r>
      <w:r>
        <w:rPr>
          <w:rFonts w:hint="eastAsia"/>
          <w:highlight w:val="none"/>
        </w:rPr>
        <w:t>(被授权人姓名、职务、身份证号码)为我方参加“</w:t>
      </w:r>
      <w:r>
        <w:rPr>
          <w:rFonts w:hint="eastAsia" w:asciiTheme="minorEastAsia" w:hAnsiTheme="minorEastAsia" w:eastAsiaTheme="minorEastAsia" w:cstheme="minorEastAsia"/>
          <w:highlight w:val="none"/>
          <w:u w:val="single"/>
        </w:rPr>
        <w:t xml:space="preserve">                     </w:t>
      </w:r>
      <w:r>
        <w:rPr>
          <w:rFonts w:hint="eastAsia"/>
          <w:highlight w:val="none"/>
        </w:rPr>
        <w:t>(项目名称)(项目编号：</w:t>
      </w:r>
      <w:r>
        <w:rPr>
          <w:rFonts w:hint="eastAsia" w:asciiTheme="minorEastAsia" w:hAnsiTheme="minorEastAsia" w:eastAsiaTheme="minorEastAsia" w:cstheme="minorEastAsia"/>
          <w:highlight w:val="none"/>
          <w:u w:val="single"/>
        </w:rPr>
        <w:t xml:space="preserve">           </w:t>
      </w:r>
      <w:r>
        <w:rPr>
          <w:rFonts w:hint="eastAsia"/>
          <w:highlight w:val="none"/>
        </w:rPr>
        <w:t>)”投标活动的合法代表，以我方名义全权处理该项目有关投标、签订合同以及执行合同等一切事宜，我单位均予承认，所产生的法律后果均由我单位承担。</w:t>
      </w:r>
    </w:p>
    <w:p>
      <w:pPr>
        <w:pStyle w:val="46"/>
        <w:rPr>
          <w:highlight w:val="none"/>
        </w:rPr>
      </w:pPr>
      <w:r>
        <w:rPr>
          <w:rFonts w:hint="eastAsia"/>
          <w:highlight w:val="none"/>
        </w:rPr>
        <w:t>特此声明。</w:t>
      </w: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6"/>
        <w:rPr>
          <w:highlight w:val="none"/>
        </w:rPr>
      </w:pPr>
      <w:r>
        <w:rPr>
          <w:rFonts w:hint="eastAsia"/>
          <w:highlight w:val="none"/>
        </w:rPr>
        <w:t>法定代表人/单位负责人：</w:t>
      </w:r>
      <w:r>
        <w:rPr>
          <w:rFonts w:hint="eastAsia" w:asciiTheme="minorEastAsia" w:hAnsiTheme="minorEastAsia" w:eastAsiaTheme="minorEastAsia" w:cstheme="minorEastAsia"/>
          <w:highlight w:val="none"/>
          <w:u w:val="single"/>
        </w:rPr>
        <w:t xml:space="preserve">             </w:t>
      </w:r>
      <w:r>
        <w:rPr>
          <w:rFonts w:hint="eastAsia"/>
          <w:highlight w:val="none"/>
        </w:rPr>
        <w:t>(签字或盖章)</w:t>
      </w:r>
    </w:p>
    <w:p>
      <w:pPr>
        <w:pStyle w:val="46"/>
        <w:rPr>
          <w:highlight w:val="none"/>
        </w:rPr>
      </w:pPr>
      <w:r>
        <w:rPr>
          <w:rFonts w:hint="eastAsia"/>
          <w:highlight w:val="none"/>
        </w:rPr>
        <w:t>授权代表：</w:t>
      </w:r>
      <w:r>
        <w:rPr>
          <w:rFonts w:hint="eastAsia" w:asciiTheme="minorEastAsia" w:hAnsiTheme="minorEastAsia" w:eastAsiaTheme="minorEastAsia" w:cstheme="minorEastAsia"/>
          <w:highlight w:val="none"/>
          <w:u w:val="single"/>
        </w:rPr>
        <w:t xml:space="preserve">             </w:t>
      </w:r>
      <w:r>
        <w:rPr>
          <w:rFonts w:hint="eastAsia"/>
          <w:highlight w:val="none"/>
        </w:rPr>
        <w:t>(签字或盖章)</w:t>
      </w:r>
    </w:p>
    <w:p>
      <w:pPr>
        <w:pStyle w:val="46"/>
        <w:rPr>
          <w:highlight w:val="none"/>
        </w:rPr>
      </w:pPr>
      <w:r>
        <w:rPr>
          <w:rFonts w:hint="eastAsia"/>
          <w:highlight w:val="none"/>
        </w:rPr>
        <w:t>投标人名称：</w:t>
      </w:r>
      <w:r>
        <w:rPr>
          <w:rFonts w:hint="eastAsia" w:asciiTheme="minorEastAsia" w:hAnsiTheme="minorEastAsia" w:eastAsiaTheme="minorEastAsia" w:cstheme="minorEastAsia"/>
          <w:highlight w:val="none"/>
          <w:u w:val="single"/>
        </w:rPr>
        <w:t xml:space="preserve">             </w:t>
      </w:r>
      <w:r>
        <w:rPr>
          <w:rFonts w:hint="eastAsia"/>
          <w:highlight w:val="none"/>
        </w:rPr>
        <w:t>(盖章)</w:t>
      </w:r>
    </w:p>
    <w:p>
      <w:pPr>
        <w:pStyle w:val="46"/>
        <w:rPr>
          <w:highlight w:val="none"/>
        </w:rPr>
      </w:pPr>
      <w:r>
        <w:rPr>
          <w:rFonts w:hint="eastAsia"/>
          <w:highlight w:val="none"/>
        </w:rPr>
        <w:t>投标日期：</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pStyle w:val="42"/>
        <w:rPr>
          <w:highlight w:val="none"/>
        </w:rPr>
      </w:pPr>
    </w:p>
    <w:p>
      <w:pPr>
        <w:pStyle w:val="47"/>
        <w:ind w:firstLine="482"/>
        <w:rPr>
          <w:highlight w:val="none"/>
        </w:rPr>
      </w:pPr>
      <w:r>
        <w:rPr>
          <w:rFonts w:hint="eastAsia"/>
          <w:highlight w:val="none"/>
        </w:rPr>
        <w:t>注：1.法定代表人/单位负责人不亲自参加投标，而授权代表参加投标的适用。</w:t>
      </w:r>
    </w:p>
    <w:p>
      <w:pPr>
        <w:pStyle w:val="47"/>
        <w:ind w:firstLine="482"/>
        <w:rPr>
          <w:highlight w:val="none"/>
        </w:rPr>
      </w:pPr>
      <w:r>
        <w:rPr>
          <w:rFonts w:hint="eastAsia"/>
          <w:highlight w:val="none"/>
        </w:rPr>
        <w:t>2.</w:t>
      </w:r>
      <w:r>
        <w:rPr>
          <w:highlight w:val="none"/>
        </w:rPr>
        <w:t>供应商为法人单位时提供“法定代表人授权书”，供应商为其他组织时提供“负责人授权书”，供应商为自然人时提供“自然人身份证明材料”。</w:t>
      </w:r>
    </w:p>
    <w:p>
      <w:pPr>
        <w:pStyle w:val="47"/>
        <w:ind w:firstLine="482"/>
        <w:rPr>
          <w:highlight w:val="none"/>
        </w:rPr>
      </w:pPr>
      <w:r>
        <w:rPr>
          <w:rFonts w:hint="eastAsia"/>
          <w:highlight w:val="none"/>
        </w:rPr>
        <w:t>3.</w:t>
      </w:r>
      <w:r>
        <w:rPr>
          <w:highlight w:val="none"/>
        </w:rPr>
        <w:t>应附法定代表人/单位负责人身份证明材料复印件和授权代表身份证明材料复印件。</w:t>
      </w:r>
    </w:p>
    <w:p>
      <w:pPr>
        <w:pStyle w:val="47"/>
        <w:ind w:firstLine="482"/>
        <w:rPr>
          <w:highlight w:val="none"/>
        </w:rPr>
      </w:pPr>
      <w:r>
        <w:rPr>
          <w:rFonts w:hint="eastAsia"/>
          <w:highlight w:val="none"/>
        </w:rPr>
        <w:t>4.</w:t>
      </w:r>
      <w:r>
        <w:rPr>
          <w:highlight w:val="none"/>
        </w:rPr>
        <w:t>身份证明材料包括居民身份证或户口本或军官证或护照等。</w:t>
      </w:r>
    </w:p>
    <w:p>
      <w:pPr>
        <w:pStyle w:val="47"/>
        <w:ind w:firstLine="482"/>
        <w:rPr>
          <w:highlight w:val="none"/>
        </w:rPr>
      </w:pPr>
      <w:r>
        <w:rPr>
          <w:rFonts w:hint="eastAsia"/>
          <w:highlight w:val="none"/>
        </w:rPr>
        <w:t>5.</w:t>
      </w:r>
      <w:r>
        <w:rPr>
          <w:highlight w:val="none"/>
        </w:rPr>
        <w:t>身份证明材料应同时提供其在有效期的材料，如居民身份证正、反面复印件</w:t>
      </w:r>
      <w:r>
        <w:rPr>
          <w:rFonts w:hint="eastAsia"/>
          <w:highlight w:val="none"/>
        </w:rPr>
        <w:t>。</w:t>
      </w:r>
    </w:p>
    <w:p>
      <w:pPr>
        <w:pStyle w:val="42"/>
        <w:rPr>
          <w:highlight w:val="none"/>
        </w:rPr>
      </w:pPr>
      <w:r>
        <w:rPr>
          <w:rFonts w:hint="eastAsia"/>
          <w:highlight w:val="none"/>
        </w:rPr>
        <w:br w:type="page"/>
      </w:r>
    </w:p>
    <w:p>
      <w:pPr>
        <w:pStyle w:val="44"/>
        <w:numPr>
          <w:ilvl w:val="0"/>
          <w:numId w:val="19"/>
        </w:numPr>
        <w:spacing w:before="120" w:after="120"/>
        <w:ind w:firstLine="0"/>
        <w:rPr>
          <w:highlight w:val="none"/>
        </w:rPr>
      </w:pPr>
      <w:bookmarkStart w:id="1020" w:name="_Toc9243"/>
      <w:bookmarkStart w:id="1021" w:name="_Toc21738"/>
      <w:bookmarkStart w:id="1022" w:name="_Toc21430"/>
      <w:bookmarkStart w:id="1023" w:name="_Toc22140"/>
      <w:bookmarkStart w:id="1024" w:name="_Toc9688"/>
      <w:bookmarkStart w:id="1025" w:name="_Toc7325"/>
      <w:bookmarkStart w:id="1026" w:name="_Toc17987"/>
      <w:bookmarkStart w:id="1027" w:name="_Toc5501"/>
      <w:bookmarkStart w:id="1028" w:name="_Toc4107"/>
      <w:r>
        <w:rPr>
          <w:rFonts w:hint="eastAsia"/>
          <w:highlight w:val="none"/>
        </w:rPr>
        <w:t>法定代表人/单位负责人证明书</w:t>
      </w:r>
      <w:bookmarkEnd w:id="1020"/>
      <w:bookmarkEnd w:id="1021"/>
      <w:bookmarkEnd w:id="1022"/>
      <w:bookmarkEnd w:id="1023"/>
      <w:bookmarkEnd w:id="1024"/>
      <w:bookmarkEnd w:id="1025"/>
      <w:bookmarkEnd w:id="1026"/>
      <w:bookmarkEnd w:id="1027"/>
      <w:bookmarkEnd w:id="1028"/>
    </w:p>
    <w:p>
      <w:pPr>
        <w:pStyle w:val="46"/>
        <w:rPr>
          <w:highlight w:val="none"/>
        </w:rPr>
      </w:pPr>
      <w:r>
        <w:rPr>
          <w:rFonts w:hint="eastAsia"/>
          <w:highlight w:val="none"/>
        </w:rPr>
        <w:t>单位名称：</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pStyle w:val="46"/>
        <w:rPr>
          <w:highlight w:val="none"/>
        </w:rPr>
      </w:pPr>
      <w:r>
        <w:rPr>
          <w:rFonts w:hint="eastAsia"/>
          <w:highlight w:val="none"/>
        </w:rPr>
        <w:t>地    址：</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pStyle w:val="46"/>
        <w:rPr>
          <w:highlight w:val="none"/>
        </w:rPr>
      </w:pPr>
      <w:r>
        <w:rPr>
          <w:rFonts w:hint="eastAsia"/>
          <w:highlight w:val="none"/>
        </w:rPr>
        <w:t>姓    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职务：</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pStyle w:val="46"/>
        <w:rPr>
          <w:highlight w:val="none"/>
        </w:rPr>
      </w:pPr>
      <w:r>
        <w:rPr>
          <w:rFonts w:hint="eastAsia"/>
          <w:highlight w:val="none"/>
        </w:rPr>
        <w:t>本人系</w:t>
      </w:r>
      <w:r>
        <w:rPr>
          <w:rFonts w:hint="eastAsia"/>
          <w:highlight w:val="none"/>
          <w:u w:val="single"/>
        </w:rPr>
        <w:t xml:space="preserve">                           </w:t>
      </w:r>
      <w:r>
        <w:rPr>
          <w:rFonts w:hint="eastAsia"/>
          <w:highlight w:val="none"/>
        </w:rPr>
        <w:t>(投标人名称)的法定代表人/单位负责人。就参加你单位组织的“</w:t>
      </w:r>
      <w:r>
        <w:rPr>
          <w:rFonts w:hint="eastAsia"/>
          <w:highlight w:val="none"/>
          <w:u w:val="single"/>
        </w:rPr>
        <w:t xml:space="preserve">             </w:t>
      </w:r>
      <w:r>
        <w:rPr>
          <w:rFonts w:hint="eastAsia"/>
          <w:highlight w:val="none"/>
        </w:rPr>
        <w:t>(项目名称)(项目编号：</w:t>
      </w:r>
      <w:r>
        <w:rPr>
          <w:rFonts w:hint="eastAsia"/>
          <w:highlight w:val="none"/>
          <w:u w:val="single"/>
        </w:rPr>
        <w:t xml:space="preserve">         </w:t>
      </w:r>
      <w:r>
        <w:rPr>
          <w:rFonts w:hint="eastAsia"/>
          <w:highlight w:val="none"/>
        </w:rPr>
        <w:t>)”的投标活动、并参与项目的投标、签订合同以及执行合同等一切事宜，我单位均予承认，所产生的法律后果均由我单位承担。</w:t>
      </w:r>
    </w:p>
    <w:p>
      <w:pPr>
        <w:pStyle w:val="46"/>
        <w:rPr>
          <w:highlight w:val="none"/>
        </w:rPr>
      </w:pPr>
      <w:r>
        <w:rPr>
          <w:rFonts w:hint="eastAsia"/>
          <w:highlight w:val="none"/>
        </w:rPr>
        <w:t>特此证明。</w:t>
      </w: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6"/>
        <w:rPr>
          <w:highlight w:val="none"/>
        </w:rPr>
      </w:pPr>
      <w:r>
        <w:rPr>
          <w:rFonts w:hint="eastAsia"/>
          <w:highlight w:val="none"/>
        </w:rPr>
        <w:t>投标人名称：</w:t>
      </w:r>
      <w:r>
        <w:rPr>
          <w:rFonts w:hint="eastAsia"/>
          <w:highlight w:val="none"/>
          <w:u w:val="single"/>
        </w:rPr>
        <w:t xml:space="preserve">             </w:t>
      </w:r>
      <w:r>
        <w:rPr>
          <w:rFonts w:hint="eastAsia"/>
          <w:highlight w:val="none"/>
        </w:rPr>
        <w:t xml:space="preserve">(盖章) </w:t>
      </w:r>
    </w:p>
    <w:p>
      <w:pPr>
        <w:pStyle w:val="46"/>
        <w:rPr>
          <w:highlight w:val="none"/>
        </w:rPr>
      </w:pPr>
      <w:r>
        <w:rPr>
          <w:rFonts w:hint="eastAsia"/>
          <w:highlight w:val="none"/>
        </w:rPr>
        <w:t>法定代表人/单位负责人：</w:t>
      </w:r>
      <w:r>
        <w:rPr>
          <w:rFonts w:hint="eastAsia"/>
          <w:highlight w:val="none"/>
          <w:u w:val="single"/>
        </w:rPr>
        <w:t xml:space="preserve">               </w:t>
      </w:r>
      <w:r>
        <w:rPr>
          <w:rFonts w:hint="eastAsia"/>
          <w:highlight w:val="none"/>
        </w:rPr>
        <w:t>(签字或盖章)</w:t>
      </w:r>
    </w:p>
    <w:p>
      <w:pPr>
        <w:pStyle w:val="46"/>
        <w:rPr>
          <w:highlight w:val="none"/>
          <w:u w:val="single"/>
        </w:rPr>
      </w:pPr>
      <w:r>
        <w:rPr>
          <w:rFonts w:hint="eastAsia"/>
          <w:highlight w:val="none"/>
        </w:rPr>
        <w:t>投标日期：</w:t>
      </w:r>
      <w:r>
        <w:rPr>
          <w:rFonts w:hint="eastAsia"/>
          <w:highlight w:val="none"/>
          <w:u w:val="single"/>
        </w:rPr>
        <w:t xml:space="preserve">             </w:t>
      </w:r>
    </w:p>
    <w:p>
      <w:pPr>
        <w:pStyle w:val="46"/>
        <w:rPr>
          <w:highlight w:val="none"/>
        </w:rPr>
      </w:pPr>
    </w:p>
    <w:p>
      <w:pPr>
        <w:pStyle w:val="47"/>
        <w:ind w:firstLine="482"/>
        <w:rPr>
          <w:highlight w:val="none"/>
        </w:rPr>
      </w:pPr>
      <w:r>
        <w:rPr>
          <w:rFonts w:hint="eastAsia"/>
          <w:highlight w:val="none"/>
        </w:rPr>
        <w:t>注：1.法定代表人</w:t>
      </w:r>
      <w:r>
        <w:rPr>
          <w:highlight w:val="none"/>
        </w:rPr>
        <w:t>/单位负责人</w:t>
      </w:r>
      <w:r>
        <w:rPr>
          <w:rFonts w:hint="eastAsia"/>
          <w:highlight w:val="none"/>
        </w:rPr>
        <w:t>亲自参加投标时适用本证明书。</w:t>
      </w:r>
    </w:p>
    <w:p>
      <w:pPr>
        <w:pStyle w:val="47"/>
        <w:ind w:firstLine="482"/>
        <w:rPr>
          <w:highlight w:val="none"/>
        </w:rPr>
      </w:pPr>
      <w:r>
        <w:rPr>
          <w:rFonts w:hint="eastAsia"/>
          <w:highlight w:val="none"/>
        </w:rPr>
        <w:t>2.</w:t>
      </w:r>
      <w:r>
        <w:rPr>
          <w:highlight w:val="none"/>
        </w:rPr>
        <w:t>应附法定代表人/单位负责人身份证明材料复印件。</w:t>
      </w:r>
    </w:p>
    <w:p>
      <w:pPr>
        <w:pStyle w:val="47"/>
        <w:ind w:firstLine="482"/>
        <w:rPr>
          <w:highlight w:val="none"/>
        </w:rPr>
      </w:pPr>
      <w:r>
        <w:rPr>
          <w:rFonts w:hint="eastAsia"/>
          <w:highlight w:val="none"/>
        </w:rPr>
        <w:t>3.</w:t>
      </w:r>
      <w:r>
        <w:rPr>
          <w:highlight w:val="none"/>
        </w:rPr>
        <w:t>身份证明材料包括居民身份证或户口本或军官证或护照等。</w:t>
      </w:r>
    </w:p>
    <w:p>
      <w:pPr>
        <w:pStyle w:val="47"/>
        <w:ind w:firstLine="482"/>
        <w:rPr>
          <w:highlight w:val="none"/>
        </w:rPr>
      </w:pPr>
      <w:r>
        <w:rPr>
          <w:rFonts w:hint="eastAsia"/>
          <w:highlight w:val="none"/>
        </w:rPr>
        <w:t>4.</w:t>
      </w:r>
      <w:r>
        <w:rPr>
          <w:highlight w:val="none"/>
        </w:rPr>
        <w:t>身份证明材料应同时提供其在有效期的材料，如居民身份证正、反面复印件</w:t>
      </w:r>
      <w:r>
        <w:rPr>
          <w:rFonts w:hint="eastAsia"/>
          <w:highlight w:val="none"/>
        </w:rPr>
        <w:t>。</w:t>
      </w:r>
    </w:p>
    <w:p>
      <w:pPr>
        <w:pStyle w:val="44"/>
        <w:numPr>
          <w:ilvl w:val="0"/>
          <w:numId w:val="19"/>
        </w:numPr>
        <w:spacing w:before="120" w:after="120"/>
        <w:ind w:firstLine="0"/>
        <w:rPr>
          <w:highlight w:val="none"/>
        </w:rPr>
      </w:pPr>
      <w:bookmarkStart w:id="1029" w:name="_Toc27153"/>
      <w:bookmarkStart w:id="1030" w:name="_Toc22152"/>
      <w:bookmarkStart w:id="1031" w:name="_Toc10998"/>
      <w:bookmarkStart w:id="1032" w:name="_Toc2161"/>
      <w:bookmarkStart w:id="1033" w:name="_Toc28837"/>
      <w:bookmarkStart w:id="1034" w:name="_Toc930"/>
      <w:bookmarkStart w:id="1035" w:name="_Toc10069"/>
      <w:bookmarkStart w:id="1036" w:name="_Toc28397"/>
      <w:bookmarkStart w:id="1037" w:name="_Toc3822"/>
      <w:r>
        <w:rPr>
          <w:rFonts w:hint="eastAsia"/>
          <w:highlight w:val="none"/>
        </w:rPr>
        <w:t>具有独立承担民事责任的能力的证明材料</w:t>
      </w:r>
      <w:bookmarkEnd w:id="1029"/>
      <w:bookmarkEnd w:id="1030"/>
      <w:bookmarkEnd w:id="1031"/>
      <w:bookmarkEnd w:id="1032"/>
      <w:bookmarkEnd w:id="1033"/>
      <w:bookmarkEnd w:id="1034"/>
      <w:bookmarkEnd w:id="1035"/>
    </w:p>
    <w:p>
      <w:pPr>
        <w:pStyle w:val="46"/>
        <w:rPr>
          <w:highlight w:val="none"/>
        </w:rPr>
      </w:pPr>
      <w:r>
        <w:rPr>
          <w:rFonts w:hint="eastAsia"/>
          <w:highlight w:val="none"/>
        </w:rPr>
        <w:t>①投标人若为企业法人：提供“营业执照”副本复印件；未换证的提供“营业执照副本、税务登记证副本、组织机构代码证副本”复印件；②若为事业法人：提供“统一社会信用代码法人登记证书”复印件；未换证的提交“事业法人登记证书、组织机构代码证”复印件；③若为其他组织：提供“对应主管部门颁发的准许执业证明文件或营业执照副本”复印件；④若为自然人：提供“身份证明材料”；</w:t>
      </w:r>
    </w:p>
    <w:bookmarkEnd w:id="1036"/>
    <w:p>
      <w:pPr>
        <w:pStyle w:val="47"/>
        <w:ind w:firstLine="482"/>
        <w:rPr>
          <w:highlight w:val="none"/>
        </w:rPr>
      </w:pPr>
      <w:r>
        <w:rPr>
          <w:rFonts w:hint="eastAsia"/>
          <w:highlight w:val="none"/>
        </w:rPr>
        <w:t>注：1.以上证明材料应满足此条要求①发证机关有年检要求的，应按规定通过年检；②在有效期内；③复印件加盖投标人公章；</w:t>
      </w:r>
    </w:p>
    <w:p>
      <w:pPr>
        <w:pStyle w:val="47"/>
        <w:ind w:firstLine="482"/>
        <w:rPr>
          <w:highlight w:val="none"/>
        </w:rPr>
      </w:pPr>
      <w:r>
        <w:rPr>
          <w:rFonts w:hint="eastAsia"/>
          <w:highlight w:val="none"/>
        </w:rPr>
        <w:t>2.投标人若已更换为三证合一的则提供营业执照副本复印件，事业单位提供事业单位法人证书，其他组织提供</w:t>
      </w:r>
      <w:r>
        <w:rPr>
          <w:rFonts w:hint="eastAsia"/>
          <w:highlight w:val="none"/>
          <w:lang w:val="en-US" w:eastAsia="zh-CN"/>
        </w:rPr>
        <w:t>执业许可证或</w:t>
      </w:r>
      <w:r>
        <w:rPr>
          <w:rFonts w:hint="eastAsia"/>
          <w:highlight w:val="none"/>
        </w:rPr>
        <w:t>营业执照等证明文件，自然人提供身份证明均具备此条同等效力</w:t>
      </w:r>
      <w:bookmarkEnd w:id="1037"/>
      <w:r>
        <w:rPr>
          <w:rFonts w:hint="eastAsia"/>
          <w:highlight w:val="none"/>
        </w:rPr>
        <w:t>；</w:t>
      </w:r>
    </w:p>
    <w:p>
      <w:pPr>
        <w:pStyle w:val="47"/>
        <w:ind w:firstLine="482"/>
        <w:rPr>
          <w:highlight w:val="none"/>
        </w:rPr>
      </w:pPr>
      <w:r>
        <w:rPr>
          <w:rFonts w:hint="eastAsia"/>
          <w:highlight w:val="none"/>
        </w:rPr>
        <w:t>3.</w:t>
      </w:r>
      <w:r>
        <w:rPr>
          <w:highlight w:val="none"/>
        </w:rPr>
        <w:t>根据国务院办公厅关于加快推进“多证合一”改革的指导意见</w:t>
      </w:r>
      <w:r>
        <w:rPr>
          <w:rFonts w:hint="eastAsia"/>
          <w:highlight w:val="none"/>
        </w:rPr>
        <w:t>(</w:t>
      </w:r>
      <w:r>
        <w:rPr>
          <w:highlight w:val="none"/>
        </w:rPr>
        <w:t>国办发</w:t>
      </w:r>
      <w:r>
        <w:rPr>
          <w:rFonts w:hint="eastAsia"/>
          <w:highlight w:val="none"/>
        </w:rPr>
        <w:t>〔</w:t>
      </w:r>
      <w:r>
        <w:rPr>
          <w:highlight w:val="none"/>
        </w:rPr>
        <w:t>2017</w:t>
      </w:r>
      <w:r>
        <w:rPr>
          <w:rFonts w:hint="eastAsia"/>
          <w:highlight w:val="none"/>
        </w:rPr>
        <w:t>〕</w:t>
      </w:r>
      <w:r>
        <w:rPr>
          <w:highlight w:val="none"/>
        </w:rPr>
        <w:t>41号</w:t>
      </w:r>
      <w:r>
        <w:rPr>
          <w:rFonts w:hint="eastAsia"/>
          <w:highlight w:val="none"/>
        </w:rPr>
        <w:t>)</w:t>
      </w:r>
      <w:r>
        <w:rPr>
          <w:highlight w:val="none"/>
        </w:rPr>
        <w:t>等政策要求，若资格要求涉及的登记、备案等有关事项和各类证照已实行多证合一的，</w:t>
      </w:r>
      <w:r>
        <w:rPr>
          <w:rFonts w:hint="eastAsia"/>
          <w:highlight w:val="none"/>
          <w:lang w:val="en-US" w:eastAsia="zh-CN"/>
        </w:rPr>
        <w:t>提供多证合一证照副本复印件</w:t>
      </w:r>
      <w:r>
        <w:rPr>
          <w:highlight w:val="none"/>
        </w:rPr>
        <w:t>。</w:t>
      </w:r>
    </w:p>
    <w:p>
      <w:pPr>
        <w:pStyle w:val="42"/>
        <w:rPr>
          <w:highlight w:val="none"/>
        </w:rPr>
      </w:pPr>
    </w:p>
    <w:p>
      <w:pPr>
        <w:pStyle w:val="44"/>
        <w:numPr>
          <w:ilvl w:val="0"/>
          <w:numId w:val="19"/>
        </w:numPr>
        <w:spacing w:before="120" w:after="120"/>
        <w:ind w:firstLine="0"/>
        <w:rPr>
          <w:highlight w:val="none"/>
        </w:rPr>
      </w:pPr>
      <w:bookmarkStart w:id="1038" w:name="_Toc24105"/>
      <w:bookmarkStart w:id="1039" w:name="_Toc17428"/>
      <w:bookmarkStart w:id="1040" w:name="_Toc809"/>
      <w:bookmarkStart w:id="1041" w:name="_Toc3600"/>
      <w:bookmarkStart w:id="1042" w:name="_Toc28024"/>
      <w:bookmarkStart w:id="1043" w:name="_Toc2832"/>
      <w:bookmarkStart w:id="1044" w:name="_Toc29937"/>
      <w:bookmarkStart w:id="1045" w:name="_Toc14566"/>
      <w:r>
        <w:rPr>
          <w:rFonts w:hint="eastAsia"/>
          <w:highlight w:val="none"/>
        </w:rPr>
        <w:t>投标人具有良好的商业信誉和健全的财务会计制度的证明材料</w:t>
      </w:r>
      <w:bookmarkEnd w:id="1038"/>
      <w:bookmarkEnd w:id="1039"/>
      <w:bookmarkEnd w:id="1040"/>
      <w:bookmarkEnd w:id="1041"/>
      <w:bookmarkEnd w:id="1042"/>
      <w:bookmarkEnd w:id="1043"/>
      <w:bookmarkEnd w:id="1044"/>
    </w:p>
    <w:bookmarkEnd w:id="1045"/>
    <w:p>
      <w:pPr>
        <w:pStyle w:val="46"/>
        <w:rPr>
          <w:highlight w:val="none"/>
        </w:rPr>
      </w:pPr>
      <w:bookmarkStart w:id="1046" w:name="_Toc19866"/>
      <w:bookmarkStart w:id="1047" w:name="_Toc17744"/>
      <w:bookmarkStart w:id="1048" w:name="_Toc5443"/>
      <w:r>
        <w:rPr>
          <w:rFonts w:hint="eastAsia"/>
          <w:highlight w:val="none"/>
        </w:rPr>
        <w:t>1.投标人具备良好商业信誉的证明材料；</w:t>
      </w:r>
    </w:p>
    <w:p>
      <w:pPr>
        <w:pStyle w:val="46"/>
        <w:rPr>
          <w:highlight w:val="none"/>
        </w:rPr>
      </w:pPr>
      <w:r>
        <w:rPr>
          <w:rFonts w:hint="eastAsia"/>
          <w:highlight w:val="none"/>
        </w:rPr>
        <w:t>提供具有良好的商业信誉的承诺函；</w:t>
      </w:r>
    </w:p>
    <w:p>
      <w:pPr>
        <w:pStyle w:val="46"/>
        <w:ind w:firstLine="482"/>
        <w:rPr>
          <w:b/>
          <w:bCs/>
          <w:highlight w:val="none"/>
        </w:rPr>
      </w:pPr>
      <w:r>
        <w:rPr>
          <w:rFonts w:hint="eastAsia"/>
          <w:b/>
          <w:bCs/>
          <w:highlight w:val="none"/>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6"/>
        <w:rPr>
          <w:highlight w:val="none"/>
        </w:rPr>
      </w:pPr>
      <w:r>
        <w:rPr>
          <w:rFonts w:hint="eastAsia"/>
          <w:highlight w:val="none"/>
        </w:rPr>
        <w:t>2.投标人具有健全的财务会计制度的证明材料；</w:t>
      </w:r>
    </w:p>
    <w:p>
      <w:pPr>
        <w:pStyle w:val="46"/>
        <w:rPr>
          <w:highlight w:val="none"/>
        </w:rPr>
      </w:pPr>
      <w:r>
        <w:rPr>
          <w:rFonts w:hint="eastAsia"/>
          <w:highlight w:val="none"/>
        </w:rPr>
        <w:t>(1)投标人提供20</w:t>
      </w:r>
      <w:r>
        <w:rPr>
          <w:rFonts w:hint="eastAsia"/>
          <w:highlight w:val="none"/>
          <w:lang w:val="en-US" w:eastAsia="zh-CN"/>
        </w:rPr>
        <w:t>20</w:t>
      </w:r>
      <w:r>
        <w:rPr>
          <w:rFonts w:hint="eastAsia"/>
          <w:highlight w:val="none"/>
        </w:rPr>
        <w:t>年度经过会计师事务所审计的财务报告复印件(经审计的有效财务报告应包括报告及报告中所附的完整内容，并由注册会计师签名、盖章以及会计师事务所盖章)；</w:t>
      </w:r>
    </w:p>
    <w:p>
      <w:pPr>
        <w:pStyle w:val="46"/>
        <w:rPr>
          <w:highlight w:val="none"/>
        </w:rPr>
      </w:pPr>
      <w:r>
        <w:rPr>
          <w:rFonts w:hint="eastAsia"/>
          <w:highlight w:val="none"/>
        </w:rPr>
        <w:t>(2)投标人提供20</w:t>
      </w:r>
      <w:r>
        <w:rPr>
          <w:rFonts w:hint="eastAsia"/>
          <w:highlight w:val="none"/>
          <w:lang w:val="en-US" w:eastAsia="zh-CN"/>
        </w:rPr>
        <w:t>20</w:t>
      </w:r>
      <w:r>
        <w:rPr>
          <w:rFonts w:hint="eastAsia"/>
          <w:highlight w:val="none"/>
        </w:rPr>
        <w:t>年度投标人内部的财务报表复印件(至少包含资产负债表)；</w:t>
      </w:r>
    </w:p>
    <w:p>
      <w:pPr>
        <w:pStyle w:val="46"/>
        <w:rPr>
          <w:highlight w:val="none"/>
        </w:rPr>
      </w:pPr>
      <w:r>
        <w:rPr>
          <w:rFonts w:hint="eastAsia"/>
          <w:highlight w:val="none"/>
        </w:rPr>
        <w:t>(3)投标人提供投标文件递交截止日前一年内银行为其出具的资信证明复印件；</w:t>
      </w:r>
    </w:p>
    <w:p>
      <w:pPr>
        <w:pStyle w:val="46"/>
        <w:rPr>
          <w:highlight w:val="none"/>
        </w:rPr>
      </w:pPr>
      <w:r>
        <w:rPr>
          <w:rFonts w:hint="eastAsia"/>
          <w:highlight w:val="none"/>
        </w:rPr>
        <w:t>(4)投标人注册时间截至投标文件递交截止日不足一年的，可提供公司章程复印件；</w:t>
      </w:r>
    </w:p>
    <w:p>
      <w:pPr>
        <w:pStyle w:val="46"/>
        <w:rPr>
          <w:highlight w:val="none"/>
        </w:rPr>
      </w:pPr>
      <w:r>
        <w:rPr>
          <w:rFonts w:hint="eastAsia"/>
          <w:highlight w:val="none"/>
        </w:rPr>
        <w:t>(5)投标人为事业单位或其他组织(不具备法人条件的组织，如合伙组织、个体工商户、农村承包经营户等)或自然人时，可提供承诺函。</w:t>
      </w:r>
    </w:p>
    <w:p>
      <w:pPr>
        <w:pStyle w:val="47"/>
        <w:ind w:firstLine="482"/>
        <w:rPr>
          <w:highlight w:val="none"/>
        </w:rPr>
      </w:pPr>
      <w:r>
        <w:rPr>
          <w:rFonts w:hint="eastAsia"/>
          <w:bCs/>
          <w:highlight w:val="none"/>
        </w:rPr>
        <w:t>注：具有健全的财务会计制度的证明材料中第(1)-(5)项具有同等的投标效力，投标人可根据自身实际情况选择提供其中任意一项。</w:t>
      </w:r>
    </w:p>
    <w:p>
      <w:pPr>
        <w:pStyle w:val="44"/>
        <w:numPr>
          <w:ilvl w:val="0"/>
          <w:numId w:val="19"/>
        </w:numPr>
        <w:spacing w:before="120" w:after="120"/>
        <w:ind w:firstLine="0"/>
        <w:rPr>
          <w:highlight w:val="none"/>
        </w:rPr>
      </w:pPr>
      <w:bookmarkStart w:id="1049" w:name="_Toc19365"/>
      <w:bookmarkStart w:id="1050" w:name="_Toc29623"/>
      <w:bookmarkStart w:id="1051" w:name="_Toc7448"/>
      <w:bookmarkStart w:id="1052" w:name="_Toc30369"/>
      <w:bookmarkStart w:id="1053" w:name="_Toc28248"/>
      <w:r>
        <w:rPr>
          <w:rFonts w:hint="eastAsia"/>
          <w:highlight w:val="none"/>
        </w:rPr>
        <w:t>投标人具有依法缴纳税收和社会保障资金的良好记录的证明材料</w:t>
      </w:r>
      <w:bookmarkEnd w:id="1046"/>
      <w:bookmarkEnd w:id="1047"/>
      <w:bookmarkEnd w:id="1049"/>
      <w:bookmarkEnd w:id="1050"/>
      <w:bookmarkEnd w:id="1051"/>
      <w:bookmarkEnd w:id="1052"/>
      <w:bookmarkEnd w:id="1053"/>
    </w:p>
    <w:bookmarkEnd w:id="1048"/>
    <w:p>
      <w:pPr>
        <w:pStyle w:val="46"/>
        <w:rPr>
          <w:highlight w:val="none"/>
        </w:rPr>
      </w:pPr>
      <w:r>
        <w:rPr>
          <w:rFonts w:hint="eastAsia"/>
          <w:highlight w:val="none"/>
        </w:rPr>
        <w:t>提供</w:t>
      </w:r>
      <w:r>
        <w:rPr>
          <w:rFonts w:hint="eastAsia"/>
          <w:highlight w:val="none"/>
          <w:lang w:val="zh-CN"/>
        </w:rPr>
        <w:t>依法缴纳税收和社会保障资金的良好记录</w:t>
      </w:r>
      <w:r>
        <w:rPr>
          <w:rFonts w:hint="eastAsia"/>
          <w:highlight w:val="none"/>
        </w:rPr>
        <w:t>的承诺函；</w:t>
      </w:r>
    </w:p>
    <w:p>
      <w:pPr>
        <w:pStyle w:val="47"/>
        <w:ind w:firstLine="482"/>
        <w:rPr>
          <w:highlight w:val="none"/>
        </w:rPr>
      </w:pPr>
      <w:r>
        <w:rPr>
          <w:rFonts w:hint="eastAsia"/>
          <w:highlight w:val="none"/>
        </w:rPr>
        <w:t>注：格式自拟，或参照《符合&lt;中华人民共和国政府采购法&gt;第二十二条规定的条件的承诺及声明函》的格式提供声明函。</w:t>
      </w:r>
    </w:p>
    <w:p>
      <w:pPr>
        <w:pStyle w:val="42"/>
        <w:rPr>
          <w:highlight w:val="none"/>
        </w:rPr>
      </w:pPr>
      <w:r>
        <w:rPr>
          <w:rFonts w:hint="eastAsia"/>
          <w:highlight w:val="none"/>
        </w:rPr>
        <w:br w:type="page"/>
      </w:r>
    </w:p>
    <w:p>
      <w:pPr>
        <w:pStyle w:val="44"/>
        <w:numPr>
          <w:ilvl w:val="0"/>
          <w:numId w:val="19"/>
        </w:numPr>
        <w:spacing w:before="120" w:after="120"/>
        <w:ind w:firstLine="0"/>
        <w:rPr>
          <w:highlight w:val="none"/>
        </w:rPr>
      </w:pPr>
      <w:bookmarkStart w:id="1054" w:name="_Toc14829"/>
      <w:bookmarkStart w:id="1055" w:name="_Toc659"/>
      <w:bookmarkStart w:id="1056" w:name="_Toc16336"/>
      <w:bookmarkStart w:id="1057" w:name="_Toc13042"/>
      <w:bookmarkStart w:id="1058" w:name="_Toc17448"/>
      <w:bookmarkStart w:id="1059" w:name="_Toc15870"/>
      <w:bookmarkStart w:id="1060" w:name="_Toc832"/>
      <w:r>
        <w:rPr>
          <w:rFonts w:hint="eastAsia"/>
          <w:highlight w:val="none"/>
        </w:rPr>
        <w:t>投标人具有履行合同所必需的设备和专业技术能力证明材料</w:t>
      </w:r>
      <w:bookmarkEnd w:id="1054"/>
      <w:bookmarkEnd w:id="1055"/>
      <w:bookmarkEnd w:id="1056"/>
      <w:bookmarkEnd w:id="1057"/>
      <w:bookmarkEnd w:id="1058"/>
      <w:bookmarkEnd w:id="1059"/>
      <w:bookmarkEnd w:id="1060"/>
    </w:p>
    <w:p>
      <w:pPr>
        <w:pStyle w:val="46"/>
        <w:rPr>
          <w:highlight w:val="none"/>
        </w:rPr>
      </w:pPr>
      <w:r>
        <w:rPr>
          <w:rFonts w:hint="eastAsia"/>
          <w:highlight w:val="none"/>
        </w:rPr>
        <w:t>提供具有履行合同所必需的设备和专业技术能力的承诺函；</w:t>
      </w:r>
    </w:p>
    <w:p>
      <w:pPr>
        <w:pStyle w:val="47"/>
        <w:ind w:firstLine="482"/>
        <w:rPr>
          <w:highlight w:val="none"/>
        </w:rPr>
      </w:pPr>
      <w:r>
        <w:rPr>
          <w:rFonts w:hint="eastAsia"/>
          <w:highlight w:val="none"/>
        </w:rPr>
        <w:t>注：格式自拟，或参照《符合&lt;中华人民共和国政府采购法&gt;第二十二条规定的条件的承诺及声明函》的格式提供声明函。</w:t>
      </w:r>
    </w:p>
    <w:p>
      <w:pPr>
        <w:pStyle w:val="42"/>
        <w:rPr>
          <w:highlight w:val="none"/>
        </w:rPr>
      </w:pPr>
      <w:r>
        <w:rPr>
          <w:rFonts w:hint="eastAsia"/>
          <w:highlight w:val="none"/>
        </w:rPr>
        <w:br w:type="page"/>
      </w:r>
    </w:p>
    <w:p>
      <w:pPr>
        <w:pStyle w:val="44"/>
        <w:numPr>
          <w:ilvl w:val="0"/>
          <w:numId w:val="19"/>
        </w:numPr>
        <w:spacing w:before="120" w:after="120"/>
        <w:ind w:firstLine="0"/>
        <w:rPr>
          <w:highlight w:val="none"/>
        </w:rPr>
      </w:pPr>
      <w:bookmarkStart w:id="1061" w:name="_Toc21379"/>
      <w:bookmarkStart w:id="1062" w:name="_Toc8660"/>
      <w:bookmarkStart w:id="1063" w:name="_Toc9968"/>
      <w:bookmarkStart w:id="1064" w:name="_Toc12476"/>
      <w:bookmarkStart w:id="1065" w:name="_Toc20350"/>
      <w:bookmarkStart w:id="1066" w:name="_Toc18978"/>
      <w:r>
        <w:rPr>
          <w:rFonts w:hint="eastAsia"/>
          <w:highlight w:val="none"/>
        </w:rPr>
        <w:t>投标人参加政府采购活动前三年内，在经营活动中没有重大违法记录的证明材料</w:t>
      </w:r>
      <w:bookmarkEnd w:id="1061"/>
      <w:bookmarkEnd w:id="1062"/>
      <w:bookmarkEnd w:id="1063"/>
      <w:bookmarkEnd w:id="1064"/>
      <w:bookmarkEnd w:id="1065"/>
      <w:bookmarkEnd w:id="1066"/>
    </w:p>
    <w:p>
      <w:pPr>
        <w:pStyle w:val="46"/>
        <w:rPr>
          <w:highlight w:val="none"/>
        </w:rPr>
      </w:pPr>
      <w:bookmarkStart w:id="1067" w:name="_Toc9591"/>
      <w:bookmarkStart w:id="1068" w:name="_Toc14299"/>
      <w:r>
        <w:rPr>
          <w:rFonts w:hint="eastAsia"/>
          <w:highlight w:val="none"/>
        </w:rPr>
        <w:t>投标人提供参加本次政府采购活动前三年内，在经营活动中没有重大违法记录的书面声明(成立不足三年的，从成立之日起计算)。</w:t>
      </w:r>
    </w:p>
    <w:p>
      <w:pPr>
        <w:pStyle w:val="47"/>
        <w:ind w:firstLine="482"/>
        <w:rPr>
          <w:highlight w:val="none"/>
        </w:rPr>
      </w:pPr>
      <w:bookmarkStart w:id="1069" w:name="_Toc7540"/>
      <w:bookmarkStart w:id="1070" w:name="_Toc26284"/>
      <w:r>
        <w:rPr>
          <w:rFonts w:hint="eastAsia"/>
          <w:highlight w:val="none"/>
        </w:rPr>
        <w:t>注：格式自拟，或参照《符合&lt;中华人民共和国政府采购法&gt;第二十二条规定的条件的承诺及声明函》的格式提供声明函。</w:t>
      </w:r>
    </w:p>
    <w:bookmarkEnd w:id="1067"/>
    <w:bookmarkEnd w:id="1068"/>
    <w:bookmarkEnd w:id="1069"/>
    <w:bookmarkEnd w:id="1070"/>
    <w:p>
      <w:pPr>
        <w:pStyle w:val="44"/>
        <w:numPr>
          <w:ilvl w:val="0"/>
          <w:numId w:val="19"/>
        </w:numPr>
        <w:spacing w:before="120" w:after="120"/>
        <w:ind w:firstLine="0"/>
        <w:rPr>
          <w:highlight w:val="none"/>
          <w:lang w:val="zh-CN"/>
        </w:rPr>
      </w:pPr>
      <w:bookmarkStart w:id="1071" w:name="_Toc17558"/>
      <w:bookmarkStart w:id="1072" w:name="_Toc27034"/>
      <w:bookmarkStart w:id="1073" w:name="_Toc3840"/>
      <w:bookmarkStart w:id="1074" w:name="_Toc18505"/>
      <w:bookmarkStart w:id="1075" w:name="_Toc17371"/>
      <w:bookmarkStart w:id="1076" w:name="_Toc21739"/>
      <w:bookmarkStart w:id="1077" w:name="_Toc4422"/>
      <w:bookmarkStart w:id="1078" w:name="_Toc29042"/>
      <w:r>
        <w:rPr>
          <w:rFonts w:hint="eastAsia"/>
          <w:highlight w:val="none"/>
        </w:rPr>
        <w:t>投标人</w:t>
      </w:r>
      <w:r>
        <w:rPr>
          <w:rFonts w:hint="eastAsia"/>
          <w:highlight w:val="none"/>
          <w:lang w:val="zh-CN"/>
        </w:rPr>
        <w:t>及其现任法定代表人、主要负责人不得具有行贿犯罪记录</w:t>
      </w:r>
      <w:r>
        <w:rPr>
          <w:rFonts w:hint="eastAsia"/>
          <w:highlight w:val="none"/>
        </w:rPr>
        <w:t>的</w:t>
      </w:r>
      <w:bookmarkEnd w:id="1071"/>
      <w:bookmarkEnd w:id="1072"/>
      <w:bookmarkEnd w:id="1073"/>
      <w:r>
        <w:rPr>
          <w:rFonts w:hint="eastAsia"/>
          <w:highlight w:val="none"/>
        </w:rPr>
        <w:t>承诺函</w:t>
      </w:r>
      <w:bookmarkEnd w:id="1074"/>
      <w:bookmarkEnd w:id="1075"/>
      <w:bookmarkEnd w:id="1076"/>
      <w:bookmarkEnd w:id="1077"/>
      <w:bookmarkEnd w:id="1078"/>
    </w:p>
    <w:p>
      <w:pPr>
        <w:pStyle w:val="42"/>
        <w:adjustRightInd/>
        <w:snapToGrid/>
        <w:rPr>
          <w:rFonts w:cs="宋体"/>
          <w:highlight w:val="none"/>
        </w:rPr>
      </w:pPr>
      <w:r>
        <w:rPr>
          <w:rFonts w:hint="eastAsia" w:cs="宋体"/>
          <w:highlight w:val="none"/>
          <w:u w:val="single"/>
        </w:rPr>
        <w:t xml:space="preserve">                   </w:t>
      </w:r>
      <w:r>
        <w:rPr>
          <w:rFonts w:hint="eastAsia" w:cs="宋体"/>
          <w:highlight w:val="none"/>
        </w:rPr>
        <w:t>(采购代理机构名称)：</w:t>
      </w:r>
    </w:p>
    <w:p>
      <w:pPr>
        <w:pStyle w:val="42"/>
        <w:adjustRightInd/>
        <w:snapToGrid/>
        <w:ind w:firstLine="480" w:firstLineChars="200"/>
        <w:rPr>
          <w:rFonts w:cs="宋体"/>
          <w:highlight w:val="none"/>
        </w:rPr>
      </w:pPr>
      <w:r>
        <w:rPr>
          <w:rFonts w:hint="eastAsia" w:cs="宋体"/>
          <w:highlight w:val="none"/>
        </w:rPr>
        <w:t>我单位作为本次采购项目的投标人，根据招标文件要求，现郑重承诺如下：</w:t>
      </w:r>
    </w:p>
    <w:p>
      <w:pPr>
        <w:pStyle w:val="46"/>
        <w:adjustRightInd/>
        <w:snapToGrid/>
        <w:rPr>
          <w:rFonts w:cs="宋体"/>
          <w:highlight w:val="none"/>
          <w:u w:val="single"/>
        </w:rPr>
      </w:pPr>
      <w:r>
        <w:rPr>
          <w:rFonts w:hint="eastAsia" w:cs="宋体"/>
          <w:highlight w:val="none"/>
          <w:u w:val="single"/>
        </w:rPr>
        <w:t xml:space="preserve">           </w:t>
      </w:r>
      <w:r>
        <w:rPr>
          <w:rFonts w:hint="eastAsia" w:cs="宋体"/>
          <w:highlight w:val="none"/>
        </w:rPr>
        <w:t>(投标人名称)及其现任法定代表人</w:t>
      </w:r>
      <w:r>
        <w:rPr>
          <w:rFonts w:hint="eastAsia" w:cs="宋体"/>
          <w:highlight w:val="none"/>
          <w:u w:val="single"/>
        </w:rPr>
        <w:t xml:space="preserve">       </w:t>
      </w:r>
      <w:r>
        <w:rPr>
          <w:rFonts w:hint="eastAsia" w:cs="宋体"/>
          <w:highlight w:val="none"/>
        </w:rPr>
        <w:t>(姓名)、</w:t>
      </w:r>
      <w:r>
        <w:rPr>
          <w:rFonts w:hint="eastAsia" w:cs="宋体"/>
          <w:highlight w:val="none"/>
          <w:u w:val="single"/>
        </w:rPr>
        <w:t xml:space="preserve">      </w:t>
      </w:r>
      <w:r>
        <w:rPr>
          <w:rFonts w:hint="eastAsia" w:cs="宋体"/>
          <w:highlight w:val="none"/>
        </w:rPr>
        <w:t>(身份证号码)，主要负责人</w:t>
      </w:r>
      <w:r>
        <w:rPr>
          <w:rFonts w:hint="eastAsia" w:cs="宋体"/>
          <w:highlight w:val="none"/>
          <w:u w:val="single"/>
        </w:rPr>
        <w:t xml:space="preserve">       </w:t>
      </w:r>
      <w:r>
        <w:rPr>
          <w:rFonts w:hint="eastAsia" w:cs="宋体"/>
          <w:highlight w:val="none"/>
        </w:rPr>
        <w:t>(姓名)、</w:t>
      </w:r>
      <w:r>
        <w:rPr>
          <w:rFonts w:hint="eastAsia" w:cs="宋体"/>
          <w:highlight w:val="none"/>
          <w:u w:val="single"/>
        </w:rPr>
        <w:t xml:space="preserve">         </w:t>
      </w:r>
      <w:r>
        <w:rPr>
          <w:rFonts w:hint="eastAsia" w:cs="宋体"/>
          <w:highlight w:val="none"/>
        </w:rPr>
        <w:t>(身份证号码)，</w:t>
      </w:r>
      <w:r>
        <w:rPr>
          <w:rFonts w:hint="eastAsia" w:cs="宋体"/>
          <w:highlight w:val="none"/>
          <w:u w:val="single"/>
        </w:rPr>
        <w:t xml:space="preserve">        </w:t>
      </w:r>
      <w:r>
        <w:rPr>
          <w:rFonts w:hint="eastAsia" w:cs="宋体"/>
          <w:highlight w:val="none"/>
        </w:rPr>
        <w:t xml:space="preserve">(无行贿犯罪记录的期限)均无行贿犯罪记录。     </w:t>
      </w:r>
    </w:p>
    <w:p>
      <w:pPr>
        <w:pStyle w:val="46"/>
        <w:adjustRightInd/>
        <w:snapToGrid/>
        <w:rPr>
          <w:rFonts w:cs="宋体"/>
          <w:highlight w:val="none"/>
        </w:rPr>
      </w:pPr>
      <w:r>
        <w:rPr>
          <w:rFonts w:hint="eastAsia" w:cs="宋体"/>
          <w:highlight w:val="none"/>
        </w:rPr>
        <w:t>本单位对上述承诺的内容事项真实性、合法性负责。如经查实上述承诺的内容事项存在虚假，我单位自愿接受以提供虚假材料谋取中标所带来的所有法律责任。</w:t>
      </w:r>
    </w:p>
    <w:p>
      <w:pPr>
        <w:pStyle w:val="42"/>
        <w:adjustRightInd/>
        <w:snapToGrid/>
        <w:rPr>
          <w:rFonts w:cs="宋体"/>
          <w:highlight w:val="none"/>
        </w:rPr>
      </w:pPr>
    </w:p>
    <w:p>
      <w:pPr>
        <w:pStyle w:val="42"/>
        <w:adjustRightInd/>
        <w:snapToGrid/>
        <w:rPr>
          <w:rFonts w:cs="宋体"/>
          <w:highlight w:val="none"/>
        </w:rPr>
      </w:pPr>
    </w:p>
    <w:p>
      <w:pPr>
        <w:pStyle w:val="46"/>
        <w:rPr>
          <w:rFonts w:cs="宋体"/>
          <w:highlight w:val="none"/>
        </w:rPr>
      </w:pPr>
      <w:r>
        <w:rPr>
          <w:rFonts w:hint="eastAsia" w:cs="宋体"/>
          <w:highlight w:val="none"/>
        </w:rPr>
        <w:t>投标人名称：</w:t>
      </w:r>
      <w:r>
        <w:rPr>
          <w:rFonts w:hint="eastAsia" w:cs="宋体"/>
          <w:highlight w:val="none"/>
          <w:u w:val="single"/>
        </w:rPr>
        <w:t xml:space="preserve">               </w:t>
      </w:r>
      <w:r>
        <w:rPr>
          <w:rFonts w:hint="eastAsia" w:cs="宋体"/>
          <w:highlight w:val="none"/>
        </w:rPr>
        <w:t>(盖章)</w:t>
      </w:r>
    </w:p>
    <w:p>
      <w:pPr>
        <w:pStyle w:val="46"/>
        <w:rPr>
          <w:rFonts w:cs="宋体"/>
          <w:highlight w:val="none"/>
        </w:rPr>
      </w:pPr>
      <w:r>
        <w:rPr>
          <w:rFonts w:hint="eastAsia" w:cs="宋体"/>
          <w:highlight w:val="none"/>
        </w:rPr>
        <w:t>法定代表人/单位负责人或授权代表：</w:t>
      </w:r>
      <w:r>
        <w:rPr>
          <w:rFonts w:hint="eastAsia" w:cs="宋体"/>
          <w:highlight w:val="none"/>
          <w:u w:val="single"/>
        </w:rPr>
        <w:t xml:space="preserve">            </w:t>
      </w:r>
      <w:r>
        <w:rPr>
          <w:rFonts w:hint="eastAsia" w:cs="宋体"/>
          <w:highlight w:val="none"/>
        </w:rPr>
        <w:t>(签字或盖章)</w:t>
      </w:r>
    </w:p>
    <w:p>
      <w:pPr>
        <w:pStyle w:val="63"/>
        <w:numPr>
          <w:ilvl w:val="3"/>
          <w:numId w:val="0"/>
        </w:numPr>
        <w:adjustRightInd/>
        <w:snapToGrid/>
        <w:ind w:firstLine="480" w:firstLineChars="200"/>
        <w:rPr>
          <w:rFonts w:cs="宋体"/>
          <w:highlight w:val="none"/>
          <w:u w:val="single"/>
        </w:rPr>
      </w:pPr>
      <w:r>
        <w:rPr>
          <w:rFonts w:hint="eastAsia" w:cs="宋体"/>
          <w:highlight w:val="none"/>
        </w:rPr>
        <w:t>投标日期：</w:t>
      </w:r>
      <w:r>
        <w:rPr>
          <w:rFonts w:hint="eastAsia" w:cs="宋体"/>
          <w:highlight w:val="none"/>
          <w:u w:val="single"/>
        </w:rPr>
        <w:t xml:space="preserve">                  </w:t>
      </w:r>
    </w:p>
    <w:p>
      <w:pPr>
        <w:pStyle w:val="63"/>
        <w:numPr>
          <w:ilvl w:val="3"/>
          <w:numId w:val="0"/>
        </w:numPr>
        <w:adjustRightInd/>
        <w:snapToGrid/>
        <w:ind w:firstLine="480" w:firstLineChars="200"/>
        <w:rPr>
          <w:rFonts w:cs="宋体"/>
          <w:highlight w:val="none"/>
          <w:u w:val="single"/>
        </w:rPr>
      </w:pPr>
    </w:p>
    <w:p>
      <w:pPr>
        <w:pStyle w:val="63"/>
        <w:numPr>
          <w:ilvl w:val="3"/>
          <w:numId w:val="0"/>
        </w:numPr>
        <w:ind w:firstLine="482" w:firstLineChars="200"/>
        <w:rPr>
          <w:b/>
          <w:bCs/>
          <w:highlight w:val="none"/>
        </w:rPr>
      </w:pPr>
      <w:r>
        <w:rPr>
          <w:rFonts w:hint="eastAsia"/>
          <w:b/>
          <w:bCs/>
          <w:highlight w:val="none"/>
        </w:rPr>
        <w:t>注：投标人成立时间超过十年的，在“</w:t>
      </w:r>
      <w:r>
        <w:rPr>
          <w:rFonts w:hint="eastAsia" w:cs="宋体"/>
          <w:b/>
          <w:bCs/>
          <w:highlight w:val="none"/>
        </w:rPr>
        <w:t>无行贿犯罪记录的期限</w:t>
      </w:r>
      <w:r>
        <w:rPr>
          <w:rFonts w:hint="eastAsia"/>
          <w:b/>
          <w:bCs/>
          <w:highlight w:val="none"/>
        </w:rPr>
        <w:t>”</w:t>
      </w:r>
      <w:r>
        <w:rPr>
          <w:rFonts w:hint="eastAsia" w:cs="宋体"/>
          <w:b/>
          <w:bCs/>
          <w:highlight w:val="none"/>
        </w:rPr>
        <w:t>处填写“十年内”；</w:t>
      </w:r>
      <w:r>
        <w:rPr>
          <w:rFonts w:hint="eastAsia"/>
          <w:b/>
          <w:bCs/>
          <w:highlight w:val="none"/>
        </w:rPr>
        <w:t>投标人</w:t>
      </w:r>
      <w:r>
        <w:rPr>
          <w:rFonts w:hint="eastAsia" w:cs="宋体"/>
          <w:b/>
          <w:bCs/>
          <w:highlight w:val="none"/>
        </w:rPr>
        <w:t>成立时间不足十年的，</w:t>
      </w:r>
      <w:r>
        <w:rPr>
          <w:rFonts w:hint="eastAsia"/>
          <w:b/>
          <w:bCs/>
          <w:highlight w:val="none"/>
        </w:rPr>
        <w:t>在“</w:t>
      </w:r>
      <w:r>
        <w:rPr>
          <w:rFonts w:hint="eastAsia" w:cs="宋体"/>
          <w:b/>
          <w:bCs/>
          <w:highlight w:val="none"/>
        </w:rPr>
        <w:t>无行贿犯罪记录的期限</w:t>
      </w:r>
      <w:r>
        <w:rPr>
          <w:rFonts w:hint="eastAsia"/>
          <w:b/>
          <w:bCs/>
          <w:highlight w:val="none"/>
        </w:rPr>
        <w:t>”</w:t>
      </w:r>
      <w:r>
        <w:rPr>
          <w:rFonts w:hint="eastAsia" w:cs="宋体"/>
          <w:b/>
          <w:bCs/>
          <w:highlight w:val="none"/>
        </w:rPr>
        <w:t>处填写“自我单位成立之日起至今”</w:t>
      </w:r>
      <w:r>
        <w:rPr>
          <w:rFonts w:hint="eastAsia"/>
          <w:b/>
          <w:bCs/>
          <w:highlight w:val="none"/>
        </w:rPr>
        <w:t>。</w:t>
      </w:r>
    </w:p>
    <w:p>
      <w:pPr>
        <w:pStyle w:val="44"/>
        <w:numPr>
          <w:ilvl w:val="0"/>
          <w:numId w:val="19"/>
        </w:numPr>
        <w:spacing w:before="120" w:after="120"/>
        <w:ind w:firstLine="0"/>
        <w:rPr>
          <w:highlight w:val="none"/>
        </w:rPr>
      </w:pPr>
      <w:bookmarkStart w:id="1079" w:name="_Toc27289"/>
      <w:bookmarkStart w:id="1080" w:name="_Toc11881"/>
      <w:bookmarkStart w:id="1081" w:name="_Toc2371"/>
      <w:bookmarkStart w:id="1082" w:name="_Toc7126"/>
      <w:r>
        <w:rPr>
          <w:rFonts w:hint="eastAsia"/>
          <w:highlight w:val="none"/>
        </w:rPr>
        <w:t>根据采购项目的特殊要求，供应商提供具有特定条件</w:t>
      </w:r>
      <w:bookmarkEnd w:id="1017"/>
      <w:r>
        <w:rPr>
          <w:rFonts w:hint="eastAsia"/>
          <w:highlight w:val="none"/>
        </w:rPr>
        <w:t>的证明材料</w:t>
      </w:r>
      <w:bookmarkEnd w:id="1018"/>
      <w:bookmarkEnd w:id="1019"/>
      <w:bookmarkEnd w:id="1079"/>
      <w:bookmarkEnd w:id="1080"/>
      <w:bookmarkEnd w:id="1081"/>
      <w:bookmarkEnd w:id="1082"/>
    </w:p>
    <w:p>
      <w:pPr>
        <w:pStyle w:val="46"/>
        <w:adjustRightInd/>
        <w:snapToGrid/>
        <w:rPr>
          <w:rFonts w:hint="eastAsia" w:cs="宋体"/>
          <w:highlight w:val="none"/>
        </w:rPr>
      </w:pPr>
      <w:r>
        <w:rPr>
          <w:rFonts w:hint="eastAsia" w:ascii="宋体" w:hAnsi="宋体" w:eastAsia="宋体" w:cs="宋体"/>
          <w:sz w:val="24"/>
          <w:highlight w:val="none"/>
          <w:lang w:val="en-US" w:eastAsia="zh-CN"/>
        </w:rPr>
        <w:t>投标人提供国家保密局颁发的《国家秘密载体印制资质》（涉密档案数字化加工）乙级或以上资质证书复印件，适用地域包含“四川省”</w:t>
      </w:r>
      <w:r>
        <w:rPr>
          <w:rFonts w:hint="eastAsia" w:cs="宋体"/>
          <w:sz w:val="24"/>
          <w:highlight w:val="none"/>
          <w:lang w:val="en-US" w:eastAsia="zh-CN"/>
        </w:rPr>
        <w:t>；</w:t>
      </w:r>
      <w:r>
        <w:rPr>
          <w:rFonts w:hint="eastAsia" w:ascii="宋体" w:hAnsi="宋体" w:eastAsia="宋体" w:cs="宋体"/>
          <w:sz w:val="24"/>
          <w:highlight w:val="none"/>
          <w:lang w:val="en-US" w:eastAsia="zh-CN"/>
        </w:rPr>
        <w:t>省外资质投标人须持有四川省国家保密局的备案批准文件复印件</w:t>
      </w:r>
      <w:r>
        <w:rPr>
          <w:rFonts w:hint="eastAsia" w:cs="宋体"/>
          <w:color w:val="000000" w:themeColor="text1"/>
          <w:highlight w:val="none"/>
          <w14:textFill>
            <w14:solidFill>
              <w14:schemeClr w14:val="tx1"/>
            </w14:solidFill>
          </w14:textFill>
        </w:rPr>
        <w:t>。</w:t>
      </w:r>
    </w:p>
    <w:p>
      <w:pPr>
        <w:pStyle w:val="44"/>
        <w:numPr>
          <w:ilvl w:val="0"/>
          <w:numId w:val="19"/>
        </w:numPr>
        <w:spacing w:before="120" w:after="120"/>
        <w:ind w:firstLine="0"/>
        <w:rPr>
          <w:highlight w:val="none"/>
        </w:rPr>
      </w:pPr>
      <w:bookmarkStart w:id="1083" w:name="_Toc30023"/>
      <w:bookmarkStart w:id="1084" w:name="_Toc12437"/>
      <w:bookmarkStart w:id="1085" w:name="_Toc11267"/>
      <w:bookmarkStart w:id="1086" w:name="_Toc13709"/>
      <w:bookmarkStart w:id="1087" w:name="_Toc25417"/>
      <w:bookmarkStart w:id="1088" w:name="_Toc24923"/>
      <w:r>
        <w:rPr>
          <w:rFonts w:hint="eastAsia"/>
          <w:highlight w:val="none"/>
        </w:rPr>
        <w:t>信用信息查询</w:t>
      </w:r>
      <w:bookmarkEnd w:id="1083"/>
      <w:bookmarkEnd w:id="1084"/>
      <w:bookmarkEnd w:id="1085"/>
      <w:bookmarkEnd w:id="1086"/>
      <w:bookmarkEnd w:id="1087"/>
      <w:bookmarkEnd w:id="1088"/>
    </w:p>
    <w:p>
      <w:pPr>
        <w:pStyle w:val="46"/>
        <w:rPr>
          <w:highlight w:val="none"/>
        </w:rPr>
      </w:pPr>
      <w:r>
        <w:rPr>
          <w:rFonts w:hint="eastAsia"/>
          <w:highlight w:val="none"/>
        </w:rPr>
        <w:t>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pStyle w:val="47"/>
        <w:ind w:firstLine="482"/>
        <w:rPr>
          <w:b w:val="0"/>
          <w:bCs/>
          <w:highlight w:val="none"/>
        </w:rPr>
      </w:pPr>
      <w:r>
        <w:rPr>
          <w:rFonts w:hint="eastAsia"/>
          <w:highlight w:val="none"/>
        </w:rPr>
        <w:t>注：</w:t>
      </w:r>
      <w:r>
        <w:rPr>
          <w:rFonts w:hint="eastAsia"/>
          <w:b w:val="0"/>
          <w:bCs/>
          <w:highlight w:val="none"/>
        </w:rPr>
        <w:t>①采购代理机构通过“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47"/>
        <w:rPr>
          <w:b w:val="0"/>
          <w:bCs/>
          <w:highlight w:val="none"/>
        </w:rPr>
      </w:pPr>
      <w:r>
        <w:rPr>
          <w:rFonts w:hint="eastAsia"/>
          <w:b w:val="0"/>
          <w:bCs/>
          <w:highlight w:val="none"/>
        </w:rPr>
        <w:t>②投标人参与投标时无需对此条进行响应。</w:t>
      </w:r>
    </w:p>
    <w:p>
      <w:pPr>
        <w:pStyle w:val="44"/>
        <w:numPr>
          <w:ilvl w:val="0"/>
          <w:numId w:val="19"/>
        </w:numPr>
        <w:spacing w:before="120" w:after="120"/>
        <w:ind w:firstLine="0"/>
        <w:rPr>
          <w:highlight w:val="none"/>
        </w:rPr>
      </w:pPr>
      <w:bookmarkStart w:id="1089" w:name="_Toc21855"/>
      <w:bookmarkStart w:id="1090" w:name="_Toc15708"/>
      <w:bookmarkStart w:id="1091" w:name="_Toc15131"/>
      <w:bookmarkStart w:id="1092" w:name="_Toc16487"/>
      <w:bookmarkStart w:id="1093" w:name="_Toc8796"/>
      <w:bookmarkStart w:id="1094" w:name="_Toc26230"/>
      <w:r>
        <w:rPr>
          <w:rFonts w:hint="eastAsia"/>
          <w:highlight w:val="none"/>
        </w:rPr>
        <w:t>符合《中华人民共和国政府采购法》第二十二条规定的条件的承诺及声明函</w:t>
      </w:r>
      <w:bookmarkEnd w:id="1089"/>
      <w:bookmarkEnd w:id="1090"/>
      <w:bookmarkEnd w:id="1091"/>
      <w:bookmarkEnd w:id="1092"/>
      <w:bookmarkEnd w:id="1093"/>
      <w:bookmarkEnd w:id="1094"/>
    </w:p>
    <w:p>
      <w:pPr>
        <w:pStyle w:val="42"/>
        <w:rPr>
          <w:highlight w:val="none"/>
        </w:rPr>
      </w:pPr>
      <w:r>
        <w:rPr>
          <w:rFonts w:hint="eastAsia"/>
          <w:highlight w:val="none"/>
          <w:u w:val="single"/>
        </w:rPr>
        <w:t xml:space="preserve">                   </w:t>
      </w:r>
      <w:r>
        <w:rPr>
          <w:rFonts w:hint="eastAsia"/>
          <w:highlight w:val="none"/>
        </w:rPr>
        <w:t>(采购代理机构名称)：</w:t>
      </w:r>
    </w:p>
    <w:p>
      <w:pPr>
        <w:pStyle w:val="42"/>
        <w:ind w:firstLine="480" w:firstLineChars="200"/>
        <w:rPr>
          <w:highlight w:val="none"/>
        </w:rPr>
      </w:pPr>
      <w:r>
        <w:rPr>
          <w:rFonts w:hint="eastAsia"/>
          <w:highlight w:val="none"/>
        </w:rPr>
        <w:t>我公司作为本次采购项目的投标供应商，根据招标文件要求，现郑重承诺如下：</w:t>
      </w:r>
    </w:p>
    <w:p>
      <w:pPr>
        <w:pStyle w:val="35"/>
        <w:numPr>
          <w:ilvl w:val="2"/>
          <w:numId w:val="20"/>
        </w:numPr>
        <w:ind w:firstLine="480"/>
        <w:rPr>
          <w:highlight w:val="none"/>
        </w:rPr>
      </w:pPr>
      <w:r>
        <w:rPr>
          <w:rFonts w:hint="eastAsia"/>
          <w:highlight w:val="none"/>
        </w:rPr>
        <w:t xml:space="preserve">具有良好的商业信誉和健全的财务会计制度； </w:t>
      </w:r>
    </w:p>
    <w:p>
      <w:pPr>
        <w:pStyle w:val="35"/>
        <w:numPr>
          <w:ilvl w:val="2"/>
          <w:numId w:val="20"/>
        </w:numPr>
        <w:ind w:firstLine="480"/>
        <w:rPr>
          <w:highlight w:val="none"/>
        </w:rPr>
      </w:pPr>
      <w:r>
        <w:rPr>
          <w:rFonts w:hint="eastAsia"/>
          <w:highlight w:val="none"/>
        </w:rPr>
        <w:t xml:space="preserve">具有履行合同所必需的设备和专业技术能力； </w:t>
      </w:r>
    </w:p>
    <w:p>
      <w:pPr>
        <w:pStyle w:val="35"/>
        <w:numPr>
          <w:ilvl w:val="2"/>
          <w:numId w:val="20"/>
        </w:numPr>
        <w:ind w:firstLine="480"/>
        <w:rPr>
          <w:highlight w:val="none"/>
        </w:rPr>
      </w:pPr>
      <w:r>
        <w:rPr>
          <w:rFonts w:hint="eastAsia"/>
          <w:highlight w:val="none"/>
        </w:rPr>
        <w:t xml:space="preserve">具有依法缴纳税收和社会保障资金的良好记录； </w:t>
      </w:r>
    </w:p>
    <w:p>
      <w:pPr>
        <w:pStyle w:val="35"/>
        <w:numPr>
          <w:ilvl w:val="2"/>
          <w:numId w:val="20"/>
        </w:numPr>
        <w:ind w:firstLine="480"/>
        <w:rPr>
          <w:highlight w:val="none"/>
        </w:rPr>
      </w:pPr>
      <w:r>
        <w:rPr>
          <w:rFonts w:hint="eastAsia"/>
          <w:highlight w:val="none"/>
        </w:rPr>
        <w:t>参加本次政府采购活动前三年内，在经营活动中没有重大违法记录(供应商成立不足三年的，从成立之日起计算)；</w:t>
      </w:r>
    </w:p>
    <w:p>
      <w:pPr>
        <w:pStyle w:val="35"/>
        <w:numPr>
          <w:ilvl w:val="2"/>
          <w:numId w:val="20"/>
        </w:numPr>
        <w:ind w:firstLine="480"/>
        <w:rPr>
          <w:highlight w:val="none"/>
        </w:rPr>
      </w:pPr>
      <w:r>
        <w:rPr>
          <w:rFonts w:hint="eastAsia"/>
          <w:highlight w:val="none"/>
        </w:rPr>
        <w:t>符合法律、行政法规规定的其他条件；</w:t>
      </w:r>
    </w:p>
    <w:p>
      <w:pPr>
        <w:pStyle w:val="35"/>
        <w:numPr>
          <w:ilvl w:val="2"/>
          <w:numId w:val="20"/>
        </w:numPr>
        <w:ind w:firstLine="480"/>
        <w:rPr>
          <w:highlight w:val="none"/>
        </w:rPr>
      </w:pPr>
      <w:r>
        <w:rPr>
          <w:rFonts w:hint="eastAsia"/>
          <w:highlight w:val="none"/>
          <w:lang w:val="en-US" w:eastAsia="zh-CN"/>
        </w:rPr>
        <w:t>我公司未与其他投标人组成联合体参加投标。</w:t>
      </w:r>
    </w:p>
    <w:p>
      <w:pPr>
        <w:pStyle w:val="46"/>
        <w:rPr>
          <w:highlight w:val="none"/>
        </w:rPr>
      </w:pPr>
      <w:r>
        <w:rPr>
          <w:rFonts w:hint="eastAsia"/>
          <w:highlight w:val="none"/>
        </w:rPr>
        <w:t>本公司对上述承诺的内容事项真实性、合法性负责。如经查实上述承诺的内容事项存在虚假，我公司自愿接受以提供虚假材料谋取中标所带来的所有法律责任。</w:t>
      </w:r>
    </w:p>
    <w:p>
      <w:pPr>
        <w:pStyle w:val="42"/>
        <w:rPr>
          <w:highlight w:val="none"/>
        </w:rPr>
      </w:pPr>
    </w:p>
    <w:p>
      <w:pPr>
        <w:pStyle w:val="42"/>
        <w:rPr>
          <w:highlight w:val="none"/>
        </w:rPr>
      </w:pPr>
    </w:p>
    <w:p>
      <w:pPr>
        <w:pStyle w:val="46"/>
        <w:rPr>
          <w:highlight w:val="none"/>
        </w:rPr>
      </w:pPr>
      <w:r>
        <w:rPr>
          <w:rFonts w:hint="eastAsia"/>
          <w:highlight w:val="none"/>
        </w:rPr>
        <w:t>投标人名称：</w:t>
      </w:r>
      <w:r>
        <w:rPr>
          <w:rFonts w:hint="eastAsia"/>
          <w:highlight w:val="none"/>
          <w:u w:val="single"/>
        </w:rPr>
        <w:t xml:space="preserve">             </w:t>
      </w:r>
      <w:r>
        <w:rPr>
          <w:rFonts w:hint="eastAsia"/>
          <w:highlight w:val="none"/>
        </w:rPr>
        <w:t>(盖章)</w:t>
      </w:r>
    </w:p>
    <w:p>
      <w:pPr>
        <w:pStyle w:val="46"/>
        <w:rPr>
          <w:highlight w:val="none"/>
        </w:rPr>
      </w:pPr>
      <w:r>
        <w:rPr>
          <w:rFonts w:hint="eastAsia"/>
          <w:highlight w:val="none"/>
        </w:rPr>
        <w:t>法定代表人/单位负责人或授权代表：</w:t>
      </w:r>
      <w:r>
        <w:rPr>
          <w:rFonts w:hint="eastAsia"/>
          <w:highlight w:val="none"/>
          <w:u w:val="single"/>
        </w:rPr>
        <w:t xml:space="preserve">            </w:t>
      </w:r>
      <w:r>
        <w:rPr>
          <w:rFonts w:hint="eastAsia"/>
          <w:highlight w:val="none"/>
        </w:rPr>
        <w:t>(签字或盖章)</w:t>
      </w:r>
    </w:p>
    <w:p>
      <w:pPr>
        <w:pStyle w:val="46"/>
        <w:rPr>
          <w:highlight w:val="none"/>
        </w:rPr>
      </w:pPr>
      <w:r>
        <w:rPr>
          <w:rFonts w:hint="eastAsia"/>
          <w:highlight w:val="none"/>
        </w:rPr>
        <w:t>投标日期：</w:t>
      </w:r>
      <w:r>
        <w:rPr>
          <w:rFonts w:hint="eastAsia"/>
          <w:highlight w:val="none"/>
          <w:u w:val="single"/>
        </w:rPr>
        <w:t xml:space="preserve">                </w:t>
      </w:r>
      <w:r>
        <w:rPr>
          <w:rFonts w:hint="eastAsia"/>
          <w:highlight w:val="none"/>
        </w:rPr>
        <w:t xml:space="preserve">  </w:t>
      </w:r>
    </w:p>
    <w:p>
      <w:pPr>
        <w:pStyle w:val="47"/>
        <w:ind w:firstLine="482"/>
        <w:rPr>
          <w:highlight w:val="none"/>
        </w:rPr>
      </w:pPr>
      <w:r>
        <w:rPr>
          <w:rFonts w:hint="eastAsia"/>
          <w:highlight w:val="none"/>
        </w:rPr>
        <w:t>注：本部分所要求的承诺函可参照本格式或自拟格式填写均有效。</w:t>
      </w:r>
      <w:r>
        <w:rPr>
          <w:rFonts w:hint="eastAsia"/>
          <w:highlight w:val="none"/>
        </w:rPr>
        <w:br w:type="page"/>
      </w:r>
      <w:bookmarkStart w:id="1095" w:name="_Toc18702"/>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bookmarkStart w:id="1096" w:name="_Toc14607"/>
    </w:p>
    <w:p>
      <w:pPr>
        <w:pStyle w:val="42"/>
        <w:rPr>
          <w:highlight w:val="none"/>
        </w:rPr>
      </w:pPr>
    </w:p>
    <w:p>
      <w:pPr>
        <w:pStyle w:val="42"/>
        <w:rPr>
          <w:highlight w:val="none"/>
        </w:rPr>
      </w:pPr>
    </w:p>
    <w:p>
      <w:pPr>
        <w:pStyle w:val="42"/>
        <w:rPr>
          <w:highlight w:val="none"/>
        </w:rPr>
      </w:pPr>
    </w:p>
    <w:p>
      <w:pPr>
        <w:pStyle w:val="34"/>
        <w:numPr>
          <w:ilvl w:val="1"/>
          <w:numId w:val="0"/>
        </w:numPr>
        <w:jc w:val="center"/>
        <w:rPr>
          <w:sz w:val="32"/>
          <w:szCs w:val="32"/>
          <w:highlight w:val="none"/>
        </w:rPr>
      </w:pPr>
      <w:bookmarkStart w:id="1097" w:name="_Toc26647"/>
      <w:bookmarkStart w:id="1098" w:name="_Toc6480"/>
      <w:bookmarkStart w:id="1099" w:name="_Toc31965"/>
      <w:bookmarkStart w:id="1100" w:name="_Toc30388"/>
      <w:r>
        <w:rPr>
          <w:rFonts w:hint="eastAsia"/>
          <w:sz w:val="32"/>
          <w:szCs w:val="32"/>
          <w:highlight w:val="none"/>
        </w:rPr>
        <w:t>第二部分 其他投标文件(格式)</w:t>
      </w:r>
      <w:bookmarkEnd w:id="1096"/>
      <w:bookmarkEnd w:id="1097"/>
      <w:bookmarkEnd w:id="1098"/>
      <w:bookmarkEnd w:id="1099"/>
      <w:bookmarkEnd w:id="1100"/>
    </w:p>
    <w:p>
      <w:pPr>
        <w:pStyle w:val="42"/>
        <w:rPr>
          <w:highlight w:val="none"/>
        </w:rPr>
      </w:pPr>
      <w:bookmarkStart w:id="1101" w:name="_Toc26038"/>
      <w:r>
        <w:rPr>
          <w:rFonts w:hint="eastAsia"/>
          <w:highlight w:val="none"/>
        </w:rPr>
        <w:br w:type="page"/>
      </w:r>
    </w:p>
    <w:bookmarkEnd w:id="1095"/>
    <w:bookmarkEnd w:id="1101"/>
    <w:p>
      <w:pPr>
        <w:pStyle w:val="44"/>
        <w:numPr>
          <w:ilvl w:val="0"/>
          <w:numId w:val="21"/>
        </w:numPr>
        <w:spacing w:before="120" w:after="120"/>
        <w:ind w:firstLine="0"/>
        <w:rPr>
          <w:highlight w:val="none"/>
        </w:rPr>
      </w:pPr>
      <w:bookmarkStart w:id="1102" w:name="_Toc11229"/>
      <w:bookmarkStart w:id="1103" w:name="_Toc7772"/>
      <w:bookmarkStart w:id="1104" w:name="_Toc2321"/>
      <w:bookmarkStart w:id="1105" w:name="_Toc2311"/>
      <w:bookmarkStart w:id="1106" w:name="_Toc21319"/>
      <w:bookmarkStart w:id="1107" w:name="_Toc24128"/>
      <w:bookmarkStart w:id="1108" w:name="_Toc30133"/>
      <w:bookmarkStart w:id="1109" w:name="_Toc19766"/>
      <w:bookmarkStart w:id="1110" w:name="_Toc5308"/>
      <w:bookmarkStart w:id="1111" w:name="_Toc1650"/>
      <w:r>
        <w:rPr>
          <w:rFonts w:hint="eastAsia"/>
          <w:highlight w:val="none"/>
        </w:rPr>
        <w:t>投标函</w:t>
      </w:r>
      <w:bookmarkEnd w:id="1102"/>
      <w:bookmarkEnd w:id="1103"/>
      <w:bookmarkEnd w:id="1104"/>
      <w:bookmarkEnd w:id="1105"/>
      <w:bookmarkEnd w:id="1106"/>
      <w:bookmarkEnd w:id="1107"/>
    </w:p>
    <w:p>
      <w:pPr>
        <w:pStyle w:val="42"/>
        <w:spacing w:line="520" w:lineRule="exact"/>
        <w:rPr>
          <w:highlight w:val="none"/>
          <w:lang w:val="zh-CN"/>
        </w:rPr>
      </w:pPr>
      <w:r>
        <w:rPr>
          <w:rFonts w:hint="eastAsia"/>
          <w:highlight w:val="none"/>
          <w:lang w:val="zh-CN"/>
        </w:rPr>
        <w:t>致：四川乾新招投标代理有限公司　</w:t>
      </w:r>
    </w:p>
    <w:p>
      <w:pPr>
        <w:pStyle w:val="46"/>
        <w:spacing w:line="520" w:lineRule="exact"/>
        <w:rPr>
          <w:highlight w:val="none"/>
        </w:rPr>
      </w:pPr>
      <w:r>
        <w:rPr>
          <w:rFonts w:hint="eastAsia"/>
          <w:highlight w:val="none"/>
        </w:rPr>
        <w:t>我方全面研究了“</w:t>
      </w:r>
      <w:r>
        <w:rPr>
          <w:rFonts w:hint="eastAsia"/>
          <w:highlight w:val="none"/>
          <w:u w:val="single"/>
        </w:rPr>
        <w:t xml:space="preserve">               </w:t>
      </w:r>
      <w:r>
        <w:rPr>
          <w:rFonts w:hint="eastAsia"/>
          <w:highlight w:val="none"/>
        </w:rPr>
        <w:t>(项目名称)(项目编号：</w:t>
      </w:r>
      <w:r>
        <w:rPr>
          <w:rFonts w:hint="eastAsia"/>
          <w:highlight w:val="none"/>
          <w:u w:val="single"/>
        </w:rPr>
        <w:t xml:space="preserve">               </w:t>
      </w:r>
      <w:r>
        <w:rPr>
          <w:rFonts w:hint="eastAsia"/>
          <w:highlight w:val="none"/>
        </w:rPr>
        <w:t>)”的招标文件，决定参加贵单位组织的本项目投标。我方授权</w:t>
      </w:r>
      <w:r>
        <w:rPr>
          <w:rFonts w:hint="eastAsia"/>
          <w:highlight w:val="none"/>
          <w:u w:val="single"/>
        </w:rPr>
        <w:t xml:space="preserve">               </w:t>
      </w:r>
      <w:r>
        <w:rPr>
          <w:rFonts w:hint="eastAsia"/>
          <w:highlight w:val="none"/>
        </w:rPr>
        <w:t>(姓名、职务)代表我方</w:t>
      </w:r>
      <w:r>
        <w:rPr>
          <w:rFonts w:hint="eastAsia"/>
          <w:highlight w:val="none"/>
          <w:u w:val="single"/>
        </w:rPr>
        <w:t xml:space="preserve">               </w:t>
      </w:r>
      <w:r>
        <w:rPr>
          <w:rFonts w:hint="eastAsia"/>
          <w:highlight w:val="none"/>
        </w:rPr>
        <w:t>(投标人名称)全权处理本项目投标的有关事宜。</w:t>
      </w:r>
    </w:p>
    <w:p>
      <w:pPr>
        <w:pStyle w:val="35"/>
        <w:numPr>
          <w:ilvl w:val="2"/>
          <w:numId w:val="22"/>
        </w:numPr>
        <w:spacing w:line="520" w:lineRule="exact"/>
        <w:ind w:firstLine="480"/>
        <w:rPr>
          <w:highlight w:val="none"/>
        </w:rPr>
      </w:pPr>
      <w:r>
        <w:rPr>
          <w:rFonts w:hint="eastAsia"/>
          <w:highlight w:val="none"/>
          <w:u w:val="none"/>
        </w:rPr>
        <w:t>我方自愿按照招标文件规定的各项要求向采购人提供所需服务，投标</w:t>
      </w:r>
      <w:r>
        <w:rPr>
          <w:rFonts w:hint="eastAsia"/>
          <w:highlight w:val="none"/>
          <w:u w:val="none"/>
          <w:lang w:val="en-US" w:eastAsia="zh-CN"/>
        </w:rPr>
        <w:t>报价</w:t>
      </w:r>
      <w:r>
        <w:rPr>
          <w:rFonts w:hint="eastAsia"/>
          <w:highlight w:val="none"/>
          <w:u w:val="none"/>
        </w:rPr>
        <w:t>为人民币</w:t>
      </w:r>
      <w:r>
        <w:rPr>
          <w:rFonts w:hint="eastAsia"/>
          <w:highlight w:val="none"/>
          <w:u w:val="none"/>
          <w:lang w:eastAsia="zh-CN"/>
        </w:rPr>
        <w:t>：</w:t>
      </w:r>
      <w:r>
        <w:rPr>
          <w:rFonts w:hint="eastAsia"/>
          <w:highlight w:val="none"/>
          <w:u w:val="none"/>
          <w:lang w:val="en-US" w:eastAsia="zh-CN"/>
        </w:rPr>
        <w:t>①新增案件扫描及整理归档服务：按案件计价，投标报价为</w:t>
      </w:r>
      <w:r>
        <w:rPr>
          <w:rFonts w:hint="eastAsia"/>
          <w:highlight w:val="none"/>
          <w:u w:val="single"/>
          <w:lang w:val="en-US" w:eastAsia="zh-CN"/>
        </w:rPr>
        <w:t xml:space="preserve">    </w:t>
      </w:r>
      <w:r>
        <w:rPr>
          <w:rFonts w:hint="eastAsia"/>
          <w:highlight w:val="none"/>
          <w:u w:val="none"/>
          <w:lang w:val="en-US" w:eastAsia="zh-CN"/>
        </w:rPr>
        <w:t>元/件；②迈维系统案件补充扫描服务及电子卷宗智能编目服务：按劳务派遣计价，投标报价为</w:t>
      </w:r>
      <w:r>
        <w:rPr>
          <w:rFonts w:hint="eastAsia"/>
          <w:highlight w:val="none"/>
          <w:u w:val="single"/>
          <w:lang w:val="en-US" w:eastAsia="zh-CN"/>
        </w:rPr>
        <w:t xml:space="preserve">    </w:t>
      </w:r>
      <w:r>
        <w:rPr>
          <w:rFonts w:hint="eastAsia"/>
          <w:highlight w:val="none"/>
          <w:u w:val="none"/>
          <w:lang w:val="en-US" w:eastAsia="zh-CN"/>
        </w:rPr>
        <w:t>元/人/年</w:t>
      </w:r>
      <w:r>
        <w:rPr>
          <w:rFonts w:hint="eastAsia"/>
          <w:highlight w:val="none"/>
          <w:u w:val="none"/>
        </w:rPr>
        <w:t>，我方将严格履</w:t>
      </w:r>
      <w:r>
        <w:rPr>
          <w:rFonts w:hint="eastAsia"/>
          <w:highlight w:val="none"/>
        </w:rPr>
        <w:t>行合同规定的责任和义务，</w:t>
      </w:r>
      <w:r>
        <w:rPr>
          <w:rFonts w:hint="eastAsia"/>
          <w:highlight w:val="none"/>
          <w:lang w:val="en-US" w:eastAsia="zh-CN"/>
        </w:rPr>
        <w:t>服务期限</w:t>
      </w:r>
      <w:r>
        <w:rPr>
          <w:rFonts w:hint="eastAsia"/>
          <w:highlight w:val="none"/>
        </w:rPr>
        <w:t>为</w:t>
      </w:r>
      <w:r>
        <w:rPr>
          <w:rFonts w:hint="eastAsia"/>
          <w:highlight w:val="none"/>
          <w:u w:val="single"/>
        </w:rPr>
        <w:t xml:space="preserve">             </w:t>
      </w:r>
      <w:r>
        <w:rPr>
          <w:rFonts w:hint="eastAsia"/>
          <w:b/>
          <w:bCs/>
          <w:highlight w:val="none"/>
        </w:rPr>
        <w:t>。</w:t>
      </w:r>
    </w:p>
    <w:p>
      <w:pPr>
        <w:pStyle w:val="35"/>
        <w:numPr>
          <w:ilvl w:val="2"/>
          <w:numId w:val="22"/>
        </w:numPr>
        <w:spacing w:line="520" w:lineRule="exact"/>
        <w:ind w:firstLine="480"/>
        <w:rPr>
          <w:highlight w:val="none"/>
        </w:rPr>
      </w:pPr>
      <w:r>
        <w:rPr>
          <w:rFonts w:hint="eastAsia"/>
          <w:highlight w:val="none"/>
        </w:rPr>
        <w:t>我方承诺：投标有效期为提交投标文件的截止之日起90日。</w:t>
      </w:r>
    </w:p>
    <w:p>
      <w:pPr>
        <w:pStyle w:val="35"/>
        <w:numPr>
          <w:ilvl w:val="2"/>
          <w:numId w:val="22"/>
        </w:numPr>
        <w:spacing w:line="520" w:lineRule="exact"/>
        <w:ind w:firstLine="480"/>
        <w:rPr>
          <w:highlight w:val="none"/>
        </w:rPr>
      </w:pPr>
      <w:r>
        <w:rPr>
          <w:rFonts w:hint="eastAsia"/>
          <w:highlight w:val="none"/>
        </w:rPr>
        <w:t>我方完全理解采购人不一定将合同授予最低报价的投标人的行为。</w:t>
      </w:r>
    </w:p>
    <w:p>
      <w:pPr>
        <w:pStyle w:val="35"/>
        <w:numPr>
          <w:ilvl w:val="2"/>
          <w:numId w:val="22"/>
        </w:numPr>
        <w:spacing w:line="520" w:lineRule="exact"/>
        <w:ind w:firstLine="480"/>
        <w:rPr>
          <w:highlight w:val="none"/>
        </w:rPr>
      </w:pPr>
      <w:r>
        <w:rPr>
          <w:rFonts w:hint="eastAsia"/>
          <w:highlight w:val="none"/>
        </w:rPr>
        <w:t>一旦我方中标：</w:t>
      </w:r>
    </w:p>
    <w:p>
      <w:pPr>
        <w:pStyle w:val="35"/>
        <w:numPr>
          <w:ilvl w:val="2"/>
          <w:numId w:val="0"/>
        </w:numPr>
        <w:ind w:firstLine="480" w:firstLineChars="200"/>
        <w:rPr>
          <w:highlight w:val="none"/>
        </w:rPr>
      </w:pPr>
      <w:r>
        <w:rPr>
          <w:rFonts w:hint="eastAsia"/>
          <w:highlight w:val="none"/>
        </w:rPr>
        <w:t>(l)我方承诺在收到中标通知书后，在规定的期限内与采购人签订合同。</w:t>
      </w:r>
    </w:p>
    <w:p>
      <w:pPr>
        <w:pStyle w:val="35"/>
        <w:numPr>
          <w:ilvl w:val="2"/>
          <w:numId w:val="0"/>
        </w:numPr>
        <w:ind w:firstLine="480" w:firstLineChars="200"/>
        <w:rPr>
          <w:highlight w:val="none"/>
        </w:rPr>
      </w:pPr>
      <w:r>
        <w:rPr>
          <w:rFonts w:hint="eastAsia"/>
          <w:highlight w:val="none"/>
        </w:rPr>
        <w:t>(2)我方将严格履行政府采购合同规定的责任和义务。</w:t>
      </w:r>
    </w:p>
    <w:p>
      <w:pPr>
        <w:pStyle w:val="35"/>
        <w:numPr>
          <w:ilvl w:val="2"/>
          <w:numId w:val="0"/>
        </w:numPr>
        <w:ind w:firstLine="480" w:firstLineChars="200"/>
        <w:rPr>
          <w:highlight w:val="none"/>
        </w:rPr>
      </w:pPr>
      <w:r>
        <w:rPr>
          <w:rFonts w:hint="eastAsia"/>
          <w:highlight w:val="none"/>
        </w:rPr>
        <w:t>(3)我方同意本招标文件</w:t>
      </w:r>
      <w:r>
        <w:rPr>
          <w:rFonts w:hint="eastAsia"/>
          <w:highlight w:val="none"/>
          <w:lang w:val="en-US" w:eastAsia="zh-CN"/>
        </w:rPr>
        <w:t>参照</w:t>
      </w:r>
      <w:r>
        <w:rPr>
          <w:rFonts w:hint="eastAsia"/>
          <w:highlight w:val="none"/>
        </w:rPr>
        <w:t>《四川省政府采购当事人诚信管理办法》(川财采〔2015〕33号文件)对我方可能存在的失信行为进行惩戒，并予以承认。</w:t>
      </w:r>
    </w:p>
    <w:p>
      <w:pPr>
        <w:pStyle w:val="35"/>
        <w:numPr>
          <w:ilvl w:val="2"/>
          <w:numId w:val="0"/>
        </w:numPr>
        <w:ind w:firstLine="480" w:firstLineChars="200"/>
        <w:rPr>
          <w:highlight w:val="none"/>
        </w:rPr>
      </w:pPr>
      <w:r>
        <w:rPr>
          <w:rFonts w:hint="eastAsia"/>
          <w:highlight w:val="none"/>
        </w:rPr>
        <w:t>(4)我方愿意提供与投标报价有关的文件资料，并保证我方已提供和将要提供的文件资料是真实、准确的。</w:t>
      </w:r>
    </w:p>
    <w:p>
      <w:pPr>
        <w:pStyle w:val="35"/>
        <w:numPr>
          <w:ilvl w:val="2"/>
          <w:numId w:val="0"/>
        </w:numPr>
        <w:ind w:firstLine="480" w:firstLineChars="200"/>
        <w:rPr>
          <w:highlight w:val="none"/>
        </w:rPr>
      </w:pPr>
      <w:r>
        <w:rPr>
          <w:rFonts w:hint="eastAsia"/>
          <w:highlight w:val="none"/>
        </w:rPr>
        <w:t>(5)我方自愿按照招标文件规定的各项要求完成采购项目，接受采购人按照政府采购合同约定金额支付采购资金。</w:t>
      </w:r>
    </w:p>
    <w:p>
      <w:pPr>
        <w:pStyle w:val="35"/>
        <w:numPr>
          <w:ilvl w:val="2"/>
          <w:numId w:val="0"/>
        </w:numPr>
        <w:ind w:firstLine="480" w:firstLineChars="200"/>
        <w:rPr>
          <w:highlight w:val="none"/>
        </w:rPr>
      </w:pPr>
      <w:r>
        <w:rPr>
          <w:rFonts w:hint="eastAsia"/>
          <w:highlight w:val="none"/>
        </w:rPr>
        <w:t>(6)我方在参与本项目履约过程中涉及国家相关强制标准的，均按照该标准执行。</w:t>
      </w:r>
    </w:p>
    <w:p>
      <w:pPr>
        <w:pStyle w:val="35"/>
        <w:numPr>
          <w:ilvl w:val="2"/>
          <w:numId w:val="22"/>
        </w:numPr>
        <w:spacing w:line="520" w:lineRule="exact"/>
        <w:ind w:firstLine="480"/>
        <w:rPr>
          <w:highlight w:val="none"/>
        </w:rPr>
      </w:pPr>
      <w:r>
        <w:rPr>
          <w:rFonts w:hint="eastAsia"/>
          <w:highlight w:val="none"/>
        </w:rPr>
        <w:t>我方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42"/>
        <w:spacing w:line="520" w:lineRule="exact"/>
        <w:rPr>
          <w:highlight w:val="none"/>
        </w:rPr>
      </w:pPr>
    </w:p>
    <w:p>
      <w:pPr>
        <w:pStyle w:val="42"/>
        <w:spacing w:line="520" w:lineRule="exact"/>
        <w:ind w:firstLine="480" w:firstLineChars="200"/>
        <w:rPr>
          <w:highlight w:val="none"/>
        </w:rPr>
      </w:pPr>
      <w:r>
        <w:rPr>
          <w:rFonts w:hint="eastAsia"/>
          <w:highlight w:val="none"/>
        </w:rPr>
        <w:t>投标人名称：</w:t>
      </w:r>
      <w:r>
        <w:rPr>
          <w:rFonts w:hint="eastAsia" w:asciiTheme="minorEastAsia" w:hAnsiTheme="minorEastAsia" w:eastAsiaTheme="minorEastAsia" w:cstheme="minorEastAsia"/>
          <w:bCs/>
          <w:highlight w:val="none"/>
          <w:u w:val="single"/>
        </w:rPr>
        <w:t xml:space="preserve">               </w:t>
      </w:r>
      <w:r>
        <w:rPr>
          <w:rFonts w:hint="eastAsia"/>
          <w:highlight w:val="none"/>
        </w:rPr>
        <w:t>(盖章)</w:t>
      </w:r>
    </w:p>
    <w:p>
      <w:pPr>
        <w:pStyle w:val="42"/>
        <w:spacing w:line="520" w:lineRule="exact"/>
        <w:ind w:firstLine="480" w:firstLineChars="200"/>
        <w:rPr>
          <w:highlight w:val="none"/>
        </w:rPr>
      </w:pPr>
      <w:r>
        <w:rPr>
          <w:rFonts w:hint="eastAsia"/>
          <w:highlight w:val="none"/>
        </w:rPr>
        <w:t>法定代表人/单位负责人或授权代表：</w:t>
      </w:r>
      <w:r>
        <w:rPr>
          <w:rFonts w:hint="eastAsia" w:asciiTheme="minorEastAsia" w:hAnsiTheme="minorEastAsia" w:eastAsiaTheme="minorEastAsia" w:cstheme="minorEastAsia"/>
          <w:bCs/>
          <w:highlight w:val="none"/>
          <w:u w:val="single"/>
        </w:rPr>
        <w:t xml:space="preserve">               </w:t>
      </w:r>
      <w:r>
        <w:rPr>
          <w:rFonts w:hint="eastAsia"/>
          <w:highlight w:val="none"/>
        </w:rPr>
        <w:t>(签字或盖章)</w:t>
      </w:r>
    </w:p>
    <w:p>
      <w:pPr>
        <w:pStyle w:val="42"/>
        <w:spacing w:line="520" w:lineRule="exact"/>
        <w:ind w:firstLine="480" w:firstLineChars="200"/>
        <w:rPr>
          <w:highlight w:val="none"/>
        </w:rPr>
      </w:pPr>
      <w:r>
        <w:rPr>
          <w:rFonts w:hint="eastAsia"/>
          <w:highlight w:val="none"/>
        </w:rPr>
        <w:t>通讯地址：</w:t>
      </w:r>
      <w:r>
        <w:rPr>
          <w:rFonts w:hint="eastAsia" w:asciiTheme="minorEastAsia" w:hAnsiTheme="minorEastAsia" w:eastAsiaTheme="minorEastAsia" w:cstheme="minorEastAsia"/>
          <w:bCs/>
          <w:highlight w:val="none"/>
          <w:u w:val="single"/>
        </w:rPr>
        <w:t xml:space="preserve">               </w:t>
      </w:r>
      <w:r>
        <w:rPr>
          <w:rFonts w:hint="eastAsia"/>
          <w:highlight w:val="none"/>
        </w:rPr>
        <w:t xml:space="preserve">               </w:t>
      </w:r>
    </w:p>
    <w:p>
      <w:pPr>
        <w:pStyle w:val="42"/>
        <w:spacing w:line="520" w:lineRule="exact"/>
        <w:ind w:firstLine="480" w:firstLineChars="200"/>
        <w:rPr>
          <w:highlight w:val="none"/>
        </w:rPr>
      </w:pPr>
      <w:r>
        <w:rPr>
          <w:rFonts w:hint="eastAsia"/>
          <w:highlight w:val="none"/>
        </w:rPr>
        <w:t>邮政编码：</w:t>
      </w:r>
      <w:r>
        <w:rPr>
          <w:rFonts w:hint="eastAsia" w:asciiTheme="minorEastAsia" w:hAnsiTheme="minorEastAsia" w:eastAsiaTheme="minorEastAsia" w:cstheme="minorEastAsia"/>
          <w:bCs/>
          <w:highlight w:val="none"/>
          <w:u w:val="single"/>
        </w:rPr>
        <w:t xml:space="preserve">               </w:t>
      </w:r>
      <w:r>
        <w:rPr>
          <w:rFonts w:hint="eastAsia"/>
          <w:highlight w:val="none"/>
        </w:rPr>
        <w:t xml:space="preserve">               </w:t>
      </w:r>
    </w:p>
    <w:p>
      <w:pPr>
        <w:pStyle w:val="42"/>
        <w:spacing w:line="520" w:lineRule="exact"/>
        <w:ind w:firstLine="480" w:firstLineChars="200"/>
        <w:rPr>
          <w:highlight w:val="none"/>
        </w:rPr>
      </w:pPr>
      <w:r>
        <w:rPr>
          <w:rFonts w:hint="eastAsia"/>
          <w:highlight w:val="none"/>
        </w:rPr>
        <w:t>联系电话：</w:t>
      </w:r>
      <w:r>
        <w:rPr>
          <w:rFonts w:hint="eastAsia" w:asciiTheme="minorEastAsia" w:hAnsiTheme="minorEastAsia" w:eastAsiaTheme="minorEastAsia" w:cstheme="minorEastAsia"/>
          <w:bCs/>
          <w:highlight w:val="none"/>
          <w:u w:val="single"/>
        </w:rPr>
        <w:t xml:space="preserve">               </w:t>
      </w:r>
      <w:r>
        <w:rPr>
          <w:rFonts w:hint="eastAsia"/>
          <w:highlight w:val="none"/>
        </w:rPr>
        <w:t xml:space="preserve">               </w:t>
      </w:r>
    </w:p>
    <w:p>
      <w:pPr>
        <w:pStyle w:val="42"/>
        <w:spacing w:line="520" w:lineRule="exact"/>
        <w:ind w:firstLine="480" w:firstLineChars="200"/>
        <w:rPr>
          <w:highlight w:val="none"/>
        </w:rPr>
      </w:pPr>
      <w:r>
        <w:rPr>
          <w:rFonts w:hint="eastAsia"/>
          <w:highlight w:val="none"/>
        </w:rPr>
        <w:t>传    真：</w:t>
      </w:r>
      <w:r>
        <w:rPr>
          <w:rFonts w:hint="eastAsia" w:asciiTheme="minorEastAsia" w:hAnsiTheme="minorEastAsia" w:eastAsiaTheme="minorEastAsia" w:cstheme="minorEastAsia"/>
          <w:bCs/>
          <w:highlight w:val="none"/>
          <w:u w:val="single"/>
        </w:rPr>
        <w:t xml:space="preserve">               </w:t>
      </w:r>
      <w:r>
        <w:rPr>
          <w:rFonts w:hint="eastAsia"/>
          <w:highlight w:val="none"/>
        </w:rPr>
        <w:t xml:space="preserve">               </w:t>
      </w:r>
    </w:p>
    <w:p>
      <w:pPr>
        <w:pStyle w:val="42"/>
        <w:spacing w:line="520" w:lineRule="exact"/>
        <w:ind w:firstLine="480" w:firstLineChars="200"/>
        <w:rPr>
          <w:highlight w:val="none"/>
        </w:rPr>
      </w:pPr>
      <w:r>
        <w:rPr>
          <w:rFonts w:hint="eastAsia"/>
          <w:highlight w:val="none"/>
        </w:rPr>
        <w:t>投标日期：</w:t>
      </w:r>
      <w:r>
        <w:rPr>
          <w:rFonts w:hint="eastAsia" w:asciiTheme="minorEastAsia" w:hAnsiTheme="minorEastAsia" w:eastAsiaTheme="minorEastAsia" w:cstheme="minorEastAsia"/>
          <w:bCs/>
          <w:highlight w:val="none"/>
          <w:u w:val="single"/>
        </w:rPr>
        <w:t xml:space="preserve">               </w:t>
      </w:r>
      <w:r>
        <w:rPr>
          <w:rFonts w:hint="eastAsia"/>
          <w:highlight w:val="none"/>
        </w:rPr>
        <w:t xml:space="preserve">     </w:t>
      </w:r>
    </w:p>
    <w:p>
      <w:pPr>
        <w:rPr>
          <w:highlight w:val="none"/>
        </w:rPr>
      </w:pPr>
      <w:r>
        <w:rPr>
          <w:rFonts w:hint="eastAsia"/>
          <w:highlight w:val="none"/>
        </w:rPr>
        <w:br w:type="page"/>
      </w:r>
    </w:p>
    <w:p>
      <w:pPr>
        <w:pStyle w:val="44"/>
        <w:numPr>
          <w:ilvl w:val="0"/>
          <w:numId w:val="21"/>
        </w:numPr>
        <w:spacing w:before="120" w:after="120"/>
        <w:ind w:firstLine="0"/>
        <w:rPr>
          <w:highlight w:val="none"/>
        </w:rPr>
      </w:pPr>
      <w:bookmarkStart w:id="1112" w:name="_Toc638"/>
      <w:bookmarkStart w:id="1113" w:name="_Toc5184"/>
      <w:bookmarkStart w:id="1114" w:name="_Toc19223"/>
      <w:bookmarkStart w:id="1115" w:name="_Toc19392"/>
      <w:r>
        <w:rPr>
          <w:rFonts w:hint="eastAsia"/>
          <w:highlight w:val="none"/>
        </w:rPr>
        <w:t>实质性要求承诺</w:t>
      </w:r>
      <w:bookmarkEnd w:id="1112"/>
      <w:bookmarkEnd w:id="1113"/>
      <w:bookmarkEnd w:id="1114"/>
      <w:bookmarkEnd w:id="1115"/>
    </w:p>
    <w:p>
      <w:pPr>
        <w:pStyle w:val="42"/>
        <w:rPr>
          <w:highlight w:val="none"/>
        </w:rPr>
      </w:pPr>
      <w:r>
        <w:rPr>
          <w:rFonts w:hint="eastAsia"/>
          <w:highlight w:val="none"/>
          <w:u w:val="single"/>
        </w:rPr>
        <w:t xml:space="preserve">                   </w:t>
      </w:r>
      <w:r>
        <w:rPr>
          <w:rFonts w:hint="eastAsia"/>
          <w:highlight w:val="none"/>
        </w:rPr>
        <w:t>(采购代理机构名称)：</w:t>
      </w:r>
    </w:p>
    <w:p>
      <w:pPr>
        <w:pStyle w:val="46"/>
        <w:rPr>
          <w:highlight w:val="none"/>
        </w:rPr>
      </w:pPr>
      <w:r>
        <w:rPr>
          <w:rFonts w:hint="eastAsia"/>
          <w:highlight w:val="none"/>
        </w:rPr>
        <w:t>我方作为本次采购项目的投标人，根据招标文件要求，现郑重承诺及声明如下：</w:t>
      </w:r>
    </w:p>
    <w:p>
      <w:pPr>
        <w:pStyle w:val="35"/>
        <w:numPr>
          <w:ilvl w:val="2"/>
          <w:numId w:val="23"/>
        </w:numPr>
        <w:ind w:firstLine="480"/>
        <w:rPr>
          <w:highlight w:val="none"/>
        </w:rPr>
      </w:pPr>
      <w:r>
        <w:rPr>
          <w:rFonts w:hint="eastAsia"/>
          <w:highlight w:val="none"/>
        </w:rPr>
        <w:t>我方已认真阅读并接受本项目采购文件的全部实质性要求。</w:t>
      </w:r>
    </w:p>
    <w:p>
      <w:pPr>
        <w:pStyle w:val="35"/>
        <w:numPr>
          <w:ilvl w:val="2"/>
          <w:numId w:val="23"/>
        </w:numPr>
        <w:ind w:firstLine="480"/>
        <w:rPr>
          <w:highlight w:val="none"/>
        </w:rPr>
      </w:pPr>
      <w:r>
        <w:rPr>
          <w:rFonts w:hint="eastAsia"/>
          <w:highlight w:val="none"/>
        </w:rPr>
        <w:t>我方参加本次采购活动，不存在与单位负责人为同一人或者存在直接控股、管理关系的其他供应商参与同一合同项下的政府采购活动的行为。与我方存在直接控股关系的单位为：</w:t>
      </w:r>
      <w:r>
        <w:rPr>
          <w:rFonts w:hint="eastAsia"/>
          <w:highlight w:val="none"/>
          <w:u w:val="single"/>
        </w:rPr>
        <w:t xml:space="preserve">                  </w:t>
      </w:r>
      <w:r>
        <w:rPr>
          <w:rFonts w:hint="eastAsia"/>
          <w:highlight w:val="none"/>
        </w:rPr>
        <w:t>；存在管理关系的单位为：</w:t>
      </w:r>
      <w:r>
        <w:rPr>
          <w:rFonts w:hint="eastAsia"/>
          <w:highlight w:val="none"/>
          <w:u w:val="single"/>
        </w:rPr>
        <w:t xml:space="preserve">                      </w:t>
      </w:r>
      <w:r>
        <w:rPr>
          <w:rFonts w:hint="eastAsia"/>
          <w:highlight w:val="none"/>
        </w:rPr>
        <w:t>。(如不存在直接控股、管理关系的相关供应商填“无”)。</w:t>
      </w:r>
    </w:p>
    <w:p>
      <w:pPr>
        <w:pStyle w:val="35"/>
        <w:numPr>
          <w:ilvl w:val="2"/>
          <w:numId w:val="23"/>
        </w:numPr>
        <w:ind w:firstLine="480"/>
        <w:rPr>
          <w:highlight w:val="none"/>
        </w:rPr>
      </w:pPr>
      <w:r>
        <w:rPr>
          <w:rFonts w:hint="eastAsia"/>
          <w:highlight w:val="none"/>
        </w:rPr>
        <w:t>我方参加本次采购活动前本单位未对本次采购项目提供过整体设计、规范编制或者项目管理、监理、检测等服务。</w:t>
      </w:r>
    </w:p>
    <w:p>
      <w:pPr>
        <w:pStyle w:val="35"/>
        <w:numPr>
          <w:ilvl w:val="2"/>
          <w:numId w:val="23"/>
        </w:numPr>
        <w:ind w:firstLine="480"/>
        <w:rPr>
          <w:highlight w:val="none"/>
        </w:rPr>
      </w:pPr>
      <w:r>
        <w:rPr>
          <w:rFonts w:hint="eastAsia"/>
          <w:highlight w:val="none"/>
        </w:rPr>
        <w:t>我方参加本次采购活动，不存在我单位实际控制人或者中高级管理人员是本项目采购代理机构的工作人员的情形。</w:t>
      </w:r>
    </w:p>
    <w:p>
      <w:pPr>
        <w:pStyle w:val="35"/>
        <w:numPr>
          <w:ilvl w:val="2"/>
          <w:numId w:val="23"/>
        </w:numPr>
        <w:ind w:firstLine="480"/>
        <w:rPr>
          <w:highlight w:val="none"/>
        </w:rPr>
      </w:pPr>
      <w:r>
        <w:rPr>
          <w:rFonts w:hint="eastAsia"/>
          <w:highlight w:val="none"/>
        </w:rPr>
        <w:t>我方参加本次采购活动，不存在同一母公司的两家以上的子公司以不同供应商身份同时参加本项目同一合同项下的采购活动的情形。</w:t>
      </w:r>
    </w:p>
    <w:p>
      <w:pPr>
        <w:pStyle w:val="35"/>
        <w:numPr>
          <w:ilvl w:val="2"/>
          <w:numId w:val="23"/>
        </w:numPr>
        <w:ind w:firstLine="480"/>
        <w:rPr>
          <w:highlight w:val="none"/>
        </w:rPr>
      </w:pPr>
      <w:r>
        <w:rPr>
          <w:rFonts w:hint="eastAsia"/>
          <w:highlight w:val="none"/>
        </w:rPr>
        <w:t>我方参加本次采购活动，与采购代理机构不存在关联关系，不为采购代理机构的母公司或子公司。</w:t>
      </w:r>
    </w:p>
    <w:p>
      <w:pPr>
        <w:pStyle w:val="35"/>
        <w:numPr>
          <w:ilvl w:val="2"/>
          <w:numId w:val="23"/>
        </w:numPr>
        <w:ind w:firstLine="480"/>
        <w:rPr>
          <w:highlight w:val="none"/>
        </w:rPr>
      </w:pPr>
      <w:r>
        <w:rPr>
          <w:rFonts w:hint="eastAsia"/>
          <w:highlight w:val="none"/>
        </w:rPr>
        <w:t>我方参加本次采购活动，不存在和其他供应商在同一合同项下的采购项目中，同时委托同一个自然人、同一家庭的人员、同一单位的人员作为代理人的行为。</w:t>
      </w:r>
    </w:p>
    <w:p>
      <w:pPr>
        <w:pStyle w:val="35"/>
        <w:numPr>
          <w:ilvl w:val="2"/>
          <w:numId w:val="23"/>
        </w:numPr>
        <w:ind w:firstLine="480"/>
        <w:rPr>
          <w:highlight w:val="none"/>
        </w:rPr>
      </w:pPr>
      <w:r>
        <w:rPr>
          <w:rFonts w:hint="eastAsia"/>
          <w:highlight w:val="none"/>
        </w:rPr>
        <w:t>如有《四川省政府采购当事人诚信管理办法》(川财采[2015]33号)规定的记入诚信档案的失信行为，将在响应文件中全面如实反映。</w:t>
      </w:r>
    </w:p>
    <w:p>
      <w:pPr>
        <w:pStyle w:val="35"/>
        <w:numPr>
          <w:ilvl w:val="2"/>
          <w:numId w:val="23"/>
        </w:numPr>
        <w:ind w:firstLine="480"/>
        <w:rPr>
          <w:highlight w:val="none"/>
        </w:rPr>
      </w:pPr>
      <w:r>
        <w:rPr>
          <w:rFonts w:hint="eastAsia"/>
          <w:highlight w:val="none"/>
        </w:rPr>
        <w:t>我方响应文件中提供的任何资料和技术、服务、商务等响应承诺情况都是真实的、有效的、合法的。</w:t>
      </w:r>
    </w:p>
    <w:p>
      <w:pPr>
        <w:pStyle w:val="35"/>
        <w:numPr>
          <w:ilvl w:val="2"/>
          <w:numId w:val="23"/>
        </w:numPr>
        <w:ind w:firstLine="480"/>
        <w:rPr>
          <w:highlight w:val="none"/>
        </w:rPr>
      </w:pPr>
      <w:r>
        <w:rPr>
          <w:rFonts w:hint="eastAsia"/>
          <w:highlight w:val="none"/>
        </w:rPr>
        <w:t>我方参加本次采购活动，我方完全同意招标文件中关于“投标费用”、“合同分包”、“合同转包”等实质性要求，并承诺严格按照招标文件要求履行。</w:t>
      </w:r>
    </w:p>
    <w:p>
      <w:pPr>
        <w:pStyle w:val="35"/>
        <w:numPr>
          <w:ilvl w:val="2"/>
          <w:numId w:val="23"/>
        </w:numPr>
        <w:ind w:firstLine="480"/>
        <w:rPr>
          <w:highlight w:val="none"/>
        </w:rPr>
      </w:pPr>
      <w:r>
        <w:rPr>
          <w:rFonts w:hint="eastAsia"/>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highlight w:val="none"/>
        </w:rPr>
        <w:t>承诺</w:t>
      </w:r>
      <w:r>
        <w:rPr>
          <w:rFonts w:hint="eastAsia"/>
          <w:highlight w:val="none"/>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pStyle w:val="46"/>
        <w:rPr>
          <w:highlight w:val="none"/>
        </w:rPr>
      </w:pPr>
      <w:r>
        <w:rPr>
          <w:rFonts w:hint="eastAsia"/>
          <w:highlight w:val="none"/>
        </w:rPr>
        <w:t>本公司对上述承诺的内容事项真实性、合法性负责。如经查实上述承诺的内容事项存在虚假，我公司自愿接受以提供虚假材料谋取中标所带来的所有法律责任。</w:t>
      </w:r>
    </w:p>
    <w:p>
      <w:pPr>
        <w:pStyle w:val="42"/>
        <w:rPr>
          <w:highlight w:val="none"/>
        </w:rPr>
      </w:pPr>
    </w:p>
    <w:p>
      <w:pPr>
        <w:pStyle w:val="42"/>
        <w:rPr>
          <w:highlight w:val="none"/>
        </w:rPr>
      </w:pPr>
    </w:p>
    <w:p>
      <w:pPr>
        <w:pStyle w:val="42"/>
        <w:rPr>
          <w:highlight w:val="none"/>
        </w:rPr>
      </w:pPr>
    </w:p>
    <w:p>
      <w:pPr>
        <w:pStyle w:val="46"/>
        <w:rPr>
          <w:highlight w:val="none"/>
        </w:rPr>
      </w:pPr>
      <w:r>
        <w:rPr>
          <w:rFonts w:hint="eastAsia"/>
          <w:highlight w:val="none"/>
        </w:rPr>
        <w:t>投标人名称：</w:t>
      </w:r>
      <w:r>
        <w:rPr>
          <w:rFonts w:hint="eastAsia" w:asciiTheme="minorEastAsia" w:hAnsiTheme="minorEastAsia" w:eastAsiaTheme="minorEastAsia" w:cstheme="minorEastAsia"/>
          <w:highlight w:val="none"/>
          <w:u w:val="single"/>
        </w:rPr>
        <w:t xml:space="preserve">            </w:t>
      </w:r>
      <w:r>
        <w:rPr>
          <w:rFonts w:hint="eastAsia"/>
          <w:highlight w:val="none"/>
        </w:rPr>
        <w:t>(盖章)</w:t>
      </w:r>
    </w:p>
    <w:p>
      <w:pPr>
        <w:pStyle w:val="46"/>
        <w:rPr>
          <w:highlight w:val="none"/>
        </w:rPr>
      </w:pPr>
      <w:r>
        <w:rPr>
          <w:rFonts w:hint="eastAsia"/>
          <w:highlight w:val="none"/>
        </w:rPr>
        <w:t>法定代表人/单位负责人或授权代表：</w:t>
      </w:r>
      <w:r>
        <w:rPr>
          <w:rFonts w:hint="eastAsia" w:asciiTheme="minorEastAsia" w:hAnsiTheme="minorEastAsia" w:eastAsiaTheme="minorEastAsia" w:cstheme="minorEastAsia"/>
          <w:highlight w:val="none"/>
          <w:u w:val="single"/>
        </w:rPr>
        <w:t xml:space="preserve">            </w:t>
      </w:r>
      <w:r>
        <w:rPr>
          <w:rFonts w:hint="eastAsia"/>
          <w:highlight w:val="none"/>
        </w:rPr>
        <w:t>(签字或盖章)</w:t>
      </w:r>
    </w:p>
    <w:p>
      <w:pPr>
        <w:pStyle w:val="46"/>
        <w:rPr>
          <w:highlight w:val="none"/>
        </w:rPr>
      </w:pPr>
      <w:r>
        <w:rPr>
          <w:rFonts w:hint="eastAsia"/>
          <w:highlight w:val="none"/>
        </w:rPr>
        <w:t>投标日期：</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rPr>
          <w:highlight w:val="none"/>
        </w:rPr>
      </w:pPr>
      <w:r>
        <w:rPr>
          <w:rFonts w:hint="eastAsia"/>
          <w:highlight w:val="none"/>
        </w:rPr>
        <w:br w:type="page"/>
      </w:r>
    </w:p>
    <w:p>
      <w:pPr>
        <w:pStyle w:val="44"/>
        <w:numPr>
          <w:ilvl w:val="0"/>
          <w:numId w:val="21"/>
        </w:numPr>
        <w:spacing w:before="120" w:after="120"/>
        <w:ind w:firstLine="0"/>
        <w:rPr>
          <w:highlight w:val="none"/>
        </w:rPr>
      </w:pPr>
      <w:bookmarkStart w:id="1116" w:name="_Toc25849"/>
      <w:bookmarkStart w:id="1117" w:name="_Toc14990"/>
      <w:bookmarkStart w:id="1118" w:name="_Toc3407"/>
      <w:bookmarkStart w:id="1119" w:name="_Toc26239"/>
      <w:bookmarkStart w:id="1120" w:name="_Toc7156"/>
      <w:bookmarkStart w:id="1121" w:name="_Toc14191"/>
      <w:r>
        <w:rPr>
          <w:rFonts w:hint="eastAsia"/>
          <w:highlight w:val="none"/>
        </w:rPr>
        <w:t>投标人诚信情况承诺函</w:t>
      </w:r>
      <w:bookmarkEnd w:id="1116"/>
      <w:bookmarkEnd w:id="1117"/>
      <w:bookmarkEnd w:id="1118"/>
      <w:bookmarkEnd w:id="1119"/>
      <w:bookmarkEnd w:id="1120"/>
      <w:bookmarkEnd w:id="1121"/>
    </w:p>
    <w:p>
      <w:pPr>
        <w:rPr>
          <w:snapToGrid w:val="0"/>
          <w:highlight w:val="none"/>
        </w:rPr>
      </w:pPr>
      <w:r>
        <w:rPr>
          <w:snapToGrid w:val="0"/>
          <w:highlight w:val="none"/>
          <w:u w:val="single"/>
        </w:rPr>
        <w:t xml:space="preserve">                   </w:t>
      </w:r>
      <w:r>
        <w:rPr>
          <w:snapToGrid w:val="0"/>
          <w:highlight w:val="none"/>
        </w:rPr>
        <w:t>(采购代理机构名称)：</w:t>
      </w:r>
    </w:p>
    <w:p>
      <w:pPr>
        <w:ind w:firstLine="480" w:firstLineChars="200"/>
        <w:rPr>
          <w:snapToGrid w:val="0"/>
          <w:highlight w:val="none"/>
        </w:rPr>
      </w:pPr>
      <w:r>
        <w:rPr>
          <w:rFonts w:hint="eastAsia"/>
          <w:snapToGrid w:val="0"/>
          <w:highlight w:val="none"/>
        </w:rPr>
        <w:t>本单位</w:t>
      </w:r>
      <w:r>
        <w:rPr>
          <w:rFonts w:hint="eastAsia"/>
          <w:snapToGrid w:val="0"/>
          <w:highlight w:val="none"/>
          <w:u w:val="single"/>
        </w:rPr>
        <w:t xml:space="preserve">       </w:t>
      </w:r>
      <w:r>
        <w:rPr>
          <w:rFonts w:hint="eastAsia"/>
          <w:snapToGrid w:val="0"/>
          <w:highlight w:val="none"/>
        </w:rPr>
        <w:t>(供应商名称)参加</w:t>
      </w:r>
      <w:r>
        <w:rPr>
          <w:rFonts w:hint="eastAsia"/>
          <w:snapToGrid w:val="0"/>
          <w:highlight w:val="none"/>
          <w:u w:val="single"/>
        </w:rPr>
        <w:t xml:space="preserve">        </w:t>
      </w:r>
      <w:r>
        <w:rPr>
          <w:rFonts w:hint="eastAsia"/>
          <w:snapToGrid w:val="0"/>
          <w:highlight w:val="none"/>
        </w:rPr>
        <w:t>(项目名称及项目编号)的政府采购活动，现</w:t>
      </w:r>
      <w:r>
        <w:rPr>
          <w:rFonts w:hint="eastAsia"/>
          <w:snapToGrid w:val="0"/>
          <w:highlight w:val="none"/>
          <w:lang w:val="en-US" w:eastAsia="zh-CN"/>
        </w:rPr>
        <w:t>参照</w:t>
      </w:r>
      <w:r>
        <w:rPr>
          <w:rFonts w:hint="eastAsia"/>
          <w:snapToGrid w:val="0"/>
          <w:highlight w:val="none"/>
        </w:rPr>
        <w:t>《四川省政府采购当事人诚信管理办法》(川财采〔2015〕33号)的相关规定，针对本单位的诚信情况作出以下承诺：</w:t>
      </w:r>
    </w:p>
    <w:p>
      <w:pPr>
        <w:ind w:firstLine="480" w:firstLineChars="200"/>
        <w:rPr>
          <w:snapToGrid w:val="0"/>
          <w:highlight w:val="none"/>
        </w:rPr>
      </w:pPr>
      <w:r>
        <w:rPr>
          <w:rFonts w:hint="eastAsia"/>
          <w:snapToGrid w:val="0"/>
          <w:highlight w:val="none"/>
        </w:rPr>
        <w:t>我单位具有《四川省政府采购当事人诚信管理办法》(川财采〔2015〕33号)所规定的失信行为</w:t>
      </w:r>
      <w:r>
        <w:rPr>
          <w:rFonts w:hint="eastAsia"/>
          <w:snapToGrid w:val="0"/>
          <w:highlight w:val="none"/>
          <w:u w:val="single"/>
        </w:rPr>
        <w:t xml:space="preserve">      </w:t>
      </w:r>
      <w:r>
        <w:rPr>
          <w:rFonts w:hint="eastAsia"/>
          <w:snapToGrid w:val="0"/>
          <w:highlight w:val="none"/>
        </w:rPr>
        <w:t>次。(仅限递交投标文件截止当日仍在有效期的次数，填写失信行为的次数时，建议使用大写数字，如零、壹、贰、叁、肆等)</w:t>
      </w:r>
    </w:p>
    <w:p>
      <w:pPr>
        <w:ind w:firstLine="480" w:firstLineChars="200"/>
        <w:rPr>
          <w:snapToGrid w:val="0"/>
          <w:highlight w:val="none"/>
        </w:rPr>
      </w:pPr>
      <w:r>
        <w:rPr>
          <w:rFonts w:hint="eastAsia"/>
          <w:snapToGrid w:val="0"/>
          <w:highlight w:val="none"/>
        </w:rPr>
        <w:t>我单位对以上填写信息的真实性负责。如有不实，本单位愿承担由此产生的一切法律责任和后果。</w:t>
      </w:r>
    </w:p>
    <w:p>
      <w:pPr>
        <w:pStyle w:val="46"/>
        <w:rPr>
          <w:highlight w:val="none"/>
        </w:rPr>
      </w:pPr>
    </w:p>
    <w:p>
      <w:pPr>
        <w:pStyle w:val="46"/>
        <w:rPr>
          <w:highlight w:val="none"/>
        </w:rPr>
      </w:pPr>
      <w:r>
        <w:rPr>
          <w:rFonts w:hint="eastAsia"/>
          <w:highlight w:val="none"/>
        </w:rPr>
        <w:t>投标人名称：</w:t>
      </w:r>
      <w:r>
        <w:rPr>
          <w:rFonts w:hint="eastAsia"/>
          <w:highlight w:val="none"/>
          <w:u w:val="single"/>
        </w:rPr>
        <w:t xml:space="preserve">               </w:t>
      </w:r>
      <w:r>
        <w:rPr>
          <w:rFonts w:hint="eastAsia"/>
          <w:highlight w:val="none"/>
        </w:rPr>
        <w:t>(盖章)</w:t>
      </w:r>
    </w:p>
    <w:p>
      <w:pPr>
        <w:pStyle w:val="46"/>
        <w:rPr>
          <w:highlight w:val="none"/>
        </w:rPr>
      </w:pPr>
      <w:r>
        <w:rPr>
          <w:rFonts w:hint="eastAsia"/>
          <w:highlight w:val="none"/>
        </w:rPr>
        <w:t>法定代表人/单位负责人或授权代表：</w:t>
      </w:r>
      <w:r>
        <w:rPr>
          <w:rFonts w:hint="eastAsia"/>
          <w:highlight w:val="none"/>
          <w:u w:val="single"/>
        </w:rPr>
        <w:t xml:space="preserve">            </w:t>
      </w:r>
      <w:r>
        <w:rPr>
          <w:rFonts w:hint="eastAsia"/>
          <w:highlight w:val="none"/>
        </w:rPr>
        <w:t>(签字或盖章)</w:t>
      </w:r>
    </w:p>
    <w:p>
      <w:pPr>
        <w:pStyle w:val="46"/>
        <w:rPr>
          <w:highlight w:val="none"/>
        </w:rPr>
      </w:pPr>
      <w:r>
        <w:rPr>
          <w:rFonts w:hint="eastAsia"/>
          <w:highlight w:val="none"/>
        </w:rPr>
        <w:t>投标日期：</w:t>
      </w:r>
      <w:r>
        <w:rPr>
          <w:rFonts w:hint="eastAsia"/>
          <w:highlight w:val="none"/>
          <w:u w:val="single"/>
        </w:rPr>
        <w:t xml:space="preserve">                  </w:t>
      </w:r>
    </w:p>
    <w:p>
      <w:pPr>
        <w:widowControl/>
        <w:ind w:firstLine="480" w:firstLineChars="200"/>
        <w:rPr>
          <w:rFonts w:ascii="仿宋" w:hAnsi="仿宋" w:eastAsia="仿宋"/>
          <w:highlight w:val="none"/>
        </w:rPr>
      </w:pPr>
    </w:p>
    <w:p>
      <w:pPr>
        <w:ind w:firstLine="480" w:firstLineChars="200"/>
        <w:rPr>
          <w:rFonts w:ascii="仿宋" w:hAnsi="仿宋" w:eastAsia="仿宋"/>
          <w:highlight w:val="none"/>
        </w:rPr>
      </w:pPr>
    </w:p>
    <w:p>
      <w:pPr>
        <w:pStyle w:val="47"/>
        <w:ind w:firstLine="482"/>
        <w:rPr>
          <w:highlight w:val="none"/>
        </w:rPr>
      </w:pPr>
      <w:r>
        <w:rPr>
          <w:rFonts w:hint="eastAsia"/>
          <w:highlight w:val="none"/>
        </w:rPr>
        <w:t>注：</w:t>
      </w:r>
    </w:p>
    <w:p>
      <w:pPr>
        <w:pStyle w:val="47"/>
        <w:ind w:firstLine="482"/>
        <w:rPr>
          <w:highlight w:val="none"/>
        </w:rPr>
      </w:pPr>
      <w:r>
        <w:rPr>
          <w:rFonts w:hint="eastAsia"/>
          <w:highlight w:val="none"/>
        </w:rPr>
        <w:t>①本表格式及内容仅供参考，可自拟格式；</w:t>
      </w:r>
    </w:p>
    <w:p>
      <w:pPr>
        <w:pStyle w:val="47"/>
        <w:ind w:firstLine="482"/>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供应商存在以上所述失信行为的，将按照第二章投标人须知前附表的要求进行处理；</w:t>
      </w:r>
    </w:p>
    <w:p>
      <w:pPr>
        <w:pStyle w:val="47"/>
        <w:ind w:firstLine="482"/>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pStyle w:val="47"/>
        <w:ind w:firstLine="482"/>
        <w:rPr>
          <w:highlight w:val="none"/>
        </w:rPr>
      </w:pPr>
      <w:r>
        <w:rPr>
          <w:rFonts w:hint="eastAsia"/>
          <w:highlight w:val="none"/>
        </w:rPr>
        <w:fldChar w:fldCharType="begin"/>
      </w:r>
      <w:r>
        <w:rPr>
          <w:rFonts w:hint="eastAsia"/>
          <w:highlight w:val="none"/>
        </w:rPr>
        <w:instrText xml:space="preserve"> = 4 \* GB3 \* MERGEFORMAT </w:instrText>
      </w:r>
      <w:r>
        <w:rPr>
          <w:rFonts w:hint="eastAsia"/>
          <w:highlight w:val="none"/>
        </w:rPr>
        <w:fldChar w:fldCharType="separate"/>
      </w:r>
      <w:r>
        <w:rPr>
          <w:rFonts w:hint="eastAsia"/>
          <w:highlight w:val="none"/>
        </w:rPr>
        <w:t>④</w:t>
      </w:r>
      <w:r>
        <w:rPr>
          <w:rFonts w:hint="eastAsia"/>
          <w:highlight w:val="none"/>
        </w:rPr>
        <w:fldChar w:fldCharType="end"/>
      </w:r>
      <w:r>
        <w:rPr>
          <w:rFonts w:hint="eastAsia"/>
          <w:highlight w:val="none"/>
        </w:rPr>
        <w:t>供应商的失信行为受到行政处罚或司法惩处的，评审时不再对其以价格加成进行惩戒。</w:t>
      </w:r>
    </w:p>
    <w:p>
      <w:pPr>
        <w:rPr>
          <w:highlight w:val="none"/>
        </w:rPr>
      </w:pPr>
      <w:r>
        <w:rPr>
          <w:rFonts w:hint="eastAsia"/>
          <w:highlight w:val="none"/>
        </w:rPr>
        <w:br w:type="page"/>
      </w:r>
    </w:p>
    <w:p>
      <w:pPr>
        <w:pStyle w:val="44"/>
        <w:numPr>
          <w:ilvl w:val="0"/>
          <w:numId w:val="21"/>
        </w:numPr>
        <w:spacing w:before="120" w:after="120"/>
        <w:ind w:firstLine="0"/>
        <w:rPr>
          <w:highlight w:val="none"/>
        </w:rPr>
      </w:pPr>
      <w:bookmarkStart w:id="1122" w:name="_Toc6982"/>
      <w:bookmarkStart w:id="1123" w:name="_Toc24308"/>
      <w:bookmarkStart w:id="1124" w:name="_Toc31868"/>
      <w:bookmarkStart w:id="1125" w:name="_Toc7423"/>
      <w:bookmarkStart w:id="1126" w:name="_Toc439161752"/>
      <w:bookmarkStart w:id="1127" w:name="_Toc10493"/>
      <w:bookmarkStart w:id="1128" w:name="_Toc28589"/>
      <w:bookmarkStart w:id="1129" w:name="_Toc5912"/>
      <w:bookmarkStart w:id="1130" w:name="_Toc3690"/>
      <w:bookmarkStart w:id="1131" w:name="_Toc302997926"/>
      <w:r>
        <w:rPr>
          <w:rFonts w:hint="eastAsia"/>
          <w:highlight w:val="none"/>
        </w:rPr>
        <w:t>投标人基本情况表</w:t>
      </w:r>
      <w:bookmarkEnd w:id="1122"/>
      <w:bookmarkEnd w:id="1123"/>
      <w:bookmarkEnd w:id="1124"/>
      <w:bookmarkEnd w:id="1125"/>
      <w:bookmarkEnd w:id="1126"/>
      <w:bookmarkEnd w:id="1127"/>
      <w:bookmarkEnd w:id="1128"/>
      <w:bookmarkEnd w:id="1129"/>
      <w:bookmarkEnd w:id="1130"/>
      <w:bookmarkEnd w:id="1131"/>
    </w:p>
    <w:tbl>
      <w:tblPr>
        <w:tblStyle w:val="2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rPr>
                <w:highlight w:val="none"/>
              </w:rPr>
            </w:pPr>
            <w:r>
              <w:rPr>
                <w:rFonts w:hint="eastAsia"/>
                <w:highlight w:val="none"/>
              </w:rPr>
              <w:t>投标人名称</w:t>
            </w:r>
          </w:p>
        </w:tc>
        <w:tc>
          <w:tcPr>
            <w:tcW w:w="8186" w:type="dxa"/>
            <w:gridSpan w:val="7"/>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rPr>
                <w:highlight w:val="none"/>
              </w:rPr>
            </w:pPr>
            <w:r>
              <w:rPr>
                <w:rFonts w:hint="eastAsia"/>
                <w:highlight w:val="none"/>
              </w:rPr>
              <w:t>注册地址</w:t>
            </w:r>
          </w:p>
        </w:tc>
        <w:tc>
          <w:tcPr>
            <w:tcW w:w="4012" w:type="dxa"/>
            <w:gridSpan w:val="3"/>
            <w:vAlign w:val="center"/>
          </w:tcPr>
          <w:p>
            <w:pPr>
              <w:pStyle w:val="45"/>
              <w:spacing w:line="480" w:lineRule="exact"/>
              <w:rPr>
                <w:highlight w:val="none"/>
              </w:rPr>
            </w:pPr>
          </w:p>
        </w:tc>
        <w:tc>
          <w:tcPr>
            <w:tcW w:w="1548" w:type="dxa"/>
            <w:vAlign w:val="center"/>
          </w:tcPr>
          <w:p>
            <w:pPr>
              <w:pStyle w:val="45"/>
              <w:spacing w:line="480" w:lineRule="exact"/>
              <w:rPr>
                <w:highlight w:val="none"/>
              </w:rPr>
            </w:pPr>
            <w:r>
              <w:rPr>
                <w:rFonts w:hint="eastAsia"/>
                <w:highlight w:val="none"/>
              </w:rPr>
              <w:t>邮政编码</w:t>
            </w:r>
          </w:p>
        </w:tc>
        <w:tc>
          <w:tcPr>
            <w:tcW w:w="2626" w:type="dxa"/>
            <w:gridSpan w:val="3"/>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5"/>
              <w:spacing w:line="480" w:lineRule="exact"/>
              <w:rPr>
                <w:highlight w:val="none"/>
              </w:rPr>
            </w:pPr>
            <w:r>
              <w:rPr>
                <w:rFonts w:hint="eastAsia"/>
                <w:highlight w:val="none"/>
              </w:rPr>
              <w:t>联系方式</w:t>
            </w:r>
          </w:p>
        </w:tc>
        <w:tc>
          <w:tcPr>
            <w:tcW w:w="1125" w:type="dxa"/>
            <w:vAlign w:val="center"/>
          </w:tcPr>
          <w:p>
            <w:pPr>
              <w:pStyle w:val="45"/>
              <w:spacing w:line="480" w:lineRule="exact"/>
              <w:rPr>
                <w:highlight w:val="none"/>
              </w:rPr>
            </w:pPr>
            <w:r>
              <w:rPr>
                <w:rFonts w:hint="eastAsia"/>
                <w:highlight w:val="none"/>
              </w:rPr>
              <w:t>联系人</w:t>
            </w:r>
          </w:p>
        </w:tc>
        <w:tc>
          <w:tcPr>
            <w:tcW w:w="2887" w:type="dxa"/>
            <w:gridSpan w:val="2"/>
            <w:vAlign w:val="center"/>
          </w:tcPr>
          <w:p>
            <w:pPr>
              <w:pStyle w:val="45"/>
              <w:spacing w:line="480" w:lineRule="exact"/>
              <w:rPr>
                <w:highlight w:val="none"/>
              </w:rPr>
            </w:pPr>
          </w:p>
        </w:tc>
        <w:tc>
          <w:tcPr>
            <w:tcW w:w="1548" w:type="dxa"/>
            <w:vAlign w:val="center"/>
          </w:tcPr>
          <w:p>
            <w:pPr>
              <w:pStyle w:val="45"/>
              <w:spacing w:line="480" w:lineRule="exact"/>
              <w:rPr>
                <w:highlight w:val="none"/>
              </w:rPr>
            </w:pPr>
            <w:r>
              <w:rPr>
                <w:rFonts w:hint="eastAsia"/>
                <w:highlight w:val="none"/>
              </w:rPr>
              <w:t>电话</w:t>
            </w:r>
          </w:p>
        </w:tc>
        <w:tc>
          <w:tcPr>
            <w:tcW w:w="2626" w:type="dxa"/>
            <w:gridSpan w:val="3"/>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5"/>
              <w:spacing w:line="480" w:lineRule="exact"/>
              <w:rPr>
                <w:highlight w:val="none"/>
              </w:rPr>
            </w:pPr>
          </w:p>
        </w:tc>
        <w:tc>
          <w:tcPr>
            <w:tcW w:w="1125" w:type="dxa"/>
            <w:vAlign w:val="center"/>
          </w:tcPr>
          <w:p>
            <w:pPr>
              <w:pStyle w:val="45"/>
              <w:spacing w:line="480" w:lineRule="exact"/>
              <w:rPr>
                <w:highlight w:val="none"/>
              </w:rPr>
            </w:pPr>
            <w:r>
              <w:rPr>
                <w:rFonts w:hint="eastAsia"/>
                <w:highlight w:val="none"/>
              </w:rPr>
              <w:t>传真</w:t>
            </w:r>
          </w:p>
        </w:tc>
        <w:tc>
          <w:tcPr>
            <w:tcW w:w="2887" w:type="dxa"/>
            <w:gridSpan w:val="2"/>
            <w:vAlign w:val="center"/>
          </w:tcPr>
          <w:p>
            <w:pPr>
              <w:pStyle w:val="45"/>
              <w:spacing w:line="480" w:lineRule="exact"/>
              <w:rPr>
                <w:highlight w:val="none"/>
              </w:rPr>
            </w:pPr>
          </w:p>
        </w:tc>
        <w:tc>
          <w:tcPr>
            <w:tcW w:w="1548" w:type="dxa"/>
            <w:vAlign w:val="center"/>
          </w:tcPr>
          <w:p>
            <w:pPr>
              <w:pStyle w:val="45"/>
              <w:spacing w:line="480" w:lineRule="exact"/>
              <w:rPr>
                <w:highlight w:val="none"/>
              </w:rPr>
            </w:pPr>
            <w:r>
              <w:rPr>
                <w:rFonts w:hint="eastAsia"/>
                <w:highlight w:val="none"/>
              </w:rPr>
              <w:t>网址</w:t>
            </w:r>
          </w:p>
        </w:tc>
        <w:tc>
          <w:tcPr>
            <w:tcW w:w="2626" w:type="dxa"/>
            <w:gridSpan w:val="3"/>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5"/>
              <w:spacing w:line="480" w:lineRule="exact"/>
              <w:rPr>
                <w:highlight w:val="none"/>
              </w:rPr>
            </w:pPr>
            <w:r>
              <w:rPr>
                <w:rFonts w:hint="eastAsia"/>
                <w:highlight w:val="none"/>
              </w:rPr>
              <w:t>法定代表人</w:t>
            </w:r>
          </w:p>
        </w:tc>
        <w:tc>
          <w:tcPr>
            <w:tcW w:w="1125" w:type="dxa"/>
            <w:vAlign w:val="center"/>
          </w:tcPr>
          <w:p>
            <w:pPr>
              <w:pStyle w:val="45"/>
              <w:spacing w:line="480" w:lineRule="exact"/>
              <w:rPr>
                <w:highlight w:val="none"/>
              </w:rPr>
            </w:pPr>
            <w:r>
              <w:rPr>
                <w:rFonts w:hint="eastAsia"/>
                <w:highlight w:val="none"/>
              </w:rPr>
              <w:t>姓名</w:t>
            </w:r>
          </w:p>
        </w:tc>
        <w:tc>
          <w:tcPr>
            <w:tcW w:w="1432" w:type="dxa"/>
            <w:vAlign w:val="center"/>
          </w:tcPr>
          <w:p>
            <w:pPr>
              <w:pStyle w:val="45"/>
              <w:spacing w:line="480" w:lineRule="exact"/>
              <w:rPr>
                <w:highlight w:val="none"/>
              </w:rPr>
            </w:pPr>
          </w:p>
        </w:tc>
        <w:tc>
          <w:tcPr>
            <w:tcW w:w="1455" w:type="dxa"/>
            <w:vAlign w:val="center"/>
          </w:tcPr>
          <w:p>
            <w:pPr>
              <w:pStyle w:val="45"/>
              <w:spacing w:line="480" w:lineRule="exact"/>
              <w:rPr>
                <w:highlight w:val="none"/>
              </w:rPr>
            </w:pPr>
            <w:r>
              <w:rPr>
                <w:rFonts w:hint="eastAsia"/>
                <w:highlight w:val="none"/>
              </w:rPr>
              <w:t>技术职称</w:t>
            </w:r>
          </w:p>
        </w:tc>
        <w:tc>
          <w:tcPr>
            <w:tcW w:w="1548" w:type="dxa"/>
            <w:vAlign w:val="center"/>
          </w:tcPr>
          <w:p>
            <w:pPr>
              <w:pStyle w:val="45"/>
              <w:spacing w:line="480" w:lineRule="exact"/>
              <w:rPr>
                <w:highlight w:val="none"/>
              </w:rPr>
            </w:pPr>
          </w:p>
        </w:tc>
        <w:tc>
          <w:tcPr>
            <w:tcW w:w="1364" w:type="dxa"/>
            <w:gridSpan w:val="2"/>
            <w:vAlign w:val="center"/>
          </w:tcPr>
          <w:p>
            <w:pPr>
              <w:pStyle w:val="45"/>
              <w:spacing w:line="480" w:lineRule="exact"/>
              <w:rPr>
                <w:highlight w:val="none"/>
              </w:rPr>
            </w:pPr>
            <w:r>
              <w:rPr>
                <w:rFonts w:hint="eastAsia"/>
                <w:highlight w:val="none"/>
              </w:rPr>
              <w:t>电话</w:t>
            </w:r>
          </w:p>
        </w:tc>
        <w:tc>
          <w:tcPr>
            <w:tcW w:w="1262" w:type="dxa"/>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5"/>
              <w:spacing w:line="480" w:lineRule="exact"/>
              <w:rPr>
                <w:highlight w:val="none"/>
              </w:rPr>
            </w:pPr>
            <w:r>
              <w:rPr>
                <w:rFonts w:hint="eastAsia"/>
                <w:highlight w:val="none"/>
              </w:rPr>
              <w:t>技术负责人</w:t>
            </w:r>
          </w:p>
        </w:tc>
        <w:tc>
          <w:tcPr>
            <w:tcW w:w="1125" w:type="dxa"/>
            <w:vAlign w:val="center"/>
          </w:tcPr>
          <w:p>
            <w:pPr>
              <w:pStyle w:val="45"/>
              <w:spacing w:line="480" w:lineRule="exact"/>
              <w:rPr>
                <w:highlight w:val="none"/>
              </w:rPr>
            </w:pPr>
            <w:r>
              <w:rPr>
                <w:rFonts w:hint="eastAsia"/>
                <w:highlight w:val="none"/>
              </w:rPr>
              <w:t>姓名</w:t>
            </w:r>
          </w:p>
        </w:tc>
        <w:tc>
          <w:tcPr>
            <w:tcW w:w="1432" w:type="dxa"/>
            <w:vAlign w:val="center"/>
          </w:tcPr>
          <w:p>
            <w:pPr>
              <w:pStyle w:val="45"/>
              <w:spacing w:line="480" w:lineRule="exact"/>
              <w:rPr>
                <w:highlight w:val="none"/>
              </w:rPr>
            </w:pPr>
          </w:p>
        </w:tc>
        <w:tc>
          <w:tcPr>
            <w:tcW w:w="1455" w:type="dxa"/>
            <w:vAlign w:val="center"/>
          </w:tcPr>
          <w:p>
            <w:pPr>
              <w:pStyle w:val="45"/>
              <w:spacing w:line="480" w:lineRule="exact"/>
              <w:rPr>
                <w:highlight w:val="none"/>
              </w:rPr>
            </w:pPr>
            <w:r>
              <w:rPr>
                <w:rFonts w:hint="eastAsia"/>
                <w:highlight w:val="none"/>
              </w:rPr>
              <w:t>技术职称</w:t>
            </w:r>
          </w:p>
        </w:tc>
        <w:tc>
          <w:tcPr>
            <w:tcW w:w="1548" w:type="dxa"/>
            <w:vAlign w:val="center"/>
          </w:tcPr>
          <w:p>
            <w:pPr>
              <w:pStyle w:val="45"/>
              <w:spacing w:line="480" w:lineRule="exact"/>
              <w:rPr>
                <w:highlight w:val="none"/>
              </w:rPr>
            </w:pPr>
          </w:p>
        </w:tc>
        <w:tc>
          <w:tcPr>
            <w:tcW w:w="1364" w:type="dxa"/>
            <w:gridSpan w:val="2"/>
            <w:vAlign w:val="center"/>
          </w:tcPr>
          <w:p>
            <w:pPr>
              <w:pStyle w:val="45"/>
              <w:spacing w:line="480" w:lineRule="exact"/>
              <w:rPr>
                <w:highlight w:val="none"/>
              </w:rPr>
            </w:pPr>
            <w:r>
              <w:rPr>
                <w:rFonts w:hint="eastAsia"/>
                <w:highlight w:val="none"/>
              </w:rPr>
              <w:t>电话</w:t>
            </w:r>
          </w:p>
        </w:tc>
        <w:tc>
          <w:tcPr>
            <w:tcW w:w="1262" w:type="dxa"/>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rPr>
                <w:highlight w:val="none"/>
              </w:rPr>
            </w:pPr>
            <w:r>
              <w:rPr>
                <w:rFonts w:hint="eastAsia"/>
                <w:highlight w:val="none"/>
              </w:rPr>
              <w:t>成立时间</w:t>
            </w:r>
          </w:p>
        </w:tc>
        <w:tc>
          <w:tcPr>
            <w:tcW w:w="2557" w:type="dxa"/>
            <w:gridSpan w:val="2"/>
            <w:vAlign w:val="center"/>
          </w:tcPr>
          <w:p>
            <w:pPr>
              <w:pStyle w:val="45"/>
              <w:spacing w:line="480" w:lineRule="exact"/>
              <w:rPr>
                <w:highlight w:val="none"/>
              </w:rPr>
            </w:pPr>
          </w:p>
        </w:tc>
        <w:tc>
          <w:tcPr>
            <w:tcW w:w="5629" w:type="dxa"/>
            <w:gridSpan w:val="5"/>
            <w:vAlign w:val="center"/>
          </w:tcPr>
          <w:p>
            <w:pPr>
              <w:pStyle w:val="45"/>
              <w:spacing w:line="480" w:lineRule="exact"/>
              <w:rPr>
                <w:highlight w:val="none"/>
              </w:rPr>
            </w:pPr>
            <w:r>
              <w:rPr>
                <w:rFonts w:hint="eastAsia"/>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rPr>
                <w:highlight w:val="none"/>
              </w:rPr>
            </w:pPr>
            <w:r>
              <w:rPr>
                <w:rFonts w:hint="eastAsia"/>
                <w:highlight w:val="none"/>
              </w:rPr>
              <w:t>企业资质等级</w:t>
            </w:r>
          </w:p>
        </w:tc>
        <w:tc>
          <w:tcPr>
            <w:tcW w:w="2557" w:type="dxa"/>
            <w:gridSpan w:val="2"/>
            <w:vAlign w:val="center"/>
          </w:tcPr>
          <w:p>
            <w:pPr>
              <w:pStyle w:val="45"/>
              <w:spacing w:line="480" w:lineRule="exact"/>
              <w:rPr>
                <w:highlight w:val="none"/>
              </w:rPr>
            </w:pPr>
          </w:p>
        </w:tc>
        <w:tc>
          <w:tcPr>
            <w:tcW w:w="1455" w:type="dxa"/>
            <w:vMerge w:val="restart"/>
            <w:vAlign w:val="center"/>
          </w:tcPr>
          <w:p>
            <w:pPr>
              <w:pStyle w:val="45"/>
              <w:spacing w:line="480" w:lineRule="exact"/>
              <w:rPr>
                <w:highlight w:val="none"/>
              </w:rPr>
            </w:pPr>
            <w:r>
              <w:rPr>
                <w:rFonts w:hint="eastAsia"/>
                <w:highlight w:val="none"/>
              </w:rPr>
              <w:t>其中</w:t>
            </w:r>
          </w:p>
        </w:tc>
        <w:tc>
          <w:tcPr>
            <w:tcW w:w="1734" w:type="dxa"/>
            <w:gridSpan w:val="2"/>
            <w:vAlign w:val="center"/>
          </w:tcPr>
          <w:p>
            <w:pPr>
              <w:pStyle w:val="45"/>
              <w:spacing w:line="480" w:lineRule="exact"/>
              <w:rPr>
                <w:highlight w:val="none"/>
              </w:rPr>
            </w:pPr>
            <w:r>
              <w:rPr>
                <w:rFonts w:hint="eastAsia"/>
                <w:highlight w:val="none"/>
              </w:rPr>
              <w:t>项目经理</w:t>
            </w:r>
          </w:p>
        </w:tc>
        <w:tc>
          <w:tcPr>
            <w:tcW w:w="2440" w:type="dxa"/>
            <w:gridSpan w:val="2"/>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rPr>
                <w:highlight w:val="none"/>
              </w:rPr>
            </w:pPr>
            <w:r>
              <w:rPr>
                <w:rFonts w:hint="eastAsia"/>
                <w:highlight w:val="none"/>
              </w:rPr>
              <w:t>营业执照号/统一社会信用代码</w:t>
            </w:r>
          </w:p>
        </w:tc>
        <w:tc>
          <w:tcPr>
            <w:tcW w:w="2557" w:type="dxa"/>
            <w:gridSpan w:val="2"/>
            <w:vAlign w:val="center"/>
          </w:tcPr>
          <w:p>
            <w:pPr>
              <w:pStyle w:val="45"/>
              <w:spacing w:line="480" w:lineRule="exact"/>
              <w:rPr>
                <w:highlight w:val="none"/>
              </w:rPr>
            </w:pPr>
          </w:p>
        </w:tc>
        <w:tc>
          <w:tcPr>
            <w:tcW w:w="1455" w:type="dxa"/>
            <w:vMerge w:val="continue"/>
            <w:vAlign w:val="center"/>
          </w:tcPr>
          <w:p>
            <w:pPr>
              <w:pStyle w:val="45"/>
              <w:spacing w:line="480" w:lineRule="exact"/>
              <w:rPr>
                <w:highlight w:val="none"/>
              </w:rPr>
            </w:pPr>
          </w:p>
        </w:tc>
        <w:tc>
          <w:tcPr>
            <w:tcW w:w="1734" w:type="dxa"/>
            <w:gridSpan w:val="2"/>
            <w:vAlign w:val="center"/>
          </w:tcPr>
          <w:p>
            <w:pPr>
              <w:pStyle w:val="45"/>
              <w:spacing w:line="480" w:lineRule="exact"/>
              <w:rPr>
                <w:highlight w:val="none"/>
              </w:rPr>
            </w:pPr>
            <w:r>
              <w:rPr>
                <w:rFonts w:hint="eastAsia"/>
                <w:highlight w:val="none"/>
              </w:rPr>
              <w:t>高级职称人员</w:t>
            </w:r>
          </w:p>
        </w:tc>
        <w:tc>
          <w:tcPr>
            <w:tcW w:w="2440" w:type="dxa"/>
            <w:gridSpan w:val="2"/>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rPr>
                <w:highlight w:val="none"/>
              </w:rPr>
            </w:pPr>
            <w:r>
              <w:rPr>
                <w:rFonts w:hint="eastAsia"/>
                <w:highlight w:val="none"/>
              </w:rPr>
              <w:t>注册资金</w:t>
            </w:r>
          </w:p>
        </w:tc>
        <w:tc>
          <w:tcPr>
            <w:tcW w:w="2557" w:type="dxa"/>
            <w:gridSpan w:val="2"/>
            <w:vAlign w:val="center"/>
          </w:tcPr>
          <w:p>
            <w:pPr>
              <w:pStyle w:val="45"/>
              <w:spacing w:line="480" w:lineRule="exact"/>
              <w:rPr>
                <w:highlight w:val="none"/>
              </w:rPr>
            </w:pPr>
          </w:p>
        </w:tc>
        <w:tc>
          <w:tcPr>
            <w:tcW w:w="1455" w:type="dxa"/>
            <w:vMerge w:val="continue"/>
            <w:vAlign w:val="center"/>
          </w:tcPr>
          <w:p>
            <w:pPr>
              <w:pStyle w:val="45"/>
              <w:spacing w:line="480" w:lineRule="exact"/>
              <w:rPr>
                <w:highlight w:val="none"/>
              </w:rPr>
            </w:pPr>
          </w:p>
        </w:tc>
        <w:tc>
          <w:tcPr>
            <w:tcW w:w="1734" w:type="dxa"/>
            <w:gridSpan w:val="2"/>
            <w:vAlign w:val="center"/>
          </w:tcPr>
          <w:p>
            <w:pPr>
              <w:pStyle w:val="45"/>
              <w:spacing w:line="480" w:lineRule="exact"/>
              <w:rPr>
                <w:highlight w:val="none"/>
              </w:rPr>
            </w:pPr>
            <w:r>
              <w:rPr>
                <w:rFonts w:hint="eastAsia"/>
                <w:highlight w:val="none"/>
              </w:rPr>
              <w:t>中级职称人员</w:t>
            </w:r>
          </w:p>
        </w:tc>
        <w:tc>
          <w:tcPr>
            <w:tcW w:w="2440" w:type="dxa"/>
            <w:gridSpan w:val="2"/>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rPr>
                <w:highlight w:val="none"/>
              </w:rPr>
            </w:pPr>
            <w:r>
              <w:rPr>
                <w:rFonts w:hint="eastAsia"/>
                <w:highlight w:val="none"/>
              </w:rPr>
              <w:t>开户银行</w:t>
            </w:r>
          </w:p>
        </w:tc>
        <w:tc>
          <w:tcPr>
            <w:tcW w:w="2557" w:type="dxa"/>
            <w:gridSpan w:val="2"/>
            <w:vAlign w:val="center"/>
          </w:tcPr>
          <w:p>
            <w:pPr>
              <w:pStyle w:val="45"/>
              <w:spacing w:line="480" w:lineRule="exact"/>
              <w:rPr>
                <w:highlight w:val="none"/>
              </w:rPr>
            </w:pPr>
          </w:p>
        </w:tc>
        <w:tc>
          <w:tcPr>
            <w:tcW w:w="1455" w:type="dxa"/>
            <w:vMerge w:val="continue"/>
            <w:vAlign w:val="center"/>
          </w:tcPr>
          <w:p>
            <w:pPr>
              <w:pStyle w:val="45"/>
              <w:spacing w:line="480" w:lineRule="exact"/>
              <w:rPr>
                <w:highlight w:val="none"/>
              </w:rPr>
            </w:pPr>
          </w:p>
        </w:tc>
        <w:tc>
          <w:tcPr>
            <w:tcW w:w="1734" w:type="dxa"/>
            <w:gridSpan w:val="2"/>
            <w:vAlign w:val="center"/>
          </w:tcPr>
          <w:p>
            <w:pPr>
              <w:pStyle w:val="45"/>
              <w:spacing w:line="480" w:lineRule="exact"/>
              <w:rPr>
                <w:highlight w:val="none"/>
              </w:rPr>
            </w:pPr>
            <w:r>
              <w:rPr>
                <w:rFonts w:hint="eastAsia"/>
                <w:highlight w:val="none"/>
              </w:rPr>
              <w:t>初级职称人员</w:t>
            </w:r>
          </w:p>
        </w:tc>
        <w:tc>
          <w:tcPr>
            <w:tcW w:w="2440" w:type="dxa"/>
            <w:gridSpan w:val="2"/>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rPr>
                <w:highlight w:val="none"/>
              </w:rPr>
            </w:pPr>
            <w:r>
              <w:rPr>
                <w:rFonts w:hint="eastAsia"/>
                <w:highlight w:val="none"/>
              </w:rPr>
              <w:t>账号</w:t>
            </w:r>
          </w:p>
        </w:tc>
        <w:tc>
          <w:tcPr>
            <w:tcW w:w="2557" w:type="dxa"/>
            <w:gridSpan w:val="2"/>
            <w:vAlign w:val="center"/>
          </w:tcPr>
          <w:p>
            <w:pPr>
              <w:pStyle w:val="45"/>
              <w:spacing w:line="480" w:lineRule="exact"/>
              <w:rPr>
                <w:highlight w:val="none"/>
              </w:rPr>
            </w:pPr>
          </w:p>
        </w:tc>
        <w:tc>
          <w:tcPr>
            <w:tcW w:w="1455" w:type="dxa"/>
            <w:vMerge w:val="continue"/>
            <w:vAlign w:val="center"/>
          </w:tcPr>
          <w:p>
            <w:pPr>
              <w:pStyle w:val="45"/>
              <w:spacing w:line="480" w:lineRule="exact"/>
              <w:rPr>
                <w:highlight w:val="none"/>
              </w:rPr>
            </w:pPr>
          </w:p>
        </w:tc>
        <w:tc>
          <w:tcPr>
            <w:tcW w:w="1734" w:type="dxa"/>
            <w:gridSpan w:val="2"/>
            <w:vAlign w:val="center"/>
          </w:tcPr>
          <w:p>
            <w:pPr>
              <w:pStyle w:val="45"/>
              <w:spacing w:line="480" w:lineRule="exact"/>
              <w:rPr>
                <w:highlight w:val="none"/>
              </w:rPr>
            </w:pPr>
            <w:r>
              <w:rPr>
                <w:rFonts w:hint="eastAsia"/>
                <w:highlight w:val="none"/>
              </w:rPr>
              <w:t>技工</w:t>
            </w:r>
          </w:p>
        </w:tc>
        <w:tc>
          <w:tcPr>
            <w:tcW w:w="2440" w:type="dxa"/>
            <w:gridSpan w:val="2"/>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5"/>
              <w:spacing w:line="480" w:lineRule="exact"/>
              <w:rPr>
                <w:highlight w:val="none"/>
              </w:rPr>
            </w:pPr>
            <w:r>
              <w:rPr>
                <w:rFonts w:hint="eastAsia"/>
                <w:highlight w:val="none"/>
              </w:rPr>
              <w:t>经营范围</w:t>
            </w:r>
          </w:p>
        </w:tc>
        <w:tc>
          <w:tcPr>
            <w:tcW w:w="8186" w:type="dxa"/>
            <w:gridSpan w:val="7"/>
            <w:vAlign w:val="center"/>
          </w:tcPr>
          <w:p>
            <w:pPr>
              <w:pStyle w:val="45"/>
              <w:spacing w:line="48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5"/>
              <w:spacing w:line="480" w:lineRule="exact"/>
              <w:rPr>
                <w:highlight w:val="none"/>
              </w:rPr>
            </w:pPr>
            <w:r>
              <w:rPr>
                <w:rFonts w:hint="eastAsia"/>
                <w:highlight w:val="none"/>
              </w:rPr>
              <w:t>备注</w:t>
            </w:r>
          </w:p>
        </w:tc>
        <w:tc>
          <w:tcPr>
            <w:tcW w:w="8186" w:type="dxa"/>
            <w:gridSpan w:val="7"/>
          </w:tcPr>
          <w:p>
            <w:pPr>
              <w:pStyle w:val="45"/>
              <w:spacing w:line="480" w:lineRule="exact"/>
              <w:rPr>
                <w:highlight w:val="none"/>
              </w:rPr>
            </w:pPr>
          </w:p>
        </w:tc>
      </w:tr>
    </w:tbl>
    <w:p>
      <w:pPr>
        <w:pStyle w:val="47"/>
        <w:ind w:firstLine="482"/>
        <w:rPr>
          <w:highlight w:val="none"/>
        </w:rPr>
      </w:pPr>
      <w:r>
        <w:rPr>
          <w:rFonts w:hint="eastAsia"/>
          <w:highlight w:val="none"/>
        </w:rPr>
        <w:t>注：投标人根据自身实际情况填写，对不涉及的内容可填写“/”，不影响投标资质及效力。</w:t>
      </w:r>
    </w:p>
    <w:p>
      <w:pPr>
        <w:pStyle w:val="42"/>
        <w:rPr>
          <w:highlight w:val="none"/>
        </w:rPr>
      </w:pPr>
    </w:p>
    <w:p>
      <w:pPr>
        <w:pStyle w:val="46"/>
        <w:rPr>
          <w:highlight w:val="none"/>
        </w:rPr>
      </w:pPr>
      <w:r>
        <w:rPr>
          <w:rFonts w:hint="eastAsia"/>
          <w:highlight w:val="none"/>
        </w:rPr>
        <w:t>投标人名称：</w:t>
      </w:r>
      <w:r>
        <w:rPr>
          <w:rFonts w:hint="eastAsia" w:asciiTheme="minorEastAsia" w:hAnsiTheme="minorEastAsia" w:eastAsiaTheme="minorEastAsia" w:cstheme="minorEastAsia"/>
          <w:bCs/>
          <w:highlight w:val="none"/>
          <w:u w:val="single"/>
        </w:rPr>
        <w:t xml:space="preserve">                 </w:t>
      </w:r>
      <w:r>
        <w:rPr>
          <w:rFonts w:hint="eastAsia"/>
          <w:highlight w:val="none"/>
        </w:rPr>
        <w:t>(盖章)</w:t>
      </w:r>
    </w:p>
    <w:p>
      <w:pPr>
        <w:pStyle w:val="46"/>
        <w:rPr>
          <w:highlight w:val="none"/>
        </w:rPr>
      </w:pPr>
      <w:r>
        <w:rPr>
          <w:rFonts w:hint="eastAsia"/>
          <w:highlight w:val="none"/>
        </w:rPr>
        <w:t>法定代表人/单位负责人或授权代表：</w:t>
      </w:r>
      <w:r>
        <w:rPr>
          <w:rFonts w:hint="eastAsia" w:asciiTheme="minorEastAsia" w:hAnsiTheme="minorEastAsia" w:eastAsiaTheme="minorEastAsia" w:cstheme="minorEastAsia"/>
          <w:bCs/>
          <w:highlight w:val="none"/>
          <w:u w:val="single"/>
        </w:rPr>
        <w:t xml:space="preserve">                 </w:t>
      </w:r>
      <w:r>
        <w:rPr>
          <w:rFonts w:hint="eastAsia"/>
          <w:highlight w:val="none"/>
        </w:rPr>
        <w:t>(签字或盖章)</w:t>
      </w:r>
    </w:p>
    <w:p>
      <w:pPr>
        <w:pStyle w:val="46"/>
        <w:rPr>
          <w:highlight w:val="none"/>
        </w:rPr>
      </w:pPr>
      <w:r>
        <w:rPr>
          <w:rFonts w:hint="eastAsia"/>
          <w:highlight w:val="none"/>
        </w:rPr>
        <w:t>投标日期：</w:t>
      </w:r>
      <w:r>
        <w:rPr>
          <w:rFonts w:hint="eastAsia" w:asciiTheme="minorEastAsia" w:hAnsiTheme="minorEastAsia" w:eastAsiaTheme="minorEastAsia" w:cstheme="minorEastAsia"/>
          <w:bCs/>
          <w:highlight w:val="none"/>
          <w:u w:val="single"/>
        </w:rPr>
        <w:t xml:space="preserve">                 </w:t>
      </w:r>
      <w:r>
        <w:rPr>
          <w:rFonts w:hint="eastAsia"/>
          <w:highlight w:val="none"/>
        </w:rPr>
        <w:t xml:space="preserve">       </w:t>
      </w:r>
    </w:p>
    <w:p>
      <w:pPr>
        <w:pStyle w:val="47"/>
        <w:ind w:firstLine="482"/>
        <w:rPr>
          <w:highlight w:val="none"/>
        </w:rPr>
      </w:pPr>
    </w:p>
    <w:p>
      <w:pPr>
        <w:pStyle w:val="44"/>
        <w:numPr>
          <w:ilvl w:val="0"/>
          <w:numId w:val="21"/>
        </w:numPr>
        <w:spacing w:before="120" w:after="120"/>
        <w:ind w:firstLine="0"/>
        <w:rPr>
          <w:highlight w:val="none"/>
        </w:rPr>
      </w:pPr>
      <w:bookmarkStart w:id="1132" w:name="_Toc9703"/>
      <w:bookmarkStart w:id="1133" w:name="_Toc6586"/>
      <w:bookmarkStart w:id="1134" w:name="_Toc24918"/>
      <w:bookmarkStart w:id="1135" w:name="_Toc32358"/>
      <w:r>
        <w:rPr>
          <w:rFonts w:hint="eastAsia"/>
          <w:highlight w:val="none"/>
        </w:rPr>
        <w:t>开标一览表</w:t>
      </w:r>
      <w:bookmarkEnd w:id="1108"/>
      <w:bookmarkEnd w:id="1109"/>
      <w:bookmarkEnd w:id="1110"/>
      <w:bookmarkEnd w:id="1111"/>
      <w:bookmarkEnd w:id="1132"/>
      <w:bookmarkEnd w:id="1133"/>
      <w:bookmarkEnd w:id="1134"/>
      <w:bookmarkEnd w:id="1135"/>
    </w:p>
    <w:p>
      <w:pPr>
        <w:pStyle w:val="42"/>
        <w:rPr>
          <w:highlight w:val="none"/>
          <w:u w:val="single"/>
        </w:rPr>
      </w:pPr>
      <w:r>
        <w:rPr>
          <w:rFonts w:hint="eastAsia"/>
          <w:highlight w:val="none"/>
        </w:rPr>
        <w:t>项目名称：</w:t>
      </w:r>
      <w:r>
        <w:rPr>
          <w:rFonts w:hint="eastAsia"/>
          <w:highlight w:val="none"/>
          <w:u w:val="single"/>
        </w:rPr>
        <w:t xml:space="preserve">                         </w:t>
      </w:r>
    </w:p>
    <w:p>
      <w:pPr>
        <w:pStyle w:val="42"/>
        <w:rPr>
          <w:highlight w:val="none"/>
          <w:u w:val="single"/>
        </w:rPr>
      </w:pPr>
      <w:r>
        <w:rPr>
          <w:rFonts w:hint="eastAsia"/>
          <w:highlight w:val="none"/>
        </w:rPr>
        <w:t>项目编号：</w:t>
      </w:r>
      <w:r>
        <w:rPr>
          <w:rFonts w:hint="eastAsia"/>
          <w:highlight w:val="none"/>
          <w:u w:val="single"/>
        </w:rPr>
        <w:t xml:space="preserve">                         </w:t>
      </w:r>
      <w:r>
        <w:rPr>
          <w:rFonts w:hint="eastAsia"/>
          <w:highlight w:val="none"/>
        </w:rPr>
        <w:t xml:space="preserve">                                  </w:t>
      </w:r>
    </w:p>
    <w:tbl>
      <w:tblPr>
        <w:tblStyle w:val="23"/>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108"/>
        <w:gridCol w:w="2568"/>
        <w:gridCol w:w="3560"/>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7" w:type="dxa"/>
            <w:vAlign w:val="center"/>
          </w:tcPr>
          <w:p>
            <w:pPr>
              <w:pStyle w:val="45"/>
              <w:rPr>
                <w:b/>
                <w:bCs/>
                <w:highlight w:val="none"/>
              </w:rPr>
            </w:pPr>
            <w:r>
              <w:rPr>
                <w:rFonts w:hint="eastAsia"/>
                <w:b/>
                <w:bCs/>
                <w:highlight w:val="none"/>
              </w:rPr>
              <w:t>序号</w:t>
            </w:r>
          </w:p>
        </w:tc>
        <w:tc>
          <w:tcPr>
            <w:tcW w:w="2108" w:type="dxa"/>
            <w:vAlign w:val="center"/>
          </w:tcPr>
          <w:p>
            <w:pPr>
              <w:pStyle w:val="45"/>
              <w:rPr>
                <w:b/>
                <w:bCs/>
                <w:highlight w:val="none"/>
              </w:rPr>
            </w:pPr>
            <w:r>
              <w:rPr>
                <w:rFonts w:hint="eastAsia"/>
                <w:b/>
                <w:bCs/>
                <w:highlight w:val="none"/>
              </w:rPr>
              <w:t>服务内容</w:t>
            </w:r>
          </w:p>
        </w:tc>
        <w:tc>
          <w:tcPr>
            <w:tcW w:w="2568" w:type="dxa"/>
            <w:vAlign w:val="center"/>
          </w:tcPr>
          <w:p>
            <w:pPr>
              <w:pStyle w:val="45"/>
              <w:rPr>
                <w:b/>
                <w:bCs/>
                <w:highlight w:val="none"/>
              </w:rPr>
            </w:pPr>
            <w:r>
              <w:rPr>
                <w:rFonts w:hint="eastAsia"/>
                <w:b/>
                <w:bCs/>
                <w:highlight w:val="none"/>
              </w:rPr>
              <w:t>投标</w:t>
            </w:r>
            <w:r>
              <w:rPr>
                <w:rFonts w:hint="eastAsia"/>
                <w:b/>
                <w:bCs/>
                <w:highlight w:val="none"/>
                <w:lang w:val="en-US" w:eastAsia="zh-CN"/>
              </w:rPr>
              <w:t>报价</w:t>
            </w:r>
            <w:r>
              <w:rPr>
                <w:rFonts w:hint="eastAsia"/>
                <w:b/>
                <w:bCs/>
                <w:highlight w:val="none"/>
              </w:rPr>
              <w:t>(元)</w:t>
            </w:r>
          </w:p>
        </w:tc>
        <w:tc>
          <w:tcPr>
            <w:tcW w:w="3560" w:type="dxa"/>
            <w:vAlign w:val="center"/>
          </w:tcPr>
          <w:p>
            <w:pPr>
              <w:pStyle w:val="45"/>
              <w:rPr>
                <w:rFonts w:hint="eastAsia" w:eastAsia="宋体"/>
                <w:b/>
                <w:bCs/>
                <w:highlight w:val="none"/>
                <w:lang w:eastAsia="zh-CN"/>
              </w:rPr>
            </w:pPr>
            <w:r>
              <w:rPr>
                <w:rFonts w:hint="eastAsia"/>
                <w:b/>
                <w:bCs/>
                <w:highlight w:val="none"/>
                <w:lang w:eastAsia="zh-CN"/>
              </w:rPr>
              <w:t>服务期限</w:t>
            </w:r>
          </w:p>
        </w:tc>
        <w:tc>
          <w:tcPr>
            <w:tcW w:w="985" w:type="dxa"/>
            <w:vAlign w:val="center"/>
          </w:tcPr>
          <w:p>
            <w:pPr>
              <w:pStyle w:val="45"/>
              <w:rPr>
                <w:b/>
                <w:bCs/>
                <w:highlight w:val="none"/>
              </w:rPr>
            </w:pPr>
            <w:r>
              <w:rPr>
                <w:rFonts w:hint="eastAsia"/>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757" w:type="dxa"/>
            <w:vAlign w:val="center"/>
          </w:tcPr>
          <w:p>
            <w:pPr>
              <w:pStyle w:val="42"/>
              <w:jc w:val="center"/>
              <w:rPr>
                <w:rFonts w:hint="eastAsia" w:eastAsia="宋体"/>
                <w:highlight w:val="none"/>
                <w:lang w:val="en-US" w:eastAsia="zh-CN"/>
              </w:rPr>
            </w:pPr>
            <w:r>
              <w:rPr>
                <w:rFonts w:hint="eastAsia"/>
                <w:highlight w:val="none"/>
                <w:lang w:val="en-US" w:eastAsia="zh-CN"/>
              </w:rPr>
              <w:t>1</w:t>
            </w:r>
          </w:p>
        </w:tc>
        <w:tc>
          <w:tcPr>
            <w:tcW w:w="2108" w:type="dxa"/>
            <w:vAlign w:val="center"/>
          </w:tcPr>
          <w:p>
            <w:pPr>
              <w:pStyle w:val="42"/>
              <w:rPr>
                <w:rFonts w:hint="eastAsia" w:ascii="宋体" w:hAnsi="宋体" w:eastAsia="宋体" w:cs="宋体"/>
                <w:highlight w:val="none"/>
              </w:rPr>
            </w:pPr>
            <w:r>
              <w:rPr>
                <w:rFonts w:hint="eastAsia" w:ascii="宋体" w:hAnsi="宋体" w:eastAsia="宋体" w:cs="宋体"/>
                <w:highlight w:val="none"/>
                <w:lang w:val="en-US" w:eastAsia="zh-CN"/>
              </w:rPr>
              <w:t>新增案件扫描及整理归档服务</w:t>
            </w:r>
          </w:p>
        </w:tc>
        <w:tc>
          <w:tcPr>
            <w:tcW w:w="2568" w:type="dxa"/>
            <w:vAlign w:val="center"/>
          </w:tcPr>
          <w:p>
            <w:pPr>
              <w:pStyle w:val="42"/>
              <w:rPr>
                <w:rFonts w:hint="eastAsia" w:ascii="宋体" w:hAnsi="宋体" w:eastAsia="宋体" w:cs="宋体"/>
                <w:highlight w:val="none"/>
              </w:rPr>
            </w:pPr>
            <w:r>
              <w:rPr>
                <w:rFonts w:hint="eastAsia" w:ascii="宋体" w:hAnsi="宋体" w:eastAsia="宋体" w:cs="宋体"/>
                <w:highlight w:val="none"/>
                <w:lang w:val="en-US" w:eastAsia="zh-CN"/>
              </w:rPr>
              <w:t>按案件计价，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元/件。</w:t>
            </w:r>
          </w:p>
        </w:tc>
        <w:tc>
          <w:tcPr>
            <w:tcW w:w="3560" w:type="dxa"/>
            <w:vMerge w:val="restart"/>
            <w:vAlign w:val="center"/>
          </w:tcPr>
          <w:p>
            <w:pPr>
              <w:pStyle w:val="42"/>
              <w:rPr>
                <w:rFonts w:hint="eastAsia" w:ascii="宋体" w:hAnsi="宋体" w:eastAsia="宋体" w:cs="宋体"/>
                <w:highlight w:val="none"/>
              </w:rPr>
            </w:pPr>
            <w:r>
              <w:rPr>
                <w:rFonts w:hint="eastAsia" w:cs="宋体"/>
                <w:bCs/>
                <w:sz w:val="24"/>
                <w:szCs w:val="24"/>
                <w:highlight w:val="none"/>
                <w:lang w:val="en-US" w:eastAsia="zh-CN"/>
              </w:rPr>
              <w:t>服务期限</w:t>
            </w:r>
            <w:r>
              <w:rPr>
                <w:rFonts w:hint="eastAsia" w:ascii="宋体" w:hAnsi="宋体" w:eastAsia="宋体" w:cs="宋体"/>
                <w:bCs/>
                <w:sz w:val="24"/>
                <w:szCs w:val="24"/>
                <w:highlight w:val="none"/>
              </w:rPr>
              <w:t>3年，合同一年一签，其中电子卷宗智能编目（命名）服务项目会根据我院实际工作需要进行增减。在购买服务合同期限内，如无合同终止事由，每一年期满</w:t>
            </w:r>
            <w:r>
              <w:rPr>
                <w:rFonts w:hint="eastAsia" w:ascii="宋体" w:hAnsi="宋体" w:eastAsia="宋体" w:cs="宋体"/>
                <w:bCs/>
                <w:sz w:val="24"/>
                <w:szCs w:val="24"/>
                <w:highlight w:val="none"/>
                <w:lang w:val="en-US" w:eastAsia="zh-CN"/>
              </w:rPr>
              <w:t>经过履约验收合格</w:t>
            </w:r>
            <w:r>
              <w:rPr>
                <w:rFonts w:hint="eastAsia" w:ascii="宋体" w:hAnsi="宋体" w:eastAsia="宋体" w:cs="宋体"/>
                <w:bCs/>
                <w:sz w:val="24"/>
                <w:szCs w:val="24"/>
                <w:highlight w:val="none"/>
              </w:rPr>
              <w:t>后，双方经协商一致，</w:t>
            </w:r>
            <w:r>
              <w:rPr>
                <w:rFonts w:hint="eastAsia" w:cs="宋体"/>
                <w:bCs/>
                <w:sz w:val="24"/>
                <w:szCs w:val="24"/>
                <w:highlight w:val="none"/>
                <w:lang w:val="en-US" w:eastAsia="zh-CN"/>
              </w:rPr>
              <w:t>在预算保障的前提下，</w:t>
            </w:r>
            <w:r>
              <w:rPr>
                <w:rFonts w:hint="eastAsia" w:ascii="宋体" w:hAnsi="宋体" w:eastAsia="宋体" w:cs="宋体"/>
                <w:bCs/>
                <w:sz w:val="24"/>
                <w:szCs w:val="24"/>
                <w:highlight w:val="none"/>
                <w:lang w:val="en-US" w:eastAsia="zh-CN"/>
              </w:rPr>
              <w:t>可以</w:t>
            </w:r>
            <w:r>
              <w:rPr>
                <w:rFonts w:hint="eastAsia" w:ascii="宋体" w:hAnsi="宋体" w:eastAsia="宋体" w:cs="宋体"/>
                <w:bCs/>
                <w:sz w:val="24"/>
                <w:szCs w:val="24"/>
                <w:highlight w:val="none"/>
              </w:rPr>
              <w:t>续签档案数字化加工服务协议。</w:t>
            </w:r>
          </w:p>
        </w:tc>
        <w:tc>
          <w:tcPr>
            <w:tcW w:w="985" w:type="dxa"/>
            <w:vAlign w:val="center"/>
          </w:tcPr>
          <w:p>
            <w:pPr>
              <w:pStyle w:val="4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757" w:type="dxa"/>
            <w:vAlign w:val="center"/>
          </w:tcPr>
          <w:p>
            <w:pPr>
              <w:pStyle w:val="42"/>
              <w:jc w:val="center"/>
              <w:rPr>
                <w:rFonts w:hint="eastAsia" w:eastAsia="宋体"/>
                <w:highlight w:val="none"/>
                <w:lang w:val="en-US" w:eastAsia="zh-CN"/>
              </w:rPr>
            </w:pPr>
            <w:r>
              <w:rPr>
                <w:rFonts w:hint="eastAsia"/>
                <w:highlight w:val="none"/>
                <w:lang w:val="en-US" w:eastAsia="zh-CN"/>
              </w:rPr>
              <w:t>2</w:t>
            </w:r>
          </w:p>
        </w:tc>
        <w:tc>
          <w:tcPr>
            <w:tcW w:w="2108" w:type="dxa"/>
            <w:vAlign w:val="center"/>
          </w:tcPr>
          <w:p>
            <w:pPr>
              <w:pStyle w:val="42"/>
              <w:rPr>
                <w:rFonts w:hint="eastAsia" w:cs="宋体"/>
                <w:highlight w:val="none"/>
                <w:lang w:val="en-US"/>
              </w:rPr>
            </w:pPr>
            <w:r>
              <w:rPr>
                <w:rFonts w:hint="eastAsia" w:ascii="宋体" w:hAnsi="宋体" w:eastAsia="宋体" w:cs="宋体"/>
                <w:b w:val="0"/>
                <w:bCs w:val="0"/>
                <w:sz w:val="24"/>
                <w:szCs w:val="24"/>
                <w:highlight w:val="none"/>
                <w:lang w:val="en-US" w:eastAsia="zh-CN"/>
              </w:rPr>
              <w:t>迈维系统案件补充扫描服务及电子卷宗智能编目服务</w:t>
            </w:r>
          </w:p>
        </w:tc>
        <w:tc>
          <w:tcPr>
            <w:tcW w:w="2568" w:type="dxa"/>
            <w:vAlign w:val="center"/>
          </w:tcPr>
          <w:p>
            <w:pPr>
              <w:pStyle w:val="42"/>
              <w:ind w:left="240" w:hanging="240" w:hangingChars="100"/>
              <w:rPr>
                <w:rFonts w:hint="eastAsia" w:cs="宋体"/>
                <w:highlight w:val="none"/>
              </w:rPr>
            </w:pPr>
            <w:r>
              <w:rPr>
                <w:rFonts w:hint="eastAsia" w:cs="宋体"/>
                <w:highlight w:val="none"/>
                <w:lang w:val="en-US" w:eastAsia="zh-CN"/>
              </w:rPr>
              <w:t>按劳务派遣计价，</w:t>
            </w:r>
            <w:r>
              <w:rPr>
                <w:rFonts w:hint="eastAsia" w:cs="宋体"/>
                <w:highlight w:val="none"/>
                <w:u w:val="single"/>
                <w:lang w:val="en-US" w:eastAsia="zh-CN"/>
              </w:rPr>
              <w:t xml:space="preserve">   </w:t>
            </w:r>
            <w:r>
              <w:rPr>
                <w:rFonts w:hint="eastAsia" w:cs="宋体"/>
                <w:highlight w:val="none"/>
                <w:lang w:val="en-US" w:eastAsia="zh-CN"/>
              </w:rPr>
              <w:t>元/人/年。</w:t>
            </w:r>
          </w:p>
        </w:tc>
        <w:tc>
          <w:tcPr>
            <w:tcW w:w="3560" w:type="dxa"/>
            <w:vMerge w:val="continue"/>
            <w:vAlign w:val="center"/>
          </w:tcPr>
          <w:p>
            <w:pPr>
              <w:pStyle w:val="42"/>
              <w:rPr>
                <w:highlight w:val="none"/>
              </w:rPr>
            </w:pPr>
          </w:p>
        </w:tc>
        <w:tc>
          <w:tcPr>
            <w:tcW w:w="985" w:type="dxa"/>
            <w:vAlign w:val="center"/>
          </w:tcPr>
          <w:p>
            <w:pPr>
              <w:pStyle w:val="42"/>
              <w:rPr>
                <w:highlight w:val="none"/>
              </w:rPr>
            </w:pPr>
          </w:p>
        </w:tc>
      </w:tr>
    </w:tbl>
    <w:p>
      <w:pPr>
        <w:pStyle w:val="47"/>
        <w:ind w:firstLine="482"/>
        <w:rPr>
          <w:b w:val="0"/>
          <w:bCs/>
          <w:highlight w:val="none"/>
        </w:rPr>
      </w:pPr>
      <w:r>
        <w:rPr>
          <w:rFonts w:hint="eastAsia"/>
          <w:highlight w:val="none"/>
        </w:rPr>
        <w:t>注：</w:t>
      </w:r>
      <w:r>
        <w:rPr>
          <w:rFonts w:hint="eastAsia"/>
          <w:b w:val="0"/>
          <w:bCs/>
          <w:highlight w:val="none"/>
        </w:rPr>
        <w:t>①报价</w:t>
      </w:r>
      <w:r>
        <w:rPr>
          <w:rFonts w:hint="eastAsia"/>
          <w:b w:val="0"/>
          <w:bCs/>
          <w:highlight w:val="none"/>
          <w:lang w:val="en-US" w:eastAsia="zh-CN"/>
        </w:rPr>
        <w:t>是指投标人完成采购人当前环境下项目正常运行所需的全部费用</w:t>
      </w:r>
      <w:r>
        <w:rPr>
          <w:rFonts w:hint="eastAsia"/>
          <w:b w:val="0"/>
          <w:bCs/>
          <w:highlight w:val="none"/>
        </w:rPr>
        <w:t>，包含完成本项目所涉及人员</w:t>
      </w:r>
      <w:r>
        <w:rPr>
          <w:rFonts w:hint="eastAsia"/>
          <w:b w:val="0"/>
          <w:bCs/>
          <w:highlight w:val="none"/>
          <w:lang w:val="en-US" w:eastAsia="zh-CN"/>
        </w:rPr>
        <w:t>薪资</w:t>
      </w:r>
      <w:r>
        <w:rPr>
          <w:rFonts w:hint="eastAsia"/>
          <w:b w:val="0"/>
          <w:bCs/>
          <w:highlight w:val="none"/>
        </w:rPr>
        <w:t>、</w:t>
      </w:r>
      <w:r>
        <w:rPr>
          <w:rFonts w:hint="eastAsia"/>
          <w:b w:val="0"/>
          <w:bCs/>
          <w:highlight w:val="none"/>
          <w:lang w:val="en-US" w:eastAsia="zh-CN"/>
        </w:rPr>
        <w:t>设备投入</w:t>
      </w:r>
      <w:r>
        <w:rPr>
          <w:rFonts w:hint="eastAsia"/>
          <w:b w:val="0"/>
          <w:bCs/>
          <w:highlight w:val="none"/>
        </w:rPr>
        <w:t>、</w:t>
      </w:r>
      <w:r>
        <w:rPr>
          <w:rFonts w:hint="eastAsia"/>
          <w:b w:val="0"/>
          <w:bCs/>
          <w:highlight w:val="none"/>
          <w:lang w:val="en-US" w:eastAsia="zh-CN"/>
        </w:rPr>
        <w:t>交通住宿</w:t>
      </w:r>
      <w:r>
        <w:rPr>
          <w:rFonts w:hint="eastAsia"/>
          <w:b w:val="0"/>
          <w:bCs/>
          <w:highlight w:val="none"/>
        </w:rPr>
        <w:t>、</w:t>
      </w:r>
      <w:r>
        <w:rPr>
          <w:rFonts w:hint="eastAsia"/>
          <w:b w:val="0"/>
          <w:bCs/>
          <w:highlight w:val="none"/>
          <w:lang w:val="en-US" w:eastAsia="zh-CN"/>
        </w:rPr>
        <w:t>整理、扫描、编目、管理</w:t>
      </w:r>
      <w:r>
        <w:rPr>
          <w:rFonts w:hint="eastAsia"/>
          <w:b w:val="0"/>
          <w:bCs/>
          <w:highlight w:val="none"/>
        </w:rPr>
        <w:t xml:space="preserve">、成果、利润、保险、风险、税金、招标代理服务费以及招标文件规定的一切费用。 </w:t>
      </w:r>
    </w:p>
    <w:p>
      <w:pPr>
        <w:pStyle w:val="47"/>
        <w:rPr>
          <w:b w:val="0"/>
          <w:bCs/>
          <w:highlight w:val="none"/>
        </w:rPr>
      </w:pPr>
      <w:r>
        <w:rPr>
          <w:rFonts w:hint="eastAsia"/>
          <w:b w:val="0"/>
          <w:bCs/>
          <w:highlight w:val="none"/>
        </w:rPr>
        <w:t>②“开标一览表”为多页的，每页均需由法定代表人/单位负责人或授权代表签字并盖投标人印章。</w:t>
      </w:r>
    </w:p>
    <w:p>
      <w:pPr>
        <w:pStyle w:val="47"/>
        <w:ind w:firstLine="482"/>
        <w:rPr>
          <w:highlight w:val="none"/>
        </w:rPr>
      </w:pPr>
      <w:r>
        <w:rPr>
          <w:rFonts w:hint="eastAsia"/>
          <w:highlight w:val="none"/>
        </w:rPr>
        <w:t>③“开标一览表”除了单独密封递交外，其他投标文件(正副本)中也应当提供，如有遗漏，将视为无效投标。</w:t>
      </w:r>
    </w:p>
    <w:p>
      <w:pPr>
        <w:pStyle w:val="42"/>
        <w:rPr>
          <w:highlight w:val="none"/>
        </w:rPr>
      </w:pPr>
    </w:p>
    <w:p>
      <w:pPr>
        <w:pStyle w:val="42"/>
        <w:rPr>
          <w:highlight w:val="none"/>
        </w:rPr>
      </w:pPr>
    </w:p>
    <w:p>
      <w:pPr>
        <w:pStyle w:val="42"/>
        <w:rPr>
          <w:highlight w:val="none"/>
        </w:rPr>
      </w:pPr>
    </w:p>
    <w:p>
      <w:pPr>
        <w:pStyle w:val="42"/>
        <w:rPr>
          <w:highlight w:val="none"/>
        </w:rPr>
      </w:pPr>
    </w:p>
    <w:p>
      <w:pPr>
        <w:pStyle w:val="42"/>
        <w:ind w:firstLine="480" w:firstLineChars="200"/>
        <w:rPr>
          <w:highlight w:val="none"/>
        </w:rPr>
      </w:pPr>
      <w:r>
        <w:rPr>
          <w:rFonts w:hint="eastAsia"/>
          <w:highlight w:val="none"/>
        </w:rPr>
        <w:t>投标人名称：</w:t>
      </w:r>
      <w:r>
        <w:rPr>
          <w:rFonts w:hint="eastAsia" w:asciiTheme="minorEastAsia" w:hAnsiTheme="minorEastAsia" w:eastAsiaTheme="minorEastAsia" w:cstheme="minorEastAsia"/>
          <w:bCs/>
          <w:highlight w:val="none"/>
          <w:u w:val="single"/>
        </w:rPr>
        <w:t xml:space="preserve">                 </w:t>
      </w:r>
      <w:r>
        <w:rPr>
          <w:rFonts w:hint="eastAsia"/>
          <w:highlight w:val="none"/>
        </w:rPr>
        <w:t>(盖章)</w:t>
      </w:r>
    </w:p>
    <w:p>
      <w:pPr>
        <w:pStyle w:val="42"/>
        <w:ind w:firstLine="480" w:firstLineChars="200"/>
        <w:rPr>
          <w:highlight w:val="none"/>
        </w:rPr>
      </w:pPr>
      <w:r>
        <w:rPr>
          <w:rFonts w:hint="eastAsia"/>
          <w:highlight w:val="none"/>
        </w:rPr>
        <w:t>法定代表人/单位负责人或授权代表：</w:t>
      </w:r>
      <w:r>
        <w:rPr>
          <w:rFonts w:hint="eastAsia" w:asciiTheme="minorEastAsia" w:hAnsiTheme="minorEastAsia" w:eastAsiaTheme="minorEastAsia" w:cstheme="minorEastAsia"/>
          <w:bCs/>
          <w:highlight w:val="none"/>
          <w:u w:val="single"/>
        </w:rPr>
        <w:t xml:space="preserve">                 </w:t>
      </w:r>
      <w:r>
        <w:rPr>
          <w:rFonts w:hint="eastAsia"/>
          <w:highlight w:val="none"/>
        </w:rPr>
        <w:t>(签字或盖章)</w:t>
      </w:r>
    </w:p>
    <w:p>
      <w:pPr>
        <w:pStyle w:val="42"/>
        <w:ind w:firstLine="480" w:firstLineChars="200"/>
        <w:rPr>
          <w:highlight w:val="none"/>
        </w:rPr>
      </w:pPr>
      <w:r>
        <w:rPr>
          <w:rFonts w:hint="eastAsia"/>
          <w:highlight w:val="none"/>
        </w:rPr>
        <w:t>投标日期：</w:t>
      </w:r>
      <w:bookmarkStart w:id="1136" w:name="_Toc7728"/>
      <w:r>
        <w:rPr>
          <w:rFonts w:hint="eastAsia" w:asciiTheme="minorEastAsia" w:hAnsiTheme="minorEastAsia" w:eastAsiaTheme="minorEastAsia" w:cstheme="minorEastAsia"/>
          <w:bCs/>
          <w:highlight w:val="none"/>
          <w:u w:val="single"/>
        </w:rPr>
        <w:t xml:space="preserve">                 </w:t>
      </w:r>
      <w:r>
        <w:rPr>
          <w:rFonts w:hint="eastAsia"/>
          <w:highlight w:val="none"/>
        </w:rPr>
        <w:br w:type="page"/>
      </w:r>
      <w:bookmarkEnd w:id="1136"/>
    </w:p>
    <w:p>
      <w:pPr>
        <w:pStyle w:val="44"/>
        <w:numPr>
          <w:ilvl w:val="0"/>
          <w:numId w:val="21"/>
        </w:numPr>
        <w:spacing w:before="120" w:after="120"/>
        <w:ind w:firstLine="0"/>
        <w:rPr>
          <w:highlight w:val="none"/>
        </w:rPr>
      </w:pPr>
      <w:bookmarkStart w:id="1137" w:name="_Toc7835"/>
      <w:bookmarkStart w:id="1138" w:name="_Toc217446087"/>
      <w:bookmarkStart w:id="1139" w:name="_Toc307501130"/>
      <w:bookmarkStart w:id="1140" w:name="_Toc24098"/>
      <w:bookmarkStart w:id="1141" w:name="_Toc2122"/>
      <w:bookmarkStart w:id="1142" w:name="_Toc11461"/>
      <w:bookmarkStart w:id="1143" w:name="_Toc327196310"/>
      <w:bookmarkStart w:id="1144" w:name="_Toc21006"/>
      <w:bookmarkStart w:id="1145" w:name="_Toc8650"/>
      <w:bookmarkStart w:id="1146" w:name="_Toc307564875"/>
      <w:bookmarkStart w:id="1147" w:name="_Toc29145"/>
      <w:bookmarkStart w:id="1148" w:name="_Toc319440166"/>
      <w:bookmarkStart w:id="1149" w:name="_Toc25577"/>
      <w:bookmarkStart w:id="1150" w:name="_Toc319440168"/>
      <w:bookmarkStart w:id="1151" w:name="_Toc327196312"/>
      <w:bookmarkStart w:id="1152" w:name="_Toc26124"/>
      <w:bookmarkStart w:id="1153" w:name="_Toc24507"/>
      <w:r>
        <w:rPr>
          <w:rFonts w:hint="eastAsia"/>
          <w:highlight w:val="none"/>
        </w:rPr>
        <w:t>商务应答表</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pPr>
        <w:pStyle w:val="42"/>
        <w:rPr>
          <w:highlight w:val="none"/>
          <w:u w:val="single"/>
        </w:rPr>
      </w:pPr>
      <w:r>
        <w:rPr>
          <w:rFonts w:hint="eastAsia"/>
          <w:highlight w:val="none"/>
        </w:rPr>
        <w:t>项目名称：</w:t>
      </w:r>
      <w:r>
        <w:rPr>
          <w:rFonts w:hint="eastAsia"/>
          <w:highlight w:val="none"/>
          <w:u w:val="single"/>
        </w:rPr>
        <w:t xml:space="preserve">                             </w:t>
      </w:r>
      <w:r>
        <w:rPr>
          <w:rFonts w:hint="eastAsia"/>
          <w:highlight w:val="none"/>
        </w:rPr>
        <w:t xml:space="preserve"> </w:t>
      </w:r>
    </w:p>
    <w:p>
      <w:pPr>
        <w:pStyle w:val="42"/>
        <w:rPr>
          <w:highlight w:val="none"/>
        </w:rPr>
      </w:pPr>
      <w:r>
        <w:rPr>
          <w:rFonts w:hint="eastAsia"/>
          <w:highlight w:val="none"/>
        </w:rPr>
        <w:t>项目编号：</w:t>
      </w:r>
      <w:r>
        <w:rPr>
          <w:rFonts w:hint="eastAsia"/>
          <w:highlight w:val="none"/>
          <w:u w:val="single"/>
        </w:rPr>
        <w:t xml:space="preserve">                              </w:t>
      </w:r>
      <w:r>
        <w:rPr>
          <w:rFonts w:hint="eastAsia"/>
          <w:highlight w:val="none"/>
        </w:rPr>
        <w:t xml:space="preserve">                           </w:t>
      </w:r>
    </w:p>
    <w:tbl>
      <w:tblPr>
        <w:tblStyle w:val="23"/>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5"/>
              <w:rPr>
                <w:b/>
                <w:bCs/>
                <w:highlight w:val="none"/>
              </w:rPr>
            </w:pPr>
            <w:r>
              <w:rPr>
                <w:rFonts w:hint="eastAsia"/>
                <w:b/>
                <w:bCs/>
                <w:highlight w:val="none"/>
              </w:rPr>
              <w:t>序号</w:t>
            </w:r>
          </w:p>
        </w:tc>
        <w:tc>
          <w:tcPr>
            <w:tcW w:w="3880" w:type="dxa"/>
            <w:vAlign w:val="center"/>
          </w:tcPr>
          <w:p>
            <w:pPr>
              <w:pStyle w:val="45"/>
              <w:rPr>
                <w:b/>
                <w:bCs/>
                <w:highlight w:val="none"/>
              </w:rPr>
            </w:pPr>
            <w:r>
              <w:rPr>
                <w:rFonts w:hint="eastAsia"/>
                <w:b/>
                <w:bCs/>
                <w:highlight w:val="none"/>
              </w:rPr>
              <w:t>招标商务要求</w:t>
            </w:r>
          </w:p>
        </w:tc>
        <w:tc>
          <w:tcPr>
            <w:tcW w:w="3673" w:type="dxa"/>
            <w:vAlign w:val="center"/>
          </w:tcPr>
          <w:p>
            <w:pPr>
              <w:pStyle w:val="45"/>
              <w:rPr>
                <w:b/>
                <w:bCs/>
                <w:highlight w:val="none"/>
              </w:rPr>
            </w:pPr>
            <w:r>
              <w:rPr>
                <w:rFonts w:hint="eastAsia"/>
                <w:b/>
                <w:bCs/>
                <w:highlight w:val="none"/>
              </w:rPr>
              <w:t>投标应答</w:t>
            </w:r>
          </w:p>
        </w:tc>
        <w:tc>
          <w:tcPr>
            <w:tcW w:w="1631" w:type="dxa"/>
            <w:vAlign w:val="center"/>
          </w:tcPr>
          <w:p>
            <w:pPr>
              <w:pStyle w:val="45"/>
              <w:rPr>
                <w:b/>
                <w:bCs/>
                <w:highlight w:val="none"/>
              </w:rPr>
            </w:pPr>
            <w:r>
              <w:rPr>
                <w:rFonts w:hint="eastAsia"/>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5"/>
              <w:rPr>
                <w:b/>
                <w:bCs/>
                <w:highlight w:val="none"/>
              </w:rPr>
            </w:pPr>
          </w:p>
        </w:tc>
        <w:tc>
          <w:tcPr>
            <w:tcW w:w="3880" w:type="dxa"/>
          </w:tcPr>
          <w:p>
            <w:pPr>
              <w:pStyle w:val="45"/>
              <w:rPr>
                <w:b/>
                <w:bCs/>
                <w:highlight w:val="none"/>
              </w:rPr>
            </w:pPr>
          </w:p>
        </w:tc>
        <w:tc>
          <w:tcPr>
            <w:tcW w:w="3673" w:type="dxa"/>
          </w:tcPr>
          <w:p>
            <w:pPr>
              <w:pStyle w:val="45"/>
              <w:rPr>
                <w:b/>
                <w:bCs/>
                <w:highlight w:val="none"/>
              </w:rPr>
            </w:pPr>
          </w:p>
        </w:tc>
        <w:tc>
          <w:tcPr>
            <w:tcW w:w="1631" w:type="dxa"/>
          </w:tcPr>
          <w:p>
            <w:pPr>
              <w:pStyle w:val="45"/>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5"/>
              <w:rPr>
                <w:b/>
                <w:bCs/>
                <w:highlight w:val="none"/>
              </w:rPr>
            </w:pPr>
          </w:p>
        </w:tc>
        <w:tc>
          <w:tcPr>
            <w:tcW w:w="3880" w:type="dxa"/>
          </w:tcPr>
          <w:p>
            <w:pPr>
              <w:pStyle w:val="45"/>
              <w:rPr>
                <w:b/>
                <w:bCs/>
                <w:highlight w:val="none"/>
              </w:rPr>
            </w:pPr>
          </w:p>
        </w:tc>
        <w:tc>
          <w:tcPr>
            <w:tcW w:w="3673" w:type="dxa"/>
          </w:tcPr>
          <w:p>
            <w:pPr>
              <w:pStyle w:val="45"/>
              <w:rPr>
                <w:b/>
                <w:bCs/>
                <w:highlight w:val="none"/>
              </w:rPr>
            </w:pPr>
          </w:p>
        </w:tc>
        <w:tc>
          <w:tcPr>
            <w:tcW w:w="1631" w:type="dxa"/>
          </w:tcPr>
          <w:p>
            <w:pPr>
              <w:pStyle w:val="45"/>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5"/>
              <w:rPr>
                <w:b/>
                <w:bCs/>
                <w:highlight w:val="none"/>
              </w:rPr>
            </w:pPr>
          </w:p>
        </w:tc>
        <w:tc>
          <w:tcPr>
            <w:tcW w:w="3880" w:type="dxa"/>
          </w:tcPr>
          <w:p>
            <w:pPr>
              <w:pStyle w:val="45"/>
              <w:rPr>
                <w:b/>
                <w:bCs/>
                <w:highlight w:val="none"/>
              </w:rPr>
            </w:pPr>
          </w:p>
        </w:tc>
        <w:tc>
          <w:tcPr>
            <w:tcW w:w="3673" w:type="dxa"/>
          </w:tcPr>
          <w:p>
            <w:pPr>
              <w:pStyle w:val="45"/>
              <w:rPr>
                <w:b/>
                <w:bCs/>
                <w:highlight w:val="none"/>
              </w:rPr>
            </w:pPr>
          </w:p>
        </w:tc>
        <w:tc>
          <w:tcPr>
            <w:tcW w:w="1631" w:type="dxa"/>
          </w:tcPr>
          <w:p>
            <w:pPr>
              <w:pStyle w:val="45"/>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5"/>
              <w:rPr>
                <w:b/>
                <w:bCs/>
                <w:highlight w:val="none"/>
              </w:rPr>
            </w:pPr>
          </w:p>
        </w:tc>
        <w:tc>
          <w:tcPr>
            <w:tcW w:w="3880" w:type="dxa"/>
          </w:tcPr>
          <w:p>
            <w:pPr>
              <w:pStyle w:val="45"/>
              <w:rPr>
                <w:b/>
                <w:bCs/>
                <w:highlight w:val="none"/>
              </w:rPr>
            </w:pPr>
          </w:p>
        </w:tc>
        <w:tc>
          <w:tcPr>
            <w:tcW w:w="3673" w:type="dxa"/>
          </w:tcPr>
          <w:p>
            <w:pPr>
              <w:pStyle w:val="45"/>
              <w:rPr>
                <w:b/>
                <w:bCs/>
                <w:highlight w:val="none"/>
              </w:rPr>
            </w:pPr>
          </w:p>
        </w:tc>
        <w:tc>
          <w:tcPr>
            <w:tcW w:w="1631" w:type="dxa"/>
          </w:tcPr>
          <w:p>
            <w:pPr>
              <w:pStyle w:val="45"/>
              <w:rPr>
                <w:b/>
                <w:bCs/>
                <w:highlight w:val="none"/>
              </w:rPr>
            </w:pPr>
          </w:p>
        </w:tc>
      </w:tr>
    </w:tbl>
    <w:p>
      <w:pPr>
        <w:pStyle w:val="47"/>
        <w:ind w:firstLine="482"/>
        <w:rPr>
          <w:highlight w:val="none"/>
        </w:rPr>
      </w:pPr>
      <w:r>
        <w:rPr>
          <w:rFonts w:hint="eastAsia"/>
          <w:highlight w:val="none"/>
        </w:rPr>
        <w:t>注：</w:t>
      </w:r>
      <w:r>
        <w:rPr>
          <w:rFonts w:hint="eastAsia"/>
          <w:color w:val="000000" w:themeColor="text1"/>
          <w:highlight w:val="none"/>
          <w14:textFill>
            <w14:solidFill>
              <w14:schemeClr w14:val="tx1"/>
            </w14:solidFill>
          </w14:textFill>
        </w:rPr>
        <w:t>如与招标文件的商务要求有偏离(包括正偏离和负偏离)，请将偏离条款逐条应答。如与招标文件商务要求的所有条款无偏离，则无须在此表中应答，视为默认完全响应和接受招标文件所有商务要求，供应商不得以未作应答而拒不接受</w:t>
      </w:r>
      <w:r>
        <w:rPr>
          <w:rFonts w:hint="eastAsia"/>
          <w:highlight w:val="none"/>
        </w:rPr>
        <w:t>。供</w:t>
      </w:r>
      <w:r>
        <w:rPr>
          <w:rFonts w:hint="eastAsia"/>
          <w:color w:val="000000" w:themeColor="text1"/>
          <w:highlight w:val="none"/>
          <w14:textFill>
            <w14:solidFill>
              <w14:schemeClr w14:val="tx1"/>
            </w14:solidFill>
          </w14:textFill>
        </w:rPr>
        <w:t>应商必须据实填写，不得虚假应答，否则将取消其中标资格。</w:t>
      </w:r>
    </w:p>
    <w:p>
      <w:pPr>
        <w:pStyle w:val="42"/>
        <w:rPr>
          <w:highlight w:val="none"/>
        </w:rPr>
      </w:pPr>
    </w:p>
    <w:p>
      <w:pPr>
        <w:pStyle w:val="42"/>
        <w:rPr>
          <w:highlight w:val="none"/>
        </w:rPr>
      </w:pPr>
    </w:p>
    <w:p>
      <w:pPr>
        <w:pStyle w:val="46"/>
        <w:rPr>
          <w:highlight w:val="none"/>
        </w:rPr>
      </w:pPr>
      <w:r>
        <w:rPr>
          <w:rFonts w:hint="eastAsia"/>
          <w:highlight w:val="none"/>
        </w:rPr>
        <w:t>投标人名称：</w:t>
      </w:r>
      <w:r>
        <w:rPr>
          <w:rFonts w:hint="eastAsia" w:asciiTheme="minorEastAsia" w:hAnsiTheme="minorEastAsia" w:eastAsiaTheme="minorEastAsia" w:cstheme="minorEastAsia"/>
          <w:bCs/>
          <w:highlight w:val="none"/>
          <w:u w:val="single"/>
        </w:rPr>
        <w:t xml:space="preserve">                 </w:t>
      </w:r>
      <w:r>
        <w:rPr>
          <w:rFonts w:hint="eastAsia"/>
          <w:highlight w:val="none"/>
        </w:rPr>
        <w:t>(盖章)</w:t>
      </w:r>
    </w:p>
    <w:p>
      <w:pPr>
        <w:pStyle w:val="46"/>
        <w:rPr>
          <w:highlight w:val="none"/>
        </w:rPr>
      </w:pPr>
      <w:r>
        <w:rPr>
          <w:rFonts w:hint="eastAsia"/>
          <w:highlight w:val="none"/>
        </w:rPr>
        <w:t>法定代表人/单位负责人或授权代表：</w:t>
      </w:r>
      <w:r>
        <w:rPr>
          <w:rFonts w:hint="eastAsia" w:asciiTheme="minorEastAsia" w:hAnsiTheme="minorEastAsia" w:eastAsiaTheme="minorEastAsia" w:cstheme="minorEastAsia"/>
          <w:bCs/>
          <w:highlight w:val="none"/>
          <w:u w:val="single"/>
        </w:rPr>
        <w:t xml:space="preserve">                 </w:t>
      </w:r>
      <w:r>
        <w:rPr>
          <w:rFonts w:hint="eastAsia"/>
          <w:highlight w:val="none"/>
        </w:rPr>
        <w:t>(签字或盖章)</w:t>
      </w:r>
    </w:p>
    <w:p>
      <w:pPr>
        <w:pStyle w:val="46"/>
        <w:rPr>
          <w:highlight w:val="none"/>
        </w:rPr>
      </w:pPr>
      <w:r>
        <w:rPr>
          <w:rFonts w:hint="eastAsia"/>
          <w:highlight w:val="none"/>
        </w:rPr>
        <w:t>投标日期：</w:t>
      </w:r>
      <w:r>
        <w:rPr>
          <w:rFonts w:hint="eastAsia" w:asciiTheme="minorEastAsia" w:hAnsiTheme="minorEastAsia" w:eastAsiaTheme="minorEastAsia" w:cstheme="minorEastAsia"/>
          <w:bCs/>
          <w:highlight w:val="none"/>
          <w:u w:val="single"/>
        </w:rPr>
        <w:t xml:space="preserve">                 </w:t>
      </w:r>
      <w:r>
        <w:rPr>
          <w:rFonts w:hint="eastAsia"/>
          <w:highlight w:val="none"/>
        </w:rPr>
        <w:t xml:space="preserve">             </w:t>
      </w:r>
    </w:p>
    <w:p>
      <w:pPr>
        <w:pStyle w:val="42"/>
        <w:rPr>
          <w:highlight w:val="none"/>
        </w:rPr>
      </w:pPr>
      <w:r>
        <w:rPr>
          <w:rFonts w:hint="eastAsia"/>
          <w:highlight w:val="none"/>
        </w:rPr>
        <w:br w:type="page"/>
      </w:r>
    </w:p>
    <w:p>
      <w:pPr>
        <w:pStyle w:val="44"/>
        <w:numPr>
          <w:ilvl w:val="0"/>
          <w:numId w:val="21"/>
        </w:numPr>
        <w:spacing w:before="120" w:after="120"/>
        <w:ind w:firstLine="0"/>
        <w:rPr>
          <w:highlight w:val="none"/>
        </w:rPr>
      </w:pPr>
      <w:bookmarkStart w:id="1154" w:name="_Toc21530"/>
      <w:bookmarkStart w:id="1155" w:name="_Toc8548"/>
      <w:bookmarkStart w:id="1156" w:name="_Toc3995"/>
      <w:bookmarkStart w:id="1157" w:name="_Toc23376"/>
      <w:bookmarkStart w:id="1158" w:name="_Toc15143"/>
      <w:bookmarkStart w:id="1159" w:name="_Toc25122"/>
      <w:bookmarkStart w:id="1160" w:name="_Toc16527"/>
      <w:r>
        <w:rPr>
          <w:rFonts w:hint="eastAsia"/>
          <w:highlight w:val="none"/>
        </w:rPr>
        <w:t>服务应答表</w:t>
      </w:r>
      <w:bookmarkEnd w:id="1154"/>
      <w:bookmarkEnd w:id="1155"/>
      <w:bookmarkEnd w:id="1156"/>
      <w:bookmarkEnd w:id="1157"/>
      <w:bookmarkEnd w:id="1158"/>
      <w:bookmarkEnd w:id="1159"/>
      <w:bookmarkEnd w:id="1160"/>
    </w:p>
    <w:p>
      <w:pPr>
        <w:pStyle w:val="42"/>
        <w:rPr>
          <w:highlight w:val="none"/>
        </w:rPr>
      </w:pPr>
      <w:r>
        <w:rPr>
          <w:rFonts w:hint="eastAsia"/>
          <w:highlight w:val="none"/>
        </w:rPr>
        <w:t>项目名称：</w:t>
      </w:r>
      <w:r>
        <w:rPr>
          <w:rFonts w:hint="eastAsia"/>
          <w:highlight w:val="none"/>
          <w:u w:val="single"/>
        </w:rPr>
        <w:t xml:space="preserve">                        </w:t>
      </w:r>
      <w:r>
        <w:rPr>
          <w:rFonts w:hint="eastAsia"/>
          <w:highlight w:val="none"/>
        </w:rPr>
        <w:t xml:space="preserve">      </w:t>
      </w:r>
    </w:p>
    <w:p>
      <w:pPr>
        <w:pStyle w:val="42"/>
        <w:rPr>
          <w:highlight w:val="none"/>
          <w:u w:val="single"/>
        </w:rPr>
      </w:pPr>
      <w:r>
        <w:rPr>
          <w:rFonts w:hint="eastAsia"/>
          <w:highlight w:val="none"/>
        </w:rPr>
        <w:t>项目编号：</w:t>
      </w:r>
      <w:r>
        <w:rPr>
          <w:rFonts w:hint="eastAsia"/>
          <w:highlight w:val="none"/>
          <w:u w:val="single"/>
        </w:rPr>
        <w:t xml:space="preserve">                        </w:t>
      </w:r>
      <w:r>
        <w:rPr>
          <w:rFonts w:hint="eastAsia"/>
          <w:highlight w:val="none"/>
        </w:rPr>
        <w:t xml:space="preserve">                                 </w:t>
      </w:r>
    </w:p>
    <w:tbl>
      <w:tblPr>
        <w:tblStyle w:val="23"/>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721" w:type="dxa"/>
            <w:vAlign w:val="center"/>
          </w:tcPr>
          <w:p>
            <w:pPr>
              <w:pStyle w:val="45"/>
              <w:rPr>
                <w:b/>
                <w:bCs/>
                <w:highlight w:val="none"/>
              </w:rPr>
            </w:pPr>
            <w:r>
              <w:rPr>
                <w:rFonts w:hint="eastAsia"/>
                <w:b/>
                <w:bCs/>
                <w:highlight w:val="none"/>
              </w:rPr>
              <w:t>序号</w:t>
            </w:r>
          </w:p>
        </w:tc>
        <w:tc>
          <w:tcPr>
            <w:tcW w:w="3880" w:type="dxa"/>
            <w:vAlign w:val="center"/>
          </w:tcPr>
          <w:p>
            <w:pPr>
              <w:pStyle w:val="45"/>
              <w:rPr>
                <w:b/>
                <w:bCs/>
                <w:highlight w:val="none"/>
              </w:rPr>
            </w:pPr>
            <w:r>
              <w:rPr>
                <w:rFonts w:hint="eastAsia"/>
                <w:b/>
                <w:bCs/>
                <w:highlight w:val="none"/>
              </w:rPr>
              <w:t>招标文件要求</w:t>
            </w:r>
          </w:p>
        </w:tc>
        <w:tc>
          <w:tcPr>
            <w:tcW w:w="3673" w:type="dxa"/>
            <w:vAlign w:val="center"/>
          </w:tcPr>
          <w:p>
            <w:pPr>
              <w:pStyle w:val="45"/>
              <w:rPr>
                <w:b/>
                <w:bCs/>
                <w:highlight w:val="none"/>
              </w:rPr>
            </w:pPr>
            <w:r>
              <w:rPr>
                <w:rFonts w:hint="eastAsia"/>
                <w:b/>
                <w:bCs/>
                <w:highlight w:val="none"/>
              </w:rPr>
              <w:t>投标应答</w:t>
            </w:r>
          </w:p>
        </w:tc>
        <w:tc>
          <w:tcPr>
            <w:tcW w:w="1631" w:type="dxa"/>
            <w:vAlign w:val="center"/>
          </w:tcPr>
          <w:p>
            <w:pPr>
              <w:pStyle w:val="45"/>
              <w:rPr>
                <w:b/>
                <w:bCs/>
                <w:highlight w:val="none"/>
              </w:rPr>
            </w:pPr>
            <w:r>
              <w:rPr>
                <w:rFonts w:hint="eastAsia"/>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5"/>
              <w:rPr>
                <w:b/>
                <w:bCs/>
                <w:highlight w:val="none"/>
              </w:rPr>
            </w:pPr>
          </w:p>
        </w:tc>
        <w:tc>
          <w:tcPr>
            <w:tcW w:w="3880" w:type="dxa"/>
          </w:tcPr>
          <w:p>
            <w:pPr>
              <w:pStyle w:val="45"/>
              <w:rPr>
                <w:b/>
                <w:bCs/>
                <w:highlight w:val="none"/>
              </w:rPr>
            </w:pPr>
          </w:p>
        </w:tc>
        <w:tc>
          <w:tcPr>
            <w:tcW w:w="3673" w:type="dxa"/>
          </w:tcPr>
          <w:p>
            <w:pPr>
              <w:pStyle w:val="45"/>
              <w:rPr>
                <w:b/>
                <w:bCs/>
                <w:highlight w:val="none"/>
              </w:rPr>
            </w:pPr>
          </w:p>
        </w:tc>
        <w:tc>
          <w:tcPr>
            <w:tcW w:w="1631" w:type="dxa"/>
          </w:tcPr>
          <w:p>
            <w:pPr>
              <w:pStyle w:val="45"/>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5"/>
              <w:rPr>
                <w:b/>
                <w:bCs/>
                <w:highlight w:val="none"/>
              </w:rPr>
            </w:pPr>
          </w:p>
        </w:tc>
        <w:tc>
          <w:tcPr>
            <w:tcW w:w="3880" w:type="dxa"/>
          </w:tcPr>
          <w:p>
            <w:pPr>
              <w:pStyle w:val="45"/>
              <w:rPr>
                <w:b/>
                <w:bCs/>
                <w:highlight w:val="none"/>
              </w:rPr>
            </w:pPr>
          </w:p>
        </w:tc>
        <w:tc>
          <w:tcPr>
            <w:tcW w:w="3673" w:type="dxa"/>
          </w:tcPr>
          <w:p>
            <w:pPr>
              <w:pStyle w:val="45"/>
              <w:rPr>
                <w:b/>
                <w:bCs/>
                <w:highlight w:val="none"/>
              </w:rPr>
            </w:pPr>
          </w:p>
        </w:tc>
        <w:tc>
          <w:tcPr>
            <w:tcW w:w="1631" w:type="dxa"/>
          </w:tcPr>
          <w:p>
            <w:pPr>
              <w:pStyle w:val="45"/>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5"/>
              <w:rPr>
                <w:b/>
                <w:bCs/>
                <w:highlight w:val="none"/>
              </w:rPr>
            </w:pPr>
          </w:p>
        </w:tc>
        <w:tc>
          <w:tcPr>
            <w:tcW w:w="3880" w:type="dxa"/>
          </w:tcPr>
          <w:p>
            <w:pPr>
              <w:pStyle w:val="45"/>
              <w:rPr>
                <w:b/>
                <w:bCs/>
                <w:highlight w:val="none"/>
              </w:rPr>
            </w:pPr>
          </w:p>
        </w:tc>
        <w:tc>
          <w:tcPr>
            <w:tcW w:w="3673" w:type="dxa"/>
          </w:tcPr>
          <w:p>
            <w:pPr>
              <w:pStyle w:val="45"/>
              <w:rPr>
                <w:b/>
                <w:bCs/>
                <w:highlight w:val="none"/>
              </w:rPr>
            </w:pPr>
          </w:p>
        </w:tc>
        <w:tc>
          <w:tcPr>
            <w:tcW w:w="1631" w:type="dxa"/>
          </w:tcPr>
          <w:p>
            <w:pPr>
              <w:pStyle w:val="45"/>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5"/>
              <w:rPr>
                <w:b/>
                <w:bCs/>
                <w:highlight w:val="none"/>
              </w:rPr>
            </w:pPr>
          </w:p>
        </w:tc>
        <w:tc>
          <w:tcPr>
            <w:tcW w:w="3880" w:type="dxa"/>
          </w:tcPr>
          <w:p>
            <w:pPr>
              <w:pStyle w:val="45"/>
              <w:rPr>
                <w:b/>
                <w:bCs/>
                <w:highlight w:val="none"/>
              </w:rPr>
            </w:pPr>
          </w:p>
        </w:tc>
        <w:tc>
          <w:tcPr>
            <w:tcW w:w="3673" w:type="dxa"/>
          </w:tcPr>
          <w:p>
            <w:pPr>
              <w:pStyle w:val="45"/>
              <w:rPr>
                <w:b/>
                <w:bCs/>
                <w:highlight w:val="none"/>
              </w:rPr>
            </w:pPr>
          </w:p>
        </w:tc>
        <w:tc>
          <w:tcPr>
            <w:tcW w:w="1631" w:type="dxa"/>
          </w:tcPr>
          <w:p>
            <w:pPr>
              <w:pStyle w:val="45"/>
              <w:rPr>
                <w:b/>
                <w:bCs/>
                <w:highlight w:val="none"/>
              </w:rPr>
            </w:pPr>
          </w:p>
        </w:tc>
      </w:tr>
    </w:tbl>
    <w:p>
      <w:pPr>
        <w:pStyle w:val="47"/>
        <w:ind w:firstLine="482"/>
        <w:rPr>
          <w:highlight w:val="none"/>
        </w:rPr>
      </w:pPr>
      <w:r>
        <w:rPr>
          <w:rFonts w:hint="eastAsia"/>
          <w:highlight w:val="none"/>
        </w:rPr>
        <w:t>注：</w:t>
      </w:r>
      <w:r>
        <w:rPr>
          <w:rFonts w:hint="eastAsia"/>
          <w:color w:val="000000" w:themeColor="text1"/>
          <w:highlight w:val="none"/>
          <w14:textFill>
            <w14:solidFill>
              <w14:schemeClr w14:val="tx1"/>
            </w14:solidFill>
          </w14:textFill>
        </w:rPr>
        <w:t>如与招标文件第六章服务要求的内容有偏离(包括正偏离和负偏离)，请将偏离条款逐条应答。如与招标文件第六章的所有条款无偏离，则无须在此表中应答，视为默认完全响应和接受招标文件第六章所有的内容，供应商不得以未作应答而拒不接受</w:t>
      </w:r>
      <w:r>
        <w:rPr>
          <w:rFonts w:hint="eastAsia"/>
          <w:highlight w:val="none"/>
        </w:rPr>
        <w:t>。</w:t>
      </w:r>
      <w:r>
        <w:rPr>
          <w:rFonts w:hint="eastAsia"/>
          <w:color w:val="000000" w:themeColor="text1"/>
          <w:highlight w:val="none"/>
          <w14:textFill>
            <w14:solidFill>
              <w14:schemeClr w14:val="tx1"/>
            </w14:solidFill>
          </w14:textFill>
        </w:rPr>
        <w:t>供应商必须据实填写，不得虚假应答，否则将取消其中标资格。</w:t>
      </w:r>
    </w:p>
    <w:p>
      <w:pPr>
        <w:pStyle w:val="42"/>
        <w:rPr>
          <w:highlight w:val="none"/>
        </w:rPr>
      </w:pPr>
    </w:p>
    <w:p>
      <w:pPr>
        <w:pStyle w:val="42"/>
        <w:rPr>
          <w:highlight w:val="none"/>
        </w:rPr>
      </w:pPr>
    </w:p>
    <w:p>
      <w:pPr>
        <w:pStyle w:val="42"/>
        <w:rPr>
          <w:highlight w:val="none"/>
        </w:rPr>
      </w:pPr>
    </w:p>
    <w:p>
      <w:pPr>
        <w:pStyle w:val="46"/>
        <w:rPr>
          <w:highlight w:val="none"/>
        </w:rPr>
      </w:pPr>
      <w:r>
        <w:rPr>
          <w:rFonts w:hint="eastAsia"/>
          <w:highlight w:val="none"/>
        </w:rPr>
        <w:t>投标人名称：</w:t>
      </w:r>
      <w:r>
        <w:rPr>
          <w:rFonts w:hint="eastAsia" w:asciiTheme="minorEastAsia" w:hAnsiTheme="minorEastAsia" w:eastAsiaTheme="minorEastAsia" w:cstheme="minorEastAsia"/>
          <w:bCs/>
          <w:highlight w:val="none"/>
          <w:u w:val="single"/>
        </w:rPr>
        <w:t xml:space="preserve">                 </w:t>
      </w:r>
      <w:r>
        <w:rPr>
          <w:rFonts w:hint="eastAsia"/>
          <w:highlight w:val="none"/>
        </w:rPr>
        <w:t>(盖章)</w:t>
      </w:r>
    </w:p>
    <w:p>
      <w:pPr>
        <w:pStyle w:val="46"/>
        <w:rPr>
          <w:highlight w:val="none"/>
        </w:rPr>
      </w:pPr>
      <w:r>
        <w:rPr>
          <w:rFonts w:hint="eastAsia"/>
          <w:highlight w:val="none"/>
        </w:rPr>
        <w:t>法定代表人/单位负责人或授权代表：</w:t>
      </w:r>
      <w:r>
        <w:rPr>
          <w:rFonts w:hint="eastAsia" w:asciiTheme="minorEastAsia" w:hAnsiTheme="minorEastAsia" w:eastAsiaTheme="minorEastAsia" w:cstheme="minorEastAsia"/>
          <w:bCs/>
          <w:highlight w:val="none"/>
          <w:u w:val="single"/>
        </w:rPr>
        <w:t xml:space="preserve">                 </w:t>
      </w:r>
      <w:r>
        <w:rPr>
          <w:rFonts w:hint="eastAsia"/>
          <w:highlight w:val="none"/>
        </w:rPr>
        <w:t>(签字或盖章)</w:t>
      </w:r>
    </w:p>
    <w:p>
      <w:pPr>
        <w:pStyle w:val="46"/>
        <w:rPr>
          <w:highlight w:val="none"/>
        </w:rPr>
      </w:pPr>
      <w:r>
        <w:rPr>
          <w:rFonts w:hint="eastAsia"/>
          <w:highlight w:val="none"/>
        </w:rPr>
        <w:t>投标日期：</w:t>
      </w:r>
      <w:r>
        <w:rPr>
          <w:rFonts w:hint="eastAsia" w:asciiTheme="minorEastAsia" w:hAnsiTheme="minorEastAsia" w:eastAsiaTheme="minorEastAsia" w:cstheme="minorEastAsia"/>
          <w:bCs/>
          <w:highlight w:val="none"/>
          <w:u w:val="single"/>
        </w:rPr>
        <w:t xml:space="preserve">                 </w:t>
      </w:r>
    </w:p>
    <w:p>
      <w:pPr>
        <w:pStyle w:val="42"/>
        <w:rPr>
          <w:highlight w:val="none"/>
        </w:rPr>
      </w:pPr>
      <w:r>
        <w:rPr>
          <w:rFonts w:hint="eastAsia"/>
          <w:highlight w:val="none"/>
        </w:rPr>
        <w:br w:type="page"/>
      </w:r>
    </w:p>
    <w:bookmarkEnd w:id="1150"/>
    <w:bookmarkEnd w:id="1151"/>
    <w:bookmarkEnd w:id="1152"/>
    <w:p>
      <w:pPr>
        <w:pStyle w:val="44"/>
        <w:numPr>
          <w:ilvl w:val="0"/>
          <w:numId w:val="21"/>
        </w:numPr>
        <w:spacing w:before="120" w:after="120"/>
        <w:ind w:firstLine="0"/>
        <w:rPr>
          <w:highlight w:val="none"/>
        </w:rPr>
      </w:pPr>
      <w:bookmarkStart w:id="1161" w:name="_Toc9061"/>
      <w:bookmarkStart w:id="1162" w:name="_Toc3992"/>
      <w:bookmarkStart w:id="1163" w:name="_Toc28539"/>
      <w:bookmarkStart w:id="1164" w:name="_Toc23394"/>
      <w:bookmarkStart w:id="1165" w:name="_Toc15959"/>
      <w:r>
        <w:rPr>
          <w:rFonts w:hint="eastAsia"/>
          <w:highlight w:val="none"/>
        </w:rPr>
        <w:t>履约能力及相关证明</w:t>
      </w:r>
      <w:bookmarkEnd w:id="1161"/>
      <w:bookmarkEnd w:id="1162"/>
      <w:bookmarkEnd w:id="1163"/>
      <w:bookmarkEnd w:id="1164"/>
      <w:bookmarkEnd w:id="1165"/>
    </w:p>
    <w:p>
      <w:pPr>
        <w:pStyle w:val="47"/>
        <w:ind w:firstLine="482"/>
        <w:rPr>
          <w:highlight w:val="none"/>
        </w:rPr>
      </w:pPr>
      <w:r>
        <w:rPr>
          <w:rFonts w:hint="eastAsia"/>
          <w:highlight w:val="none"/>
        </w:rPr>
        <w:t>注：格式自拟。</w:t>
      </w: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r>
        <w:rPr>
          <w:rFonts w:hint="eastAsia"/>
          <w:highlight w:val="none"/>
        </w:rPr>
        <w:br w:type="page"/>
      </w:r>
    </w:p>
    <w:bookmarkEnd w:id="1153"/>
    <w:p>
      <w:pPr>
        <w:pStyle w:val="44"/>
        <w:numPr>
          <w:ilvl w:val="0"/>
          <w:numId w:val="21"/>
        </w:numPr>
        <w:spacing w:before="120" w:after="120"/>
        <w:ind w:firstLine="0"/>
        <w:rPr>
          <w:highlight w:val="none"/>
        </w:rPr>
      </w:pPr>
      <w:bookmarkStart w:id="1166" w:name="_Toc613"/>
      <w:bookmarkStart w:id="1167" w:name="_Toc13361"/>
      <w:bookmarkStart w:id="1168" w:name="_Toc28466"/>
      <w:bookmarkStart w:id="1169" w:name="_Toc7927"/>
      <w:bookmarkStart w:id="1170" w:name="_Toc17993"/>
      <w:bookmarkStart w:id="1171" w:name="_Toc19240"/>
      <w:bookmarkStart w:id="1172" w:name="_Toc2450"/>
      <w:bookmarkStart w:id="1173" w:name="_Toc8563"/>
      <w:bookmarkStart w:id="1174" w:name="_Toc122"/>
      <w:r>
        <w:rPr>
          <w:rFonts w:hint="eastAsia"/>
          <w:highlight w:val="none"/>
        </w:rPr>
        <w:t>投标人针对本项目人员配置情况表</w:t>
      </w:r>
      <w:bookmarkEnd w:id="1166"/>
      <w:bookmarkEnd w:id="1167"/>
      <w:bookmarkEnd w:id="1168"/>
      <w:bookmarkEnd w:id="1169"/>
      <w:bookmarkEnd w:id="1170"/>
    </w:p>
    <w:p>
      <w:pPr>
        <w:pStyle w:val="42"/>
        <w:rPr>
          <w:highlight w:val="none"/>
        </w:rPr>
      </w:pPr>
      <w:r>
        <w:rPr>
          <w:rFonts w:hint="eastAsia"/>
          <w:highlight w:val="none"/>
        </w:rPr>
        <w:t>项目名称：</w:t>
      </w:r>
      <w:r>
        <w:rPr>
          <w:rFonts w:hint="eastAsia"/>
          <w:highlight w:val="none"/>
          <w:u w:val="single"/>
        </w:rPr>
        <w:t xml:space="preserve">                              </w:t>
      </w:r>
    </w:p>
    <w:p>
      <w:pPr>
        <w:pStyle w:val="42"/>
        <w:rPr>
          <w:highlight w:val="none"/>
          <w:u w:val="single"/>
        </w:rPr>
      </w:pPr>
      <w:r>
        <w:rPr>
          <w:rFonts w:hint="eastAsia"/>
          <w:highlight w:val="none"/>
        </w:rPr>
        <w:t>项目编号：</w:t>
      </w:r>
      <w:r>
        <w:rPr>
          <w:rFonts w:hint="eastAsia"/>
          <w:highlight w:val="none"/>
          <w:u w:val="single"/>
        </w:rPr>
        <w:t xml:space="preserve">                              </w:t>
      </w:r>
      <w:r>
        <w:rPr>
          <w:rFonts w:hint="eastAsia"/>
          <w:highlight w:val="none"/>
        </w:rPr>
        <w:t xml:space="preserve">                              </w:t>
      </w:r>
    </w:p>
    <w:tbl>
      <w:tblPr>
        <w:tblStyle w:val="2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5"/>
              <w:rPr>
                <w:b/>
                <w:bCs/>
                <w:highlight w:val="none"/>
              </w:rPr>
            </w:pPr>
            <w:r>
              <w:rPr>
                <w:rFonts w:hint="eastAsia"/>
                <w:b/>
                <w:bCs/>
                <w:highlight w:val="none"/>
              </w:rPr>
              <w:t>类别</w:t>
            </w:r>
          </w:p>
        </w:tc>
        <w:tc>
          <w:tcPr>
            <w:tcW w:w="923" w:type="dxa"/>
            <w:vMerge w:val="restart"/>
            <w:vAlign w:val="center"/>
          </w:tcPr>
          <w:p>
            <w:pPr>
              <w:pStyle w:val="45"/>
              <w:rPr>
                <w:b/>
                <w:bCs/>
                <w:highlight w:val="none"/>
              </w:rPr>
            </w:pPr>
            <w:r>
              <w:rPr>
                <w:rFonts w:hint="eastAsia"/>
                <w:b/>
                <w:bCs/>
                <w:highlight w:val="none"/>
              </w:rPr>
              <w:t>职务(岗位)</w:t>
            </w:r>
          </w:p>
        </w:tc>
        <w:tc>
          <w:tcPr>
            <w:tcW w:w="921" w:type="dxa"/>
            <w:vMerge w:val="restart"/>
            <w:vAlign w:val="center"/>
          </w:tcPr>
          <w:p>
            <w:pPr>
              <w:pStyle w:val="45"/>
              <w:rPr>
                <w:b/>
                <w:bCs/>
                <w:highlight w:val="none"/>
              </w:rPr>
            </w:pPr>
            <w:r>
              <w:rPr>
                <w:rFonts w:hint="eastAsia"/>
                <w:b/>
                <w:bCs/>
                <w:highlight w:val="none"/>
              </w:rPr>
              <w:t>姓名</w:t>
            </w:r>
          </w:p>
        </w:tc>
        <w:tc>
          <w:tcPr>
            <w:tcW w:w="923" w:type="dxa"/>
            <w:vMerge w:val="restart"/>
            <w:vAlign w:val="center"/>
          </w:tcPr>
          <w:p>
            <w:pPr>
              <w:pStyle w:val="45"/>
              <w:rPr>
                <w:b/>
                <w:bCs/>
                <w:highlight w:val="none"/>
              </w:rPr>
            </w:pPr>
            <w:r>
              <w:rPr>
                <w:rFonts w:hint="eastAsia"/>
                <w:b/>
                <w:bCs/>
                <w:highlight w:val="none"/>
              </w:rPr>
              <w:t>职称</w:t>
            </w:r>
          </w:p>
        </w:tc>
        <w:tc>
          <w:tcPr>
            <w:tcW w:w="922" w:type="dxa"/>
            <w:vMerge w:val="restart"/>
            <w:vAlign w:val="center"/>
          </w:tcPr>
          <w:p>
            <w:pPr>
              <w:pStyle w:val="45"/>
              <w:rPr>
                <w:b/>
                <w:bCs/>
                <w:highlight w:val="none"/>
              </w:rPr>
            </w:pPr>
            <w:r>
              <w:rPr>
                <w:rFonts w:hint="eastAsia"/>
                <w:b/>
                <w:bCs/>
                <w:highlight w:val="none"/>
              </w:rPr>
              <w:t>常住地</w:t>
            </w:r>
          </w:p>
        </w:tc>
        <w:tc>
          <w:tcPr>
            <w:tcW w:w="4919" w:type="dxa"/>
            <w:gridSpan w:val="4"/>
            <w:vAlign w:val="center"/>
          </w:tcPr>
          <w:p>
            <w:pPr>
              <w:pStyle w:val="45"/>
              <w:rPr>
                <w:b/>
                <w:bCs/>
                <w:highlight w:val="none"/>
              </w:rPr>
            </w:pPr>
            <w:r>
              <w:rPr>
                <w:rFonts w:hint="eastAsia"/>
                <w:b/>
                <w:bCs/>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5"/>
              <w:rPr>
                <w:b/>
                <w:bCs/>
                <w:highlight w:val="none"/>
              </w:rPr>
            </w:pPr>
          </w:p>
        </w:tc>
        <w:tc>
          <w:tcPr>
            <w:tcW w:w="923" w:type="dxa"/>
            <w:vMerge w:val="continue"/>
            <w:vAlign w:val="center"/>
          </w:tcPr>
          <w:p>
            <w:pPr>
              <w:pStyle w:val="45"/>
              <w:rPr>
                <w:b/>
                <w:bCs/>
                <w:highlight w:val="none"/>
              </w:rPr>
            </w:pPr>
          </w:p>
        </w:tc>
        <w:tc>
          <w:tcPr>
            <w:tcW w:w="921" w:type="dxa"/>
            <w:vMerge w:val="continue"/>
            <w:vAlign w:val="center"/>
          </w:tcPr>
          <w:p>
            <w:pPr>
              <w:pStyle w:val="45"/>
              <w:rPr>
                <w:b/>
                <w:bCs/>
                <w:highlight w:val="none"/>
              </w:rPr>
            </w:pPr>
          </w:p>
        </w:tc>
        <w:tc>
          <w:tcPr>
            <w:tcW w:w="923" w:type="dxa"/>
            <w:vMerge w:val="continue"/>
            <w:vAlign w:val="center"/>
          </w:tcPr>
          <w:p>
            <w:pPr>
              <w:pStyle w:val="45"/>
              <w:rPr>
                <w:b/>
                <w:bCs/>
                <w:highlight w:val="none"/>
              </w:rPr>
            </w:pPr>
          </w:p>
        </w:tc>
        <w:tc>
          <w:tcPr>
            <w:tcW w:w="922" w:type="dxa"/>
            <w:vMerge w:val="continue"/>
            <w:vAlign w:val="center"/>
          </w:tcPr>
          <w:p>
            <w:pPr>
              <w:pStyle w:val="45"/>
              <w:rPr>
                <w:b/>
                <w:bCs/>
                <w:highlight w:val="none"/>
              </w:rPr>
            </w:pPr>
          </w:p>
        </w:tc>
        <w:tc>
          <w:tcPr>
            <w:tcW w:w="1436" w:type="dxa"/>
            <w:vAlign w:val="center"/>
          </w:tcPr>
          <w:p>
            <w:pPr>
              <w:pStyle w:val="45"/>
              <w:rPr>
                <w:b/>
                <w:bCs/>
                <w:highlight w:val="none"/>
              </w:rPr>
            </w:pPr>
            <w:r>
              <w:rPr>
                <w:rFonts w:hint="eastAsia"/>
                <w:b/>
                <w:bCs/>
                <w:highlight w:val="none"/>
              </w:rPr>
              <w:t>证书名称</w:t>
            </w:r>
          </w:p>
        </w:tc>
        <w:tc>
          <w:tcPr>
            <w:tcW w:w="1022" w:type="dxa"/>
            <w:vAlign w:val="center"/>
          </w:tcPr>
          <w:p>
            <w:pPr>
              <w:pStyle w:val="45"/>
              <w:rPr>
                <w:b/>
                <w:bCs/>
                <w:highlight w:val="none"/>
              </w:rPr>
            </w:pPr>
            <w:r>
              <w:rPr>
                <w:rFonts w:hint="eastAsia"/>
                <w:b/>
                <w:bCs/>
                <w:highlight w:val="none"/>
              </w:rPr>
              <w:t>级别</w:t>
            </w:r>
          </w:p>
        </w:tc>
        <w:tc>
          <w:tcPr>
            <w:tcW w:w="1232" w:type="dxa"/>
            <w:vAlign w:val="center"/>
          </w:tcPr>
          <w:p>
            <w:pPr>
              <w:pStyle w:val="45"/>
              <w:rPr>
                <w:b/>
                <w:bCs/>
                <w:highlight w:val="none"/>
              </w:rPr>
            </w:pPr>
            <w:r>
              <w:rPr>
                <w:rFonts w:hint="eastAsia"/>
                <w:b/>
                <w:bCs/>
                <w:highlight w:val="none"/>
              </w:rPr>
              <w:t>证号</w:t>
            </w:r>
          </w:p>
        </w:tc>
        <w:tc>
          <w:tcPr>
            <w:tcW w:w="1229" w:type="dxa"/>
            <w:vAlign w:val="center"/>
          </w:tcPr>
          <w:p>
            <w:pPr>
              <w:pStyle w:val="45"/>
              <w:rPr>
                <w:b/>
                <w:bCs/>
                <w:highlight w:val="none"/>
              </w:rPr>
            </w:pPr>
            <w:r>
              <w:rPr>
                <w:rFonts w:hint="eastAsia"/>
                <w:b/>
                <w:bCs/>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5"/>
              <w:rPr>
                <w:highlight w:val="none"/>
              </w:rPr>
            </w:pPr>
            <w:r>
              <w:rPr>
                <w:rFonts w:hint="eastAsia"/>
                <w:highlight w:val="none"/>
              </w:rPr>
              <w:t>管理人员</w:t>
            </w:r>
          </w:p>
        </w:tc>
        <w:tc>
          <w:tcPr>
            <w:tcW w:w="923" w:type="dxa"/>
          </w:tcPr>
          <w:p>
            <w:pPr>
              <w:pStyle w:val="45"/>
              <w:rPr>
                <w:highlight w:val="none"/>
              </w:rPr>
            </w:pPr>
          </w:p>
        </w:tc>
        <w:tc>
          <w:tcPr>
            <w:tcW w:w="921" w:type="dxa"/>
          </w:tcPr>
          <w:p>
            <w:pPr>
              <w:pStyle w:val="45"/>
              <w:rPr>
                <w:highlight w:val="none"/>
              </w:rPr>
            </w:pPr>
          </w:p>
        </w:tc>
        <w:tc>
          <w:tcPr>
            <w:tcW w:w="923" w:type="dxa"/>
          </w:tcPr>
          <w:p>
            <w:pPr>
              <w:pStyle w:val="45"/>
              <w:rPr>
                <w:highlight w:val="none"/>
              </w:rPr>
            </w:pPr>
          </w:p>
        </w:tc>
        <w:tc>
          <w:tcPr>
            <w:tcW w:w="922" w:type="dxa"/>
          </w:tcPr>
          <w:p>
            <w:pPr>
              <w:pStyle w:val="45"/>
              <w:rPr>
                <w:highlight w:val="none"/>
              </w:rPr>
            </w:pPr>
          </w:p>
        </w:tc>
        <w:tc>
          <w:tcPr>
            <w:tcW w:w="1436" w:type="dxa"/>
          </w:tcPr>
          <w:p>
            <w:pPr>
              <w:pStyle w:val="45"/>
              <w:rPr>
                <w:highlight w:val="none"/>
              </w:rPr>
            </w:pPr>
          </w:p>
        </w:tc>
        <w:tc>
          <w:tcPr>
            <w:tcW w:w="1022" w:type="dxa"/>
          </w:tcPr>
          <w:p>
            <w:pPr>
              <w:pStyle w:val="45"/>
              <w:rPr>
                <w:highlight w:val="none"/>
              </w:rPr>
            </w:pPr>
          </w:p>
        </w:tc>
        <w:tc>
          <w:tcPr>
            <w:tcW w:w="1232" w:type="dxa"/>
          </w:tcPr>
          <w:p>
            <w:pPr>
              <w:pStyle w:val="45"/>
              <w:rPr>
                <w:highlight w:val="none"/>
              </w:rPr>
            </w:pPr>
          </w:p>
        </w:tc>
        <w:tc>
          <w:tcPr>
            <w:tcW w:w="1229" w:type="dxa"/>
          </w:tcPr>
          <w:p>
            <w:pPr>
              <w:pStyle w:val="45"/>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5"/>
              <w:rPr>
                <w:highlight w:val="none"/>
              </w:rPr>
            </w:pPr>
          </w:p>
        </w:tc>
        <w:tc>
          <w:tcPr>
            <w:tcW w:w="923" w:type="dxa"/>
          </w:tcPr>
          <w:p>
            <w:pPr>
              <w:pStyle w:val="45"/>
              <w:rPr>
                <w:highlight w:val="none"/>
              </w:rPr>
            </w:pPr>
          </w:p>
        </w:tc>
        <w:tc>
          <w:tcPr>
            <w:tcW w:w="921" w:type="dxa"/>
          </w:tcPr>
          <w:p>
            <w:pPr>
              <w:pStyle w:val="45"/>
              <w:rPr>
                <w:highlight w:val="none"/>
              </w:rPr>
            </w:pPr>
          </w:p>
        </w:tc>
        <w:tc>
          <w:tcPr>
            <w:tcW w:w="923" w:type="dxa"/>
          </w:tcPr>
          <w:p>
            <w:pPr>
              <w:pStyle w:val="45"/>
              <w:rPr>
                <w:highlight w:val="none"/>
              </w:rPr>
            </w:pPr>
          </w:p>
        </w:tc>
        <w:tc>
          <w:tcPr>
            <w:tcW w:w="922" w:type="dxa"/>
          </w:tcPr>
          <w:p>
            <w:pPr>
              <w:pStyle w:val="45"/>
              <w:rPr>
                <w:highlight w:val="none"/>
              </w:rPr>
            </w:pPr>
          </w:p>
        </w:tc>
        <w:tc>
          <w:tcPr>
            <w:tcW w:w="1436" w:type="dxa"/>
          </w:tcPr>
          <w:p>
            <w:pPr>
              <w:pStyle w:val="45"/>
              <w:rPr>
                <w:highlight w:val="none"/>
              </w:rPr>
            </w:pPr>
          </w:p>
        </w:tc>
        <w:tc>
          <w:tcPr>
            <w:tcW w:w="1022" w:type="dxa"/>
          </w:tcPr>
          <w:p>
            <w:pPr>
              <w:pStyle w:val="45"/>
              <w:rPr>
                <w:highlight w:val="none"/>
              </w:rPr>
            </w:pPr>
          </w:p>
        </w:tc>
        <w:tc>
          <w:tcPr>
            <w:tcW w:w="1232" w:type="dxa"/>
          </w:tcPr>
          <w:p>
            <w:pPr>
              <w:pStyle w:val="45"/>
              <w:rPr>
                <w:highlight w:val="none"/>
              </w:rPr>
            </w:pPr>
          </w:p>
        </w:tc>
        <w:tc>
          <w:tcPr>
            <w:tcW w:w="1229" w:type="dxa"/>
          </w:tcPr>
          <w:p>
            <w:pPr>
              <w:pStyle w:val="45"/>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5"/>
              <w:rPr>
                <w:highlight w:val="none"/>
              </w:rPr>
            </w:pPr>
          </w:p>
        </w:tc>
        <w:tc>
          <w:tcPr>
            <w:tcW w:w="923" w:type="dxa"/>
          </w:tcPr>
          <w:p>
            <w:pPr>
              <w:pStyle w:val="45"/>
              <w:rPr>
                <w:highlight w:val="none"/>
              </w:rPr>
            </w:pPr>
          </w:p>
        </w:tc>
        <w:tc>
          <w:tcPr>
            <w:tcW w:w="921" w:type="dxa"/>
          </w:tcPr>
          <w:p>
            <w:pPr>
              <w:pStyle w:val="45"/>
              <w:rPr>
                <w:highlight w:val="none"/>
              </w:rPr>
            </w:pPr>
          </w:p>
        </w:tc>
        <w:tc>
          <w:tcPr>
            <w:tcW w:w="923" w:type="dxa"/>
          </w:tcPr>
          <w:p>
            <w:pPr>
              <w:pStyle w:val="45"/>
              <w:rPr>
                <w:highlight w:val="none"/>
              </w:rPr>
            </w:pPr>
          </w:p>
        </w:tc>
        <w:tc>
          <w:tcPr>
            <w:tcW w:w="922" w:type="dxa"/>
          </w:tcPr>
          <w:p>
            <w:pPr>
              <w:pStyle w:val="45"/>
              <w:rPr>
                <w:highlight w:val="none"/>
              </w:rPr>
            </w:pPr>
          </w:p>
        </w:tc>
        <w:tc>
          <w:tcPr>
            <w:tcW w:w="1436" w:type="dxa"/>
          </w:tcPr>
          <w:p>
            <w:pPr>
              <w:pStyle w:val="45"/>
              <w:rPr>
                <w:highlight w:val="none"/>
              </w:rPr>
            </w:pPr>
          </w:p>
        </w:tc>
        <w:tc>
          <w:tcPr>
            <w:tcW w:w="1022" w:type="dxa"/>
          </w:tcPr>
          <w:p>
            <w:pPr>
              <w:pStyle w:val="45"/>
              <w:rPr>
                <w:highlight w:val="none"/>
              </w:rPr>
            </w:pPr>
          </w:p>
        </w:tc>
        <w:tc>
          <w:tcPr>
            <w:tcW w:w="1232" w:type="dxa"/>
          </w:tcPr>
          <w:p>
            <w:pPr>
              <w:pStyle w:val="45"/>
              <w:rPr>
                <w:highlight w:val="none"/>
              </w:rPr>
            </w:pPr>
          </w:p>
        </w:tc>
        <w:tc>
          <w:tcPr>
            <w:tcW w:w="1229" w:type="dxa"/>
          </w:tcPr>
          <w:p>
            <w:pPr>
              <w:pStyle w:val="45"/>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5"/>
              <w:rPr>
                <w:highlight w:val="none"/>
              </w:rPr>
            </w:pPr>
            <w:r>
              <w:rPr>
                <w:rFonts w:hint="eastAsia"/>
                <w:highlight w:val="none"/>
              </w:rPr>
              <w:t>技术人员</w:t>
            </w:r>
          </w:p>
        </w:tc>
        <w:tc>
          <w:tcPr>
            <w:tcW w:w="923" w:type="dxa"/>
          </w:tcPr>
          <w:p>
            <w:pPr>
              <w:pStyle w:val="45"/>
              <w:rPr>
                <w:highlight w:val="none"/>
              </w:rPr>
            </w:pPr>
          </w:p>
        </w:tc>
        <w:tc>
          <w:tcPr>
            <w:tcW w:w="921" w:type="dxa"/>
          </w:tcPr>
          <w:p>
            <w:pPr>
              <w:pStyle w:val="45"/>
              <w:rPr>
                <w:highlight w:val="none"/>
              </w:rPr>
            </w:pPr>
          </w:p>
        </w:tc>
        <w:tc>
          <w:tcPr>
            <w:tcW w:w="923" w:type="dxa"/>
          </w:tcPr>
          <w:p>
            <w:pPr>
              <w:pStyle w:val="45"/>
              <w:rPr>
                <w:highlight w:val="none"/>
              </w:rPr>
            </w:pPr>
          </w:p>
        </w:tc>
        <w:tc>
          <w:tcPr>
            <w:tcW w:w="922" w:type="dxa"/>
          </w:tcPr>
          <w:p>
            <w:pPr>
              <w:pStyle w:val="45"/>
              <w:rPr>
                <w:highlight w:val="none"/>
              </w:rPr>
            </w:pPr>
          </w:p>
        </w:tc>
        <w:tc>
          <w:tcPr>
            <w:tcW w:w="1436" w:type="dxa"/>
          </w:tcPr>
          <w:p>
            <w:pPr>
              <w:pStyle w:val="45"/>
              <w:rPr>
                <w:highlight w:val="none"/>
              </w:rPr>
            </w:pPr>
          </w:p>
        </w:tc>
        <w:tc>
          <w:tcPr>
            <w:tcW w:w="1022" w:type="dxa"/>
          </w:tcPr>
          <w:p>
            <w:pPr>
              <w:pStyle w:val="45"/>
              <w:rPr>
                <w:highlight w:val="none"/>
              </w:rPr>
            </w:pPr>
          </w:p>
        </w:tc>
        <w:tc>
          <w:tcPr>
            <w:tcW w:w="1232" w:type="dxa"/>
          </w:tcPr>
          <w:p>
            <w:pPr>
              <w:pStyle w:val="45"/>
              <w:rPr>
                <w:highlight w:val="none"/>
              </w:rPr>
            </w:pPr>
          </w:p>
        </w:tc>
        <w:tc>
          <w:tcPr>
            <w:tcW w:w="1229" w:type="dxa"/>
          </w:tcPr>
          <w:p>
            <w:pPr>
              <w:pStyle w:val="45"/>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5"/>
              <w:rPr>
                <w:highlight w:val="none"/>
              </w:rPr>
            </w:pPr>
          </w:p>
        </w:tc>
        <w:tc>
          <w:tcPr>
            <w:tcW w:w="923" w:type="dxa"/>
          </w:tcPr>
          <w:p>
            <w:pPr>
              <w:pStyle w:val="45"/>
              <w:rPr>
                <w:highlight w:val="none"/>
              </w:rPr>
            </w:pPr>
          </w:p>
        </w:tc>
        <w:tc>
          <w:tcPr>
            <w:tcW w:w="921" w:type="dxa"/>
          </w:tcPr>
          <w:p>
            <w:pPr>
              <w:pStyle w:val="45"/>
              <w:rPr>
                <w:highlight w:val="none"/>
              </w:rPr>
            </w:pPr>
          </w:p>
        </w:tc>
        <w:tc>
          <w:tcPr>
            <w:tcW w:w="923" w:type="dxa"/>
          </w:tcPr>
          <w:p>
            <w:pPr>
              <w:pStyle w:val="45"/>
              <w:rPr>
                <w:highlight w:val="none"/>
              </w:rPr>
            </w:pPr>
          </w:p>
        </w:tc>
        <w:tc>
          <w:tcPr>
            <w:tcW w:w="922" w:type="dxa"/>
          </w:tcPr>
          <w:p>
            <w:pPr>
              <w:pStyle w:val="45"/>
              <w:rPr>
                <w:highlight w:val="none"/>
              </w:rPr>
            </w:pPr>
          </w:p>
        </w:tc>
        <w:tc>
          <w:tcPr>
            <w:tcW w:w="1436" w:type="dxa"/>
          </w:tcPr>
          <w:p>
            <w:pPr>
              <w:pStyle w:val="45"/>
              <w:rPr>
                <w:highlight w:val="none"/>
              </w:rPr>
            </w:pPr>
          </w:p>
        </w:tc>
        <w:tc>
          <w:tcPr>
            <w:tcW w:w="1022" w:type="dxa"/>
          </w:tcPr>
          <w:p>
            <w:pPr>
              <w:pStyle w:val="45"/>
              <w:rPr>
                <w:highlight w:val="none"/>
              </w:rPr>
            </w:pPr>
          </w:p>
        </w:tc>
        <w:tc>
          <w:tcPr>
            <w:tcW w:w="1232" w:type="dxa"/>
          </w:tcPr>
          <w:p>
            <w:pPr>
              <w:pStyle w:val="45"/>
              <w:rPr>
                <w:highlight w:val="none"/>
              </w:rPr>
            </w:pPr>
          </w:p>
        </w:tc>
        <w:tc>
          <w:tcPr>
            <w:tcW w:w="1229" w:type="dxa"/>
          </w:tcPr>
          <w:p>
            <w:pPr>
              <w:pStyle w:val="45"/>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5"/>
              <w:rPr>
                <w:highlight w:val="none"/>
              </w:rPr>
            </w:pPr>
          </w:p>
        </w:tc>
        <w:tc>
          <w:tcPr>
            <w:tcW w:w="923" w:type="dxa"/>
          </w:tcPr>
          <w:p>
            <w:pPr>
              <w:pStyle w:val="45"/>
              <w:rPr>
                <w:highlight w:val="none"/>
              </w:rPr>
            </w:pPr>
          </w:p>
        </w:tc>
        <w:tc>
          <w:tcPr>
            <w:tcW w:w="921" w:type="dxa"/>
          </w:tcPr>
          <w:p>
            <w:pPr>
              <w:pStyle w:val="45"/>
              <w:rPr>
                <w:highlight w:val="none"/>
              </w:rPr>
            </w:pPr>
          </w:p>
        </w:tc>
        <w:tc>
          <w:tcPr>
            <w:tcW w:w="923" w:type="dxa"/>
          </w:tcPr>
          <w:p>
            <w:pPr>
              <w:pStyle w:val="45"/>
              <w:rPr>
                <w:highlight w:val="none"/>
              </w:rPr>
            </w:pPr>
          </w:p>
        </w:tc>
        <w:tc>
          <w:tcPr>
            <w:tcW w:w="922" w:type="dxa"/>
          </w:tcPr>
          <w:p>
            <w:pPr>
              <w:pStyle w:val="45"/>
              <w:rPr>
                <w:highlight w:val="none"/>
              </w:rPr>
            </w:pPr>
          </w:p>
        </w:tc>
        <w:tc>
          <w:tcPr>
            <w:tcW w:w="1436" w:type="dxa"/>
          </w:tcPr>
          <w:p>
            <w:pPr>
              <w:pStyle w:val="45"/>
              <w:rPr>
                <w:highlight w:val="none"/>
              </w:rPr>
            </w:pPr>
          </w:p>
        </w:tc>
        <w:tc>
          <w:tcPr>
            <w:tcW w:w="1022" w:type="dxa"/>
          </w:tcPr>
          <w:p>
            <w:pPr>
              <w:pStyle w:val="45"/>
              <w:rPr>
                <w:highlight w:val="none"/>
              </w:rPr>
            </w:pPr>
          </w:p>
        </w:tc>
        <w:tc>
          <w:tcPr>
            <w:tcW w:w="1232" w:type="dxa"/>
          </w:tcPr>
          <w:p>
            <w:pPr>
              <w:pStyle w:val="45"/>
              <w:rPr>
                <w:highlight w:val="none"/>
              </w:rPr>
            </w:pPr>
          </w:p>
        </w:tc>
        <w:tc>
          <w:tcPr>
            <w:tcW w:w="1229" w:type="dxa"/>
          </w:tcPr>
          <w:p>
            <w:pPr>
              <w:pStyle w:val="45"/>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5"/>
              <w:rPr>
                <w:highlight w:val="none"/>
              </w:rPr>
            </w:pPr>
            <w:r>
              <w:rPr>
                <w:rFonts w:hint="eastAsia"/>
                <w:highlight w:val="none"/>
              </w:rPr>
              <w:t>售后服务人员</w:t>
            </w:r>
          </w:p>
        </w:tc>
        <w:tc>
          <w:tcPr>
            <w:tcW w:w="923" w:type="dxa"/>
          </w:tcPr>
          <w:p>
            <w:pPr>
              <w:pStyle w:val="45"/>
              <w:rPr>
                <w:highlight w:val="none"/>
              </w:rPr>
            </w:pPr>
          </w:p>
        </w:tc>
        <w:tc>
          <w:tcPr>
            <w:tcW w:w="921" w:type="dxa"/>
          </w:tcPr>
          <w:p>
            <w:pPr>
              <w:pStyle w:val="45"/>
              <w:rPr>
                <w:highlight w:val="none"/>
              </w:rPr>
            </w:pPr>
          </w:p>
        </w:tc>
        <w:tc>
          <w:tcPr>
            <w:tcW w:w="923" w:type="dxa"/>
          </w:tcPr>
          <w:p>
            <w:pPr>
              <w:pStyle w:val="45"/>
              <w:rPr>
                <w:highlight w:val="none"/>
              </w:rPr>
            </w:pPr>
          </w:p>
        </w:tc>
        <w:tc>
          <w:tcPr>
            <w:tcW w:w="922" w:type="dxa"/>
          </w:tcPr>
          <w:p>
            <w:pPr>
              <w:pStyle w:val="45"/>
              <w:rPr>
                <w:highlight w:val="none"/>
              </w:rPr>
            </w:pPr>
          </w:p>
        </w:tc>
        <w:tc>
          <w:tcPr>
            <w:tcW w:w="1436" w:type="dxa"/>
          </w:tcPr>
          <w:p>
            <w:pPr>
              <w:pStyle w:val="45"/>
              <w:rPr>
                <w:highlight w:val="none"/>
              </w:rPr>
            </w:pPr>
          </w:p>
        </w:tc>
        <w:tc>
          <w:tcPr>
            <w:tcW w:w="1022" w:type="dxa"/>
          </w:tcPr>
          <w:p>
            <w:pPr>
              <w:pStyle w:val="45"/>
              <w:rPr>
                <w:highlight w:val="none"/>
              </w:rPr>
            </w:pPr>
          </w:p>
        </w:tc>
        <w:tc>
          <w:tcPr>
            <w:tcW w:w="1232" w:type="dxa"/>
          </w:tcPr>
          <w:p>
            <w:pPr>
              <w:pStyle w:val="45"/>
              <w:rPr>
                <w:highlight w:val="none"/>
              </w:rPr>
            </w:pPr>
          </w:p>
        </w:tc>
        <w:tc>
          <w:tcPr>
            <w:tcW w:w="1229" w:type="dxa"/>
          </w:tcPr>
          <w:p>
            <w:pPr>
              <w:pStyle w:val="45"/>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45"/>
              <w:rPr>
                <w:highlight w:val="none"/>
              </w:rPr>
            </w:pPr>
          </w:p>
        </w:tc>
        <w:tc>
          <w:tcPr>
            <w:tcW w:w="923" w:type="dxa"/>
          </w:tcPr>
          <w:p>
            <w:pPr>
              <w:pStyle w:val="45"/>
              <w:rPr>
                <w:highlight w:val="none"/>
              </w:rPr>
            </w:pPr>
          </w:p>
        </w:tc>
        <w:tc>
          <w:tcPr>
            <w:tcW w:w="921" w:type="dxa"/>
          </w:tcPr>
          <w:p>
            <w:pPr>
              <w:pStyle w:val="45"/>
              <w:rPr>
                <w:highlight w:val="none"/>
              </w:rPr>
            </w:pPr>
          </w:p>
        </w:tc>
        <w:tc>
          <w:tcPr>
            <w:tcW w:w="923" w:type="dxa"/>
          </w:tcPr>
          <w:p>
            <w:pPr>
              <w:pStyle w:val="45"/>
              <w:rPr>
                <w:highlight w:val="none"/>
              </w:rPr>
            </w:pPr>
          </w:p>
        </w:tc>
        <w:tc>
          <w:tcPr>
            <w:tcW w:w="922" w:type="dxa"/>
          </w:tcPr>
          <w:p>
            <w:pPr>
              <w:pStyle w:val="45"/>
              <w:rPr>
                <w:highlight w:val="none"/>
              </w:rPr>
            </w:pPr>
          </w:p>
        </w:tc>
        <w:tc>
          <w:tcPr>
            <w:tcW w:w="1436" w:type="dxa"/>
          </w:tcPr>
          <w:p>
            <w:pPr>
              <w:pStyle w:val="45"/>
              <w:rPr>
                <w:highlight w:val="none"/>
              </w:rPr>
            </w:pPr>
          </w:p>
        </w:tc>
        <w:tc>
          <w:tcPr>
            <w:tcW w:w="1022" w:type="dxa"/>
          </w:tcPr>
          <w:p>
            <w:pPr>
              <w:pStyle w:val="45"/>
              <w:rPr>
                <w:highlight w:val="none"/>
              </w:rPr>
            </w:pPr>
          </w:p>
        </w:tc>
        <w:tc>
          <w:tcPr>
            <w:tcW w:w="1232" w:type="dxa"/>
          </w:tcPr>
          <w:p>
            <w:pPr>
              <w:pStyle w:val="45"/>
              <w:rPr>
                <w:highlight w:val="none"/>
              </w:rPr>
            </w:pPr>
          </w:p>
        </w:tc>
        <w:tc>
          <w:tcPr>
            <w:tcW w:w="1229" w:type="dxa"/>
          </w:tcPr>
          <w:p>
            <w:pPr>
              <w:pStyle w:val="45"/>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45"/>
              <w:rPr>
                <w:highlight w:val="none"/>
              </w:rPr>
            </w:pPr>
          </w:p>
        </w:tc>
        <w:tc>
          <w:tcPr>
            <w:tcW w:w="923" w:type="dxa"/>
          </w:tcPr>
          <w:p>
            <w:pPr>
              <w:pStyle w:val="45"/>
              <w:rPr>
                <w:highlight w:val="none"/>
              </w:rPr>
            </w:pPr>
          </w:p>
        </w:tc>
        <w:tc>
          <w:tcPr>
            <w:tcW w:w="921" w:type="dxa"/>
          </w:tcPr>
          <w:p>
            <w:pPr>
              <w:pStyle w:val="45"/>
              <w:rPr>
                <w:highlight w:val="none"/>
              </w:rPr>
            </w:pPr>
          </w:p>
        </w:tc>
        <w:tc>
          <w:tcPr>
            <w:tcW w:w="923" w:type="dxa"/>
          </w:tcPr>
          <w:p>
            <w:pPr>
              <w:pStyle w:val="45"/>
              <w:rPr>
                <w:highlight w:val="none"/>
              </w:rPr>
            </w:pPr>
          </w:p>
        </w:tc>
        <w:tc>
          <w:tcPr>
            <w:tcW w:w="922" w:type="dxa"/>
          </w:tcPr>
          <w:p>
            <w:pPr>
              <w:pStyle w:val="45"/>
              <w:rPr>
                <w:highlight w:val="none"/>
              </w:rPr>
            </w:pPr>
          </w:p>
        </w:tc>
        <w:tc>
          <w:tcPr>
            <w:tcW w:w="1436" w:type="dxa"/>
          </w:tcPr>
          <w:p>
            <w:pPr>
              <w:pStyle w:val="45"/>
              <w:rPr>
                <w:highlight w:val="none"/>
              </w:rPr>
            </w:pPr>
          </w:p>
        </w:tc>
        <w:tc>
          <w:tcPr>
            <w:tcW w:w="1022" w:type="dxa"/>
          </w:tcPr>
          <w:p>
            <w:pPr>
              <w:pStyle w:val="45"/>
              <w:rPr>
                <w:highlight w:val="none"/>
              </w:rPr>
            </w:pPr>
          </w:p>
        </w:tc>
        <w:tc>
          <w:tcPr>
            <w:tcW w:w="1232" w:type="dxa"/>
          </w:tcPr>
          <w:p>
            <w:pPr>
              <w:pStyle w:val="45"/>
              <w:rPr>
                <w:highlight w:val="none"/>
              </w:rPr>
            </w:pPr>
          </w:p>
        </w:tc>
        <w:tc>
          <w:tcPr>
            <w:tcW w:w="1229" w:type="dxa"/>
          </w:tcPr>
          <w:p>
            <w:pPr>
              <w:pStyle w:val="45"/>
              <w:rPr>
                <w:highlight w:val="none"/>
              </w:rPr>
            </w:pPr>
          </w:p>
        </w:tc>
      </w:tr>
    </w:tbl>
    <w:p>
      <w:pPr>
        <w:pStyle w:val="47"/>
        <w:ind w:firstLine="482"/>
        <w:rPr>
          <w:highlight w:val="none"/>
        </w:rPr>
      </w:pPr>
      <w:r>
        <w:rPr>
          <w:rFonts w:hint="eastAsia"/>
          <w:highlight w:val="none"/>
        </w:rPr>
        <w:t>注：①投标人根据自身实际情况填写，对不涉及的内容可填写“/”。②本表所列项目管理成员信息将作为主管部门监督管理是否属于串通投标的情形。</w:t>
      </w:r>
    </w:p>
    <w:p>
      <w:pPr>
        <w:pStyle w:val="47"/>
        <w:ind w:firstLine="482"/>
        <w:rPr>
          <w:highlight w:val="none"/>
        </w:rPr>
      </w:pPr>
    </w:p>
    <w:p>
      <w:pPr>
        <w:pStyle w:val="42"/>
        <w:rPr>
          <w:highlight w:val="none"/>
        </w:rPr>
      </w:pPr>
    </w:p>
    <w:p>
      <w:pPr>
        <w:pStyle w:val="46"/>
        <w:rPr>
          <w:highlight w:val="none"/>
        </w:rPr>
      </w:pPr>
      <w:r>
        <w:rPr>
          <w:rFonts w:hint="eastAsia"/>
          <w:highlight w:val="none"/>
        </w:rPr>
        <w:t>投标人名称：</w:t>
      </w:r>
      <w:r>
        <w:rPr>
          <w:rFonts w:hint="eastAsia" w:asciiTheme="minorEastAsia" w:hAnsiTheme="minorEastAsia" w:eastAsiaTheme="minorEastAsia" w:cstheme="minorEastAsia"/>
          <w:highlight w:val="none"/>
          <w:u w:val="single"/>
        </w:rPr>
        <w:t xml:space="preserve">            </w:t>
      </w:r>
      <w:r>
        <w:rPr>
          <w:rFonts w:hint="eastAsia"/>
          <w:highlight w:val="none"/>
        </w:rPr>
        <w:t>(盖章)</w:t>
      </w:r>
    </w:p>
    <w:p>
      <w:pPr>
        <w:pStyle w:val="46"/>
        <w:rPr>
          <w:highlight w:val="none"/>
        </w:rPr>
      </w:pPr>
      <w:r>
        <w:rPr>
          <w:rFonts w:hint="eastAsia"/>
          <w:highlight w:val="none"/>
        </w:rPr>
        <w:t>法定代表人/单位负责人或授权代表：</w:t>
      </w:r>
      <w:r>
        <w:rPr>
          <w:rFonts w:hint="eastAsia" w:asciiTheme="minorEastAsia" w:hAnsiTheme="minorEastAsia" w:eastAsiaTheme="minorEastAsia" w:cstheme="minorEastAsia"/>
          <w:highlight w:val="none"/>
          <w:u w:val="single"/>
        </w:rPr>
        <w:t xml:space="preserve">            </w:t>
      </w:r>
      <w:r>
        <w:rPr>
          <w:rFonts w:hint="eastAsia"/>
          <w:highlight w:val="none"/>
        </w:rPr>
        <w:t>(签字或盖章)</w:t>
      </w:r>
    </w:p>
    <w:p>
      <w:pPr>
        <w:pStyle w:val="46"/>
        <w:rPr>
          <w:highlight w:val="none"/>
        </w:rPr>
      </w:pPr>
      <w:r>
        <w:rPr>
          <w:rFonts w:hint="eastAsia"/>
          <w:highlight w:val="none"/>
        </w:rPr>
        <w:t>投标日期：</w:t>
      </w:r>
      <w:r>
        <w:rPr>
          <w:rFonts w:hint="eastAsia" w:asciiTheme="minorEastAsia" w:hAnsiTheme="minorEastAsia" w:eastAsiaTheme="minorEastAsia" w:cstheme="minorEastAsia"/>
          <w:highlight w:val="none"/>
          <w:u w:val="single"/>
        </w:rPr>
        <w:t xml:space="preserve">            </w:t>
      </w:r>
      <w:r>
        <w:rPr>
          <w:rFonts w:hint="eastAsia"/>
          <w:highlight w:val="none"/>
        </w:rPr>
        <w:t xml:space="preserve">                 </w:t>
      </w:r>
    </w:p>
    <w:p>
      <w:pPr>
        <w:pStyle w:val="42"/>
        <w:rPr>
          <w:highlight w:val="none"/>
        </w:rPr>
      </w:pPr>
      <w:r>
        <w:rPr>
          <w:rFonts w:hint="eastAsia"/>
          <w:highlight w:val="none"/>
        </w:rPr>
        <w:br w:type="page"/>
      </w:r>
      <w:bookmarkEnd w:id="1171"/>
    </w:p>
    <w:p>
      <w:pPr>
        <w:pStyle w:val="44"/>
        <w:numPr>
          <w:ilvl w:val="0"/>
          <w:numId w:val="21"/>
        </w:numPr>
        <w:spacing w:before="120" w:after="120"/>
        <w:ind w:firstLine="0"/>
        <w:rPr>
          <w:highlight w:val="none"/>
        </w:rPr>
      </w:pPr>
      <w:bookmarkStart w:id="1175" w:name="_Toc23867"/>
      <w:bookmarkStart w:id="1176" w:name="_Toc6992"/>
      <w:bookmarkStart w:id="1177" w:name="_Toc3976"/>
      <w:bookmarkStart w:id="1178" w:name="_Toc15333"/>
      <w:r>
        <w:rPr>
          <w:rFonts w:hint="eastAsia"/>
          <w:highlight w:val="none"/>
        </w:rPr>
        <w:t>中小企业声明函(如涉及</w:t>
      </w:r>
      <w:bookmarkEnd w:id="1172"/>
      <w:r>
        <w:rPr>
          <w:rFonts w:hint="eastAsia"/>
          <w:highlight w:val="none"/>
        </w:rPr>
        <w:t>)</w:t>
      </w:r>
      <w:bookmarkEnd w:id="1173"/>
      <w:bookmarkEnd w:id="1174"/>
      <w:bookmarkEnd w:id="1175"/>
      <w:bookmarkEnd w:id="1176"/>
      <w:bookmarkEnd w:id="1177"/>
      <w:bookmarkEnd w:id="1178"/>
    </w:p>
    <w:p>
      <w:pPr>
        <w:pStyle w:val="47"/>
        <w:spacing w:line="440" w:lineRule="exact"/>
        <w:rPr>
          <w:rFonts w:hint="eastAsia" w:ascii="仿宋" w:hAnsi="仿宋" w:eastAsia="仿宋" w:cs="仿宋"/>
          <w:b w:val="0"/>
          <w:bCs/>
          <w:highlight w:val="none"/>
        </w:rPr>
      </w:pPr>
      <w:r>
        <w:rPr>
          <w:rFonts w:hint="eastAsia" w:ascii="仿宋" w:hAnsi="仿宋" w:eastAsia="仿宋" w:cs="仿宋"/>
          <w:b w:val="0"/>
          <w:bCs/>
          <w:spacing w:val="0"/>
          <w:highlight w:val="none"/>
        </w:rPr>
        <w:t>本公司</w:t>
      </w:r>
      <w:r>
        <w:rPr>
          <w:rFonts w:hint="eastAsia" w:ascii="仿宋" w:hAnsi="仿宋" w:eastAsia="仿宋" w:cs="仿宋"/>
          <w:b w:val="0"/>
          <w:bCs/>
          <w:highlight w:val="none"/>
        </w:rPr>
        <w:t>（联合体</w:t>
      </w:r>
      <w:r>
        <w:rPr>
          <w:rFonts w:hint="eastAsia" w:ascii="仿宋" w:hAnsi="仿宋" w:eastAsia="仿宋" w:cs="仿宋"/>
          <w:b w:val="0"/>
          <w:bCs/>
          <w:spacing w:val="0"/>
          <w:highlight w:val="none"/>
        </w:rPr>
        <w:t>）郑重声明，根据《政府采购促进中小企业发展管理办法》</w:t>
      </w:r>
      <w:r>
        <w:rPr>
          <w:rFonts w:hint="eastAsia" w:ascii="仿宋" w:hAnsi="仿宋" w:eastAsia="仿宋" w:cs="仿宋"/>
          <w:b w:val="0"/>
          <w:bCs/>
          <w:highlight w:val="none"/>
        </w:rPr>
        <w:t>（</w:t>
      </w:r>
      <w:r>
        <w:rPr>
          <w:rFonts w:hint="eastAsia" w:ascii="仿宋" w:hAnsi="仿宋" w:eastAsia="仿宋" w:cs="仿宋"/>
          <w:b w:val="0"/>
          <w:bCs/>
          <w:spacing w:val="0"/>
          <w:highlight w:val="none"/>
        </w:rPr>
        <w:t>财库</w:t>
      </w:r>
      <w:r>
        <w:rPr>
          <w:rFonts w:hint="eastAsia" w:ascii="仿宋" w:hAnsi="仿宋" w:eastAsia="仿宋" w:cs="仿宋"/>
          <w:b w:val="0"/>
          <w:bCs/>
          <w:highlight w:val="none"/>
        </w:rPr>
        <w:t>﹝2020﹞46</w:t>
      </w:r>
      <w:r>
        <w:rPr>
          <w:rFonts w:hint="eastAsia" w:ascii="仿宋" w:hAnsi="仿宋" w:eastAsia="仿宋" w:cs="仿宋"/>
          <w:b w:val="0"/>
          <w:bCs/>
          <w:spacing w:val="0"/>
          <w:highlight w:val="none"/>
        </w:rPr>
        <w:t>号）</w:t>
      </w:r>
      <w:r>
        <w:rPr>
          <w:rFonts w:hint="eastAsia" w:ascii="仿宋" w:hAnsi="仿宋" w:eastAsia="仿宋" w:cs="仿宋"/>
          <w:b w:val="0"/>
          <w:bCs/>
          <w:highlight w:val="none"/>
        </w:rPr>
        <w:t>的规定，本公司（联合体）</w:t>
      </w:r>
      <w:r>
        <w:rPr>
          <w:rFonts w:hint="eastAsia" w:ascii="仿宋" w:hAnsi="仿宋" w:eastAsia="仿宋" w:cs="仿宋"/>
          <w:b w:val="0"/>
          <w:bCs/>
          <w:spacing w:val="0"/>
          <w:highlight w:val="none"/>
        </w:rPr>
        <w:t>参加</w:t>
      </w:r>
      <w:r>
        <w:rPr>
          <w:rFonts w:hint="eastAsia" w:ascii="仿宋" w:hAnsi="仿宋" w:eastAsia="仿宋" w:cs="仿宋"/>
          <w:b w:val="0"/>
          <w:bCs/>
          <w:i/>
          <w:iCs/>
          <w:spacing w:val="0"/>
          <w:sz w:val="24"/>
          <w:highlight w:val="none"/>
          <w:u w:val="single"/>
        </w:rPr>
        <w:t>（单位名称）</w:t>
      </w:r>
      <w:r>
        <w:rPr>
          <w:rFonts w:hint="eastAsia" w:ascii="仿宋" w:hAnsi="仿宋" w:eastAsia="仿宋" w:cs="仿宋"/>
          <w:b w:val="0"/>
          <w:bCs/>
          <w:spacing w:val="0"/>
          <w:highlight w:val="none"/>
        </w:rPr>
        <w:t>的</w:t>
      </w:r>
      <w:r>
        <w:rPr>
          <w:rFonts w:hint="eastAsia" w:ascii="仿宋" w:hAnsi="仿宋" w:eastAsia="仿宋" w:cs="仿宋"/>
          <w:b w:val="0"/>
          <w:bCs/>
          <w:i/>
          <w:iCs/>
          <w:spacing w:val="0"/>
          <w:sz w:val="24"/>
          <w:highlight w:val="none"/>
          <w:u w:val="single"/>
        </w:rPr>
        <w:t>（项目名称）</w:t>
      </w:r>
      <w:r>
        <w:rPr>
          <w:rFonts w:hint="eastAsia" w:ascii="仿宋" w:hAnsi="仿宋" w:eastAsia="仿宋" w:cs="仿宋"/>
          <w:b w:val="0"/>
          <w:bCs/>
          <w:spacing w:val="0"/>
          <w:highlight w:val="none"/>
        </w:rPr>
        <w:t>采购活动，服务</w:t>
      </w:r>
      <w:r>
        <w:rPr>
          <w:rFonts w:hint="eastAsia" w:ascii="仿宋" w:hAnsi="仿宋" w:eastAsia="仿宋" w:cs="仿宋"/>
          <w:b w:val="0"/>
          <w:bCs/>
          <w:spacing w:val="0"/>
          <w:w w:val="100"/>
          <w:highlight w:val="none"/>
        </w:rPr>
        <w:t>全部由符合政策要求的中小企业承接。相关企业（含联合</w:t>
      </w:r>
      <w:r>
        <w:rPr>
          <w:rFonts w:hint="eastAsia" w:ascii="仿宋" w:hAnsi="仿宋" w:eastAsia="仿宋" w:cs="仿宋"/>
          <w:b w:val="0"/>
          <w:bCs/>
          <w:highlight w:val="none"/>
        </w:rPr>
        <w:t>体中的中小企业、签订分包意向协议的中小企业</w:t>
      </w:r>
      <w:r>
        <w:rPr>
          <w:rFonts w:hint="eastAsia" w:ascii="仿宋" w:hAnsi="仿宋" w:eastAsia="仿宋" w:cs="仿宋"/>
          <w:b w:val="0"/>
          <w:bCs/>
          <w:spacing w:val="0"/>
          <w:highlight w:val="none"/>
        </w:rPr>
        <w:t>）</w:t>
      </w:r>
      <w:r>
        <w:rPr>
          <w:rFonts w:hint="eastAsia" w:ascii="仿宋" w:hAnsi="仿宋" w:eastAsia="仿宋" w:cs="仿宋"/>
          <w:b w:val="0"/>
          <w:bCs/>
          <w:highlight w:val="none"/>
        </w:rPr>
        <w:t>的具体情况如下：</w:t>
      </w:r>
    </w:p>
    <w:p>
      <w:pPr>
        <w:pStyle w:val="47"/>
        <w:spacing w:line="440" w:lineRule="exact"/>
        <w:rPr>
          <w:rFonts w:hint="eastAsia" w:ascii="仿宋" w:hAnsi="仿宋" w:eastAsia="仿宋" w:cs="仿宋"/>
          <w:b w:val="0"/>
          <w:bCs/>
          <w:sz w:val="24"/>
          <w:highlight w:val="none"/>
        </w:rPr>
      </w:pPr>
      <w:r>
        <w:rPr>
          <w:rFonts w:hint="eastAsia" w:ascii="仿宋" w:hAnsi="仿宋" w:eastAsia="仿宋" w:cs="仿宋"/>
          <w:b w:val="0"/>
          <w:bCs/>
          <w:i/>
          <w:iCs/>
          <w:spacing w:val="0"/>
          <w:w w:val="100"/>
          <w:sz w:val="24"/>
          <w:highlight w:val="none"/>
          <w:u w:val="single"/>
        </w:rPr>
        <w:t>（标的名称）</w:t>
      </w:r>
      <w:r>
        <w:rPr>
          <w:rFonts w:hint="eastAsia" w:ascii="仿宋" w:hAnsi="仿宋" w:eastAsia="仿宋" w:cs="仿宋"/>
          <w:b w:val="0"/>
          <w:bCs/>
          <w:spacing w:val="0"/>
          <w:w w:val="100"/>
          <w:sz w:val="24"/>
          <w:highlight w:val="none"/>
          <w:u w:val="none"/>
        </w:rPr>
        <w:t>，属于</w:t>
      </w:r>
      <w:r>
        <w:rPr>
          <w:rFonts w:hint="eastAsia" w:ascii="仿宋" w:hAnsi="仿宋" w:eastAsia="仿宋" w:cs="仿宋"/>
          <w:b w:val="0"/>
          <w:bCs/>
          <w:i/>
          <w:iCs/>
          <w:spacing w:val="0"/>
          <w:w w:val="100"/>
          <w:sz w:val="24"/>
          <w:highlight w:val="none"/>
          <w:u w:val="single"/>
        </w:rPr>
        <w:t>（采购文件中明确的所属行业）</w:t>
      </w:r>
      <w:r>
        <w:rPr>
          <w:rFonts w:hint="eastAsia" w:ascii="仿宋" w:hAnsi="仿宋" w:eastAsia="仿宋" w:cs="仿宋"/>
          <w:b w:val="0"/>
          <w:bCs/>
          <w:w w:val="100"/>
          <w:sz w:val="24"/>
          <w:highlight w:val="none"/>
          <w:u w:val="none"/>
        </w:rPr>
        <w:t>；</w:t>
      </w:r>
      <w:r>
        <w:rPr>
          <w:rFonts w:hint="eastAsia" w:ascii="仿宋" w:hAnsi="仿宋" w:eastAsia="仿宋" w:cs="仿宋"/>
          <w:b w:val="0"/>
          <w:bCs/>
          <w:spacing w:val="0"/>
          <w:w w:val="100"/>
          <w:sz w:val="24"/>
          <w:highlight w:val="none"/>
        </w:rPr>
        <w:t>承接企业为</w:t>
      </w:r>
      <w:r>
        <w:rPr>
          <w:rFonts w:hint="eastAsia" w:ascii="仿宋" w:hAnsi="仿宋" w:eastAsia="仿宋" w:cs="仿宋"/>
          <w:b w:val="0"/>
          <w:bCs/>
          <w:i/>
          <w:iCs/>
          <w:spacing w:val="0"/>
          <w:w w:val="100"/>
          <w:sz w:val="24"/>
          <w:highlight w:val="none"/>
          <w:u w:val="single"/>
        </w:rPr>
        <w:t>（企业名称）</w:t>
      </w:r>
      <w:r>
        <w:rPr>
          <w:rFonts w:hint="eastAsia" w:ascii="仿宋" w:hAnsi="仿宋" w:eastAsia="仿宋" w:cs="仿宋"/>
          <w:b w:val="0"/>
          <w:bCs/>
          <w:spacing w:val="0"/>
          <w:w w:val="100"/>
          <w:sz w:val="24"/>
          <w:highlight w:val="none"/>
        </w:rPr>
        <w:t>，从业人员</w:t>
      </w:r>
      <w:r>
        <w:rPr>
          <w:rFonts w:hint="eastAsia" w:ascii="仿宋" w:hAnsi="仿宋" w:eastAsia="仿宋" w:cs="仿宋"/>
          <w:b w:val="0"/>
          <w:bCs/>
          <w:w w:val="100"/>
          <w:sz w:val="24"/>
          <w:highlight w:val="none"/>
          <w:u w:val="single"/>
          <w:lang w:val="en-US" w:eastAsia="zh-CN"/>
        </w:rPr>
        <w:t xml:space="preserve">    </w:t>
      </w:r>
      <w:r>
        <w:rPr>
          <w:rFonts w:hint="eastAsia" w:ascii="仿宋" w:hAnsi="仿宋" w:eastAsia="仿宋" w:cs="仿宋"/>
          <w:b w:val="0"/>
          <w:bCs/>
          <w:spacing w:val="0"/>
          <w:w w:val="100"/>
          <w:sz w:val="24"/>
          <w:highlight w:val="none"/>
        </w:rPr>
        <w:t>人，营</w:t>
      </w:r>
      <w:r>
        <w:rPr>
          <w:rFonts w:hint="eastAsia" w:ascii="仿宋" w:hAnsi="仿宋" w:eastAsia="仿宋" w:cs="仿宋"/>
          <w:b w:val="0"/>
          <w:bCs/>
          <w:w w:val="100"/>
          <w:sz w:val="24"/>
          <w:highlight w:val="none"/>
        </w:rPr>
        <w:t>业</w:t>
      </w:r>
      <w:r>
        <w:rPr>
          <w:rFonts w:hint="eastAsia" w:ascii="仿宋" w:hAnsi="仿宋" w:eastAsia="仿宋" w:cs="仿宋"/>
          <w:b w:val="0"/>
          <w:bCs/>
          <w:sz w:val="24"/>
          <w:highlight w:val="none"/>
        </w:rPr>
        <w:t>收入为</w:t>
      </w:r>
      <w:r>
        <w:rPr>
          <w:rFonts w:hint="eastAsia" w:ascii="仿宋" w:hAnsi="仿宋" w:eastAsia="仿宋" w:cs="仿宋"/>
          <w:b w:val="0"/>
          <w:bCs/>
          <w:sz w:val="24"/>
          <w:highlight w:val="none"/>
          <w:u w:val="single"/>
          <w:lang w:val="en-US" w:eastAsia="zh-CN"/>
        </w:rPr>
        <w:t xml:space="preserve">    </w:t>
      </w:r>
      <w:r>
        <w:rPr>
          <w:rFonts w:hint="eastAsia" w:ascii="仿宋" w:hAnsi="仿宋" w:eastAsia="仿宋" w:cs="仿宋"/>
          <w:b w:val="0"/>
          <w:bCs/>
          <w:sz w:val="24"/>
          <w:highlight w:val="none"/>
          <w:u w:val="none"/>
        </w:rPr>
        <w:tab/>
      </w:r>
      <w:r>
        <w:rPr>
          <w:rFonts w:hint="eastAsia" w:ascii="仿宋" w:hAnsi="仿宋" w:eastAsia="仿宋" w:cs="仿宋"/>
          <w:b w:val="0"/>
          <w:bCs/>
          <w:sz w:val="24"/>
          <w:highlight w:val="none"/>
        </w:rPr>
        <w:t>万元，资产总额为</w:t>
      </w:r>
      <w:r>
        <w:rPr>
          <w:rFonts w:hint="eastAsia" w:ascii="仿宋" w:hAnsi="仿宋" w:eastAsia="仿宋" w:cs="仿宋"/>
          <w:b w:val="0"/>
          <w:bCs/>
          <w:sz w:val="24"/>
          <w:highlight w:val="none"/>
          <w:u w:val="single"/>
          <w:lang w:val="en-US" w:eastAsia="zh-CN"/>
        </w:rPr>
        <w:t xml:space="preserve">    </w:t>
      </w:r>
      <w:r>
        <w:rPr>
          <w:rFonts w:hint="eastAsia" w:ascii="仿宋" w:hAnsi="仿宋" w:eastAsia="仿宋" w:cs="仿宋"/>
          <w:b w:val="0"/>
          <w:bCs/>
          <w:w w:val="100"/>
          <w:sz w:val="24"/>
          <w:highlight w:val="none"/>
        </w:rPr>
        <w:t>万元，属</w:t>
      </w:r>
      <w:r>
        <w:rPr>
          <w:rFonts w:hint="eastAsia" w:ascii="仿宋" w:hAnsi="仿宋" w:eastAsia="仿宋" w:cs="仿宋"/>
          <w:b w:val="0"/>
          <w:bCs/>
          <w:spacing w:val="0"/>
          <w:w w:val="100"/>
          <w:sz w:val="24"/>
          <w:highlight w:val="none"/>
        </w:rPr>
        <w:t>于</w:t>
      </w:r>
      <w:r>
        <w:rPr>
          <w:rFonts w:hint="eastAsia" w:ascii="仿宋" w:hAnsi="仿宋" w:eastAsia="仿宋" w:cs="仿宋"/>
          <w:b w:val="0"/>
          <w:bCs/>
          <w:i/>
          <w:iCs/>
          <w:spacing w:val="0"/>
          <w:w w:val="100"/>
          <w:sz w:val="24"/>
          <w:highlight w:val="none"/>
          <w:u w:val="single"/>
        </w:rPr>
        <w:t>（中型企业</w:t>
      </w:r>
      <w:r>
        <w:rPr>
          <w:rFonts w:hint="eastAsia" w:ascii="仿宋" w:hAnsi="仿宋" w:eastAsia="仿宋" w:cs="仿宋"/>
          <w:b w:val="0"/>
          <w:bCs/>
          <w:i/>
          <w:iCs/>
          <w:w w:val="100"/>
          <w:sz w:val="24"/>
          <w:highlight w:val="none"/>
          <w:u w:val="single"/>
        </w:rPr>
        <w:t>、</w:t>
      </w:r>
      <w:r>
        <w:rPr>
          <w:rFonts w:hint="eastAsia" w:ascii="仿宋" w:hAnsi="仿宋" w:eastAsia="仿宋" w:cs="仿宋"/>
          <w:b w:val="0"/>
          <w:bCs/>
          <w:i/>
          <w:iCs/>
          <w:spacing w:val="0"/>
          <w:w w:val="100"/>
          <w:sz w:val="24"/>
          <w:highlight w:val="none"/>
          <w:u w:val="single"/>
        </w:rPr>
        <w:t>小型企业、微型企业）</w:t>
      </w:r>
      <w:r>
        <w:rPr>
          <w:rFonts w:hint="eastAsia" w:ascii="仿宋" w:hAnsi="仿宋" w:eastAsia="仿宋" w:cs="仿宋"/>
          <w:b w:val="0"/>
          <w:bCs/>
          <w:w w:val="100"/>
          <w:sz w:val="24"/>
          <w:highlight w:val="none"/>
        </w:rPr>
        <w:t>；</w:t>
      </w:r>
    </w:p>
    <w:p>
      <w:pPr>
        <w:pStyle w:val="47"/>
        <w:spacing w:line="440" w:lineRule="exact"/>
        <w:rPr>
          <w:rFonts w:hint="eastAsia" w:ascii="仿宋" w:hAnsi="仿宋" w:eastAsia="仿宋" w:cs="仿宋"/>
          <w:b w:val="0"/>
          <w:bCs/>
          <w:sz w:val="24"/>
          <w:highlight w:val="none"/>
          <w:u w:val="none"/>
        </w:rPr>
      </w:pPr>
      <w:r>
        <w:rPr>
          <w:rFonts w:hint="eastAsia" w:ascii="仿宋" w:hAnsi="仿宋" w:eastAsia="仿宋" w:cs="仿宋"/>
          <w:b w:val="0"/>
          <w:bCs/>
          <w:i/>
          <w:iCs/>
          <w:spacing w:val="0"/>
          <w:w w:val="100"/>
          <w:sz w:val="24"/>
          <w:highlight w:val="none"/>
          <w:u w:val="single"/>
        </w:rPr>
        <w:t>（标的名称）</w:t>
      </w:r>
      <w:r>
        <w:rPr>
          <w:rFonts w:hint="eastAsia" w:ascii="仿宋" w:hAnsi="仿宋" w:eastAsia="仿宋" w:cs="仿宋"/>
          <w:b w:val="0"/>
          <w:bCs/>
          <w:spacing w:val="0"/>
          <w:w w:val="100"/>
          <w:sz w:val="24"/>
          <w:highlight w:val="none"/>
          <w:u w:val="none"/>
        </w:rPr>
        <w:t>，</w:t>
      </w:r>
      <w:r>
        <w:rPr>
          <w:rFonts w:hint="eastAsia" w:ascii="仿宋" w:hAnsi="仿宋" w:eastAsia="仿宋" w:cs="仿宋"/>
          <w:b w:val="0"/>
          <w:bCs/>
          <w:w w:val="100"/>
          <w:sz w:val="24"/>
          <w:highlight w:val="none"/>
          <w:u w:val="none"/>
        </w:rPr>
        <w:t>属</w:t>
      </w:r>
      <w:r>
        <w:rPr>
          <w:rFonts w:hint="eastAsia" w:ascii="仿宋" w:hAnsi="仿宋" w:eastAsia="仿宋" w:cs="仿宋"/>
          <w:b w:val="0"/>
          <w:bCs/>
          <w:spacing w:val="0"/>
          <w:w w:val="100"/>
          <w:sz w:val="24"/>
          <w:highlight w:val="none"/>
          <w:u w:val="none"/>
        </w:rPr>
        <w:t>于</w:t>
      </w:r>
      <w:r>
        <w:rPr>
          <w:rFonts w:hint="eastAsia" w:ascii="仿宋" w:hAnsi="仿宋" w:eastAsia="仿宋" w:cs="仿宋"/>
          <w:b w:val="0"/>
          <w:bCs/>
          <w:i/>
          <w:iCs/>
          <w:spacing w:val="0"/>
          <w:w w:val="100"/>
          <w:sz w:val="24"/>
          <w:highlight w:val="none"/>
          <w:u w:val="single"/>
        </w:rPr>
        <w:t>（采购文件中明确的所属行业）</w:t>
      </w:r>
      <w:r>
        <w:rPr>
          <w:rFonts w:hint="eastAsia" w:ascii="仿宋" w:hAnsi="仿宋" w:eastAsia="仿宋" w:cs="仿宋"/>
          <w:b w:val="0"/>
          <w:bCs/>
          <w:w w:val="100"/>
          <w:sz w:val="24"/>
          <w:highlight w:val="none"/>
          <w:u w:val="none"/>
        </w:rPr>
        <w:t>；</w:t>
      </w:r>
      <w:r>
        <w:rPr>
          <w:rFonts w:hint="eastAsia" w:ascii="仿宋" w:hAnsi="仿宋" w:eastAsia="仿宋" w:cs="仿宋"/>
          <w:b w:val="0"/>
          <w:bCs/>
          <w:spacing w:val="0"/>
          <w:w w:val="100"/>
          <w:sz w:val="24"/>
          <w:highlight w:val="none"/>
          <w:u w:val="none"/>
        </w:rPr>
        <w:t>承接企业为</w:t>
      </w:r>
      <w:r>
        <w:rPr>
          <w:rFonts w:hint="eastAsia" w:ascii="仿宋" w:hAnsi="仿宋" w:eastAsia="仿宋" w:cs="仿宋"/>
          <w:b w:val="0"/>
          <w:bCs/>
          <w:i/>
          <w:iCs/>
          <w:spacing w:val="0"/>
          <w:w w:val="100"/>
          <w:sz w:val="24"/>
          <w:highlight w:val="none"/>
          <w:u w:val="single"/>
        </w:rPr>
        <w:t>（企业名称）</w:t>
      </w:r>
      <w:r>
        <w:rPr>
          <w:rFonts w:hint="eastAsia" w:ascii="仿宋" w:hAnsi="仿宋" w:eastAsia="仿宋" w:cs="仿宋"/>
          <w:b w:val="0"/>
          <w:bCs/>
          <w:spacing w:val="0"/>
          <w:w w:val="100"/>
          <w:sz w:val="24"/>
          <w:highlight w:val="none"/>
          <w:u w:val="none"/>
        </w:rPr>
        <w:t>，从业人员</w:t>
      </w:r>
      <w:r>
        <w:rPr>
          <w:rFonts w:hint="eastAsia" w:ascii="仿宋" w:hAnsi="仿宋" w:eastAsia="仿宋" w:cs="仿宋"/>
          <w:b w:val="0"/>
          <w:bCs/>
          <w:w w:val="100"/>
          <w:sz w:val="24"/>
          <w:highlight w:val="none"/>
          <w:u w:val="single"/>
          <w:lang w:val="en-US" w:eastAsia="zh-CN"/>
        </w:rPr>
        <w:t xml:space="preserve">    </w:t>
      </w:r>
      <w:r>
        <w:rPr>
          <w:rFonts w:hint="eastAsia" w:ascii="仿宋" w:hAnsi="仿宋" w:eastAsia="仿宋" w:cs="仿宋"/>
          <w:b w:val="0"/>
          <w:bCs/>
          <w:sz w:val="24"/>
          <w:highlight w:val="none"/>
          <w:u w:val="none"/>
        </w:rPr>
        <w:tab/>
      </w:r>
      <w:r>
        <w:rPr>
          <w:rFonts w:hint="eastAsia" w:ascii="仿宋" w:hAnsi="仿宋" w:eastAsia="仿宋" w:cs="仿宋"/>
          <w:b w:val="0"/>
          <w:bCs/>
          <w:spacing w:val="0"/>
          <w:w w:val="100"/>
          <w:sz w:val="24"/>
          <w:highlight w:val="none"/>
          <w:u w:val="none"/>
        </w:rPr>
        <w:t>人，营</w:t>
      </w:r>
      <w:r>
        <w:rPr>
          <w:rFonts w:hint="eastAsia" w:ascii="仿宋" w:hAnsi="仿宋" w:eastAsia="仿宋" w:cs="仿宋"/>
          <w:b w:val="0"/>
          <w:bCs/>
          <w:w w:val="100"/>
          <w:sz w:val="24"/>
          <w:highlight w:val="none"/>
          <w:u w:val="none"/>
        </w:rPr>
        <w:t>业</w:t>
      </w:r>
      <w:r>
        <w:rPr>
          <w:rFonts w:hint="eastAsia" w:ascii="仿宋" w:hAnsi="仿宋" w:eastAsia="仿宋" w:cs="仿宋"/>
          <w:b w:val="0"/>
          <w:bCs/>
          <w:sz w:val="24"/>
          <w:highlight w:val="none"/>
          <w:u w:val="none"/>
        </w:rPr>
        <w:t>收入为</w:t>
      </w:r>
      <w:r>
        <w:rPr>
          <w:rFonts w:hint="eastAsia" w:ascii="仿宋" w:hAnsi="仿宋" w:eastAsia="仿宋" w:cs="仿宋"/>
          <w:b w:val="0"/>
          <w:bCs/>
          <w:w w:val="100"/>
          <w:sz w:val="24"/>
          <w:highlight w:val="none"/>
          <w:u w:val="single"/>
          <w:lang w:val="en-US" w:eastAsia="zh-CN"/>
        </w:rPr>
        <w:t xml:space="preserve">    </w:t>
      </w:r>
      <w:r>
        <w:rPr>
          <w:rFonts w:hint="eastAsia" w:ascii="仿宋" w:hAnsi="仿宋" w:eastAsia="仿宋" w:cs="仿宋"/>
          <w:b w:val="0"/>
          <w:bCs/>
          <w:sz w:val="24"/>
          <w:highlight w:val="none"/>
          <w:u w:val="none"/>
        </w:rPr>
        <w:tab/>
      </w:r>
      <w:r>
        <w:rPr>
          <w:rFonts w:hint="eastAsia" w:ascii="仿宋" w:hAnsi="仿宋" w:eastAsia="仿宋" w:cs="仿宋"/>
          <w:b w:val="0"/>
          <w:bCs/>
          <w:sz w:val="24"/>
          <w:highlight w:val="none"/>
          <w:u w:val="none"/>
        </w:rPr>
        <w:t>万元，资产总额为</w:t>
      </w:r>
      <w:r>
        <w:rPr>
          <w:rFonts w:hint="eastAsia" w:ascii="仿宋" w:hAnsi="仿宋" w:eastAsia="仿宋" w:cs="仿宋"/>
          <w:b w:val="0"/>
          <w:bCs/>
          <w:w w:val="100"/>
          <w:sz w:val="24"/>
          <w:highlight w:val="none"/>
          <w:u w:val="single"/>
          <w:lang w:val="en-US" w:eastAsia="zh-CN"/>
        </w:rPr>
        <w:t xml:space="preserve">    </w:t>
      </w:r>
      <w:r>
        <w:rPr>
          <w:rFonts w:hint="eastAsia" w:ascii="仿宋" w:hAnsi="仿宋" w:eastAsia="仿宋" w:cs="仿宋"/>
          <w:b w:val="0"/>
          <w:bCs/>
          <w:sz w:val="24"/>
          <w:highlight w:val="none"/>
          <w:u w:val="none"/>
        </w:rPr>
        <w:tab/>
      </w:r>
      <w:r>
        <w:rPr>
          <w:rFonts w:hint="eastAsia" w:ascii="仿宋" w:hAnsi="仿宋" w:eastAsia="仿宋" w:cs="仿宋"/>
          <w:b w:val="0"/>
          <w:bCs/>
          <w:sz w:val="24"/>
          <w:highlight w:val="none"/>
          <w:u w:val="none"/>
        </w:rPr>
        <w:t>万元，属</w:t>
      </w:r>
      <w:r>
        <w:rPr>
          <w:rFonts w:hint="eastAsia" w:ascii="仿宋" w:hAnsi="仿宋" w:eastAsia="仿宋" w:cs="仿宋"/>
          <w:b w:val="0"/>
          <w:bCs/>
          <w:spacing w:val="0"/>
          <w:sz w:val="24"/>
          <w:highlight w:val="none"/>
          <w:u w:val="none"/>
        </w:rPr>
        <w:t>于</w:t>
      </w:r>
      <w:r>
        <w:rPr>
          <w:rFonts w:hint="eastAsia" w:ascii="仿宋" w:hAnsi="仿宋" w:eastAsia="仿宋" w:cs="仿宋"/>
          <w:b w:val="0"/>
          <w:bCs/>
          <w:i/>
          <w:iCs/>
          <w:spacing w:val="0"/>
          <w:sz w:val="24"/>
          <w:highlight w:val="none"/>
          <w:u w:val="single"/>
        </w:rPr>
        <w:t>（中型企业</w:t>
      </w:r>
      <w:r>
        <w:rPr>
          <w:rFonts w:hint="eastAsia" w:ascii="仿宋" w:hAnsi="仿宋" w:eastAsia="仿宋" w:cs="仿宋"/>
          <w:b w:val="0"/>
          <w:bCs/>
          <w:i/>
          <w:iCs/>
          <w:sz w:val="24"/>
          <w:highlight w:val="none"/>
          <w:u w:val="single"/>
        </w:rPr>
        <w:t>、</w:t>
      </w:r>
      <w:r>
        <w:rPr>
          <w:rFonts w:hint="eastAsia" w:ascii="仿宋" w:hAnsi="仿宋" w:eastAsia="仿宋" w:cs="仿宋"/>
          <w:b w:val="0"/>
          <w:bCs/>
          <w:i/>
          <w:iCs/>
          <w:spacing w:val="0"/>
          <w:w w:val="100"/>
          <w:sz w:val="24"/>
          <w:highlight w:val="none"/>
          <w:u w:val="single"/>
        </w:rPr>
        <w:t>小型企业、微型企业）</w:t>
      </w:r>
      <w:r>
        <w:rPr>
          <w:rFonts w:hint="eastAsia" w:ascii="仿宋" w:hAnsi="仿宋" w:eastAsia="仿宋" w:cs="仿宋"/>
          <w:b w:val="0"/>
          <w:bCs/>
          <w:w w:val="100"/>
          <w:sz w:val="24"/>
          <w:highlight w:val="none"/>
          <w:u w:val="none"/>
        </w:rPr>
        <w:t>；</w:t>
      </w:r>
    </w:p>
    <w:p>
      <w:pPr>
        <w:pStyle w:val="47"/>
        <w:rPr>
          <w:rFonts w:hint="eastAsia" w:ascii="仿宋" w:hAnsi="仿宋" w:eastAsia="仿宋" w:cs="仿宋"/>
          <w:b w:val="0"/>
          <w:bCs/>
          <w:highlight w:val="none"/>
        </w:rPr>
      </w:pPr>
      <w:r>
        <w:rPr>
          <w:rFonts w:hint="eastAsia" w:ascii="仿宋" w:hAnsi="仿宋" w:eastAsia="仿宋" w:cs="仿宋"/>
          <w:b w:val="0"/>
          <w:bCs/>
          <w:highlight w:val="none"/>
        </w:rPr>
        <w:t>……</w:t>
      </w:r>
    </w:p>
    <w:p>
      <w:pPr>
        <w:pStyle w:val="47"/>
        <w:spacing w:line="440" w:lineRule="exact"/>
        <w:rPr>
          <w:rFonts w:hint="eastAsia" w:ascii="仿宋" w:hAnsi="仿宋" w:eastAsia="仿宋" w:cs="仿宋"/>
          <w:b w:val="0"/>
          <w:bCs/>
          <w:highlight w:val="none"/>
        </w:rPr>
      </w:pPr>
      <w:r>
        <w:rPr>
          <w:rFonts w:hint="eastAsia" w:ascii="仿宋" w:hAnsi="仿宋" w:eastAsia="仿宋" w:cs="仿宋"/>
          <w:b w:val="0"/>
          <w:bCs/>
          <w:spacing w:val="0"/>
          <w:highlight w:val="none"/>
        </w:rPr>
        <w:t>以上企业，不属于大企业的分支机构，不存在控股股东为大企业的情形，也不存在与大企业的负责人为同一人的情形。</w:t>
      </w:r>
    </w:p>
    <w:p>
      <w:pPr>
        <w:pStyle w:val="47"/>
        <w:spacing w:line="440" w:lineRule="exact"/>
        <w:rPr>
          <w:rFonts w:hint="eastAsia" w:ascii="仿宋" w:hAnsi="仿宋" w:eastAsia="仿宋" w:cs="仿宋"/>
          <w:b w:val="0"/>
          <w:bCs/>
          <w:highlight w:val="none"/>
        </w:rPr>
      </w:pPr>
      <w:r>
        <w:rPr>
          <w:rFonts w:hint="eastAsia" w:ascii="仿宋" w:hAnsi="仿宋" w:eastAsia="仿宋" w:cs="仿宋"/>
          <w:b w:val="0"/>
          <w:bCs/>
          <w:highlight w:val="none"/>
        </w:rPr>
        <w:t>本企业对上述声明内容的真实性负责。如有虚假，将依法承担相应责任。</w:t>
      </w:r>
    </w:p>
    <w:p>
      <w:pPr>
        <w:pStyle w:val="42"/>
        <w:bidi w:val="0"/>
        <w:rPr>
          <w:rFonts w:hint="eastAsia" w:ascii="仿宋" w:hAnsi="仿宋" w:eastAsia="仿宋" w:cs="仿宋"/>
          <w:highlight w:val="none"/>
        </w:rPr>
      </w:pPr>
    </w:p>
    <w:p>
      <w:pPr>
        <w:pStyle w:val="42"/>
        <w:bidi w:val="0"/>
        <w:rPr>
          <w:rFonts w:hint="eastAsia" w:ascii="仿宋" w:hAnsi="仿宋" w:eastAsia="仿宋" w:cs="仿宋"/>
          <w:highlight w:val="none"/>
        </w:rPr>
      </w:pPr>
    </w:p>
    <w:p>
      <w:pPr>
        <w:pStyle w:val="4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highlight w:val="none"/>
        </w:rPr>
      </w:pPr>
      <w:r>
        <w:rPr>
          <w:rFonts w:hint="eastAsia" w:ascii="仿宋" w:hAnsi="仿宋" w:eastAsia="仿宋" w:cs="仿宋"/>
          <w:highlight w:val="none"/>
        </w:rPr>
        <w:t>企业名称(盖章)：</w:t>
      </w:r>
      <w:r>
        <w:rPr>
          <w:rFonts w:hint="eastAsia" w:ascii="仿宋" w:hAnsi="仿宋" w:eastAsia="仿宋" w:cs="仿宋"/>
          <w:highlight w:val="none"/>
          <w:u w:val="single"/>
          <w:lang w:val="en-US" w:eastAsia="zh-CN"/>
        </w:rPr>
        <w:t xml:space="preserve">        </w:t>
      </w:r>
    </w:p>
    <w:p>
      <w:pPr>
        <w:pStyle w:val="4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highlight w:val="none"/>
          <w:lang w:val="en-US" w:eastAsia="zh-CN"/>
        </w:rPr>
      </w:pPr>
      <w:r>
        <w:rPr>
          <w:rFonts w:hint="eastAsia" w:ascii="仿宋" w:hAnsi="仿宋" w:eastAsia="仿宋" w:cs="仿宋"/>
          <w:highlight w:val="none"/>
        </w:rPr>
        <w:t>日期：</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　</w:t>
      </w:r>
    </w:p>
    <w:p>
      <w:pPr>
        <w:pStyle w:val="47"/>
        <w:keepNext w:val="0"/>
        <w:keepLines w:val="0"/>
        <w:pageBreakBefore w:val="0"/>
        <w:kinsoku/>
        <w:overflowPunct/>
        <w:autoSpaceDE/>
        <w:autoSpaceDN/>
        <w:bidi w:val="0"/>
        <w:adjustRightInd w:val="0"/>
        <w:snapToGrid w:val="0"/>
        <w:spacing w:line="440" w:lineRule="exact"/>
        <w:textAlignment w:val="auto"/>
        <w:rPr>
          <w:rFonts w:hint="eastAsia"/>
          <w:highlight w:val="none"/>
        </w:rPr>
      </w:pPr>
    </w:p>
    <w:p>
      <w:pPr>
        <w:pStyle w:val="47"/>
        <w:ind w:firstLine="0"/>
        <w:rPr>
          <w:rFonts w:hint="eastAsia" w:ascii="仿宋" w:hAnsi="仿宋" w:eastAsia="仿宋" w:cs="仿宋"/>
          <w:b w:val="0"/>
          <w:color w:val="auto"/>
          <w:kern w:val="0"/>
          <w:sz w:val="28"/>
          <w:szCs w:val="28"/>
          <w:highlight w:val="none"/>
          <w:lang w:bidi="ar"/>
        </w:rPr>
      </w:pPr>
      <w:bookmarkStart w:id="1179" w:name="_Toc8055"/>
      <w:bookmarkStart w:id="1180" w:name="_Toc419811733"/>
      <w:bookmarkStart w:id="1181" w:name="_Toc413748654"/>
      <w:bookmarkStart w:id="1182" w:name="_Toc387658050"/>
      <w:bookmarkStart w:id="1183" w:name="_Toc387147344"/>
      <w:bookmarkStart w:id="1184" w:name="_Toc417911732"/>
      <w:r>
        <w:rPr>
          <w:rFonts w:hint="eastAsia" w:ascii="仿宋" w:hAnsi="仿宋" w:eastAsia="仿宋" w:cs="仿宋"/>
          <w:b w:val="0"/>
          <w:color w:val="auto"/>
          <w:kern w:val="0"/>
          <w:sz w:val="28"/>
          <w:szCs w:val="28"/>
          <w:highlight w:val="none"/>
          <w:lang w:bidi="ar"/>
        </w:rPr>
        <w:t>从业人员、营业收入、资产总额填报上一年度数据，无上一年度数据的新成立企业可不填报。</w:t>
      </w:r>
    </w:p>
    <w:p>
      <w:pPr>
        <w:pStyle w:val="42"/>
        <w:ind w:left="4800" w:leftChars="2000"/>
        <w:rPr>
          <w:highlight w:val="none"/>
        </w:rPr>
      </w:pPr>
    </w:p>
    <w:p>
      <w:pPr>
        <w:pStyle w:val="44"/>
        <w:numPr>
          <w:ilvl w:val="0"/>
          <w:numId w:val="21"/>
        </w:numPr>
        <w:spacing w:before="120" w:after="120"/>
        <w:ind w:firstLine="0"/>
        <w:rPr>
          <w:highlight w:val="none"/>
        </w:rPr>
      </w:pPr>
      <w:bookmarkStart w:id="1185" w:name="_Toc11278"/>
      <w:bookmarkStart w:id="1186" w:name="_Toc20776"/>
      <w:bookmarkStart w:id="1187" w:name="_Toc20073"/>
      <w:bookmarkStart w:id="1188" w:name="_Toc30681"/>
      <w:bookmarkStart w:id="1189" w:name="_Toc30256"/>
      <w:bookmarkStart w:id="1190" w:name="_Toc26771"/>
      <w:bookmarkStart w:id="1191" w:name="_Toc7722"/>
      <w:r>
        <w:rPr>
          <w:rFonts w:hint="eastAsia"/>
          <w:highlight w:val="none"/>
        </w:rPr>
        <w:t>监狱企业相关证明材料</w:t>
      </w:r>
      <w:bookmarkEnd w:id="1179"/>
      <w:r>
        <w:rPr>
          <w:rFonts w:hint="eastAsia"/>
          <w:highlight w:val="none"/>
        </w:rPr>
        <w:t>(如涉及</w:t>
      </w:r>
      <w:bookmarkEnd w:id="1185"/>
      <w:r>
        <w:rPr>
          <w:rFonts w:hint="eastAsia"/>
          <w:highlight w:val="none"/>
        </w:rPr>
        <w:t>)</w:t>
      </w:r>
      <w:bookmarkEnd w:id="1186"/>
      <w:bookmarkEnd w:id="1187"/>
      <w:bookmarkEnd w:id="1188"/>
      <w:bookmarkEnd w:id="1189"/>
      <w:bookmarkEnd w:id="1190"/>
      <w:bookmarkEnd w:id="1191"/>
    </w:p>
    <w:p>
      <w:pPr>
        <w:pStyle w:val="47"/>
        <w:ind w:firstLine="482"/>
        <w:rPr>
          <w:highlight w:val="none"/>
        </w:rPr>
      </w:pPr>
      <w:r>
        <w:rPr>
          <w:rFonts w:hint="eastAsia"/>
          <w:highlight w:val="none"/>
        </w:rPr>
        <w:t>说明：</w:t>
      </w:r>
    </w:p>
    <w:p>
      <w:pPr>
        <w:pStyle w:val="47"/>
        <w:ind w:firstLine="482"/>
        <w:rPr>
          <w:highlight w:val="none"/>
        </w:rPr>
      </w:pPr>
      <w:r>
        <w:rPr>
          <w:rFonts w:hint="eastAsia"/>
          <w:highlight w:val="none"/>
        </w:rPr>
        <w:t>①监狱企业参加政府采购活动时，应当提供由省级以上监狱管理局、戒毒管理局(含新疆生产建设兵团)出具的属于监狱企业的证明文件。</w:t>
      </w:r>
    </w:p>
    <w:p>
      <w:pPr>
        <w:pStyle w:val="47"/>
        <w:ind w:firstLine="482"/>
        <w:rPr>
          <w:highlight w:val="none"/>
        </w:rPr>
      </w:pPr>
      <w:r>
        <w:rPr>
          <w:rFonts w:hint="eastAsia"/>
          <w:highlight w:val="none"/>
        </w:rPr>
        <w:t>②如未提供监狱企业相关证明材料的，则其评审中的监狱企业不能享受招标文件规定的价格扣除，但不影响投标文件的有效性。</w:t>
      </w:r>
    </w:p>
    <w:p>
      <w:pPr>
        <w:pStyle w:val="47"/>
        <w:ind w:firstLine="482"/>
        <w:rPr>
          <w:highlight w:val="none"/>
        </w:rPr>
      </w:pPr>
      <w:r>
        <w:rPr>
          <w:rFonts w:hint="eastAsia"/>
          <w:highlight w:val="none"/>
        </w:rPr>
        <w:t>③非监狱企业无需提供证明材料。</w:t>
      </w:r>
    </w:p>
    <w:p>
      <w:pPr>
        <w:pStyle w:val="42"/>
        <w:rPr>
          <w:highlight w:val="none"/>
        </w:rPr>
      </w:pPr>
      <w:r>
        <w:rPr>
          <w:rFonts w:hint="eastAsia"/>
          <w:highlight w:val="none"/>
        </w:rPr>
        <w:br w:type="page"/>
      </w:r>
    </w:p>
    <w:p>
      <w:pPr>
        <w:pStyle w:val="44"/>
        <w:numPr>
          <w:ilvl w:val="0"/>
          <w:numId w:val="21"/>
        </w:numPr>
        <w:spacing w:before="120" w:after="120"/>
        <w:ind w:firstLine="0"/>
        <w:rPr>
          <w:highlight w:val="none"/>
        </w:rPr>
      </w:pPr>
      <w:bookmarkStart w:id="1192" w:name="_Toc7140"/>
      <w:bookmarkStart w:id="1193" w:name="_Toc5740"/>
      <w:bookmarkStart w:id="1194" w:name="_Toc30301"/>
      <w:bookmarkStart w:id="1195" w:name="_Toc29400"/>
      <w:bookmarkStart w:id="1196" w:name="_Toc28729"/>
      <w:bookmarkStart w:id="1197" w:name="_Toc10698"/>
      <w:bookmarkStart w:id="1198" w:name="_Toc27384"/>
      <w:r>
        <w:rPr>
          <w:rFonts w:hint="eastAsia"/>
          <w:highlight w:val="none"/>
        </w:rPr>
        <w:t>残疾人福利性单位声明函(如涉及</w:t>
      </w:r>
      <w:bookmarkEnd w:id="1192"/>
      <w:r>
        <w:rPr>
          <w:rFonts w:hint="eastAsia"/>
          <w:highlight w:val="none"/>
        </w:rPr>
        <w:t>)</w:t>
      </w:r>
      <w:bookmarkEnd w:id="1193"/>
      <w:bookmarkEnd w:id="1194"/>
      <w:bookmarkEnd w:id="1195"/>
      <w:bookmarkEnd w:id="1196"/>
      <w:bookmarkEnd w:id="1197"/>
      <w:bookmarkEnd w:id="1198"/>
    </w:p>
    <w:p>
      <w:pPr>
        <w:pStyle w:val="46"/>
        <w:rPr>
          <w:highlight w:val="none"/>
        </w:rPr>
      </w:pPr>
      <w:r>
        <w:rPr>
          <w:rFonts w:hint="eastAsia"/>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highlight w:val="none"/>
          <w:u w:val="single"/>
        </w:rPr>
        <w:t xml:space="preserve">        </w:t>
      </w:r>
      <w:r>
        <w:rPr>
          <w:rFonts w:hint="eastAsia"/>
          <w:highlight w:val="none"/>
        </w:rPr>
        <w:t>单位的</w:t>
      </w:r>
      <w:r>
        <w:rPr>
          <w:rFonts w:hint="eastAsia" w:asciiTheme="minorEastAsia" w:hAnsiTheme="minorEastAsia" w:eastAsiaTheme="minorEastAsia" w:cstheme="minorEastAsia"/>
          <w:highlight w:val="none"/>
          <w:u w:val="single"/>
        </w:rPr>
        <w:t xml:space="preserve">        </w:t>
      </w:r>
      <w:r>
        <w:rPr>
          <w:rFonts w:hint="eastAsia"/>
          <w:highlight w:val="none"/>
        </w:rPr>
        <w:t>项目采购活动由本单位提供服务。</w:t>
      </w:r>
    </w:p>
    <w:p>
      <w:pPr>
        <w:pStyle w:val="46"/>
        <w:rPr>
          <w:highlight w:val="none"/>
        </w:rPr>
      </w:pPr>
      <w:r>
        <w:rPr>
          <w:rFonts w:hint="eastAsia"/>
          <w:highlight w:val="none"/>
        </w:rPr>
        <w:t>本单位对上述声明的真实性负责。如有虚假，将依法承担相应责任。</w:t>
      </w:r>
    </w:p>
    <w:p>
      <w:pPr>
        <w:pStyle w:val="42"/>
        <w:rPr>
          <w:highlight w:val="none"/>
        </w:rPr>
      </w:pPr>
    </w:p>
    <w:p>
      <w:pPr>
        <w:pStyle w:val="42"/>
        <w:rPr>
          <w:highlight w:val="none"/>
        </w:rPr>
      </w:pPr>
    </w:p>
    <w:p>
      <w:pPr>
        <w:pStyle w:val="42"/>
        <w:rPr>
          <w:highlight w:val="none"/>
        </w:rPr>
      </w:pPr>
    </w:p>
    <w:p>
      <w:pPr>
        <w:pStyle w:val="42"/>
        <w:ind w:left="4800" w:leftChars="2000"/>
        <w:rPr>
          <w:highlight w:val="none"/>
        </w:rPr>
      </w:pPr>
      <w:r>
        <w:rPr>
          <w:rFonts w:hint="eastAsia"/>
          <w:highlight w:val="none"/>
        </w:rPr>
        <w:t>单位名称：</w:t>
      </w:r>
      <w:r>
        <w:rPr>
          <w:rFonts w:hint="eastAsia"/>
          <w:highlight w:val="none"/>
          <w:u w:val="single"/>
        </w:rPr>
        <w:t xml:space="preserve">             </w:t>
      </w:r>
      <w:r>
        <w:rPr>
          <w:rFonts w:hint="eastAsia"/>
          <w:highlight w:val="none"/>
        </w:rPr>
        <w:t xml:space="preserve"> (盖章)</w:t>
      </w:r>
    </w:p>
    <w:p>
      <w:pPr>
        <w:pStyle w:val="42"/>
        <w:ind w:left="4800" w:leftChars="2000"/>
        <w:rPr>
          <w:highlight w:val="none"/>
        </w:rPr>
      </w:pPr>
      <w:r>
        <w:rPr>
          <w:rFonts w:hint="eastAsia"/>
          <w:highlight w:val="none"/>
        </w:rPr>
        <w:t>日    期：</w:t>
      </w:r>
      <w:r>
        <w:rPr>
          <w:rFonts w:hint="eastAsia"/>
          <w:highlight w:val="none"/>
          <w:u w:val="single"/>
        </w:rPr>
        <w:t xml:space="preserve">             </w:t>
      </w:r>
      <w:r>
        <w:rPr>
          <w:rFonts w:hint="eastAsia"/>
          <w:highlight w:val="none"/>
        </w:rPr>
        <w:t xml:space="preserve">   </w:t>
      </w:r>
      <w:bookmarkEnd w:id="1180"/>
      <w:bookmarkEnd w:id="1181"/>
      <w:bookmarkEnd w:id="1182"/>
      <w:bookmarkEnd w:id="1183"/>
      <w:bookmarkEnd w:id="1184"/>
    </w:p>
    <w:p>
      <w:pPr>
        <w:pStyle w:val="42"/>
        <w:ind w:left="4800" w:leftChars="2000"/>
        <w:rPr>
          <w:highlight w:val="none"/>
        </w:rPr>
      </w:pPr>
    </w:p>
    <w:p>
      <w:pPr>
        <w:pStyle w:val="47"/>
        <w:ind w:firstLine="482"/>
        <w:rPr>
          <w:highlight w:val="none"/>
        </w:rPr>
      </w:pPr>
      <w:r>
        <w:rPr>
          <w:rFonts w:hint="eastAsia"/>
          <w:highlight w:val="none"/>
        </w:rPr>
        <w:t>说明：</w:t>
      </w: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如未提供残疾人福利性单位声明函的，则其评审中的残疾人福利性单位不能享受招标文件规定的价格扣除。非残疾人福利性单位，不需提供此声明函，不影响投标文件的有效性。</w:t>
      </w:r>
    </w:p>
    <w:p>
      <w:pPr>
        <w:pStyle w:val="47"/>
        <w:ind w:firstLine="482"/>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投标人参加政府采购活动时，提供虚假残疾人福利性单位声明函的，以提供虚假材料谋取中标处理。</w:t>
      </w:r>
    </w:p>
    <w:p>
      <w:pPr>
        <w:pStyle w:val="42"/>
        <w:ind w:left="4800" w:leftChars="2000"/>
        <w:rPr>
          <w:highlight w:val="none"/>
        </w:rPr>
      </w:pPr>
    </w:p>
    <w:p>
      <w:pPr>
        <w:pStyle w:val="44"/>
        <w:numPr>
          <w:ilvl w:val="0"/>
          <w:numId w:val="21"/>
        </w:numPr>
        <w:spacing w:before="120" w:after="120"/>
        <w:ind w:firstLine="0"/>
        <w:rPr>
          <w:highlight w:val="none"/>
        </w:rPr>
      </w:pPr>
      <w:bookmarkStart w:id="1199" w:name="_Toc19197"/>
      <w:bookmarkStart w:id="1200" w:name="_Toc20002"/>
      <w:bookmarkStart w:id="1201" w:name="_Toc22545"/>
      <w:bookmarkStart w:id="1202" w:name="_Toc17320"/>
      <w:bookmarkStart w:id="1203" w:name="_Toc25439"/>
      <w:bookmarkStart w:id="1204" w:name="_Toc16092"/>
      <w:bookmarkStart w:id="1205" w:name="_Toc18724"/>
      <w:bookmarkStart w:id="1206" w:name="_Toc881"/>
      <w:r>
        <w:rPr>
          <w:rFonts w:hint="eastAsia"/>
          <w:highlight w:val="none"/>
        </w:rPr>
        <w:t>服务方案</w:t>
      </w:r>
      <w:bookmarkEnd w:id="1199"/>
      <w:bookmarkEnd w:id="1200"/>
      <w:bookmarkEnd w:id="1201"/>
      <w:bookmarkEnd w:id="1202"/>
      <w:bookmarkEnd w:id="1203"/>
      <w:bookmarkEnd w:id="1204"/>
    </w:p>
    <w:p>
      <w:pPr>
        <w:pStyle w:val="47"/>
        <w:ind w:firstLine="482"/>
        <w:rPr>
          <w:highlight w:val="none"/>
        </w:rPr>
      </w:pPr>
      <w:r>
        <w:rPr>
          <w:rFonts w:hint="eastAsia"/>
          <w:highlight w:val="none"/>
        </w:rPr>
        <w:t>注：格式自拟。</w:t>
      </w:r>
    </w:p>
    <w:p>
      <w:pPr>
        <w:jc w:val="center"/>
        <w:outlineLvl w:val="2"/>
        <w:rPr>
          <w:rFonts w:hint="eastAsia" w:ascii="宋体" w:hAnsi="宋体" w:eastAsia="宋体"/>
          <w:b/>
          <w:snapToGrid w:val="0"/>
          <w:sz w:val="28"/>
          <w:highlight w:val="none"/>
          <w:lang w:val="en-US" w:eastAsia="zh-CN"/>
        </w:rPr>
      </w:pPr>
      <w:r>
        <w:rPr>
          <w:rFonts w:hint="eastAsia"/>
          <w:highlight w:val="none"/>
        </w:rPr>
        <w:br w:type="page"/>
      </w:r>
      <w:bookmarkStart w:id="1207" w:name="_Toc26292"/>
      <w:bookmarkStart w:id="1208" w:name="_Toc30765"/>
      <w:r>
        <w:rPr>
          <w:rFonts w:hint="eastAsia" w:ascii="宋体" w:hAnsi="宋体" w:eastAsia="宋体"/>
          <w:b/>
          <w:snapToGrid w:val="0"/>
          <w:sz w:val="28"/>
          <w:highlight w:val="none"/>
          <w:lang w:val="en-US" w:eastAsia="zh-CN"/>
        </w:rPr>
        <w:t>十四、商品包装、快递包装承诺函</w:t>
      </w:r>
      <w:bookmarkEnd w:id="1207"/>
      <w:bookmarkEnd w:id="1208"/>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Cs/>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Cs/>
          <w:highlight w:val="none"/>
          <w:u w:val="none"/>
        </w:rPr>
      </w:pPr>
      <w:r>
        <w:rPr>
          <w:rFonts w:hint="eastAsia" w:asciiTheme="minorEastAsia" w:hAnsiTheme="minorEastAsia" w:eastAsiaTheme="minorEastAsia" w:cstheme="minorEastAsia"/>
          <w:bCs/>
          <w:highlight w:val="none"/>
          <w:u w:val="none"/>
        </w:rPr>
        <w:t>四川乾新招投标代理有限公司：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bCs/>
          <w:highlight w:val="none"/>
          <w:u w:val="none"/>
        </w:rPr>
      </w:pPr>
      <w:r>
        <w:rPr>
          <w:rFonts w:hint="eastAsia" w:asciiTheme="minorEastAsia" w:hAnsiTheme="minorEastAsia" w:eastAsiaTheme="minorEastAsia" w:cstheme="minorEastAsia"/>
          <w:bCs/>
          <w:highlight w:val="none"/>
          <w:u w:val="none"/>
        </w:rPr>
        <w:t>我公司</w:t>
      </w:r>
      <w:r>
        <w:rPr>
          <w:rFonts w:hint="eastAsia" w:asciiTheme="minorEastAsia" w:hAnsiTheme="minorEastAsia" w:eastAsiaTheme="minorEastAsia" w:cstheme="minorEastAsia"/>
          <w:bCs/>
          <w:highlight w:val="none"/>
          <w:u w:val="none"/>
          <w:lang w:val="en-US" w:eastAsia="zh-CN"/>
        </w:rPr>
        <w:t>参加</w:t>
      </w:r>
      <w:r>
        <w:rPr>
          <w:rFonts w:hint="eastAsia" w:asciiTheme="minorEastAsia" w:hAnsiTheme="minorEastAsia" w:eastAsiaTheme="minorEastAsia" w:cstheme="minorEastAsia"/>
          <w:bCs/>
          <w:highlight w:val="none"/>
          <w:u w:val="none"/>
        </w:rPr>
        <w:t>本项目的</w:t>
      </w:r>
      <w:r>
        <w:rPr>
          <w:rFonts w:hint="eastAsia" w:asciiTheme="minorEastAsia" w:hAnsiTheme="minorEastAsia" w:eastAsiaTheme="minorEastAsia" w:cstheme="minorEastAsia"/>
          <w:bCs/>
          <w:highlight w:val="none"/>
          <w:u w:val="none"/>
          <w:lang w:val="en-US" w:eastAsia="zh-CN"/>
        </w:rPr>
        <w:t>投标</w:t>
      </w:r>
      <w:r>
        <w:rPr>
          <w:rFonts w:hint="eastAsia" w:asciiTheme="minorEastAsia" w:hAnsiTheme="minorEastAsia" w:eastAsiaTheme="minorEastAsia" w:cstheme="minorEastAsia"/>
          <w:bCs/>
          <w:highlight w:val="none"/>
          <w:u w:val="none"/>
        </w:rPr>
        <w:t>，根据</w:t>
      </w:r>
      <w:r>
        <w:rPr>
          <w:rFonts w:hint="eastAsia" w:asciiTheme="minorEastAsia" w:hAnsiTheme="minorEastAsia" w:eastAsiaTheme="minorEastAsia" w:cstheme="minorEastAsia"/>
          <w:bCs/>
          <w:highlight w:val="none"/>
          <w:u w:val="none"/>
          <w:lang w:val="en-US" w:eastAsia="zh-CN"/>
        </w:rPr>
        <w:t>招标</w:t>
      </w:r>
      <w:r>
        <w:rPr>
          <w:rFonts w:hint="eastAsia" w:asciiTheme="minorEastAsia" w:hAnsiTheme="minorEastAsia" w:eastAsiaTheme="minorEastAsia" w:cstheme="minorEastAsia"/>
          <w:bCs/>
          <w:highlight w:val="none"/>
          <w:u w:val="none"/>
        </w:rPr>
        <w:t>文件要求</w:t>
      </w:r>
      <w:r>
        <w:rPr>
          <w:rFonts w:hint="eastAsia" w:asciiTheme="minorEastAsia" w:hAnsiTheme="minorEastAsia" w:eastAsiaTheme="minorEastAsia" w:cstheme="minorEastAsia"/>
          <w:bCs/>
          <w:highlight w:val="none"/>
          <w:u w:val="none"/>
          <w:lang w:val="en-US" w:eastAsia="zh-CN"/>
        </w:rPr>
        <w:t>并结合响应实际情况</w:t>
      </w:r>
      <w:r>
        <w:rPr>
          <w:rFonts w:hint="eastAsia" w:asciiTheme="minorEastAsia" w:hAnsiTheme="minorEastAsia" w:eastAsiaTheme="minorEastAsia" w:cstheme="minorEastAsia"/>
          <w:bCs/>
          <w:highlight w:val="none"/>
          <w:u w:val="none"/>
        </w:rPr>
        <w:t>，现郑重承诺如下：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bCs/>
          <w:highlight w:val="none"/>
          <w:u w:val="none"/>
        </w:rPr>
      </w:pPr>
      <w:r>
        <w:rPr>
          <w:rFonts w:hint="eastAsia" w:asciiTheme="minorEastAsia" w:hAnsiTheme="minorEastAsia" w:eastAsiaTheme="minorEastAsia" w:cstheme="minorEastAsia"/>
          <w:bCs/>
          <w:highlight w:val="none"/>
          <w:u w:val="none"/>
        </w:rPr>
        <w:t>我方承诺，根据财政部等三部门联合印发商品包装和快递包装政府采购需求标准（试行）财库办【2020】123号文要求，若我方提供的货物、服务、工程涉及商品包装和快递包装的，将按照</w:t>
      </w:r>
      <w:r>
        <w:rPr>
          <w:rFonts w:hint="eastAsia" w:asciiTheme="minorEastAsia" w:hAnsiTheme="minorEastAsia" w:eastAsiaTheme="minorEastAsia" w:cstheme="minorEastAsia"/>
          <w:bCs/>
          <w:highlight w:val="none"/>
          <w:u w:val="none"/>
          <w:lang w:val="en-US" w:eastAsia="zh-CN"/>
        </w:rPr>
        <w:t>财政部</w:t>
      </w:r>
      <w:r>
        <w:rPr>
          <w:rFonts w:hint="eastAsia" w:asciiTheme="minorEastAsia" w:hAnsiTheme="minorEastAsia" w:eastAsiaTheme="minorEastAsia" w:cstheme="minorEastAsia"/>
          <w:bCs/>
          <w:highlight w:val="none"/>
          <w:u w:val="none"/>
        </w:rPr>
        <w:t>关于印发《商品包装政府采购需求标准（试行）》、 《快递包装政府采购需求标准（试行）》的通知财办库〔2020〕123号要求执行。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bCs/>
          <w:highlight w:val="none"/>
          <w:u w:val="none"/>
        </w:rPr>
      </w:pPr>
      <w:r>
        <w:rPr>
          <w:rFonts w:hint="eastAsia" w:asciiTheme="minorEastAsia" w:hAnsiTheme="minorEastAsia" w:eastAsiaTheme="minorEastAsia" w:cstheme="minorEastAsia"/>
          <w:bCs/>
          <w:highlight w:val="none"/>
          <w:u w:val="none"/>
        </w:rPr>
        <w:t>本公司对上述承诺的内容事项真实性负责。如经查实上述承诺的内容事项存在虚假，我公司愿意接受以提供虚假材料谋取</w:t>
      </w:r>
      <w:r>
        <w:rPr>
          <w:rFonts w:hint="eastAsia" w:asciiTheme="minorEastAsia" w:hAnsiTheme="minorEastAsia" w:eastAsiaTheme="minorEastAsia" w:cstheme="minorEastAsia"/>
          <w:bCs/>
          <w:highlight w:val="none"/>
          <w:u w:val="none"/>
          <w:lang w:val="en-US" w:eastAsia="zh-CN"/>
        </w:rPr>
        <w:t>中标/成交</w:t>
      </w:r>
      <w:r>
        <w:rPr>
          <w:rFonts w:hint="eastAsia" w:asciiTheme="minorEastAsia" w:hAnsiTheme="minorEastAsia" w:eastAsiaTheme="minorEastAsia" w:cstheme="minorEastAsia"/>
          <w:bCs/>
          <w:highlight w:val="none"/>
          <w:u w:val="none"/>
        </w:rPr>
        <w:t>追究法律责任。</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bCs/>
          <w:highlight w:val="none"/>
          <w:u w:val="none"/>
        </w:rPr>
      </w:pP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bCs/>
          <w:highlight w:val="none"/>
          <w:u w:val="none"/>
        </w:rPr>
      </w:pP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bCs/>
          <w:highlight w:val="none"/>
          <w:u w:val="none"/>
        </w:rPr>
      </w:pPr>
    </w:p>
    <w:p>
      <w:pPr>
        <w:pStyle w:val="46"/>
        <w:bidi w:val="0"/>
        <w:rPr>
          <w:rFonts w:hint="eastAsia"/>
          <w:highlight w:val="none"/>
        </w:rPr>
      </w:pPr>
      <w:r>
        <w:rPr>
          <w:rFonts w:hint="eastAsia"/>
          <w:highlight w:val="none"/>
          <w:lang w:val="en-US" w:eastAsia="zh-CN"/>
        </w:rPr>
        <w:t>投标人</w:t>
      </w:r>
      <w:r>
        <w:rPr>
          <w:rFonts w:hint="eastAsia"/>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highlight w:val="none"/>
        </w:rPr>
        <w:t>(盖章)</w:t>
      </w:r>
    </w:p>
    <w:p>
      <w:pPr>
        <w:pStyle w:val="46"/>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2"/>
        <w:ind w:firstLine="480" w:firstLineChars="200"/>
        <w:rPr>
          <w:rFonts w:hint="eastAsia"/>
          <w:highlight w:val="none"/>
        </w:rPr>
      </w:pPr>
      <w:r>
        <w:rPr>
          <w:rFonts w:hint="eastAsia"/>
          <w:highlight w:val="none"/>
          <w:lang w:val="en-US" w:eastAsia="zh-CN"/>
        </w:rPr>
        <w:t>投标日期：</w:t>
      </w:r>
      <w:r>
        <w:rPr>
          <w:rFonts w:hint="eastAsia" w:asciiTheme="minorEastAsia" w:hAnsiTheme="minorEastAsia" w:eastAsiaTheme="minorEastAsia" w:cstheme="minorEastAsia"/>
          <w:color w:val="auto"/>
          <w:sz w:val="24"/>
          <w:highlight w:val="none"/>
          <w:u w:val="single"/>
          <w:lang w:val="en-US" w:eastAsia="zh-CN"/>
        </w:rPr>
        <w:t xml:space="preserve">            </w:t>
      </w:r>
    </w:p>
    <w:p>
      <w:pPr>
        <w:pStyle w:val="44"/>
        <w:numPr>
          <w:ilvl w:val="-1"/>
          <w:numId w:val="0"/>
        </w:numPr>
        <w:spacing w:before="120" w:after="120"/>
        <w:ind w:firstLine="0"/>
        <w:jc w:val="center"/>
        <w:rPr>
          <w:highlight w:val="none"/>
        </w:rPr>
      </w:pPr>
      <w:bookmarkStart w:id="1209" w:name="_Toc12699"/>
      <w:bookmarkStart w:id="1210" w:name="_Toc32188"/>
      <w:bookmarkStart w:id="1211" w:name="_Toc8227"/>
      <w:bookmarkStart w:id="1212" w:name="_Toc24684"/>
      <w:bookmarkStart w:id="1213" w:name="_Toc26418"/>
      <w:r>
        <w:rPr>
          <w:rFonts w:hint="eastAsia"/>
          <w:highlight w:val="none"/>
          <w:lang w:val="en-US" w:eastAsia="zh-CN"/>
        </w:rPr>
        <w:t>十五、</w:t>
      </w:r>
      <w:r>
        <w:rPr>
          <w:rFonts w:hint="eastAsia"/>
          <w:highlight w:val="none"/>
        </w:rPr>
        <w:t>招标代理服务费承诺函</w:t>
      </w:r>
      <w:bookmarkEnd w:id="1209"/>
      <w:bookmarkEnd w:id="1210"/>
      <w:bookmarkEnd w:id="1211"/>
      <w:bookmarkEnd w:id="1212"/>
      <w:bookmarkEnd w:id="1213"/>
    </w:p>
    <w:p>
      <w:pPr>
        <w:pStyle w:val="42"/>
        <w:rPr>
          <w:highlight w:val="none"/>
        </w:rPr>
      </w:pPr>
      <w:r>
        <w:rPr>
          <w:rFonts w:hint="eastAsia"/>
          <w:highlight w:val="none"/>
        </w:rPr>
        <w:t>四川乾新招投标代理有限公司：</w:t>
      </w:r>
    </w:p>
    <w:p>
      <w:pPr>
        <w:pStyle w:val="46"/>
        <w:rPr>
          <w:highlight w:val="none"/>
        </w:rPr>
      </w:pPr>
      <w:r>
        <w:rPr>
          <w:rFonts w:hint="eastAsia"/>
          <w:highlight w:val="none"/>
        </w:rPr>
        <w:t>我公司在贵公司代理的</w:t>
      </w:r>
      <w:r>
        <w:rPr>
          <w:rFonts w:hint="eastAsia"/>
          <w:highlight w:val="none"/>
          <w:u w:val="single"/>
        </w:rPr>
        <w:t xml:space="preserve">                              </w:t>
      </w:r>
      <w:r>
        <w:rPr>
          <w:rFonts w:hint="eastAsia"/>
          <w:highlight w:val="none"/>
        </w:rPr>
        <w:t>项目(项目编号：</w:t>
      </w:r>
      <w:r>
        <w:rPr>
          <w:rFonts w:hint="eastAsia"/>
          <w:highlight w:val="none"/>
          <w:u w:val="single"/>
        </w:rPr>
        <w:t xml:space="preserve">                              </w:t>
      </w:r>
      <w:r>
        <w:rPr>
          <w:rFonts w:hint="eastAsia"/>
          <w:highlight w:val="none"/>
        </w:rPr>
        <w:t>) 公开招标中若获中标，我们保证在收到中标通知后2个工作日内按</w:t>
      </w:r>
      <w:r>
        <w:rPr>
          <w:rFonts w:hint="eastAsia"/>
          <w:highlight w:val="none"/>
          <w:lang w:val="zh-CN"/>
        </w:rPr>
        <w:t>招标文件</w:t>
      </w:r>
      <w:r>
        <w:rPr>
          <w:rFonts w:hint="eastAsia"/>
          <w:highlight w:val="none"/>
        </w:rPr>
        <w:t>的规定，以支票、银行汇票、电汇、现金或经贵公司认可的一种方式，向贵公司即四川乾新招投标代理有限公司指定的银行帐号，按照</w:t>
      </w:r>
      <w:r>
        <w:rPr>
          <w:rFonts w:hint="eastAsia"/>
          <w:highlight w:val="none"/>
          <w:lang w:val="zh-CN"/>
        </w:rPr>
        <w:t>招标文件中</w:t>
      </w:r>
      <w:r>
        <w:rPr>
          <w:rFonts w:hint="eastAsia"/>
          <w:highlight w:val="none"/>
        </w:rPr>
        <w:t>招标代理服务费收取标准一次性支付招标代理服务费。</w:t>
      </w:r>
      <w:r>
        <w:rPr>
          <w:rFonts w:hint="eastAsia"/>
          <w:b/>
          <w:bCs/>
          <w:highlight w:val="none"/>
        </w:rPr>
        <w:t>如因我公司自身原因造成取消中标资格或自愿放弃中标资格的，我司支付的招标代理服务费不予退还，由此造成的损失由我方自行承担。</w:t>
      </w:r>
    </w:p>
    <w:p>
      <w:pPr>
        <w:pStyle w:val="46"/>
        <w:rPr>
          <w:highlight w:val="none"/>
        </w:rPr>
      </w:pPr>
    </w:p>
    <w:p>
      <w:pPr>
        <w:pStyle w:val="46"/>
        <w:rPr>
          <w:highlight w:val="none"/>
        </w:rPr>
      </w:pPr>
    </w:p>
    <w:p>
      <w:pPr>
        <w:pStyle w:val="46"/>
        <w:rPr>
          <w:highlight w:val="none"/>
        </w:rPr>
      </w:pPr>
      <w:r>
        <w:rPr>
          <w:rFonts w:hint="eastAsia"/>
          <w:highlight w:val="none"/>
        </w:rPr>
        <w:t>特此承诺。</w:t>
      </w:r>
    </w:p>
    <w:p>
      <w:pPr>
        <w:pStyle w:val="42"/>
        <w:rPr>
          <w:highlight w:val="none"/>
        </w:rPr>
      </w:pPr>
    </w:p>
    <w:p>
      <w:pPr>
        <w:pStyle w:val="42"/>
        <w:rPr>
          <w:highlight w:val="none"/>
        </w:rPr>
      </w:pPr>
    </w:p>
    <w:p>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(盖章)</w:t>
      </w:r>
    </w:p>
    <w:p>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bCs/>
          <w:highlight w:val="none"/>
          <w:u w:val="single"/>
        </w:rPr>
        <w:t xml:space="preserve">                </w:t>
      </w:r>
    </w:p>
    <w:p>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  话：</w:t>
      </w:r>
      <w:r>
        <w:rPr>
          <w:rFonts w:hint="eastAsia" w:asciiTheme="minorEastAsia" w:hAnsiTheme="minorEastAsia" w:eastAsiaTheme="minorEastAsia" w:cstheme="minorEastAsia"/>
          <w:bCs/>
          <w:highlight w:val="none"/>
          <w:u w:val="single"/>
        </w:rPr>
        <w:t xml:space="preserve">                </w:t>
      </w:r>
    </w:p>
    <w:p>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传  真：</w:t>
      </w:r>
      <w:r>
        <w:rPr>
          <w:rFonts w:hint="eastAsia" w:asciiTheme="minorEastAsia" w:hAnsiTheme="minorEastAsia" w:eastAsiaTheme="minorEastAsia" w:cstheme="minorEastAsia"/>
          <w:bCs/>
          <w:highlight w:val="none"/>
          <w:u w:val="single"/>
        </w:rPr>
        <w:t xml:space="preserve">                </w:t>
      </w:r>
    </w:p>
    <w:p>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邮  编：</w:t>
      </w:r>
      <w:r>
        <w:rPr>
          <w:rFonts w:hint="eastAsia" w:asciiTheme="minorEastAsia" w:hAnsiTheme="minorEastAsia" w:eastAsiaTheme="minorEastAsia" w:cstheme="minorEastAsia"/>
          <w:bCs/>
          <w:highlight w:val="none"/>
          <w:u w:val="single"/>
        </w:rPr>
        <w:t xml:space="preserve">                </w:t>
      </w:r>
    </w:p>
    <w:p>
      <w:pPr>
        <w:pStyle w:val="42"/>
        <w:spacing w:line="520" w:lineRule="exact"/>
        <w:ind w:firstLine="480" w:firstLineChars="200"/>
        <w:rPr>
          <w:highlight w:val="none"/>
        </w:rPr>
      </w:pPr>
      <w:r>
        <w:rPr>
          <w:rFonts w:hint="eastAsia"/>
          <w:highlight w:val="none"/>
        </w:rPr>
        <w:t>法定代表人/单位负责人或授权代表：</w:t>
      </w:r>
      <w:r>
        <w:rPr>
          <w:rFonts w:hint="eastAsia" w:asciiTheme="minorEastAsia" w:hAnsiTheme="minorEastAsia" w:eastAsiaTheme="minorEastAsia" w:cstheme="minorEastAsia"/>
          <w:bCs/>
          <w:highlight w:val="none"/>
          <w:u w:val="single"/>
        </w:rPr>
        <w:t xml:space="preserve">               </w:t>
      </w:r>
      <w:r>
        <w:rPr>
          <w:rFonts w:hint="eastAsia"/>
          <w:highlight w:val="none"/>
        </w:rPr>
        <w:t>(签字或盖章)</w:t>
      </w:r>
    </w:p>
    <w:p>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承诺日期：</w:t>
      </w:r>
      <w:r>
        <w:rPr>
          <w:rFonts w:hint="eastAsia" w:asciiTheme="minorEastAsia" w:hAnsiTheme="minorEastAsia" w:eastAsiaTheme="minorEastAsia" w:cstheme="minorEastAsia"/>
          <w:bCs/>
          <w:highlight w:val="none"/>
          <w:u w:val="single"/>
        </w:rPr>
        <w:t xml:space="preserve">                </w:t>
      </w:r>
    </w:p>
    <w:p>
      <w:pPr>
        <w:pStyle w:val="42"/>
        <w:rPr>
          <w:highlight w:val="none"/>
        </w:rPr>
      </w:pPr>
      <w:r>
        <w:rPr>
          <w:rFonts w:hint="eastAsia"/>
          <w:highlight w:val="none"/>
        </w:rPr>
        <w:t xml:space="preserve">                </w:t>
      </w:r>
    </w:p>
    <w:p>
      <w:pPr>
        <w:pStyle w:val="42"/>
        <w:rPr>
          <w:highlight w:val="none"/>
        </w:rPr>
      </w:pPr>
    </w:p>
    <w:p>
      <w:pPr>
        <w:pStyle w:val="42"/>
        <w:rPr>
          <w:highlight w:val="none"/>
        </w:rPr>
      </w:pPr>
      <w:r>
        <w:rPr>
          <w:rFonts w:hint="eastAsia"/>
          <w:highlight w:val="none"/>
        </w:rPr>
        <w:br w:type="page"/>
      </w:r>
    </w:p>
    <w:bookmarkEnd w:id="1205"/>
    <w:bookmarkEnd w:id="1206"/>
    <w:p>
      <w:pPr>
        <w:pStyle w:val="48"/>
        <w:numPr>
          <w:ilvl w:val="0"/>
          <w:numId w:val="11"/>
        </w:numPr>
        <w:spacing w:before="120" w:after="120"/>
        <w:rPr>
          <w:w w:val="95"/>
          <w:highlight w:val="none"/>
        </w:rPr>
      </w:pPr>
      <w:bookmarkStart w:id="1214" w:name="_Toc3144"/>
      <w:bookmarkStart w:id="1215" w:name="_Toc12315"/>
      <w:bookmarkStart w:id="1216" w:name="_Toc22500"/>
      <w:bookmarkStart w:id="1217" w:name="_Toc17786"/>
      <w:bookmarkStart w:id="1218" w:name="_Toc20601"/>
      <w:bookmarkStart w:id="1219" w:name="_Toc23987"/>
      <w:bookmarkStart w:id="1220" w:name="_Toc1941"/>
      <w:bookmarkStart w:id="1221" w:name="_Toc10576"/>
      <w:bookmarkStart w:id="1222" w:name="_Toc24042"/>
      <w:bookmarkStart w:id="1223" w:name="_Toc8502"/>
      <w:r>
        <w:rPr>
          <w:rFonts w:hint="eastAsia"/>
          <w:w w:val="95"/>
          <w:highlight w:val="none"/>
        </w:rPr>
        <w:t>投标人和投标产品的资格、资质性</w:t>
      </w:r>
      <w:bookmarkStart w:id="1224" w:name="_Toc21759"/>
      <w:bookmarkStart w:id="1225" w:name="_Toc327196317"/>
      <w:bookmarkStart w:id="1226" w:name="_Toc319439931"/>
      <w:bookmarkStart w:id="1227" w:name="_Toc307564882"/>
      <w:bookmarkStart w:id="1228" w:name="_Toc307501136"/>
      <w:bookmarkStart w:id="1229" w:name="_Toc17884"/>
      <w:r>
        <w:rPr>
          <w:rFonts w:hint="eastAsia"/>
          <w:w w:val="95"/>
          <w:highlight w:val="none"/>
        </w:rPr>
        <w:t>及其他类似效力要求</w:t>
      </w:r>
      <w:bookmarkEnd w:id="1214"/>
      <w:bookmarkEnd w:id="1215"/>
      <w:bookmarkEnd w:id="1216"/>
      <w:bookmarkEnd w:id="1217"/>
      <w:bookmarkEnd w:id="1218"/>
      <w:bookmarkEnd w:id="1219"/>
      <w:bookmarkEnd w:id="1220"/>
      <w:bookmarkEnd w:id="1224"/>
      <w:bookmarkEnd w:id="1225"/>
      <w:bookmarkEnd w:id="1226"/>
      <w:bookmarkEnd w:id="1227"/>
      <w:bookmarkEnd w:id="1228"/>
      <w:bookmarkEnd w:id="1229"/>
    </w:p>
    <w:bookmarkEnd w:id="1221"/>
    <w:bookmarkEnd w:id="1222"/>
    <w:bookmarkEnd w:id="1223"/>
    <w:p>
      <w:pPr>
        <w:pStyle w:val="34"/>
        <w:numPr>
          <w:ilvl w:val="1"/>
          <w:numId w:val="11"/>
        </w:numPr>
        <w:ind w:firstLine="482"/>
        <w:rPr>
          <w:highlight w:val="none"/>
          <w:lang w:val="zh-CN"/>
        </w:rPr>
      </w:pPr>
      <w:bookmarkStart w:id="1230" w:name="_Toc26214"/>
      <w:bookmarkStart w:id="1231" w:name="_Toc30456"/>
      <w:bookmarkStart w:id="1232" w:name="_Toc32508"/>
      <w:bookmarkStart w:id="1233" w:name="_Toc23786"/>
      <w:bookmarkStart w:id="1234" w:name="_Toc29000"/>
      <w:bookmarkStart w:id="1235" w:name="_Toc4824"/>
      <w:bookmarkStart w:id="1236" w:name="_Toc18335"/>
      <w:bookmarkStart w:id="1237" w:name="_Toc14656"/>
      <w:bookmarkStart w:id="1238" w:name="_Toc5268"/>
      <w:r>
        <w:rPr>
          <w:rFonts w:hint="eastAsia"/>
          <w:highlight w:val="none"/>
        </w:rPr>
        <w:t>投标人资格、资质性及其他类似效力要求</w:t>
      </w:r>
      <w:bookmarkEnd w:id="1230"/>
      <w:bookmarkEnd w:id="1231"/>
      <w:bookmarkEnd w:id="1232"/>
      <w:bookmarkEnd w:id="1233"/>
      <w:bookmarkEnd w:id="1234"/>
    </w:p>
    <w:p>
      <w:pPr>
        <w:pStyle w:val="42"/>
        <w:spacing w:line="460" w:lineRule="exact"/>
        <w:ind w:firstLine="480" w:firstLineChars="200"/>
        <w:rPr>
          <w:rFonts w:hint="eastAsia" w:cs="宋体"/>
          <w:highlight w:val="none"/>
          <w:lang w:val="zh-CN"/>
        </w:rPr>
      </w:pPr>
      <w:r>
        <w:rPr>
          <w:rFonts w:hint="eastAsia" w:cs="宋体"/>
          <w:highlight w:val="none"/>
        </w:rPr>
        <w:t>(一)</w:t>
      </w:r>
      <w:r>
        <w:rPr>
          <w:rFonts w:hint="eastAsia" w:cs="宋体"/>
          <w:highlight w:val="none"/>
          <w:lang w:val="zh-CN"/>
        </w:rPr>
        <w:t>符合《中华人民共和国政府采购法》第二十二条规定的条件：</w:t>
      </w:r>
    </w:p>
    <w:p>
      <w:pPr>
        <w:pStyle w:val="42"/>
        <w:spacing w:line="460" w:lineRule="exact"/>
        <w:ind w:firstLine="480" w:firstLineChars="200"/>
        <w:rPr>
          <w:rFonts w:hint="eastAsia" w:cs="宋体"/>
          <w:highlight w:val="none"/>
        </w:rPr>
      </w:pPr>
      <w:r>
        <w:rPr>
          <w:rFonts w:hint="eastAsia" w:cs="宋体"/>
          <w:highlight w:val="none"/>
        </w:rPr>
        <w:t>1.具有独立承担</w:t>
      </w:r>
      <w:r>
        <w:rPr>
          <w:rFonts w:hint="eastAsia" w:cs="宋体"/>
          <w:highlight w:val="none"/>
        </w:rPr>
        <w:fldChar w:fldCharType="begin"/>
      </w:r>
      <w:r>
        <w:rPr>
          <w:rFonts w:hint="eastAsia" w:cs="宋体"/>
          <w:highlight w:val="none"/>
        </w:rPr>
        <w:instrText xml:space="preserve"> HYPERLINK "http://www.lawtime.cn/info/minfa/mszeren/" \t "_blank" </w:instrText>
      </w:r>
      <w:r>
        <w:rPr>
          <w:rFonts w:hint="eastAsia" w:cs="宋体"/>
          <w:highlight w:val="none"/>
        </w:rPr>
        <w:fldChar w:fldCharType="separate"/>
      </w:r>
      <w:r>
        <w:rPr>
          <w:rFonts w:hint="eastAsia" w:cs="宋体"/>
          <w:highlight w:val="none"/>
        </w:rPr>
        <w:t>民事责任</w:t>
      </w:r>
      <w:r>
        <w:rPr>
          <w:rFonts w:hint="eastAsia" w:cs="宋体"/>
          <w:highlight w:val="none"/>
        </w:rPr>
        <w:fldChar w:fldCharType="end"/>
      </w:r>
      <w:r>
        <w:rPr>
          <w:rFonts w:hint="eastAsia" w:cs="宋体"/>
          <w:highlight w:val="none"/>
        </w:rPr>
        <w:t>的能力；</w:t>
      </w:r>
    </w:p>
    <w:p>
      <w:pPr>
        <w:pStyle w:val="42"/>
        <w:spacing w:line="460" w:lineRule="exact"/>
        <w:ind w:firstLine="480" w:firstLineChars="200"/>
        <w:rPr>
          <w:rFonts w:hint="eastAsia" w:cs="宋体"/>
          <w:highlight w:val="none"/>
        </w:rPr>
      </w:pPr>
      <w:r>
        <w:rPr>
          <w:rFonts w:hint="eastAsia" w:cs="宋体"/>
          <w:highlight w:val="none"/>
        </w:rPr>
        <w:t>2.具有良好的商业信誉和健全的财务会计制度；</w:t>
      </w:r>
    </w:p>
    <w:p>
      <w:pPr>
        <w:pStyle w:val="42"/>
        <w:spacing w:line="460" w:lineRule="exact"/>
        <w:ind w:firstLine="480" w:firstLineChars="200"/>
        <w:rPr>
          <w:rFonts w:hint="eastAsia" w:cs="宋体"/>
          <w:highlight w:val="none"/>
        </w:rPr>
      </w:pPr>
      <w:r>
        <w:rPr>
          <w:rFonts w:hint="eastAsia" w:cs="宋体"/>
          <w:highlight w:val="none"/>
        </w:rPr>
        <w:t>3.具有履行合同所必需的设备和专业技术能力；</w:t>
      </w:r>
    </w:p>
    <w:p>
      <w:pPr>
        <w:pStyle w:val="42"/>
        <w:spacing w:line="460" w:lineRule="exact"/>
        <w:ind w:firstLine="480" w:firstLineChars="200"/>
        <w:rPr>
          <w:rFonts w:hint="eastAsia" w:cs="宋体"/>
          <w:highlight w:val="none"/>
        </w:rPr>
      </w:pPr>
      <w:r>
        <w:rPr>
          <w:rFonts w:hint="eastAsia" w:cs="宋体"/>
          <w:highlight w:val="none"/>
        </w:rPr>
        <w:t>4.有依法缴纳税收和</w:t>
      </w:r>
      <w:r>
        <w:rPr>
          <w:rFonts w:hint="eastAsia" w:cs="宋体"/>
          <w:highlight w:val="none"/>
        </w:rPr>
        <w:fldChar w:fldCharType="begin"/>
      </w:r>
      <w:r>
        <w:rPr>
          <w:rFonts w:hint="eastAsia" w:cs="宋体"/>
          <w:highlight w:val="none"/>
        </w:rPr>
        <w:instrText xml:space="preserve"> HYPERLINK "http://www.lawtime.cn/info/laodong/shehuibaozhang/" \t "_blank" </w:instrText>
      </w:r>
      <w:r>
        <w:rPr>
          <w:rFonts w:hint="eastAsia" w:cs="宋体"/>
          <w:highlight w:val="none"/>
        </w:rPr>
        <w:fldChar w:fldCharType="separate"/>
      </w:r>
      <w:r>
        <w:rPr>
          <w:rFonts w:hint="eastAsia" w:cs="宋体"/>
          <w:highlight w:val="none"/>
        </w:rPr>
        <w:t>社会保障</w:t>
      </w:r>
      <w:r>
        <w:rPr>
          <w:rFonts w:hint="eastAsia" w:cs="宋体"/>
          <w:highlight w:val="none"/>
        </w:rPr>
        <w:fldChar w:fldCharType="end"/>
      </w:r>
      <w:r>
        <w:rPr>
          <w:rFonts w:hint="eastAsia" w:cs="宋体"/>
          <w:highlight w:val="none"/>
        </w:rPr>
        <w:t>资金的良好记录；</w:t>
      </w:r>
    </w:p>
    <w:p>
      <w:pPr>
        <w:pStyle w:val="42"/>
        <w:spacing w:line="460" w:lineRule="exact"/>
        <w:ind w:firstLine="480" w:firstLineChars="200"/>
        <w:rPr>
          <w:rFonts w:hint="eastAsia" w:cs="宋体"/>
          <w:highlight w:val="none"/>
        </w:rPr>
      </w:pPr>
      <w:r>
        <w:rPr>
          <w:rFonts w:hint="eastAsia" w:cs="宋体"/>
          <w:highlight w:val="none"/>
        </w:rPr>
        <w:t>5.参加政府采购活动前三年内，在经营活动中没有重大违法记录；</w:t>
      </w:r>
    </w:p>
    <w:p>
      <w:pPr>
        <w:pStyle w:val="42"/>
        <w:spacing w:line="460" w:lineRule="exact"/>
        <w:ind w:firstLine="480" w:firstLineChars="200"/>
        <w:rPr>
          <w:rFonts w:hint="eastAsia" w:cs="宋体"/>
          <w:highlight w:val="none"/>
        </w:rPr>
      </w:pPr>
      <w:r>
        <w:rPr>
          <w:rFonts w:hint="eastAsia" w:cs="宋体"/>
          <w:highlight w:val="none"/>
        </w:rPr>
        <w:t>6.法律、</w:t>
      </w:r>
      <w:r>
        <w:rPr>
          <w:rFonts w:hint="eastAsia" w:cs="宋体"/>
          <w:highlight w:val="none"/>
        </w:rPr>
        <w:fldChar w:fldCharType="begin"/>
      </w:r>
      <w:r>
        <w:rPr>
          <w:rFonts w:hint="eastAsia" w:cs="宋体"/>
          <w:highlight w:val="none"/>
        </w:rPr>
        <w:instrText xml:space="preserve"> HYPERLINK "http://www.lawtime.cn/info/sifakaoshi/xingzhengfa/" \t "_blank" </w:instrText>
      </w:r>
      <w:r>
        <w:rPr>
          <w:rFonts w:hint="eastAsia" w:cs="宋体"/>
          <w:highlight w:val="none"/>
        </w:rPr>
        <w:fldChar w:fldCharType="separate"/>
      </w:r>
      <w:r>
        <w:rPr>
          <w:rFonts w:hint="eastAsia" w:cs="宋体"/>
          <w:highlight w:val="none"/>
        </w:rPr>
        <w:t>行政法</w:t>
      </w:r>
      <w:r>
        <w:rPr>
          <w:rFonts w:hint="eastAsia" w:cs="宋体"/>
          <w:highlight w:val="none"/>
        </w:rPr>
        <w:fldChar w:fldCharType="end"/>
      </w:r>
      <w:r>
        <w:rPr>
          <w:rFonts w:hint="eastAsia" w:cs="宋体"/>
          <w:highlight w:val="none"/>
        </w:rPr>
        <w:t>规规定的其他条件；</w:t>
      </w:r>
    </w:p>
    <w:p>
      <w:pPr>
        <w:pStyle w:val="42"/>
        <w:spacing w:line="460" w:lineRule="exact"/>
        <w:ind w:firstLine="480" w:firstLineChars="200"/>
        <w:rPr>
          <w:rFonts w:hint="eastAsia" w:cs="宋体"/>
          <w:highlight w:val="none"/>
          <w:lang w:val="zh-CN"/>
        </w:rPr>
      </w:pPr>
      <w:r>
        <w:rPr>
          <w:rFonts w:hint="eastAsia" w:cs="宋体"/>
          <w:highlight w:val="none"/>
        </w:rPr>
        <w:t>(二)根据采购项目的特殊要求，规定供应商的特定条件</w:t>
      </w:r>
      <w:r>
        <w:rPr>
          <w:rFonts w:hint="eastAsia" w:cs="宋体"/>
          <w:highlight w:val="none"/>
          <w:lang w:val="zh-CN"/>
        </w:rPr>
        <w:t>：</w:t>
      </w:r>
    </w:p>
    <w:p>
      <w:pPr>
        <w:pStyle w:val="42"/>
        <w:spacing w:line="460" w:lineRule="exact"/>
        <w:ind w:firstLine="480" w:firstLineChars="200"/>
        <w:rPr>
          <w:rFonts w:hint="eastAsia" w:cs="宋体"/>
          <w:highlight w:val="none"/>
          <w:lang w:val="en-US" w:eastAsia="zh-CN"/>
        </w:rPr>
      </w:pPr>
      <w:r>
        <w:rPr>
          <w:rFonts w:hint="eastAsia" w:cs="宋体"/>
          <w:highlight w:val="none"/>
        </w:rPr>
        <w:t>1</w:t>
      </w:r>
      <w:r>
        <w:rPr>
          <w:rFonts w:hint="eastAsia" w:cs="宋体"/>
          <w:highlight w:val="none"/>
          <w:lang w:val="en-US" w:eastAsia="zh-CN"/>
        </w:rPr>
        <w:t>.投标人具有国家保密局颁发的《国家秘密载体印制资质》（涉密档案数字化加工）乙级或以上资质证书，适用地域包含“四川省”；省外资质投标人须持有四川省国家保密局的备案批准文件。</w:t>
      </w:r>
    </w:p>
    <w:p>
      <w:pPr>
        <w:pStyle w:val="42"/>
        <w:spacing w:line="460" w:lineRule="exact"/>
        <w:ind w:firstLine="480" w:firstLineChars="200"/>
        <w:rPr>
          <w:highlight w:val="none"/>
          <w:lang w:val="zh-CN"/>
        </w:rPr>
      </w:pPr>
      <w:r>
        <w:rPr>
          <w:rFonts w:hint="eastAsia" w:cs="宋体"/>
          <w:highlight w:val="none"/>
          <w:lang w:val="en-US" w:eastAsia="zh-CN"/>
        </w:rPr>
        <w:t>2</w:t>
      </w:r>
      <w:r>
        <w:rPr>
          <w:rFonts w:hint="eastAsia" w:cs="宋体"/>
          <w:highlight w:val="none"/>
        </w:rPr>
        <w:t>.本项目</w:t>
      </w:r>
      <w:r>
        <w:rPr>
          <w:rFonts w:hint="eastAsia" w:cs="宋体"/>
          <w:highlight w:val="none"/>
          <w:lang w:val="en-US" w:eastAsia="zh-CN"/>
        </w:rPr>
        <w:t>不</w:t>
      </w:r>
      <w:r>
        <w:rPr>
          <w:rFonts w:hint="eastAsia" w:cs="宋体"/>
          <w:highlight w:val="none"/>
        </w:rPr>
        <w:t>接受联合体投标。</w:t>
      </w:r>
    </w:p>
    <w:p>
      <w:pPr>
        <w:pStyle w:val="34"/>
        <w:numPr>
          <w:ilvl w:val="1"/>
          <w:numId w:val="11"/>
        </w:numPr>
        <w:ind w:firstLine="482"/>
        <w:rPr>
          <w:highlight w:val="none"/>
        </w:rPr>
      </w:pPr>
      <w:bookmarkStart w:id="1239" w:name="_Toc22429"/>
      <w:bookmarkStart w:id="1240" w:name="_Toc31228"/>
      <w:bookmarkStart w:id="1241" w:name="_Toc31597"/>
      <w:bookmarkStart w:id="1242" w:name="_Toc28426"/>
      <w:r>
        <w:rPr>
          <w:rFonts w:hint="eastAsia"/>
          <w:highlight w:val="none"/>
        </w:rPr>
        <w:t>投标产品的资格、资质性及其他类似效力要求</w:t>
      </w:r>
      <w:bookmarkEnd w:id="1235"/>
      <w:bookmarkEnd w:id="1236"/>
      <w:bookmarkEnd w:id="1237"/>
      <w:bookmarkEnd w:id="1238"/>
      <w:bookmarkEnd w:id="1239"/>
      <w:bookmarkEnd w:id="1240"/>
      <w:bookmarkEnd w:id="1241"/>
      <w:bookmarkEnd w:id="1242"/>
    </w:p>
    <w:p>
      <w:pPr>
        <w:pStyle w:val="46"/>
        <w:rPr>
          <w:highlight w:val="none"/>
        </w:rPr>
      </w:pPr>
      <w:r>
        <w:rPr>
          <w:rFonts w:hint="eastAsia"/>
          <w:highlight w:val="none"/>
        </w:rPr>
        <w:t>无。</w:t>
      </w:r>
    </w:p>
    <w:p>
      <w:pPr>
        <w:pStyle w:val="34"/>
        <w:numPr>
          <w:ilvl w:val="1"/>
          <w:numId w:val="11"/>
        </w:numPr>
        <w:ind w:firstLine="482"/>
        <w:rPr>
          <w:highlight w:val="none"/>
        </w:rPr>
      </w:pPr>
      <w:bookmarkStart w:id="1243" w:name="_Toc4866"/>
      <w:bookmarkStart w:id="1244" w:name="_Toc3740"/>
      <w:bookmarkStart w:id="1245" w:name="_Toc12833"/>
      <w:bookmarkStart w:id="1246" w:name="_Toc20802"/>
      <w:bookmarkStart w:id="1247" w:name="_Toc5452"/>
      <w:r>
        <w:rPr>
          <w:rFonts w:hint="eastAsia"/>
          <w:highlight w:val="none"/>
        </w:rPr>
        <w:t>其他类似效力要求</w:t>
      </w:r>
      <w:bookmarkEnd w:id="1243"/>
      <w:bookmarkEnd w:id="1244"/>
      <w:bookmarkEnd w:id="1245"/>
      <w:bookmarkEnd w:id="1246"/>
      <w:bookmarkEnd w:id="1247"/>
    </w:p>
    <w:p>
      <w:pPr>
        <w:pStyle w:val="32"/>
        <w:numPr>
          <w:ilvl w:val="1"/>
          <w:numId w:val="24"/>
        </w:numPr>
        <w:ind w:firstLine="480"/>
        <w:rPr>
          <w:highlight w:val="none"/>
          <w:lang w:val="zh-CN"/>
        </w:rPr>
      </w:pPr>
      <w:r>
        <w:rPr>
          <w:rFonts w:hint="eastAsia"/>
          <w:highlight w:val="none"/>
          <w:lang w:val="zh-CN"/>
        </w:rPr>
        <w:t>投标供应商单位及其现任法定代表人、主要负责人不得具有行贿犯罪记录；</w:t>
      </w:r>
    </w:p>
    <w:p>
      <w:pPr>
        <w:pStyle w:val="32"/>
        <w:numPr>
          <w:ilvl w:val="1"/>
          <w:numId w:val="24"/>
        </w:numPr>
        <w:ind w:firstLine="480"/>
        <w:rPr>
          <w:highlight w:val="none"/>
        </w:rPr>
      </w:pPr>
      <w:r>
        <w:rPr>
          <w:rFonts w:hint="eastAsia"/>
          <w:highlight w:val="none"/>
          <w:lang w:val="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pStyle w:val="32"/>
        <w:numPr>
          <w:ilvl w:val="1"/>
          <w:numId w:val="24"/>
        </w:numPr>
        <w:ind w:firstLine="480"/>
        <w:rPr>
          <w:highlight w:val="none"/>
          <w:lang w:val="zh-CN"/>
        </w:rPr>
      </w:pPr>
      <w:r>
        <w:rPr>
          <w:rFonts w:hint="eastAsia"/>
          <w:highlight w:val="none"/>
          <w:lang w:val="zh-CN"/>
        </w:rPr>
        <w:t>投标人代表不是法定代表人</w:t>
      </w:r>
      <w:r>
        <w:rPr>
          <w:rFonts w:hint="eastAsia"/>
          <w:highlight w:val="none"/>
        </w:rPr>
        <w:t>/单位负责人</w:t>
      </w:r>
      <w:r>
        <w:rPr>
          <w:rFonts w:hint="eastAsia"/>
          <w:highlight w:val="none"/>
          <w:lang w:val="zh-CN"/>
        </w:rPr>
        <w:t>时提供针对本次投标的法定代表人</w:t>
      </w:r>
      <w:r>
        <w:rPr>
          <w:rFonts w:hint="eastAsia"/>
          <w:highlight w:val="none"/>
        </w:rPr>
        <w:t>/单位负责人</w:t>
      </w:r>
      <w:r>
        <w:rPr>
          <w:rFonts w:hint="eastAsia"/>
          <w:highlight w:val="none"/>
          <w:lang w:val="zh-CN"/>
        </w:rPr>
        <w:t>授权书原件；</w:t>
      </w:r>
    </w:p>
    <w:p>
      <w:pPr>
        <w:pStyle w:val="32"/>
        <w:numPr>
          <w:ilvl w:val="1"/>
          <w:numId w:val="24"/>
        </w:numPr>
        <w:ind w:firstLine="480"/>
        <w:rPr>
          <w:highlight w:val="none"/>
          <w:lang w:val="zh-CN"/>
        </w:rPr>
      </w:pPr>
      <w:r>
        <w:rPr>
          <w:rFonts w:hint="eastAsia"/>
          <w:highlight w:val="none"/>
        </w:rPr>
        <w:t>投标人代表是法定</w:t>
      </w:r>
      <w:r>
        <w:rPr>
          <w:rFonts w:hint="eastAsia"/>
          <w:highlight w:val="none"/>
          <w:lang w:val="zh-CN"/>
        </w:rPr>
        <w:t>代表人</w:t>
      </w:r>
      <w:r>
        <w:rPr>
          <w:rFonts w:hint="eastAsia"/>
          <w:highlight w:val="none"/>
        </w:rPr>
        <w:t>/单位负责人</w:t>
      </w:r>
      <w:r>
        <w:rPr>
          <w:rFonts w:hint="eastAsia"/>
          <w:highlight w:val="none"/>
          <w:lang w:val="zh-CN"/>
        </w:rPr>
        <w:t>时，</w:t>
      </w:r>
      <w:r>
        <w:rPr>
          <w:rFonts w:hint="eastAsia"/>
          <w:highlight w:val="none"/>
        </w:rPr>
        <w:t>提供法定代表人/单位负责人证明书原件。</w:t>
      </w:r>
    </w:p>
    <w:p>
      <w:pPr>
        <w:pStyle w:val="46"/>
        <w:ind w:firstLine="482"/>
        <w:rPr>
          <w:b/>
          <w:bCs/>
          <w:highlight w:val="none"/>
        </w:rPr>
      </w:pPr>
      <w:bookmarkStart w:id="1248" w:name="_Toc24888"/>
      <w:r>
        <w:rPr>
          <w:rFonts w:hint="eastAsia"/>
          <w:b/>
          <w:bCs/>
          <w:highlight w:val="none"/>
        </w:rPr>
        <w:t>注：供应商在前三年政府采购合同履约过程中及其他经营活动履约过程中未依法履约被有关部门处理的，本项目不认定其具有良好的商业信誉。若虚假响应，取消中标资格。</w:t>
      </w:r>
    </w:p>
    <w:p>
      <w:pPr>
        <w:pStyle w:val="46"/>
        <w:ind w:firstLine="482"/>
        <w:rPr>
          <w:b/>
          <w:bCs/>
          <w:highlight w:val="none"/>
        </w:rPr>
      </w:pPr>
      <w:r>
        <w:rPr>
          <w:rFonts w:hint="eastAsia"/>
          <w:b/>
          <w:bCs/>
          <w:highlight w:val="none"/>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7"/>
        <w:ind w:firstLine="482"/>
        <w:rPr>
          <w:highlight w:val="none"/>
        </w:rPr>
      </w:pPr>
      <w:r>
        <w:rPr>
          <w:rFonts w:hint="eastAsia"/>
          <w:highlight w:val="none"/>
        </w:rPr>
        <w:t>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47"/>
        <w:ind w:firstLine="482"/>
        <w:rPr>
          <w:highlight w:val="none"/>
        </w:rPr>
      </w:pPr>
    </w:p>
    <w:p>
      <w:pPr>
        <w:pStyle w:val="48"/>
        <w:numPr>
          <w:ilvl w:val="0"/>
          <w:numId w:val="11"/>
        </w:numPr>
        <w:spacing w:before="120" w:after="120"/>
        <w:rPr>
          <w:highlight w:val="none"/>
        </w:rPr>
      </w:pPr>
      <w:r>
        <w:rPr>
          <w:rFonts w:hint="eastAsia"/>
          <w:highlight w:val="none"/>
        </w:rPr>
        <w:br w:type="page"/>
      </w:r>
      <w:bookmarkEnd w:id="1248"/>
      <w:bookmarkStart w:id="1249" w:name="_Toc18196"/>
      <w:bookmarkStart w:id="1250" w:name="_Toc22998"/>
      <w:bookmarkStart w:id="1251" w:name="_Toc3061"/>
      <w:bookmarkStart w:id="1252" w:name="_Toc12053"/>
      <w:bookmarkStart w:id="1253" w:name="_Toc6347"/>
      <w:bookmarkStart w:id="1254" w:name="_Toc21481"/>
      <w:r>
        <w:rPr>
          <w:rFonts w:hint="eastAsia"/>
          <w:highlight w:val="none"/>
        </w:rPr>
        <w:t>资格性审查</w:t>
      </w:r>
      <w:bookmarkEnd w:id="1249"/>
      <w:r>
        <w:rPr>
          <w:rFonts w:hint="eastAsia"/>
          <w:highlight w:val="none"/>
        </w:rPr>
        <w:t>内容</w:t>
      </w:r>
      <w:bookmarkEnd w:id="1250"/>
      <w:bookmarkEnd w:id="1251"/>
      <w:bookmarkEnd w:id="1252"/>
      <w:bookmarkEnd w:id="1253"/>
      <w:bookmarkEnd w:id="1254"/>
    </w:p>
    <w:p>
      <w:pPr>
        <w:pStyle w:val="34"/>
        <w:numPr>
          <w:ilvl w:val="1"/>
          <w:numId w:val="11"/>
        </w:numPr>
        <w:ind w:firstLine="482"/>
        <w:rPr>
          <w:highlight w:val="none"/>
        </w:rPr>
      </w:pPr>
      <w:bookmarkStart w:id="1255" w:name="_Toc30344"/>
      <w:bookmarkStart w:id="1256" w:name="_Toc17825"/>
      <w:bookmarkStart w:id="1257" w:name="_Toc15996"/>
      <w:bookmarkStart w:id="1258" w:name="_Toc29702"/>
      <w:bookmarkStart w:id="1259" w:name="_Toc17621"/>
      <w:bookmarkStart w:id="1260" w:name="_Toc28265"/>
      <w:bookmarkStart w:id="1261" w:name="_Toc3107"/>
      <w:bookmarkStart w:id="1262" w:name="_Toc23731"/>
      <w:bookmarkStart w:id="1263" w:name="_Toc17175"/>
      <w:bookmarkStart w:id="1264" w:name="_Toc20678"/>
      <w:bookmarkStart w:id="1265" w:name="_Toc10631"/>
      <w:bookmarkStart w:id="1266" w:name="_Toc141"/>
      <w:bookmarkStart w:id="1267" w:name="_Toc32482"/>
      <w:r>
        <w:rPr>
          <w:rFonts w:hint="eastAsia"/>
          <w:highlight w:val="none"/>
        </w:rPr>
        <w:t>应当提供的投标人及投标产品资格、资质性及其他类似效力要求的相关证明材料</w:t>
      </w:r>
      <w:bookmarkEnd w:id="1255"/>
      <w:bookmarkEnd w:id="1256"/>
      <w:bookmarkEnd w:id="1257"/>
      <w:bookmarkEnd w:id="1258"/>
      <w:bookmarkEnd w:id="1259"/>
      <w:bookmarkEnd w:id="1260"/>
      <w:bookmarkEnd w:id="1261"/>
      <w:bookmarkEnd w:id="1262"/>
      <w:bookmarkEnd w:id="1263"/>
    </w:p>
    <w:p>
      <w:pPr>
        <w:pStyle w:val="32"/>
        <w:numPr>
          <w:ilvl w:val="1"/>
          <w:numId w:val="25"/>
        </w:numPr>
        <w:ind w:firstLine="482"/>
        <w:rPr>
          <w:b/>
          <w:bCs/>
          <w:highlight w:val="none"/>
        </w:rPr>
      </w:pPr>
      <w:r>
        <w:rPr>
          <w:rFonts w:hint="eastAsia"/>
          <w:b/>
          <w:bCs/>
          <w:highlight w:val="none"/>
        </w:rPr>
        <w:t>投标人具有独立承担民事责任的能力的证明材料；</w:t>
      </w:r>
    </w:p>
    <w:p>
      <w:pPr>
        <w:pStyle w:val="46"/>
        <w:rPr>
          <w:highlight w:val="none"/>
        </w:rPr>
      </w:pPr>
      <w:r>
        <w:rPr>
          <w:rFonts w:hint="eastAsia"/>
          <w:highlight w:val="none"/>
        </w:rPr>
        <w:t>1.投标人若为企业法人：提供“营业执照”；未换证的提供“营业执照、税务登记证、组织机构代码证”；2.若为事业法人：提供“统一社会信用代码法人登记证书”；未换证的提交“事业法人登记证书、组织机构代码证”；3.若为其他组织：提供“对应主管部门颁发的准许执业证明文件或营业执照”；4.若为自然人：提供“身份证明材料”；</w:t>
      </w:r>
    </w:p>
    <w:p>
      <w:pPr>
        <w:pStyle w:val="47"/>
        <w:ind w:firstLine="482"/>
        <w:rPr>
          <w:highlight w:val="none"/>
        </w:rPr>
      </w:pPr>
      <w:r>
        <w:rPr>
          <w:rFonts w:hint="eastAsia"/>
          <w:highlight w:val="none"/>
        </w:rPr>
        <w:t>注：1.以上证明材料应满足此条要求①发证机关有年检要求的，应按规定通过年检；②在有效期内；③复印件加盖投标人公章；</w:t>
      </w:r>
    </w:p>
    <w:p>
      <w:pPr>
        <w:pStyle w:val="47"/>
        <w:ind w:firstLine="482"/>
        <w:rPr>
          <w:highlight w:val="none"/>
        </w:rPr>
      </w:pPr>
      <w:r>
        <w:rPr>
          <w:rFonts w:hint="eastAsia"/>
          <w:highlight w:val="none"/>
        </w:rPr>
        <w:t>2.投标人若已更换为三证合一的则提供营业执照副本复印件，事业单位提供事业单位法人证书，其他组织提供</w:t>
      </w:r>
      <w:r>
        <w:rPr>
          <w:rFonts w:hint="eastAsia"/>
          <w:highlight w:val="none"/>
          <w:lang w:val="en-US" w:eastAsia="zh-CN"/>
        </w:rPr>
        <w:t>执业许可证或</w:t>
      </w:r>
      <w:r>
        <w:rPr>
          <w:rFonts w:hint="eastAsia"/>
          <w:highlight w:val="none"/>
        </w:rPr>
        <w:t>营业执照等证明文件，自然人提供身份证明均具备此条同等效力；</w:t>
      </w:r>
    </w:p>
    <w:p>
      <w:pPr>
        <w:pStyle w:val="47"/>
        <w:ind w:firstLine="482"/>
        <w:rPr>
          <w:highlight w:val="none"/>
        </w:rPr>
      </w:pPr>
      <w:r>
        <w:rPr>
          <w:rFonts w:hint="eastAsia"/>
          <w:highlight w:val="none"/>
        </w:rPr>
        <w:t>3.</w:t>
      </w:r>
      <w:r>
        <w:rPr>
          <w:highlight w:val="none"/>
        </w:rPr>
        <w:t>根据国务院办公厅关于加快推进“多证合一”改革的指导意见</w:t>
      </w:r>
      <w:r>
        <w:rPr>
          <w:rFonts w:hint="eastAsia"/>
          <w:highlight w:val="none"/>
        </w:rPr>
        <w:t>(</w:t>
      </w:r>
      <w:r>
        <w:rPr>
          <w:highlight w:val="none"/>
        </w:rPr>
        <w:t>国办发</w:t>
      </w:r>
      <w:r>
        <w:rPr>
          <w:rFonts w:hint="eastAsia"/>
          <w:highlight w:val="none"/>
        </w:rPr>
        <w:t>〔</w:t>
      </w:r>
      <w:r>
        <w:rPr>
          <w:highlight w:val="none"/>
        </w:rPr>
        <w:t>2017</w:t>
      </w:r>
      <w:r>
        <w:rPr>
          <w:rFonts w:hint="eastAsia"/>
          <w:highlight w:val="none"/>
        </w:rPr>
        <w:t>〕</w:t>
      </w:r>
      <w:r>
        <w:rPr>
          <w:highlight w:val="none"/>
        </w:rPr>
        <w:t>41号</w:t>
      </w:r>
      <w:r>
        <w:rPr>
          <w:rFonts w:hint="eastAsia"/>
          <w:highlight w:val="none"/>
        </w:rPr>
        <w:t>)</w:t>
      </w:r>
      <w:r>
        <w:rPr>
          <w:highlight w:val="none"/>
        </w:rPr>
        <w:t>等政策要求，若资格要求涉及的登记、备案等有关事项和各类证照已实行多证合一的，，</w:t>
      </w:r>
      <w:r>
        <w:rPr>
          <w:rFonts w:hint="eastAsia"/>
          <w:highlight w:val="none"/>
          <w:lang w:val="en-US" w:eastAsia="zh-CN"/>
        </w:rPr>
        <w:t>提供多证合一证照副本复印件</w:t>
      </w:r>
      <w:r>
        <w:rPr>
          <w:highlight w:val="none"/>
        </w:rPr>
        <w:t>。</w:t>
      </w:r>
    </w:p>
    <w:p>
      <w:pPr>
        <w:pStyle w:val="32"/>
        <w:numPr>
          <w:ilvl w:val="1"/>
          <w:numId w:val="25"/>
        </w:numPr>
        <w:ind w:firstLine="482"/>
        <w:rPr>
          <w:b/>
          <w:bCs/>
          <w:highlight w:val="none"/>
        </w:rPr>
      </w:pPr>
      <w:r>
        <w:rPr>
          <w:rFonts w:hint="eastAsia"/>
          <w:b/>
          <w:bCs/>
          <w:highlight w:val="none"/>
        </w:rPr>
        <w:t>投标人具有良好的商业信誉和健全的财务会计制度的证明材料；</w:t>
      </w:r>
    </w:p>
    <w:p>
      <w:pPr>
        <w:pStyle w:val="46"/>
        <w:rPr>
          <w:highlight w:val="none"/>
        </w:rPr>
      </w:pPr>
      <w:r>
        <w:rPr>
          <w:rFonts w:hint="eastAsia"/>
          <w:highlight w:val="none"/>
        </w:rPr>
        <w:t>1.投标人具有良好商业信誉的证明材料；</w:t>
      </w:r>
    </w:p>
    <w:p>
      <w:pPr>
        <w:pStyle w:val="46"/>
        <w:rPr>
          <w:highlight w:val="none"/>
        </w:rPr>
      </w:pPr>
      <w:r>
        <w:rPr>
          <w:rFonts w:hint="eastAsia"/>
          <w:highlight w:val="none"/>
        </w:rPr>
        <w:t>提供具有良好的商业信誉的承诺函；</w:t>
      </w:r>
    </w:p>
    <w:p>
      <w:pPr>
        <w:pStyle w:val="46"/>
        <w:ind w:firstLine="482"/>
        <w:rPr>
          <w:b/>
          <w:bCs/>
          <w:highlight w:val="none"/>
        </w:rPr>
      </w:pPr>
      <w:r>
        <w:rPr>
          <w:rFonts w:hint="eastAsia"/>
          <w:b/>
          <w:bCs/>
          <w:highlight w:val="none"/>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6"/>
        <w:rPr>
          <w:highlight w:val="none"/>
        </w:rPr>
      </w:pPr>
      <w:r>
        <w:rPr>
          <w:rFonts w:hint="eastAsia"/>
          <w:highlight w:val="none"/>
        </w:rPr>
        <w:t>2.投标人具有健全的财务会计制度的证明材料；</w:t>
      </w:r>
    </w:p>
    <w:p>
      <w:pPr>
        <w:pStyle w:val="46"/>
        <w:rPr>
          <w:highlight w:val="none"/>
        </w:rPr>
      </w:pPr>
      <w:r>
        <w:rPr>
          <w:rFonts w:hint="eastAsia"/>
          <w:highlight w:val="none"/>
        </w:rPr>
        <w:t>(1)投标人提供20</w:t>
      </w:r>
      <w:r>
        <w:rPr>
          <w:rFonts w:hint="eastAsia"/>
          <w:highlight w:val="none"/>
          <w:lang w:val="en-US" w:eastAsia="zh-CN"/>
        </w:rPr>
        <w:t>20</w:t>
      </w:r>
      <w:r>
        <w:rPr>
          <w:rFonts w:hint="eastAsia"/>
          <w:highlight w:val="none"/>
        </w:rPr>
        <w:t>年度经过会计师事务所审计的财务报告复印件(经审计的有效财务报告应包括报告及报告中所附的完整内容，并由注册会计师签名、盖章以及会计师事务所盖章)；</w:t>
      </w:r>
    </w:p>
    <w:p>
      <w:pPr>
        <w:pStyle w:val="46"/>
        <w:rPr>
          <w:highlight w:val="none"/>
        </w:rPr>
      </w:pPr>
      <w:r>
        <w:rPr>
          <w:rFonts w:hint="eastAsia"/>
          <w:highlight w:val="none"/>
        </w:rPr>
        <w:t>(2)投标人提供20</w:t>
      </w:r>
      <w:r>
        <w:rPr>
          <w:rFonts w:hint="eastAsia"/>
          <w:highlight w:val="none"/>
          <w:lang w:val="en-US" w:eastAsia="zh-CN"/>
        </w:rPr>
        <w:t>20</w:t>
      </w:r>
      <w:r>
        <w:rPr>
          <w:rFonts w:hint="eastAsia"/>
          <w:highlight w:val="none"/>
        </w:rPr>
        <w:t>年度投标人内部的财务报表复印件(至少包含资产负债表)；</w:t>
      </w:r>
    </w:p>
    <w:p>
      <w:pPr>
        <w:pStyle w:val="46"/>
        <w:rPr>
          <w:highlight w:val="none"/>
        </w:rPr>
      </w:pPr>
      <w:r>
        <w:rPr>
          <w:rFonts w:hint="eastAsia"/>
          <w:highlight w:val="none"/>
        </w:rPr>
        <w:t>(3)投标人提供投标文件递交截止日前一年内银行为其出具的资信证明复印件；</w:t>
      </w:r>
    </w:p>
    <w:p>
      <w:pPr>
        <w:pStyle w:val="46"/>
        <w:rPr>
          <w:highlight w:val="none"/>
        </w:rPr>
      </w:pPr>
      <w:r>
        <w:rPr>
          <w:rFonts w:hint="eastAsia"/>
          <w:highlight w:val="none"/>
        </w:rPr>
        <w:t>(4)投标人注册时间截至投标文件递交截止日不足一年的，可提供公司章程复印件；</w:t>
      </w:r>
    </w:p>
    <w:p>
      <w:pPr>
        <w:pStyle w:val="46"/>
        <w:rPr>
          <w:highlight w:val="none"/>
        </w:rPr>
      </w:pPr>
      <w:r>
        <w:rPr>
          <w:rFonts w:hint="eastAsia"/>
          <w:highlight w:val="none"/>
        </w:rPr>
        <w:t>(5)投标人为事业单位或其他组织(不具备法人条件的组织，如合伙组织、个体工商户、农村承包经营户等)或自然人时，可提供承诺函。</w:t>
      </w:r>
    </w:p>
    <w:p>
      <w:pPr>
        <w:pStyle w:val="47"/>
        <w:ind w:firstLine="482"/>
        <w:rPr>
          <w:highlight w:val="none"/>
        </w:rPr>
      </w:pPr>
      <w:r>
        <w:rPr>
          <w:rFonts w:hint="eastAsia"/>
          <w:bCs/>
          <w:highlight w:val="none"/>
        </w:rPr>
        <w:t>注：具有健全的财务会计制度的证明材料中第(1)-(5)项具有同等的投标效力，投标人可根据自身实际情况选择提供其中任意一项。</w:t>
      </w:r>
    </w:p>
    <w:p>
      <w:pPr>
        <w:pStyle w:val="32"/>
        <w:numPr>
          <w:ilvl w:val="1"/>
          <w:numId w:val="25"/>
        </w:numPr>
        <w:ind w:firstLine="482"/>
        <w:rPr>
          <w:b/>
          <w:bCs/>
          <w:highlight w:val="none"/>
        </w:rPr>
      </w:pPr>
      <w:r>
        <w:rPr>
          <w:rFonts w:hint="eastAsia"/>
          <w:b/>
          <w:bCs/>
          <w:highlight w:val="none"/>
        </w:rPr>
        <w:t>投标人具有履行合同所必需的设备和专业技术能力证明材料；</w:t>
      </w:r>
    </w:p>
    <w:p>
      <w:pPr>
        <w:pStyle w:val="46"/>
        <w:rPr>
          <w:highlight w:val="none"/>
        </w:rPr>
      </w:pPr>
      <w:r>
        <w:rPr>
          <w:rFonts w:hint="eastAsia"/>
          <w:highlight w:val="none"/>
        </w:rPr>
        <w:t>提供具有履行合同所必需的设备和专业技术能力的承诺函；</w:t>
      </w:r>
    </w:p>
    <w:p>
      <w:pPr>
        <w:pStyle w:val="47"/>
        <w:ind w:firstLine="482"/>
        <w:rPr>
          <w:highlight w:val="none"/>
        </w:rPr>
      </w:pPr>
      <w:r>
        <w:rPr>
          <w:rFonts w:hint="eastAsia"/>
          <w:highlight w:val="none"/>
        </w:rPr>
        <w:t>注：格式自拟，或参照《符合&lt;中华人民共和国政府采购法&gt;第二十二条规定的条件的承诺及声明函》的格式提供声明函。</w:t>
      </w:r>
    </w:p>
    <w:p>
      <w:pPr>
        <w:pStyle w:val="32"/>
        <w:numPr>
          <w:ilvl w:val="1"/>
          <w:numId w:val="25"/>
        </w:numPr>
        <w:ind w:firstLine="482"/>
        <w:rPr>
          <w:b/>
          <w:bCs/>
          <w:highlight w:val="none"/>
        </w:rPr>
      </w:pPr>
      <w:r>
        <w:rPr>
          <w:rFonts w:hint="eastAsia"/>
          <w:b/>
          <w:bCs/>
          <w:highlight w:val="none"/>
        </w:rPr>
        <w:t>投标人具有依法缴纳税收和社会保障资金的良好记录的证明材料；</w:t>
      </w:r>
    </w:p>
    <w:p>
      <w:pPr>
        <w:pStyle w:val="46"/>
        <w:rPr>
          <w:highlight w:val="none"/>
        </w:rPr>
      </w:pPr>
      <w:r>
        <w:rPr>
          <w:rFonts w:hint="eastAsia"/>
          <w:highlight w:val="none"/>
        </w:rPr>
        <w:t>提供</w:t>
      </w:r>
      <w:r>
        <w:rPr>
          <w:rFonts w:hint="eastAsia"/>
          <w:highlight w:val="none"/>
          <w:lang w:val="zh-CN"/>
        </w:rPr>
        <w:t>依法缴纳税收和社会保障资金的良好记录</w:t>
      </w:r>
      <w:r>
        <w:rPr>
          <w:rFonts w:hint="eastAsia"/>
          <w:highlight w:val="none"/>
        </w:rPr>
        <w:t>的承诺函；</w:t>
      </w:r>
    </w:p>
    <w:p>
      <w:pPr>
        <w:pStyle w:val="47"/>
        <w:ind w:firstLine="482"/>
        <w:rPr>
          <w:highlight w:val="none"/>
        </w:rPr>
      </w:pPr>
      <w:r>
        <w:rPr>
          <w:rFonts w:hint="eastAsia"/>
          <w:highlight w:val="none"/>
        </w:rPr>
        <w:t>注：格式自拟，或参照《符合&lt;中华人民共和国政府采购法&gt;第二十二条规定的条件的承诺及声明函》的格式提供声明函。</w:t>
      </w:r>
    </w:p>
    <w:p>
      <w:pPr>
        <w:pStyle w:val="32"/>
        <w:numPr>
          <w:ilvl w:val="1"/>
          <w:numId w:val="25"/>
        </w:numPr>
        <w:ind w:firstLine="482"/>
        <w:rPr>
          <w:b/>
          <w:bCs/>
          <w:highlight w:val="none"/>
        </w:rPr>
      </w:pPr>
      <w:r>
        <w:rPr>
          <w:rFonts w:hint="eastAsia"/>
          <w:b/>
          <w:bCs/>
          <w:highlight w:val="none"/>
        </w:rPr>
        <w:t>投标人参加政府采购活动前三年内，在经营活动中没有重大违法记录的证明材料；</w:t>
      </w:r>
    </w:p>
    <w:p>
      <w:pPr>
        <w:pStyle w:val="46"/>
        <w:rPr>
          <w:highlight w:val="none"/>
        </w:rPr>
      </w:pPr>
      <w:r>
        <w:rPr>
          <w:rFonts w:hint="eastAsia"/>
          <w:highlight w:val="none"/>
        </w:rPr>
        <w:t>提供参加本次政府采购活动前三年内，在经营活动中没有重大违法记录的书面声明(成立不足三年的，从成立之日起计算)。</w:t>
      </w:r>
    </w:p>
    <w:p>
      <w:pPr>
        <w:pStyle w:val="32"/>
        <w:numPr>
          <w:ilvl w:val="1"/>
          <w:numId w:val="25"/>
        </w:numPr>
        <w:ind w:firstLine="482"/>
        <w:rPr>
          <w:rFonts w:cs="宋体"/>
          <w:b/>
          <w:bCs/>
          <w:highlight w:val="none"/>
        </w:rPr>
      </w:pPr>
      <w:r>
        <w:rPr>
          <w:rFonts w:hint="eastAsia"/>
          <w:b/>
          <w:bCs/>
          <w:highlight w:val="none"/>
        </w:rPr>
        <w:t>投标</w:t>
      </w:r>
      <w:r>
        <w:rPr>
          <w:rFonts w:hint="eastAsia" w:cs="宋体"/>
          <w:b/>
          <w:bCs/>
          <w:highlight w:val="none"/>
        </w:rPr>
        <w:t>人</w:t>
      </w:r>
      <w:r>
        <w:rPr>
          <w:rFonts w:hint="eastAsia" w:cs="宋体"/>
          <w:b/>
          <w:bCs/>
          <w:highlight w:val="none"/>
          <w:lang w:val="zh-CN"/>
        </w:rPr>
        <w:t>及其现任法定代表人、主要负责人不得具有行贿犯罪记录</w:t>
      </w:r>
      <w:r>
        <w:rPr>
          <w:rFonts w:hint="eastAsia" w:cs="宋体"/>
          <w:b/>
          <w:bCs/>
          <w:highlight w:val="none"/>
        </w:rPr>
        <w:t>的证明材料</w:t>
      </w:r>
      <w:r>
        <w:rPr>
          <w:rFonts w:hint="eastAsia" w:cs="宋体"/>
          <w:b/>
          <w:bCs/>
          <w:highlight w:val="none"/>
          <w:lang w:val="zh-CN"/>
        </w:rPr>
        <w:t>；</w:t>
      </w:r>
    </w:p>
    <w:p>
      <w:pPr>
        <w:pStyle w:val="47"/>
        <w:jc w:val="both"/>
        <w:rPr>
          <w:b w:val="0"/>
          <w:bCs/>
          <w:highlight w:val="none"/>
        </w:rPr>
      </w:pPr>
      <w:r>
        <w:rPr>
          <w:rFonts w:hint="eastAsia"/>
          <w:b w:val="0"/>
          <w:bCs/>
          <w:highlight w:val="none"/>
        </w:rPr>
        <w:t>1.在投标文件中作出投标人及其现任法定代表人(姓名和身份证号码)、主要负责人(姓名和身份证号码)10年内(</w:t>
      </w:r>
      <w:r>
        <w:rPr>
          <w:rFonts w:hint="eastAsia"/>
          <w:b w:val="0"/>
          <w:bCs/>
          <w:highlight w:val="none"/>
          <w:lang w:val="zh-CN"/>
        </w:rPr>
        <w:t>若</w:t>
      </w:r>
      <w:r>
        <w:rPr>
          <w:rFonts w:hint="eastAsia"/>
          <w:b w:val="0"/>
          <w:bCs/>
          <w:highlight w:val="none"/>
        </w:rPr>
        <w:t>供应商</w:t>
      </w:r>
      <w:r>
        <w:rPr>
          <w:rFonts w:hint="eastAsia"/>
          <w:b w:val="0"/>
          <w:bCs/>
          <w:highlight w:val="none"/>
          <w:lang w:val="zh-CN"/>
        </w:rPr>
        <w:t>成立不足10年的，</w:t>
      </w:r>
      <w:r>
        <w:rPr>
          <w:rFonts w:hint="eastAsia"/>
          <w:b w:val="0"/>
          <w:bCs/>
          <w:highlight w:val="none"/>
        </w:rPr>
        <w:t>承诺期限为</w:t>
      </w:r>
      <w:r>
        <w:rPr>
          <w:rFonts w:hint="eastAsia"/>
          <w:b w:val="0"/>
          <w:bCs/>
          <w:highlight w:val="none"/>
          <w:lang w:val="zh-CN"/>
        </w:rPr>
        <w:t>成立之日起</w:t>
      </w:r>
      <w:r>
        <w:rPr>
          <w:rFonts w:hint="eastAsia"/>
          <w:b w:val="0"/>
          <w:bCs/>
          <w:highlight w:val="none"/>
        </w:rPr>
        <w:t>至今)无行贿犯罪记录的承诺；</w:t>
      </w:r>
    </w:p>
    <w:p>
      <w:pPr>
        <w:pStyle w:val="47"/>
        <w:jc w:val="both"/>
        <w:rPr>
          <w:b w:val="0"/>
          <w:bCs/>
          <w:highlight w:val="none"/>
          <w:lang w:val="zh-CN"/>
        </w:rPr>
      </w:pPr>
      <w:r>
        <w:rPr>
          <w:rFonts w:hint="eastAsia"/>
          <w:b w:val="0"/>
          <w:bCs/>
          <w:highlight w:val="none"/>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highlight w:val="none"/>
          <w:lang w:val="zh-CN"/>
        </w:rPr>
        <w:t>。</w:t>
      </w:r>
    </w:p>
    <w:p>
      <w:pPr>
        <w:pStyle w:val="63"/>
        <w:numPr>
          <w:ilvl w:val="3"/>
          <w:numId w:val="0"/>
        </w:numPr>
        <w:ind w:firstLine="482" w:firstLineChars="200"/>
        <w:rPr>
          <w:b/>
          <w:bCs/>
          <w:highlight w:val="none"/>
        </w:rPr>
      </w:pPr>
      <w:r>
        <w:rPr>
          <w:rFonts w:hint="eastAsia"/>
          <w:b/>
          <w:bCs/>
          <w:highlight w:val="none"/>
        </w:rPr>
        <w:t>注：①投标人采用提供承诺函方式响应的，其内容必须符合上述第1款的要求，否则将视为无效承诺；②如投标人未提供有效承诺函，且未</w:t>
      </w:r>
      <w:r>
        <w:rPr>
          <w:rFonts w:hint="eastAsia"/>
          <w:b/>
          <w:highlight w:val="none"/>
        </w:rPr>
        <w:t>在投标文件中书面载明</w:t>
      </w:r>
      <w:r>
        <w:rPr>
          <w:rFonts w:hint="eastAsia"/>
          <w:b/>
          <w:bCs/>
          <w:highlight w:val="none"/>
        </w:rPr>
        <w:t>其“现任法定代表人”(姓名和身份证号码)、“主要负责人”(姓名和身份证号码)信息的，将被视为无效响应。</w:t>
      </w:r>
    </w:p>
    <w:p>
      <w:pPr>
        <w:pStyle w:val="32"/>
        <w:numPr>
          <w:ilvl w:val="1"/>
          <w:numId w:val="25"/>
        </w:numPr>
        <w:ind w:firstLine="482"/>
        <w:rPr>
          <w:b/>
          <w:bCs/>
          <w:highlight w:val="none"/>
        </w:rPr>
      </w:pPr>
      <w:r>
        <w:rPr>
          <w:rFonts w:hint="eastAsia"/>
          <w:b/>
          <w:bCs/>
          <w:highlight w:val="none"/>
        </w:rPr>
        <w:t xml:space="preserve">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pPr>
        <w:pStyle w:val="46"/>
        <w:rPr>
          <w:highlight w:val="none"/>
        </w:rPr>
      </w:pPr>
      <w:r>
        <w:rPr>
          <w:rFonts w:hint="eastAsia"/>
          <w:highlight w:val="none"/>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47"/>
        <w:ind w:firstLine="482"/>
        <w:rPr>
          <w:highlight w:val="none"/>
        </w:rPr>
      </w:pPr>
      <w:r>
        <w:rPr>
          <w:rFonts w:hint="eastAsia"/>
          <w:highlight w:val="none"/>
        </w:rPr>
        <w:t>注：投标人参与投标时无需对此条进行响应。</w:t>
      </w:r>
    </w:p>
    <w:p>
      <w:pPr>
        <w:pStyle w:val="32"/>
        <w:numPr>
          <w:ilvl w:val="1"/>
          <w:numId w:val="25"/>
        </w:numPr>
        <w:ind w:firstLine="482"/>
        <w:rPr>
          <w:b/>
          <w:bCs/>
          <w:highlight w:val="none"/>
        </w:rPr>
      </w:pPr>
      <w:r>
        <w:rPr>
          <w:rFonts w:hint="eastAsia"/>
          <w:b/>
          <w:bCs/>
          <w:highlight w:val="none"/>
        </w:rPr>
        <w:t>法定代表人/单位负责人授权书原件；</w:t>
      </w:r>
    </w:p>
    <w:p>
      <w:pPr>
        <w:pStyle w:val="47"/>
        <w:ind w:firstLine="482"/>
        <w:rPr>
          <w:highlight w:val="none"/>
        </w:rPr>
      </w:pPr>
      <w:r>
        <w:rPr>
          <w:rFonts w:hint="eastAsia"/>
          <w:highlight w:val="none"/>
        </w:rPr>
        <w:t>注：①附法定代表人/单位负责人和被授权人身份证正反面复印件；②法定代表人/单位负责人亲自参与投标时不需要提供。</w:t>
      </w:r>
    </w:p>
    <w:p>
      <w:pPr>
        <w:pStyle w:val="32"/>
        <w:numPr>
          <w:ilvl w:val="1"/>
          <w:numId w:val="25"/>
        </w:numPr>
        <w:ind w:firstLine="482"/>
        <w:rPr>
          <w:b/>
          <w:bCs/>
          <w:highlight w:val="none"/>
        </w:rPr>
      </w:pPr>
      <w:r>
        <w:rPr>
          <w:rFonts w:hint="eastAsia"/>
          <w:b/>
          <w:bCs/>
          <w:highlight w:val="none"/>
        </w:rPr>
        <w:t>法定代表人/单位负责人证明书；</w:t>
      </w:r>
    </w:p>
    <w:p>
      <w:pPr>
        <w:pStyle w:val="47"/>
        <w:ind w:firstLine="482"/>
        <w:rPr>
          <w:highlight w:val="none"/>
        </w:rPr>
      </w:pPr>
      <w:r>
        <w:rPr>
          <w:rFonts w:hint="eastAsia"/>
          <w:highlight w:val="none"/>
        </w:rPr>
        <w:t>注：①附法定代表人/单位负责人身份证正反面复印件；②法定代表人/单位负责人亲自参加投标时提供本证明书。</w:t>
      </w:r>
    </w:p>
    <w:p>
      <w:pPr>
        <w:pStyle w:val="32"/>
        <w:numPr>
          <w:ilvl w:val="1"/>
          <w:numId w:val="25"/>
        </w:numPr>
        <w:ind w:firstLine="482"/>
        <w:rPr>
          <w:b/>
          <w:bCs/>
          <w:highlight w:val="none"/>
        </w:rPr>
      </w:pPr>
      <w:r>
        <w:rPr>
          <w:rFonts w:hint="eastAsia"/>
          <w:b/>
          <w:bCs/>
          <w:highlight w:val="none"/>
        </w:rPr>
        <w:t>法律、</w:t>
      </w:r>
      <w:r>
        <w:rPr>
          <w:highlight w:val="none"/>
        </w:rPr>
        <w:fldChar w:fldCharType="begin"/>
      </w:r>
      <w:r>
        <w:rPr>
          <w:highlight w:val="none"/>
        </w:rPr>
        <w:instrText xml:space="preserve"> HYPERLINK "http://www.lawtime.cn/info/sifakaoshi/xingzhengfa/" \t "_blank" </w:instrText>
      </w:r>
      <w:r>
        <w:rPr>
          <w:highlight w:val="none"/>
        </w:rPr>
        <w:fldChar w:fldCharType="separate"/>
      </w:r>
      <w:r>
        <w:rPr>
          <w:rFonts w:hint="eastAsia"/>
          <w:b/>
          <w:bCs/>
          <w:highlight w:val="none"/>
        </w:rPr>
        <w:t>行政法</w:t>
      </w:r>
      <w:r>
        <w:rPr>
          <w:rFonts w:hint="eastAsia"/>
          <w:b/>
          <w:bCs/>
          <w:highlight w:val="none"/>
        </w:rPr>
        <w:fldChar w:fldCharType="end"/>
      </w:r>
      <w:r>
        <w:rPr>
          <w:rFonts w:hint="eastAsia"/>
          <w:b/>
          <w:bCs/>
          <w:highlight w:val="none"/>
        </w:rPr>
        <w:t>规规定的其他条件的证明材料；</w:t>
      </w:r>
    </w:p>
    <w:p>
      <w:pPr>
        <w:pStyle w:val="46"/>
        <w:rPr>
          <w:highlight w:val="none"/>
        </w:rPr>
      </w:pPr>
      <w:r>
        <w:rPr>
          <w:rFonts w:hint="eastAsia"/>
          <w:highlight w:val="none"/>
        </w:rPr>
        <w:t>提供符合法律、</w:t>
      </w:r>
      <w:r>
        <w:rPr>
          <w:highlight w:val="none"/>
        </w:rPr>
        <w:fldChar w:fldCharType="begin"/>
      </w:r>
      <w:r>
        <w:rPr>
          <w:highlight w:val="none"/>
        </w:rPr>
        <w:instrText xml:space="preserve"> HYPERLINK "http://www.lawtime.cn/info/sifakaoshi/xingzhengfa/" \t "_blank" </w:instrText>
      </w:r>
      <w:r>
        <w:rPr>
          <w:highlight w:val="none"/>
        </w:rPr>
        <w:fldChar w:fldCharType="separate"/>
      </w:r>
      <w:r>
        <w:rPr>
          <w:rFonts w:hint="eastAsia"/>
          <w:highlight w:val="none"/>
        </w:rPr>
        <w:t>行政法</w:t>
      </w:r>
      <w:r>
        <w:rPr>
          <w:rFonts w:hint="eastAsia"/>
          <w:highlight w:val="none"/>
        </w:rPr>
        <w:fldChar w:fldCharType="end"/>
      </w:r>
      <w:r>
        <w:rPr>
          <w:rFonts w:hint="eastAsia"/>
          <w:highlight w:val="none"/>
        </w:rPr>
        <w:t>规规定的其他条件的承诺函。</w:t>
      </w:r>
    </w:p>
    <w:p>
      <w:pPr>
        <w:pStyle w:val="32"/>
        <w:numPr>
          <w:ilvl w:val="1"/>
          <w:numId w:val="25"/>
        </w:numPr>
        <w:ind w:firstLine="482"/>
        <w:rPr>
          <w:b/>
          <w:bCs/>
          <w:highlight w:val="none"/>
        </w:rPr>
      </w:pPr>
      <w:r>
        <w:rPr>
          <w:rFonts w:hint="eastAsia"/>
          <w:b/>
          <w:bCs/>
          <w:highlight w:val="none"/>
          <w:lang w:val="zh-CN"/>
        </w:rPr>
        <w:t>本项目的特定资格要求：</w:t>
      </w:r>
    </w:p>
    <w:p>
      <w:pPr>
        <w:pStyle w:val="32"/>
        <w:numPr>
          <w:ilvl w:val="-1"/>
          <w:numId w:val="0"/>
        </w:numPr>
        <w:ind w:leftChars="0" w:firstLine="480" w:firstLineChars="200"/>
        <w:rPr>
          <w:rFonts w:hint="eastAsia"/>
          <w:b w:val="0"/>
          <w:bCs w:val="0"/>
          <w:highlight w:val="none"/>
          <w:lang w:val="zh-CN"/>
        </w:rPr>
      </w:pPr>
      <w:r>
        <w:rPr>
          <w:rFonts w:hint="eastAsia"/>
          <w:b w:val="0"/>
          <w:bCs w:val="0"/>
          <w:highlight w:val="none"/>
          <w:lang w:val="en-US" w:eastAsia="zh-CN"/>
        </w:rPr>
        <w:t>1.</w:t>
      </w:r>
      <w:r>
        <w:rPr>
          <w:rFonts w:hint="eastAsia"/>
          <w:b w:val="0"/>
          <w:bCs w:val="0"/>
          <w:highlight w:val="none"/>
          <w:lang w:val="zh-CN" w:eastAsia="zh-CN"/>
        </w:rPr>
        <w:t>投标人提供国家保密局颁发的《国家秘密载体印制资质》（涉密档案数字化加工）乙级或以上资质证书复印件，适用地域包含“四川省”；省外资质投标人须持有四川省国家保密局的备案批准文件复印件</w:t>
      </w:r>
      <w:r>
        <w:rPr>
          <w:rFonts w:hint="eastAsia"/>
          <w:b w:val="0"/>
          <w:bCs w:val="0"/>
          <w:highlight w:val="none"/>
          <w:lang w:val="zh-CN"/>
        </w:rPr>
        <w:t>。</w:t>
      </w:r>
    </w:p>
    <w:p>
      <w:pPr>
        <w:pStyle w:val="32"/>
        <w:numPr>
          <w:ilvl w:val="-1"/>
          <w:numId w:val="0"/>
        </w:numPr>
        <w:ind w:leftChars="0" w:firstLine="480" w:firstLineChars="200"/>
        <w:rPr>
          <w:b w:val="0"/>
          <w:bCs w:val="0"/>
          <w:highlight w:val="none"/>
        </w:rPr>
      </w:pPr>
      <w:r>
        <w:rPr>
          <w:rFonts w:hint="eastAsia"/>
          <w:b w:val="0"/>
          <w:bCs w:val="0"/>
          <w:highlight w:val="none"/>
          <w:lang w:val="en-US" w:eastAsia="zh-CN"/>
        </w:rPr>
        <w:t>2.</w:t>
      </w:r>
      <w:r>
        <w:rPr>
          <w:rFonts w:hint="eastAsia"/>
          <w:b w:val="0"/>
          <w:bCs w:val="0"/>
          <w:highlight w:val="none"/>
        </w:rPr>
        <w:t>本项目</w:t>
      </w:r>
      <w:r>
        <w:rPr>
          <w:rFonts w:hint="eastAsia"/>
          <w:b w:val="0"/>
          <w:bCs w:val="0"/>
          <w:highlight w:val="none"/>
          <w:lang w:val="en-US" w:eastAsia="zh-CN"/>
        </w:rPr>
        <w:t>不</w:t>
      </w:r>
      <w:r>
        <w:rPr>
          <w:rFonts w:hint="eastAsia"/>
          <w:b w:val="0"/>
          <w:bCs w:val="0"/>
          <w:highlight w:val="none"/>
        </w:rPr>
        <w:t>接受联合体投标。</w:t>
      </w:r>
    </w:p>
    <w:p>
      <w:pPr>
        <w:pStyle w:val="47"/>
        <w:ind w:firstLine="0" w:firstLineChars="0"/>
        <w:rPr>
          <w:highlight w:val="none"/>
        </w:rPr>
      </w:pPr>
      <w:r>
        <w:rPr>
          <w:rFonts w:hint="eastAsia"/>
          <w:highlight w:val="none"/>
        </w:rPr>
        <w:t>备注：①以上承诺及声明函可参照第三章投标文件格式中相关格式或自拟格式填写均有效。</w:t>
      </w:r>
    </w:p>
    <w:p>
      <w:pPr>
        <w:pStyle w:val="47"/>
        <w:ind w:firstLine="482"/>
        <w:rPr>
          <w:highlight w:val="none"/>
        </w:rPr>
      </w:pPr>
      <w:r>
        <w:rPr>
          <w:rFonts w:hint="eastAsia"/>
          <w:highlight w:val="none"/>
        </w:rPr>
        <w:t>②以上要求提供的相关证明材料须加盖投标人公章，否则其资格审查作未通过处理。</w:t>
      </w:r>
    </w:p>
    <w:p>
      <w:pPr>
        <w:pStyle w:val="47"/>
        <w:ind w:firstLine="482"/>
        <w:rPr>
          <w:highlight w:val="none"/>
        </w:rPr>
      </w:pPr>
      <w:r>
        <w:rPr>
          <w:rFonts w:hint="eastAsia"/>
          <w:highlight w:val="none"/>
        </w:rPr>
        <w:t>③本项目资格审查仅限于本章涉及的所有内容，若供应商未按照以上要求提供齐全，其资格审查作未通过处理。</w:t>
      </w:r>
    </w:p>
    <w:p>
      <w:pPr>
        <w:pStyle w:val="47"/>
        <w:ind w:firstLine="482"/>
        <w:rPr>
          <w:highlight w:val="none"/>
        </w:rPr>
      </w:pPr>
      <w:r>
        <w:rPr>
          <w:rFonts w:hint="eastAsia"/>
          <w:highlight w:val="none"/>
        </w:rPr>
        <w:t>④投标人应对其所提供的资格证明材料来源的合法性、真实性承担法律责任。</w:t>
      </w:r>
    </w:p>
    <w:p>
      <w:pPr>
        <w:pStyle w:val="47"/>
        <w:ind w:firstLine="482"/>
        <w:rPr>
          <w:highlight w:val="none"/>
        </w:rPr>
      </w:pPr>
      <w:r>
        <w:rPr>
          <w:rFonts w:hint="eastAsia"/>
          <w:highlight w:val="none"/>
        </w:rPr>
        <w:t>⑤以上要求提供的相关证明材料应当结合采购项目具体情况和投标人的组织机构性质确定，不得一概而论。</w:t>
      </w:r>
    </w:p>
    <w:p>
      <w:pPr>
        <w:pStyle w:val="34"/>
        <w:numPr>
          <w:ilvl w:val="1"/>
          <w:numId w:val="11"/>
        </w:numPr>
        <w:ind w:firstLine="482"/>
        <w:rPr>
          <w:highlight w:val="none"/>
        </w:rPr>
      </w:pPr>
      <w:bookmarkStart w:id="1268" w:name="_Toc14213"/>
      <w:bookmarkStart w:id="1269" w:name="_Toc30854"/>
      <w:bookmarkStart w:id="1270" w:name="_Toc5087"/>
      <w:bookmarkStart w:id="1271" w:name="_Toc29143"/>
      <w:bookmarkStart w:id="1272" w:name="_Toc20870"/>
      <w:r>
        <w:rPr>
          <w:rFonts w:hint="eastAsia"/>
          <w:highlight w:val="none"/>
        </w:rPr>
        <w:t>审查程序</w:t>
      </w:r>
      <w:bookmarkEnd w:id="1264"/>
      <w:bookmarkEnd w:id="1265"/>
      <w:bookmarkEnd w:id="1266"/>
      <w:bookmarkEnd w:id="1268"/>
      <w:bookmarkEnd w:id="1269"/>
      <w:bookmarkEnd w:id="1270"/>
      <w:bookmarkEnd w:id="1271"/>
      <w:bookmarkEnd w:id="1272"/>
    </w:p>
    <w:p>
      <w:pPr>
        <w:pStyle w:val="32"/>
        <w:numPr>
          <w:ilvl w:val="1"/>
          <w:numId w:val="26"/>
        </w:numPr>
        <w:ind w:firstLine="480"/>
        <w:rPr>
          <w:highlight w:val="none"/>
        </w:rPr>
      </w:pPr>
      <w:r>
        <w:rPr>
          <w:rFonts w:hint="eastAsia"/>
          <w:highlight w:val="none"/>
        </w:rPr>
        <w:t>根据《政府采购货物和服务招标投标管理办法》(财政部令第87号)第四十四条对投标人的资格进行审查。</w:t>
      </w:r>
    </w:p>
    <w:p>
      <w:pPr>
        <w:pStyle w:val="32"/>
        <w:numPr>
          <w:ilvl w:val="1"/>
          <w:numId w:val="26"/>
        </w:numPr>
        <w:ind w:firstLine="480"/>
        <w:rPr>
          <w:highlight w:val="none"/>
        </w:rPr>
      </w:pPr>
      <w:r>
        <w:rPr>
          <w:rFonts w:hint="eastAsia"/>
          <w:highlight w:val="none"/>
        </w:rPr>
        <w:t>本项目由采购人或者采购代理机构依法对投标人的资格进行审查，并出具书面的资格性审查结果。</w:t>
      </w:r>
    </w:p>
    <w:p>
      <w:pPr>
        <w:pStyle w:val="32"/>
        <w:numPr>
          <w:ilvl w:val="1"/>
          <w:numId w:val="26"/>
        </w:numPr>
        <w:ind w:firstLine="480"/>
        <w:rPr>
          <w:highlight w:val="none"/>
        </w:rPr>
      </w:pPr>
      <w:r>
        <w:rPr>
          <w:rFonts w:hint="eastAsia"/>
          <w:highlight w:val="none"/>
        </w:rPr>
        <w:t>合格投标人不足3家的，不得评标。</w:t>
      </w:r>
    </w:p>
    <w:p>
      <w:pPr>
        <w:pStyle w:val="42"/>
        <w:rPr>
          <w:highlight w:val="none"/>
        </w:rPr>
      </w:pPr>
    </w:p>
    <w:p>
      <w:pPr>
        <w:pStyle w:val="48"/>
        <w:numPr>
          <w:ilvl w:val="0"/>
          <w:numId w:val="11"/>
        </w:numPr>
        <w:spacing w:before="120" w:after="120"/>
        <w:rPr>
          <w:highlight w:val="none"/>
        </w:rPr>
      </w:pPr>
      <w:r>
        <w:rPr>
          <w:rFonts w:hint="eastAsia"/>
          <w:highlight w:val="none"/>
        </w:rPr>
        <w:br w:type="page"/>
      </w:r>
      <w:bookmarkEnd w:id="1267"/>
      <w:bookmarkStart w:id="1273" w:name="_Toc5955"/>
      <w:bookmarkStart w:id="1274" w:name="_Toc21700"/>
      <w:bookmarkStart w:id="1275" w:name="_Toc14530"/>
      <w:bookmarkStart w:id="1276" w:name="_Toc2342"/>
      <w:bookmarkStart w:id="1277" w:name="_Toc2802"/>
      <w:bookmarkStart w:id="1278" w:name="_Toc22983"/>
      <w:r>
        <w:rPr>
          <w:rFonts w:hint="eastAsia"/>
          <w:highlight w:val="none"/>
        </w:rPr>
        <w:t>招标项目技术、服务、政府采购合同内容条款及其他商务要求</w:t>
      </w:r>
      <w:bookmarkEnd w:id="1273"/>
      <w:bookmarkEnd w:id="1274"/>
      <w:bookmarkEnd w:id="1275"/>
      <w:bookmarkEnd w:id="1276"/>
      <w:bookmarkEnd w:id="1277"/>
      <w:bookmarkEnd w:id="1278"/>
    </w:p>
    <w:p>
      <w:pPr>
        <w:pStyle w:val="34"/>
        <w:ind w:firstLine="482"/>
        <w:rPr>
          <w:rFonts w:hint="eastAsia" w:ascii="宋体" w:hAnsi="宋体" w:eastAsia="宋体" w:cs="宋体"/>
          <w:b/>
          <w:bCs w:val="0"/>
          <w:color w:val="000000" w:themeColor="text1"/>
          <w:sz w:val="24"/>
          <w:szCs w:val="24"/>
          <w:highlight w:val="none"/>
          <w14:textFill>
            <w14:solidFill>
              <w14:schemeClr w14:val="tx1"/>
            </w14:solidFill>
          </w14:textFill>
        </w:rPr>
      </w:pPr>
      <w:bookmarkStart w:id="1279" w:name="_Toc10778"/>
      <w:bookmarkStart w:id="1280" w:name="_Toc20169"/>
      <w:bookmarkStart w:id="1281" w:name="_Toc16158"/>
      <w:bookmarkStart w:id="1282" w:name="_Toc377"/>
      <w:bookmarkStart w:id="1283" w:name="_Toc25193"/>
      <w:bookmarkStart w:id="1284" w:name="_Toc26340"/>
      <w:bookmarkStart w:id="1285" w:name="_Toc24580"/>
      <w:bookmarkStart w:id="1286" w:name="_Toc19445"/>
      <w:bookmarkStart w:id="1287" w:name="_Toc24008_WPSOffice_Level2"/>
      <w:bookmarkStart w:id="1288" w:name="_Toc19436"/>
      <w:bookmarkStart w:id="1289" w:name="_Toc13089"/>
      <w:bookmarkStart w:id="1290" w:name="_Toc11696"/>
      <w:bookmarkStart w:id="1291" w:name="_Toc13954"/>
      <w:bookmarkStart w:id="1292" w:name="_Toc28932"/>
      <w:bookmarkStart w:id="1293" w:name="_Toc1684"/>
      <w:bookmarkStart w:id="1294" w:name="_Toc27469"/>
      <w:bookmarkStart w:id="1295" w:name="_Toc1541"/>
      <w:bookmarkStart w:id="1296" w:name="_Toc12025"/>
      <w:bookmarkStart w:id="1297" w:name="_Toc308188201"/>
      <w:bookmarkStart w:id="1298" w:name="_Toc32159"/>
      <w:bookmarkStart w:id="1299" w:name="_Toc307564899"/>
      <w:bookmarkStart w:id="1300" w:name="_Toc29864"/>
      <w:bookmarkStart w:id="1301" w:name="_Toc23360"/>
      <w:bookmarkStart w:id="1302" w:name="_Toc1839"/>
      <w:bookmarkStart w:id="1303" w:name="_Toc308084648"/>
      <w:bookmarkStart w:id="1304" w:name="_Toc309897566"/>
      <w:bookmarkStart w:id="1305" w:name="_Toc319439948"/>
      <w:bookmarkStart w:id="1306" w:name="_Toc307501157"/>
      <w:bookmarkStart w:id="1307" w:name="_Toc327196343"/>
      <w:bookmarkStart w:id="1308" w:name="_Toc319440192"/>
      <w:bookmarkStart w:id="1309" w:name="_Toc217446060"/>
      <w:bookmarkStart w:id="1310" w:name="_Toc217446099"/>
      <w:r>
        <w:rPr>
          <w:rFonts w:hint="eastAsia" w:ascii="宋体" w:hAnsi="宋体" w:eastAsia="宋体" w:cs="宋体"/>
          <w:b/>
          <w:bCs w:val="0"/>
          <w:color w:val="000000" w:themeColor="text1"/>
          <w:sz w:val="24"/>
          <w:szCs w:val="24"/>
          <w:highlight w:val="none"/>
          <w14:textFill>
            <w14:solidFill>
              <w14:schemeClr w14:val="tx1"/>
            </w14:solidFill>
          </w14:textFill>
        </w:rPr>
        <w:t>项目概况</w:t>
      </w:r>
      <w:bookmarkEnd w:id="1279"/>
      <w:bookmarkEnd w:id="1280"/>
      <w:bookmarkEnd w:id="1281"/>
    </w:p>
    <w:p>
      <w:pPr>
        <w:pStyle w:val="22"/>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根据最高人民法院《人民法院档案工作规定》（法发〔2012〕11 号）、最高人民法院办公厅《关于推进人民法院档案数字化工作的通知》（法办〔2015〕161 号）、四川省高级人民法院《全省法院档案工作规定》（川高发〔2014〕392号）文件等档案行业技术规范，及</w:t>
      </w:r>
      <w:r>
        <w:rPr>
          <w:rFonts w:hint="eastAsia" w:cs="宋体"/>
          <w:color w:val="000000"/>
          <w:sz w:val="24"/>
          <w:szCs w:val="24"/>
          <w:highlight w:val="none"/>
          <w:lang w:val="en-US" w:eastAsia="zh-CN"/>
        </w:rPr>
        <w:t>四川省</w:t>
      </w:r>
      <w:r>
        <w:rPr>
          <w:rFonts w:hint="eastAsia" w:ascii="宋体" w:hAnsi="宋体" w:eastAsia="宋体" w:cs="宋体"/>
          <w:color w:val="000000"/>
          <w:sz w:val="24"/>
          <w:szCs w:val="24"/>
          <w:highlight w:val="none"/>
        </w:rPr>
        <w:t>成都市中级人民法院《成都法院档案数字化建设工作总体规划和实施方案》（成中法发〔2016〕135 号）要求，对</w:t>
      </w:r>
      <w:r>
        <w:rPr>
          <w:rFonts w:hint="eastAsia" w:cs="宋体"/>
          <w:color w:val="000000"/>
          <w:sz w:val="24"/>
          <w:szCs w:val="24"/>
          <w:highlight w:val="none"/>
          <w:lang w:val="en-US" w:eastAsia="zh-CN"/>
        </w:rPr>
        <w:t>四川省</w:t>
      </w:r>
      <w:r>
        <w:rPr>
          <w:rFonts w:hint="eastAsia" w:ascii="宋体" w:hAnsi="宋体" w:eastAsia="宋体" w:cs="宋体"/>
          <w:color w:val="000000"/>
          <w:sz w:val="24"/>
          <w:szCs w:val="24"/>
          <w:highlight w:val="none"/>
        </w:rPr>
        <w:t>成都市中级人民法院案件材料进行扫描、编目及整理归档服务。</w:t>
      </w:r>
    </w:p>
    <w:p>
      <w:pPr>
        <w:pStyle w:val="22"/>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本项目主要工作包括新增案件扫描及整理归档服务、迈维系统案件迁移后补充扫描服务和民商事案件电子卷宗智能编目（命名）服务。</w:t>
      </w:r>
    </w:p>
    <w:p>
      <w:pPr>
        <w:pStyle w:val="34"/>
        <w:rPr>
          <w:rFonts w:hint="eastAsia" w:ascii="宋体" w:hAnsi="宋体" w:eastAsia="宋体" w:cs="宋体"/>
          <w:b/>
          <w:bCs w:val="0"/>
          <w:i w:val="0"/>
          <w:iCs w:val="0"/>
          <w:dstrike w:val="0"/>
          <w:color w:val="000000" w:themeColor="text1"/>
          <w:sz w:val="24"/>
          <w:szCs w:val="24"/>
          <w:highlight w:val="none"/>
          <w14:textFill>
            <w14:solidFill>
              <w14:schemeClr w14:val="tx1"/>
            </w14:solidFill>
          </w14:textFill>
        </w:rPr>
      </w:pPr>
      <w:bookmarkStart w:id="1311" w:name="_Toc553"/>
      <w:bookmarkStart w:id="1312" w:name="_Toc18515"/>
      <w:bookmarkStart w:id="1313" w:name="_Toc10205"/>
      <w:r>
        <w:rPr>
          <w:rFonts w:hint="eastAsia" w:ascii="宋体" w:hAnsi="宋体" w:eastAsia="宋体" w:cs="宋体"/>
          <w:b/>
          <w:bCs w:val="0"/>
          <w:i w:val="0"/>
          <w:iCs w:val="0"/>
          <w:dstrike w:val="0"/>
          <w:color w:val="000000" w:themeColor="text1"/>
          <w:sz w:val="24"/>
          <w:szCs w:val="24"/>
          <w:highlight w:val="none"/>
          <w14:textFill>
            <w14:solidFill>
              <w14:schemeClr w14:val="tx1"/>
            </w14:solidFill>
          </w14:textFill>
        </w:rPr>
        <w:t>项目工作总量及内容</w:t>
      </w:r>
      <w:bookmarkEnd w:id="1311"/>
      <w:bookmarkEnd w:id="1312"/>
    </w:p>
    <w:p>
      <w:pPr>
        <w:pStyle w:val="22"/>
        <w:shd w:val="clear" w:color="auto" w:fill="FFFFFF"/>
        <w:adjustRightInd/>
        <w:snapToGrid/>
        <w:spacing w:beforeAutospacing="0" w:afterAutospacing="0" w:line="440" w:lineRule="exact"/>
        <w:ind w:firstLine="480" w:firstLineChars="200"/>
        <w:jc w:val="both"/>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一)</w:t>
      </w:r>
      <w:r>
        <w:rPr>
          <w:rFonts w:hint="eastAsia" w:ascii="宋体" w:hAnsi="宋体" w:eastAsia="宋体" w:cs="宋体"/>
          <w:b w:val="0"/>
          <w:bCs w:val="0"/>
          <w:i w:val="0"/>
          <w:iCs w:val="0"/>
          <w:dstrike w:val="0"/>
          <w:color w:val="000000"/>
          <w:sz w:val="24"/>
          <w:szCs w:val="24"/>
          <w:highlight w:val="none"/>
        </w:rPr>
        <w:t>新增案件材料扫描及整理归档服务</w:t>
      </w:r>
      <w:r>
        <w:rPr>
          <w:rFonts w:hint="eastAsia" w:ascii="宋体" w:hAnsi="宋体" w:eastAsia="宋体" w:cs="宋体"/>
          <w:i w:val="0"/>
          <w:iCs w:val="0"/>
          <w:dstrike w:val="0"/>
          <w:color w:val="000000"/>
          <w:sz w:val="24"/>
          <w:szCs w:val="24"/>
          <w:highlight w:val="none"/>
        </w:rPr>
        <w:t>。每年新增约5.5万个案件(估算数量，最终以实际完成量为准)，完成从立案到审理、结案、归档过程中的案件材料扫描录入及归档工作，主要工作内容包括：立案诉服材料同步录入、审理过程材料同步录入、审核结案、电子数据质检、案件电子过程卷一键转档为电子档案卷、纸质材料整理、装订、归档、入库上架、已结案案件补充材料添加等。</w:t>
      </w:r>
    </w:p>
    <w:p>
      <w:pPr>
        <w:pStyle w:val="22"/>
        <w:shd w:val="clear" w:color="auto" w:fill="FFFFFF"/>
        <w:adjustRightInd/>
        <w:snapToGrid/>
        <w:spacing w:beforeAutospacing="0" w:afterAutospacing="0" w:line="440" w:lineRule="exact"/>
        <w:ind w:firstLine="480" w:firstLineChars="200"/>
        <w:jc w:val="both"/>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二)</w:t>
      </w:r>
      <w:r>
        <w:rPr>
          <w:rFonts w:hint="eastAsia" w:ascii="宋体" w:hAnsi="宋体" w:eastAsia="宋体" w:cs="宋体"/>
          <w:b w:val="0"/>
          <w:bCs w:val="0"/>
          <w:i w:val="0"/>
          <w:iCs w:val="0"/>
          <w:dstrike w:val="0"/>
          <w:color w:val="000000"/>
          <w:sz w:val="24"/>
          <w:szCs w:val="24"/>
          <w:highlight w:val="none"/>
        </w:rPr>
        <w:t>迈维系统案件迁移以后的检查及补充扫描服务</w:t>
      </w:r>
      <w:r>
        <w:rPr>
          <w:rFonts w:hint="eastAsia" w:ascii="宋体" w:hAnsi="宋体" w:eastAsia="宋体" w:cs="宋体"/>
          <w:i w:val="0"/>
          <w:iCs w:val="0"/>
          <w:dstrike w:val="0"/>
          <w:color w:val="000000"/>
          <w:sz w:val="24"/>
          <w:szCs w:val="24"/>
          <w:highlight w:val="none"/>
        </w:rPr>
        <w:t>：迈维系统案件是指2003—2015年间所有诉讼电子档案数据，总共约38万册，分3年完成电子档案与纸质档案的对照检查和对不完整、不规范材料进行补充扫描录入。主要工作内容：以纸质档案为依据，对每一册的电子档案逐页对照检查，对电子图片模糊不清和漏扫的案卷进行补充扫描录入。因历史档案的出错和缺失程度无法估算，补充扫描服务工作量无法精确计算，故此服务以劳务派遣的方式进行计价，预估派遣人数9人（估算数量，最终以实际派遣人数进行结算）。</w:t>
      </w:r>
    </w:p>
    <w:p>
      <w:pPr>
        <w:pStyle w:val="22"/>
        <w:shd w:val="clear" w:color="auto" w:fill="FFFFFF"/>
        <w:adjustRightInd/>
        <w:snapToGrid/>
        <w:spacing w:beforeAutospacing="0" w:afterAutospacing="0" w:line="440" w:lineRule="exact"/>
        <w:ind w:firstLine="480" w:firstLineChars="200"/>
        <w:jc w:val="both"/>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三)</w:t>
      </w:r>
      <w:r>
        <w:rPr>
          <w:rFonts w:hint="eastAsia" w:ascii="宋体" w:hAnsi="宋体" w:eastAsia="宋体" w:cs="宋体"/>
          <w:b w:val="0"/>
          <w:bCs w:val="0"/>
          <w:i w:val="0"/>
          <w:iCs w:val="0"/>
          <w:dstrike w:val="0"/>
          <w:color w:val="000000"/>
          <w:sz w:val="24"/>
          <w:szCs w:val="24"/>
          <w:highlight w:val="none"/>
        </w:rPr>
        <w:t>电子卷宗智能编目（命名）服务</w:t>
      </w:r>
      <w:r>
        <w:rPr>
          <w:rFonts w:hint="eastAsia" w:ascii="宋体" w:hAnsi="宋体" w:eastAsia="宋体" w:cs="宋体"/>
          <w:i w:val="0"/>
          <w:iCs w:val="0"/>
          <w:dstrike w:val="0"/>
          <w:color w:val="000000"/>
          <w:sz w:val="24"/>
          <w:szCs w:val="24"/>
          <w:highlight w:val="none"/>
        </w:rPr>
        <w:t>：对每年新增约2.5万件民商事案件进行电子卷宗智能编目（命名），主要工作内容：在智能编目系统中对电子卷宗每份材料进行细化编目和命名。因此项工作属于试验阶段，具体工作量无法量化，试验时间的长短无法确定，故此服务以劳务派遣的方式进行计价，预估派遣人数6人（估算数量，最终以实际派遣人数进行结算）。</w:t>
      </w:r>
    </w:p>
    <w:p>
      <w:pPr>
        <w:pStyle w:val="34"/>
        <w:rPr>
          <w:rFonts w:hint="eastAsia" w:ascii="宋体" w:hAnsi="宋体" w:eastAsia="宋体" w:cs="宋体"/>
          <w:b/>
          <w:bCs w:val="0"/>
          <w:i w:val="0"/>
          <w:iCs w:val="0"/>
          <w:dstrike w:val="0"/>
          <w:color w:val="000000" w:themeColor="text1"/>
          <w:sz w:val="24"/>
          <w:szCs w:val="24"/>
          <w:highlight w:val="none"/>
          <w14:textFill>
            <w14:solidFill>
              <w14:schemeClr w14:val="tx1"/>
            </w14:solidFill>
          </w14:textFill>
        </w:rPr>
      </w:pPr>
      <w:bookmarkStart w:id="1314" w:name="_Toc18404"/>
      <w:bookmarkStart w:id="1315" w:name="_Toc14999"/>
      <w:r>
        <w:rPr>
          <w:rFonts w:hint="eastAsia" w:ascii="宋体" w:hAnsi="宋体" w:eastAsia="宋体" w:cs="宋体"/>
          <w:b/>
          <w:bCs w:val="0"/>
          <w:i w:val="0"/>
          <w:iCs w:val="0"/>
          <w:dstrike w:val="0"/>
          <w:color w:val="000000" w:themeColor="text1"/>
          <w:sz w:val="24"/>
          <w:szCs w:val="24"/>
          <w:highlight w:val="none"/>
          <w14:textFill>
            <w14:solidFill>
              <w14:schemeClr w14:val="tx1"/>
            </w14:solidFill>
          </w14:textFill>
        </w:rPr>
        <w:t>项目总体要求</w:t>
      </w:r>
      <w:bookmarkEnd w:id="1314"/>
      <w:bookmarkEnd w:id="1315"/>
    </w:p>
    <w:p>
      <w:pPr>
        <w:pStyle w:val="22"/>
        <w:shd w:val="clear" w:color="auto" w:fill="FFFFFF"/>
        <w:spacing w:beforeAutospacing="0" w:afterAutospacing="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一)</w:t>
      </w:r>
      <w:r>
        <w:rPr>
          <w:rFonts w:hint="eastAsia" w:ascii="宋体" w:hAnsi="宋体" w:eastAsia="宋体" w:cs="宋体"/>
          <w:i w:val="0"/>
          <w:iCs w:val="0"/>
          <w:dstrike w:val="0"/>
          <w:color w:val="000000"/>
          <w:sz w:val="24"/>
          <w:szCs w:val="24"/>
          <w:highlight w:val="none"/>
        </w:rPr>
        <w:t>供应商需在采购人单位</w:t>
      </w:r>
      <w:r>
        <w:rPr>
          <w:rFonts w:hint="eastAsia" w:ascii="宋体" w:hAnsi="宋体" w:eastAsia="宋体" w:cs="宋体"/>
          <w:i w:val="0"/>
          <w:iCs w:val="0"/>
          <w:dstrike w:val="0"/>
          <w:color w:val="000000"/>
          <w:sz w:val="24"/>
          <w:szCs w:val="24"/>
          <w:highlight w:val="none"/>
          <w:lang w:val="en-US" w:eastAsia="zh-CN"/>
        </w:rPr>
        <w:t>指定地点</w:t>
      </w:r>
      <w:r>
        <w:rPr>
          <w:rFonts w:hint="eastAsia" w:ascii="宋体" w:hAnsi="宋体" w:eastAsia="宋体" w:cs="宋体"/>
          <w:i w:val="0"/>
          <w:iCs w:val="0"/>
          <w:dstrike w:val="0"/>
          <w:color w:val="000000"/>
          <w:sz w:val="24"/>
          <w:szCs w:val="24"/>
          <w:highlight w:val="none"/>
        </w:rPr>
        <w:t>实施各项工作。</w:t>
      </w:r>
    </w:p>
    <w:p>
      <w:pPr>
        <w:pStyle w:val="22"/>
        <w:shd w:val="clear" w:color="auto" w:fill="FFFFFF"/>
        <w:spacing w:beforeAutospacing="0" w:afterAutospacing="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二)</w:t>
      </w:r>
      <w:r>
        <w:rPr>
          <w:rFonts w:hint="eastAsia" w:ascii="宋体" w:hAnsi="宋体" w:eastAsia="宋体" w:cs="宋体"/>
          <w:i w:val="0"/>
          <w:iCs w:val="0"/>
          <w:dstrike w:val="0"/>
          <w:color w:val="000000"/>
          <w:sz w:val="24"/>
          <w:szCs w:val="24"/>
          <w:highlight w:val="none"/>
        </w:rPr>
        <w:t>采购人免费提供场地、桌椅、水电、打印纸、档案封面、档案盒、</w:t>
      </w:r>
      <w:r>
        <w:rPr>
          <w:rFonts w:hint="eastAsia" w:ascii="宋体" w:hAnsi="宋体" w:eastAsia="宋体" w:cs="宋体"/>
          <w:i w:val="0"/>
          <w:iCs w:val="0"/>
          <w:dstrike w:val="0"/>
          <w:color w:val="000000"/>
          <w:sz w:val="24"/>
          <w:szCs w:val="24"/>
          <w:highlight w:val="none"/>
          <w:lang w:eastAsia="zh-CN"/>
        </w:rPr>
        <w:t>备考表、封条、</w:t>
      </w:r>
      <w:r>
        <w:rPr>
          <w:rFonts w:hint="eastAsia" w:ascii="宋体" w:hAnsi="宋体" w:eastAsia="宋体" w:cs="宋体"/>
          <w:i w:val="0"/>
          <w:iCs w:val="0"/>
          <w:dstrike w:val="0"/>
          <w:color w:val="000000"/>
          <w:sz w:val="24"/>
          <w:szCs w:val="24"/>
          <w:highlight w:val="none"/>
        </w:rPr>
        <w:t>文件备份服务器及存储、专用数据交换移动硬盘</w:t>
      </w: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rPr>
        <w:t>其他设施由供应商自备</w:t>
      </w: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rPr>
        <w:t>。</w:t>
      </w:r>
    </w:p>
    <w:p>
      <w:pPr>
        <w:pStyle w:val="22"/>
        <w:shd w:val="clear" w:color="auto" w:fill="FFFFFF"/>
        <w:spacing w:beforeAutospacing="0" w:afterAutospacing="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三)</w:t>
      </w:r>
      <w:r>
        <w:rPr>
          <w:rFonts w:hint="eastAsia" w:ascii="宋体" w:hAnsi="宋体" w:eastAsia="宋体" w:cs="宋体"/>
          <w:i w:val="0"/>
          <w:iCs w:val="0"/>
          <w:dstrike w:val="0"/>
          <w:color w:val="000000"/>
          <w:sz w:val="24"/>
          <w:szCs w:val="24"/>
          <w:highlight w:val="none"/>
        </w:rPr>
        <w:t>严格遵守《保密守则》及采购人的有关规定，供应商应与采购人签订保密协议。档案扫描工作必须在采购人指定的场所内进行，确保场所正常秩序和安全。不得遗失、损坏档案，如有违法者，将追究法律责任。</w:t>
      </w:r>
    </w:p>
    <w:p>
      <w:pPr>
        <w:pStyle w:val="22"/>
        <w:shd w:val="clear" w:color="auto" w:fill="FFFFFF"/>
        <w:spacing w:beforeAutospacing="0" w:afterAutospacing="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四)供应商</w:t>
      </w:r>
      <w:r>
        <w:rPr>
          <w:rFonts w:hint="eastAsia" w:ascii="宋体" w:hAnsi="宋体" w:eastAsia="宋体" w:cs="宋体"/>
          <w:i w:val="0"/>
          <w:iCs w:val="0"/>
          <w:dstrike w:val="0"/>
          <w:color w:val="000000"/>
          <w:sz w:val="24"/>
          <w:szCs w:val="24"/>
          <w:highlight w:val="none"/>
        </w:rPr>
        <w:t>人员进场后未经采购人单位同意不得擅自撤离。</w:t>
      </w:r>
    </w:p>
    <w:p>
      <w:pPr>
        <w:pStyle w:val="22"/>
        <w:shd w:val="clear" w:color="auto" w:fill="FFFFFF"/>
        <w:spacing w:beforeAutospacing="0" w:afterAutospacing="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五)</w:t>
      </w:r>
      <w:r>
        <w:rPr>
          <w:rFonts w:hint="eastAsia" w:ascii="宋体" w:hAnsi="宋体" w:eastAsia="宋体" w:cs="宋体"/>
          <w:i w:val="0"/>
          <w:iCs w:val="0"/>
          <w:dstrike w:val="0"/>
          <w:color w:val="000000"/>
          <w:sz w:val="24"/>
          <w:szCs w:val="24"/>
          <w:highlight w:val="none"/>
        </w:rPr>
        <w:t>在项目实施过程中，要求接受采购人实时检查与监督，禁止供应商使用U盘等移动存储设备。</w:t>
      </w:r>
    </w:p>
    <w:p>
      <w:pPr>
        <w:pStyle w:val="22"/>
        <w:shd w:val="clear" w:color="auto" w:fill="FFFFFF"/>
        <w:spacing w:beforeAutospacing="0" w:afterAutospacing="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六)</w:t>
      </w:r>
      <w:r>
        <w:rPr>
          <w:rFonts w:hint="eastAsia" w:ascii="宋体" w:hAnsi="宋体" w:eastAsia="宋体" w:cs="宋体"/>
          <w:i w:val="0"/>
          <w:iCs w:val="0"/>
          <w:dstrike w:val="0"/>
          <w:color w:val="000000"/>
          <w:sz w:val="24"/>
          <w:szCs w:val="24"/>
          <w:highlight w:val="none"/>
        </w:rPr>
        <w:t>涉及到法院指定案件(主要为涉密案件)应该由供应商确定具有涉密人员上岗证的员工进行加工处理。</w:t>
      </w:r>
    </w:p>
    <w:bookmarkEnd w:id="1313"/>
    <w:p>
      <w:pPr>
        <w:pStyle w:val="5"/>
        <w:spacing w:line="440" w:lineRule="exact"/>
        <w:ind w:firstLine="482" w:firstLineChars="200"/>
        <w:rPr>
          <w:rFonts w:hint="eastAsia" w:ascii="宋体" w:hAnsi="宋体" w:eastAsia="宋体" w:cs="宋体"/>
          <w:b/>
          <w:bCs w:val="0"/>
          <w:sz w:val="24"/>
          <w:szCs w:val="24"/>
          <w:highlight w:val="none"/>
        </w:rPr>
      </w:pPr>
      <w:bookmarkStart w:id="1316" w:name="_Toc15304"/>
      <w:bookmarkStart w:id="1317" w:name="_Toc14918"/>
      <w:bookmarkStart w:id="1318" w:name="_Toc27624"/>
      <w:r>
        <w:rPr>
          <w:rFonts w:hint="eastAsia" w:ascii="宋体" w:hAnsi="宋体" w:eastAsia="宋体" w:cs="宋体"/>
          <w:sz w:val="24"/>
          <w:szCs w:val="24"/>
          <w:highlight w:val="none"/>
        </w:rPr>
        <w:t>※</w:t>
      </w:r>
      <w:r>
        <w:rPr>
          <w:rFonts w:hint="eastAsia" w:ascii="宋体" w:hAnsi="宋体" w:eastAsia="宋体" w:cs="宋体"/>
          <w:b/>
          <w:bCs w:val="0"/>
          <w:sz w:val="24"/>
          <w:szCs w:val="24"/>
          <w:highlight w:val="none"/>
          <w:lang w:val="en-US" w:eastAsia="zh-CN"/>
        </w:rPr>
        <w:t>四</w:t>
      </w:r>
      <w:r>
        <w:rPr>
          <w:rFonts w:hint="eastAsia" w:ascii="宋体" w:hAnsi="宋体" w:eastAsia="宋体" w:cs="宋体"/>
          <w:b/>
          <w:bCs w:val="0"/>
          <w:sz w:val="24"/>
          <w:szCs w:val="24"/>
          <w:highlight w:val="none"/>
        </w:rPr>
        <w:t>、</w:t>
      </w:r>
      <w:bookmarkEnd w:id="1316"/>
      <w:r>
        <w:rPr>
          <w:rFonts w:hint="eastAsia" w:ascii="宋体" w:hAnsi="宋体" w:eastAsia="宋体" w:cs="宋体"/>
          <w:b/>
          <w:bCs w:val="0"/>
          <w:sz w:val="24"/>
          <w:szCs w:val="24"/>
          <w:highlight w:val="none"/>
        </w:rPr>
        <w:t>遵循的技术标准</w:t>
      </w:r>
      <w:bookmarkEnd w:id="1317"/>
      <w:bookmarkEnd w:id="1318"/>
    </w:p>
    <w:p>
      <w:pPr>
        <w:pStyle w:val="13"/>
        <w:spacing w:after="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一)</w:t>
      </w:r>
      <w:r>
        <w:rPr>
          <w:rFonts w:hint="eastAsia" w:ascii="宋体" w:hAnsi="宋体" w:eastAsia="宋体" w:cs="宋体"/>
          <w:color w:val="000000"/>
          <w:kern w:val="0"/>
          <w:sz w:val="24"/>
          <w:szCs w:val="24"/>
          <w:highlight w:val="none"/>
        </w:rPr>
        <w:t>《档案法》；</w:t>
      </w:r>
    </w:p>
    <w:p>
      <w:pPr>
        <w:pStyle w:val="13"/>
        <w:spacing w:after="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二)</w:t>
      </w:r>
      <w:r>
        <w:rPr>
          <w:rFonts w:hint="eastAsia" w:ascii="宋体" w:hAnsi="宋体" w:eastAsia="宋体" w:cs="宋体"/>
          <w:color w:val="000000"/>
          <w:kern w:val="0"/>
          <w:sz w:val="24"/>
          <w:szCs w:val="24"/>
          <w:highlight w:val="none"/>
        </w:rPr>
        <w:t>DA/T 31-2017 中华人民共和国档案行业标准《纸质档案数字化技术规范》；</w:t>
      </w:r>
    </w:p>
    <w:p>
      <w:pPr>
        <w:pStyle w:val="13"/>
        <w:spacing w:after="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三)</w:t>
      </w:r>
      <w:r>
        <w:rPr>
          <w:rFonts w:hint="eastAsia" w:ascii="宋体" w:hAnsi="宋体" w:eastAsia="宋体" w:cs="宋体"/>
          <w:color w:val="000000"/>
          <w:kern w:val="0"/>
          <w:sz w:val="24"/>
          <w:szCs w:val="24"/>
          <w:highlight w:val="none"/>
        </w:rPr>
        <w:t>DA/T18-1999 《档案著录规则》；</w:t>
      </w:r>
    </w:p>
    <w:p>
      <w:pPr>
        <w:pStyle w:val="13"/>
        <w:spacing w:after="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四)</w:t>
      </w:r>
      <w:r>
        <w:rPr>
          <w:rFonts w:hint="eastAsia" w:ascii="宋体" w:hAnsi="宋体" w:eastAsia="宋体" w:cs="宋体"/>
          <w:color w:val="000000"/>
          <w:kern w:val="0"/>
          <w:sz w:val="24"/>
          <w:szCs w:val="24"/>
          <w:highlight w:val="none"/>
        </w:rPr>
        <w:t>GB/T 18894-2016 《电子文件归档与管理规范》；</w:t>
      </w:r>
    </w:p>
    <w:p>
      <w:pPr>
        <w:pStyle w:val="13"/>
        <w:spacing w:after="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五)</w:t>
      </w:r>
      <w:r>
        <w:rPr>
          <w:rFonts w:hint="eastAsia" w:ascii="宋体" w:hAnsi="宋体" w:eastAsia="宋体" w:cs="宋体"/>
          <w:color w:val="000000"/>
          <w:kern w:val="0"/>
          <w:sz w:val="24"/>
          <w:szCs w:val="24"/>
          <w:highlight w:val="none"/>
        </w:rPr>
        <w:t>DA/T 68—2017《档案外包服务工作规范》。</w:t>
      </w:r>
    </w:p>
    <w:p>
      <w:pPr>
        <w:pStyle w:val="13"/>
        <w:spacing w:after="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六)</w:t>
      </w:r>
      <w:r>
        <w:rPr>
          <w:rFonts w:hint="eastAsia" w:ascii="宋体" w:hAnsi="宋体" w:eastAsia="宋体" w:cs="宋体"/>
          <w:color w:val="000000"/>
          <w:kern w:val="0"/>
          <w:sz w:val="24"/>
          <w:szCs w:val="24"/>
          <w:highlight w:val="none"/>
        </w:rPr>
        <w:t>国家档案局《档案数字化外包安全管理规范》</w:t>
      </w:r>
    </w:p>
    <w:p>
      <w:pPr>
        <w:pStyle w:val="13"/>
        <w:spacing w:after="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七)</w:t>
      </w:r>
      <w:r>
        <w:rPr>
          <w:rFonts w:hint="eastAsia" w:ascii="宋体" w:hAnsi="宋体" w:eastAsia="宋体" w:cs="宋体"/>
          <w:color w:val="000000"/>
          <w:kern w:val="0"/>
          <w:sz w:val="24"/>
          <w:szCs w:val="24"/>
          <w:highlight w:val="none"/>
        </w:rPr>
        <w:t>最高人民法院《人民法院档案工作规定》、《人民法院电子诉讼档案管理暂行办法》。</w:t>
      </w:r>
    </w:p>
    <w:p>
      <w:pPr>
        <w:pStyle w:val="13"/>
        <w:spacing w:after="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sz w:val="24"/>
          <w:szCs w:val="24"/>
          <w:highlight w:val="none"/>
          <w:lang w:val="en-US" w:eastAsia="zh-CN"/>
        </w:rPr>
        <w:t>八)</w:t>
      </w:r>
      <w:r>
        <w:rPr>
          <w:rFonts w:hint="eastAsia" w:ascii="宋体" w:hAnsi="宋体" w:eastAsia="宋体" w:cs="宋体"/>
          <w:color w:val="000000"/>
          <w:kern w:val="0"/>
          <w:sz w:val="24"/>
          <w:szCs w:val="24"/>
          <w:highlight w:val="none"/>
        </w:rPr>
        <w:t>四川省高级人民法院《全省法院档案工作规定》（川高发〔2014〕392号）。</w:t>
      </w:r>
    </w:p>
    <w:p>
      <w:pPr>
        <w:pStyle w:val="5"/>
        <w:spacing w:line="440" w:lineRule="exact"/>
        <w:ind w:firstLine="482" w:firstLineChars="200"/>
        <w:rPr>
          <w:rFonts w:hint="eastAsia" w:ascii="宋体" w:hAnsi="宋体" w:eastAsia="宋体" w:cs="宋体"/>
          <w:b/>
          <w:bCs w:val="0"/>
          <w:i w:val="0"/>
          <w:iCs w:val="0"/>
          <w:dstrike w:val="0"/>
          <w:sz w:val="24"/>
          <w:szCs w:val="24"/>
          <w:highlight w:val="none"/>
        </w:rPr>
      </w:pPr>
      <w:bookmarkStart w:id="1319" w:name="_Toc13014"/>
      <w:bookmarkStart w:id="1320" w:name="_Toc9227"/>
      <w:r>
        <w:rPr>
          <w:rFonts w:hint="eastAsia" w:ascii="宋体" w:hAnsi="宋体" w:eastAsia="宋体" w:cs="宋体"/>
          <w:sz w:val="24"/>
          <w:szCs w:val="24"/>
          <w:highlight w:val="none"/>
        </w:rPr>
        <w:t>※</w:t>
      </w:r>
      <w:bookmarkStart w:id="1321" w:name="_Toc28659"/>
      <w:r>
        <w:rPr>
          <w:rFonts w:hint="eastAsia" w:ascii="宋体" w:hAnsi="宋体" w:eastAsia="宋体" w:cs="宋体"/>
          <w:b/>
          <w:bCs w:val="0"/>
          <w:i w:val="0"/>
          <w:iCs w:val="0"/>
          <w:dstrike w:val="0"/>
          <w:sz w:val="24"/>
          <w:szCs w:val="24"/>
          <w:highlight w:val="none"/>
        </w:rPr>
        <w:t>五、案件材料扫描外包项目要求</w:t>
      </w:r>
      <w:bookmarkEnd w:id="1319"/>
      <w:bookmarkEnd w:id="1320"/>
    </w:p>
    <w:p>
      <w:pPr>
        <w:pStyle w:val="13"/>
        <w:spacing w:after="0" w:line="440" w:lineRule="exact"/>
        <w:ind w:firstLine="480" w:firstLineChars="200"/>
        <w:rPr>
          <w:rFonts w:hint="eastAsia" w:ascii="宋体" w:hAnsi="宋体" w:eastAsia="宋体" w:cs="宋体"/>
          <w:b w:val="0"/>
          <w:bCs w:val="0"/>
          <w:i w:val="0"/>
          <w:iCs w:val="0"/>
          <w:dstrike w:val="0"/>
          <w:color w:val="000000"/>
          <w:sz w:val="24"/>
          <w:szCs w:val="24"/>
          <w:highlight w:val="none"/>
        </w:rPr>
      </w:pPr>
      <w:r>
        <w:rPr>
          <w:rFonts w:hint="eastAsia" w:ascii="宋体" w:hAnsi="宋体" w:eastAsia="宋体" w:cs="宋体"/>
          <w:b w:val="0"/>
          <w:bCs w:val="0"/>
          <w:i w:val="0"/>
          <w:iCs w:val="0"/>
          <w:dstrike w:val="0"/>
          <w:color w:val="000000"/>
          <w:sz w:val="24"/>
          <w:szCs w:val="24"/>
          <w:highlight w:val="none"/>
        </w:rPr>
        <w:t>（一）新增案件材料扫描、审核结案及纸质材料整理归档要求</w:t>
      </w:r>
    </w:p>
    <w:p>
      <w:pPr>
        <w:pStyle w:val="13"/>
        <w:spacing w:after="0" w:line="440" w:lineRule="exact"/>
        <w:ind w:firstLine="480" w:firstLineChars="200"/>
        <w:rPr>
          <w:rFonts w:hint="eastAsia" w:ascii="宋体" w:hAnsi="宋体" w:eastAsia="宋体" w:cs="宋体"/>
          <w:b w:val="0"/>
          <w:bCs w:val="0"/>
          <w:i w:val="0"/>
          <w:iCs w:val="0"/>
          <w:dstrike w:val="0"/>
          <w:color w:val="000000"/>
          <w:sz w:val="24"/>
          <w:szCs w:val="24"/>
          <w:highlight w:val="none"/>
        </w:rPr>
      </w:pPr>
      <w:r>
        <w:rPr>
          <w:rFonts w:hint="eastAsia" w:ascii="宋体" w:hAnsi="宋体" w:eastAsia="宋体" w:cs="宋体"/>
          <w:b w:val="0"/>
          <w:bCs w:val="0"/>
          <w:i w:val="0"/>
          <w:iCs w:val="0"/>
          <w:dstrike w:val="0"/>
          <w:color w:val="000000"/>
          <w:sz w:val="24"/>
          <w:szCs w:val="24"/>
          <w:highlight w:val="none"/>
        </w:rPr>
        <w:t>1、案件材料交接</w:t>
      </w:r>
    </w:p>
    <w:p>
      <w:pPr>
        <w:pStyle w:val="13"/>
        <w:spacing w:after="0"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立案窗口、诉讼服务窗口、归档结案审核窗口对移交需扫描录入或归档材料进行仔细核对，认真清点和查看材料数量及其完整性(包括有无破损、缺页、掉页等情况)进行查验、登记记录，并办理交接登记，双方签字确认。</w:t>
      </w:r>
    </w:p>
    <w:p>
      <w:pPr>
        <w:pStyle w:val="13"/>
        <w:spacing w:after="0" w:line="440" w:lineRule="exact"/>
        <w:ind w:firstLine="480" w:firstLineChars="200"/>
        <w:rPr>
          <w:rFonts w:hint="eastAsia" w:ascii="宋体" w:hAnsi="宋体" w:eastAsia="宋体" w:cs="宋体"/>
          <w:b w:val="0"/>
          <w:bCs w:val="0"/>
          <w:i w:val="0"/>
          <w:iCs w:val="0"/>
          <w:dstrike w:val="0"/>
          <w:color w:val="000000"/>
          <w:sz w:val="24"/>
          <w:szCs w:val="24"/>
          <w:highlight w:val="none"/>
        </w:rPr>
      </w:pPr>
      <w:r>
        <w:rPr>
          <w:rFonts w:hint="eastAsia" w:ascii="宋体" w:hAnsi="宋体" w:eastAsia="宋体" w:cs="宋体"/>
          <w:b w:val="0"/>
          <w:bCs w:val="0"/>
          <w:i w:val="0"/>
          <w:iCs w:val="0"/>
          <w:dstrike w:val="0"/>
          <w:color w:val="000000"/>
          <w:sz w:val="24"/>
          <w:szCs w:val="24"/>
          <w:highlight w:val="none"/>
        </w:rPr>
        <w:t>2、案件材料整理</w:t>
      </w:r>
    </w:p>
    <w:p>
      <w:pPr>
        <w:pStyle w:val="13"/>
        <w:spacing w:after="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rPr>
        <w:t>2.1剔除材料上的金属物。</w:t>
      </w:r>
    </w:p>
    <w:p>
      <w:pPr>
        <w:pStyle w:val="13"/>
        <w:spacing w:after="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rPr>
        <w:t>2.2区分正副卷材料。</w:t>
      </w:r>
    </w:p>
    <w:p>
      <w:pPr>
        <w:pStyle w:val="13"/>
        <w:spacing w:after="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rPr>
        <w:t>2.3对文件制成材料或字迹材料不利于长期保管的文件进行复制，整理时放在正本后面。</w:t>
      </w:r>
    </w:p>
    <w:p>
      <w:pPr>
        <w:pStyle w:val="13"/>
        <w:spacing w:after="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rPr>
        <w:t>2.4需要附卷保存的信封，要打开展平加贴衬纸，邮票不得取掉。</w:t>
      </w:r>
    </w:p>
    <w:p>
      <w:pPr>
        <w:pStyle w:val="13"/>
        <w:spacing w:after="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rPr>
        <w:t>2.5票据加贴衬纸时要平铺粘贴，一页纸上粘贴多张票据时，应当防止重叠遮盖，并在空白处注明此页粘贴票据张数。</w:t>
      </w:r>
    </w:p>
    <w:p>
      <w:pPr>
        <w:pStyle w:val="13"/>
        <w:spacing w:after="0" w:line="440" w:lineRule="exact"/>
        <w:ind w:firstLine="480" w:firstLineChars="200"/>
        <w:rPr>
          <w:rFonts w:hint="eastAsia" w:ascii="宋体" w:hAnsi="宋体" w:eastAsia="宋体" w:cs="宋体"/>
          <w:b w:val="0"/>
          <w:bCs w:val="0"/>
          <w:i w:val="0"/>
          <w:iCs w:val="0"/>
          <w:dstrike w:val="0"/>
          <w:color w:val="000000"/>
          <w:sz w:val="24"/>
          <w:szCs w:val="24"/>
          <w:highlight w:val="none"/>
        </w:rPr>
      </w:pPr>
      <w:r>
        <w:rPr>
          <w:rFonts w:hint="eastAsia" w:ascii="宋体" w:hAnsi="宋体" w:eastAsia="宋体" w:cs="宋体"/>
          <w:b w:val="0"/>
          <w:bCs w:val="0"/>
          <w:i w:val="0"/>
          <w:iCs w:val="0"/>
          <w:dstrike w:val="0"/>
          <w:color w:val="000000"/>
          <w:sz w:val="24"/>
          <w:szCs w:val="24"/>
          <w:highlight w:val="none"/>
        </w:rPr>
        <w:t>3、案件材料扫描</w:t>
      </w:r>
    </w:p>
    <w:p>
      <w:pPr>
        <w:pStyle w:val="13"/>
        <w:spacing w:after="0" w:line="440" w:lineRule="exact"/>
        <w:ind w:firstLine="480" w:firstLineChars="200"/>
        <w:rPr>
          <w:rFonts w:hint="eastAsia" w:ascii="宋体" w:hAnsi="宋体" w:eastAsia="宋体" w:cs="宋体"/>
          <w:i w:val="0"/>
          <w:iCs w:val="0"/>
          <w:dstrike w:val="0"/>
          <w:color w:val="000000"/>
          <w:sz w:val="24"/>
          <w:szCs w:val="24"/>
          <w:highlight w:val="none"/>
        </w:rPr>
      </w:pPr>
      <w:r>
        <w:rPr>
          <w:rFonts w:hint="eastAsia" w:ascii="宋体" w:hAnsi="宋体" w:eastAsia="宋体" w:cs="宋体"/>
          <w:i w:val="0"/>
          <w:iCs w:val="0"/>
          <w:dstrike w:val="0"/>
          <w:color w:val="000000"/>
          <w:sz w:val="24"/>
          <w:szCs w:val="24"/>
          <w:highlight w:val="none"/>
        </w:rPr>
        <w:t>3.1根据材料幅面的大小(A4、A3等)选择相应规格的扫描仪或专业扫描仪进行扫描。大幅面档案可采用数码设备，或者缩微拍摄后的数字化转换设备等进行扫描，也可以采用小幅面扫描后的图像拼接方式处理。</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3.2采用全彩模式进行扫描，扫描分辨率不低于300dpi。</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3.3根据数据交换规则设置扫描影像的输出存放位置。</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3.4扫描工作人员需要对扫描图像进行自检，确保不能重扫、漏扫、多扫，同时要确保扫描图像清晰。</w:t>
      </w:r>
    </w:p>
    <w:p>
      <w:pPr>
        <w:pStyle w:val="13"/>
        <w:spacing w:after="0" w:line="440" w:lineRule="exact"/>
        <w:ind w:firstLine="480" w:firstLineChars="200"/>
        <w:rPr>
          <w:rFonts w:hint="eastAsia" w:ascii="宋体" w:hAnsi="宋体" w:eastAsia="宋体" w:cs="宋体"/>
          <w:b w:val="0"/>
          <w:bCs w:val="0"/>
          <w:i w:val="0"/>
          <w:iCs w:val="0"/>
          <w:dstrike w:val="0"/>
          <w:color w:val="000000"/>
          <w:kern w:val="0"/>
          <w:sz w:val="24"/>
          <w:szCs w:val="24"/>
          <w:highlight w:val="none"/>
        </w:rPr>
      </w:pPr>
      <w:r>
        <w:rPr>
          <w:rFonts w:hint="eastAsia" w:ascii="宋体" w:hAnsi="宋体" w:eastAsia="宋体" w:cs="宋体"/>
          <w:b w:val="0"/>
          <w:bCs w:val="0"/>
          <w:i w:val="0"/>
          <w:iCs w:val="0"/>
          <w:dstrike w:val="0"/>
          <w:color w:val="000000"/>
          <w:kern w:val="0"/>
          <w:sz w:val="24"/>
          <w:szCs w:val="24"/>
          <w:highlight w:val="none"/>
        </w:rPr>
        <w:t>4、图像质检</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4.1质检过程中应遵循在不影响可懂度的前提下展现档案原貌的原则。</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4.2对影响图像质量的杂质如黑点、黑线、黑框及黑边等应进行去污处理。</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4.3扫描图像的排列顺序与档案原件不一致时，应及时进行调整。</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4.4对出现倾斜的图像进行纠偏处理，要求倾斜度小于1度(以标题所在水平线为准)。对方向不正确的图像应进行旋转还原，以符合阅读习惯。</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4.5扫描的页面内容不可出现明显偏左或偏右的现象，正文内容、页眉、页脚、反面印章、附件、手写注释等信息完整；图像内容与原件完全对应，不得出现内容残缺或将旁边页面信息扫入本页的现象。</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4.6采用彩色模式扫描的图像应进行裁边处理，去除多余的白边，以缩小图像文件的容量。</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4.7扫描图像字迹清晰、颜色恰当，不宜过浅和过深，并且不得出现字迹笔画残缺或字迹笔画叠合而影响阅读的情况，即使档案原件存在绣斑变质、颜色过浅或深浅不一致，也应保证扫描图像可读。</w:t>
      </w:r>
    </w:p>
    <w:p>
      <w:pPr>
        <w:pStyle w:val="13"/>
        <w:spacing w:after="0" w:line="440" w:lineRule="exact"/>
        <w:ind w:firstLine="480" w:firstLineChars="200"/>
        <w:rPr>
          <w:rFonts w:hint="eastAsia" w:ascii="宋体" w:hAnsi="宋体" w:eastAsia="宋体" w:cs="宋体"/>
          <w:b w:val="0"/>
          <w:bCs w:val="0"/>
          <w:i w:val="0"/>
          <w:iCs w:val="0"/>
          <w:dstrike w:val="0"/>
          <w:color w:val="000000"/>
          <w:kern w:val="0"/>
          <w:sz w:val="24"/>
          <w:szCs w:val="24"/>
          <w:highlight w:val="none"/>
        </w:rPr>
      </w:pPr>
      <w:r>
        <w:rPr>
          <w:rFonts w:hint="eastAsia" w:ascii="宋体" w:hAnsi="宋体" w:eastAsia="宋体" w:cs="宋体"/>
          <w:b w:val="0"/>
          <w:bCs w:val="0"/>
          <w:i w:val="0"/>
          <w:iCs w:val="0"/>
          <w:dstrike w:val="0"/>
          <w:color w:val="000000"/>
          <w:kern w:val="0"/>
          <w:sz w:val="24"/>
          <w:szCs w:val="24"/>
          <w:highlight w:val="none"/>
        </w:rPr>
        <w:t>5、图像引入</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5.1材料引入人员需要将经过质检的扫描材料上传至系统。</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5.2检查引入材料与对应案件是否匹配，确保材料不错乱。</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5.3对于不符合上传要求的材料，及时反馈给扫描人员予以重扫。</w:t>
      </w:r>
    </w:p>
    <w:p>
      <w:pPr>
        <w:pStyle w:val="13"/>
        <w:spacing w:after="0" w:line="440" w:lineRule="exact"/>
        <w:ind w:firstLine="480" w:firstLineChars="200"/>
        <w:rPr>
          <w:rFonts w:hint="eastAsia" w:ascii="宋体" w:hAnsi="宋体" w:eastAsia="宋体" w:cs="宋体"/>
          <w:b w:val="0"/>
          <w:bCs w:val="0"/>
          <w:i w:val="0"/>
          <w:iCs w:val="0"/>
          <w:dstrike w:val="0"/>
          <w:color w:val="000000"/>
          <w:kern w:val="0"/>
          <w:sz w:val="24"/>
          <w:szCs w:val="24"/>
          <w:highlight w:val="none"/>
        </w:rPr>
      </w:pPr>
      <w:r>
        <w:rPr>
          <w:rFonts w:hint="eastAsia" w:ascii="宋体" w:hAnsi="宋体" w:eastAsia="宋体" w:cs="宋体"/>
          <w:b w:val="0"/>
          <w:bCs w:val="0"/>
          <w:i w:val="0"/>
          <w:iCs w:val="0"/>
          <w:dstrike w:val="0"/>
          <w:color w:val="000000"/>
          <w:kern w:val="0"/>
          <w:sz w:val="24"/>
          <w:szCs w:val="24"/>
          <w:highlight w:val="none"/>
        </w:rPr>
        <w:t>6、审核结案及一键归档</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6.1审核结案：对报请结案并需移交的案件材料按照结案及归档标准进行结案及归档材料完备检查，对符合要求案件进行结案确认。</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6.2对案件电子过程卷宗与纸质档案相核对，将纸质材料与电子材料相互应证和补充以及进行顺序调整，之后进行一键转档成为案件归档卷。</w:t>
      </w:r>
    </w:p>
    <w:p>
      <w:pPr>
        <w:pStyle w:val="13"/>
        <w:spacing w:after="0" w:line="440" w:lineRule="exact"/>
        <w:ind w:firstLine="480" w:firstLineChars="200"/>
        <w:rPr>
          <w:rFonts w:hint="eastAsia" w:ascii="宋体" w:hAnsi="宋体" w:eastAsia="宋体" w:cs="宋体"/>
          <w:b w:val="0"/>
          <w:bCs w:val="0"/>
          <w:i w:val="0"/>
          <w:iCs w:val="0"/>
          <w:dstrike w:val="0"/>
          <w:color w:val="000000"/>
          <w:kern w:val="0"/>
          <w:sz w:val="24"/>
          <w:szCs w:val="24"/>
          <w:highlight w:val="none"/>
        </w:rPr>
      </w:pPr>
      <w:r>
        <w:rPr>
          <w:rFonts w:hint="eastAsia" w:ascii="宋体" w:hAnsi="宋体" w:eastAsia="宋体" w:cs="宋体"/>
          <w:b w:val="0"/>
          <w:bCs w:val="0"/>
          <w:i w:val="0"/>
          <w:iCs w:val="0"/>
          <w:dstrike w:val="0"/>
          <w:color w:val="000000"/>
          <w:kern w:val="0"/>
          <w:sz w:val="24"/>
          <w:szCs w:val="24"/>
          <w:highlight w:val="none"/>
        </w:rPr>
        <w:t>7、纸质卷宗装订要求</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7.1 待装订的案件，必须检查卷内的页数是否完整，纸张有无倾斜、混乱、正反颠倒等现象，并加以纠正。</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7.2 若档案存在装订孔的，原则上按照原孔装订，新案件则严格按照装订标准，重新打孔后装订，使得卷宗的装订牢固、整齐、美观。卷内材料右齐下齐，采用打孔穿线装订方式，长度以150毫米左右为宜。</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7.3 转档加工后装订的案卷，并在封条出加盖档案数字化加工骑缝章。</w:t>
      </w:r>
    </w:p>
    <w:p>
      <w:pPr>
        <w:pStyle w:val="13"/>
        <w:spacing w:after="0" w:line="440" w:lineRule="exact"/>
        <w:ind w:firstLine="480" w:firstLineChars="200"/>
        <w:rPr>
          <w:rFonts w:hint="eastAsia" w:ascii="宋体" w:hAnsi="宋体" w:eastAsia="宋体" w:cs="宋体"/>
          <w:b w:val="0"/>
          <w:bCs w:val="0"/>
          <w:i w:val="0"/>
          <w:iCs w:val="0"/>
          <w:dstrike w:val="0"/>
          <w:color w:val="000000"/>
          <w:kern w:val="0"/>
          <w:sz w:val="24"/>
          <w:szCs w:val="24"/>
          <w:highlight w:val="none"/>
        </w:rPr>
      </w:pPr>
      <w:r>
        <w:rPr>
          <w:rFonts w:hint="eastAsia" w:ascii="宋体" w:hAnsi="宋体" w:eastAsia="宋体" w:cs="宋体"/>
          <w:b w:val="0"/>
          <w:bCs w:val="0"/>
          <w:i w:val="0"/>
          <w:iCs w:val="0"/>
          <w:dstrike w:val="0"/>
          <w:color w:val="000000"/>
          <w:kern w:val="0"/>
          <w:sz w:val="24"/>
          <w:szCs w:val="24"/>
          <w:highlight w:val="none"/>
        </w:rPr>
        <w:t>8、归档上架要求</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8.1 根据档案室归档要求将档案分别整理摆放，主要顺序：⑴案件类型；⑵年度；⑶保管期限；⑷归档号。</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8.2 纸质卷宗填写归档号，归档日期、年度、全宗号、保管期限、加盖归档章等。</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8.3 系统接收归档并同步电子归档纸质归档。</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8.4 档案入盒，填写档案盒号。</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8.5 纸质档案逐步排序上架至库房专用档案密集架。</w:t>
      </w:r>
    </w:p>
    <w:p>
      <w:pPr>
        <w:pStyle w:val="13"/>
        <w:spacing w:after="0" w:line="440" w:lineRule="exact"/>
        <w:ind w:firstLine="480" w:firstLineChars="200"/>
        <w:rPr>
          <w:rFonts w:hint="eastAsia" w:ascii="宋体" w:hAnsi="宋体" w:eastAsia="宋体" w:cs="宋体"/>
          <w:b w:val="0"/>
          <w:bCs w:val="0"/>
          <w:i w:val="0"/>
          <w:iCs w:val="0"/>
          <w:dstrike w:val="0"/>
          <w:color w:val="000000"/>
          <w:kern w:val="0"/>
          <w:sz w:val="24"/>
          <w:szCs w:val="24"/>
          <w:highlight w:val="none"/>
        </w:rPr>
      </w:pPr>
      <w:r>
        <w:rPr>
          <w:rFonts w:hint="eastAsia" w:ascii="宋体" w:hAnsi="宋体" w:eastAsia="宋体" w:cs="宋体"/>
          <w:b w:val="0"/>
          <w:bCs w:val="0"/>
          <w:i w:val="0"/>
          <w:iCs w:val="0"/>
          <w:dstrike w:val="0"/>
          <w:color w:val="000000"/>
          <w:kern w:val="0"/>
          <w:sz w:val="24"/>
          <w:szCs w:val="24"/>
          <w:highlight w:val="none"/>
        </w:rPr>
        <w:t>9、已归档案件补充材料添加要求</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9.1 对需要添加的补充材料扫描，将处理好的电子图片加入电子卷宗系统中。</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9.2 将需要添加的补充材料加入纸质卷宗中。</w:t>
      </w:r>
    </w:p>
    <w:p>
      <w:pPr>
        <w:pStyle w:val="13"/>
        <w:spacing w:after="0" w:line="440" w:lineRule="exact"/>
        <w:ind w:firstLine="480" w:firstLineChars="200"/>
        <w:rPr>
          <w:rFonts w:hint="eastAsia" w:ascii="宋体" w:hAnsi="宋体" w:eastAsia="宋体" w:cs="宋体"/>
          <w:b w:val="0"/>
          <w:bCs w:val="0"/>
          <w:i w:val="0"/>
          <w:iCs w:val="0"/>
          <w:dstrike w:val="0"/>
          <w:color w:val="000000"/>
          <w:kern w:val="0"/>
          <w:sz w:val="24"/>
          <w:szCs w:val="24"/>
          <w:highlight w:val="none"/>
        </w:rPr>
      </w:pPr>
      <w:r>
        <w:rPr>
          <w:rFonts w:hint="eastAsia" w:ascii="宋体" w:hAnsi="宋体" w:eastAsia="宋体" w:cs="宋体"/>
          <w:b w:val="0"/>
          <w:bCs w:val="0"/>
          <w:i w:val="0"/>
          <w:iCs w:val="0"/>
          <w:dstrike w:val="0"/>
          <w:color w:val="000000"/>
          <w:kern w:val="0"/>
          <w:sz w:val="24"/>
          <w:szCs w:val="24"/>
          <w:highlight w:val="none"/>
        </w:rPr>
        <w:t>10、数据格式要求</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10.1图片标准分辨率：≥300dpi。</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10.2图片文件存储格式：JPEG。</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10.3色彩：对彩色照片或发票等有多种色彩的证据进行全彩扫描。</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10.4质量：在原件上没有明显质量问题时，所产生的影像文件不应产生黑边、模糊、偏斜等质量问题，对于影响图像质量的非原始性的黑线、黑点</w:t>
      </w: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kern w:val="0"/>
          <w:sz w:val="24"/>
          <w:szCs w:val="24"/>
          <w:highlight w:val="none"/>
        </w:rPr>
        <w:t>如装订孔等</w:t>
      </w:r>
      <w:r>
        <w:rPr>
          <w:rFonts w:hint="eastAsia" w:ascii="宋体" w:hAnsi="宋体" w:eastAsia="宋体" w:cs="宋体"/>
          <w:i w:val="0"/>
          <w:iCs w:val="0"/>
          <w:dstrike w:val="0"/>
          <w:color w:val="000000"/>
          <w:sz w:val="24"/>
          <w:szCs w:val="24"/>
          <w:highlight w:val="none"/>
          <w:lang w:eastAsia="zh-CN"/>
        </w:rPr>
        <w:t>）</w:t>
      </w:r>
      <w:r>
        <w:rPr>
          <w:rFonts w:hint="eastAsia" w:ascii="宋体" w:hAnsi="宋体" w:eastAsia="宋体" w:cs="宋体"/>
          <w:i w:val="0"/>
          <w:iCs w:val="0"/>
          <w:dstrike w:val="0"/>
          <w:color w:val="000000"/>
          <w:kern w:val="0"/>
          <w:sz w:val="24"/>
          <w:szCs w:val="24"/>
          <w:highlight w:val="none"/>
        </w:rPr>
        <w:t>要进行修补。</w:t>
      </w:r>
    </w:p>
    <w:p>
      <w:pPr>
        <w:pStyle w:val="13"/>
        <w:spacing w:after="0" w:line="440" w:lineRule="exact"/>
        <w:ind w:firstLine="480" w:firstLineChars="200"/>
        <w:rPr>
          <w:rFonts w:hint="eastAsia" w:ascii="宋体" w:hAnsi="宋体" w:eastAsia="宋体" w:cs="宋体"/>
          <w:b w:val="0"/>
          <w:bCs w:val="0"/>
          <w:i w:val="0"/>
          <w:iCs w:val="0"/>
          <w:dstrike w:val="0"/>
          <w:color w:val="000000"/>
          <w:kern w:val="0"/>
          <w:sz w:val="24"/>
          <w:szCs w:val="24"/>
          <w:highlight w:val="none"/>
        </w:rPr>
      </w:pPr>
      <w:r>
        <w:rPr>
          <w:rFonts w:hint="eastAsia" w:ascii="宋体" w:hAnsi="宋体" w:eastAsia="宋体" w:cs="宋体"/>
          <w:b w:val="0"/>
          <w:bCs w:val="0"/>
          <w:i w:val="0"/>
          <w:iCs w:val="0"/>
          <w:dstrike w:val="0"/>
          <w:color w:val="000000"/>
          <w:kern w:val="0"/>
          <w:sz w:val="24"/>
          <w:szCs w:val="24"/>
          <w:highlight w:val="none"/>
        </w:rPr>
        <w:t>（二）迈维系统案件补充扫描服务要求</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1、从档案库房借出需要处理的卷宗，双方签字确认。</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2、以纸质卷宗为依据，人工对每一案卷的纸质档案与电子档案逐页对照检查。</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3、对检查后发现漏扫和不完整的案卷进行补充扫描。</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4 、将处理好的卷宗归还档案库房，双方签字确认。</w:t>
      </w:r>
    </w:p>
    <w:p>
      <w:pPr>
        <w:pStyle w:val="13"/>
        <w:spacing w:after="0" w:line="440" w:lineRule="exact"/>
        <w:ind w:firstLine="480" w:firstLineChars="200"/>
        <w:rPr>
          <w:rFonts w:hint="eastAsia" w:ascii="宋体" w:hAnsi="宋体" w:eastAsia="宋体" w:cs="宋体"/>
          <w:b w:val="0"/>
          <w:bCs w:val="0"/>
          <w:i w:val="0"/>
          <w:iCs w:val="0"/>
          <w:dstrike w:val="0"/>
          <w:color w:val="000000"/>
          <w:kern w:val="0"/>
          <w:sz w:val="24"/>
          <w:szCs w:val="24"/>
          <w:highlight w:val="none"/>
        </w:rPr>
      </w:pPr>
      <w:r>
        <w:rPr>
          <w:rFonts w:hint="eastAsia" w:ascii="宋体" w:hAnsi="宋体" w:eastAsia="宋体" w:cs="宋体"/>
          <w:b w:val="0"/>
          <w:bCs w:val="0"/>
          <w:i w:val="0"/>
          <w:iCs w:val="0"/>
          <w:dstrike w:val="0"/>
          <w:color w:val="000000"/>
          <w:kern w:val="0"/>
          <w:sz w:val="24"/>
          <w:szCs w:val="24"/>
          <w:highlight w:val="none"/>
        </w:rPr>
        <w:t>（三）民商事案件电子卷宗智能编目服务要求</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1、对已经上传并保存的扫描图片在待整理窗口进行自动编目（OCR识别）。</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2、人工逐页点击已识别编目、校对（根据</w:t>
      </w:r>
      <w:r>
        <w:rPr>
          <w:rFonts w:hint="eastAsia" w:ascii="宋体" w:cs="宋体"/>
          <w:i w:val="0"/>
          <w:iCs w:val="0"/>
          <w:dstrike w:val="0"/>
          <w:color w:val="000000"/>
          <w:kern w:val="0"/>
          <w:sz w:val="24"/>
          <w:szCs w:val="24"/>
          <w:highlight w:val="none"/>
          <w:lang w:val="en-US" w:eastAsia="zh-CN"/>
        </w:rPr>
        <w:t>采购人</w:t>
      </w:r>
      <w:r>
        <w:rPr>
          <w:rFonts w:hint="eastAsia" w:ascii="宋体" w:hAnsi="宋体" w:eastAsia="宋体" w:cs="宋体"/>
          <w:i w:val="0"/>
          <w:iCs w:val="0"/>
          <w:dstrike w:val="0"/>
          <w:color w:val="000000"/>
          <w:kern w:val="0"/>
          <w:sz w:val="24"/>
          <w:szCs w:val="24"/>
          <w:highlight w:val="none"/>
        </w:rPr>
        <w:t>提供编目材料名校对）、修改。</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3、对未识别的材料进行人工录入编目。</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4、再次核对材料与案件是否相符。</w:t>
      </w:r>
    </w:p>
    <w:p>
      <w:pPr>
        <w:pStyle w:val="13"/>
        <w:spacing w:after="0" w:line="440" w:lineRule="exact"/>
        <w:ind w:firstLine="480" w:firstLineChars="200"/>
        <w:rPr>
          <w:rFonts w:hint="eastAsia" w:ascii="宋体" w:hAnsi="宋体" w:eastAsia="宋体" w:cs="宋体"/>
          <w:i w:val="0"/>
          <w:iCs w:val="0"/>
          <w:dstrike w:val="0"/>
          <w:color w:val="000000"/>
          <w:kern w:val="0"/>
          <w:sz w:val="24"/>
          <w:szCs w:val="24"/>
          <w:highlight w:val="none"/>
        </w:rPr>
      </w:pPr>
      <w:r>
        <w:rPr>
          <w:rFonts w:hint="eastAsia" w:ascii="宋体" w:hAnsi="宋体" w:eastAsia="宋体" w:cs="宋体"/>
          <w:i w:val="0"/>
          <w:iCs w:val="0"/>
          <w:dstrike w:val="0"/>
          <w:color w:val="000000"/>
          <w:kern w:val="0"/>
          <w:sz w:val="24"/>
          <w:szCs w:val="24"/>
          <w:highlight w:val="none"/>
        </w:rPr>
        <w:t>5、对已完成编目材料点击确认，待所有材料全部编目后，将电子材料移送至电子卷宗过程卷。</w:t>
      </w:r>
    </w:p>
    <w:bookmarkEnd w:id="1321"/>
    <w:p>
      <w:pPr>
        <w:pStyle w:val="5"/>
        <w:ind w:firstLine="482" w:firstLineChars="200"/>
        <w:rPr>
          <w:rFonts w:hint="eastAsia" w:ascii="宋体" w:hAnsi="宋体" w:eastAsia="宋体" w:cs="宋体"/>
          <w:b/>
          <w:sz w:val="24"/>
          <w:szCs w:val="24"/>
          <w:highlight w:val="none"/>
        </w:rPr>
      </w:pPr>
      <w:bookmarkStart w:id="1322" w:name="_Toc12328"/>
      <w:bookmarkStart w:id="1323" w:name="_Toc10093"/>
      <w:r>
        <w:rPr>
          <w:rFonts w:hint="eastAsia" w:ascii="宋体" w:hAnsi="宋体" w:eastAsia="宋体" w:cs="宋体"/>
          <w:b/>
          <w:bCs w:val="0"/>
          <w:sz w:val="24"/>
          <w:szCs w:val="24"/>
          <w:highlight w:val="none"/>
          <w:lang w:val="en-US" w:eastAsia="zh-CN"/>
        </w:rPr>
        <w:t>六、</w:t>
      </w:r>
      <w:bookmarkEnd w:id="1322"/>
      <w:r>
        <w:rPr>
          <w:rFonts w:hint="eastAsia" w:ascii="宋体" w:hAnsi="宋体" w:eastAsia="宋体" w:cs="宋体"/>
          <w:b/>
          <w:sz w:val="24"/>
          <w:szCs w:val="24"/>
          <w:highlight w:val="none"/>
        </w:rPr>
        <w:t>验收方法和标准</w:t>
      </w:r>
      <w:bookmarkEnd w:id="1323"/>
    </w:p>
    <w:p>
      <w:pPr>
        <w:pStyle w:val="3"/>
        <w:spacing w:line="44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(一)</w:t>
      </w:r>
      <w:r>
        <w:rPr>
          <w:rFonts w:hint="eastAsia" w:ascii="宋体" w:hAnsi="宋体" w:eastAsia="宋体" w:cs="宋体"/>
          <w:bCs/>
          <w:sz w:val="24"/>
          <w:szCs w:val="24"/>
          <w:highlight w:val="none"/>
        </w:rPr>
        <w:t>验收包括对电子档案及档案原件两者的验收。</w:t>
      </w:r>
    </w:p>
    <w:p>
      <w:pPr>
        <w:pStyle w:val="3"/>
        <w:spacing w:line="44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(二)</w:t>
      </w:r>
      <w:r>
        <w:rPr>
          <w:rFonts w:hint="eastAsia" w:ascii="宋体" w:hAnsi="宋体" w:eastAsia="宋体" w:cs="宋体"/>
          <w:bCs/>
          <w:sz w:val="24"/>
          <w:szCs w:val="24"/>
          <w:highlight w:val="none"/>
        </w:rPr>
        <w:t>制定严格的质量控制方案，对加工的数据进行自检，自检达标的数据才能递交采购人验收。</w:t>
      </w:r>
    </w:p>
    <w:p>
      <w:pPr>
        <w:pStyle w:val="3"/>
        <w:spacing w:line="44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(三)</w:t>
      </w:r>
      <w:r>
        <w:rPr>
          <w:rFonts w:hint="eastAsia" w:ascii="宋体" w:hAnsi="宋体" w:eastAsia="宋体" w:cs="宋体"/>
          <w:bCs/>
          <w:sz w:val="24"/>
          <w:szCs w:val="24"/>
          <w:highlight w:val="none"/>
        </w:rPr>
        <w:t>档案原件验收必须逐卷清点，按档案数量、文件状况、卷内文件页数与顺序、装订要求等进行检查；顺序错误、装订不符要求、卷间文件颠倒等作为差错，需要重新调整。</w:t>
      </w:r>
    </w:p>
    <w:p>
      <w:pPr>
        <w:pStyle w:val="3"/>
        <w:spacing w:line="44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(四)</w:t>
      </w:r>
      <w:r>
        <w:rPr>
          <w:rFonts w:hint="eastAsia" w:ascii="宋体" w:hAnsi="宋体" w:eastAsia="宋体" w:cs="宋体"/>
          <w:bCs/>
          <w:sz w:val="24"/>
          <w:szCs w:val="24"/>
          <w:highlight w:val="none"/>
        </w:rPr>
        <w:t>完成所有数字化扫描加工任务，运行一个月后，由双方共同进行验收，验收通过以双方签署项目验收单为准。</w:t>
      </w:r>
    </w:p>
    <w:p>
      <w:pPr>
        <w:pStyle w:val="3"/>
        <w:spacing w:line="44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(五)</w:t>
      </w:r>
      <w:r>
        <w:rPr>
          <w:rFonts w:hint="eastAsia" w:ascii="宋体" w:hAnsi="宋体" w:eastAsia="宋体" w:cs="宋体"/>
          <w:bCs/>
          <w:sz w:val="24"/>
          <w:szCs w:val="24"/>
          <w:highlight w:val="none"/>
        </w:rPr>
        <w:t>双方各指定专人做好档案的清点交接工作。</w:t>
      </w:r>
    </w:p>
    <w:p>
      <w:pPr>
        <w:pStyle w:val="3"/>
        <w:spacing w:line="44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(六)</w:t>
      </w:r>
      <w:r>
        <w:rPr>
          <w:rFonts w:hint="eastAsia" w:ascii="宋体" w:hAnsi="宋体" w:eastAsia="宋体" w:cs="宋体"/>
          <w:bCs/>
          <w:sz w:val="24"/>
          <w:szCs w:val="24"/>
          <w:highlight w:val="none"/>
        </w:rPr>
        <w:t>供应商与采购人应严格按照《财政部关于进一步加强政府采购需求和履约验收管理的指导意见》</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并参照</w:t>
      </w:r>
      <w:r>
        <w:rPr>
          <w:rFonts w:hint="eastAsia" w:ascii="宋体" w:hAnsi="宋体" w:eastAsia="宋体" w:cs="宋体"/>
          <w:bCs/>
          <w:sz w:val="24"/>
          <w:szCs w:val="24"/>
          <w:highlight w:val="none"/>
        </w:rPr>
        <w:t>四川省财政厅印发《四川省政府采购项目需求论证和履约验收管理办法》的要求进行最终验收。</w:t>
      </w:r>
    </w:p>
    <w:p>
      <w:pPr>
        <w:pStyle w:val="5"/>
        <w:spacing w:line="440" w:lineRule="exact"/>
        <w:ind w:firstLine="482" w:firstLineChars="200"/>
        <w:rPr>
          <w:rFonts w:hint="eastAsia" w:ascii="宋体" w:hAnsi="宋体" w:eastAsia="宋体" w:cs="宋体"/>
          <w:bCs w:val="0"/>
          <w:sz w:val="24"/>
          <w:szCs w:val="24"/>
          <w:highlight w:val="none"/>
        </w:rPr>
      </w:pPr>
      <w:bookmarkStart w:id="1324" w:name="_Toc19806"/>
      <w:bookmarkStart w:id="1325" w:name="_Toc4323"/>
      <w:r>
        <w:rPr>
          <w:rFonts w:hint="eastAsia" w:ascii="宋体" w:hAnsi="宋体" w:eastAsia="宋体" w:cs="宋体"/>
          <w:sz w:val="24"/>
          <w:szCs w:val="24"/>
          <w:highlight w:val="none"/>
        </w:rPr>
        <w:t>※</w:t>
      </w:r>
      <w:r>
        <w:rPr>
          <w:rFonts w:hint="eastAsia" w:ascii="宋体" w:hAnsi="宋体" w:eastAsia="宋体" w:cs="宋体"/>
          <w:bCs w:val="0"/>
          <w:sz w:val="24"/>
          <w:szCs w:val="24"/>
          <w:highlight w:val="none"/>
        </w:rPr>
        <w:t>七、安全保密</w:t>
      </w:r>
      <w:bookmarkEnd w:id="1324"/>
      <w:bookmarkEnd w:id="1325"/>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(一)</w:t>
      </w:r>
      <w:r>
        <w:rPr>
          <w:rFonts w:hint="eastAsia" w:ascii="宋体" w:hAnsi="宋体" w:eastAsia="宋体" w:cs="宋体"/>
          <w:bCs/>
          <w:sz w:val="24"/>
          <w:szCs w:val="24"/>
          <w:highlight w:val="none"/>
        </w:rPr>
        <w:t>供应商必须承诺中标后与采购人签订并严格落实安全保密协议书，保证档案资料的安全保密性，做到绝对不外泄任何信息</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投标人应在投标文件中针对此条单独</w:t>
      </w:r>
      <w:r>
        <w:rPr>
          <w:rFonts w:hint="eastAsia" w:ascii="宋体" w:hAnsi="宋体" w:eastAsia="宋体" w:cs="宋体"/>
          <w:bCs/>
          <w:sz w:val="24"/>
          <w:szCs w:val="24"/>
          <w:highlight w:val="none"/>
        </w:rPr>
        <w:t>提供承诺函原件加盖公章</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格式自拟</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(二)所</w:t>
      </w:r>
      <w:r>
        <w:rPr>
          <w:rFonts w:hint="eastAsia" w:ascii="宋体" w:hAnsi="宋体" w:eastAsia="宋体" w:cs="宋体"/>
          <w:bCs/>
          <w:sz w:val="24"/>
          <w:szCs w:val="24"/>
          <w:highlight w:val="none"/>
        </w:rPr>
        <w:t>有进入加工场地的工作人员实行挂牌制度。杜绝工作人员对档案及档案信息的私自复制行为。</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(三)</w:t>
      </w:r>
      <w:r>
        <w:rPr>
          <w:rFonts w:hint="eastAsia" w:ascii="宋体" w:hAnsi="宋体" w:eastAsia="宋体" w:cs="宋体"/>
          <w:bCs/>
          <w:sz w:val="24"/>
          <w:szCs w:val="24"/>
          <w:highlight w:val="none"/>
        </w:rPr>
        <w:t>本项目制作的数字化产品的所有权归采购人所有，在未经其同意、授权的情况下，不得擅自将产品转让给第三方使用及用于样本展示，否则将承担一切经济和法律责任。</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(四)</w:t>
      </w:r>
      <w:r>
        <w:rPr>
          <w:rFonts w:hint="eastAsia" w:ascii="宋体" w:hAnsi="宋体" w:eastAsia="宋体" w:cs="宋体"/>
          <w:bCs/>
          <w:sz w:val="24"/>
          <w:szCs w:val="24"/>
          <w:highlight w:val="none"/>
        </w:rPr>
        <w:t>进行数据移交时，工作站上的数据必须在采购人工作人员的现场监督下销毁，同时移交该批次数字化加工的监管记录。</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(五)</w:t>
      </w:r>
      <w:r>
        <w:rPr>
          <w:rFonts w:hint="eastAsia" w:ascii="宋体" w:hAnsi="宋体" w:eastAsia="宋体" w:cs="宋体"/>
          <w:bCs/>
          <w:sz w:val="24"/>
          <w:szCs w:val="24"/>
          <w:highlight w:val="none"/>
        </w:rPr>
        <w:t>不得在扫描场地使用与扫描无关的设备。</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(六)</w:t>
      </w:r>
      <w:r>
        <w:rPr>
          <w:rFonts w:hint="eastAsia" w:ascii="宋体" w:hAnsi="宋体" w:eastAsia="宋体" w:cs="宋体"/>
          <w:bCs/>
          <w:sz w:val="24"/>
          <w:szCs w:val="24"/>
          <w:highlight w:val="none"/>
        </w:rPr>
        <w:t>严格执行国家档案局发布的《档案数字化外包安全管理规范》。</w:t>
      </w:r>
    </w:p>
    <w:p>
      <w:pPr>
        <w:pStyle w:val="5"/>
        <w:keepNext w:val="0"/>
        <w:keepLines w:val="0"/>
        <w:pageBreakBefore w:val="0"/>
        <w:widowControl w:val="0"/>
        <w:kinsoku/>
        <w:wordWrap/>
        <w:overflowPunct/>
        <w:topLinePunct w:val="0"/>
        <w:autoSpaceDE/>
        <w:autoSpaceDN/>
        <w:bidi w:val="0"/>
        <w:adjustRightInd/>
        <w:snapToGrid w:val="0"/>
        <w:spacing w:line="440" w:lineRule="exact"/>
        <w:ind w:leftChars="0" w:firstLine="482" w:firstLineChars="200"/>
        <w:textAlignment w:val="auto"/>
        <w:rPr>
          <w:rFonts w:hint="eastAsia" w:ascii="宋体" w:hAnsi="宋体" w:eastAsia="宋体" w:cs="宋体"/>
          <w:b/>
          <w:bCs w:val="0"/>
          <w:sz w:val="24"/>
          <w:szCs w:val="24"/>
          <w:highlight w:val="none"/>
          <w:lang w:val="en-US" w:eastAsia="zh-CN"/>
        </w:rPr>
      </w:pPr>
      <w:bookmarkStart w:id="1326" w:name="_Toc6305"/>
      <w:bookmarkStart w:id="1327" w:name="_Toc6943"/>
      <w:r>
        <w:rPr>
          <w:rFonts w:hint="eastAsia" w:ascii="宋体" w:hAnsi="宋体" w:eastAsia="宋体" w:cs="宋体"/>
          <w:b/>
          <w:bCs w:val="0"/>
          <w:sz w:val="24"/>
          <w:szCs w:val="24"/>
          <w:highlight w:val="none"/>
          <w:lang w:val="en-US" w:eastAsia="zh-CN"/>
        </w:rPr>
        <w:t>八、履约要求</w:t>
      </w:r>
      <w:bookmarkEnd w:id="1326"/>
      <w:bookmarkEnd w:id="1327"/>
    </w:p>
    <w:p>
      <w:pPr>
        <w:keepNext/>
        <w:keepLines/>
        <w:pageBreakBefore w:val="0"/>
        <w:widowControl w:val="0"/>
        <w:kinsoku/>
        <w:wordWrap/>
        <w:overflowPunct/>
        <w:topLinePunct w:val="0"/>
        <w:autoSpaceDE/>
        <w:autoSpaceDN/>
        <w:bidi w:val="0"/>
        <w:adjustRightInd w:val="0"/>
        <w:snapToGrid w:val="0"/>
        <w:spacing w:line="440" w:lineRule="exact"/>
        <w:ind w:leftChars="0" w:firstLine="480" w:firstLineChars="200"/>
        <w:textAlignment w:val="auto"/>
        <w:outlineLvl w:val="9"/>
        <w:rPr>
          <w:rFonts w:hint="eastAsia" w:ascii="宋体" w:hAnsi="宋体" w:eastAsia="宋体" w:cs="宋体"/>
          <w:b w:val="0"/>
          <w:bCs/>
          <w:kern w:val="0"/>
          <w:sz w:val="24"/>
          <w:szCs w:val="24"/>
          <w:highlight w:val="none"/>
          <w:lang w:val="en-US" w:eastAsia="zh-CN"/>
        </w:rPr>
      </w:pPr>
      <w:r>
        <w:rPr>
          <w:rFonts w:hint="eastAsia" w:cs="宋体"/>
          <w:b w:val="0"/>
          <w:bCs/>
          <w:kern w:val="0"/>
          <w:sz w:val="24"/>
          <w:szCs w:val="24"/>
          <w:highlight w:val="none"/>
          <w:lang w:val="en-US" w:eastAsia="zh-CN"/>
        </w:rPr>
        <w:t>(一)</w:t>
      </w:r>
      <w:r>
        <w:rPr>
          <w:rFonts w:hint="eastAsia" w:ascii="宋体" w:hAnsi="宋体" w:eastAsia="宋体" w:cs="宋体"/>
          <w:b w:val="0"/>
          <w:bCs/>
          <w:kern w:val="0"/>
          <w:sz w:val="24"/>
          <w:szCs w:val="24"/>
          <w:highlight w:val="none"/>
          <w:lang w:val="en-US" w:eastAsia="zh-CN"/>
        </w:rPr>
        <w:t>服务能力</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1、拟投入项目人员配置及专业技术能力(团队组成、分工协作、专业能力证明、履约经验等)。</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2、项目实施所需的设施设备(与本项目完成有关的软硬件配置，提供设施设备清单)。</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3、投标人针对本项目提供务实可行的增值服务措施或有利于采购人的服务承诺等。</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(二)服务方案</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整体服务方案，包含但不限于(项目管理方案、项目实施组织架构及岗位职责、项目实施流程图、材料交接方案、材料整理方案、材料扫描方案、图像质检方案、电子卷宗智能编目方案、审核结案方案、纸质归档方案、归档上架方案、项目实施质量要求及保证措施、项目实施应急预案、项目验收方案、项目实施人员培训方案等内容)</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2、实施计划，包含但不限于(①设备配置计划；②人员配置计划；③加工进度计划等内容)</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 xml:space="preserve">3、重难点分析应对，包含但不限于(①项目重、难点分析；②针对本项目应对措施等内容)   </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4、项目安全保障方案，包含但不限于(①档案信息安全保障措施、②档案安全保密制度、③实物档案安全保证措施等内容)</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5、售后服务方案，包含但不限于(①售后服务应答时间、维护时间和维护方式；②售后服务范围及期限；③本地化售后服务机构和人员保障；④售后服务监督；⑤增值服务及临时技术支持服务等内容)</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注：①投标人应当根据本项目实际情况提供真实、客观的履约能力证明材料。</w:t>
      </w:r>
    </w:p>
    <w:p>
      <w:pPr>
        <w:pStyle w:val="11"/>
        <w:keepNext w:val="0"/>
        <w:keepLines w:val="0"/>
        <w:pageBreakBefore w:val="0"/>
        <w:widowControl w:val="0"/>
        <w:kinsoku/>
        <w:wordWrap/>
        <w:overflowPunct/>
        <w:topLinePunct w:val="0"/>
        <w:autoSpaceDE/>
        <w:autoSpaceDN/>
        <w:bidi w:val="0"/>
        <w:adjustRightInd/>
        <w:snapToGrid w:val="0"/>
        <w:spacing w:line="440" w:lineRule="exact"/>
        <w:ind w:leftChars="0" w:firstLine="480" w:firstLineChars="200"/>
        <w:textAlignment w:val="auto"/>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②投标人应当保证所提交的所有材料的真实性，若提交虚假材料谋取中标的，应当将该供应商按失信行为记入诚信档案。</w:t>
      </w:r>
    </w:p>
    <w:p>
      <w:pPr>
        <w:pStyle w:val="11"/>
        <w:widowControl w:val="0"/>
        <w:snapToGrid w:val="0"/>
        <w:spacing w:line="440" w:lineRule="exact"/>
        <w:ind w:firstLine="480" w:firstLineChars="200"/>
        <w:rPr>
          <w:rFonts w:hint="eastAsia" w:ascii="宋体" w:hAnsi="宋体" w:eastAsia="宋体" w:cs="宋体"/>
          <w:bCs/>
          <w:kern w:val="0"/>
          <w:sz w:val="24"/>
          <w:szCs w:val="24"/>
          <w:highlight w:val="none"/>
        </w:rPr>
      </w:pPr>
      <w:r>
        <w:rPr>
          <w:rFonts w:hint="eastAsia" w:ascii="宋体" w:hAnsi="宋体" w:eastAsia="宋体" w:cs="宋体"/>
          <w:b w:val="0"/>
          <w:bCs/>
          <w:kern w:val="0"/>
          <w:sz w:val="24"/>
          <w:szCs w:val="24"/>
          <w:highlight w:val="none"/>
          <w:lang w:val="en-US" w:eastAsia="zh-CN" w:bidi="ar-SA"/>
        </w:rPr>
        <w:t>③投标人根据项目的实际需求和具体情况实事求是地编制文件，能具体量化，具有可行性及便于监督考核，不得违反法律、法规规定，不得夸大其词和空口许诺。</w:t>
      </w:r>
    </w:p>
    <w:p>
      <w:pPr>
        <w:pStyle w:val="5"/>
        <w:spacing w:line="240" w:lineRule="auto"/>
        <w:ind w:firstLine="482" w:firstLineChars="0"/>
        <w:rPr>
          <w:rFonts w:hint="eastAsia" w:ascii="宋体" w:hAnsi="宋体" w:eastAsia="宋体" w:cs="宋体"/>
          <w:sz w:val="24"/>
          <w:szCs w:val="24"/>
          <w:highlight w:val="none"/>
        </w:rPr>
      </w:pPr>
      <w:bookmarkStart w:id="1328" w:name="_Toc6201"/>
      <w:bookmarkStart w:id="1329" w:name="_Toc28672"/>
      <w:r>
        <w:rPr>
          <w:rFonts w:hint="eastAsia" w:ascii="宋体" w:hAnsi="宋体" w:eastAsia="宋体" w:cs="宋体"/>
          <w:b/>
          <w:bCs w:val="0"/>
          <w:sz w:val="24"/>
          <w:szCs w:val="24"/>
          <w:highlight w:val="none"/>
          <w:lang w:val="en-US" w:eastAsia="zh-CN"/>
        </w:rPr>
        <w:t>九</w:t>
      </w:r>
      <w:r>
        <w:rPr>
          <w:rFonts w:hint="eastAsia" w:ascii="宋体" w:hAnsi="宋体" w:eastAsia="宋体" w:cs="宋体"/>
          <w:b/>
          <w:bCs w:val="0"/>
          <w:sz w:val="24"/>
          <w:szCs w:val="24"/>
          <w:highlight w:val="none"/>
        </w:rPr>
        <w:t>、</w:t>
      </w:r>
      <w:r>
        <w:rPr>
          <w:rFonts w:hint="eastAsia" w:ascii="宋体" w:hAnsi="宋体" w:eastAsia="宋体" w:cs="宋体"/>
          <w:sz w:val="24"/>
          <w:szCs w:val="24"/>
          <w:highlight w:val="none"/>
        </w:rPr>
        <w:t>商务要求</w:t>
      </w:r>
      <w:bookmarkEnd w:id="1328"/>
      <w:bookmarkEnd w:id="1329"/>
    </w:p>
    <w:p>
      <w:pPr>
        <w:pStyle w:val="3"/>
        <w:spacing w:line="44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(一)履约地点</w:t>
      </w:r>
    </w:p>
    <w:p>
      <w:pPr>
        <w:pStyle w:val="3"/>
        <w:spacing w:line="440" w:lineRule="exact"/>
        <w:ind w:firstLine="480" w:firstLineChars="200"/>
        <w:rPr>
          <w:rFonts w:hint="eastAsia" w:ascii="宋体" w:hAnsi="宋体" w:eastAsia="宋体" w:cs="宋体"/>
          <w:bCs/>
          <w:kern w:val="2"/>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服务期限</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服务期限</w:t>
      </w:r>
      <w:r>
        <w:rPr>
          <w:rFonts w:hint="eastAsia" w:ascii="宋体" w:hAnsi="宋体" w:eastAsia="宋体" w:cs="宋体"/>
          <w:bCs/>
          <w:sz w:val="24"/>
          <w:szCs w:val="24"/>
          <w:highlight w:val="none"/>
          <w:lang w:val="en-US" w:eastAsia="zh-CN"/>
        </w:rPr>
        <w:t>3年，合同一年一签，其中电子卷宗智能编目（命名）服务项目会根据我院实际工作需要进行增减。在购买服务合同期限内，如无解除合同事由，每一年期满经过履约验收合格</w:t>
      </w:r>
      <w:r>
        <w:rPr>
          <w:rFonts w:hint="eastAsia" w:ascii="宋体" w:hAnsi="宋体" w:eastAsia="宋体" w:cs="宋体"/>
          <w:bCs/>
          <w:sz w:val="24"/>
          <w:szCs w:val="24"/>
          <w:highlight w:val="none"/>
        </w:rPr>
        <w:t>后，双方经协商一致，</w:t>
      </w:r>
      <w:r>
        <w:rPr>
          <w:rFonts w:hint="eastAsia" w:ascii="宋体" w:hAnsi="宋体" w:cs="宋体"/>
          <w:bCs/>
          <w:sz w:val="24"/>
          <w:szCs w:val="24"/>
          <w:highlight w:val="none"/>
          <w:lang w:val="en-US" w:eastAsia="zh-CN"/>
        </w:rPr>
        <w:t>在预算保障的前提下，</w:t>
      </w:r>
      <w:r>
        <w:rPr>
          <w:rFonts w:hint="eastAsia" w:ascii="宋体" w:hAnsi="宋体" w:eastAsia="宋体" w:cs="宋体"/>
          <w:bCs/>
          <w:sz w:val="24"/>
          <w:szCs w:val="24"/>
          <w:highlight w:val="none"/>
          <w:lang w:val="en-US" w:eastAsia="zh-CN"/>
        </w:rPr>
        <w:t>可以</w:t>
      </w:r>
      <w:r>
        <w:rPr>
          <w:rFonts w:hint="eastAsia" w:ascii="宋体" w:hAnsi="宋体" w:eastAsia="宋体" w:cs="宋体"/>
          <w:bCs/>
          <w:sz w:val="24"/>
          <w:szCs w:val="24"/>
          <w:highlight w:val="none"/>
        </w:rPr>
        <w:t>续签档案数字化加工服务协议。</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履约地点：采购人</w:t>
      </w:r>
      <w:r>
        <w:rPr>
          <w:rFonts w:hint="eastAsia" w:ascii="宋体" w:hAnsi="宋体" w:eastAsia="宋体" w:cs="宋体"/>
          <w:bCs/>
          <w:sz w:val="24"/>
          <w:szCs w:val="24"/>
          <w:highlight w:val="none"/>
          <w:lang w:val="en-US" w:eastAsia="zh-CN"/>
        </w:rPr>
        <w:t>指定地点</w:t>
      </w:r>
      <w:r>
        <w:rPr>
          <w:rFonts w:hint="eastAsia" w:ascii="宋体" w:hAnsi="宋体" w:eastAsia="宋体" w:cs="宋体"/>
          <w:bCs/>
          <w:sz w:val="24"/>
          <w:szCs w:val="24"/>
          <w:highlight w:val="none"/>
        </w:rPr>
        <w:t>。</w:t>
      </w:r>
    </w:p>
    <w:p>
      <w:pPr>
        <w:pStyle w:val="3"/>
        <w:spacing w:line="44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(二)履约保证金</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本项目不收取履约保证金。</w:t>
      </w:r>
    </w:p>
    <w:p>
      <w:pPr>
        <w:pStyle w:val="3"/>
        <w:numPr>
          <w:ilvl w:val="0"/>
          <w:numId w:val="27"/>
        </w:numPr>
        <w:spacing w:line="440" w:lineRule="exact"/>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报价及合同价</w:t>
      </w:r>
    </w:p>
    <w:p>
      <w:pPr>
        <w:pStyle w:val="3"/>
        <w:numPr>
          <w:ilvl w:val="-1"/>
          <w:numId w:val="0"/>
        </w:numPr>
        <w:spacing w:line="440" w:lineRule="exact"/>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1、本项目采用分类报价：</w:t>
      </w:r>
    </w:p>
    <w:p>
      <w:pPr>
        <w:pStyle w:val="3"/>
        <w:numPr>
          <w:ilvl w:val="-1"/>
          <w:numId w:val="0"/>
        </w:numPr>
        <w:spacing w:line="440" w:lineRule="exact"/>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①新增案件扫描及整理归档服务：按案件计价，</w:t>
      </w:r>
      <w:r>
        <w:rPr>
          <w:rFonts w:hint="eastAsia" w:ascii="宋体" w:hAnsi="宋体" w:cs="宋体"/>
          <w:b w:val="0"/>
          <w:bCs/>
          <w:sz w:val="24"/>
          <w:szCs w:val="24"/>
          <w:highlight w:val="none"/>
          <w:lang w:val="en-US" w:eastAsia="zh-CN"/>
        </w:rPr>
        <w:t>单价</w:t>
      </w:r>
      <w:r>
        <w:rPr>
          <w:rFonts w:hint="eastAsia" w:ascii="宋体" w:hAnsi="宋体" w:eastAsia="宋体" w:cs="宋体"/>
          <w:b w:val="0"/>
          <w:bCs/>
          <w:sz w:val="24"/>
          <w:szCs w:val="24"/>
          <w:highlight w:val="none"/>
          <w:lang w:val="en-US" w:eastAsia="zh-CN"/>
        </w:rPr>
        <w:t>最高限价64元/件。</w:t>
      </w:r>
    </w:p>
    <w:p>
      <w:pPr>
        <w:pStyle w:val="3"/>
        <w:numPr>
          <w:ilvl w:val="-1"/>
          <w:numId w:val="0"/>
        </w:numPr>
        <w:spacing w:line="440" w:lineRule="exact"/>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②迈维系统案件补充扫描服务</w:t>
      </w:r>
      <w:r>
        <w:rPr>
          <w:rFonts w:hint="eastAsia" w:ascii="宋体" w:hAnsi="宋体" w:cs="宋体"/>
          <w:b w:val="0"/>
          <w:bCs/>
          <w:sz w:val="24"/>
          <w:szCs w:val="24"/>
          <w:highlight w:val="none"/>
          <w:lang w:val="en-US" w:eastAsia="zh-CN"/>
        </w:rPr>
        <w:t>及</w:t>
      </w:r>
      <w:r>
        <w:rPr>
          <w:rFonts w:hint="eastAsia" w:ascii="宋体" w:hAnsi="宋体" w:eastAsia="宋体" w:cs="宋体"/>
          <w:b w:val="0"/>
          <w:bCs/>
          <w:sz w:val="24"/>
          <w:szCs w:val="24"/>
          <w:highlight w:val="none"/>
          <w:lang w:val="en-US" w:eastAsia="zh-CN"/>
        </w:rPr>
        <w:t>电子卷宗智能编目服务：按劳务派遣计价，</w:t>
      </w:r>
      <w:r>
        <w:rPr>
          <w:rFonts w:hint="eastAsia" w:ascii="宋体" w:hAnsi="宋体" w:cs="宋体"/>
          <w:b w:val="0"/>
          <w:bCs/>
          <w:sz w:val="24"/>
          <w:szCs w:val="24"/>
          <w:highlight w:val="none"/>
          <w:lang w:val="en-US" w:eastAsia="zh-CN"/>
        </w:rPr>
        <w:t>单价</w:t>
      </w:r>
      <w:r>
        <w:rPr>
          <w:rFonts w:hint="eastAsia" w:ascii="宋体" w:hAnsi="宋体" w:eastAsia="宋体" w:cs="宋体"/>
          <w:b w:val="0"/>
          <w:bCs/>
          <w:sz w:val="24"/>
          <w:szCs w:val="24"/>
          <w:highlight w:val="none"/>
          <w:lang w:val="en-US" w:eastAsia="zh-CN"/>
        </w:rPr>
        <w:t>最高限价6.5万元/人/年。</w:t>
      </w:r>
    </w:p>
    <w:p>
      <w:pPr>
        <w:pStyle w:val="3"/>
        <w:numPr>
          <w:ilvl w:val="0"/>
          <w:numId w:val="0"/>
        </w:numPr>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lang w:val="en-US" w:eastAsia="zh-CN"/>
        </w:rPr>
        <w:t>2、</w:t>
      </w:r>
      <w:r>
        <w:rPr>
          <w:rFonts w:hint="eastAsia" w:ascii="宋体" w:hAnsi="宋体" w:eastAsia="宋体" w:cs="宋体"/>
          <w:bCs/>
          <w:sz w:val="24"/>
          <w:szCs w:val="24"/>
          <w:highlight w:val="none"/>
        </w:rPr>
        <w:t>合同价是</w:t>
      </w:r>
      <w:r>
        <w:rPr>
          <w:rFonts w:hint="eastAsia" w:ascii="宋体" w:hAnsi="宋体" w:eastAsia="宋体" w:cs="宋体"/>
          <w:bCs/>
          <w:sz w:val="24"/>
          <w:szCs w:val="24"/>
          <w:highlight w:val="none"/>
          <w:lang w:val="en-US" w:eastAsia="zh-CN"/>
        </w:rPr>
        <w:t>投标人</w:t>
      </w:r>
      <w:r>
        <w:rPr>
          <w:rFonts w:hint="eastAsia" w:ascii="宋体" w:hAnsi="宋体" w:eastAsia="宋体" w:cs="宋体"/>
          <w:b w:val="0"/>
          <w:bCs/>
          <w:sz w:val="24"/>
          <w:szCs w:val="24"/>
          <w:highlight w:val="none"/>
          <w:lang w:val="en-US" w:eastAsia="zh-CN"/>
        </w:rPr>
        <w:t>完成采购人当前环境下项目正常运行所需的全部费用</w:t>
      </w:r>
      <w:r>
        <w:rPr>
          <w:rFonts w:hint="eastAsia" w:ascii="宋体" w:hAnsi="宋体" w:eastAsia="宋体" w:cs="宋体"/>
          <w:bCs/>
          <w:sz w:val="24"/>
          <w:szCs w:val="24"/>
          <w:highlight w:val="none"/>
        </w:rPr>
        <w:t>，包含完成本项目所涉及人员</w:t>
      </w:r>
      <w:r>
        <w:rPr>
          <w:rFonts w:hint="eastAsia" w:ascii="宋体" w:hAnsi="宋体" w:eastAsia="宋体" w:cs="宋体"/>
          <w:bCs/>
          <w:sz w:val="24"/>
          <w:szCs w:val="24"/>
          <w:highlight w:val="none"/>
          <w:lang w:val="en-US" w:eastAsia="zh-CN"/>
        </w:rPr>
        <w:t>薪资</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设备投入</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交通住宿</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整理、扫描、编目、管理</w:t>
      </w:r>
      <w:r>
        <w:rPr>
          <w:rFonts w:hint="eastAsia" w:ascii="宋体" w:hAnsi="宋体" w:eastAsia="宋体" w:cs="宋体"/>
          <w:bCs/>
          <w:sz w:val="24"/>
          <w:szCs w:val="24"/>
          <w:highlight w:val="none"/>
        </w:rPr>
        <w:t>、成果、利润、保险、风险、税金、招标代理服务费以及招标文件规定的一切费用。</w:t>
      </w:r>
    </w:p>
    <w:p>
      <w:pPr>
        <w:pStyle w:val="3"/>
        <w:spacing w:line="44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(四)付款方式</w:t>
      </w:r>
    </w:p>
    <w:p>
      <w:pPr>
        <w:pStyle w:val="75"/>
        <w:pageBreakBefore w:val="0"/>
        <w:kinsoku/>
        <w:wordWrap w:val="0"/>
        <w:overflowPunct/>
        <w:bidi w:val="0"/>
        <w:snapToGrid/>
        <w:spacing w:line="440" w:lineRule="exact"/>
        <w:ind w:firstLine="480"/>
        <w:jc w:val="left"/>
        <w:rPr>
          <w:rFonts w:hint="eastAsia" w:ascii="宋体" w:hAnsi="宋体" w:eastAsia="宋体" w:cs="宋体"/>
          <w:bCs/>
          <w:sz w:val="24"/>
          <w:szCs w:val="24"/>
          <w:highlight w:val="none"/>
        </w:rPr>
      </w:pPr>
      <w:r>
        <w:rPr>
          <w:rFonts w:hint="eastAsia" w:cs="宋体"/>
          <w:bCs/>
          <w:sz w:val="24"/>
          <w:szCs w:val="24"/>
          <w:highlight w:val="none"/>
          <w:lang w:val="en-US" w:eastAsia="zh-CN"/>
        </w:rPr>
        <w:t>1.</w:t>
      </w:r>
      <w:r>
        <w:rPr>
          <w:rFonts w:hint="eastAsia" w:ascii="宋体" w:hAnsi="宋体" w:eastAsia="宋体" w:cs="宋体"/>
          <w:bCs/>
          <w:sz w:val="24"/>
          <w:szCs w:val="24"/>
          <w:highlight w:val="none"/>
        </w:rPr>
        <w:t>按月结算，新增案件扫描及归档工作按每月验收合格后的实际加工量进行结算；迈维系统内案件材料检查和补充扫描以及民商事案件材料智能编目（命名）服务按人力数结算。每月结算数量以双方签字的《数字化项目验收情况与费用结算确认单》为准，</w:t>
      </w:r>
      <w:r>
        <w:rPr>
          <w:rFonts w:hint="eastAsia" w:cs="宋体"/>
          <w:bCs/>
          <w:sz w:val="24"/>
          <w:szCs w:val="24"/>
          <w:highlight w:val="none"/>
          <w:lang w:val="en-US" w:eastAsia="zh-CN"/>
        </w:rPr>
        <w:t>四川省</w:t>
      </w:r>
      <w:r>
        <w:rPr>
          <w:rFonts w:hint="eastAsia" w:ascii="宋体" w:hAnsi="宋体" w:eastAsia="宋体" w:cs="宋体"/>
          <w:bCs/>
          <w:sz w:val="24"/>
          <w:szCs w:val="24"/>
          <w:highlight w:val="none"/>
        </w:rPr>
        <w:t>成都市中级人民法院接到供应商开具的发票后7个工作日内付款。</w:t>
      </w:r>
    </w:p>
    <w:p>
      <w:pPr>
        <w:pStyle w:val="75"/>
        <w:pageBreakBefore w:val="0"/>
        <w:kinsoku/>
        <w:wordWrap w:val="0"/>
        <w:overflowPunct/>
        <w:bidi w:val="0"/>
        <w:snapToGrid/>
        <w:spacing w:line="440" w:lineRule="exact"/>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须向采购人出具合法有效完整的完税发票</w:t>
      </w:r>
      <w:r>
        <w:rPr>
          <w:rFonts w:hint="eastAsia" w:asciiTheme="minorEastAsia" w:hAnsiTheme="minorEastAsia" w:eastAsiaTheme="minorEastAsia" w:cstheme="minorEastAsia"/>
          <w:color w:val="auto"/>
          <w:sz w:val="24"/>
          <w:szCs w:val="24"/>
          <w:highlight w:val="none"/>
        </w:rPr>
        <w:t>及凭证资料后进行支付结算，付款方式均采用公对公的银行转账，</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接受转账的开户信息以采购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合同载明的为准。</w:t>
      </w:r>
    </w:p>
    <w:p>
      <w:pPr>
        <w:pStyle w:val="3"/>
        <w:pageBreakBefore w:val="0"/>
        <w:kinsoku/>
        <w:overflowPunct/>
        <w:bidi w:val="0"/>
        <w:adjustRightInd w:val="0"/>
        <w:snapToGrid/>
        <w:spacing w:line="440" w:lineRule="exact"/>
        <w:ind w:firstLine="480" w:firstLineChars="200"/>
        <w:textAlignment w:val="baseline"/>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val="en-US" w:eastAsia="zh-CN"/>
        </w:rPr>
        <w:t>(五)</w:t>
      </w:r>
      <w:r>
        <w:rPr>
          <w:rFonts w:hint="eastAsia" w:ascii="宋体" w:hAnsi="宋体" w:eastAsia="宋体" w:cs="宋体"/>
          <w:b w:val="0"/>
          <w:bCs/>
          <w:sz w:val="24"/>
          <w:szCs w:val="24"/>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必须遵守</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合同并执行合同中的各项规定，保证</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如因</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工作人员在履行职务过程中的疏忽、失职、过错等故意或者过失原因给</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造成损失或侵害，包括但不限于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本身的财产损失、由此而导致的</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对任何第三方的法律责任等，</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供应商必须遵守采购合同按时完成合同相关工作，若由于供应商原因导致合同迟延履</w:t>
      </w:r>
      <w:r>
        <w:rPr>
          <w:rFonts w:hint="eastAsia" w:asciiTheme="minorEastAsia" w:hAnsiTheme="minorEastAsia" w:eastAsiaTheme="minorEastAsia" w:cstheme="minorEastAsia"/>
          <w:color w:val="000000" w:themeColor="text1"/>
          <w:spacing w:val="-6"/>
          <w:sz w:val="24"/>
          <w:highlight w:val="none"/>
          <w:lang w:val="en-US" w:eastAsia="zh-CN"/>
          <w14:textFill>
            <w14:solidFill>
              <w14:schemeClr w14:val="tx1"/>
            </w14:solidFill>
          </w14:textFill>
        </w:rPr>
        <w:t>行，供应商应承担采购合同中约定承担违约责任。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63"/>
        <w:numPr>
          <w:ilvl w:val="3"/>
          <w:numId w:val="0"/>
        </w:numPr>
        <w:spacing w:line="440" w:lineRule="exact"/>
        <w:ind w:firstLine="480" w:firstLineChars="200"/>
        <w:jc w:val="both"/>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有下列情形之一的，当事人可以解除合同：</w:t>
      </w:r>
      <w:r>
        <w:rPr>
          <w:rFonts w:hint="eastAsia" w:ascii="宋体" w:hAnsi="宋体" w:eastAsia="宋体" w:cs="宋体"/>
          <w:bCs/>
          <w:sz w:val="24"/>
          <w:szCs w:val="24"/>
          <w:highlight w:val="none"/>
        </w:rPr>
        <w:br w:type="textWrapping"/>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5.1</w:t>
      </w:r>
      <w:r>
        <w:rPr>
          <w:rFonts w:hint="eastAsia" w:ascii="宋体" w:hAnsi="宋体" w:eastAsia="宋体" w:cs="宋体"/>
          <w:bCs/>
          <w:sz w:val="24"/>
          <w:szCs w:val="24"/>
          <w:highlight w:val="none"/>
        </w:rPr>
        <w:t>因不可抗力致使不能实现合同目的</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由于非供应商或采购人原因，致使合同实质性条款无法实现的</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rPr>
        <w:br w:type="textWrapping"/>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5.2</w:t>
      </w:r>
      <w:r>
        <w:rPr>
          <w:rFonts w:hint="eastAsia" w:ascii="宋体" w:hAnsi="宋体" w:eastAsia="宋体" w:cs="宋体"/>
          <w:bCs/>
          <w:sz w:val="24"/>
          <w:szCs w:val="24"/>
          <w:highlight w:val="none"/>
        </w:rPr>
        <w:t>当事人一方迟延履行主要债务，经催告后在合理期限内仍未履行；</w:t>
      </w:r>
      <w:r>
        <w:rPr>
          <w:rFonts w:hint="eastAsia" w:ascii="宋体" w:hAnsi="宋体" w:eastAsia="宋体" w:cs="宋体"/>
          <w:bCs/>
          <w:sz w:val="24"/>
          <w:szCs w:val="24"/>
          <w:highlight w:val="none"/>
        </w:rPr>
        <w:br w:type="textWrapping"/>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5.3</w:t>
      </w:r>
      <w:r>
        <w:rPr>
          <w:rFonts w:hint="eastAsia" w:ascii="宋体" w:hAnsi="宋体" w:eastAsia="宋体" w:cs="宋体"/>
          <w:bCs/>
          <w:sz w:val="24"/>
          <w:szCs w:val="24"/>
          <w:highlight w:val="none"/>
        </w:rPr>
        <w:t>当事人一方迟延履行债务或者有其他违约行为致使不能实现合同目的；</w:t>
      </w:r>
      <w:r>
        <w:rPr>
          <w:rFonts w:hint="eastAsia" w:ascii="宋体" w:hAnsi="宋体" w:eastAsia="宋体" w:cs="宋体"/>
          <w:bCs/>
          <w:sz w:val="24"/>
          <w:szCs w:val="24"/>
          <w:highlight w:val="none"/>
        </w:rPr>
        <w:br w:type="textWrapping"/>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5.4</w:t>
      </w:r>
      <w:r>
        <w:rPr>
          <w:rFonts w:hint="eastAsia" w:ascii="宋体" w:hAnsi="宋体" w:eastAsia="宋体" w:cs="宋体"/>
          <w:bCs/>
          <w:sz w:val="24"/>
          <w:szCs w:val="24"/>
          <w:highlight w:val="none"/>
        </w:rPr>
        <w:t>法律规定的其他情形。</w:t>
      </w:r>
    </w:p>
    <w:p>
      <w:pPr>
        <w:pStyle w:val="3"/>
        <w:spacing w:line="44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六</w:t>
      </w:r>
      <w:r>
        <w:rPr>
          <w:rFonts w:hint="eastAsia" w:ascii="宋体" w:hAnsi="宋体" w:eastAsia="宋体" w:cs="宋体"/>
          <w:b w:val="0"/>
          <w:bCs/>
          <w:sz w:val="24"/>
          <w:szCs w:val="24"/>
          <w:highlight w:val="none"/>
        </w:rPr>
        <w:t>)解决争议的方法</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1.因服务的质量问题发生争议，由采购人或其指定的第三方机构进行质量鉴定。服务符合标准的，鉴定费由采购人承担；服务不符合质量标准的，鉴定费由中标供应商承担。</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2.合同履行期间，若双方发生争议，可协商或由有关部门调解解决，协商或调解不成的，向项目所在地人民法院起诉。</w:t>
      </w:r>
    </w:p>
    <w:p>
      <w:pPr>
        <w:pStyle w:val="5"/>
        <w:spacing w:line="440" w:lineRule="exact"/>
        <w:ind w:firstLine="482" w:firstLineChars="200"/>
        <w:rPr>
          <w:rFonts w:hint="eastAsia" w:ascii="宋体" w:hAnsi="宋体" w:eastAsia="宋体" w:cs="宋体"/>
          <w:b/>
          <w:sz w:val="24"/>
          <w:szCs w:val="24"/>
          <w:highlight w:val="none"/>
        </w:rPr>
      </w:pPr>
      <w:bookmarkStart w:id="1330" w:name="_Toc12510"/>
      <w:bookmarkStart w:id="1331" w:name="_Toc27498"/>
      <w:r>
        <w:rPr>
          <w:rFonts w:hint="eastAsia" w:ascii="宋体" w:hAnsi="宋体" w:eastAsia="宋体" w:cs="宋体"/>
          <w:b/>
          <w:sz w:val="24"/>
          <w:szCs w:val="24"/>
          <w:highlight w:val="none"/>
          <w:lang w:val="en-US" w:eastAsia="zh-CN"/>
        </w:rPr>
        <w:t>十、</w:t>
      </w:r>
      <w:r>
        <w:rPr>
          <w:rFonts w:hint="eastAsia" w:ascii="宋体" w:hAnsi="宋体" w:eastAsia="宋体" w:cs="宋体"/>
          <w:b/>
          <w:sz w:val="24"/>
          <w:szCs w:val="24"/>
          <w:highlight w:val="none"/>
        </w:rPr>
        <w:t>其他要求</w:t>
      </w:r>
      <w:bookmarkEnd w:id="1330"/>
      <w:bookmarkEnd w:id="1331"/>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(一)</w:t>
      </w:r>
      <w:r>
        <w:rPr>
          <w:rFonts w:hint="eastAsia" w:ascii="宋体" w:hAnsi="宋体" w:eastAsia="宋体" w:cs="宋体"/>
          <w:b/>
          <w:sz w:val="24"/>
          <w:szCs w:val="24"/>
          <w:highlight w:val="none"/>
        </w:rPr>
        <w:t>※</w:t>
      </w:r>
      <w:r>
        <w:rPr>
          <w:rFonts w:hint="eastAsia" w:ascii="宋体" w:hAnsi="宋体" w:eastAsia="宋体" w:cs="宋体"/>
          <w:bCs/>
          <w:sz w:val="24"/>
          <w:szCs w:val="24"/>
          <w:highlight w:val="none"/>
        </w:rPr>
        <w:t>政府采购合同签订时间：供应商中标后，自中标通知书发出之日起30日内与采购单位签定政府采购合同。</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(二)</w:t>
      </w:r>
      <w:r>
        <w:rPr>
          <w:rFonts w:hint="eastAsia" w:ascii="宋体" w:hAnsi="宋体" w:eastAsia="宋体" w:cs="宋体"/>
          <w:b/>
          <w:sz w:val="24"/>
          <w:szCs w:val="24"/>
          <w:highlight w:val="none"/>
        </w:rPr>
        <w:t>※</w:t>
      </w:r>
      <w:r>
        <w:rPr>
          <w:rFonts w:hint="eastAsia" w:ascii="宋体" w:hAnsi="宋体" w:eastAsia="宋体" w:cs="宋体"/>
          <w:bCs/>
          <w:sz w:val="24"/>
          <w:szCs w:val="24"/>
          <w:highlight w:val="none"/>
        </w:rPr>
        <w:t>供应商应保证所提供的服务或其任何一部分均不会侵犯任何第三方的专利权、商标权或著作权。</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(三)</w:t>
      </w:r>
      <w:r>
        <w:rPr>
          <w:rFonts w:hint="eastAsia" w:ascii="宋体" w:hAnsi="宋体" w:eastAsia="宋体" w:cs="宋体"/>
          <w:bCs/>
          <w:sz w:val="24"/>
          <w:szCs w:val="24"/>
          <w:highlight w:val="none"/>
        </w:rPr>
        <w:t>采购人定期核对供应商提供服务所配备的人员数量及相关信息，对于未按照采购文件及投标响应要求执行或存在不合理的部分有权下达整改通知书，并要求供应商限期整改。</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(四)</w:t>
      </w:r>
      <w:r>
        <w:rPr>
          <w:rFonts w:hint="eastAsia" w:ascii="宋体" w:hAnsi="宋体" w:eastAsia="宋体" w:cs="宋体"/>
          <w:bCs/>
          <w:sz w:val="24"/>
          <w:szCs w:val="24"/>
          <w:highlight w:val="none"/>
        </w:rPr>
        <w:t>供应商定期及时向采购人通告本项目服务范围内有关服务的重大事项及其进度。</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(五)</w:t>
      </w:r>
      <w:r>
        <w:rPr>
          <w:rFonts w:hint="eastAsia" w:ascii="宋体" w:hAnsi="宋体" w:eastAsia="宋体" w:cs="宋体"/>
          <w:bCs/>
          <w:sz w:val="24"/>
          <w:szCs w:val="24"/>
          <w:highlight w:val="none"/>
        </w:rPr>
        <w:t>接受项目行业管理部门及政府有关部门的指导，接受采购人的监督。</w:t>
      </w:r>
    </w:p>
    <w:p>
      <w:pPr>
        <w:pStyle w:val="3"/>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(六)</w:t>
      </w:r>
      <w:r>
        <w:rPr>
          <w:rFonts w:hint="eastAsia" w:ascii="宋体" w:hAnsi="宋体" w:eastAsia="宋体" w:cs="宋体"/>
          <w:bCs/>
          <w:sz w:val="24"/>
          <w:szCs w:val="24"/>
          <w:highlight w:val="none"/>
        </w:rPr>
        <w:t>在采购合同履约过程中发生的或与本合同有关的争端，供应商与采购人应通过友好协商解决，协商或调解不成的，由当事人依法维护其合法权益。</w:t>
      </w:r>
    </w:p>
    <w:p>
      <w:pPr>
        <w:pStyle w:val="47"/>
        <w:spacing w:line="44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注意：①本章带“※”号条款为实质性要求，供应商若未满足的，将被视为无效投标。</w:t>
      </w:r>
    </w:p>
    <w:p>
      <w:pPr>
        <w:ind w:firstLine="482" w:firstLineChars="200"/>
        <w:rPr>
          <w:rFonts w:hint="eastAsia" w:cs="宋体"/>
          <w:sz w:val="24"/>
          <w:szCs w:val="24"/>
          <w:highlight w:val="none"/>
        </w:rPr>
      </w:pPr>
      <w:r>
        <w:rPr>
          <w:rFonts w:hint="eastAsia" w:ascii="宋体" w:hAnsi="宋体" w:eastAsia="宋体" w:cs="宋体"/>
          <w:b/>
          <w:bCs/>
          <w:sz w:val="24"/>
          <w:szCs w:val="24"/>
          <w:highlight w:val="none"/>
        </w:rPr>
        <w:t>②本项目涉及企业资质、产品认证、人员执业资格等描述与国家最新要求不一致时以最新要求为准。</w:t>
      </w:r>
      <w:bookmarkEnd w:id="1282"/>
      <w:bookmarkEnd w:id="1283"/>
      <w:bookmarkEnd w:id="1284"/>
      <w:bookmarkEnd w:id="1285"/>
      <w:bookmarkEnd w:id="1286"/>
      <w:bookmarkEnd w:id="1287"/>
      <w:bookmarkEnd w:id="1288"/>
      <w:bookmarkEnd w:id="1289"/>
      <w:bookmarkEnd w:id="1290"/>
      <w:bookmarkEnd w:id="1291"/>
      <w:r>
        <w:rPr>
          <w:rFonts w:hint="eastAsia" w:cs="宋体"/>
          <w:sz w:val="24"/>
          <w:szCs w:val="24"/>
          <w:highlight w:val="none"/>
        </w:rPr>
        <w:br w:type="page"/>
      </w:r>
    </w:p>
    <w:bookmarkEnd w:id="1292"/>
    <w:bookmarkEnd w:id="1293"/>
    <w:bookmarkEnd w:id="1294"/>
    <w:p>
      <w:pPr>
        <w:pStyle w:val="48"/>
        <w:numPr>
          <w:ilvl w:val="0"/>
          <w:numId w:val="11"/>
        </w:numPr>
        <w:spacing w:before="120" w:after="120"/>
        <w:rPr>
          <w:highlight w:val="none"/>
        </w:rPr>
      </w:pPr>
      <w:bookmarkStart w:id="1332" w:name="_Toc30880"/>
      <w:bookmarkStart w:id="1333" w:name="_Toc23887"/>
      <w:bookmarkStart w:id="1334" w:name="_Toc13734"/>
      <w:bookmarkStart w:id="1335" w:name="_Toc32447"/>
      <w:bookmarkStart w:id="1336" w:name="_Toc10570"/>
      <w:bookmarkStart w:id="1337" w:name="_Toc23127"/>
      <w:bookmarkStart w:id="1338" w:name="_Toc25435"/>
      <w:bookmarkStart w:id="1339" w:name="_Toc319440188"/>
      <w:bookmarkStart w:id="1340" w:name="_Toc308188198"/>
      <w:bookmarkStart w:id="1341" w:name="_Toc11039"/>
      <w:bookmarkStart w:id="1342" w:name="_Toc483"/>
      <w:bookmarkStart w:id="1343" w:name="_Toc25959"/>
      <w:bookmarkStart w:id="1344" w:name="_Toc183682415"/>
      <w:bookmarkStart w:id="1345" w:name="_Toc183582280"/>
      <w:bookmarkStart w:id="1346" w:name="_Toc307501154"/>
      <w:bookmarkStart w:id="1347" w:name="_Toc208849007"/>
      <w:bookmarkStart w:id="1348" w:name="_Toc327196339"/>
      <w:bookmarkStart w:id="1349" w:name="_Toc2232"/>
      <w:bookmarkStart w:id="1350" w:name="_Toc1543"/>
      <w:bookmarkStart w:id="1351" w:name="_Toc307564896"/>
      <w:bookmarkStart w:id="1352" w:name="_Toc308084645"/>
      <w:bookmarkStart w:id="1353" w:name="_Toc4553"/>
      <w:bookmarkStart w:id="1354" w:name="_Toc3881"/>
      <w:bookmarkStart w:id="1355" w:name="_Toc26923"/>
      <w:bookmarkStart w:id="1356" w:name="_Toc21302"/>
      <w:bookmarkStart w:id="1357" w:name="_Toc319439946"/>
      <w:bookmarkStart w:id="1358" w:name="_Toc309897563"/>
      <w:bookmarkStart w:id="1359" w:name="_Toc217446097"/>
      <w:r>
        <w:rPr>
          <w:rFonts w:hint="eastAsia"/>
          <w:highlight w:val="none"/>
        </w:rPr>
        <w:t>评标办法</w:t>
      </w:r>
      <w:bookmarkEnd w:id="1332"/>
      <w:bookmarkEnd w:id="1333"/>
      <w:bookmarkEnd w:id="1334"/>
      <w:bookmarkEnd w:id="1335"/>
      <w:bookmarkEnd w:id="1336"/>
      <w:bookmarkEnd w:id="1337"/>
      <w:bookmarkStart w:id="1360" w:name="_Hlt101846155"/>
      <w:bookmarkEnd w:id="1360"/>
    </w:p>
    <w:p>
      <w:pPr>
        <w:pStyle w:val="34"/>
        <w:numPr>
          <w:ilvl w:val="1"/>
          <w:numId w:val="11"/>
        </w:numPr>
        <w:ind w:firstLine="482"/>
        <w:rPr>
          <w:highlight w:val="none"/>
        </w:rPr>
      </w:pPr>
      <w:bookmarkStart w:id="1361" w:name="_Toc19971"/>
      <w:bookmarkStart w:id="1362" w:name="_Toc1681"/>
      <w:bookmarkStart w:id="1363" w:name="_Toc28884"/>
      <w:bookmarkStart w:id="1364" w:name="_Toc16563"/>
      <w:bookmarkStart w:id="1365" w:name="_Toc19481"/>
      <w:r>
        <w:rPr>
          <w:rFonts w:hint="eastAsia"/>
          <w:highlight w:val="none"/>
        </w:rPr>
        <w:t>总则</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1"/>
      <w:bookmarkEnd w:id="1362"/>
      <w:bookmarkEnd w:id="1363"/>
      <w:bookmarkEnd w:id="1364"/>
      <w:bookmarkEnd w:id="1365"/>
    </w:p>
    <w:p>
      <w:pPr>
        <w:pStyle w:val="32"/>
        <w:numPr>
          <w:ilvl w:val="1"/>
          <w:numId w:val="28"/>
        </w:numPr>
        <w:ind w:firstLine="480"/>
        <w:rPr>
          <w:highlight w:val="none"/>
        </w:rPr>
      </w:pPr>
      <w:r>
        <w:rPr>
          <w:rFonts w:hint="eastAsia"/>
          <w:highlight w:val="none"/>
        </w:rPr>
        <w:t>根据《中华人民共和国政府采购法》、《中华人民共和国政府采购法实施条例》和《政府采购货物和服务招标投标管理办法》(财政部令第87号)等法律规章，结合采购项目特点制定本评标办法。</w:t>
      </w:r>
    </w:p>
    <w:p>
      <w:pPr>
        <w:pStyle w:val="32"/>
        <w:numPr>
          <w:ilvl w:val="1"/>
          <w:numId w:val="28"/>
        </w:numPr>
        <w:ind w:firstLine="480"/>
        <w:rPr>
          <w:highlight w:val="none"/>
        </w:rPr>
      </w:pPr>
      <w:r>
        <w:rPr>
          <w:rFonts w:hint="eastAsia"/>
          <w:highlight w:val="none"/>
        </w:rPr>
        <w:t>评标工作由采购代理机构负责组织，具体评标事务由采购代理机构依法组建的评标委员会负责。评标委员会由采购人代表和有关技术、经济等方面的专家组成。</w:t>
      </w:r>
    </w:p>
    <w:p>
      <w:pPr>
        <w:pStyle w:val="32"/>
        <w:numPr>
          <w:ilvl w:val="1"/>
          <w:numId w:val="28"/>
        </w:numPr>
        <w:ind w:firstLine="480"/>
        <w:rPr>
          <w:highlight w:val="none"/>
        </w:rPr>
      </w:pPr>
      <w:r>
        <w:rPr>
          <w:rFonts w:hint="eastAsia"/>
          <w:highlight w:val="none"/>
        </w:rPr>
        <w:t>评标工作应遵循公平、公正、科学及择优的原则，并以相同的评标程序和标准对待所有的投标人。</w:t>
      </w:r>
    </w:p>
    <w:p>
      <w:pPr>
        <w:pStyle w:val="32"/>
        <w:numPr>
          <w:ilvl w:val="1"/>
          <w:numId w:val="28"/>
        </w:numPr>
        <w:ind w:firstLine="480"/>
        <w:rPr>
          <w:highlight w:val="none"/>
        </w:rPr>
      </w:pPr>
      <w:r>
        <w:rPr>
          <w:rFonts w:hint="eastAsia"/>
          <w:highlight w:val="none"/>
        </w:rPr>
        <w:t>评标委员会按照招标文件规定的评标方法和标准进行评标，并独立履行下列职责：</w:t>
      </w:r>
    </w:p>
    <w:p>
      <w:pPr>
        <w:pStyle w:val="35"/>
        <w:ind w:firstLine="480"/>
        <w:rPr>
          <w:highlight w:val="none"/>
        </w:rPr>
      </w:pPr>
      <w:bookmarkStart w:id="1366" w:name="_Toc217446098"/>
      <w:r>
        <w:rPr>
          <w:rFonts w:hint="eastAsia"/>
          <w:highlight w:val="none"/>
        </w:rPr>
        <w:t>审查、评价投标文件是否符合招标文件的商务、技术等实质性要求；</w:t>
      </w:r>
    </w:p>
    <w:p>
      <w:pPr>
        <w:pStyle w:val="35"/>
        <w:ind w:firstLine="480"/>
        <w:rPr>
          <w:highlight w:val="none"/>
        </w:rPr>
      </w:pPr>
      <w:r>
        <w:rPr>
          <w:rFonts w:hint="eastAsia"/>
          <w:highlight w:val="none"/>
        </w:rPr>
        <w:t>要求投标人对投标文件有关事项作出澄清或者说明；</w:t>
      </w:r>
    </w:p>
    <w:p>
      <w:pPr>
        <w:pStyle w:val="35"/>
        <w:ind w:firstLine="480"/>
        <w:rPr>
          <w:highlight w:val="none"/>
        </w:rPr>
      </w:pPr>
      <w:r>
        <w:rPr>
          <w:rFonts w:hint="eastAsia"/>
          <w:highlight w:val="none"/>
        </w:rPr>
        <w:t>对投标文件进行比较和评价；</w:t>
      </w:r>
    </w:p>
    <w:p>
      <w:pPr>
        <w:pStyle w:val="35"/>
        <w:ind w:firstLine="480"/>
        <w:rPr>
          <w:highlight w:val="none"/>
        </w:rPr>
      </w:pPr>
      <w:r>
        <w:rPr>
          <w:rFonts w:hint="eastAsia"/>
          <w:highlight w:val="none"/>
        </w:rPr>
        <w:t>确定中标候选人名单；</w:t>
      </w:r>
    </w:p>
    <w:p>
      <w:pPr>
        <w:pStyle w:val="35"/>
        <w:ind w:firstLine="480"/>
        <w:rPr>
          <w:highlight w:val="none"/>
        </w:rPr>
      </w:pPr>
      <w:r>
        <w:rPr>
          <w:rFonts w:hint="eastAsia"/>
          <w:highlight w:val="none"/>
        </w:rPr>
        <w:t>向采购人、采购代理机构或者有关部门报告评标中发现的违法行为。</w:t>
      </w:r>
    </w:p>
    <w:p>
      <w:pPr>
        <w:pStyle w:val="32"/>
        <w:ind w:firstLine="480"/>
        <w:rPr>
          <w:highlight w:val="none"/>
        </w:rPr>
      </w:pPr>
      <w:r>
        <w:rPr>
          <w:rFonts w:hint="eastAsia"/>
          <w:highlight w:val="none"/>
        </w:rPr>
        <w:t>评标过程独立、保密。投标人非法干预评标过程的行为将导致其投标文件作为无效处理。</w:t>
      </w:r>
    </w:p>
    <w:p>
      <w:pPr>
        <w:pStyle w:val="32"/>
        <w:ind w:firstLine="480"/>
        <w:rPr>
          <w:highlight w:val="none"/>
        </w:rPr>
      </w:pPr>
      <w:r>
        <w:rPr>
          <w:rFonts w:hint="eastAsia"/>
          <w:highlight w:val="none"/>
        </w:rPr>
        <w:t>评标委员会评价投标文件的响应性，对于投标人而言，除评标委员会要求其澄清、说明或者纠正而提供的资料外，仅依据投标文件本身的内容，不寻求其他外部证据。</w:t>
      </w:r>
    </w:p>
    <w:p>
      <w:pPr>
        <w:pStyle w:val="32"/>
        <w:ind w:firstLine="480"/>
        <w:rPr>
          <w:highlight w:val="none"/>
        </w:rPr>
      </w:pPr>
      <w:r>
        <w:rPr>
          <w:rFonts w:hint="eastAsia"/>
          <w:highlight w:val="none"/>
        </w:rPr>
        <w:t>评委会发现招标文件表述不明确或需要说明的事项，可提请招标采购单位书面解释说明。发现招标文件违反有关法律、法规和规章的，可以拒绝评标，并向招标采购单位书面说明情况(注明法律法规依据)。</w:t>
      </w:r>
    </w:p>
    <w:p>
      <w:pPr>
        <w:pStyle w:val="34"/>
        <w:numPr>
          <w:ilvl w:val="1"/>
          <w:numId w:val="11"/>
        </w:numPr>
        <w:ind w:firstLine="482"/>
        <w:rPr>
          <w:highlight w:val="none"/>
        </w:rPr>
      </w:pPr>
      <w:bookmarkStart w:id="1367" w:name="_Toc5338"/>
      <w:bookmarkStart w:id="1368" w:name="_Toc8496"/>
      <w:bookmarkStart w:id="1369" w:name="_Toc327196340"/>
      <w:bookmarkStart w:id="1370" w:name="_Toc9210"/>
      <w:bookmarkStart w:id="1371" w:name="_Toc14100"/>
      <w:bookmarkStart w:id="1372" w:name="_Toc5152"/>
      <w:bookmarkStart w:id="1373" w:name="_Toc319440189"/>
      <w:bookmarkStart w:id="1374" w:name="_Toc3915"/>
      <w:bookmarkStart w:id="1375" w:name="_Toc7732"/>
      <w:bookmarkStart w:id="1376" w:name="_Toc23669"/>
      <w:bookmarkStart w:id="1377" w:name="_Toc10398"/>
      <w:bookmarkStart w:id="1378" w:name="_Toc25612"/>
      <w:bookmarkStart w:id="1379" w:name="_Toc26792"/>
      <w:bookmarkStart w:id="1380" w:name="_Toc8133"/>
      <w:bookmarkStart w:id="1381" w:name="_Toc12975"/>
      <w:bookmarkStart w:id="1382" w:name="_Toc27026"/>
      <w:bookmarkStart w:id="1383" w:name="_Toc3371"/>
      <w:r>
        <w:rPr>
          <w:rFonts w:hint="eastAsia"/>
          <w:highlight w:val="none"/>
        </w:rPr>
        <w:t>评标方法</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pPr>
        <w:pStyle w:val="46"/>
        <w:rPr>
          <w:highlight w:val="none"/>
        </w:rPr>
      </w:pPr>
      <w:r>
        <w:rPr>
          <w:rFonts w:hint="eastAsia"/>
          <w:highlight w:val="none"/>
        </w:rPr>
        <w:t>本项目评标方法为：综合评分法。</w:t>
      </w:r>
    </w:p>
    <w:p>
      <w:pPr>
        <w:pStyle w:val="34"/>
        <w:numPr>
          <w:ilvl w:val="1"/>
          <w:numId w:val="11"/>
        </w:numPr>
        <w:ind w:firstLine="482"/>
        <w:rPr>
          <w:highlight w:val="none"/>
        </w:rPr>
      </w:pPr>
      <w:bookmarkStart w:id="1384" w:name="_Toc7390"/>
      <w:bookmarkStart w:id="1385" w:name="_Toc5906"/>
      <w:bookmarkStart w:id="1386" w:name="_Toc319440190"/>
      <w:bookmarkStart w:id="1387" w:name="_Toc327196341"/>
      <w:bookmarkStart w:id="1388" w:name="_Toc11347"/>
      <w:bookmarkStart w:id="1389" w:name="_Toc17374"/>
      <w:bookmarkStart w:id="1390" w:name="_Toc17613"/>
      <w:bookmarkStart w:id="1391" w:name="_Toc23322"/>
      <w:bookmarkStart w:id="1392" w:name="_Toc5897"/>
      <w:bookmarkStart w:id="1393" w:name="_Toc19196"/>
      <w:bookmarkStart w:id="1394" w:name="_Toc16673"/>
      <w:bookmarkStart w:id="1395" w:name="_Toc2725"/>
      <w:bookmarkStart w:id="1396" w:name="_Toc9629"/>
      <w:bookmarkStart w:id="1397" w:name="_Toc9969"/>
      <w:bookmarkStart w:id="1398" w:name="_Toc27103"/>
      <w:bookmarkStart w:id="1399" w:name="_Toc31119"/>
      <w:bookmarkStart w:id="1400" w:name="_Toc12883"/>
      <w:r>
        <w:rPr>
          <w:rFonts w:hint="eastAsia"/>
          <w:highlight w:val="none"/>
        </w:rPr>
        <w:t>评标程序</w:t>
      </w:r>
      <w:bookmarkEnd w:id="1366"/>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pStyle w:val="32"/>
        <w:numPr>
          <w:ilvl w:val="1"/>
          <w:numId w:val="29"/>
        </w:numPr>
        <w:ind w:firstLine="480"/>
        <w:rPr>
          <w:highlight w:val="none"/>
        </w:rPr>
      </w:pPr>
      <w:r>
        <w:rPr>
          <w:rFonts w:hint="eastAsia"/>
          <w:highlight w:val="none"/>
        </w:rPr>
        <w:t>熟悉招标文件和停止评标</w:t>
      </w:r>
    </w:p>
    <w:p>
      <w:pPr>
        <w:pStyle w:val="35"/>
        <w:ind w:firstLine="480"/>
        <w:rPr>
          <w:highlight w:val="none"/>
        </w:rPr>
      </w:pPr>
      <w:r>
        <w:rPr>
          <w:rFonts w:hint="eastAsia"/>
          <w:highlight w:val="none"/>
        </w:rPr>
        <w:t>评标委员会正式评标前，应当熟悉招标文件，主要包括招标文件中符合性审查内容、采购项目技术、服务和商务要求、评标方法和标准以及政府采购合同主要条款等。</w:t>
      </w:r>
    </w:p>
    <w:p>
      <w:pPr>
        <w:pStyle w:val="35"/>
        <w:ind w:firstLine="480"/>
        <w:rPr>
          <w:highlight w:val="none"/>
        </w:rPr>
      </w:pPr>
      <w:r>
        <w:rPr>
          <w:rFonts w:hint="eastAsia"/>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35"/>
        <w:ind w:firstLine="480"/>
        <w:rPr>
          <w:highlight w:val="none"/>
        </w:rPr>
      </w:pPr>
      <w:r>
        <w:rPr>
          <w:rFonts w:hint="eastAsia"/>
          <w:highlight w:val="none"/>
        </w:rPr>
        <w:t>评标过程中有下列情形之一的，评标委员会成员可以停止评标：</w:t>
      </w:r>
    </w:p>
    <w:p>
      <w:pPr>
        <w:pStyle w:val="36"/>
        <w:ind w:firstLine="480"/>
        <w:rPr>
          <w:highlight w:val="none"/>
        </w:rPr>
      </w:pPr>
      <w:r>
        <w:rPr>
          <w:rFonts w:hint="eastAsia"/>
          <w:highlight w:val="none"/>
        </w:rPr>
        <w:t>招标采购单位未提供必要的与采购项目有关的政策制度文件或者招标文件，继续评标将导致违法或者错误评标的；</w:t>
      </w:r>
    </w:p>
    <w:p>
      <w:pPr>
        <w:pStyle w:val="36"/>
        <w:ind w:firstLine="480"/>
        <w:rPr>
          <w:highlight w:val="none"/>
        </w:rPr>
      </w:pPr>
      <w:r>
        <w:rPr>
          <w:rFonts w:hint="eastAsia"/>
          <w:highlight w:val="none"/>
        </w:rPr>
        <w:t>有关单位和个人非法干预评标委员会依法独立评标的；</w:t>
      </w:r>
    </w:p>
    <w:p>
      <w:pPr>
        <w:pStyle w:val="36"/>
        <w:ind w:firstLine="480"/>
        <w:rPr>
          <w:highlight w:val="none"/>
        </w:rPr>
      </w:pPr>
      <w:r>
        <w:rPr>
          <w:rFonts w:hint="eastAsia"/>
          <w:highlight w:val="none"/>
        </w:rPr>
        <w:t>其他导致评标委员会无法正常履职的情形。</w:t>
      </w:r>
    </w:p>
    <w:p>
      <w:pPr>
        <w:pStyle w:val="35"/>
        <w:ind w:firstLine="480"/>
        <w:rPr>
          <w:highlight w:val="none"/>
        </w:rPr>
      </w:pPr>
      <w:r>
        <w:rPr>
          <w:rFonts w:hint="eastAsia"/>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32"/>
        <w:ind w:firstLine="480"/>
        <w:rPr>
          <w:highlight w:val="none"/>
        </w:rPr>
      </w:pPr>
      <w:r>
        <w:rPr>
          <w:rFonts w:hint="eastAsia"/>
          <w:highlight w:val="none"/>
        </w:rPr>
        <w:t>符合性审查</w:t>
      </w:r>
    </w:p>
    <w:p>
      <w:pPr>
        <w:pStyle w:val="46"/>
        <w:rPr>
          <w:highlight w:val="none"/>
        </w:rPr>
      </w:pPr>
      <w:r>
        <w:rPr>
          <w:rFonts w:hint="eastAsia"/>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5"/>
        <w:ind w:firstLine="480"/>
        <w:rPr>
          <w:highlight w:val="none"/>
        </w:rPr>
      </w:pPr>
      <w:r>
        <w:rPr>
          <w:rFonts w:hint="eastAsia"/>
          <w:highlight w:val="none"/>
        </w:rPr>
        <w:t>投标文件(包括单独递交的开标一览表)有下列情形的，本项目不作为实质性要求进行规定，即不作为符合性审查事项，不得作为无效投标处理：</w:t>
      </w:r>
    </w:p>
    <w:p>
      <w:pPr>
        <w:pStyle w:val="36"/>
        <w:ind w:firstLine="480"/>
        <w:rPr>
          <w:highlight w:val="none"/>
        </w:rPr>
      </w:pPr>
      <w:r>
        <w:rPr>
          <w:rFonts w:hint="eastAsia"/>
          <w:highlight w:val="none"/>
        </w:rPr>
        <w:t>正副本数量齐全，只是未按照招标文件要求进行分装或者统装的；</w:t>
      </w:r>
    </w:p>
    <w:p>
      <w:pPr>
        <w:pStyle w:val="36"/>
        <w:ind w:firstLine="480"/>
        <w:rPr>
          <w:highlight w:val="none"/>
        </w:rPr>
      </w:pPr>
      <w:r>
        <w:rPr>
          <w:rFonts w:hint="eastAsia"/>
          <w:highlight w:val="none"/>
        </w:rPr>
        <w:t>存在个别地方(不超过2个)没有法定代表人签字，但有法定代表人的私人印章或者有效授权代理人签字的；</w:t>
      </w:r>
    </w:p>
    <w:p>
      <w:pPr>
        <w:pStyle w:val="36"/>
        <w:ind w:firstLine="480"/>
        <w:rPr>
          <w:highlight w:val="none"/>
        </w:rPr>
      </w:pPr>
      <w:r>
        <w:rPr>
          <w:rFonts w:hint="eastAsia"/>
          <w:highlight w:val="none"/>
        </w:rPr>
        <w:t>除招标文件明确要求加盖单位(法人)公章的以外，其他地方以相关专用章加盖的；</w:t>
      </w:r>
    </w:p>
    <w:p>
      <w:pPr>
        <w:pStyle w:val="36"/>
        <w:ind w:firstLine="480"/>
        <w:rPr>
          <w:highlight w:val="none"/>
        </w:rPr>
      </w:pPr>
      <w:r>
        <w:rPr>
          <w:rFonts w:hint="eastAsia"/>
          <w:highlight w:val="none"/>
        </w:rPr>
        <w:t>以骑缝章的形式代替投标文件内容逐页盖章的(但是骑缝章模糊不清，印章名称无法辨认的除外)；</w:t>
      </w:r>
    </w:p>
    <w:p>
      <w:pPr>
        <w:pStyle w:val="36"/>
        <w:ind w:firstLine="480"/>
        <w:rPr>
          <w:highlight w:val="none"/>
        </w:rPr>
      </w:pPr>
      <w:r>
        <w:rPr>
          <w:rFonts w:hint="eastAsia"/>
          <w:highlight w:val="none"/>
        </w:rPr>
        <w:t>其他不影响采购项目实质性要求的情形。</w:t>
      </w:r>
    </w:p>
    <w:p>
      <w:pPr>
        <w:pStyle w:val="35"/>
        <w:ind w:firstLine="480"/>
        <w:rPr>
          <w:highlight w:val="none"/>
        </w:rPr>
      </w:pPr>
      <w:r>
        <w:rPr>
          <w:rFonts w:hint="eastAsia"/>
          <w:highlight w:val="none"/>
        </w:rPr>
        <w:t>除政府采购法律制度规定的情形外，本项目投标人或者其投标文件有下列情形之一的，作为无效投标处理：</w:t>
      </w:r>
    </w:p>
    <w:p>
      <w:pPr>
        <w:pStyle w:val="36"/>
        <w:ind w:firstLine="480"/>
        <w:rPr>
          <w:highlight w:val="none"/>
        </w:rPr>
      </w:pPr>
      <w:r>
        <w:rPr>
          <w:rFonts w:hint="eastAsia"/>
          <w:highlight w:val="none"/>
        </w:rPr>
        <w:t>投标文件正副本数量不足的；</w:t>
      </w:r>
    </w:p>
    <w:p>
      <w:pPr>
        <w:pStyle w:val="36"/>
        <w:ind w:firstLine="480"/>
        <w:rPr>
          <w:highlight w:val="none"/>
        </w:rPr>
      </w:pPr>
      <w:r>
        <w:rPr>
          <w:rFonts w:hint="eastAsia"/>
          <w:highlight w:val="none"/>
        </w:rPr>
        <w:t>投标文件组成明显不符合招标文件的规定要求，影响评标委员会评判的；</w:t>
      </w:r>
    </w:p>
    <w:p>
      <w:pPr>
        <w:pStyle w:val="36"/>
        <w:ind w:firstLine="480"/>
        <w:rPr>
          <w:highlight w:val="none"/>
        </w:rPr>
      </w:pPr>
      <w:r>
        <w:rPr>
          <w:rFonts w:hint="eastAsia"/>
          <w:highlight w:val="none"/>
        </w:rPr>
        <w:t>投标文件的格式、语言、计量单位、报价货币、知识产权、投标有效期等不符合招标文件的规定，影响评标委员会评判的；</w:t>
      </w:r>
    </w:p>
    <w:p>
      <w:pPr>
        <w:pStyle w:val="36"/>
        <w:ind w:firstLine="480"/>
        <w:rPr>
          <w:highlight w:val="none"/>
        </w:rPr>
      </w:pPr>
      <w:r>
        <w:rPr>
          <w:rFonts w:hint="eastAsia"/>
          <w:highlight w:val="none"/>
        </w:rPr>
        <w:t>投标报价不符合招标文件规定的价格标底和其他报价规定的；</w:t>
      </w:r>
    </w:p>
    <w:p>
      <w:pPr>
        <w:pStyle w:val="36"/>
        <w:ind w:firstLine="480"/>
        <w:rPr>
          <w:highlight w:val="none"/>
        </w:rPr>
      </w:pPr>
      <w:r>
        <w:rPr>
          <w:rFonts w:hint="eastAsia"/>
          <w:highlight w:val="none"/>
        </w:rPr>
        <w:t>技术、服务应答内容没有完全响应招标文件的实质性要求的；</w:t>
      </w:r>
    </w:p>
    <w:p>
      <w:pPr>
        <w:pStyle w:val="36"/>
        <w:ind w:firstLine="480"/>
        <w:rPr>
          <w:highlight w:val="none"/>
        </w:rPr>
      </w:pPr>
      <w:r>
        <w:rPr>
          <w:rFonts w:hint="eastAsia"/>
          <w:highlight w:val="none"/>
        </w:rPr>
        <w:t>招标文件有明确要求，但投标文件未载明或者载明的采购项目</w:t>
      </w:r>
      <w:r>
        <w:rPr>
          <w:rFonts w:hint="eastAsia"/>
          <w:highlight w:val="none"/>
          <w:lang w:val="en-US" w:eastAsia="zh-CN"/>
        </w:rPr>
        <w:t>服务期限</w:t>
      </w:r>
      <w:r>
        <w:rPr>
          <w:rFonts w:hint="eastAsia"/>
          <w:highlight w:val="none"/>
        </w:rPr>
        <w:t>、方式、数量与招标文件要求不一致的；</w:t>
      </w:r>
    </w:p>
    <w:p>
      <w:pPr>
        <w:pStyle w:val="36"/>
        <w:ind w:firstLine="480"/>
        <w:rPr>
          <w:highlight w:val="none"/>
        </w:rPr>
      </w:pPr>
      <w:r>
        <w:rPr>
          <w:rFonts w:hint="eastAsia"/>
          <w:highlight w:val="none"/>
        </w:rPr>
        <w:t>投标文件含有采购人不能接受的附加条件的。</w:t>
      </w:r>
    </w:p>
    <w:p>
      <w:pPr>
        <w:pStyle w:val="32"/>
        <w:ind w:firstLine="480"/>
        <w:rPr>
          <w:highlight w:val="none"/>
        </w:rPr>
      </w:pPr>
      <w:r>
        <w:rPr>
          <w:rFonts w:hint="eastAsia"/>
          <w:highlight w:val="none"/>
        </w:rPr>
        <w:t>比较与评价</w:t>
      </w:r>
    </w:p>
    <w:p>
      <w:pPr>
        <w:pStyle w:val="46"/>
        <w:rPr>
          <w:highlight w:val="none"/>
        </w:rPr>
      </w:pPr>
      <w:r>
        <w:rPr>
          <w:rFonts w:hint="eastAsia"/>
          <w:highlight w:val="none"/>
        </w:rPr>
        <w:t>评标委员会应当按照招标文件中规定的评标方法和标准，对符合性审查合格的投标文件进行商务和技术评估，综合比较与评价。</w:t>
      </w:r>
    </w:p>
    <w:p>
      <w:pPr>
        <w:pStyle w:val="32"/>
        <w:ind w:firstLine="480"/>
        <w:rPr>
          <w:highlight w:val="none"/>
        </w:rPr>
      </w:pPr>
      <w:r>
        <w:rPr>
          <w:rFonts w:hint="eastAsia"/>
          <w:highlight w:val="none"/>
        </w:rPr>
        <w:t>评标争议处理规则</w:t>
      </w:r>
    </w:p>
    <w:p>
      <w:pPr>
        <w:pStyle w:val="46"/>
        <w:rPr>
          <w:highlight w:val="none"/>
        </w:rPr>
      </w:pPr>
      <w:r>
        <w:rPr>
          <w:rFonts w:hint="eastAsia"/>
          <w:highlight w:val="none"/>
        </w:rPr>
        <w:t>评标委员会成员在评标过程中，对于符合性审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2"/>
        <w:ind w:firstLine="480"/>
        <w:rPr>
          <w:highlight w:val="none"/>
        </w:rPr>
      </w:pPr>
      <w:r>
        <w:rPr>
          <w:rFonts w:hint="eastAsia"/>
          <w:highlight w:val="none"/>
        </w:rPr>
        <w:t>供应商应当书面澄清、说明或者纠正</w:t>
      </w:r>
    </w:p>
    <w:p>
      <w:pPr>
        <w:pStyle w:val="35"/>
        <w:ind w:firstLine="480"/>
        <w:rPr>
          <w:highlight w:val="none"/>
        </w:rPr>
      </w:pPr>
      <w:r>
        <w:rPr>
          <w:rFonts w:hint="eastAsia"/>
          <w:highlight w:val="none"/>
        </w:rPr>
        <w:t>在评标过程中，评标委员会对投标文件中含义不明确、同类问题表述不一致或者有明显文字和计算错误的内容，应当以书面形式(须由评标委员会全体成员签字)要求供应商作出必要的书面澄清、说明或者纠正，并给予供应商必要的反馈时间。</w:t>
      </w:r>
    </w:p>
    <w:p>
      <w:pPr>
        <w:pStyle w:val="35"/>
        <w:ind w:firstLine="480"/>
        <w:rPr>
          <w:highlight w:val="none"/>
        </w:rPr>
      </w:pPr>
      <w:r>
        <w:rPr>
          <w:rFonts w:hint="eastAsia"/>
          <w:highlight w:val="none"/>
        </w:rPr>
        <w:t>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投标文件的效力，有效的澄清、说明或者纠正材料，是投标文件的组成部分。</w:t>
      </w:r>
    </w:p>
    <w:p>
      <w:pPr>
        <w:pStyle w:val="35"/>
        <w:ind w:firstLine="480"/>
        <w:rPr>
          <w:highlight w:val="none"/>
        </w:rPr>
      </w:pPr>
      <w:r>
        <w:rPr>
          <w:rFonts w:hint="eastAsia"/>
          <w:highlight w:val="none"/>
        </w:rPr>
        <w:t>评标委员会要求供应商澄清、说明或者更正，不得超出招标文件的范围，不得以此让供应商实质改变投标文件的内容，不得影响供应商公平竞争。本项目下列内容不得澄清：</w:t>
      </w:r>
    </w:p>
    <w:p>
      <w:pPr>
        <w:pStyle w:val="36"/>
        <w:ind w:firstLine="480"/>
        <w:rPr>
          <w:highlight w:val="none"/>
        </w:rPr>
      </w:pPr>
      <w:r>
        <w:rPr>
          <w:rFonts w:hint="eastAsia"/>
          <w:highlight w:val="none"/>
        </w:rPr>
        <w:t>按财政部规定应当在评标时不予承认的投标文件内容事项；</w:t>
      </w:r>
    </w:p>
    <w:p>
      <w:pPr>
        <w:pStyle w:val="36"/>
        <w:ind w:firstLine="480"/>
        <w:rPr>
          <w:highlight w:val="none"/>
        </w:rPr>
      </w:pPr>
      <w:r>
        <w:rPr>
          <w:rFonts w:hint="eastAsia"/>
          <w:highlight w:val="none"/>
        </w:rPr>
        <w:t>投标文件中已经明确的内容事项；</w:t>
      </w:r>
    </w:p>
    <w:p>
      <w:pPr>
        <w:pStyle w:val="36"/>
        <w:ind w:firstLine="480"/>
        <w:rPr>
          <w:highlight w:val="none"/>
        </w:rPr>
      </w:pPr>
      <w:r>
        <w:rPr>
          <w:rFonts w:hint="eastAsia"/>
          <w:highlight w:val="none"/>
        </w:rPr>
        <w:t>投标文件未提供的材料。</w:t>
      </w:r>
    </w:p>
    <w:p>
      <w:pPr>
        <w:pStyle w:val="35"/>
        <w:ind w:firstLine="480"/>
        <w:rPr>
          <w:highlight w:val="none"/>
        </w:rPr>
      </w:pPr>
      <w:r>
        <w:rPr>
          <w:rFonts w:hint="eastAsia"/>
          <w:highlight w:val="none"/>
        </w:rPr>
        <w:t>本项目采购过程中，投标文件出现下列情况的，不需要供应商澄清、说明或者纠正，按照以下原则处理：</w:t>
      </w:r>
    </w:p>
    <w:p>
      <w:pPr>
        <w:pStyle w:val="36"/>
        <w:ind w:firstLine="480"/>
        <w:rPr>
          <w:highlight w:val="none"/>
        </w:rPr>
      </w:pPr>
      <w:r>
        <w:rPr>
          <w:rFonts w:hint="eastAsia"/>
          <w:highlight w:val="none"/>
        </w:rPr>
        <w:t>投标文件的大写金额和小写金额不一致的，以大写金额为准，但大写金额出现文字错误，导致金额无法判断的除外；</w:t>
      </w:r>
    </w:p>
    <w:p>
      <w:pPr>
        <w:pStyle w:val="36"/>
        <w:ind w:firstLine="480"/>
        <w:rPr>
          <w:highlight w:val="none"/>
        </w:rPr>
      </w:pPr>
      <w:r>
        <w:rPr>
          <w:rFonts w:hint="eastAsia"/>
          <w:highlight w:val="none"/>
        </w:rPr>
        <w:t>总价金额与按单价汇总金额不一致的，以单价汇总金额计算结果为准，但是单价金额出现计算错误、明显人为工作失误的除外；</w:t>
      </w:r>
    </w:p>
    <w:p>
      <w:pPr>
        <w:pStyle w:val="36"/>
        <w:ind w:firstLine="480"/>
        <w:rPr>
          <w:highlight w:val="none"/>
        </w:rPr>
      </w:pPr>
      <w:r>
        <w:rPr>
          <w:rFonts w:hint="eastAsia"/>
          <w:highlight w:val="none"/>
        </w:rPr>
        <w:t>单价金额小数点有明显错位的，应以总价为准，并修改单价；</w:t>
      </w:r>
    </w:p>
    <w:p>
      <w:pPr>
        <w:pStyle w:val="36"/>
        <w:ind w:firstLine="480"/>
        <w:rPr>
          <w:highlight w:val="none"/>
        </w:rPr>
      </w:pPr>
      <w:r>
        <w:rPr>
          <w:rFonts w:hint="eastAsia"/>
          <w:highlight w:val="none"/>
        </w:rPr>
        <w:t>对不同语言文本投标文件的解释发生异议的，以中文文本为准。</w:t>
      </w:r>
    </w:p>
    <w:p>
      <w:pPr>
        <w:pStyle w:val="46"/>
        <w:rPr>
          <w:highlight w:val="none"/>
        </w:rPr>
      </w:pPr>
      <w:r>
        <w:rPr>
          <w:rFonts w:hint="eastAsia"/>
          <w:highlight w:val="none"/>
        </w:rPr>
        <w:t>出现本条第4.2项规定情形，单价汇总金额比总价金额高，且超过政府采购预算或者本项目</w:t>
      </w:r>
      <w:r>
        <w:rPr>
          <w:rFonts w:hint="eastAsia"/>
          <w:highlight w:val="none"/>
          <w:lang w:val="en-US" w:eastAsia="zh-CN"/>
        </w:rPr>
        <w:t>单价</w:t>
      </w:r>
      <w:r>
        <w:rPr>
          <w:rFonts w:hint="eastAsia"/>
          <w:highlight w:val="none"/>
        </w:rPr>
        <w:t>最高限价的，供应商投标文件应作为无效投标处理；单价汇总金额比总价金额高，但未超过政府采购预算或者本项目</w:t>
      </w:r>
      <w:r>
        <w:rPr>
          <w:rFonts w:hint="eastAsia"/>
          <w:highlight w:val="none"/>
          <w:lang w:val="en-US" w:eastAsia="zh-CN"/>
        </w:rPr>
        <w:t>单价</w:t>
      </w:r>
      <w:r>
        <w:rPr>
          <w:rFonts w:hint="eastAsia"/>
          <w:highlight w:val="none"/>
        </w:rPr>
        <w:t>最高限价的，应以单价汇总金额作为价格评分依据。</w:t>
      </w:r>
    </w:p>
    <w:p>
      <w:pPr>
        <w:pStyle w:val="47"/>
        <w:ind w:firstLine="482"/>
        <w:rPr>
          <w:highlight w:val="none"/>
        </w:rPr>
      </w:pPr>
      <w:r>
        <w:rPr>
          <w:rFonts w:hint="eastAsia"/>
          <w:highlight w:val="none"/>
        </w:rPr>
        <w:t>注：评标委员会成员应当积极履行澄清、说明或者纠正的职责，不得将应当澄清、说明或者纠正的投标文件作无效投标处理。</w:t>
      </w:r>
    </w:p>
    <w:p>
      <w:pPr>
        <w:pStyle w:val="32"/>
        <w:ind w:firstLine="480"/>
        <w:rPr>
          <w:highlight w:val="none"/>
        </w:rPr>
      </w:pPr>
      <w:r>
        <w:rPr>
          <w:rFonts w:hint="eastAsia"/>
          <w:highlight w:val="none"/>
        </w:rPr>
        <w:t>投标文件报价出现前后不一致的，除招标文件另有规定外，按照下列规定修正：</w:t>
      </w:r>
    </w:p>
    <w:p>
      <w:pPr>
        <w:pStyle w:val="35"/>
        <w:ind w:firstLine="480"/>
        <w:rPr>
          <w:highlight w:val="none"/>
        </w:rPr>
      </w:pPr>
      <w:r>
        <w:rPr>
          <w:rFonts w:hint="eastAsia"/>
          <w:highlight w:val="none"/>
        </w:rPr>
        <w:t>投标文件中开标一览表(报价表)内容与投标文件中相应内容不一致的，以开标唱标时单独提交的开标一览表(报价表)为准；</w:t>
      </w:r>
    </w:p>
    <w:p>
      <w:pPr>
        <w:pStyle w:val="35"/>
        <w:ind w:firstLine="480"/>
        <w:rPr>
          <w:highlight w:val="none"/>
        </w:rPr>
      </w:pPr>
      <w:r>
        <w:rPr>
          <w:rFonts w:hint="eastAsia"/>
          <w:highlight w:val="none"/>
        </w:rPr>
        <w:t>大写金额和小写金额不一致的，以大写金额为准；</w:t>
      </w:r>
    </w:p>
    <w:p>
      <w:pPr>
        <w:pStyle w:val="35"/>
        <w:ind w:firstLine="480"/>
        <w:rPr>
          <w:highlight w:val="none"/>
        </w:rPr>
      </w:pPr>
      <w:r>
        <w:rPr>
          <w:rFonts w:hint="eastAsia"/>
          <w:highlight w:val="none"/>
        </w:rPr>
        <w:t>单价金额小数点或者百分比有明显错位的，以开标一览表的总价为准，并修改单价；</w:t>
      </w:r>
    </w:p>
    <w:p>
      <w:pPr>
        <w:pStyle w:val="35"/>
        <w:ind w:firstLine="480"/>
        <w:rPr>
          <w:highlight w:val="none"/>
        </w:rPr>
      </w:pPr>
      <w:r>
        <w:rPr>
          <w:rFonts w:hint="eastAsia"/>
          <w:highlight w:val="none"/>
        </w:rPr>
        <w:t>总价金额与按单价汇总金额不一致的，以单价金额计算结果为准。</w:t>
      </w:r>
    </w:p>
    <w:p>
      <w:pPr>
        <w:pStyle w:val="47"/>
        <w:ind w:firstLine="482"/>
        <w:rPr>
          <w:highlight w:val="none"/>
        </w:rPr>
      </w:pPr>
      <w:r>
        <w:rPr>
          <w:rFonts w:hint="eastAsia"/>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pStyle w:val="32"/>
        <w:ind w:firstLine="480"/>
        <w:rPr>
          <w:highlight w:val="none"/>
        </w:rPr>
      </w:pPr>
      <w:r>
        <w:rPr>
          <w:rFonts w:hint="eastAsia"/>
          <w:highlight w:val="none"/>
        </w:rPr>
        <w:t>低于成本价投标处理</w:t>
      </w:r>
    </w:p>
    <w:p>
      <w:pPr>
        <w:pStyle w:val="35"/>
        <w:ind w:firstLine="480"/>
        <w:rPr>
          <w:highlight w:val="none"/>
        </w:rPr>
      </w:pPr>
      <w:r>
        <w:rPr>
          <w:rFonts w:hint="eastAsia"/>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5"/>
        <w:ind w:firstLine="480"/>
        <w:rPr>
          <w:highlight w:val="none"/>
        </w:rPr>
      </w:pPr>
      <w:r>
        <w:rPr>
          <w:rFonts w:hint="eastAsia"/>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5"/>
        <w:ind w:firstLine="480"/>
        <w:rPr>
          <w:highlight w:val="none"/>
        </w:rPr>
      </w:pPr>
      <w:r>
        <w:rPr>
          <w:rFonts w:hint="eastAsia"/>
          <w:highlight w:val="none"/>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4"/>
        <w:numPr>
          <w:ilvl w:val="1"/>
          <w:numId w:val="11"/>
        </w:numPr>
        <w:ind w:firstLine="482"/>
        <w:rPr>
          <w:highlight w:val="none"/>
        </w:rPr>
      </w:pPr>
      <w:bookmarkStart w:id="1401" w:name="_Toc30417"/>
      <w:bookmarkStart w:id="1402" w:name="_Toc1630"/>
      <w:bookmarkStart w:id="1403" w:name="_Toc29492"/>
      <w:bookmarkStart w:id="1404" w:name="_Toc27402"/>
      <w:bookmarkStart w:id="1405" w:name="_Toc24902"/>
      <w:bookmarkStart w:id="1406" w:name="_Toc23187"/>
      <w:bookmarkStart w:id="1407" w:name="_Toc23140"/>
      <w:bookmarkStart w:id="1408" w:name="_Toc319439947"/>
      <w:bookmarkStart w:id="1409" w:name="_Toc309897564"/>
      <w:bookmarkStart w:id="1410" w:name="_Toc2106"/>
      <w:bookmarkStart w:id="1411" w:name="_Toc307564897"/>
      <w:bookmarkStart w:id="1412" w:name="_Toc21397"/>
      <w:bookmarkStart w:id="1413" w:name="_Toc26213"/>
      <w:bookmarkStart w:id="1414" w:name="_Toc327196342"/>
      <w:bookmarkStart w:id="1415" w:name="_Toc30347"/>
      <w:bookmarkStart w:id="1416" w:name="_Toc17873"/>
      <w:bookmarkStart w:id="1417" w:name="_Toc25587"/>
      <w:bookmarkStart w:id="1418" w:name="_Toc1756"/>
      <w:bookmarkStart w:id="1419" w:name="_Toc307501155"/>
      <w:bookmarkStart w:id="1420" w:name="_Toc308188199"/>
      <w:bookmarkStart w:id="1421" w:name="_Toc308084646"/>
      <w:bookmarkStart w:id="1422" w:name="_Toc319440191"/>
      <w:bookmarkStart w:id="1423" w:name="_Toc22389"/>
      <w:bookmarkStart w:id="1424" w:name="_Toc217446103"/>
      <w:r>
        <w:rPr>
          <w:rFonts w:hint="eastAsia"/>
          <w:highlight w:val="none"/>
        </w:rPr>
        <w:t>评标细则及标准</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pPr>
        <w:pStyle w:val="32"/>
        <w:numPr>
          <w:ilvl w:val="1"/>
          <w:numId w:val="30"/>
        </w:numPr>
        <w:ind w:firstLine="480"/>
        <w:rPr>
          <w:highlight w:val="none"/>
        </w:rPr>
      </w:pPr>
      <w:r>
        <w:rPr>
          <w:rFonts w:hint="eastAsia"/>
          <w:highlight w:val="none"/>
        </w:rPr>
        <w:t>评委会只对通过符合性检查的投标文件，根据招标文件的要求采用相同的评标程序、评分办法及标准进行评价和比较。</w:t>
      </w:r>
    </w:p>
    <w:p>
      <w:pPr>
        <w:pStyle w:val="32"/>
        <w:numPr>
          <w:ilvl w:val="1"/>
          <w:numId w:val="30"/>
        </w:numPr>
        <w:ind w:firstLine="480"/>
        <w:rPr>
          <w:highlight w:val="none"/>
        </w:rPr>
      </w:pPr>
      <w:r>
        <w:rPr>
          <w:rFonts w:hint="eastAsia"/>
          <w:highlight w:val="none"/>
        </w:rPr>
        <w:t>本次综合评分的因素是：详见“综合评分明细表中的评分因素及权重”。</w:t>
      </w:r>
    </w:p>
    <w:p>
      <w:pPr>
        <w:pStyle w:val="32"/>
        <w:numPr>
          <w:ilvl w:val="1"/>
          <w:numId w:val="30"/>
        </w:numPr>
        <w:ind w:firstLine="480"/>
        <w:rPr>
          <w:highlight w:val="none"/>
        </w:rPr>
      </w:pPr>
      <w:r>
        <w:rPr>
          <w:rFonts w:hint="eastAsia"/>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2"/>
        <w:numPr>
          <w:ilvl w:val="1"/>
          <w:numId w:val="30"/>
        </w:numPr>
        <w:ind w:firstLine="480"/>
        <w:rPr>
          <w:highlight w:val="none"/>
        </w:rPr>
      </w:pPr>
      <w:r>
        <w:rPr>
          <w:rFonts w:hint="eastAsia"/>
          <w:highlight w:val="none"/>
        </w:rPr>
        <w:t>评审得分计算方法</w:t>
      </w:r>
    </w:p>
    <w:p>
      <w:pPr>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评审得分＝(A1＋A2＋……＋An)/NA＋(B1＋B2＋……＋Bn)/ NB＋(C1＋C2＋……＋Cn)/ NC＋(D1＋D2＋……＋Dn)/ND</w:t>
      </w:r>
    </w:p>
    <w:p>
      <w:pPr>
        <w:ind w:firstLine="480" w:firstLineChars="200"/>
        <w:rPr>
          <w:highlight w:val="none"/>
        </w:rPr>
      </w:pPr>
      <w:r>
        <w:rPr>
          <w:rFonts w:hint="eastAsia" w:asciiTheme="minorEastAsia" w:hAnsiTheme="minorEastAsia" w:eastAsiaTheme="minorEastAsia" w:cstheme="minorEastAsia"/>
          <w:highlight w:val="none"/>
        </w:rPr>
        <w:t>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分别为评审委员会每个成员的打分(共同评分类)，ND为评审委员会人数。</w:t>
      </w:r>
    </w:p>
    <w:p>
      <w:pPr>
        <w:pStyle w:val="32"/>
        <w:ind w:firstLine="480"/>
        <w:rPr>
          <w:highlight w:val="none"/>
        </w:rPr>
      </w:pPr>
      <w:r>
        <w:rPr>
          <w:rFonts w:hint="eastAsia"/>
          <w:highlight w:val="none"/>
        </w:rPr>
        <w:t>综合评分明细表</w:t>
      </w:r>
    </w:p>
    <w:p>
      <w:pPr>
        <w:pStyle w:val="35"/>
        <w:ind w:firstLine="480"/>
        <w:rPr>
          <w:highlight w:val="none"/>
        </w:rPr>
      </w:pPr>
      <w:r>
        <w:rPr>
          <w:rFonts w:hint="eastAsia"/>
          <w:highlight w:val="none"/>
        </w:rPr>
        <w:t>综合评分明细表的制定以科学合理、降低评委会自由裁量权为原则。</w:t>
      </w:r>
    </w:p>
    <w:p>
      <w:pPr>
        <w:pStyle w:val="35"/>
        <w:ind w:firstLine="480"/>
        <w:rPr>
          <w:highlight w:val="none"/>
        </w:rPr>
      </w:pPr>
      <w:r>
        <w:rPr>
          <w:rFonts w:hint="eastAsia"/>
          <w:highlight w:val="none"/>
        </w:rPr>
        <w:t>综合评分明细表</w:t>
      </w:r>
    </w:p>
    <w:tbl>
      <w:tblPr>
        <w:tblStyle w:val="2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041"/>
        <w:gridCol w:w="1050"/>
        <w:gridCol w:w="595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041" w:type="dxa"/>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评分因素及权重</w:t>
            </w:r>
          </w:p>
        </w:tc>
        <w:tc>
          <w:tcPr>
            <w:tcW w:w="1050" w:type="dxa"/>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5951" w:type="dxa"/>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评分标准</w:t>
            </w:r>
          </w:p>
        </w:tc>
        <w:tc>
          <w:tcPr>
            <w:tcW w:w="1121" w:type="dxa"/>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5"/>
              <w:bidi w:val="0"/>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p>
        </w:tc>
        <w:tc>
          <w:tcPr>
            <w:tcW w:w="1041" w:type="dxa"/>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w:t>
            </w:r>
          </w:p>
          <w:p>
            <w:pPr>
              <w:pStyle w:val="45"/>
              <w:bidi w:val="0"/>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p>
        </w:tc>
        <w:tc>
          <w:tcPr>
            <w:tcW w:w="1050" w:type="dxa"/>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51" w:type="dxa"/>
            <w:vAlign w:val="center"/>
          </w:tcPr>
          <w:p>
            <w:pPr>
              <w:pStyle w:val="41"/>
              <w:bidi w:val="0"/>
              <w:spacing w:line="4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满足招标文件要求且投标价格最低的投标报价为评标基准价，其价格分为满分。其他投标人的价格分统一按照下列公式计算：</w:t>
            </w:r>
          </w:p>
          <w:p>
            <w:pPr>
              <w:pStyle w:val="41"/>
              <w:bidi w:val="0"/>
              <w:spacing w:line="4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①新增案件扫描及整理归档服务投标报价得分=(评标基准价／投标报价)×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11.7</w:t>
            </w:r>
            <w:r>
              <w:rPr>
                <w:rFonts w:hint="eastAsia" w:ascii="宋体" w:hAnsi="宋体" w:eastAsia="宋体" w:cs="宋体"/>
                <w:color w:val="000000" w:themeColor="text1"/>
                <w:sz w:val="24"/>
                <w:szCs w:val="24"/>
                <w:highlight w:val="none"/>
                <w14:textFill>
                  <w14:solidFill>
                    <w14:schemeClr w14:val="tx1"/>
                  </w14:solidFill>
                </w14:textFill>
              </w:rPr>
              <w:t>%×100；</w:t>
            </w:r>
          </w:p>
          <w:p>
            <w:pPr>
              <w:pStyle w:val="41"/>
              <w:bidi w:val="0"/>
              <w:spacing w:line="4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②迈维系统案件补充扫描服务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电子卷宗智能编目服务投标报价得分=(评标基准价／投标报价)×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%×100；</w:t>
            </w:r>
          </w:p>
          <w:p>
            <w:pPr>
              <w:pStyle w:val="41"/>
              <w:bidi w:val="0"/>
              <w:spacing w:line="400" w:lineRule="exact"/>
              <w:ind w:left="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投标报价得分=</w:t>
            </w: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cs="宋体"/>
                <w:color w:val="000000" w:themeColor="text1"/>
                <w:sz w:val="24"/>
                <w:szCs w:val="24"/>
                <w:highlight w:val="none"/>
                <w:lang w:eastAsia="zh-CN"/>
                <w14:textFill>
                  <w14:solidFill>
                    <w14:schemeClr w14:val="tx1"/>
                  </w14:solidFill>
                </w14:textFill>
              </w:rPr>
              <w:t>。</w:t>
            </w:r>
          </w:p>
          <w:p>
            <w:pPr>
              <w:pStyle w:val="41"/>
              <w:bidi w:val="0"/>
              <w:spacing w:line="4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注：1.小微企业(残疾人福利性单位、监狱企业视同小微企业)价格扣除及失信企业价格惩戒加成按照本招标文件投标人须知前附表规定执行。</w:t>
            </w:r>
          </w:p>
          <w:p>
            <w:pPr>
              <w:pStyle w:val="41"/>
              <w:bidi w:val="0"/>
              <w:spacing w:line="4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2.评标过程中，不得去掉报价中的最高报价和最低报价。</w:t>
            </w:r>
          </w:p>
          <w:p>
            <w:pPr>
              <w:pStyle w:val="41"/>
              <w:bidi w:val="0"/>
              <w:spacing w:line="400" w:lineRule="exact"/>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3.因落实政府采购政策进行价格调整的，以调整后的价格计算评标基准价和投标报价。</w:t>
            </w:r>
          </w:p>
        </w:tc>
        <w:tc>
          <w:tcPr>
            <w:tcW w:w="1121" w:type="dxa"/>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93" w:type="dxa"/>
            <w:vAlign w:val="center"/>
          </w:tcPr>
          <w:p>
            <w:pPr>
              <w:pStyle w:val="45"/>
              <w:bidi w:val="0"/>
              <w:spacing w:line="40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二</w:t>
            </w:r>
          </w:p>
        </w:tc>
        <w:tc>
          <w:tcPr>
            <w:tcW w:w="1041" w:type="dxa"/>
            <w:vAlign w:val="center"/>
          </w:tcPr>
          <w:p>
            <w:pPr>
              <w:pStyle w:val="45"/>
              <w:bidi w:val="0"/>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项目总体要求</w:t>
            </w:r>
          </w:p>
          <w:p>
            <w:pPr>
              <w:pStyle w:val="45"/>
              <w:bidi w:val="0"/>
              <w:spacing w:line="40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12%</w:t>
            </w:r>
          </w:p>
        </w:tc>
        <w:tc>
          <w:tcPr>
            <w:tcW w:w="1050" w:type="dxa"/>
            <w:vAlign w:val="center"/>
          </w:tcPr>
          <w:p>
            <w:pPr>
              <w:pStyle w:val="45"/>
              <w:bidi w:val="0"/>
              <w:spacing w:line="40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12分</w:t>
            </w:r>
          </w:p>
        </w:tc>
        <w:tc>
          <w:tcPr>
            <w:tcW w:w="5951" w:type="dxa"/>
            <w:vAlign w:val="center"/>
          </w:tcPr>
          <w:p>
            <w:pPr>
              <w:pStyle w:val="41"/>
              <w:bidi w:val="0"/>
              <w:spacing w:line="400" w:lineRule="exact"/>
              <w:ind w:left="0" w:left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投标人完全响应招标文件</w:t>
            </w:r>
            <w:r>
              <w:rPr>
                <w:rFonts w:hint="eastAsia" w:ascii="宋体" w:hAnsi="宋体" w:eastAsia="宋体" w:cs="宋体"/>
                <w:color w:val="000000" w:themeColor="text1"/>
                <w:sz w:val="24"/>
                <w:szCs w:val="24"/>
                <w:highlight w:val="none"/>
                <w:lang w:eastAsia="zh-CN"/>
                <w14:textFill>
                  <w14:solidFill>
                    <w14:schemeClr w14:val="tx1"/>
                  </w14:solidFill>
                </w14:textFill>
              </w:rPr>
              <w:t>项目总体要求</w:t>
            </w:r>
            <w:r>
              <w:rPr>
                <w:rFonts w:hint="eastAsia" w:cs="宋体"/>
                <w:color w:val="000000" w:themeColor="text1"/>
                <w:sz w:val="24"/>
                <w:szCs w:val="24"/>
                <w:highlight w:val="none"/>
                <w:lang w:val="en-US" w:eastAsia="zh-CN"/>
                <w14:textFill>
                  <w14:solidFill>
                    <w14:schemeClr w14:val="tx1"/>
                  </w14:solidFill>
                </w14:textFill>
              </w:rPr>
              <w:t>的得12分，每有一项不满足的扣2分，扣完为止。</w:t>
            </w:r>
          </w:p>
        </w:tc>
        <w:tc>
          <w:tcPr>
            <w:tcW w:w="1121" w:type="dxa"/>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Merge w:val="restart"/>
            <w:vAlign w:val="center"/>
          </w:tcPr>
          <w:p>
            <w:pPr>
              <w:pStyle w:val="45"/>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三</w:t>
            </w:r>
          </w:p>
        </w:tc>
        <w:tc>
          <w:tcPr>
            <w:tcW w:w="1041" w:type="dxa"/>
            <w:vMerge w:val="restart"/>
            <w:vAlign w:val="center"/>
          </w:tcPr>
          <w:p>
            <w:pPr>
              <w:pStyle w:val="45"/>
              <w:bidi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项目实施方案</w:t>
            </w:r>
          </w:p>
          <w:p>
            <w:pPr>
              <w:pStyle w:val="45"/>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40%</w:t>
            </w:r>
          </w:p>
        </w:tc>
        <w:tc>
          <w:tcPr>
            <w:tcW w:w="1050" w:type="dxa"/>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整体服务方案(15分)</w:t>
            </w:r>
          </w:p>
        </w:tc>
        <w:tc>
          <w:tcPr>
            <w:tcW w:w="5951" w:type="dxa"/>
            <w:vAlign w:val="center"/>
          </w:tcPr>
          <w:p>
            <w:pPr>
              <w:spacing w:line="40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根据投标人提供项目整体服务方案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包含但不限于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管理方案、项目实施组织架构及岗位职责、项目实施流程图、材料交接方案、材料整理方案、材料扫描方案、图像质检方案、电子卷宗智能编目方案、审核结案方案、纸质归档方案、归档上架方案、项目实施质量要求及保证措施、项目实施应急预案、项目验收方案、项目实施人员培训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进行综合评审，服务方案</w:t>
            </w:r>
            <w:r>
              <w:rPr>
                <w:rFonts w:hint="eastAsia" w:cs="宋体"/>
                <w:color w:val="000000" w:themeColor="text1"/>
                <w:sz w:val="24"/>
                <w:szCs w:val="24"/>
                <w:highlight w:val="none"/>
                <w:lang w:val="en-US" w:eastAsia="zh-CN"/>
                <w14:textFill>
                  <w14:solidFill>
                    <w14:schemeClr w14:val="tx1"/>
                  </w14:solidFill>
                </w14:textFill>
              </w:rPr>
              <w:t>内容齐全</w:t>
            </w:r>
            <w:r>
              <w:rPr>
                <w:rFonts w:hint="eastAsia" w:ascii="宋体" w:hAnsi="宋体" w:eastAsia="宋体" w:cs="宋体"/>
                <w:color w:val="000000" w:themeColor="text1"/>
                <w:sz w:val="24"/>
                <w:szCs w:val="24"/>
                <w:highlight w:val="none"/>
                <w14:textFill>
                  <w14:solidFill>
                    <w14:schemeClr w14:val="tx1"/>
                  </w14:solidFill>
                </w14:textFill>
              </w:rPr>
              <w:t>完整，解决问题思路清晰，工作流程控制清晰，能体现出投标人的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专业</w:t>
            </w:r>
            <w:r>
              <w:rPr>
                <w:rFonts w:hint="eastAsia" w:ascii="宋体" w:hAnsi="宋体" w:eastAsia="宋体" w:cs="宋体"/>
                <w:color w:val="000000" w:themeColor="text1"/>
                <w:sz w:val="24"/>
                <w:szCs w:val="24"/>
                <w:highlight w:val="none"/>
                <w14:textFill>
                  <w14:solidFill>
                    <w14:schemeClr w14:val="tx1"/>
                  </w14:solidFill>
                </w14:textFill>
              </w:rPr>
              <w:t>技术性，</w:t>
            </w:r>
            <w:r>
              <w:rPr>
                <w:rFonts w:hint="eastAsia" w:ascii="宋体" w:hAnsi="宋体" w:eastAsia="宋体" w:cs="宋体"/>
                <w:color w:val="000000" w:themeColor="text1"/>
                <w:sz w:val="24"/>
                <w:szCs w:val="24"/>
                <w:highlight w:val="none"/>
                <w:lang w:val="en-US" w:eastAsia="zh-CN"/>
                <w14:textFill>
                  <w14:solidFill>
                    <w14:schemeClr w14:val="tx1"/>
                  </w14:solidFill>
                </w14:textFill>
              </w:rPr>
              <w:t>完全</w:t>
            </w:r>
            <w:r>
              <w:rPr>
                <w:rFonts w:hint="eastAsia" w:ascii="宋体" w:hAnsi="宋体" w:eastAsia="宋体" w:cs="宋体"/>
                <w:color w:val="000000" w:themeColor="text1"/>
                <w:sz w:val="24"/>
                <w:szCs w:val="24"/>
                <w:highlight w:val="none"/>
                <w14:textFill>
                  <w14:solidFill>
                    <w14:schemeClr w14:val="tx1"/>
                  </w14:solidFill>
                </w14:textFill>
              </w:rPr>
              <w:t>满足项目需求的得15分，每有一项漏</w:t>
            </w:r>
            <w:r>
              <w:rPr>
                <w:rFonts w:hint="eastAsia" w:cs="宋体"/>
                <w:color w:val="000000" w:themeColor="text1"/>
                <w:sz w:val="24"/>
                <w:szCs w:val="24"/>
                <w:highlight w:val="none"/>
                <w:lang w:val="en-US" w:eastAsia="zh-CN"/>
                <w14:textFill>
                  <w14:solidFill>
                    <w14:schemeClr w14:val="tx1"/>
                  </w14:solidFill>
                </w14:textFill>
              </w:rPr>
              <w:t>/缺</w:t>
            </w:r>
            <w:r>
              <w:rPr>
                <w:rFonts w:hint="eastAsia" w:ascii="宋体" w:hAnsi="宋体" w:eastAsia="宋体" w:cs="宋体"/>
                <w:color w:val="000000" w:themeColor="text1"/>
                <w:sz w:val="24"/>
                <w:szCs w:val="24"/>
                <w:highlight w:val="none"/>
                <w14:textFill>
                  <w14:solidFill>
                    <w14:schemeClr w14:val="tx1"/>
                  </w14:solidFill>
                </w14:textFill>
              </w:rPr>
              <w:t>项或不满足要求的扣1分，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每有一处项目内容与本项目不匹配的或项目名称、 履约地点与技术服务要求不一致或内容</w:t>
            </w:r>
            <w:r>
              <w:rPr>
                <w:rFonts w:hint="eastAsia" w:cs="宋体"/>
                <w:color w:val="000000" w:themeColor="text1"/>
                <w:sz w:val="24"/>
                <w:szCs w:val="24"/>
                <w:highlight w:val="none"/>
                <w:lang w:val="en-US" w:eastAsia="zh-CN"/>
                <w14:textFill>
                  <w14:solidFill>
                    <w14:schemeClr w14:val="tx1"/>
                  </w14:solidFill>
                </w14:textFill>
              </w:rPr>
              <w:t>脱离</w:t>
            </w:r>
            <w:r>
              <w:rPr>
                <w:rFonts w:hint="eastAsia" w:ascii="宋体" w:hAnsi="宋体" w:eastAsia="宋体" w:cs="宋体"/>
                <w:color w:val="000000" w:themeColor="text1"/>
                <w:sz w:val="24"/>
                <w:szCs w:val="24"/>
                <w:highlight w:val="none"/>
                <w:lang w:val="en-US" w:eastAsia="zh-CN"/>
                <w14:textFill>
                  <w14:solidFill>
                    <w14:schemeClr w14:val="tx1"/>
                  </w14:solidFill>
                </w14:textFill>
              </w:rPr>
              <w:t>实际等情形扣0.5分，</w:t>
            </w:r>
            <w:r>
              <w:rPr>
                <w:rFonts w:hint="eastAsia" w:ascii="宋体" w:hAnsi="宋体" w:eastAsia="宋体" w:cs="宋体"/>
                <w:color w:val="000000" w:themeColor="text1"/>
                <w:sz w:val="24"/>
                <w:szCs w:val="24"/>
                <w:highlight w:val="none"/>
                <w14:textFill>
                  <w14:solidFill>
                    <w14:schemeClr w14:val="tx1"/>
                  </w14:solidFill>
                </w14:textFill>
              </w:rPr>
              <w:t>扣完为止。</w:t>
            </w:r>
          </w:p>
        </w:tc>
        <w:tc>
          <w:tcPr>
            <w:tcW w:w="1121" w:type="dxa"/>
            <w:vMerge w:val="restart"/>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41" w:type="dxa"/>
            <w:vMerge w:val="continue"/>
            <w:vAlign w:val="center"/>
          </w:tcPr>
          <w:p>
            <w:pPr>
              <w:pStyle w:val="45"/>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项目实施计划(</w:t>
            </w: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51" w:type="dxa"/>
            <w:vAlign w:val="center"/>
          </w:tcPr>
          <w:p>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根据投标人提供的项目实施计划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包含但不限于①设备配置计划；②人员配置计划；</w:t>
            </w:r>
            <w:r>
              <w:rPr>
                <w:rFonts w:hint="eastAsia" w:ascii="宋体" w:hAnsi="宋体" w:eastAsia="宋体" w:cs="宋体"/>
                <w:color w:val="000000" w:themeColor="text1"/>
                <w:kern w:val="0"/>
                <w:sz w:val="24"/>
                <w:szCs w:val="24"/>
                <w:highlight w:val="none"/>
                <w14:textFill>
                  <w14:solidFill>
                    <w14:schemeClr w14:val="tx1"/>
                  </w14:solidFill>
                </w14:textFill>
              </w:rPr>
              <w:t>③加工进度计划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等内容进行综合评审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各工作岗位的人员配备科学合理，设备配置先进完善、与采购单位工作流程的配合密切的</w:t>
            </w: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分，每有一项漏</w:t>
            </w:r>
            <w:r>
              <w:rPr>
                <w:rFonts w:hint="eastAsia" w:cs="宋体"/>
                <w:color w:val="000000" w:themeColor="text1"/>
                <w:sz w:val="24"/>
                <w:szCs w:val="24"/>
                <w:highlight w:val="none"/>
                <w:lang w:val="en-US" w:eastAsia="zh-CN"/>
                <w14:textFill>
                  <w14:solidFill>
                    <w14:schemeClr w14:val="tx1"/>
                  </w14:solidFill>
                </w14:textFill>
              </w:rPr>
              <w:t>/缺</w:t>
            </w:r>
            <w:r>
              <w:rPr>
                <w:rFonts w:hint="eastAsia" w:ascii="宋体" w:hAnsi="宋体" w:eastAsia="宋体" w:cs="宋体"/>
                <w:color w:val="000000" w:themeColor="text1"/>
                <w:sz w:val="24"/>
                <w:szCs w:val="24"/>
                <w:highlight w:val="none"/>
                <w14:textFill>
                  <w14:solidFill>
                    <w14:schemeClr w14:val="tx1"/>
                  </w14:solidFill>
                </w14:textFill>
              </w:rPr>
              <w:t>项或不满足要求的扣3分，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每有一处项目内容与本项目不匹配的或项目名称、 履约地点与技术服务要求不一致或内容</w:t>
            </w:r>
            <w:r>
              <w:rPr>
                <w:rFonts w:hint="eastAsia" w:cs="宋体"/>
                <w:color w:val="000000" w:themeColor="text1"/>
                <w:sz w:val="24"/>
                <w:szCs w:val="24"/>
                <w:highlight w:val="none"/>
                <w:lang w:val="en-US" w:eastAsia="zh-CN"/>
                <w14:textFill>
                  <w14:solidFill>
                    <w14:schemeClr w14:val="tx1"/>
                  </w14:solidFill>
                </w14:textFill>
              </w:rPr>
              <w:t>脱离</w:t>
            </w:r>
            <w:r>
              <w:rPr>
                <w:rFonts w:hint="eastAsia" w:ascii="宋体" w:hAnsi="宋体" w:eastAsia="宋体" w:cs="宋体"/>
                <w:color w:val="000000" w:themeColor="text1"/>
                <w:sz w:val="24"/>
                <w:szCs w:val="24"/>
                <w:highlight w:val="none"/>
                <w:lang w:val="en-US" w:eastAsia="zh-CN"/>
                <w14:textFill>
                  <w14:solidFill>
                    <w14:schemeClr w14:val="tx1"/>
                  </w14:solidFill>
                </w14:textFill>
              </w:rPr>
              <w:t>实际等情形扣1.5分，</w:t>
            </w:r>
            <w:r>
              <w:rPr>
                <w:rFonts w:hint="eastAsia" w:ascii="宋体" w:hAnsi="宋体" w:eastAsia="宋体" w:cs="宋体"/>
                <w:color w:val="000000" w:themeColor="text1"/>
                <w:sz w:val="24"/>
                <w:szCs w:val="24"/>
                <w:highlight w:val="none"/>
                <w14:textFill>
                  <w14:solidFill>
                    <w14:schemeClr w14:val="tx1"/>
                  </w14:solidFill>
                </w14:textFill>
              </w:rPr>
              <w:t>扣完为止。</w:t>
            </w:r>
          </w:p>
        </w:tc>
        <w:tc>
          <w:tcPr>
            <w:tcW w:w="1121"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41" w:type="dxa"/>
            <w:vMerge w:val="continue"/>
            <w:vAlign w:val="center"/>
          </w:tcPr>
          <w:p>
            <w:pPr>
              <w:pStyle w:val="45"/>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项目重、难点分析(5分)</w:t>
            </w:r>
          </w:p>
        </w:tc>
        <w:tc>
          <w:tcPr>
            <w:tcW w:w="5951" w:type="dxa"/>
            <w:vAlign w:val="center"/>
          </w:tcPr>
          <w:p>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根据投标人对项目重、难点分析及应对措施是否</w:t>
            </w:r>
            <w:r>
              <w:rPr>
                <w:rFonts w:hint="eastAsia" w:ascii="宋体" w:hAnsi="宋体" w:eastAsia="宋体" w:cs="宋体"/>
                <w:color w:val="000000" w:themeColor="text1"/>
                <w:sz w:val="24"/>
                <w:szCs w:val="24"/>
                <w:highlight w:val="none"/>
                <w:lang w:val="en-US" w:eastAsia="zh-CN"/>
                <w14:textFill>
                  <w14:solidFill>
                    <w14:schemeClr w14:val="tx1"/>
                  </w14:solidFill>
                </w14:textFill>
              </w:rPr>
              <w:t>完善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匹配项目要求</w:t>
            </w:r>
            <w:r>
              <w:rPr>
                <w:rFonts w:hint="eastAsia" w:ascii="宋体" w:hAnsi="宋体" w:eastAsia="宋体" w:cs="宋体"/>
                <w:color w:val="000000" w:themeColor="text1"/>
                <w:sz w:val="24"/>
                <w:szCs w:val="24"/>
                <w:highlight w:val="none"/>
                <w14:textFill>
                  <w14:solidFill>
                    <w14:schemeClr w14:val="tx1"/>
                  </w14:solidFill>
                </w14:textFill>
              </w:rPr>
              <w:t>进行</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color w:val="000000" w:themeColor="text1"/>
                <w:sz w:val="24"/>
                <w:szCs w:val="24"/>
                <w:highlight w:val="none"/>
                <w14:textFill>
                  <w14:solidFill>
                    <w14:schemeClr w14:val="tx1"/>
                  </w14:solidFill>
                </w14:textFill>
              </w:rPr>
              <w:t>评审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包括①项目重、难点分析；②针对本项目应对措施。前述2项均满足</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项目需</w:t>
            </w:r>
            <w:r>
              <w:rPr>
                <w:rFonts w:hint="eastAsia" w:ascii="宋体" w:hAnsi="宋体" w:eastAsia="宋体" w:cs="宋体"/>
                <w:color w:val="000000" w:themeColor="text1"/>
                <w:sz w:val="24"/>
                <w:szCs w:val="24"/>
                <w:highlight w:val="none"/>
                <w14:textFill>
                  <w14:solidFill>
                    <w14:schemeClr w14:val="tx1"/>
                  </w14:solidFill>
                </w14:textFill>
              </w:rPr>
              <w:t>求的得5分，每有一项漏</w:t>
            </w:r>
            <w:r>
              <w:rPr>
                <w:rFonts w:hint="eastAsia" w:cs="宋体"/>
                <w:color w:val="000000" w:themeColor="text1"/>
                <w:sz w:val="24"/>
                <w:szCs w:val="24"/>
                <w:highlight w:val="none"/>
                <w:lang w:val="en-US" w:eastAsia="zh-CN"/>
                <w14:textFill>
                  <w14:solidFill>
                    <w14:schemeClr w14:val="tx1"/>
                  </w14:solidFill>
                </w14:textFill>
              </w:rPr>
              <w:t>/缺</w:t>
            </w:r>
            <w:r>
              <w:rPr>
                <w:rFonts w:hint="eastAsia" w:ascii="宋体" w:hAnsi="宋体" w:eastAsia="宋体" w:cs="宋体"/>
                <w:color w:val="000000" w:themeColor="text1"/>
                <w:sz w:val="24"/>
                <w:szCs w:val="24"/>
                <w:highlight w:val="none"/>
                <w14:textFill>
                  <w14:solidFill>
                    <w14:schemeClr w14:val="tx1"/>
                  </w14:solidFill>
                </w14:textFill>
              </w:rPr>
              <w:t>项或不满足要求的扣2.5分，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每有一处项目内容与本项目不匹配的或项目名称、 履约地点与技术服务要求不一致或内容</w:t>
            </w:r>
            <w:r>
              <w:rPr>
                <w:rFonts w:hint="eastAsia" w:cs="宋体"/>
                <w:color w:val="000000" w:themeColor="text1"/>
                <w:sz w:val="24"/>
                <w:szCs w:val="24"/>
                <w:highlight w:val="none"/>
                <w:lang w:val="en-US" w:eastAsia="zh-CN"/>
                <w14:textFill>
                  <w14:solidFill>
                    <w14:schemeClr w14:val="tx1"/>
                  </w14:solidFill>
                </w14:textFill>
              </w:rPr>
              <w:t>脱离</w:t>
            </w:r>
            <w:r>
              <w:rPr>
                <w:rFonts w:hint="eastAsia" w:ascii="宋体" w:hAnsi="宋体" w:eastAsia="宋体" w:cs="宋体"/>
                <w:color w:val="000000" w:themeColor="text1"/>
                <w:sz w:val="24"/>
                <w:szCs w:val="24"/>
                <w:highlight w:val="none"/>
                <w:lang w:val="en-US" w:eastAsia="zh-CN"/>
                <w14:textFill>
                  <w14:solidFill>
                    <w14:schemeClr w14:val="tx1"/>
                  </w14:solidFill>
                </w14:textFill>
              </w:rPr>
              <w:t>实际等情形扣1.5分，</w:t>
            </w:r>
            <w:r>
              <w:rPr>
                <w:rFonts w:hint="eastAsia" w:ascii="宋体" w:hAnsi="宋体" w:eastAsia="宋体" w:cs="宋体"/>
                <w:color w:val="000000" w:themeColor="text1"/>
                <w:sz w:val="24"/>
                <w:szCs w:val="24"/>
                <w:highlight w:val="none"/>
                <w14:textFill>
                  <w14:solidFill>
                    <w14:schemeClr w14:val="tx1"/>
                  </w14:solidFill>
                </w14:textFill>
              </w:rPr>
              <w:t>扣完为止。</w:t>
            </w:r>
          </w:p>
        </w:tc>
        <w:tc>
          <w:tcPr>
            <w:tcW w:w="1121"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41" w:type="dxa"/>
            <w:vMerge w:val="continue"/>
            <w:vAlign w:val="center"/>
          </w:tcPr>
          <w:p>
            <w:pPr>
              <w:pStyle w:val="45"/>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项目安全保障方案(</w:t>
            </w: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51" w:type="dxa"/>
            <w:vAlign w:val="center"/>
          </w:tcPr>
          <w:p>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24"/>
                <w:highlight w:val="none"/>
                <w14:textFill>
                  <w14:solidFill>
                    <w14:schemeClr w14:val="tx1"/>
                  </w14:solidFill>
                </w14:textFill>
              </w:rPr>
              <w:t>投标人提供的项目安全保障方案，包含但不限于①档案信息安全保障措施、②档案安全保密制度、③实物档案安全保证措施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等进行</w:t>
            </w:r>
            <w:r>
              <w:rPr>
                <w:rFonts w:hint="eastAsia" w:ascii="宋体" w:hAnsi="宋体" w:eastAsia="宋体" w:cs="宋体"/>
                <w:color w:val="000000" w:themeColor="text1"/>
                <w:sz w:val="24"/>
                <w:szCs w:val="24"/>
                <w:highlight w:val="none"/>
                <w14:textFill>
                  <w14:solidFill>
                    <w14:schemeClr w14:val="tx1"/>
                  </w14:solidFill>
                </w14:textFill>
              </w:rPr>
              <w:t>综合评审；方案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内容齐全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措施健全、完全满足项目需求</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前述3项均满足要求的得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分，每有一项漏</w:t>
            </w:r>
            <w:r>
              <w:rPr>
                <w:rFonts w:hint="eastAsia" w:cs="宋体"/>
                <w:color w:val="000000" w:themeColor="text1"/>
                <w:sz w:val="24"/>
                <w:szCs w:val="24"/>
                <w:highlight w:val="none"/>
                <w:lang w:val="en-US" w:eastAsia="zh-CN"/>
                <w14:textFill>
                  <w14:solidFill>
                    <w14:schemeClr w14:val="tx1"/>
                  </w14:solidFill>
                </w14:textFill>
              </w:rPr>
              <w:t>/缺</w:t>
            </w:r>
            <w:r>
              <w:rPr>
                <w:rFonts w:hint="eastAsia" w:ascii="宋体" w:hAnsi="宋体" w:eastAsia="宋体" w:cs="宋体"/>
                <w:color w:val="000000" w:themeColor="text1"/>
                <w:kern w:val="0"/>
                <w:sz w:val="24"/>
                <w:szCs w:val="24"/>
                <w:highlight w:val="none"/>
                <w14:textFill>
                  <w14:solidFill>
                    <w14:schemeClr w14:val="tx1"/>
                  </w14:solidFill>
                </w14:textFill>
              </w:rPr>
              <w:t>项或不满足要求的扣2分，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每有一处项目内容与本项目不匹配的或项目名称、 履约地点与技术服务要求不一致或内容</w:t>
            </w:r>
            <w:r>
              <w:rPr>
                <w:rFonts w:hint="eastAsia" w:cs="宋体"/>
                <w:color w:val="000000" w:themeColor="text1"/>
                <w:sz w:val="24"/>
                <w:szCs w:val="24"/>
                <w:highlight w:val="none"/>
                <w:lang w:val="en-US" w:eastAsia="zh-CN"/>
                <w14:textFill>
                  <w14:solidFill>
                    <w14:schemeClr w14:val="tx1"/>
                  </w14:solidFill>
                </w14:textFill>
              </w:rPr>
              <w:t>脱离</w:t>
            </w:r>
            <w:r>
              <w:rPr>
                <w:rFonts w:hint="eastAsia" w:ascii="宋体" w:hAnsi="宋体" w:eastAsia="宋体" w:cs="宋体"/>
                <w:color w:val="000000" w:themeColor="text1"/>
                <w:sz w:val="24"/>
                <w:szCs w:val="24"/>
                <w:highlight w:val="none"/>
                <w:lang w:val="en-US" w:eastAsia="zh-CN"/>
                <w14:textFill>
                  <w14:solidFill>
                    <w14:schemeClr w14:val="tx1"/>
                  </w14:solidFill>
                </w14:textFill>
              </w:rPr>
              <w:t>实际等情形扣1分，</w:t>
            </w:r>
            <w:r>
              <w:rPr>
                <w:rFonts w:hint="eastAsia" w:ascii="宋体" w:hAnsi="宋体" w:eastAsia="宋体" w:cs="宋体"/>
                <w:color w:val="000000" w:themeColor="text1"/>
                <w:sz w:val="24"/>
                <w:szCs w:val="24"/>
                <w:highlight w:val="none"/>
                <w14:textFill>
                  <w14:solidFill>
                    <w14:schemeClr w14:val="tx1"/>
                  </w14:solidFill>
                </w14:textFill>
              </w:rPr>
              <w:t>扣完为止</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121"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41"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vAlign w:val="center"/>
          </w:tcPr>
          <w:p>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项目售后服务方案(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51" w:type="dxa"/>
            <w:vAlign w:val="center"/>
          </w:tcPr>
          <w:p>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根据投标人提供的项目售后服务方案，包含但不限于①售后服务应答时间、维护时间和维护方式；②售后服务范围及期限；③本地化售后服务机构和人员保障；④售后服务监督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⑤增值服务及临时技术支持服务等内容进行综合评审：</w:t>
            </w:r>
            <w:r>
              <w:rPr>
                <w:rFonts w:hint="eastAsia" w:ascii="宋体" w:hAnsi="宋体" w:eastAsia="宋体" w:cs="宋体"/>
                <w:color w:val="000000" w:themeColor="text1"/>
                <w:kern w:val="0"/>
                <w:sz w:val="24"/>
                <w:szCs w:val="24"/>
                <w:highlight w:val="none"/>
                <w14:textFill>
                  <w14:solidFill>
                    <w14:schemeClr w14:val="tx1"/>
                  </w14:solidFill>
                </w14:textFill>
              </w:rPr>
              <w:t>前述</w:t>
            </w:r>
            <w:r>
              <w:rPr>
                <w:rFonts w:hint="eastAsia" w:ascii="宋体" w:hAnsi="宋体" w:eastAsia="宋体" w:cs="宋体"/>
                <w:color w:val="000000" w:themeColor="text1"/>
                <w:kern w:val="0"/>
                <w:sz w:val="24"/>
                <w:szCs w:val="24"/>
                <w:highlight w:val="none"/>
                <w:lang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在内容齐全，机制完善、措施健全，体现供应商</w:t>
            </w:r>
            <w:r>
              <w:rPr>
                <w:rFonts w:hint="eastAsia" w:ascii="宋体" w:hAnsi="宋体" w:eastAsia="宋体" w:cs="宋体"/>
                <w:color w:val="000000" w:themeColor="text1"/>
                <w:kern w:val="0"/>
                <w:sz w:val="24"/>
                <w:szCs w:val="24"/>
                <w:highlight w:val="none"/>
                <w14:textFill>
                  <w14:solidFill>
                    <w14:schemeClr w14:val="tx1"/>
                  </w14:solidFill>
                </w14:textFill>
              </w:rPr>
              <w:t>本地化</w:t>
            </w:r>
            <w:r>
              <w:rPr>
                <w:rFonts w:hint="eastAsia" w:cs="宋体"/>
                <w:color w:val="000000" w:themeColor="text1"/>
                <w:kern w:val="0"/>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时效</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质量保障等方面</w:t>
            </w:r>
            <w:r>
              <w:rPr>
                <w:rFonts w:hint="eastAsia" w:ascii="宋体" w:hAnsi="宋体" w:eastAsia="宋体" w:cs="宋体"/>
                <w:color w:val="000000" w:themeColor="text1"/>
                <w:kern w:val="0"/>
                <w:sz w:val="24"/>
                <w:szCs w:val="24"/>
                <w:highlight w:val="none"/>
                <w14:textFill>
                  <w14:solidFill>
                    <w14:schemeClr w14:val="tx1"/>
                  </w14:solidFill>
                </w14:textFill>
              </w:rPr>
              <w:t>满足</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项目需</w:t>
            </w:r>
            <w:r>
              <w:rPr>
                <w:rFonts w:hint="eastAsia" w:ascii="宋体" w:hAnsi="宋体" w:eastAsia="宋体" w:cs="宋体"/>
                <w:color w:val="000000" w:themeColor="text1"/>
                <w:kern w:val="0"/>
                <w:sz w:val="24"/>
                <w:szCs w:val="24"/>
                <w:highlight w:val="none"/>
                <w14:textFill>
                  <w14:solidFill>
                    <w14:schemeClr w14:val="tx1"/>
                  </w14:solidFill>
                </w14:textFill>
              </w:rPr>
              <w:t>求的得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分，每有一项漏</w:t>
            </w:r>
            <w:r>
              <w:rPr>
                <w:rFonts w:hint="eastAsia" w:cs="宋体"/>
                <w:color w:val="000000" w:themeColor="text1"/>
                <w:sz w:val="24"/>
                <w:szCs w:val="24"/>
                <w:highlight w:val="none"/>
                <w:lang w:val="en-US" w:eastAsia="zh-CN"/>
                <w14:textFill>
                  <w14:solidFill>
                    <w14:schemeClr w14:val="tx1"/>
                  </w14:solidFill>
                </w14:textFill>
              </w:rPr>
              <w:t>/缺</w:t>
            </w:r>
            <w:r>
              <w:rPr>
                <w:rFonts w:hint="eastAsia" w:ascii="宋体" w:hAnsi="宋体" w:eastAsia="宋体" w:cs="宋体"/>
                <w:color w:val="000000" w:themeColor="text1"/>
                <w:kern w:val="0"/>
                <w:sz w:val="24"/>
                <w:szCs w:val="24"/>
                <w:highlight w:val="none"/>
                <w14:textFill>
                  <w14:solidFill>
                    <w14:schemeClr w14:val="tx1"/>
                  </w14:solidFill>
                </w14:textFill>
              </w:rPr>
              <w:t>项或不满足要求的扣1分，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每有一处项目内容与本项目不匹配的或项目名称、 履约地点与技术服务要求不一致或内容</w:t>
            </w:r>
            <w:r>
              <w:rPr>
                <w:rFonts w:hint="eastAsia" w:cs="宋体"/>
                <w:color w:val="000000" w:themeColor="text1"/>
                <w:sz w:val="24"/>
                <w:szCs w:val="24"/>
                <w:highlight w:val="none"/>
                <w:lang w:val="en-US" w:eastAsia="zh-CN"/>
                <w14:textFill>
                  <w14:solidFill>
                    <w14:schemeClr w14:val="tx1"/>
                  </w14:solidFill>
                </w14:textFill>
              </w:rPr>
              <w:t>脱离</w:t>
            </w:r>
            <w:r>
              <w:rPr>
                <w:rFonts w:hint="eastAsia" w:ascii="宋体" w:hAnsi="宋体" w:eastAsia="宋体" w:cs="宋体"/>
                <w:color w:val="000000" w:themeColor="text1"/>
                <w:sz w:val="24"/>
                <w:szCs w:val="24"/>
                <w:highlight w:val="none"/>
                <w:lang w:val="en-US" w:eastAsia="zh-CN"/>
                <w14:textFill>
                  <w14:solidFill>
                    <w14:schemeClr w14:val="tx1"/>
                  </w14:solidFill>
                </w14:textFill>
              </w:rPr>
              <w:t>实际等情形扣</w:t>
            </w:r>
            <w:r>
              <w:rPr>
                <w:rFonts w:hint="eastAsia"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扣完为止</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121"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restart"/>
            <w:vAlign w:val="center"/>
          </w:tcPr>
          <w:p>
            <w:pPr>
              <w:pStyle w:val="45"/>
              <w:bidi w:val="0"/>
              <w:spacing w:line="400" w:lineRule="exact"/>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cs="宋体"/>
                <w:snapToGrid w:val="0"/>
                <w:color w:val="000000" w:themeColor="text1"/>
                <w:sz w:val="24"/>
                <w:szCs w:val="24"/>
                <w:highlight w:val="none"/>
                <w:lang w:val="en-US" w:eastAsia="zh-CN"/>
                <w14:textFill>
                  <w14:solidFill>
                    <w14:schemeClr w14:val="tx1"/>
                  </w14:solidFill>
                </w14:textFill>
              </w:rPr>
              <w:t>四</w:t>
            </w:r>
          </w:p>
        </w:tc>
        <w:tc>
          <w:tcPr>
            <w:tcW w:w="1041" w:type="dxa"/>
            <w:vMerge w:val="restart"/>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w:t>
            </w:r>
          </w:p>
          <w:p>
            <w:pPr>
              <w:pStyle w:val="45"/>
              <w:bidi w:val="0"/>
              <w:spacing w:line="400" w:lineRule="exact"/>
              <w:rPr>
                <w:rFonts w:hint="eastAsia" w:ascii="宋体" w:hAnsi="宋体" w:eastAsia="宋体" w:cs="宋体"/>
                <w:snapToGrid/>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能力</w:t>
            </w:r>
          </w:p>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w:t>
            </w:r>
          </w:p>
        </w:tc>
        <w:tc>
          <w:tcPr>
            <w:tcW w:w="1050" w:type="dxa"/>
            <w:vAlign w:val="center"/>
          </w:tcPr>
          <w:p>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专业技术能力</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51" w:type="dxa"/>
            <w:vAlign w:val="center"/>
          </w:tcPr>
          <w:p>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.投标人投入本</w:t>
            </w:r>
            <w:r>
              <w:rPr>
                <w:rFonts w:hint="eastAsia" w:ascii="宋体" w:hAnsi="宋体" w:eastAsia="宋体" w:cs="宋体"/>
                <w:color w:val="000000" w:themeColor="text1"/>
                <w:sz w:val="24"/>
                <w:szCs w:val="24"/>
                <w:highlight w:val="none"/>
                <w14:textFill>
                  <w14:solidFill>
                    <w14:schemeClr w14:val="tx1"/>
                  </w14:solidFill>
                </w14:textFill>
              </w:rPr>
              <w:t>项目实施人员具有</w:t>
            </w:r>
            <w:r>
              <w:rPr>
                <w:rFonts w:hint="eastAsia" w:cs="宋体"/>
                <w:color w:val="000000" w:themeColor="text1"/>
                <w:sz w:val="24"/>
                <w:szCs w:val="24"/>
                <w:highlight w:val="none"/>
                <w:lang w:val="en-US" w:eastAsia="zh-CN"/>
                <w14:textFill>
                  <w14:solidFill>
                    <w14:schemeClr w14:val="tx1"/>
                  </w14:solidFill>
                </w14:textFill>
              </w:rPr>
              <w:t>国家</w:t>
            </w:r>
            <w:r>
              <w:rPr>
                <w:rFonts w:hint="eastAsia" w:ascii="宋体" w:hAnsi="宋体" w:eastAsia="宋体" w:cs="宋体"/>
                <w:color w:val="000000" w:themeColor="text1"/>
                <w:sz w:val="24"/>
                <w:szCs w:val="24"/>
                <w:highlight w:val="none"/>
                <w14:textFill>
                  <w14:solidFill>
                    <w14:schemeClr w14:val="tx1"/>
                  </w14:solidFill>
                </w14:textFill>
              </w:rPr>
              <w:t>政府机关颁发的“优秀档案员”荣誉证书，每</w:t>
            </w:r>
            <w:r>
              <w:rPr>
                <w:rFonts w:hint="eastAsia" w:cs="宋体"/>
                <w:color w:val="000000" w:themeColor="text1"/>
                <w:sz w:val="24"/>
                <w:szCs w:val="24"/>
                <w:highlight w:val="none"/>
                <w:lang w:val="en-US" w:eastAsia="zh-CN"/>
                <w14:textFill>
                  <w14:solidFill>
                    <w14:schemeClr w14:val="tx1"/>
                  </w14:solidFill>
                </w14:textFill>
              </w:rPr>
              <w:t>提供一个</w:t>
            </w:r>
            <w:r>
              <w:rPr>
                <w:rFonts w:hint="eastAsia" w:ascii="宋体" w:hAnsi="宋体" w:eastAsia="宋体" w:cs="宋体"/>
                <w:color w:val="000000" w:themeColor="text1"/>
                <w:sz w:val="24"/>
                <w:szCs w:val="24"/>
                <w:highlight w:val="none"/>
                <w14:textFill>
                  <w14:solidFill>
                    <w14:schemeClr w14:val="tx1"/>
                  </w14:solidFill>
                </w14:textFill>
              </w:rPr>
              <w:t>证书得1分，最高得</w:t>
            </w: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投标人的“电子档案数字化加工与检索系统”具备国家相关权威部门认证的得</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分，其余情况不得分(提供国家权威部门颁发的相关证明材料加盖生产厂商公章)；</w:t>
            </w:r>
          </w:p>
          <w:p>
            <w:pPr>
              <w:adjustRightInd w:val="0"/>
              <w:snapToGrid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投标人的加工软件及利用系统能够与同类系统用户档案管理系统进行对接，并实现数据批量上载</w:t>
            </w:r>
            <w:r>
              <w:rPr>
                <w:rFonts w:hint="eastAsia"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分，没有或不提供或不相符的不得分，提供相关(非本单位)证明材料。</w:t>
            </w:r>
          </w:p>
        </w:tc>
        <w:tc>
          <w:tcPr>
            <w:tcW w:w="1121" w:type="dxa"/>
            <w:vMerge w:val="restart"/>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pStyle w:val="45"/>
              <w:bidi w:val="0"/>
              <w:spacing w:line="400" w:lineRule="exact"/>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p>
        </w:tc>
        <w:tc>
          <w:tcPr>
            <w:tcW w:w="1041"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50" w:type="dxa"/>
            <w:vAlign w:val="center"/>
          </w:tcPr>
          <w:p>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荣誉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51" w:type="dxa"/>
            <w:vAlign w:val="center"/>
          </w:tcPr>
          <w:p>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cs="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sz w:val="24"/>
                <w:szCs w:val="24"/>
                <w:highlight w:val="none"/>
                <w14:textFill>
                  <w14:solidFill>
                    <w14:schemeClr w14:val="tx1"/>
                  </w14:solidFill>
                </w14:textFill>
              </w:rPr>
              <w:t>质量管理体系认证证书且体系覆盖范围有“档案数字化加工服务(档案清分、整理、装订、数据处理、数字化扫描)”的得</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分，体系覆盖范围的内容</w:t>
            </w:r>
            <w:r>
              <w:rPr>
                <w:rFonts w:hint="eastAsia" w:cs="宋体"/>
                <w:color w:val="000000" w:themeColor="text1"/>
                <w:sz w:val="24"/>
                <w:szCs w:val="24"/>
                <w:highlight w:val="none"/>
                <w:lang w:val="en-US" w:eastAsia="zh-CN"/>
                <w14:textFill>
                  <w14:solidFill>
                    <w14:schemeClr w14:val="tx1"/>
                  </w14:solidFill>
                </w14:textFill>
              </w:rPr>
              <w:t>每</w:t>
            </w:r>
            <w:r>
              <w:rPr>
                <w:rFonts w:hint="eastAsia" w:ascii="宋体" w:hAnsi="宋体" w:eastAsia="宋体" w:cs="宋体"/>
                <w:color w:val="000000" w:themeColor="text1"/>
                <w:sz w:val="24"/>
                <w:szCs w:val="24"/>
                <w:highlight w:val="none"/>
                <w14:textFill>
                  <w14:solidFill>
                    <w14:schemeClr w14:val="tx1"/>
                  </w14:solidFill>
                </w14:textFill>
              </w:rPr>
              <w:t>少一项扣</w:t>
            </w:r>
            <w:r>
              <w:rPr>
                <w:rFonts w:hint="eastAsia"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分，直至该项分值扣完为止。</w:t>
            </w:r>
          </w:p>
          <w:p>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cs="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sz w:val="24"/>
                <w:szCs w:val="24"/>
                <w:highlight w:val="none"/>
                <w14:textFill>
                  <w14:solidFill>
                    <w14:schemeClr w14:val="tx1"/>
                  </w14:solidFill>
                </w14:textFill>
              </w:rPr>
              <w:t>环境管理体系认证证书且体系覆盖范围有“档案数字化加工服务(档案清分、整理、装订、数据处理、数字化扫描)”的得</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分，体系覆盖的内容</w:t>
            </w:r>
            <w:r>
              <w:rPr>
                <w:rFonts w:hint="eastAsia" w:cs="宋体"/>
                <w:color w:val="000000" w:themeColor="text1"/>
                <w:sz w:val="24"/>
                <w:szCs w:val="24"/>
                <w:highlight w:val="none"/>
                <w:lang w:val="en-US" w:eastAsia="zh-CN"/>
                <w14:textFill>
                  <w14:solidFill>
                    <w14:schemeClr w14:val="tx1"/>
                  </w14:solidFill>
                </w14:textFill>
              </w:rPr>
              <w:t>每</w:t>
            </w:r>
            <w:r>
              <w:rPr>
                <w:rFonts w:hint="eastAsia" w:ascii="宋体" w:hAnsi="宋体" w:eastAsia="宋体" w:cs="宋体"/>
                <w:color w:val="000000" w:themeColor="text1"/>
                <w:sz w:val="24"/>
                <w:szCs w:val="24"/>
                <w:highlight w:val="none"/>
                <w14:textFill>
                  <w14:solidFill>
                    <w14:schemeClr w14:val="tx1"/>
                  </w14:solidFill>
                </w14:textFill>
              </w:rPr>
              <w:t>少一项扣</w:t>
            </w:r>
            <w:r>
              <w:rPr>
                <w:rFonts w:hint="eastAsia"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分，直至该项分值扣完为止。</w:t>
            </w:r>
          </w:p>
          <w:p>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cs="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sz w:val="24"/>
                <w:szCs w:val="24"/>
                <w:highlight w:val="none"/>
                <w14:textFill>
                  <w14:solidFill>
                    <w14:schemeClr w14:val="tx1"/>
                  </w14:solidFill>
                </w14:textFill>
              </w:rPr>
              <w:t>职业健康安全管理体系认证证书且体系覆盖范围有“档案数字化加工服务(档案清分、整理、装订、数据处理、数字化扫描)”的得</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分，体系覆盖的内容</w:t>
            </w:r>
            <w:r>
              <w:rPr>
                <w:rFonts w:hint="eastAsia" w:cs="宋体"/>
                <w:color w:val="000000" w:themeColor="text1"/>
                <w:sz w:val="24"/>
                <w:szCs w:val="24"/>
                <w:highlight w:val="none"/>
                <w:lang w:val="en-US" w:eastAsia="zh-CN"/>
                <w14:textFill>
                  <w14:solidFill>
                    <w14:schemeClr w14:val="tx1"/>
                  </w14:solidFill>
                </w14:textFill>
              </w:rPr>
              <w:t>每</w:t>
            </w:r>
            <w:r>
              <w:rPr>
                <w:rFonts w:hint="eastAsia" w:ascii="宋体" w:hAnsi="宋体" w:eastAsia="宋体" w:cs="宋体"/>
                <w:color w:val="000000" w:themeColor="text1"/>
                <w:sz w:val="24"/>
                <w:szCs w:val="24"/>
                <w:highlight w:val="none"/>
                <w14:textFill>
                  <w14:solidFill>
                    <w14:schemeClr w14:val="tx1"/>
                  </w14:solidFill>
                </w14:textFill>
              </w:rPr>
              <w:t>少一项扣</w:t>
            </w:r>
            <w:r>
              <w:rPr>
                <w:rFonts w:hint="eastAsia"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分，直至该项分值扣完为止。</w:t>
            </w:r>
          </w:p>
          <w:p>
            <w:pPr>
              <w:adjustRightInd w:val="0"/>
              <w:snapToGrid w:val="0"/>
              <w:spacing w:line="40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注：上述证明材料提供证书复印件加盖投标人公章。</w:t>
            </w:r>
          </w:p>
        </w:tc>
        <w:tc>
          <w:tcPr>
            <w:tcW w:w="1121"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041"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u w:val="none"/>
                <w14:textFill>
                  <w14:solidFill>
                    <w14:schemeClr w14:val="tx1"/>
                  </w14:solidFill>
                </w14:textFill>
              </w:rPr>
            </w:pPr>
          </w:p>
        </w:tc>
        <w:tc>
          <w:tcPr>
            <w:tcW w:w="1050" w:type="dxa"/>
            <w:vAlign w:val="center"/>
          </w:tcPr>
          <w:p>
            <w:pPr>
              <w:adjustRightInd w:val="0"/>
              <w:snapToGrid w:val="0"/>
              <w:spacing w:line="400" w:lineRule="exact"/>
              <w:jc w:val="center"/>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履约经验</w:t>
            </w:r>
            <w:r>
              <w:rPr>
                <w:rFonts w:hint="eastAsia" w:ascii="宋体" w:hAnsi="宋体" w:eastAsia="宋体" w:cs="宋体"/>
                <w:color w:val="000000" w:themeColor="text1"/>
                <w:sz w:val="24"/>
                <w:szCs w:val="24"/>
                <w:highlight w:val="none"/>
                <w:u w:val="none"/>
                <w14:textFill>
                  <w14:solidFill>
                    <w14:schemeClr w14:val="tx1"/>
                  </w14:solidFill>
                </w14:textFill>
              </w:rPr>
              <w:t>(1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none"/>
                <w14:textFill>
                  <w14:solidFill>
                    <w14:schemeClr w14:val="tx1"/>
                  </w14:solidFill>
                </w14:textFill>
              </w:rPr>
              <w:t>分)</w:t>
            </w:r>
          </w:p>
        </w:tc>
        <w:tc>
          <w:tcPr>
            <w:tcW w:w="5951" w:type="dxa"/>
            <w:vAlign w:val="center"/>
          </w:tcPr>
          <w:p>
            <w:pPr>
              <w:adjustRightInd w:val="0"/>
              <w:snapToGrid w:val="0"/>
              <w:spacing w:line="400" w:lineRule="exac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投标人提供类似项目履约经验，每</w:t>
            </w:r>
            <w:r>
              <w:rPr>
                <w:rFonts w:hint="eastAsia" w:cs="宋体"/>
                <w:color w:val="000000" w:themeColor="text1"/>
                <w:sz w:val="24"/>
                <w:szCs w:val="24"/>
                <w:highlight w:val="none"/>
                <w:u w:val="none"/>
                <w:lang w:val="en-US" w:eastAsia="zh-CN"/>
                <w14:textFill>
                  <w14:solidFill>
                    <w14:schemeClr w14:val="tx1"/>
                  </w14:solidFill>
                </w14:textFill>
              </w:rPr>
              <w:t>有</w:t>
            </w:r>
            <w:r>
              <w:rPr>
                <w:rFonts w:hint="eastAsia" w:ascii="宋体" w:hAnsi="宋体" w:eastAsia="宋体" w:cs="宋体"/>
                <w:color w:val="000000" w:themeColor="text1"/>
                <w:sz w:val="24"/>
                <w:szCs w:val="24"/>
                <w:highlight w:val="none"/>
                <w:u w:val="none"/>
                <w14:textFill>
                  <w14:solidFill>
                    <w14:schemeClr w14:val="tx1"/>
                  </w14:solidFill>
                </w14:textFill>
              </w:rPr>
              <w:t>一个得1分，最多得1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none"/>
                <w14:textFill>
                  <w14:solidFill>
                    <w14:schemeClr w14:val="tx1"/>
                  </w14:solidFill>
                </w14:textFill>
              </w:rPr>
              <w:t>分。（提供中标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u w:val="none"/>
                <w14:textFill>
                  <w14:solidFill>
                    <w14:schemeClr w14:val="tx1"/>
                  </w14:solidFill>
                </w14:textFill>
              </w:rPr>
              <w:t>通知书及合同复印件加盖公章）</w:t>
            </w:r>
          </w:p>
        </w:tc>
        <w:tc>
          <w:tcPr>
            <w:tcW w:w="1121" w:type="dxa"/>
            <w:vMerge w:val="continue"/>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45"/>
              <w:bidi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五</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扶持少数民族地区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分</w:t>
            </w:r>
          </w:p>
        </w:tc>
        <w:tc>
          <w:tcPr>
            <w:tcW w:w="5951" w:type="dxa"/>
            <w:tcBorders>
              <w:top w:val="single" w:color="auto" w:sz="4" w:space="0"/>
              <w:left w:val="single" w:color="auto" w:sz="4" w:space="0"/>
              <w:bottom w:val="single" w:color="auto" w:sz="4" w:space="0"/>
              <w:right w:val="single" w:color="auto" w:sz="4" w:space="0"/>
            </w:tcBorders>
            <w:vAlign w:val="center"/>
          </w:tcPr>
          <w:p>
            <w:pPr>
              <w:pStyle w:val="42"/>
              <w:keepNext w:val="0"/>
              <w:keepLines w:val="0"/>
              <w:pageBreakBefore w:val="0"/>
              <w:widowControl w:val="0"/>
              <w:kinsoku/>
              <w:wordWrap w:val="0"/>
              <w:overflowPunct/>
              <w:autoSpaceDE/>
              <w:autoSpaceDN/>
              <w:bidi w:val="0"/>
              <w:adjustRightInd w:val="0"/>
              <w:snapToGrid w:val="0"/>
              <w:spacing w:line="400" w:lineRule="exact"/>
              <w:ind w:left="0" w:leftChars="0" w:right="0" w:rightChars="0" w:firstLine="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投标人注册在</w:t>
            </w:r>
            <w:r>
              <w:rPr>
                <w:rFonts w:hint="eastAsia" w:ascii="宋体" w:hAnsi="宋体" w:eastAsia="宋体" w:cs="宋体"/>
                <w:color w:val="000000" w:themeColor="text1"/>
                <w:sz w:val="24"/>
                <w:szCs w:val="24"/>
                <w:highlight w:val="none"/>
                <w:u w:val="none"/>
                <w14:textFill>
                  <w14:solidFill>
                    <w14:schemeClr w14:val="tx1"/>
                  </w14:solidFill>
                </w14:textFill>
              </w:rPr>
              <w:t>少数民族地区的得</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指投标人</w:t>
            </w:r>
            <w:r>
              <w:rPr>
                <w:rFonts w:hint="eastAsia" w:ascii="宋体" w:hAnsi="宋体" w:eastAsia="宋体" w:cs="宋体"/>
                <w:color w:val="000000" w:themeColor="text1"/>
                <w:sz w:val="24"/>
                <w:szCs w:val="24"/>
                <w:highlight w:val="none"/>
                <w:u w:val="none"/>
                <w14:textFill>
                  <w14:solidFill>
                    <w14:schemeClr w14:val="tx1"/>
                  </w14:solidFill>
                </w14:textFill>
              </w:rPr>
              <w:t>注册地在民族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自治区、</w:t>
            </w:r>
            <w:r>
              <w:rPr>
                <w:rFonts w:hint="eastAsia" w:ascii="宋体" w:hAnsi="宋体" w:eastAsia="宋体" w:cs="宋体"/>
                <w:color w:val="000000" w:themeColor="text1"/>
                <w:sz w:val="24"/>
                <w:szCs w:val="24"/>
                <w:highlight w:val="none"/>
                <w:u w:val="none"/>
                <w14:textFill>
                  <w14:solidFill>
                    <w14:schemeClr w14:val="tx1"/>
                  </w14:solidFill>
                </w14:textFill>
              </w:rPr>
              <w:t>自治州、自治县</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(含享受少数民族待遇的区县)</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民族</w:t>
            </w:r>
            <w:r>
              <w:rPr>
                <w:rFonts w:hint="eastAsia" w:ascii="宋体" w:hAnsi="宋体" w:eastAsia="宋体" w:cs="宋体"/>
                <w:color w:val="000000" w:themeColor="text1"/>
                <w:sz w:val="24"/>
                <w:szCs w:val="24"/>
                <w:highlight w:val="none"/>
                <w:u w:val="none"/>
                <w14:textFill>
                  <w14:solidFill>
                    <w14:schemeClr w14:val="tx1"/>
                  </w14:solidFill>
                </w14:textFill>
              </w:rPr>
              <w:t>乡的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提供营业执照</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副本</w:t>
            </w:r>
            <w:r>
              <w:rPr>
                <w:rFonts w:hint="eastAsia" w:ascii="宋体" w:hAnsi="宋体" w:eastAsia="宋体" w:cs="宋体"/>
                <w:color w:val="000000" w:themeColor="text1"/>
                <w:sz w:val="24"/>
                <w:szCs w:val="24"/>
                <w:highlight w:val="none"/>
                <w:u w:val="none"/>
                <w14:textFill>
                  <w14:solidFill>
                    <w14:schemeClr w14:val="tx1"/>
                  </w14:solidFill>
                </w14:textFill>
              </w:rPr>
              <w:t>复印件。</w:t>
            </w:r>
          </w:p>
        </w:tc>
        <w:tc>
          <w:tcPr>
            <w:tcW w:w="1121" w:type="dxa"/>
            <w:tcBorders>
              <w:top w:val="single" w:color="auto" w:sz="4" w:space="0"/>
              <w:left w:val="single" w:color="auto" w:sz="4" w:space="0"/>
              <w:right w:val="single" w:color="auto" w:sz="4" w:space="0"/>
            </w:tcBorders>
            <w:vAlign w:val="center"/>
          </w:tcPr>
          <w:p>
            <w:pPr>
              <w:pStyle w:val="45"/>
              <w:bidi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5"/>
              <w:bidi w:val="0"/>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 1 \* GB3 \* MERGEFORMAT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评分的取值按四舍五入法，小数点后</w:t>
            </w:r>
            <w:r>
              <w:rPr>
                <w:rFonts w:hint="eastAsia" w:ascii="宋体" w:hAnsi="宋体" w:eastAsia="宋体" w:cs="宋体"/>
                <w:color w:val="000000" w:themeColor="text1"/>
                <w:sz w:val="24"/>
                <w:szCs w:val="24"/>
                <w:highlight w:val="none"/>
                <w:lang w:val="en-US" w:eastAsia="zh-CN"/>
                <w14:textFill>
                  <w14:solidFill>
                    <w14:schemeClr w14:val="tx1"/>
                  </w14:solidFill>
                </w14:textFill>
              </w:rPr>
              <w:t>保留</w:t>
            </w:r>
            <w:r>
              <w:rPr>
                <w:rFonts w:hint="eastAsia" w:ascii="宋体" w:hAnsi="宋体" w:eastAsia="宋体" w:cs="宋体"/>
                <w:color w:val="000000" w:themeColor="text1"/>
                <w:sz w:val="24"/>
                <w:szCs w:val="24"/>
                <w:highlight w:val="none"/>
                <w14:textFill>
                  <w14:solidFill>
                    <w14:schemeClr w14:val="tx1"/>
                  </w14:solidFill>
                </w14:textFill>
              </w:rPr>
              <w:t>两位。</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 2 \* GB3 \* MERGEFORMAT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本表中要求提供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各类证明</w:t>
            </w:r>
            <w:r>
              <w:rPr>
                <w:rFonts w:hint="eastAsia" w:ascii="宋体" w:hAnsi="宋体" w:eastAsia="宋体" w:cs="宋体"/>
                <w:color w:val="000000" w:themeColor="text1"/>
                <w:sz w:val="24"/>
                <w:szCs w:val="24"/>
                <w:highlight w:val="none"/>
                <w14:textFill>
                  <w14:solidFill>
                    <w14:schemeClr w14:val="tx1"/>
                  </w14:solidFill>
                </w14:textFill>
              </w:rPr>
              <w:t>材料，均需加盖供应商单位公章，否则将不认可该项材料的有效性。</w:t>
            </w:r>
          </w:p>
        </w:tc>
      </w:tr>
    </w:tbl>
    <w:p>
      <w:pPr>
        <w:pStyle w:val="34"/>
        <w:numPr>
          <w:ilvl w:val="1"/>
          <w:numId w:val="11"/>
        </w:numPr>
        <w:ind w:firstLine="482"/>
        <w:rPr>
          <w:highlight w:val="none"/>
        </w:rPr>
      </w:pPr>
      <w:bookmarkStart w:id="1425" w:name="_Toc7957"/>
      <w:bookmarkStart w:id="1426" w:name="_Toc10809"/>
      <w:bookmarkStart w:id="1427" w:name="_Toc6314"/>
      <w:bookmarkStart w:id="1428" w:name="_Toc13269"/>
      <w:bookmarkStart w:id="1429" w:name="_Toc13245"/>
      <w:bookmarkStart w:id="1430" w:name="_Toc21671"/>
      <w:bookmarkStart w:id="1431" w:name="_Toc13513"/>
      <w:bookmarkStart w:id="1432" w:name="_Toc21363"/>
      <w:bookmarkStart w:id="1433" w:name="_Toc4648"/>
      <w:r>
        <w:rPr>
          <w:rFonts w:hint="eastAsia"/>
          <w:highlight w:val="none"/>
        </w:rPr>
        <w:t>复核</w:t>
      </w:r>
      <w:bookmarkEnd w:id="1425"/>
      <w:bookmarkEnd w:id="1426"/>
      <w:bookmarkEnd w:id="1427"/>
      <w:bookmarkEnd w:id="1428"/>
      <w:bookmarkEnd w:id="1429"/>
    </w:p>
    <w:p>
      <w:pPr>
        <w:pStyle w:val="32"/>
        <w:numPr>
          <w:ilvl w:val="1"/>
          <w:numId w:val="31"/>
        </w:numPr>
        <w:ind w:firstLine="480"/>
        <w:rPr>
          <w:highlight w:val="none"/>
        </w:rPr>
      </w:pPr>
      <w:r>
        <w:rPr>
          <w:rFonts w:hint="eastAsia"/>
          <w:highlight w:val="none"/>
        </w:rPr>
        <w:t>评标委员会复核</w:t>
      </w:r>
    </w:p>
    <w:p>
      <w:pPr>
        <w:pStyle w:val="42"/>
        <w:ind w:firstLine="480" w:firstLineChars="200"/>
        <w:rPr>
          <w:highlight w:val="none"/>
        </w:rPr>
      </w:pPr>
      <w:r>
        <w:rPr>
          <w:rFonts w:hint="eastAsia"/>
          <w:highlight w:val="none"/>
        </w:rPr>
        <w:t>评分汇总结束后，评标委员会应当进行复核，特别要对拟推荐为中标候选供应商的、报价最低的、投标文件被认定为无效的进行重点复核。</w:t>
      </w:r>
    </w:p>
    <w:p>
      <w:pPr>
        <w:pStyle w:val="32"/>
        <w:ind w:firstLine="480"/>
        <w:rPr>
          <w:highlight w:val="none"/>
        </w:rPr>
      </w:pPr>
      <w:r>
        <w:rPr>
          <w:rFonts w:hint="eastAsia"/>
          <w:highlight w:val="none"/>
        </w:rPr>
        <w:t>采购代理机构现场复核评审结果</w:t>
      </w:r>
    </w:p>
    <w:p>
      <w:pPr>
        <w:pStyle w:val="35"/>
        <w:ind w:firstLine="480"/>
        <w:rPr>
          <w:highlight w:val="none"/>
        </w:rPr>
      </w:pPr>
      <w:r>
        <w:rPr>
          <w:rFonts w:hint="eastAsia"/>
          <w:highlight w:val="none"/>
        </w:rPr>
        <w:t>评审结果汇总完成后，评标委员会拟出具评标报告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6"/>
        <w:ind w:firstLine="480"/>
        <w:rPr>
          <w:highlight w:val="none"/>
        </w:rPr>
      </w:pPr>
      <w:r>
        <w:rPr>
          <w:rFonts w:hint="eastAsia"/>
          <w:highlight w:val="none"/>
        </w:rPr>
        <w:t>分值汇总计算错误的；</w:t>
      </w:r>
    </w:p>
    <w:p>
      <w:pPr>
        <w:pStyle w:val="36"/>
        <w:ind w:firstLine="480"/>
        <w:rPr>
          <w:highlight w:val="none"/>
        </w:rPr>
      </w:pPr>
      <w:r>
        <w:rPr>
          <w:rFonts w:hint="eastAsia"/>
          <w:highlight w:val="none"/>
        </w:rPr>
        <w:t>分项评分超出评分标准范围的；</w:t>
      </w:r>
    </w:p>
    <w:p>
      <w:pPr>
        <w:pStyle w:val="36"/>
        <w:ind w:firstLine="480"/>
        <w:rPr>
          <w:highlight w:val="none"/>
        </w:rPr>
      </w:pPr>
      <w:r>
        <w:rPr>
          <w:rFonts w:hint="eastAsia"/>
          <w:highlight w:val="none"/>
        </w:rPr>
        <w:t>评标委员会成员对客观评审因素评分不一致的；</w:t>
      </w:r>
    </w:p>
    <w:p>
      <w:pPr>
        <w:pStyle w:val="36"/>
        <w:ind w:firstLine="480"/>
        <w:rPr>
          <w:highlight w:val="none"/>
        </w:rPr>
      </w:pPr>
      <w:r>
        <w:rPr>
          <w:rFonts w:hint="eastAsia"/>
          <w:highlight w:val="none"/>
        </w:rPr>
        <w:t>经评标委员会认定评分畸高、畸低的。</w:t>
      </w:r>
    </w:p>
    <w:p>
      <w:pPr>
        <w:pStyle w:val="46"/>
        <w:rPr>
          <w:highlight w:val="none"/>
        </w:rPr>
      </w:pPr>
      <w:r>
        <w:rPr>
          <w:rFonts w:hint="eastAsia"/>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6"/>
        <w:rPr>
          <w:highlight w:val="none"/>
        </w:rPr>
      </w:pPr>
      <w:r>
        <w:rPr>
          <w:rFonts w:hint="eastAsia"/>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5"/>
        <w:ind w:firstLine="480"/>
        <w:rPr>
          <w:highlight w:val="none"/>
        </w:rPr>
      </w:pPr>
      <w:r>
        <w:rPr>
          <w:rFonts w:hint="eastAsia"/>
          <w:highlight w:val="none"/>
        </w:rPr>
        <w:t>采购代理机构复核过程中，评标委员会不得离开评标现场。</w:t>
      </w:r>
    </w:p>
    <w:p>
      <w:pPr>
        <w:pStyle w:val="35"/>
        <w:ind w:firstLine="480"/>
        <w:rPr>
          <w:highlight w:val="none"/>
        </w:rPr>
      </w:pPr>
      <w:r>
        <w:rPr>
          <w:rFonts w:hint="eastAsia"/>
          <w:highlight w:val="none"/>
        </w:rPr>
        <w:t>有下列情形之一的，不得修改评标结果或者重新评标：</w:t>
      </w:r>
    </w:p>
    <w:p>
      <w:pPr>
        <w:pStyle w:val="36"/>
        <w:ind w:firstLine="480"/>
        <w:rPr>
          <w:highlight w:val="none"/>
        </w:rPr>
      </w:pPr>
      <w:r>
        <w:rPr>
          <w:rFonts w:hint="eastAsia"/>
          <w:highlight w:val="none"/>
        </w:rPr>
        <w:t>评标委员会已经出具评标报告并且离开评标现场的；</w:t>
      </w:r>
    </w:p>
    <w:p>
      <w:pPr>
        <w:pStyle w:val="36"/>
        <w:ind w:firstLine="480"/>
        <w:rPr>
          <w:highlight w:val="none"/>
        </w:rPr>
      </w:pPr>
      <w:r>
        <w:rPr>
          <w:rFonts w:hint="eastAsia"/>
          <w:highlight w:val="none"/>
        </w:rPr>
        <w:t>采购代理机构现场复核时，复核工作人员数量不足的；</w:t>
      </w:r>
    </w:p>
    <w:p>
      <w:pPr>
        <w:pStyle w:val="36"/>
        <w:ind w:firstLine="480"/>
        <w:rPr>
          <w:highlight w:val="none"/>
        </w:rPr>
      </w:pPr>
      <w:r>
        <w:rPr>
          <w:rFonts w:hint="eastAsia"/>
          <w:highlight w:val="none"/>
        </w:rPr>
        <w:t>采购代理机构现场复核时，没有采购监督人员现场监督的；</w:t>
      </w:r>
    </w:p>
    <w:p>
      <w:pPr>
        <w:pStyle w:val="36"/>
        <w:ind w:firstLine="480"/>
        <w:rPr>
          <w:highlight w:val="none"/>
        </w:rPr>
      </w:pPr>
      <w:r>
        <w:rPr>
          <w:rFonts w:hint="eastAsia"/>
          <w:highlight w:val="none"/>
        </w:rPr>
        <w:t>采购代理机构现场复核内容超出规定范围的；</w:t>
      </w:r>
    </w:p>
    <w:p>
      <w:pPr>
        <w:pStyle w:val="36"/>
        <w:ind w:firstLine="480"/>
        <w:rPr>
          <w:highlight w:val="none"/>
        </w:rPr>
      </w:pPr>
      <w:r>
        <w:rPr>
          <w:rFonts w:hint="eastAsia"/>
          <w:highlight w:val="none"/>
        </w:rPr>
        <w:t>采购代理机构未提供书面建议的。</w:t>
      </w:r>
    </w:p>
    <w:p>
      <w:pPr>
        <w:pStyle w:val="34"/>
        <w:numPr>
          <w:ilvl w:val="1"/>
          <w:numId w:val="11"/>
        </w:numPr>
        <w:ind w:firstLine="482"/>
        <w:rPr>
          <w:highlight w:val="none"/>
        </w:rPr>
      </w:pPr>
      <w:bookmarkStart w:id="1434" w:name="_Toc8464"/>
      <w:bookmarkStart w:id="1435" w:name="_Toc5828"/>
      <w:bookmarkStart w:id="1436" w:name="_Toc31256"/>
      <w:bookmarkStart w:id="1437" w:name="_Toc878"/>
      <w:bookmarkStart w:id="1438" w:name="_Toc2168"/>
      <w:r>
        <w:rPr>
          <w:rFonts w:hint="eastAsia"/>
          <w:highlight w:val="none"/>
        </w:rPr>
        <w:t>推荐中标候选供应商</w:t>
      </w:r>
      <w:bookmarkEnd w:id="1434"/>
      <w:bookmarkEnd w:id="1435"/>
      <w:bookmarkEnd w:id="1436"/>
      <w:bookmarkEnd w:id="1437"/>
      <w:bookmarkEnd w:id="1438"/>
    </w:p>
    <w:p>
      <w:pPr>
        <w:pStyle w:val="46"/>
        <w:rPr>
          <w:highlight w:val="none"/>
        </w:rPr>
      </w:pPr>
      <w:r>
        <w:rPr>
          <w:rFonts w:hint="eastAsia"/>
          <w:highlight w:val="none"/>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rPr>
          <w:highlight w:val="none"/>
        </w:rPr>
      </w:pPr>
      <w:r>
        <w:rPr>
          <w:rFonts w:hint="eastAsia"/>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4"/>
        <w:numPr>
          <w:ilvl w:val="1"/>
          <w:numId w:val="11"/>
        </w:numPr>
        <w:ind w:firstLine="482"/>
        <w:rPr>
          <w:highlight w:val="none"/>
        </w:rPr>
      </w:pPr>
      <w:bookmarkStart w:id="1439" w:name="_Toc13511"/>
      <w:bookmarkStart w:id="1440" w:name="_Toc7685"/>
      <w:bookmarkStart w:id="1441" w:name="_Toc30377"/>
      <w:bookmarkStart w:id="1442" w:name="_Toc18205"/>
      <w:bookmarkStart w:id="1443" w:name="_Toc28395"/>
      <w:r>
        <w:rPr>
          <w:rFonts w:hint="eastAsia"/>
          <w:highlight w:val="none"/>
        </w:rPr>
        <w:t>出具评标报告</w:t>
      </w:r>
      <w:bookmarkEnd w:id="1439"/>
      <w:bookmarkEnd w:id="1440"/>
      <w:bookmarkEnd w:id="1441"/>
      <w:bookmarkEnd w:id="1442"/>
      <w:bookmarkEnd w:id="1443"/>
    </w:p>
    <w:p>
      <w:pPr>
        <w:pStyle w:val="46"/>
        <w:rPr>
          <w:highlight w:val="none"/>
        </w:rPr>
      </w:pPr>
      <w:r>
        <w:rPr>
          <w:rFonts w:hint="eastAsia"/>
          <w:highlight w:val="none"/>
        </w:rPr>
        <w:t>评标委员会推荐中标候选供应商后，应当向招标采购单位出具评标报告。评标报告应当包括下列内容：</w:t>
      </w:r>
    </w:p>
    <w:p>
      <w:pPr>
        <w:pStyle w:val="32"/>
        <w:numPr>
          <w:ilvl w:val="1"/>
          <w:numId w:val="32"/>
        </w:numPr>
        <w:ind w:firstLine="480"/>
        <w:rPr>
          <w:highlight w:val="none"/>
        </w:rPr>
      </w:pPr>
      <w:r>
        <w:rPr>
          <w:rFonts w:hint="eastAsia"/>
          <w:highlight w:val="none"/>
        </w:rPr>
        <w:t>招标公告刊登的媒体名称、开标日期和地点；</w:t>
      </w:r>
    </w:p>
    <w:p>
      <w:pPr>
        <w:pStyle w:val="32"/>
        <w:numPr>
          <w:ilvl w:val="1"/>
          <w:numId w:val="32"/>
        </w:numPr>
        <w:ind w:firstLine="480"/>
        <w:rPr>
          <w:highlight w:val="none"/>
        </w:rPr>
      </w:pPr>
      <w:r>
        <w:rPr>
          <w:rFonts w:hint="eastAsia"/>
          <w:highlight w:val="none"/>
        </w:rPr>
        <w:t>投标人名单和评标委员会成员名单；</w:t>
      </w:r>
    </w:p>
    <w:p>
      <w:pPr>
        <w:pStyle w:val="32"/>
        <w:numPr>
          <w:ilvl w:val="1"/>
          <w:numId w:val="32"/>
        </w:numPr>
        <w:ind w:firstLine="480"/>
        <w:rPr>
          <w:highlight w:val="none"/>
        </w:rPr>
      </w:pPr>
      <w:r>
        <w:rPr>
          <w:rFonts w:hint="eastAsia"/>
          <w:highlight w:val="none"/>
        </w:rPr>
        <w:t>评标方法和标准；</w:t>
      </w:r>
    </w:p>
    <w:p>
      <w:pPr>
        <w:pStyle w:val="32"/>
        <w:numPr>
          <w:ilvl w:val="1"/>
          <w:numId w:val="32"/>
        </w:numPr>
        <w:ind w:firstLine="480"/>
        <w:rPr>
          <w:highlight w:val="none"/>
        </w:rPr>
      </w:pPr>
      <w:r>
        <w:rPr>
          <w:rFonts w:hint="eastAsia"/>
          <w:highlight w:val="none"/>
        </w:rPr>
        <w:t>开标记录和评标情况及说明，包括无效投标人名单及原因；</w:t>
      </w:r>
    </w:p>
    <w:p>
      <w:pPr>
        <w:pStyle w:val="32"/>
        <w:numPr>
          <w:ilvl w:val="1"/>
          <w:numId w:val="32"/>
        </w:numPr>
        <w:ind w:firstLine="480"/>
        <w:rPr>
          <w:highlight w:val="none"/>
        </w:rPr>
      </w:pPr>
      <w:r>
        <w:rPr>
          <w:rFonts w:hint="eastAsia"/>
          <w:highlight w:val="none"/>
        </w:rPr>
        <w:t>评标结果，确定的中标候选人名单或者经采购人委托直接确定的中标人；</w:t>
      </w:r>
    </w:p>
    <w:p>
      <w:pPr>
        <w:pStyle w:val="32"/>
        <w:numPr>
          <w:ilvl w:val="1"/>
          <w:numId w:val="32"/>
        </w:numPr>
        <w:ind w:firstLine="480"/>
        <w:rPr>
          <w:highlight w:val="none"/>
        </w:rPr>
      </w:pPr>
      <w:r>
        <w:rPr>
          <w:rFonts w:hint="eastAsia"/>
          <w:highlight w:val="none"/>
        </w:rPr>
        <w:t>其他需要说明的情况，包括评标过程中投标人根据评标委员会要求进行的澄清、说明或者补正，评标委员会成员的更换等。</w:t>
      </w:r>
    </w:p>
    <w:p>
      <w:pPr>
        <w:pStyle w:val="47"/>
        <w:ind w:firstLine="482"/>
        <w:rPr>
          <w:highlight w:val="none"/>
        </w:rPr>
      </w:pPr>
      <w:r>
        <w:rPr>
          <w:rFonts w:hint="eastAsia"/>
          <w:highlight w:val="none"/>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4"/>
        <w:numPr>
          <w:ilvl w:val="1"/>
          <w:numId w:val="11"/>
        </w:numPr>
        <w:ind w:firstLine="482"/>
        <w:rPr>
          <w:highlight w:val="none"/>
        </w:rPr>
      </w:pPr>
      <w:bookmarkStart w:id="1444" w:name="_Toc17073"/>
      <w:bookmarkStart w:id="1445" w:name="_Toc9551"/>
      <w:bookmarkStart w:id="1446" w:name="_Toc7733"/>
      <w:bookmarkStart w:id="1447" w:name="_Toc28621"/>
      <w:bookmarkStart w:id="1448" w:name="_Toc18268"/>
      <w:r>
        <w:rPr>
          <w:rFonts w:hint="eastAsia"/>
          <w:highlight w:val="none"/>
        </w:rPr>
        <w:t>废标</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430"/>
      <w:bookmarkEnd w:id="1431"/>
      <w:bookmarkEnd w:id="1432"/>
      <w:bookmarkEnd w:id="1433"/>
      <w:bookmarkEnd w:id="1444"/>
      <w:bookmarkEnd w:id="1445"/>
      <w:bookmarkEnd w:id="1446"/>
      <w:bookmarkEnd w:id="1447"/>
      <w:bookmarkEnd w:id="1448"/>
    </w:p>
    <w:p>
      <w:pPr>
        <w:pStyle w:val="46"/>
        <w:rPr>
          <w:highlight w:val="none"/>
        </w:rPr>
      </w:pPr>
      <w:r>
        <w:rPr>
          <w:rFonts w:hint="eastAsia"/>
          <w:highlight w:val="none"/>
        </w:rPr>
        <w:t>本次政府采购活动中，出现下列情形之一的，予以废标：</w:t>
      </w:r>
    </w:p>
    <w:p>
      <w:pPr>
        <w:pStyle w:val="35"/>
        <w:ind w:firstLine="480"/>
        <w:rPr>
          <w:highlight w:val="none"/>
        </w:rPr>
      </w:pPr>
      <w:r>
        <w:rPr>
          <w:rFonts w:hint="eastAsia"/>
          <w:highlight w:val="none"/>
        </w:rPr>
        <w:t>符合专业条件的供应商或者对招标文件作实质响应的供应商不足三家的；</w:t>
      </w:r>
    </w:p>
    <w:p>
      <w:pPr>
        <w:pStyle w:val="35"/>
        <w:ind w:firstLine="480"/>
        <w:rPr>
          <w:highlight w:val="none"/>
        </w:rPr>
      </w:pPr>
      <w:r>
        <w:rPr>
          <w:rFonts w:hint="eastAsia"/>
          <w:highlight w:val="none"/>
        </w:rPr>
        <w:t>出现影响采购公正的违法、违规行为的；</w:t>
      </w:r>
    </w:p>
    <w:p>
      <w:pPr>
        <w:pStyle w:val="35"/>
        <w:ind w:firstLine="480"/>
        <w:rPr>
          <w:highlight w:val="none"/>
        </w:rPr>
      </w:pPr>
      <w:r>
        <w:rPr>
          <w:rFonts w:hint="eastAsia"/>
          <w:highlight w:val="none"/>
        </w:rPr>
        <w:t>投标人的报价均超过了采购预算或</w:t>
      </w:r>
      <w:r>
        <w:rPr>
          <w:rFonts w:hint="eastAsia"/>
          <w:highlight w:val="none"/>
          <w:lang w:val="en-US" w:eastAsia="zh-CN"/>
        </w:rPr>
        <w:t>单价</w:t>
      </w:r>
      <w:r>
        <w:rPr>
          <w:rFonts w:hint="eastAsia"/>
          <w:highlight w:val="none"/>
        </w:rPr>
        <w:t>最高限价，采购人不能支付的；</w:t>
      </w:r>
    </w:p>
    <w:p>
      <w:pPr>
        <w:pStyle w:val="35"/>
        <w:ind w:firstLine="480"/>
        <w:rPr>
          <w:highlight w:val="none"/>
        </w:rPr>
      </w:pPr>
      <w:r>
        <w:rPr>
          <w:rFonts w:hint="eastAsia"/>
          <w:highlight w:val="none"/>
        </w:rPr>
        <w:t>因重大变故，采购任务取消的。</w:t>
      </w:r>
    </w:p>
    <w:p>
      <w:pPr>
        <w:pStyle w:val="46"/>
        <w:rPr>
          <w:highlight w:val="none"/>
        </w:rPr>
      </w:pPr>
      <w:r>
        <w:rPr>
          <w:rFonts w:hint="eastAsia"/>
          <w:highlight w:val="none"/>
        </w:rPr>
        <w:t>废标后，采购代理机构应在“四川政府采购网”公告，并公告废标的理由。对于废标的采购项目，评标委员会应当对招标文件是否存在倾向性和歧视性、是否存在不合理条款进行论证，并出具书面论证意见。</w:t>
      </w:r>
    </w:p>
    <w:p>
      <w:pPr>
        <w:pStyle w:val="34"/>
        <w:numPr>
          <w:ilvl w:val="1"/>
          <w:numId w:val="11"/>
        </w:numPr>
        <w:ind w:firstLine="482"/>
        <w:rPr>
          <w:highlight w:val="none"/>
        </w:rPr>
      </w:pPr>
      <w:bookmarkStart w:id="1449" w:name="_Toc308084649"/>
      <w:bookmarkStart w:id="1450" w:name="_Toc5723"/>
      <w:bookmarkStart w:id="1451" w:name="_Toc309897567"/>
      <w:bookmarkStart w:id="1452" w:name="_Toc10846"/>
      <w:bookmarkStart w:id="1453" w:name="_Toc327196344"/>
      <w:bookmarkStart w:id="1454" w:name="_Toc4475"/>
      <w:bookmarkStart w:id="1455" w:name="_Toc13169"/>
      <w:bookmarkStart w:id="1456" w:name="_Toc15628"/>
      <w:bookmarkStart w:id="1457" w:name="_Toc307564900"/>
      <w:bookmarkStart w:id="1458" w:name="_Toc319440193"/>
      <w:bookmarkStart w:id="1459" w:name="_Toc307501158"/>
      <w:bookmarkStart w:id="1460" w:name="_Toc4794"/>
      <w:bookmarkStart w:id="1461" w:name="_Toc319439949"/>
      <w:bookmarkStart w:id="1462" w:name="_Toc7121"/>
      <w:bookmarkStart w:id="1463" w:name="_Toc31281"/>
      <w:bookmarkStart w:id="1464" w:name="_Toc25875"/>
      <w:bookmarkStart w:id="1465" w:name="_Toc768"/>
      <w:bookmarkStart w:id="1466" w:name="_Toc24655"/>
      <w:bookmarkStart w:id="1467" w:name="_Toc308188202"/>
      <w:bookmarkStart w:id="1468" w:name="_Toc23417"/>
      <w:bookmarkStart w:id="1469" w:name="_Toc21352"/>
      <w:bookmarkStart w:id="1470" w:name="_Toc28132"/>
      <w:bookmarkStart w:id="1471" w:name="_Toc2453"/>
      <w:r>
        <w:rPr>
          <w:rFonts w:hint="eastAsia"/>
          <w:highlight w:val="none"/>
        </w:rPr>
        <w:t>定标</w:t>
      </w:r>
      <w:bookmarkEnd w:id="1309"/>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Start w:id="1472" w:name="_Toc217446061"/>
    </w:p>
    <w:p>
      <w:pPr>
        <w:pStyle w:val="32"/>
        <w:numPr>
          <w:ilvl w:val="1"/>
          <w:numId w:val="33"/>
        </w:numPr>
        <w:ind w:firstLine="480"/>
        <w:rPr>
          <w:highlight w:val="none"/>
        </w:rPr>
      </w:pPr>
      <w:r>
        <w:rPr>
          <w:rFonts w:hint="eastAsia"/>
          <w:highlight w:val="none"/>
        </w:rPr>
        <w:t>定标原则</w:t>
      </w:r>
      <w:bookmarkEnd w:id="1472"/>
      <w:r>
        <w:rPr>
          <w:rFonts w:hint="eastAsia"/>
          <w:highlight w:val="none"/>
        </w:rPr>
        <w:t>：本项目根据评委会推荐的中标候选人名单，按顺序确定中标人。</w:t>
      </w:r>
    </w:p>
    <w:p>
      <w:pPr>
        <w:pStyle w:val="32"/>
        <w:numPr>
          <w:ilvl w:val="1"/>
          <w:numId w:val="33"/>
        </w:numPr>
        <w:ind w:firstLine="480"/>
        <w:rPr>
          <w:highlight w:val="none"/>
        </w:rPr>
      </w:pPr>
      <w:bookmarkStart w:id="1473" w:name="_Toc217446062"/>
      <w:r>
        <w:rPr>
          <w:rFonts w:hint="eastAsia"/>
          <w:highlight w:val="none"/>
        </w:rPr>
        <w:t>定标程序</w:t>
      </w:r>
      <w:bookmarkEnd w:id="1473"/>
    </w:p>
    <w:p>
      <w:pPr>
        <w:pStyle w:val="35"/>
        <w:ind w:firstLine="480"/>
        <w:rPr>
          <w:highlight w:val="none"/>
        </w:rPr>
      </w:pPr>
      <w:r>
        <w:rPr>
          <w:rFonts w:hint="eastAsia"/>
          <w:highlight w:val="none"/>
        </w:rPr>
        <w:t>评标委员会根据全体评标成员签字的原始评标记录和评标结果编写评标报告，推荐不少于三名中标候选人，并按照综合得分高低标明排列顺序。</w:t>
      </w:r>
    </w:p>
    <w:p>
      <w:pPr>
        <w:pStyle w:val="35"/>
        <w:ind w:firstLine="480"/>
        <w:rPr>
          <w:highlight w:val="none"/>
        </w:rPr>
      </w:pPr>
      <w:r>
        <w:rPr>
          <w:rFonts w:hint="eastAsia"/>
          <w:highlight w:val="none"/>
        </w:rPr>
        <w:t>采购代理机构在评标结束后2个工作日内将评标报告送采购人。</w:t>
      </w:r>
    </w:p>
    <w:p>
      <w:pPr>
        <w:pStyle w:val="35"/>
        <w:ind w:firstLine="480"/>
        <w:rPr>
          <w:highlight w:val="none"/>
        </w:rPr>
      </w:pPr>
      <w:r>
        <w:rPr>
          <w:rFonts w:hint="eastAsia"/>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46"/>
        <w:rPr>
          <w:highlight w:val="none"/>
        </w:rPr>
      </w:pPr>
      <w:r>
        <w:rPr>
          <w:rFonts w:hint="eastAsia"/>
          <w:highlight w:val="none"/>
        </w:rPr>
        <w:t>采购人在收到评标报告5个工作日内未按评标报告推荐的中标候选人顺序确定中标人，又不能说明合法理由的，视同按评标报告推荐的顺序确定排名第一的中标候选人为中标人。</w:t>
      </w:r>
    </w:p>
    <w:p>
      <w:pPr>
        <w:pStyle w:val="35"/>
        <w:ind w:firstLine="480"/>
        <w:rPr>
          <w:highlight w:val="none"/>
        </w:rPr>
      </w:pPr>
      <w:r>
        <w:rPr>
          <w:rFonts w:hint="eastAsia"/>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人。</w:t>
      </w:r>
    </w:p>
    <w:p>
      <w:pPr>
        <w:pStyle w:val="35"/>
        <w:ind w:firstLine="480"/>
        <w:rPr>
          <w:highlight w:val="none"/>
        </w:rPr>
      </w:pPr>
      <w:r>
        <w:rPr>
          <w:rFonts w:hint="eastAsia"/>
          <w:highlight w:val="none"/>
        </w:rPr>
        <w:t>采购代理机构在中标人确定后2个工作日内，在“四川政府采购网”发布中标公告，同时向中标人发出中标通知书。请中标人凭有效身份证明证件到采购代理机构领取中标通知书，逾期采购代理机构将中标通知书快递至中标人，中标人自行承担相关不利后果。</w:t>
      </w:r>
    </w:p>
    <w:p>
      <w:pPr>
        <w:pStyle w:val="35"/>
        <w:ind w:firstLine="480"/>
        <w:rPr>
          <w:highlight w:val="none"/>
        </w:rPr>
      </w:pPr>
      <w:r>
        <w:rPr>
          <w:rFonts w:hint="eastAsia"/>
          <w:highlight w:val="none"/>
        </w:rPr>
        <w:t>招标采购单位不退回投标人投标文件和其他投标资料。</w:t>
      </w:r>
    </w:p>
    <w:bookmarkEnd w:id="1310"/>
    <w:p>
      <w:pPr>
        <w:pStyle w:val="34"/>
        <w:numPr>
          <w:ilvl w:val="1"/>
          <w:numId w:val="11"/>
        </w:numPr>
        <w:ind w:firstLine="482"/>
        <w:rPr>
          <w:highlight w:val="none"/>
        </w:rPr>
      </w:pPr>
      <w:bookmarkStart w:id="1474" w:name="_Toc309897568"/>
      <w:bookmarkStart w:id="1475" w:name="_Toc308188203"/>
      <w:bookmarkStart w:id="1476" w:name="_Toc27423"/>
      <w:bookmarkStart w:id="1477" w:name="_Toc1364"/>
      <w:bookmarkStart w:id="1478" w:name="_Toc307564901"/>
      <w:bookmarkStart w:id="1479" w:name="_Toc7877"/>
      <w:bookmarkStart w:id="1480" w:name="_Toc25084"/>
      <w:bookmarkStart w:id="1481" w:name="_Toc32114"/>
      <w:bookmarkStart w:id="1482" w:name="_Toc22537"/>
      <w:bookmarkStart w:id="1483" w:name="_Toc327196345"/>
      <w:bookmarkStart w:id="1484" w:name="_Toc307501159"/>
      <w:bookmarkStart w:id="1485" w:name="_Toc27662"/>
      <w:bookmarkStart w:id="1486" w:name="_Toc16879"/>
      <w:bookmarkStart w:id="1487" w:name="_Toc308084650"/>
      <w:bookmarkStart w:id="1488" w:name="_Toc8099"/>
      <w:bookmarkStart w:id="1489" w:name="_Toc319440194"/>
      <w:bookmarkStart w:id="1490" w:name="_Toc15982"/>
      <w:bookmarkStart w:id="1491" w:name="_Toc25198"/>
      <w:bookmarkStart w:id="1492" w:name="_Toc10903"/>
      <w:bookmarkStart w:id="1493" w:name="_Toc319439950"/>
      <w:bookmarkStart w:id="1494" w:name="_Toc14102"/>
      <w:bookmarkStart w:id="1495" w:name="_Toc25707"/>
      <w:bookmarkStart w:id="1496" w:name="_Toc5586"/>
      <w:r>
        <w:rPr>
          <w:rFonts w:hint="eastAsia"/>
          <w:highlight w:val="none"/>
        </w:rPr>
        <w:t>评标专家在政府采购活动中承担以下义务</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pPr>
        <w:pStyle w:val="32"/>
        <w:numPr>
          <w:ilvl w:val="1"/>
          <w:numId w:val="34"/>
        </w:numPr>
        <w:ind w:firstLine="480"/>
        <w:rPr>
          <w:highlight w:val="none"/>
        </w:rPr>
      </w:pPr>
      <w:r>
        <w:rPr>
          <w:rFonts w:hint="eastAsia"/>
          <w:highlight w:val="none"/>
        </w:rPr>
        <w:t>遵守评标工作纪律；</w:t>
      </w:r>
    </w:p>
    <w:p>
      <w:pPr>
        <w:pStyle w:val="32"/>
        <w:numPr>
          <w:ilvl w:val="1"/>
          <w:numId w:val="34"/>
        </w:numPr>
        <w:ind w:firstLine="480"/>
        <w:rPr>
          <w:highlight w:val="none"/>
        </w:rPr>
      </w:pPr>
      <w:r>
        <w:rPr>
          <w:rFonts w:hint="eastAsia"/>
          <w:highlight w:val="none"/>
        </w:rPr>
        <w:t>按照客观、公正、审慎的原则，根据招标文件规定的评标程序、评标方法和评标标准进行独立评标；</w:t>
      </w:r>
    </w:p>
    <w:p>
      <w:pPr>
        <w:pStyle w:val="32"/>
        <w:numPr>
          <w:ilvl w:val="1"/>
          <w:numId w:val="34"/>
        </w:numPr>
        <w:ind w:firstLine="480"/>
        <w:rPr>
          <w:highlight w:val="none"/>
        </w:rPr>
      </w:pPr>
      <w:r>
        <w:rPr>
          <w:rFonts w:hint="eastAsia"/>
          <w:highlight w:val="none"/>
        </w:rPr>
        <w:t>不得泄露评标文件、评标情况和在评标过程中获悉的商业秘密；</w:t>
      </w:r>
    </w:p>
    <w:p>
      <w:pPr>
        <w:pStyle w:val="32"/>
        <w:numPr>
          <w:ilvl w:val="1"/>
          <w:numId w:val="34"/>
        </w:numPr>
        <w:ind w:firstLine="480"/>
        <w:rPr>
          <w:highlight w:val="none"/>
        </w:rPr>
      </w:pPr>
      <w:r>
        <w:rPr>
          <w:rFonts w:hint="eastAsia"/>
          <w:highlight w:val="none"/>
        </w:rPr>
        <w:t>及时向财政部门报告评标过程中发现的采购人、采购代理机构向评标专家做倾向性、误导性的解释或者说明，以及供应商行贿、提供虚假材料或者串通等违法行为；</w:t>
      </w:r>
    </w:p>
    <w:p>
      <w:pPr>
        <w:pStyle w:val="32"/>
        <w:numPr>
          <w:ilvl w:val="1"/>
          <w:numId w:val="34"/>
        </w:numPr>
        <w:ind w:firstLine="480"/>
        <w:rPr>
          <w:highlight w:val="none"/>
        </w:rPr>
      </w:pPr>
      <w:r>
        <w:rPr>
          <w:rFonts w:hint="eastAsia"/>
          <w:highlight w:val="none"/>
        </w:rPr>
        <w:t>发现招标文件内容违反国家有关强制性规定或者采购文件存在歧义、重大缺陷导致评标工作无法进行时，停止评标并向采购人或者采购代理机构书面说明情况；</w:t>
      </w:r>
    </w:p>
    <w:p>
      <w:pPr>
        <w:pStyle w:val="32"/>
        <w:numPr>
          <w:ilvl w:val="1"/>
          <w:numId w:val="34"/>
        </w:numPr>
        <w:ind w:firstLine="480"/>
        <w:rPr>
          <w:highlight w:val="none"/>
        </w:rPr>
      </w:pPr>
      <w:r>
        <w:rPr>
          <w:rFonts w:hint="eastAsia"/>
          <w:highlight w:val="none"/>
        </w:rPr>
        <w:t>及时向财政、监察等部门举报在评标过程中受到的非法干预情况；</w:t>
      </w:r>
    </w:p>
    <w:p>
      <w:pPr>
        <w:pStyle w:val="32"/>
        <w:numPr>
          <w:ilvl w:val="1"/>
          <w:numId w:val="34"/>
        </w:numPr>
        <w:ind w:firstLine="480"/>
        <w:rPr>
          <w:highlight w:val="none"/>
        </w:rPr>
      </w:pPr>
      <w:r>
        <w:rPr>
          <w:rFonts w:hint="eastAsia"/>
          <w:highlight w:val="none"/>
        </w:rPr>
        <w:t>配合答复处理供应商的询问、质疑和投诉等事项；</w:t>
      </w:r>
    </w:p>
    <w:p>
      <w:pPr>
        <w:pStyle w:val="32"/>
        <w:numPr>
          <w:ilvl w:val="1"/>
          <w:numId w:val="34"/>
        </w:numPr>
        <w:ind w:firstLine="480"/>
        <w:rPr>
          <w:highlight w:val="none"/>
        </w:rPr>
      </w:pPr>
      <w:r>
        <w:rPr>
          <w:rFonts w:hint="eastAsia"/>
          <w:highlight w:val="none"/>
        </w:rPr>
        <w:t>法律、法规和规章规定的其他义务。</w:t>
      </w:r>
    </w:p>
    <w:p>
      <w:pPr>
        <w:pStyle w:val="34"/>
        <w:numPr>
          <w:ilvl w:val="1"/>
          <w:numId w:val="11"/>
        </w:numPr>
        <w:ind w:firstLine="482"/>
        <w:rPr>
          <w:highlight w:val="none"/>
        </w:rPr>
      </w:pPr>
      <w:bookmarkStart w:id="1497" w:name="_Toc4379"/>
      <w:bookmarkStart w:id="1498" w:name="_Toc30872"/>
      <w:bookmarkStart w:id="1499" w:name="_Toc22368"/>
      <w:bookmarkStart w:id="1500" w:name="_Toc28428"/>
      <w:bookmarkStart w:id="1501" w:name="_Toc27047"/>
      <w:bookmarkStart w:id="1502" w:name="_Toc12088"/>
      <w:bookmarkStart w:id="1503" w:name="_Toc5115"/>
      <w:bookmarkStart w:id="1504" w:name="_Toc1690"/>
      <w:bookmarkStart w:id="1505" w:name="_Toc24913"/>
      <w:bookmarkStart w:id="1506" w:name="_Toc29759"/>
      <w:bookmarkStart w:id="1507" w:name="_Toc11808"/>
      <w:bookmarkStart w:id="1508" w:name="_Toc3688"/>
      <w:bookmarkStart w:id="1509" w:name="_Toc327196346"/>
      <w:bookmarkStart w:id="1510" w:name="_Toc319440195"/>
      <w:bookmarkStart w:id="1511" w:name="_Toc23368"/>
      <w:bookmarkStart w:id="1512" w:name="_Toc12731"/>
      <w:bookmarkStart w:id="1513" w:name="_Toc19071"/>
      <w:r>
        <w:rPr>
          <w:rFonts w:hint="eastAsia"/>
          <w:highlight w:val="none"/>
        </w:rPr>
        <w:t>评标专家在政府采购活动中应当遵守以下工作纪律</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pPr>
        <w:pStyle w:val="32"/>
        <w:numPr>
          <w:ilvl w:val="1"/>
          <w:numId w:val="35"/>
        </w:numPr>
        <w:ind w:firstLine="480"/>
        <w:rPr>
          <w:highlight w:val="none"/>
        </w:rPr>
      </w:pPr>
      <w:bookmarkStart w:id="1514" w:name="_Toc28956"/>
      <w:r>
        <w:rPr>
          <w:rFonts w:hint="eastAsia"/>
          <w:highlight w:val="none"/>
        </w:rPr>
        <w:t>遵行《中华人民共和国政府采购法》第十二条和《中华人民共和国政府采购法实施条例》第九条及财政部关于回避的规定；</w:t>
      </w:r>
    </w:p>
    <w:p>
      <w:pPr>
        <w:pStyle w:val="32"/>
        <w:numPr>
          <w:ilvl w:val="1"/>
          <w:numId w:val="35"/>
        </w:numPr>
        <w:ind w:firstLine="480"/>
        <w:rPr>
          <w:highlight w:val="none"/>
        </w:rPr>
      </w:pPr>
      <w:r>
        <w:rPr>
          <w:rFonts w:hint="eastAsia"/>
          <w:highlight w:val="none"/>
        </w:rPr>
        <w:t>评标前，应当将通讯工具或者相关电子设备交由招标采购单位统一保管；</w:t>
      </w:r>
    </w:p>
    <w:p>
      <w:pPr>
        <w:pStyle w:val="32"/>
        <w:numPr>
          <w:ilvl w:val="1"/>
          <w:numId w:val="35"/>
        </w:numPr>
        <w:ind w:firstLine="480"/>
        <w:rPr>
          <w:highlight w:val="none"/>
        </w:rPr>
      </w:pPr>
      <w:r>
        <w:rPr>
          <w:rFonts w:hint="eastAsia"/>
          <w:highlight w:val="none"/>
        </w:rPr>
        <w:t>评标过程中，不得与外界联系，因发生不可预见情况，确实需要与外界联系的，应当在监督人员监督之下办理；</w:t>
      </w:r>
    </w:p>
    <w:p>
      <w:pPr>
        <w:pStyle w:val="32"/>
        <w:numPr>
          <w:ilvl w:val="1"/>
          <w:numId w:val="35"/>
        </w:numPr>
        <w:ind w:firstLine="480"/>
        <w:rPr>
          <w:highlight w:val="none"/>
        </w:rPr>
      </w:pPr>
      <w:r>
        <w:rPr>
          <w:rFonts w:hint="eastAsia"/>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2"/>
        <w:numPr>
          <w:ilvl w:val="1"/>
          <w:numId w:val="35"/>
        </w:numPr>
        <w:ind w:firstLine="480"/>
        <w:rPr>
          <w:highlight w:val="none"/>
        </w:rPr>
      </w:pPr>
      <w:r>
        <w:rPr>
          <w:rFonts w:hint="eastAsia"/>
          <w:highlight w:val="none"/>
        </w:rPr>
        <w:t>在评标过程中和评标结束后，不得记录、复制或带走任何评标资料，除因规定的义务外，不得向外界透露评标内容；</w:t>
      </w:r>
    </w:p>
    <w:p>
      <w:pPr>
        <w:pStyle w:val="32"/>
        <w:numPr>
          <w:ilvl w:val="1"/>
          <w:numId w:val="35"/>
        </w:numPr>
        <w:ind w:firstLine="480"/>
        <w:rPr>
          <w:highlight w:val="none"/>
        </w:rPr>
      </w:pPr>
      <w:r>
        <w:rPr>
          <w:rFonts w:hint="eastAsia"/>
          <w:highlight w:val="none"/>
        </w:rPr>
        <w:t>服从评标现场招标采购单位的现场秩序管理，接受评标现场监督人员的合法监督；</w:t>
      </w:r>
    </w:p>
    <w:p>
      <w:pPr>
        <w:pStyle w:val="32"/>
        <w:numPr>
          <w:ilvl w:val="1"/>
          <w:numId w:val="35"/>
        </w:numPr>
        <w:ind w:firstLine="480"/>
        <w:rPr>
          <w:highlight w:val="none"/>
        </w:rPr>
      </w:pPr>
      <w:r>
        <w:rPr>
          <w:rFonts w:hint="eastAsia"/>
          <w:highlight w:val="none"/>
        </w:rPr>
        <w:t>遵守有关廉洁自律规定，不得私下接触供应商，不得收受供应商及有关业务单位和个人的财物或好处，不得接受招标采购单位的请托。</w:t>
      </w:r>
    </w:p>
    <w:p>
      <w:pPr>
        <w:pStyle w:val="32"/>
        <w:numPr>
          <w:ilvl w:val="1"/>
          <w:numId w:val="35"/>
        </w:numPr>
        <w:ind w:firstLine="480"/>
        <w:rPr>
          <w:highlight w:val="none"/>
        </w:rPr>
      </w:pPr>
      <w:r>
        <w:rPr>
          <w:rFonts w:hint="eastAsia"/>
          <w:highlight w:val="none"/>
        </w:rPr>
        <w:t>有关部门(机构)制定的其他评审工作纪律。</w:t>
      </w:r>
    </w:p>
    <w:p>
      <w:pPr>
        <w:pStyle w:val="34"/>
        <w:numPr>
          <w:ilvl w:val="1"/>
          <w:numId w:val="11"/>
        </w:numPr>
        <w:ind w:firstLine="482"/>
        <w:rPr>
          <w:highlight w:val="none"/>
        </w:rPr>
      </w:pPr>
      <w:bookmarkStart w:id="1515" w:name="_Toc3222"/>
      <w:bookmarkStart w:id="1516" w:name="_Toc18179"/>
      <w:bookmarkStart w:id="1517" w:name="_Toc26220"/>
      <w:bookmarkStart w:id="1518" w:name="_Toc2581"/>
      <w:bookmarkStart w:id="1519" w:name="_Toc8256"/>
      <w:bookmarkStart w:id="1520" w:name="_Toc30632"/>
      <w:bookmarkStart w:id="1521" w:name="_Toc30239"/>
      <w:r>
        <w:rPr>
          <w:rFonts w:hint="eastAsia"/>
          <w:highlight w:val="none"/>
        </w:rPr>
        <w:t>评标委员会及其成员不得有下列行为</w:t>
      </w:r>
      <w:bookmarkEnd w:id="1515"/>
      <w:bookmarkEnd w:id="1516"/>
      <w:bookmarkEnd w:id="1517"/>
      <w:bookmarkEnd w:id="1518"/>
      <w:bookmarkEnd w:id="1519"/>
      <w:bookmarkEnd w:id="1520"/>
      <w:bookmarkEnd w:id="1521"/>
    </w:p>
    <w:p>
      <w:pPr>
        <w:pStyle w:val="32"/>
        <w:numPr>
          <w:ilvl w:val="1"/>
          <w:numId w:val="36"/>
        </w:numPr>
        <w:ind w:firstLine="480"/>
        <w:rPr>
          <w:highlight w:val="none"/>
        </w:rPr>
      </w:pPr>
      <w:r>
        <w:rPr>
          <w:rFonts w:hint="eastAsia"/>
          <w:highlight w:val="none"/>
        </w:rPr>
        <w:t>确定参与评标至评标结束前私自接触投标人；</w:t>
      </w:r>
    </w:p>
    <w:p>
      <w:pPr>
        <w:pStyle w:val="32"/>
        <w:numPr>
          <w:ilvl w:val="1"/>
          <w:numId w:val="36"/>
        </w:numPr>
        <w:ind w:firstLine="480"/>
        <w:rPr>
          <w:highlight w:val="none"/>
        </w:rPr>
      </w:pPr>
      <w:r>
        <w:rPr>
          <w:rFonts w:hint="eastAsia"/>
          <w:highlight w:val="none"/>
        </w:rPr>
        <w:t>接受投标人提出的与投标文件不一致的澄清或者说明，《政府采购货物和服务招标投标管理办法》(财政部令第87号)第五十一条规定的情形除外；</w:t>
      </w:r>
    </w:p>
    <w:p>
      <w:pPr>
        <w:pStyle w:val="32"/>
        <w:numPr>
          <w:ilvl w:val="1"/>
          <w:numId w:val="36"/>
        </w:numPr>
        <w:ind w:firstLine="480"/>
        <w:rPr>
          <w:highlight w:val="none"/>
        </w:rPr>
      </w:pPr>
      <w:r>
        <w:rPr>
          <w:rFonts w:hint="eastAsia"/>
          <w:highlight w:val="none"/>
        </w:rPr>
        <w:t>违反评标纪律发表倾向性意见或者征询采购人的倾向性意见；</w:t>
      </w:r>
    </w:p>
    <w:p>
      <w:pPr>
        <w:pStyle w:val="32"/>
        <w:numPr>
          <w:ilvl w:val="1"/>
          <w:numId w:val="36"/>
        </w:numPr>
        <w:ind w:firstLine="480"/>
        <w:rPr>
          <w:highlight w:val="none"/>
        </w:rPr>
      </w:pPr>
      <w:r>
        <w:rPr>
          <w:rFonts w:hint="eastAsia"/>
          <w:highlight w:val="none"/>
        </w:rPr>
        <w:t>对需要专业判断的主观评审因素协商评分；</w:t>
      </w:r>
    </w:p>
    <w:p>
      <w:pPr>
        <w:pStyle w:val="32"/>
        <w:numPr>
          <w:ilvl w:val="1"/>
          <w:numId w:val="36"/>
        </w:numPr>
        <w:ind w:firstLine="480"/>
        <w:rPr>
          <w:highlight w:val="none"/>
        </w:rPr>
      </w:pPr>
      <w:r>
        <w:rPr>
          <w:rFonts w:hint="eastAsia"/>
          <w:highlight w:val="none"/>
        </w:rPr>
        <w:t>在评标过程中擅离职守，影响评标程序正常进行的；</w:t>
      </w:r>
    </w:p>
    <w:p>
      <w:pPr>
        <w:pStyle w:val="32"/>
        <w:numPr>
          <w:ilvl w:val="1"/>
          <w:numId w:val="36"/>
        </w:numPr>
        <w:ind w:firstLine="480"/>
        <w:rPr>
          <w:highlight w:val="none"/>
        </w:rPr>
      </w:pPr>
      <w:r>
        <w:rPr>
          <w:rFonts w:hint="eastAsia"/>
          <w:highlight w:val="none"/>
        </w:rPr>
        <w:t>记录、复制或者带走任何评标资料；</w:t>
      </w:r>
    </w:p>
    <w:p>
      <w:pPr>
        <w:pStyle w:val="32"/>
        <w:numPr>
          <w:ilvl w:val="1"/>
          <w:numId w:val="36"/>
        </w:numPr>
        <w:ind w:firstLine="480"/>
        <w:rPr>
          <w:highlight w:val="none"/>
        </w:rPr>
      </w:pPr>
      <w:r>
        <w:rPr>
          <w:rFonts w:hint="eastAsia"/>
          <w:highlight w:val="none"/>
        </w:rPr>
        <w:t>其他不遵守评标纪律的行为。</w:t>
      </w:r>
    </w:p>
    <w:p>
      <w:pPr>
        <w:pStyle w:val="46"/>
        <w:rPr>
          <w:highlight w:val="none"/>
        </w:rPr>
      </w:pPr>
      <w:r>
        <w:rPr>
          <w:rFonts w:hint="eastAsia"/>
          <w:highlight w:val="none"/>
        </w:rPr>
        <w:t>评标委员会成员有前款第一至五项行为之一的，其评审意见无效，并不得获取评审劳务报酬和报销异地评审差旅费。</w:t>
      </w:r>
    </w:p>
    <w:p>
      <w:pPr>
        <w:pStyle w:val="34"/>
        <w:numPr>
          <w:ilvl w:val="1"/>
          <w:numId w:val="11"/>
        </w:numPr>
        <w:ind w:firstLine="482"/>
        <w:rPr>
          <w:highlight w:val="none"/>
        </w:rPr>
      </w:pPr>
      <w:bookmarkStart w:id="1522" w:name="_Toc29666"/>
      <w:bookmarkStart w:id="1523" w:name="_Toc22254"/>
      <w:bookmarkStart w:id="1524" w:name="_Toc31713"/>
      <w:bookmarkStart w:id="1525" w:name="_Toc13225"/>
      <w:bookmarkStart w:id="1526" w:name="_Toc1865"/>
      <w:r>
        <w:rPr>
          <w:rFonts w:hint="eastAsia"/>
          <w:highlight w:val="none"/>
        </w:rPr>
        <w:t>评标委员会及其成员不得有下列违约情形</w:t>
      </w:r>
      <w:bookmarkEnd w:id="1522"/>
      <w:bookmarkEnd w:id="1523"/>
      <w:bookmarkEnd w:id="1524"/>
      <w:bookmarkEnd w:id="1525"/>
      <w:bookmarkEnd w:id="1526"/>
    </w:p>
    <w:p>
      <w:pPr>
        <w:pStyle w:val="32"/>
        <w:numPr>
          <w:ilvl w:val="1"/>
          <w:numId w:val="37"/>
        </w:numPr>
        <w:ind w:firstLine="480"/>
        <w:rPr>
          <w:highlight w:val="none"/>
        </w:rPr>
      </w:pPr>
      <w:r>
        <w:rPr>
          <w:rFonts w:hint="eastAsia"/>
          <w:highlight w:val="none"/>
        </w:rPr>
        <w:t>答应参加评审活动后，无正当理由不参加或者迟到，且不及时告知抽取终端工作人员，导致评审活动无法正常进行的；</w:t>
      </w:r>
    </w:p>
    <w:p>
      <w:pPr>
        <w:pStyle w:val="32"/>
        <w:numPr>
          <w:ilvl w:val="1"/>
          <w:numId w:val="37"/>
        </w:numPr>
        <w:ind w:firstLine="480"/>
        <w:rPr>
          <w:highlight w:val="none"/>
        </w:rPr>
      </w:pPr>
      <w:r>
        <w:rPr>
          <w:rFonts w:hint="eastAsia"/>
          <w:highlight w:val="none"/>
        </w:rPr>
        <w:t>不遵守评审现场工作纪律的；</w:t>
      </w:r>
    </w:p>
    <w:p>
      <w:pPr>
        <w:pStyle w:val="32"/>
        <w:numPr>
          <w:ilvl w:val="1"/>
          <w:numId w:val="37"/>
        </w:numPr>
        <w:ind w:firstLine="480"/>
        <w:rPr>
          <w:highlight w:val="none"/>
        </w:rPr>
      </w:pPr>
      <w:r>
        <w:rPr>
          <w:rFonts w:hint="eastAsia"/>
          <w:highlight w:val="none"/>
        </w:rPr>
        <w:t>明显故意拖延评审时间的；</w:t>
      </w:r>
    </w:p>
    <w:p>
      <w:pPr>
        <w:pStyle w:val="32"/>
        <w:numPr>
          <w:ilvl w:val="1"/>
          <w:numId w:val="37"/>
        </w:numPr>
        <w:ind w:firstLine="480"/>
        <w:rPr>
          <w:highlight w:val="none"/>
        </w:rPr>
      </w:pPr>
      <w:r>
        <w:rPr>
          <w:rFonts w:hint="eastAsia"/>
          <w:highlight w:val="none"/>
        </w:rPr>
        <w:t>抄袭其他评审委员会成员的评审意见的；</w:t>
      </w:r>
    </w:p>
    <w:p>
      <w:pPr>
        <w:pStyle w:val="32"/>
        <w:numPr>
          <w:ilvl w:val="1"/>
          <w:numId w:val="37"/>
        </w:numPr>
        <w:ind w:firstLine="480"/>
        <w:rPr>
          <w:highlight w:val="none"/>
        </w:rPr>
      </w:pPr>
      <w:r>
        <w:rPr>
          <w:rFonts w:hint="eastAsia"/>
          <w:highlight w:val="none"/>
        </w:rPr>
        <w:t>不按照政府采购法律制度和采购文件的规定进行评审，导致评审过程、评审结果违法违规，情节轻微不构成行政处罚的；</w:t>
      </w:r>
    </w:p>
    <w:p>
      <w:pPr>
        <w:pStyle w:val="32"/>
        <w:numPr>
          <w:ilvl w:val="1"/>
          <w:numId w:val="37"/>
        </w:numPr>
        <w:ind w:firstLine="480"/>
        <w:rPr>
          <w:highlight w:val="none"/>
        </w:rPr>
      </w:pPr>
      <w:r>
        <w:rPr>
          <w:rFonts w:hint="eastAsia"/>
          <w:highlight w:val="none"/>
        </w:rPr>
        <w:t>索取高于规定的劳务报酬，或者要求先给付报酬再进行评审，或者因劳务报酬低而拒绝评审、拒绝签署评审报告的；</w:t>
      </w:r>
    </w:p>
    <w:p>
      <w:pPr>
        <w:pStyle w:val="32"/>
        <w:numPr>
          <w:ilvl w:val="1"/>
          <w:numId w:val="37"/>
        </w:numPr>
        <w:ind w:firstLine="480"/>
        <w:rPr>
          <w:highlight w:val="none"/>
        </w:rPr>
      </w:pPr>
      <w:r>
        <w:rPr>
          <w:rFonts w:hint="eastAsia"/>
          <w:highlight w:val="none"/>
        </w:rPr>
        <w:t>不按照《四川省政府采购评审专家管理实施办法》的规定记录或者反馈采购人或者采购代理机构的职责履行情况的；</w:t>
      </w:r>
    </w:p>
    <w:p>
      <w:pPr>
        <w:pStyle w:val="32"/>
        <w:numPr>
          <w:ilvl w:val="1"/>
          <w:numId w:val="37"/>
        </w:numPr>
        <w:ind w:firstLine="480"/>
        <w:rPr>
          <w:highlight w:val="none"/>
        </w:rPr>
      </w:pPr>
      <w:r>
        <w:rPr>
          <w:rFonts w:hint="eastAsia"/>
          <w:highlight w:val="none"/>
        </w:rPr>
        <w:t>存在其他违反政府采购法规制度，但不构成行政处罚行为的。</w:t>
      </w:r>
    </w:p>
    <w:p>
      <w:pPr>
        <w:pStyle w:val="42"/>
        <w:rPr>
          <w:highlight w:val="none"/>
        </w:rPr>
      </w:pPr>
    </w:p>
    <w:bookmarkEnd w:id="1514"/>
    <w:p>
      <w:pPr>
        <w:rPr>
          <w:highlight w:val="none"/>
        </w:rPr>
      </w:pPr>
      <w:bookmarkStart w:id="1527" w:name="_Toc13264"/>
      <w:bookmarkStart w:id="1528" w:name="_Toc18908"/>
      <w:bookmarkStart w:id="1529" w:name="_Toc7547"/>
      <w:bookmarkStart w:id="1530" w:name="_Toc229"/>
      <w:bookmarkStart w:id="1531" w:name="_Toc28745"/>
      <w:bookmarkStart w:id="1532" w:name="_Toc30179"/>
      <w:r>
        <w:rPr>
          <w:rFonts w:hint="eastAsia"/>
          <w:highlight w:val="none"/>
        </w:rPr>
        <w:br w:type="page"/>
      </w:r>
    </w:p>
    <w:p>
      <w:pPr>
        <w:pStyle w:val="48"/>
        <w:numPr>
          <w:ilvl w:val="0"/>
          <w:numId w:val="11"/>
        </w:numPr>
        <w:spacing w:before="120" w:after="120"/>
        <w:rPr>
          <w:highlight w:val="none"/>
        </w:rPr>
      </w:pPr>
      <w:bookmarkStart w:id="1533" w:name="_Toc29333"/>
      <w:bookmarkStart w:id="1534" w:name="_Toc27239"/>
      <w:r>
        <w:rPr>
          <w:rFonts w:hint="eastAsia"/>
          <w:highlight w:val="none"/>
        </w:rPr>
        <w:t>政府采购合同</w:t>
      </w:r>
      <w:bookmarkEnd w:id="1527"/>
      <w:bookmarkEnd w:id="1528"/>
      <w:bookmarkEnd w:id="1529"/>
      <w:bookmarkEnd w:id="1530"/>
      <w:r>
        <w:rPr>
          <w:rFonts w:hint="eastAsia"/>
          <w:highlight w:val="none"/>
        </w:rPr>
        <w:t>(参考文本)</w:t>
      </w:r>
      <w:bookmarkEnd w:id="1531"/>
      <w:bookmarkEnd w:id="1532"/>
      <w:bookmarkEnd w:id="1533"/>
      <w:bookmarkEnd w:id="1534"/>
    </w:p>
    <w:p>
      <w:pPr>
        <w:pStyle w:val="42"/>
        <w:rPr>
          <w:rFonts w:hint="eastAsia"/>
          <w:highlight w:val="none"/>
        </w:rPr>
      </w:pPr>
    </w:p>
    <w:p>
      <w:pPr>
        <w:pStyle w:val="42"/>
        <w:rPr>
          <w:highlight w:val="none"/>
        </w:rPr>
      </w:pPr>
      <w:r>
        <w:rPr>
          <w:rFonts w:hint="eastAsia"/>
          <w:highlight w:val="none"/>
        </w:rPr>
        <w:t>合同编号：</w:t>
      </w:r>
      <w:r>
        <w:rPr>
          <w:rFonts w:hint="eastAsia"/>
          <w:highlight w:val="none"/>
          <w:u w:val="single"/>
        </w:rPr>
        <w:t xml:space="preserve">          </w:t>
      </w:r>
      <w:r>
        <w:rPr>
          <w:rFonts w:hint="eastAsia"/>
          <w:highlight w:val="none"/>
        </w:rPr>
        <w:t>(与项目编号一致)</w:t>
      </w:r>
    </w:p>
    <w:p>
      <w:pPr>
        <w:pStyle w:val="42"/>
        <w:rPr>
          <w:highlight w:val="none"/>
          <w:u w:val="single"/>
        </w:rPr>
      </w:pPr>
      <w:r>
        <w:rPr>
          <w:rFonts w:hint="eastAsia"/>
          <w:highlight w:val="none"/>
        </w:rPr>
        <w:t>计划号/备案号：</w:t>
      </w:r>
      <w:r>
        <w:rPr>
          <w:rFonts w:hint="eastAsia"/>
          <w:highlight w:val="none"/>
          <w:u w:val="single"/>
        </w:rPr>
        <w:t xml:space="preserve">                </w:t>
      </w:r>
    </w:p>
    <w:p>
      <w:pPr>
        <w:pStyle w:val="42"/>
        <w:rPr>
          <w:highlight w:val="none"/>
          <w:u w:val="single"/>
        </w:rPr>
      </w:pPr>
      <w:r>
        <w:rPr>
          <w:rFonts w:hint="eastAsia"/>
          <w:highlight w:val="none"/>
        </w:rPr>
        <w:t>签订地点：</w:t>
      </w:r>
      <w:r>
        <w:rPr>
          <w:rFonts w:hint="eastAsia"/>
          <w:highlight w:val="none"/>
          <w:u w:val="single"/>
        </w:rPr>
        <w:t xml:space="preserve">                     </w:t>
      </w:r>
    </w:p>
    <w:p>
      <w:pPr>
        <w:pStyle w:val="42"/>
        <w:rPr>
          <w:highlight w:val="none"/>
          <w:u w:val="single"/>
        </w:rPr>
      </w:pPr>
      <w:r>
        <w:rPr>
          <w:rFonts w:hint="eastAsia"/>
          <w:highlight w:val="none"/>
        </w:rPr>
        <w:t>签订时间：</w:t>
      </w:r>
      <w:r>
        <w:rPr>
          <w:rFonts w:hint="eastAsia"/>
          <w:highlight w:val="none"/>
          <w:u w:val="single"/>
        </w:rPr>
        <w:t xml:space="preserve">                     </w:t>
      </w:r>
    </w:p>
    <w:p>
      <w:pPr>
        <w:pStyle w:val="42"/>
        <w:rPr>
          <w:highlight w:val="none"/>
          <w:u w:val="single"/>
        </w:rPr>
      </w:pPr>
      <w:r>
        <w:rPr>
          <w:rFonts w:hint="eastAsia"/>
          <w:highlight w:val="none"/>
        </w:rPr>
        <w:t>采购人名称(甲方)：</w:t>
      </w:r>
      <w:r>
        <w:rPr>
          <w:rFonts w:hint="eastAsia"/>
          <w:highlight w:val="none"/>
          <w:u w:val="single"/>
        </w:rPr>
        <w:t xml:space="preserve">                              </w:t>
      </w:r>
    </w:p>
    <w:p>
      <w:pPr>
        <w:pStyle w:val="42"/>
        <w:rPr>
          <w:highlight w:val="none"/>
          <w:u w:val="single"/>
        </w:rPr>
      </w:pPr>
      <w:r>
        <w:rPr>
          <w:rFonts w:hint="eastAsia"/>
          <w:highlight w:val="none"/>
        </w:rPr>
        <w:t>中标人名称(乙方)：</w:t>
      </w:r>
      <w:r>
        <w:rPr>
          <w:rFonts w:hint="eastAsia"/>
          <w:highlight w:val="none"/>
          <w:u w:val="single"/>
        </w:rPr>
        <w:t xml:space="preserve">                          </w:t>
      </w:r>
    </w:p>
    <w:p>
      <w:pPr>
        <w:pStyle w:val="42"/>
        <w:rPr>
          <w:highlight w:val="none"/>
        </w:rPr>
      </w:pPr>
    </w:p>
    <w:p>
      <w:pPr>
        <w:pStyle w:val="42"/>
        <w:ind w:firstLine="480" w:firstLineChars="200"/>
        <w:rPr>
          <w:highlight w:val="none"/>
        </w:rPr>
      </w:pPr>
      <w:r>
        <w:rPr>
          <w:rFonts w:hint="eastAsia"/>
          <w:highlight w:val="none"/>
        </w:rPr>
        <w:t>根据《</w:t>
      </w:r>
      <w:r>
        <w:rPr>
          <w:rFonts w:hint="eastAsia"/>
          <w:highlight w:val="none"/>
          <w:lang w:eastAsia="zh-CN"/>
        </w:rPr>
        <w:t>中华人民共和国民法典</w:t>
      </w:r>
      <w:r>
        <w:rPr>
          <w:rFonts w:hint="eastAsia"/>
          <w:highlight w:val="none"/>
        </w:rPr>
        <w:t>》、《中华人民共和国政府采购法》、《中华人民共和国政府采购法实施条例》、《政府采购货物和服务招标投标管理办法》(财政部令第87号)及</w:t>
      </w:r>
      <w:r>
        <w:rPr>
          <w:rFonts w:hint="eastAsia"/>
          <w:color w:val="FF0000"/>
          <w:highlight w:val="none"/>
        </w:rPr>
        <w:t>(采购项目的名称)</w:t>
      </w:r>
      <w:r>
        <w:rPr>
          <w:rFonts w:hint="eastAsia"/>
          <w:highlight w:val="none"/>
        </w:rPr>
        <w:t>(项目编号：</w:t>
      </w:r>
      <w:r>
        <w:rPr>
          <w:rFonts w:hint="eastAsia"/>
          <w:color w:val="FF0000"/>
          <w:highlight w:val="none"/>
        </w:rPr>
        <w:t>(采购项目的编号)</w:t>
      </w:r>
      <w:r>
        <w:rPr>
          <w:rFonts w:hint="eastAsia"/>
          <w:highlight w:val="none"/>
        </w:rPr>
        <w:t>)的《招标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pStyle w:val="34"/>
        <w:numPr>
          <w:ilvl w:val="1"/>
          <w:numId w:val="11"/>
        </w:numPr>
        <w:ind w:firstLine="482"/>
        <w:rPr>
          <w:highlight w:val="none"/>
        </w:rPr>
      </w:pPr>
      <w:bookmarkStart w:id="1535" w:name="_Toc10692"/>
      <w:bookmarkStart w:id="1536" w:name="_Toc4351"/>
      <w:bookmarkStart w:id="1537" w:name="_Toc27129"/>
      <w:bookmarkStart w:id="1538" w:name="_Toc23338"/>
      <w:r>
        <w:rPr>
          <w:rFonts w:hint="eastAsia" w:asciiTheme="minorEastAsia" w:hAnsiTheme="minorEastAsia" w:eastAsiaTheme="minorEastAsia" w:cstheme="minorEastAsia"/>
          <w:highlight w:val="none"/>
        </w:rPr>
        <w:t>项目基本情况</w:t>
      </w:r>
      <w:bookmarkEnd w:id="1535"/>
      <w:bookmarkEnd w:id="1536"/>
      <w:bookmarkEnd w:id="1537"/>
      <w:bookmarkEnd w:id="1538"/>
    </w:p>
    <w:p>
      <w:pPr>
        <w:pStyle w:val="46"/>
        <w:rPr>
          <w:highlight w:val="none"/>
        </w:rPr>
      </w:pPr>
    </w:p>
    <w:p>
      <w:pPr>
        <w:pStyle w:val="34"/>
        <w:ind w:firstLine="482"/>
        <w:rPr>
          <w:highlight w:val="none"/>
        </w:rPr>
      </w:pPr>
      <w:bookmarkStart w:id="1539" w:name="_Toc10554"/>
      <w:bookmarkStart w:id="1540" w:name="_Toc18084"/>
      <w:bookmarkStart w:id="1541" w:name="_Toc27279"/>
      <w:bookmarkStart w:id="1542" w:name="_Toc9950"/>
      <w:bookmarkStart w:id="1543" w:name="_Toc21847"/>
      <w:r>
        <w:rPr>
          <w:rFonts w:hint="eastAsia"/>
          <w:highlight w:val="none"/>
        </w:rPr>
        <w:t>合同履行</w:t>
      </w:r>
      <w:bookmarkEnd w:id="1539"/>
      <w:bookmarkEnd w:id="1540"/>
      <w:bookmarkEnd w:id="1541"/>
      <w:bookmarkEnd w:id="1542"/>
      <w:bookmarkEnd w:id="1543"/>
    </w:p>
    <w:p>
      <w:pPr>
        <w:pStyle w:val="32"/>
        <w:numPr>
          <w:ilvl w:val="1"/>
          <w:numId w:val="38"/>
        </w:numPr>
        <w:ind w:firstLine="480"/>
        <w:rPr>
          <w:highlight w:val="none"/>
        </w:rPr>
      </w:pPr>
      <w:r>
        <w:rPr>
          <w:rFonts w:hint="eastAsia"/>
          <w:highlight w:val="none"/>
          <w:lang w:eastAsia="zh-CN"/>
        </w:rPr>
        <w:t>服务期限</w:t>
      </w:r>
      <w:r>
        <w:rPr>
          <w:rFonts w:hint="eastAsia"/>
          <w:highlight w:val="none"/>
        </w:rPr>
        <w:t>：</w:t>
      </w:r>
    </w:p>
    <w:p>
      <w:pPr>
        <w:pStyle w:val="32"/>
        <w:numPr>
          <w:ilvl w:val="1"/>
          <w:numId w:val="38"/>
        </w:numPr>
        <w:ind w:firstLine="480"/>
        <w:rPr>
          <w:highlight w:val="none"/>
        </w:rPr>
      </w:pPr>
      <w:r>
        <w:rPr>
          <w:rFonts w:hint="eastAsia"/>
          <w:highlight w:val="none"/>
        </w:rPr>
        <w:t>履行地点：</w:t>
      </w:r>
    </w:p>
    <w:p>
      <w:pPr>
        <w:pStyle w:val="32"/>
        <w:numPr>
          <w:ilvl w:val="1"/>
          <w:numId w:val="38"/>
        </w:numPr>
        <w:ind w:firstLine="480"/>
        <w:rPr>
          <w:highlight w:val="none"/>
        </w:rPr>
      </w:pPr>
      <w:r>
        <w:rPr>
          <w:rFonts w:hint="eastAsia"/>
          <w:highlight w:val="none"/>
        </w:rPr>
        <w:t>履约方式：</w:t>
      </w:r>
    </w:p>
    <w:p>
      <w:pPr>
        <w:pStyle w:val="34"/>
        <w:ind w:firstLine="482"/>
        <w:rPr>
          <w:highlight w:val="none"/>
        </w:rPr>
      </w:pPr>
      <w:bookmarkStart w:id="1544" w:name="_Toc12507"/>
      <w:bookmarkStart w:id="1545" w:name="_Toc28948"/>
      <w:bookmarkStart w:id="1546" w:name="_Toc26586"/>
      <w:bookmarkStart w:id="1547" w:name="_Toc6004"/>
      <w:bookmarkStart w:id="1548" w:name="_Toc21480"/>
      <w:bookmarkStart w:id="1549" w:name="_Toc211854449"/>
      <w:bookmarkStart w:id="1550" w:name="_Toc212019594"/>
      <w:bookmarkStart w:id="1551" w:name="_Toc239568418"/>
      <w:bookmarkStart w:id="1552" w:name="_Toc185395249"/>
      <w:bookmarkStart w:id="1553" w:name="_Toc232492928"/>
      <w:bookmarkStart w:id="1554" w:name="_Toc225670751"/>
      <w:bookmarkStart w:id="1555" w:name="_Toc225654644"/>
      <w:bookmarkStart w:id="1556" w:name="_Toc239233914"/>
      <w:bookmarkStart w:id="1557" w:name="_Toc283019214"/>
      <w:bookmarkStart w:id="1558" w:name="_Toc238984975"/>
      <w:bookmarkStart w:id="1559" w:name="_Toc251768862"/>
      <w:bookmarkStart w:id="1560" w:name="_Toc225244852"/>
      <w:bookmarkStart w:id="1561" w:name="_Toc237145406"/>
      <w:bookmarkStart w:id="1562" w:name="_Toc282696226"/>
      <w:bookmarkStart w:id="1563" w:name="_Toc211911348"/>
      <w:bookmarkStart w:id="1564" w:name="_Toc286993786"/>
      <w:bookmarkStart w:id="1565" w:name="_Toc247334841"/>
      <w:bookmarkStart w:id="1566" w:name="_Toc241833903"/>
      <w:r>
        <w:rPr>
          <w:rFonts w:hint="eastAsia"/>
          <w:highlight w:val="none"/>
        </w:rPr>
        <w:t>合同标的</w:t>
      </w:r>
      <w:bookmarkEnd w:id="1544"/>
      <w:bookmarkEnd w:id="1545"/>
      <w:bookmarkEnd w:id="1546"/>
      <w:bookmarkEnd w:id="1547"/>
      <w:bookmarkEnd w:id="1548"/>
    </w:p>
    <w:p>
      <w:pPr>
        <w:pStyle w:val="32"/>
        <w:numPr>
          <w:ilvl w:val="1"/>
          <w:numId w:val="39"/>
        </w:numPr>
        <w:ind w:firstLine="480"/>
        <w:rPr>
          <w:highlight w:val="none"/>
        </w:rPr>
      </w:pPr>
      <w:r>
        <w:rPr>
          <w:rFonts w:hint="eastAsia"/>
          <w:highlight w:val="none"/>
        </w:rPr>
        <w:t>XXXX……；</w:t>
      </w:r>
    </w:p>
    <w:p>
      <w:pPr>
        <w:pStyle w:val="32"/>
        <w:numPr>
          <w:ilvl w:val="1"/>
          <w:numId w:val="39"/>
        </w:numPr>
        <w:ind w:firstLine="480"/>
        <w:rPr>
          <w:highlight w:val="none"/>
        </w:rPr>
      </w:pPr>
      <w:r>
        <w:rPr>
          <w:rFonts w:hint="eastAsia"/>
          <w:highlight w:val="none"/>
        </w:rPr>
        <w:t>数量(如涉及填写)；</w:t>
      </w:r>
    </w:p>
    <w:p>
      <w:pPr>
        <w:pStyle w:val="32"/>
        <w:numPr>
          <w:ilvl w:val="1"/>
          <w:numId w:val="39"/>
        </w:numPr>
        <w:ind w:firstLine="480"/>
        <w:rPr>
          <w:highlight w:val="none"/>
        </w:rPr>
      </w:pPr>
      <w:r>
        <w:rPr>
          <w:rFonts w:hint="eastAsia"/>
          <w:highlight w:val="none"/>
        </w:rPr>
        <w:t>质量(如涉及填写)；</w:t>
      </w:r>
    </w:p>
    <w:p>
      <w:pPr>
        <w:pStyle w:val="34"/>
        <w:ind w:firstLine="482"/>
        <w:rPr>
          <w:highlight w:val="none"/>
        </w:rPr>
      </w:pPr>
      <w:bookmarkStart w:id="1567" w:name="_Toc3844"/>
      <w:bookmarkStart w:id="1568" w:name="_Toc6181"/>
      <w:bookmarkStart w:id="1569" w:name="_Toc23370"/>
      <w:bookmarkStart w:id="1570" w:name="_Toc1088"/>
      <w:bookmarkStart w:id="1571" w:name="_Toc32008"/>
      <w:r>
        <w:rPr>
          <w:rFonts w:hint="eastAsia"/>
          <w:highlight w:val="none"/>
        </w:rPr>
        <w:t>质量标准</w:t>
      </w:r>
      <w:bookmarkEnd w:id="1567"/>
      <w:bookmarkEnd w:id="1568"/>
      <w:bookmarkEnd w:id="1569"/>
      <w:bookmarkEnd w:id="1570"/>
      <w:bookmarkEnd w:id="1571"/>
    </w:p>
    <w:p>
      <w:pPr>
        <w:pStyle w:val="32"/>
        <w:numPr>
          <w:ilvl w:val="1"/>
          <w:numId w:val="40"/>
        </w:numPr>
        <w:ind w:firstLine="480"/>
        <w:rPr>
          <w:highlight w:val="none"/>
        </w:rPr>
      </w:pPr>
      <w:r>
        <w:rPr>
          <w:rFonts w:hint="eastAsia"/>
          <w:highlight w:val="none"/>
        </w:rPr>
        <w:t>XXXX；</w:t>
      </w:r>
    </w:p>
    <w:p>
      <w:pPr>
        <w:pStyle w:val="32"/>
        <w:numPr>
          <w:ilvl w:val="1"/>
          <w:numId w:val="40"/>
        </w:numPr>
        <w:ind w:firstLine="480"/>
        <w:rPr>
          <w:highlight w:val="none"/>
        </w:rPr>
      </w:pPr>
      <w:r>
        <w:rPr>
          <w:rFonts w:hint="eastAsia"/>
          <w:highlight w:val="none"/>
        </w:rPr>
        <w:t>XXXX；</w:t>
      </w:r>
    </w:p>
    <w:p>
      <w:pPr>
        <w:pStyle w:val="32"/>
        <w:numPr>
          <w:ilvl w:val="1"/>
          <w:numId w:val="40"/>
        </w:numPr>
        <w:ind w:firstLine="480"/>
        <w:rPr>
          <w:highlight w:val="none"/>
        </w:rPr>
      </w:pPr>
      <w:r>
        <w:rPr>
          <w:rFonts w:hint="eastAsia"/>
          <w:highlight w:val="none"/>
        </w:rPr>
        <w:t>XXXX.</w:t>
      </w:r>
    </w:p>
    <w:p>
      <w:pPr>
        <w:pStyle w:val="34"/>
        <w:ind w:firstLine="482"/>
        <w:rPr>
          <w:highlight w:val="none"/>
        </w:rPr>
      </w:pPr>
      <w:bookmarkStart w:id="1572" w:name="_Toc29168"/>
      <w:bookmarkStart w:id="1573" w:name="_Toc23526"/>
      <w:bookmarkStart w:id="1574" w:name="_Toc65"/>
      <w:bookmarkStart w:id="1575" w:name="_Toc25411"/>
      <w:bookmarkStart w:id="1576" w:name="_Toc11954"/>
      <w:r>
        <w:rPr>
          <w:rFonts w:hint="eastAsia"/>
          <w:highlight w:val="none"/>
        </w:rPr>
        <w:t>验收要求</w:t>
      </w:r>
      <w:bookmarkEnd w:id="1572"/>
      <w:bookmarkEnd w:id="1573"/>
      <w:bookmarkEnd w:id="1574"/>
      <w:bookmarkEnd w:id="1575"/>
      <w:bookmarkEnd w:id="1576"/>
    </w:p>
    <w:p>
      <w:pPr>
        <w:pStyle w:val="32"/>
        <w:numPr>
          <w:ilvl w:val="1"/>
          <w:numId w:val="41"/>
        </w:numPr>
        <w:ind w:firstLine="480"/>
        <w:rPr>
          <w:highlight w:val="none"/>
        </w:rPr>
      </w:pPr>
      <w:r>
        <w:rPr>
          <w:rFonts w:hint="eastAsia"/>
          <w:highlight w:val="none"/>
        </w:rPr>
        <w:t>严格按照《财政部关于进一步加强政府采购需求和履约验收管理的指导意见》(财库〔2016〕205号)、</w:t>
      </w:r>
      <w:r>
        <w:rPr>
          <w:rFonts w:hint="eastAsia"/>
          <w:highlight w:val="none"/>
          <w:lang w:val="en-US" w:eastAsia="zh-CN"/>
        </w:rPr>
        <w:t>参照</w:t>
      </w:r>
      <w:r>
        <w:rPr>
          <w:rFonts w:hint="eastAsia"/>
          <w:highlight w:val="none"/>
        </w:rPr>
        <w:t>《四川省政府采购项目需求论证和履约验收管理办法》(川财采〔2015〕32号)的要求进行验收。须符合国家有关规定、招标文件的质量要求和技术指标、供应商的投标文件及承诺以及合同条款。</w:t>
      </w:r>
    </w:p>
    <w:p>
      <w:pPr>
        <w:pStyle w:val="32"/>
        <w:numPr>
          <w:ilvl w:val="1"/>
          <w:numId w:val="41"/>
        </w:numPr>
        <w:ind w:firstLine="480"/>
        <w:rPr>
          <w:highlight w:val="none"/>
        </w:rPr>
      </w:pPr>
      <w:r>
        <w:rPr>
          <w:rFonts w:hint="eastAsia"/>
          <w:highlight w:val="none"/>
        </w:rPr>
        <w:t>甲乙双方如对质量要求和技术指标的约定标准有相互抵触或异议的事项，由甲方在投标文件中按质量要求和技术指标比较优胜的原则确定该项的约定标准进行验收；</w:t>
      </w:r>
    </w:p>
    <w:p>
      <w:pPr>
        <w:pStyle w:val="32"/>
        <w:numPr>
          <w:ilvl w:val="1"/>
          <w:numId w:val="41"/>
        </w:numPr>
        <w:ind w:firstLine="480"/>
        <w:rPr>
          <w:highlight w:val="none"/>
        </w:rPr>
      </w:pPr>
      <w:r>
        <w:rPr>
          <w:rFonts w:hint="eastAsia"/>
          <w:highlight w:val="none"/>
        </w:rPr>
        <w:t>如质量验收合格，双方签署质量验收报告。</w:t>
      </w:r>
    </w:p>
    <w:p>
      <w:pPr>
        <w:pStyle w:val="34"/>
        <w:ind w:firstLine="482"/>
        <w:rPr>
          <w:highlight w:val="none"/>
        </w:rPr>
      </w:pPr>
      <w:bookmarkStart w:id="1577" w:name="_Toc20840"/>
      <w:bookmarkStart w:id="1578" w:name="_Toc22768"/>
      <w:bookmarkStart w:id="1579" w:name="_Toc32418"/>
      <w:bookmarkStart w:id="1580" w:name="_Toc8805"/>
      <w:bookmarkStart w:id="1581" w:name="_Toc21551"/>
      <w:r>
        <w:rPr>
          <w:rFonts w:hint="eastAsia"/>
          <w:highlight w:val="none"/>
        </w:rPr>
        <w:t>合同价款及支付方式</w:t>
      </w:r>
      <w:bookmarkEnd w:id="1577"/>
      <w:bookmarkEnd w:id="1578"/>
      <w:bookmarkEnd w:id="1579"/>
      <w:bookmarkEnd w:id="1580"/>
      <w:bookmarkEnd w:id="1581"/>
    </w:p>
    <w:p>
      <w:pPr>
        <w:pStyle w:val="46"/>
        <w:rPr>
          <w:highlight w:val="none"/>
        </w:rPr>
      </w:pPr>
      <w:r>
        <w:rPr>
          <w:rFonts w:hint="eastAsia"/>
          <w:highlight w:val="none"/>
        </w:rPr>
        <w:t>本项目合同价款由以下组成：</w:t>
      </w:r>
    </w:p>
    <w:p>
      <w:pPr>
        <w:pStyle w:val="32"/>
        <w:numPr>
          <w:ilvl w:val="1"/>
          <w:numId w:val="42"/>
        </w:numPr>
        <w:ind w:firstLine="480"/>
        <w:rPr>
          <w:highlight w:val="none"/>
        </w:rPr>
      </w:pPr>
      <w:r>
        <w:rPr>
          <w:rFonts w:hint="eastAsia"/>
          <w:highlight w:val="none"/>
        </w:rPr>
        <w:t>XX万元；</w:t>
      </w:r>
    </w:p>
    <w:p>
      <w:pPr>
        <w:pStyle w:val="32"/>
        <w:numPr>
          <w:ilvl w:val="1"/>
          <w:numId w:val="42"/>
        </w:numPr>
        <w:ind w:firstLine="480"/>
        <w:rPr>
          <w:highlight w:val="none"/>
        </w:rPr>
      </w:pPr>
      <w:r>
        <w:rPr>
          <w:rFonts w:hint="eastAsia"/>
          <w:highlight w:val="none"/>
        </w:rPr>
        <w:t>XX万元；</w:t>
      </w:r>
    </w:p>
    <w:p>
      <w:pPr>
        <w:pStyle w:val="32"/>
        <w:numPr>
          <w:ilvl w:val="1"/>
          <w:numId w:val="42"/>
        </w:numPr>
        <w:ind w:firstLine="480"/>
        <w:rPr>
          <w:highlight w:val="none"/>
        </w:rPr>
      </w:pPr>
      <w:r>
        <w:rPr>
          <w:rFonts w:hint="eastAsia"/>
          <w:highlight w:val="none"/>
        </w:rPr>
        <w:t>XX万元。</w:t>
      </w:r>
    </w:p>
    <w:p>
      <w:pPr>
        <w:pStyle w:val="32"/>
        <w:numPr>
          <w:ilvl w:val="1"/>
          <w:numId w:val="42"/>
        </w:numPr>
        <w:ind w:firstLine="480"/>
        <w:rPr>
          <w:highlight w:val="none"/>
        </w:rPr>
      </w:pPr>
      <w:r>
        <w:rPr>
          <w:rFonts w:hint="eastAsia"/>
          <w:highlight w:val="none"/>
        </w:rPr>
        <w:t>……</w:t>
      </w:r>
    </w:p>
    <w:p>
      <w:pPr>
        <w:pStyle w:val="32"/>
        <w:numPr>
          <w:ilvl w:val="1"/>
          <w:numId w:val="42"/>
        </w:numPr>
        <w:ind w:firstLine="480"/>
        <w:rPr>
          <w:highlight w:val="none"/>
        </w:rPr>
      </w:pPr>
      <w:r>
        <w:rPr>
          <w:rFonts w:hint="eastAsia"/>
          <w:highlight w:val="none"/>
        </w:rPr>
        <w:t xml:space="preserve">支付方式： </w:t>
      </w:r>
    </w:p>
    <w:p>
      <w:pPr>
        <w:pStyle w:val="34"/>
        <w:ind w:firstLine="482"/>
        <w:rPr>
          <w:highlight w:val="none"/>
        </w:rPr>
      </w:pPr>
      <w:bookmarkStart w:id="1582" w:name="_Toc8143"/>
      <w:bookmarkStart w:id="1583" w:name="_Toc5899"/>
      <w:bookmarkStart w:id="1584" w:name="_Toc26034"/>
      <w:bookmarkStart w:id="1585" w:name="_Toc6099"/>
      <w:bookmarkStart w:id="1586" w:name="_Toc10548"/>
      <w:r>
        <w:rPr>
          <w:rFonts w:hint="eastAsia"/>
          <w:highlight w:val="none"/>
        </w:rPr>
        <w:t>知识产权</w:t>
      </w:r>
      <w:bookmarkEnd w:id="1582"/>
      <w:bookmarkEnd w:id="1583"/>
      <w:bookmarkEnd w:id="1584"/>
      <w:bookmarkEnd w:id="1585"/>
      <w:bookmarkEnd w:id="1586"/>
    </w:p>
    <w:p>
      <w:pPr>
        <w:pStyle w:val="46"/>
        <w:rPr>
          <w:highlight w:val="none"/>
        </w:rPr>
      </w:pPr>
      <w:r>
        <w:rPr>
          <w:rFonts w:hint="eastAsia"/>
          <w:highlight w:val="none"/>
        </w:rPr>
        <w:t>乙方应保证所提供的服务或其任何一部分均不会侵犯任何第三方的专利权、商标权或著作权。</w:t>
      </w:r>
    </w:p>
    <w:p>
      <w:pPr>
        <w:pStyle w:val="34"/>
        <w:ind w:firstLine="482"/>
        <w:rPr>
          <w:highlight w:val="none"/>
        </w:rPr>
      </w:pPr>
      <w:bookmarkStart w:id="1587" w:name="_Toc19407"/>
      <w:bookmarkStart w:id="1588" w:name="_Toc12792"/>
      <w:bookmarkStart w:id="1589" w:name="_Toc14043"/>
      <w:bookmarkStart w:id="1590" w:name="_Toc26121"/>
      <w:bookmarkStart w:id="1591" w:name="_Toc25950"/>
      <w:r>
        <w:rPr>
          <w:rFonts w:hint="eastAsia"/>
          <w:highlight w:val="none"/>
        </w:rPr>
        <w:t>无产权瑕疵条款</w:t>
      </w:r>
      <w:bookmarkEnd w:id="1587"/>
      <w:bookmarkEnd w:id="1588"/>
      <w:bookmarkEnd w:id="1589"/>
      <w:bookmarkEnd w:id="1590"/>
      <w:bookmarkEnd w:id="1591"/>
    </w:p>
    <w:p>
      <w:pPr>
        <w:pStyle w:val="46"/>
        <w:rPr>
          <w:highlight w:val="none"/>
        </w:rPr>
      </w:pPr>
      <w:r>
        <w:rPr>
          <w:rFonts w:hint="eastAsia"/>
          <w:highlight w:val="none"/>
        </w:rPr>
        <w:t>乙方保证所提供的服务的所有权完全属于乙方且无任何抵押、查封等产权瑕疵。如有产权瑕疵的，视为乙方违约。乙方应负担由此而产生的一切损失。</w:t>
      </w:r>
    </w:p>
    <w:p>
      <w:pPr>
        <w:pStyle w:val="34"/>
        <w:ind w:firstLine="482"/>
        <w:rPr>
          <w:highlight w:val="none"/>
        </w:rPr>
      </w:pPr>
      <w:bookmarkStart w:id="1592" w:name="_Toc11750"/>
      <w:bookmarkStart w:id="1593" w:name="_Toc27704"/>
      <w:bookmarkStart w:id="1594" w:name="_Toc21593"/>
      <w:bookmarkStart w:id="1595" w:name="_Toc8015"/>
      <w:bookmarkStart w:id="1596" w:name="_Toc7723"/>
      <w:r>
        <w:rPr>
          <w:rFonts w:hint="eastAsia"/>
          <w:highlight w:val="none"/>
        </w:rPr>
        <w:t>甲方的权利和义务</w:t>
      </w:r>
      <w:bookmarkEnd w:id="1592"/>
      <w:bookmarkEnd w:id="1593"/>
      <w:bookmarkEnd w:id="1594"/>
      <w:bookmarkEnd w:id="1595"/>
      <w:bookmarkEnd w:id="1596"/>
    </w:p>
    <w:p>
      <w:pPr>
        <w:pStyle w:val="32"/>
        <w:numPr>
          <w:ilvl w:val="1"/>
          <w:numId w:val="43"/>
        </w:numPr>
        <w:ind w:firstLine="480"/>
        <w:rPr>
          <w:highlight w:val="none"/>
        </w:rPr>
      </w:pPr>
      <w:r>
        <w:rPr>
          <w:rFonts w:hint="eastAsia"/>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32"/>
        <w:numPr>
          <w:ilvl w:val="1"/>
          <w:numId w:val="43"/>
        </w:numPr>
        <w:ind w:firstLine="480"/>
        <w:rPr>
          <w:highlight w:val="none"/>
        </w:rPr>
      </w:pPr>
      <w:r>
        <w:rPr>
          <w:rFonts w:hint="eastAsia"/>
          <w:highlight w:val="none"/>
        </w:rPr>
        <w:t>甲方有权依据双方签订的考评办法对乙方提供的服务进行定期考评。当考评结果未达到标准时，有权</w:t>
      </w:r>
      <w:r>
        <w:rPr>
          <w:rFonts w:hint="eastAsia"/>
          <w:highlight w:val="none"/>
          <w:lang w:val="en-US" w:eastAsia="zh-CN"/>
        </w:rPr>
        <w:t>追求相关责任</w:t>
      </w:r>
      <w:r>
        <w:rPr>
          <w:rFonts w:hint="eastAsia"/>
          <w:highlight w:val="none"/>
        </w:rPr>
        <w:t>。</w:t>
      </w:r>
    </w:p>
    <w:p>
      <w:pPr>
        <w:pStyle w:val="32"/>
        <w:numPr>
          <w:ilvl w:val="1"/>
          <w:numId w:val="43"/>
        </w:numPr>
        <w:ind w:firstLine="480"/>
        <w:rPr>
          <w:highlight w:val="none"/>
        </w:rPr>
      </w:pPr>
      <w:r>
        <w:rPr>
          <w:rFonts w:hint="eastAsia"/>
          <w:highlight w:val="none"/>
        </w:rPr>
        <w:t>负责检查监督乙方管理工作的实施及制度的执行情况。</w:t>
      </w:r>
    </w:p>
    <w:p>
      <w:pPr>
        <w:pStyle w:val="32"/>
        <w:numPr>
          <w:ilvl w:val="1"/>
          <w:numId w:val="43"/>
        </w:numPr>
        <w:ind w:firstLine="480"/>
        <w:rPr>
          <w:highlight w:val="none"/>
        </w:rPr>
      </w:pPr>
      <w:r>
        <w:rPr>
          <w:rFonts w:hint="eastAsia"/>
          <w:highlight w:val="none"/>
        </w:rPr>
        <w:t>根据本合同规定，按时向乙方支付应付服务费用。</w:t>
      </w:r>
    </w:p>
    <w:p>
      <w:pPr>
        <w:pStyle w:val="32"/>
        <w:numPr>
          <w:ilvl w:val="1"/>
          <w:numId w:val="43"/>
        </w:numPr>
        <w:ind w:firstLine="480"/>
        <w:rPr>
          <w:highlight w:val="none"/>
        </w:rPr>
      </w:pPr>
      <w:r>
        <w:rPr>
          <w:rFonts w:hint="eastAsia"/>
          <w:highlight w:val="none"/>
        </w:rPr>
        <w:t>国家法律、法规所规定由甲方承担的其它责任。</w:t>
      </w:r>
    </w:p>
    <w:p>
      <w:pPr>
        <w:pStyle w:val="34"/>
        <w:ind w:firstLine="482"/>
        <w:rPr>
          <w:highlight w:val="none"/>
        </w:rPr>
      </w:pPr>
      <w:bookmarkStart w:id="1597" w:name="_Toc8909"/>
      <w:bookmarkStart w:id="1598" w:name="_Toc18257"/>
      <w:bookmarkStart w:id="1599" w:name="_Toc8112"/>
      <w:bookmarkStart w:id="1600" w:name="_Toc8944"/>
      <w:bookmarkStart w:id="1601" w:name="_Toc21711"/>
      <w:r>
        <w:rPr>
          <w:rFonts w:hint="eastAsia"/>
          <w:highlight w:val="none"/>
        </w:rPr>
        <w:t>乙方的权利和义务</w:t>
      </w:r>
      <w:bookmarkEnd w:id="1597"/>
      <w:bookmarkEnd w:id="1598"/>
      <w:bookmarkEnd w:id="1599"/>
      <w:bookmarkEnd w:id="1600"/>
      <w:bookmarkEnd w:id="1601"/>
    </w:p>
    <w:p>
      <w:pPr>
        <w:pStyle w:val="32"/>
        <w:numPr>
          <w:ilvl w:val="1"/>
          <w:numId w:val="44"/>
        </w:numPr>
        <w:ind w:firstLine="480"/>
        <w:rPr>
          <w:highlight w:val="none"/>
        </w:rPr>
      </w:pPr>
      <w:r>
        <w:rPr>
          <w:rFonts w:hint="eastAsia"/>
          <w:highlight w:val="none"/>
        </w:rPr>
        <w:t>对本合同规定的委托服务范围内的项目享有管理权及服务义务。</w:t>
      </w:r>
    </w:p>
    <w:p>
      <w:pPr>
        <w:pStyle w:val="32"/>
        <w:numPr>
          <w:ilvl w:val="1"/>
          <w:numId w:val="44"/>
        </w:numPr>
        <w:ind w:firstLine="480"/>
        <w:rPr>
          <w:highlight w:val="none"/>
        </w:rPr>
      </w:pPr>
      <w:r>
        <w:rPr>
          <w:rFonts w:hint="eastAsia"/>
          <w:highlight w:val="none"/>
        </w:rPr>
        <w:t>根据本合同的规定向甲方收取相关服务费用，并有权在本项目管理范围内管理及合理使用。</w:t>
      </w:r>
    </w:p>
    <w:p>
      <w:pPr>
        <w:pStyle w:val="32"/>
        <w:numPr>
          <w:ilvl w:val="1"/>
          <w:numId w:val="44"/>
        </w:numPr>
        <w:ind w:firstLine="480"/>
        <w:rPr>
          <w:highlight w:val="none"/>
        </w:rPr>
      </w:pPr>
      <w:r>
        <w:rPr>
          <w:rFonts w:hint="eastAsia"/>
          <w:highlight w:val="none"/>
        </w:rPr>
        <w:t>及时向甲方通告本项目服务范围内有关服务的重大事项，及时配合处理投诉。</w:t>
      </w:r>
    </w:p>
    <w:p>
      <w:pPr>
        <w:pStyle w:val="32"/>
        <w:numPr>
          <w:ilvl w:val="1"/>
          <w:numId w:val="44"/>
        </w:numPr>
        <w:ind w:firstLine="480"/>
        <w:rPr>
          <w:highlight w:val="none"/>
        </w:rPr>
      </w:pPr>
      <w:r>
        <w:rPr>
          <w:rFonts w:hint="eastAsia"/>
          <w:highlight w:val="none"/>
        </w:rPr>
        <w:t>接受项目行业管理部门及政府有关部门的指导，接受甲方的监督。</w:t>
      </w:r>
    </w:p>
    <w:p>
      <w:pPr>
        <w:pStyle w:val="32"/>
        <w:numPr>
          <w:ilvl w:val="1"/>
          <w:numId w:val="44"/>
        </w:numPr>
        <w:ind w:firstLine="480"/>
        <w:rPr>
          <w:highlight w:val="none"/>
        </w:rPr>
      </w:pPr>
      <w:r>
        <w:rPr>
          <w:rFonts w:hint="eastAsia"/>
          <w:highlight w:val="none"/>
        </w:rPr>
        <w:t>国家法律、法规所规定由乙方承担的其它责任。</w:t>
      </w:r>
    </w:p>
    <w:p>
      <w:pPr>
        <w:pStyle w:val="34"/>
        <w:ind w:firstLine="482"/>
        <w:rPr>
          <w:highlight w:val="none"/>
        </w:rPr>
      </w:pPr>
      <w:bookmarkStart w:id="1602" w:name="_Toc24668"/>
      <w:bookmarkStart w:id="1603" w:name="_Toc9698"/>
      <w:bookmarkStart w:id="1604" w:name="_Toc5948"/>
      <w:bookmarkStart w:id="1605" w:name="_Toc8699"/>
      <w:bookmarkStart w:id="1606" w:name="_Toc15735"/>
      <w:r>
        <w:rPr>
          <w:rFonts w:hint="eastAsia"/>
          <w:highlight w:val="none"/>
        </w:rPr>
        <w:t>违约责任</w:t>
      </w:r>
      <w:bookmarkEnd w:id="1602"/>
      <w:bookmarkEnd w:id="1603"/>
      <w:bookmarkEnd w:id="1604"/>
      <w:bookmarkEnd w:id="1605"/>
      <w:bookmarkEnd w:id="1606"/>
    </w:p>
    <w:p>
      <w:pPr>
        <w:pStyle w:val="32"/>
        <w:numPr>
          <w:ilvl w:val="1"/>
          <w:numId w:val="45"/>
        </w:numPr>
        <w:ind w:firstLine="480"/>
        <w:rPr>
          <w:highlight w:val="none"/>
        </w:rPr>
      </w:pPr>
      <w:r>
        <w:rPr>
          <w:rFonts w:hint="eastAsia"/>
          <w:highlight w:val="none"/>
        </w:rPr>
        <w:t>甲乙双方必须遵守本合同并执行合同中的各项规定，保证本合同的正常履行。</w:t>
      </w:r>
    </w:p>
    <w:p>
      <w:pPr>
        <w:pStyle w:val="32"/>
        <w:numPr>
          <w:ilvl w:val="1"/>
          <w:numId w:val="45"/>
        </w:numPr>
        <w:ind w:firstLine="480"/>
        <w:rPr>
          <w:highlight w:val="none"/>
        </w:rPr>
      </w:pPr>
      <w:r>
        <w:rPr>
          <w:rFonts w:hint="eastAsia"/>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34"/>
        <w:ind w:firstLine="482"/>
        <w:rPr>
          <w:highlight w:val="none"/>
        </w:rPr>
      </w:pPr>
      <w:bookmarkStart w:id="1607" w:name="_Toc5305"/>
      <w:bookmarkStart w:id="1608" w:name="_Toc12028"/>
      <w:bookmarkStart w:id="1609" w:name="_Toc23734"/>
      <w:bookmarkStart w:id="1610" w:name="_Toc401"/>
      <w:bookmarkStart w:id="1611" w:name="_Toc30826"/>
      <w:r>
        <w:rPr>
          <w:rFonts w:hint="eastAsia"/>
          <w:highlight w:val="none"/>
        </w:rPr>
        <w:t>不可抗力事件处理</w:t>
      </w:r>
      <w:bookmarkEnd w:id="1607"/>
      <w:bookmarkEnd w:id="1608"/>
      <w:bookmarkEnd w:id="1609"/>
      <w:bookmarkEnd w:id="1610"/>
      <w:bookmarkEnd w:id="1611"/>
    </w:p>
    <w:p>
      <w:pPr>
        <w:pStyle w:val="32"/>
        <w:numPr>
          <w:ilvl w:val="1"/>
          <w:numId w:val="46"/>
        </w:numPr>
        <w:ind w:firstLine="480"/>
        <w:rPr>
          <w:highlight w:val="none"/>
        </w:rPr>
      </w:pPr>
      <w:r>
        <w:rPr>
          <w:rFonts w:hint="eastAsia"/>
          <w:highlight w:val="none"/>
        </w:rPr>
        <w:t>在合同有效期内，任何一方因不可抗力事件导致不能履行合同，则合同履行期可延长，其延长期与不可抗力影响期相同。</w:t>
      </w:r>
    </w:p>
    <w:p>
      <w:pPr>
        <w:pStyle w:val="32"/>
        <w:numPr>
          <w:ilvl w:val="1"/>
          <w:numId w:val="46"/>
        </w:numPr>
        <w:ind w:firstLine="480"/>
        <w:rPr>
          <w:highlight w:val="none"/>
        </w:rPr>
      </w:pPr>
      <w:r>
        <w:rPr>
          <w:rFonts w:hint="eastAsia"/>
          <w:highlight w:val="none"/>
        </w:rPr>
        <w:t>不可抗力事件发生后，应立即通知对方，并寄送有关权威机构出具的证明。</w:t>
      </w:r>
    </w:p>
    <w:p>
      <w:pPr>
        <w:pStyle w:val="32"/>
        <w:numPr>
          <w:ilvl w:val="1"/>
          <w:numId w:val="46"/>
        </w:numPr>
        <w:ind w:firstLine="480"/>
        <w:rPr>
          <w:highlight w:val="none"/>
        </w:rPr>
      </w:pPr>
      <w:r>
        <w:rPr>
          <w:rFonts w:hint="eastAsia"/>
          <w:highlight w:val="none"/>
        </w:rPr>
        <w:t>不可抗力事件延续XX天以上，双方应通过友好协商，确定是否继续履行合同。</w:t>
      </w:r>
    </w:p>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Pr>
        <w:pStyle w:val="34"/>
        <w:ind w:firstLine="482"/>
        <w:rPr>
          <w:highlight w:val="none"/>
        </w:rPr>
      </w:pPr>
      <w:bookmarkStart w:id="1612" w:name="_Toc15776"/>
      <w:bookmarkStart w:id="1613" w:name="_Toc12735"/>
      <w:bookmarkStart w:id="1614" w:name="_Toc13955"/>
      <w:bookmarkStart w:id="1615" w:name="_Toc22262"/>
      <w:bookmarkStart w:id="1616" w:name="_Toc4122"/>
      <w:r>
        <w:rPr>
          <w:rFonts w:hint="eastAsia"/>
          <w:highlight w:val="none"/>
        </w:rPr>
        <w:t>解决争议的方法</w:t>
      </w:r>
      <w:bookmarkEnd w:id="1612"/>
      <w:bookmarkEnd w:id="1613"/>
      <w:bookmarkEnd w:id="1614"/>
      <w:bookmarkEnd w:id="1615"/>
      <w:bookmarkEnd w:id="1616"/>
    </w:p>
    <w:p>
      <w:pPr>
        <w:pStyle w:val="32"/>
        <w:numPr>
          <w:ilvl w:val="1"/>
          <w:numId w:val="47"/>
        </w:numPr>
        <w:ind w:firstLine="480"/>
        <w:rPr>
          <w:highlight w:val="none"/>
        </w:rPr>
      </w:pPr>
      <w:r>
        <w:rPr>
          <w:rFonts w:hint="eastAsia"/>
          <w:highlight w:val="none"/>
        </w:rPr>
        <w:t>因服务的质量问题发生争议，由甲方或其指定的第三方机构进行质量鉴定。服务符合标准的，鉴定费由甲方承担；服务不符合质量标准的，鉴定费由乙方承担。</w:t>
      </w:r>
    </w:p>
    <w:p>
      <w:pPr>
        <w:pStyle w:val="32"/>
        <w:numPr>
          <w:ilvl w:val="1"/>
          <w:numId w:val="47"/>
        </w:numPr>
        <w:ind w:firstLine="480"/>
        <w:rPr>
          <w:highlight w:val="none"/>
        </w:rPr>
      </w:pPr>
      <w:r>
        <w:rPr>
          <w:rFonts w:hint="eastAsia"/>
          <w:highlight w:val="none"/>
        </w:rPr>
        <w:t>合同履行期间,若双方发生争议，可协商或由有关部门调解解决，协商或调解不成的，按照下列方式解决(任选一项，且只能选择一项，在选定的一项前的方框内打“√”)：</w:t>
      </w:r>
    </w:p>
    <w:p>
      <w:pPr>
        <w:pStyle w:val="46"/>
        <w:rPr>
          <w:highlight w:val="none"/>
        </w:rPr>
      </w:pPr>
      <w:r>
        <w:rPr>
          <w:rFonts w:hint="eastAsia"/>
          <w:highlight w:val="none"/>
        </w:rPr>
        <w:sym w:font="Wingdings 2" w:char="00A3"/>
      </w:r>
      <w:r>
        <w:rPr>
          <w:rFonts w:hint="eastAsia"/>
          <w:highlight w:val="none"/>
        </w:rPr>
        <w:t xml:space="preserve"> 向</w:t>
      </w:r>
      <w:r>
        <w:rPr>
          <w:rFonts w:hint="eastAsia"/>
          <w:highlight w:val="none"/>
          <w:u w:val="single"/>
        </w:rPr>
        <w:t xml:space="preserve">     </w:t>
      </w:r>
      <w:r>
        <w:rPr>
          <w:rFonts w:hint="eastAsia"/>
          <w:highlight w:val="none"/>
        </w:rPr>
        <w:t>仲裁委员会申请仲裁；</w:t>
      </w:r>
      <w:r>
        <w:rPr>
          <w:rFonts w:hint="eastAsia"/>
          <w:highlight w:val="none"/>
        </w:rPr>
        <w:sym w:font="Wingdings 2" w:char="00A3"/>
      </w:r>
      <w:r>
        <w:rPr>
          <w:rFonts w:hint="eastAsia"/>
          <w:highlight w:val="none"/>
        </w:rPr>
        <w:t xml:space="preserve"> 向</w:t>
      </w:r>
      <w:r>
        <w:rPr>
          <w:rFonts w:hint="eastAsia"/>
          <w:highlight w:val="none"/>
          <w:u w:val="single"/>
        </w:rPr>
        <w:t xml:space="preserve"> </w:t>
      </w:r>
      <w:r>
        <w:rPr>
          <w:rFonts w:hint="eastAsia"/>
          <w:highlight w:val="none"/>
          <w:u w:val="single"/>
          <w:lang w:val="en-US" w:eastAsia="zh-CN"/>
        </w:rPr>
        <w:t>甲方</w:t>
      </w:r>
      <w:r>
        <w:rPr>
          <w:rFonts w:hint="eastAsia"/>
          <w:highlight w:val="none"/>
          <w:u w:val="single"/>
        </w:rPr>
        <w:t xml:space="preserve"> </w:t>
      </w:r>
      <w:r>
        <w:rPr>
          <w:rFonts w:hint="eastAsia"/>
          <w:highlight w:val="none"/>
        </w:rPr>
        <w:t>所在地人民法院起诉。</w:t>
      </w:r>
    </w:p>
    <w:p>
      <w:pPr>
        <w:pStyle w:val="32"/>
        <w:ind w:firstLine="480"/>
        <w:rPr>
          <w:highlight w:val="none"/>
        </w:rPr>
      </w:pPr>
      <w:r>
        <w:rPr>
          <w:rFonts w:hint="eastAsia"/>
          <w:highlight w:val="none"/>
        </w:rPr>
        <w:t>仲裁裁决应为最终决定，并对双方具有约束力。</w:t>
      </w:r>
    </w:p>
    <w:p>
      <w:pPr>
        <w:pStyle w:val="32"/>
        <w:ind w:firstLine="480"/>
        <w:rPr>
          <w:highlight w:val="none"/>
        </w:rPr>
      </w:pPr>
      <w:r>
        <w:rPr>
          <w:rFonts w:hint="eastAsia"/>
          <w:highlight w:val="none"/>
        </w:rPr>
        <w:t xml:space="preserve">除另有裁决外，仲裁费应由败诉方负担。 </w:t>
      </w:r>
    </w:p>
    <w:p>
      <w:pPr>
        <w:pStyle w:val="32"/>
        <w:ind w:firstLine="480"/>
        <w:rPr>
          <w:highlight w:val="none"/>
        </w:rPr>
      </w:pPr>
      <w:r>
        <w:rPr>
          <w:rFonts w:hint="eastAsia"/>
          <w:highlight w:val="none"/>
        </w:rPr>
        <w:t xml:space="preserve">在仲裁期间，除正在进行仲裁部分外，合同其他部分继续执行。  </w:t>
      </w:r>
    </w:p>
    <w:p>
      <w:pPr>
        <w:pStyle w:val="34"/>
        <w:ind w:firstLine="482"/>
        <w:rPr>
          <w:highlight w:val="none"/>
        </w:rPr>
      </w:pPr>
      <w:bookmarkStart w:id="1617" w:name="_Toc283019219"/>
      <w:bookmarkStart w:id="1618" w:name="_Toc239568424"/>
      <w:bookmarkStart w:id="1619" w:name="_Toc211854455"/>
      <w:bookmarkStart w:id="1620" w:name="_Toc225654650"/>
      <w:bookmarkStart w:id="1621" w:name="_Toc237145412"/>
      <w:bookmarkStart w:id="1622" w:name="_Toc211911354"/>
      <w:bookmarkStart w:id="1623" w:name="_Toc225670757"/>
      <w:bookmarkStart w:id="1624" w:name="_Toc241833909"/>
      <w:bookmarkStart w:id="1625" w:name="_Toc239233920"/>
      <w:bookmarkStart w:id="1626" w:name="_Toc251768868"/>
      <w:bookmarkStart w:id="1627" w:name="_Toc286993793"/>
      <w:bookmarkStart w:id="1628" w:name="_Toc212019600"/>
      <w:bookmarkStart w:id="1629" w:name="_Toc238984981"/>
      <w:bookmarkStart w:id="1630" w:name="_Toc185395255"/>
      <w:bookmarkStart w:id="1631" w:name="_Toc247334847"/>
      <w:bookmarkStart w:id="1632" w:name="_Toc232492934"/>
      <w:bookmarkStart w:id="1633" w:name="_Toc282696231"/>
      <w:bookmarkStart w:id="1634" w:name="_Toc225244858"/>
      <w:bookmarkStart w:id="1635" w:name="_Toc16403"/>
      <w:bookmarkStart w:id="1636" w:name="_Toc2895"/>
      <w:bookmarkStart w:id="1637" w:name="_Toc30956"/>
      <w:bookmarkStart w:id="1638" w:name="_Toc17321"/>
      <w:bookmarkStart w:id="1639" w:name="_Toc3418"/>
      <w:r>
        <w:rPr>
          <w:rFonts w:hint="eastAsia"/>
          <w:highlight w:val="none"/>
        </w:rPr>
        <w:t>合同</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rFonts w:hint="eastAsia"/>
          <w:highlight w:val="none"/>
        </w:rPr>
        <w:t>生效及其他</w:t>
      </w:r>
      <w:bookmarkEnd w:id="1635"/>
      <w:bookmarkEnd w:id="1636"/>
      <w:bookmarkEnd w:id="1637"/>
      <w:bookmarkEnd w:id="1638"/>
      <w:bookmarkEnd w:id="1639"/>
    </w:p>
    <w:p>
      <w:pPr>
        <w:pStyle w:val="32"/>
        <w:numPr>
          <w:ilvl w:val="1"/>
          <w:numId w:val="48"/>
        </w:numPr>
        <w:ind w:firstLine="480"/>
        <w:rPr>
          <w:highlight w:val="none"/>
        </w:rPr>
      </w:pPr>
      <w:r>
        <w:rPr>
          <w:rFonts w:hint="eastAsia"/>
          <w:highlight w:val="none"/>
        </w:rPr>
        <w:t>合同经双方法定代表人或授权委托代理人签字并加盖单位公章后生效。</w:t>
      </w:r>
    </w:p>
    <w:p>
      <w:pPr>
        <w:pStyle w:val="32"/>
        <w:numPr>
          <w:ilvl w:val="1"/>
          <w:numId w:val="48"/>
        </w:numPr>
        <w:ind w:firstLine="480"/>
        <w:rPr>
          <w:highlight w:val="none"/>
        </w:rPr>
      </w:pPr>
      <w:r>
        <w:rPr>
          <w:rFonts w:hint="eastAsia"/>
          <w:highlight w:val="none"/>
        </w:rPr>
        <w:t>合同执行中涉及采购资金和采购内容修改或补充的，须经政府采购监管部门审批，并签书面补充协议报政府采购监督管理部门备案，方可作为主合同不可分割的一部分。</w:t>
      </w:r>
    </w:p>
    <w:p>
      <w:pPr>
        <w:pStyle w:val="32"/>
        <w:numPr>
          <w:ilvl w:val="1"/>
          <w:numId w:val="48"/>
        </w:numPr>
        <w:ind w:firstLine="480"/>
        <w:rPr>
          <w:highlight w:val="none"/>
        </w:rPr>
      </w:pPr>
      <w:r>
        <w:rPr>
          <w:rFonts w:hint="eastAsia"/>
          <w:highlight w:val="none"/>
        </w:rPr>
        <w:t>本合同一式XX份，自双方签章之日起起效。甲方XX份，乙方XX份，政府采购代理机构XX份，同级财政部门备案XX份，具有同等法律效力。</w:t>
      </w:r>
    </w:p>
    <w:p>
      <w:pPr>
        <w:pStyle w:val="34"/>
        <w:ind w:firstLine="482"/>
        <w:rPr>
          <w:highlight w:val="none"/>
        </w:rPr>
      </w:pPr>
      <w:bookmarkStart w:id="1640" w:name="_Toc12062"/>
      <w:bookmarkStart w:id="1641" w:name="_Toc32461"/>
      <w:bookmarkStart w:id="1642" w:name="_Toc13138"/>
      <w:bookmarkStart w:id="1643" w:name="_Toc22840"/>
      <w:bookmarkStart w:id="1644" w:name="_Toc7924"/>
      <w:r>
        <w:rPr>
          <w:rFonts w:hint="eastAsia"/>
          <w:highlight w:val="none"/>
        </w:rPr>
        <w:t>附件</w:t>
      </w:r>
      <w:bookmarkEnd w:id="1640"/>
      <w:bookmarkEnd w:id="1641"/>
      <w:bookmarkEnd w:id="1642"/>
      <w:bookmarkEnd w:id="1643"/>
      <w:bookmarkEnd w:id="1644"/>
    </w:p>
    <w:p>
      <w:pPr>
        <w:pStyle w:val="32"/>
        <w:numPr>
          <w:ilvl w:val="1"/>
          <w:numId w:val="49"/>
        </w:numPr>
        <w:ind w:firstLine="480"/>
        <w:rPr>
          <w:highlight w:val="none"/>
        </w:rPr>
      </w:pPr>
      <w:r>
        <w:rPr>
          <w:rFonts w:hint="eastAsia"/>
          <w:highlight w:val="none"/>
        </w:rPr>
        <w:t>项目招标文件。</w:t>
      </w:r>
    </w:p>
    <w:p>
      <w:pPr>
        <w:pStyle w:val="32"/>
        <w:numPr>
          <w:ilvl w:val="1"/>
          <w:numId w:val="49"/>
        </w:numPr>
        <w:ind w:firstLine="480"/>
        <w:rPr>
          <w:highlight w:val="none"/>
        </w:rPr>
      </w:pPr>
      <w:r>
        <w:rPr>
          <w:rFonts w:hint="eastAsia"/>
          <w:highlight w:val="none"/>
        </w:rPr>
        <w:t>项目修改澄清文件。</w:t>
      </w:r>
    </w:p>
    <w:p>
      <w:pPr>
        <w:pStyle w:val="32"/>
        <w:numPr>
          <w:ilvl w:val="1"/>
          <w:numId w:val="49"/>
        </w:numPr>
        <w:ind w:firstLine="480"/>
        <w:rPr>
          <w:highlight w:val="none"/>
        </w:rPr>
      </w:pPr>
      <w:r>
        <w:rPr>
          <w:rFonts w:hint="eastAsia"/>
          <w:highlight w:val="none"/>
        </w:rPr>
        <w:t>项目投标文件。</w:t>
      </w:r>
    </w:p>
    <w:p>
      <w:pPr>
        <w:pStyle w:val="32"/>
        <w:numPr>
          <w:ilvl w:val="1"/>
          <w:numId w:val="49"/>
        </w:numPr>
        <w:ind w:firstLine="480"/>
        <w:rPr>
          <w:highlight w:val="none"/>
        </w:rPr>
      </w:pPr>
      <w:r>
        <w:rPr>
          <w:rFonts w:hint="eastAsia"/>
          <w:highlight w:val="none"/>
        </w:rPr>
        <w:t>中标通知书。</w:t>
      </w:r>
    </w:p>
    <w:p>
      <w:pPr>
        <w:pStyle w:val="32"/>
        <w:numPr>
          <w:ilvl w:val="1"/>
          <w:numId w:val="49"/>
        </w:numPr>
        <w:ind w:firstLine="480"/>
        <w:rPr>
          <w:highlight w:val="none"/>
        </w:rPr>
      </w:pPr>
      <w:r>
        <w:rPr>
          <w:rFonts w:hint="eastAsia"/>
          <w:highlight w:val="none"/>
        </w:rPr>
        <w:t>其他。</w:t>
      </w:r>
    </w:p>
    <w:p>
      <w:pPr>
        <w:pStyle w:val="33"/>
        <w:pageBreakBefore/>
        <w:spacing w:before="240" w:beforeLines="100" w:after="240" w:afterLines="100"/>
        <w:jc w:val="center"/>
        <w:rPr>
          <w:b/>
          <w:bCs/>
          <w:highlight w:val="none"/>
        </w:rPr>
      </w:pPr>
      <w:r>
        <w:rPr>
          <w:rFonts w:hint="eastAsia"/>
          <w:b/>
          <w:bCs/>
          <w:highlight w:val="none"/>
        </w:rPr>
        <w:t>(本页无正文)</w:t>
      </w:r>
    </w:p>
    <w:tbl>
      <w:tblPr>
        <w:tblStyle w:val="24"/>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rPr>
                <w:highlight w:val="none"/>
              </w:rPr>
            </w:pPr>
            <w:r>
              <w:rPr>
                <w:rFonts w:hint="eastAsia"/>
                <w:highlight w:val="none"/>
              </w:rPr>
              <w:t>甲方：   (盖章)</w:t>
            </w:r>
          </w:p>
        </w:tc>
        <w:tc>
          <w:tcPr>
            <w:tcW w:w="4981" w:type="dxa"/>
            <w:vAlign w:val="center"/>
          </w:tcPr>
          <w:p>
            <w:pPr>
              <w:pStyle w:val="42"/>
              <w:rPr>
                <w:highlight w:val="none"/>
              </w:rPr>
            </w:pPr>
            <w:r>
              <w:rPr>
                <w:rFonts w:hint="eastAsia"/>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rPr>
                <w:highlight w:val="none"/>
              </w:rPr>
            </w:pPr>
            <w:r>
              <w:rPr>
                <w:rFonts w:hint="eastAsia"/>
                <w:highlight w:val="none"/>
              </w:rPr>
              <w:t>法定代表人(授权代表)：</w:t>
            </w:r>
          </w:p>
        </w:tc>
        <w:tc>
          <w:tcPr>
            <w:tcW w:w="4981" w:type="dxa"/>
            <w:vAlign w:val="center"/>
          </w:tcPr>
          <w:p>
            <w:pPr>
              <w:pStyle w:val="42"/>
              <w:rPr>
                <w:highlight w:val="none"/>
              </w:rPr>
            </w:pPr>
            <w:r>
              <w:rPr>
                <w:rFonts w:hint="eastAsia"/>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rPr>
                <w:highlight w:val="none"/>
              </w:rPr>
            </w:pPr>
            <w:r>
              <w:rPr>
                <w:rFonts w:hint="eastAsia"/>
                <w:highlight w:val="none"/>
              </w:rPr>
              <w:t>地址(住所)：</w:t>
            </w:r>
          </w:p>
        </w:tc>
        <w:tc>
          <w:tcPr>
            <w:tcW w:w="4981" w:type="dxa"/>
            <w:vAlign w:val="center"/>
          </w:tcPr>
          <w:p>
            <w:pPr>
              <w:pStyle w:val="42"/>
              <w:rPr>
                <w:highlight w:val="none"/>
              </w:rPr>
            </w:pPr>
            <w:r>
              <w:rPr>
                <w:rFonts w:hint="eastAsia"/>
                <w:highlight w:val="none"/>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rPr>
                <w:highlight w:val="none"/>
              </w:rPr>
            </w:pPr>
            <w:r>
              <w:rPr>
                <w:rFonts w:hint="eastAsia"/>
                <w:highlight w:val="none"/>
              </w:rPr>
              <w:t>开户银行：</w:t>
            </w:r>
          </w:p>
        </w:tc>
        <w:tc>
          <w:tcPr>
            <w:tcW w:w="4981" w:type="dxa"/>
            <w:vAlign w:val="center"/>
          </w:tcPr>
          <w:p>
            <w:pPr>
              <w:pStyle w:val="42"/>
              <w:rPr>
                <w:highlight w:val="none"/>
              </w:rPr>
            </w:pPr>
            <w:r>
              <w:rPr>
                <w:rFonts w:hint="eastAsia"/>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rPr>
                <w:highlight w:val="none"/>
              </w:rPr>
            </w:pPr>
            <w:r>
              <w:rPr>
                <w:rFonts w:hint="eastAsia"/>
                <w:highlight w:val="none"/>
              </w:rPr>
              <w:t>账号：</w:t>
            </w:r>
          </w:p>
        </w:tc>
        <w:tc>
          <w:tcPr>
            <w:tcW w:w="4981" w:type="dxa"/>
            <w:vAlign w:val="center"/>
          </w:tcPr>
          <w:p>
            <w:pPr>
              <w:pStyle w:val="42"/>
              <w:rPr>
                <w:highlight w:val="none"/>
              </w:rPr>
            </w:pPr>
            <w:r>
              <w:rPr>
                <w:rFonts w:hint="eastAsia"/>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2"/>
              <w:rPr>
                <w:highlight w:val="none"/>
              </w:rPr>
            </w:pPr>
            <w:r>
              <w:rPr>
                <w:rFonts w:hint="eastAsia"/>
                <w:highlight w:val="none"/>
              </w:rPr>
              <w:t xml:space="preserve">电话： </w:t>
            </w:r>
          </w:p>
        </w:tc>
        <w:tc>
          <w:tcPr>
            <w:tcW w:w="4981" w:type="dxa"/>
            <w:vAlign w:val="center"/>
          </w:tcPr>
          <w:p>
            <w:pPr>
              <w:pStyle w:val="42"/>
              <w:rPr>
                <w:highlight w:val="none"/>
              </w:rPr>
            </w:pPr>
            <w:r>
              <w:rPr>
                <w:rFonts w:hint="eastAsia"/>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2"/>
              <w:rPr>
                <w:highlight w:val="none"/>
              </w:rPr>
            </w:pPr>
            <w:r>
              <w:rPr>
                <w:rFonts w:hint="eastAsia"/>
                <w:highlight w:val="none"/>
              </w:rPr>
              <w:t>传真：</w:t>
            </w:r>
          </w:p>
        </w:tc>
        <w:tc>
          <w:tcPr>
            <w:tcW w:w="4981" w:type="dxa"/>
            <w:vAlign w:val="center"/>
          </w:tcPr>
          <w:p>
            <w:pPr>
              <w:pStyle w:val="42"/>
              <w:rPr>
                <w:highlight w:val="none"/>
              </w:rPr>
            </w:pPr>
            <w:r>
              <w:rPr>
                <w:rFonts w:hint="eastAsia"/>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2"/>
              <w:rPr>
                <w:highlight w:val="none"/>
              </w:rPr>
            </w:pPr>
            <w:r>
              <w:rPr>
                <w:rFonts w:hint="eastAsia"/>
                <w:highlight w:val="none"/>
              </w:rPr>
              <w:t>签约日期：XX年XX月XX日</w:t>
            </w:r>
          </w:p>
        </w:tc>
        <w:tc>
          <w:tcPr>
            <w:tcW w:w="4981" w:type="dxa"/>
            <w:vAlign w:val="center"/>
          </w:tcPr>
          <w:p>
            <w:pPr>
              <w:pStyle w:val="42"/>
              <w:rPr>
                <w:highlight w:val="none"/>
              </w:rPr>
            </w:pPr>
            <w:r>
              <w:rPr>
                <w:rFonts w:hint="eastAsia"/>
                <w:highlight w:val="none"/>
              </w:rPr>
              <w:t>签约日期：XX年XX月XX日</w:t>
            </w:r>
          </w:p>
        </w:tc>
      </w:tr>
    </w:tbl>
    <w:p>
      <w:pPr>
        <w:pStyle w:val="42"/>
        <w:rPr>
          <w:highlight w:val="none"/>
        </w:rPr>
      </w:pPr>
      <w:r>
        <w:rPr>
          <w:rFonts w:hint="eastAsia"/>
          <w:highlight w:val="none"/>
        </w:rPr>
        <w:br w:type="page"/>
      </w:r>
    </w:p>
    <w:p>
      <w:pPr>
        <w:pStyle w:val="48"/>
        <w:numPr>
          <w:ilvl w:val="0"/>
          <w:numId w:val="11"/>
        </w:numPr>
        <w:spacing w:before="120" w:after="120"/>
        <w:rPr>
          <w:highlight w:val="none"/>
        </w:rPr>
      </w:pPr>
      <w:bookmarkStart w:id="1645" w:name="_Toc28848"/>
      <w:bookmarkStart w:id="1646" w:name="_Toc12163"/>
      <w:bookmarkStart w:id="1647" w:name="_Toc8018"/>
      <w:bookmarkStart w:id="1648" w:name="_Toc3846"/>
      <w:bookmarkStart w:id="1649" w:name="_Toc22356"/>
      <w:r>
        <w:rPr>
          <w:rFonts w:hint="eastAsia"/>
          <w:highlight w:val="none"/>
        </w:rPr>
        <w:t>附件</w:t>
      </w:r>
      <w:bookmarkEnd w:id="1645"/>
      <w:bookmarkEnd w:id="1646"/>
      <w:bookmarkEnd w:id="1647"/>
      <w:bookmarkEnd w:id="1648"/>
      <w:bookmarkEnd w:id="1649"/>
    </w:p>
    <w:p>
      <w:pPr>
        <w:pStyle w:val="42"/>
        <w:jc w:val="both"/>
        <w:rPr>
          <w:b/>
          <w:bCs/>
          <w:sz w:val="36"/>
          <w:szCs w:val="36"/>
          <w:highlight w:val="none"/>
        </w:rPr>
      </w:pPr>
      <w:r>
        <w:rPr>
          <w:rFonts w:hint="eastAsia" w:cs="宋体"/>
          <w:b/>
          <w:bCs/>
          <w:highlight w:val="none"/>
        </w:rPr>
        <w:t>附件一：《202</w:t>
      </w:r>
      <w:r>
        <w:rPr>
          <w:rFonts w:hint="eastAsia" w:cs="宋体"/>
          <w:b/>
          <w:bCs/>
          <w:highlight w:val="none"/>
          <w:lang w:val="en-US" w:eastAsia="zh-CN"/>
        </w:rPr>
        <w:t>1</w:t>
      </w:r>
      <w:r>
        <w:rPr>
          <w:rFonts w:hint="eastAsia" w:cs="宋体"/>
          <w:b/>
          <w:bCs/>
          <w:highlight w:val="none"/>
        </w:rPr>
        <w:t>年度信用评价服务效果调查表(供应商)》</w:t>
      </w:r>
    </w:p>
    <w:p>
      <w:pPr>
        <w:pStyle w:val="42"/>
        <w:jc w:val="center"/>
        <w:rPr>
          <w:b/>
          <w:bCs/>
          <w:sz w:val="36"/>
          <w:szCs w:val="36"/>
          <w:highlight w:val="none"/>
        </w:rPr>
      </w:pPr>
      <w:r>
        <w:rPr>
          <w:rFonts w:hint="eastAsia"/>
          <w:b/>
          <w:bCs/>
          <w:sz w:val="36"/>
          <w:szCs w:val="36"/>
          <w:highlight w:val="none"/>
        </w:rPr>
        <w:t>202</w:t>
      </w:r>
      <w:r>
        <w:rPr>
          <w:rFonts w:hint="eastAsia"/>
          <w:b/>
          <w:bCs/>
          <w:sz w:val="36"/>
          <w:szCs w:val="36"/>
          <w:highlight w:val="none"/>
          <w:lang w:val="en-US" w:eastAsia="zh-CN"/>
        </w:rPr>
        <w:t>1</w:t>
      </w:r>
      <w:r>
        <w:rPr>
          <w:rFonts w:hint="eastAsia"/>
          <w:b/>
          <w:bCs/>
          <w:sz w:val="36"/>
          <w:szCs w:val="36"/>
          <w:highlight w:val="none"/>
        </w:rPr>
        <w:t>年度信用评价服务效果调查表(供应商)</w:t>
      </w:r>
    </w:p>
    <w:p>
      <w:pPr>
        <w:pStyle w:val="42"/>
        <w:rPr>
          <w:highlight w:val="none"/>
          <w:u w:val="single"/>
        </w:rPr>
      </w:pPr>
      <w:r>
        <w:rPr>
          <w:rFonts w:hint="eastAsia"/>
          <w:highlight w:val="none"/>
        </w:rPr>
        <w:t>项目名称：</w:t>
      </w:r>
      <w:r>
        <w:rPr>
          <w:rFonts w:hint="eastAsia"/>
          <w:highlight w:val="none"/>
          <w:u w:val="single"/>
        </w:rPr>
        <w:t xml:space="preserve">                               </w:t>
      </w:r>
    </w:p>
    <w:p>
      <w:pPr>
        <w:pStyle w:val="42"/>
        <w:rPr>
          <w:highlight w:val="none"/>
          <w:u w:val="single"/>
        </w:rPr>
      </w:pPr>
      <w:r>
        <w:rPr>
          <w:rFonts w:hint="eastAsia"/>
          <w:highlight w:val="none"/>
        </w:rPr>
        <w:t>项目编号：</w:t>
      </w:r>
      <w:r>
        <w:rPr>
          <w:rFonts w:hint="eastAsia"/>
          <w:highlight w:val="none"/>
          <w:u w:val="single"/>
        </w:rPr>
        <w:t xml:space="preserve">                               </w:t>
      </w:r>
    </w:p>
    <w:p>
      <w:pPr>
        <w:pStyle w:val="42"/>
        <w:rPr>
          <w:highlight w:val="none"/>
        </w:rPr>
      </w:pPr>
      <w:r>
        <w:rPr>
          <w:rFonts w:hint="eastAsia"/>
          <w:highlight w:val="none"/>
        </w:rPr>
        <w:t>被评价代理机构名称：四川乾新招投标代理有限公司</w:t>
      </w:r>
    </w:p>
    <w:tbl>
      <w:tblPr>
        <w:tblStyle w:val="23"/>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 xml:space="preserve">满意 </w:t>
            </w:r>
          </w:p>
          <w:p>
            <w:pPr>
              <w:pStyle w:val="45"/>
              <w:rPr>
                <w:b/>
                <w:bCs/>
                <w:highlight w:val="none"/>
              </w:rPr>
            </w:pPr>
            <w:r>
              <w:rPr>
                <w:rFonts w:hint="eastAsia"/>
                <w:b/>
                <w:bCs/>
                <w:highlight w:val="none"/>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 xml:space="preserve">基本满意 </w:t>
            </w:r>
          </w:p>
          <w:p>
            <w:pPr>
              <w:pStyle w:val="45"/>
              <w:rPr>
                <w:b/>
                <w:bCs/>
                <w:highlight w:val="none"/>
              </w:rPr>
            </w:pPr>
            <w:r>
              <w:rPr>
                <w:rFonts w:hint="eastAsia"/>
                <w:b/>
                <w:bCs/>
                <w:highlight w:val="none"/>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 xml:space="preserve">一般 </w:t>
            </w:r>
          </w:p>
          <w:p>
            <w:pPr>
              <w:pStyle w:val="45"/>
              <w:rPr>
                <w:b/>
                <w:bCs/>
                <w:highlight w:val="none"/>
              </w:rPr>
            </w:pPr>
            <w:r>
              <w:rPr>
                <w:rFonts w:hint="eastAsia"/>
                <w:b/>
                <w:bCs/>
                <w:highlight w:val="none"/>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不满意</w:t>
            </w:r>
          </w:p>
          <w:p>
            <w:pPr>
              <w:pStyle w:val="45"/>
              <w:rPr>
                <w:b/>
                <w:bCs/>
                <w:highlight w:val="none"/>
              </w:rPr>
            </w:pPr>
            <w:r>
              <w:rPr>
                <w:rFonts w:hint="eastAsia"/>
                <w:b/>
                <w:bCs/>
                <w:highlight w:val="none"/>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r>
              <w:rPr>
                <w:rFonts w:hint="eastAsia"/>
                <w:b/>
                <w:bCs/>
                <w:highlight w:val="none"/>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highlight w:val="none"/>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1"/>
              <w:rPr>
                <w:b/>
                <w:bCs/>
                <w:highlight w:val="none"/>
              </w:rPr>
            </w:pPr>
            <w:r>
              <w:rPr>
                <w:rFonts w:hint="eastAsia"/>
                <w:b/>
                <w:bCs/>
                <w:highlight w:val="none"/>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1"/>
              <w:rPr>
                <w:b/>
                <w:bCs/>
                <w:highlight w:val="none"/>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1"/>
              <w:rPr>
                <w:b/>
                <w:bCs/>
                <w:highlight w:val="none"/>
              </w:rPr>
            </w:pPr>
            <w:r>
              <w:rPr>
                <w:rFonts w:hint="eastAsia"/>
                <w:b/>
                <w:bCs/>
                <w:highlight w:val="none"/>
              </w:rPr>
              <w:t>供应商名称：</w:t>
            </w:r>
            <w:r>
              <w:rPr>
                <w:rFonts w:hint="eastAsia"/>
                <w:b/>
                <w:bCs/>
                <w:highlight w:val="none"/>
                <w:u w:val="single"/>
              </w:rPr>
              <w:t xml:space="preserve">                     </w:t>
            </w:r>
            <w:r>
              <w:rPr>
                <w:rFonts w:hint="eastAsia"/>
                <w:b/>
                <w:bCs/>
                <w:highlight w:val="none"/>
              </w:rPr>
              <w:t>(加盖鲜章)</w:t>
            </w:r>
          </w:p>
        </w:tc>
      </w:tr>
    </w:tbl>
    <w:p>
      <w:pPr>
        <w:pStyle w:val="47"/>
        <w:ind w:firstLine="482"/>
        <w:rPr>
          <w:highlight w:val="none"/>
        </w:rPr>
      </w:pPr>
      <w:r>
        <w:rPr>
          <w:rFonts w:hint="eastAsia"/>
          <w:highlight w:val="none"/>
        </w:rPr>
        <w:t>说明：请贵公司根据政府采购代理机构202</w:t>
      </w:r>
      <w:r>
        <w:rPr>
          <w:rFonts w:hint="eastAsia"/>
          <w:highlight w:val="none"/>
          <w:lang w:val="en-US" w:eastAsia="zh-CN"/>
        </w:rPr>
        <w:t>1</w:t>
      </w:r>
      <w:r>
        <w:rPr>
          <w:rFonts w:hint="eastAsia"/>
          <w:highlight w:val="none"/>
        </w:rPr>
        <w:t>年度政府采购项目的实际情况，在“满意”、“基本满意”、“一般”、“不满意”四个评价档次栏中选取一栏打“√”，并加盖鲜章。</w:t>
      </w:r>
    </w:p>
    <w:p>
      <w:pPr>
        <w:rPr>
          <w:highlight w:val="none"/>
        </w:rPr>
      </w:pPr>
      <w:r>
        <w:rPr>
          <w:rFonts w:hint="eastAsia"/>
          <w:highlight w:val="none"/>
        </w:rPr>
        <w:br w:type="page"/>
      </w:r>
    </w:p>
    <w:p>
      <w:pPr>
        <w:pStyle w:val="42"/>
        <w:bidi w:val="0"/>
        <w:jc w:val="both"/>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附件二</w:t>
      </w:r>
    </w:p>
    <w:p>
      <w:pPr>
        <w:widowControl/>
        <w:spacing w:line="330" w:lineRule="atLeast"/>
        <w:jc w:val="center"/>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统计上大中小微型企业划分标准</w:t>
      </w:r>
    </w:p>
    <w:tbl>
      <w:tblPr>
        <w:tblStyle w:val="23"/>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1424"/>
        <w:gridCol w:w="735"/>
        <w:gridCol w:w="1169"/>
        <w:gridCol w:w="1772"/>
        <w:gridCol w:w="148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121" w:type="pct"/>
            <w:noWrap w:val="0"/>
            <w:vAlign w:val="center"/>
          </w:tcPr>
          <w:p>
            <w:pPr>
              <w:widowControl/>
              <w:spacing w:line="240" w:lineRule="exact"/>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行业名称</w:t>
            </w:r>
          </w:p>
        </w:tc>
        <w:tc>
          <w:tcPr>
            <w:tcW w:w="725" w:type="pct"/>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指标名称</w:t>
            </w:r>
          </w:p>
        </w:tc>
        <w:tc>
          <w:tcPr>
            <w:tcW w:w="374" w:type="pct"/>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计量</w:t>
            </w:r>
            <w:r>
              <w:rPr>
                <w:rFonts w:hint="eastAsia" w:ascii="宋体" w:hAnsi="宋体" w:cs="宋体"/>
                <w:b/>
                <w:bCs/>
                <w:color w:val="000000"/>
                <w:kern w:val="0"/>
                <w:sz w:val="15"/>
                <w:szCs w:val="15"/>
                <w:highlight w:val="none"/>
              </w:rPr>
              <w:br w:type="textWrapping"/>
            </w:r>
            <w:r>
              <w:rPr>
                <w:rFonts w:hint="eastAsia" w:ascii="宋体" w:hAnsi="宋体" w:cs="宋体"/>
                <w:b/>
                <w:bCs/>
                <w:color w:val="000000"/>
                <w:kern w:val="0"/>
                <w:sz w:val="15"/>
                <w:szCs w:val="15"/>
                <w:highlight w:val="none"/>
              </w:rPr>
              <w:t>单位</w:t>
            </w:r>
          </w:p>
        </w:tc>
        <w:tc>
          <w:tcPr>
            <w:tcW w:w="595" w:type="pct"/>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大型</w:t>
            </w:r>
          </w:p>
        </w:tc>
        <w:tc>
          <w:tcPr>
            <w:tcW w:w="902" w:type="pct"/>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中型</w:t>
            </w:r>
          </w:p>
        </w:tc>
        <w:tc>
          <w:tcPr>
            <w:tcW w:w="755" w:type="pct"/>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小型</w:t>
            </w:r>
          </w:p>
        </w:tc>
        <w:tc>
          <w:tcPr>
            <w:tcW w:w="525" w:type="pct"/>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农、林、牧、渔业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500≤Y＜20000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50≤Y＜500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工业 *</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20≤X＜300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Y≥40000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2000≤Y＜40000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300≤Y＜2000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建筑业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Y≥80000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6000≤Y＜80000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300≤Y＜6000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资产总额(Z)</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Z≥80000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5000≤Z＜80000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300≤Z＜5000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批发业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20≤X＜200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5≤X＜20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Y≥40000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5000≤Y＜40000</w:t>
            </w:r>
          </w:p>
        </w:tc>
        <w:tc>
          <w:tcPr>
            <w:tcW w:w="755" w:type="pct"/>
            <w:noWrap w:val="0"/>
            <w:vAlign w:val="center"/>
          </w:tcPr>
          <w:p>
            <w:pPr>
              <w:widowControl/>
              <w:ind w:left="-1" w:leftChars="-1" w:hanging="1"/>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1000≤Y＜5000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零售业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50≤X＜300</w:t>
            </w:r>
          </w:p>
        </w:tc>
        <w:tc>
          <w:tcPr>
            <w:tcW w:w="755" w:type="pct"/>
            <w:noWrap w:val="0"/>
            <w:vAlign w:val="center"/>
          </w:tcPr>
          <w:p>
            <w:pPr>
              <w:widowControl/>
              <w:ind w:left="-1" w:leftChars="-1" w:hanging="1"/>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10≤X＜50 </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500≤Y＜20000</w:t>
            </w:r>
          </w:p>
        </w:tc>
        <w:tc>
          <w:tcPr>
            <w:tcW w:w="755" w:type="pct"/>
            <w:noWrap w:val="0"/>
            <w:vAlign w:val="center"/>
          </w:tcPr>
          <w:p>
            <w:pPr>
              <w:widowControl/>
              <w:ind w:left="-1" w:leftChars="-1" w:hanging="1"/>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100≤Y＜500 </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交通运输业 *</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20≤X＜300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3000≤Y＜30000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200≤Y＜3000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仓储业*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X≥200</w:t>
            </w:r>
          </w:p>
        </w:tc>
        <w:tc>
          <w:tcPr>
            <w:tcW w:w="902" w:type="pct"/>
            <w:noWrap w:val="0"/>
            <w:vAlign w:val="center"/>
          </w:tcPr>
          <w:p>
            <w:pPr>
              <w:widowControl/>
              <w:ind w:left="-32" w:leftChars="-51" w:hanging="90" w:hangingChars="6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100≤X＜200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20≤X＜100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1000≤Y＜30000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100≤Y＜1000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邮政业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20≤X＜300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2000≤Y＜30000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100≤Y＜2000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住宿业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widowControl/>
              <w:ind w:left="-32" w:leftChars="-51" w:hanging="90" w:hangingChars="6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2000≤Y＜10000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100≤Y＜2000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餐饮业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widowControl/>
              <w:ind w:left="-32" w:leftChars="-51" w:hanging="90" w:hangingChars="6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2000≤Y＜10000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100≤Y＜2000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信息传输业 *</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100≤X＜2000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1000≤Y＜100000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100≤Y＜1000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121" w:type="pct"/>
            <w:vMerge w:val="restart"/>
            <w:noWrap w:val="0"/>
            <w:vAlign w:val="center"/>
          </w:tcPr>
          <w:p>
            <w:pPr>
              <w:widowControl/>
              <w:spacing w:line="240" w:lineRule="exact"/>
              <w:jc w:val="left"/>
              <w:rPr>
                <w:rFonts w:ascii="宋体" w:hAnsi="宋体" w:cs="宋体"/>
                <w:color w:val="000000"/>
                <w:spacing w:val="-12"/>
                <w:kern w:val="0"/>
                <w:sz w:val="15"/>
                <w:szCs w:val="15"/>
                <w:highlight w:val="none"/>
              </w:rPr>
            </w:pPr>
            <w:r>
              <w:rPr>
                <w:rFonts w:hint="eastAsia" w:ascii="宋体" w:hAnsi="宋体" w:cs="宋体"/>
                <w:color w:val="000000"/>
                <w:spacing w:val="-12"/>
                <w:kern w:val="0"/>
                <w:sz w:val="15"/>
                <w:szCs w:val="15"/>
                <w:highlight w:val="none"/>
              </w:rPr>
              <w:t>软件和信息技术服</w:t>
            </w:r>
            <w:r>
              <w:rPr>
                <w:rFonts w:hint="eastAsia" w:ascii="宋体" w:hAnsi="宋体" w:cs="宋体"/>
                <w:color w:val="000000"/>
                <w:kern w:val="0"/>
                <w:sz w:val="15"/>
                <w:szCs w:val="15"/>
                <w:highlight w:val="none"/>
              </w:rPr>
              <w:t>务业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widowControl/>
              <w:ind w:left="-32" w:leftChars="-51" w:hanging="90" w:hangingChars="6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121" w:type="pct"/>
            <w:vMerge w:val="continue"/>
            <w:noWrap w:val="0"/>
            <w:vAlign w:val="center"/>
          </w:tcPr>
          <w:p>
            <w:pPr>
              <w:widowControl/>
              <w:jc w:val="left"/>
              <w:rPr>
                <w:rFonts w:ascii="宋体" w:hAnsi="宋体" w:cs="宋体"/>
                <w:color w:val="000000"/>
                <w:spacing w:val="-12"/>
                <w:kern w:val="0"/>
                <w:sz w:val="15"/>
                <w:szCs w:val="15"/>
                <w:highlight w:val="none"/>
              </w:rPr>
            </w:pP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1000≤Y＜10000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50≤Y＜1000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房地产开发经营</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1000≤Y＜200000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100≤Y＜1000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资产总额(Z)</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Z≥10000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5000≤Z＜10000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2000≤Z＜5000   </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物业管理</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Y≥5000</w:t>
            </w:r>
          </w:p>
        </w:tc>
        <w:tc>
          <w:tcPr>
            <w:tcW w:w="902" w:type="pct"/>
            <w:noWrap w:val="0"/>
            <w:vAlign w:val="center"/>
          </w:tcPr>
          <w:p>
            <w:pPr>
              <w:widowControl/>
              <w:ind w:left="-32" w:leftChars="-51" w:hanging="90" w:hangingChars="6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1000≤Y＜5000 </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500≤Y＜1000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121" w:type="pct"/>
            <w:vMerge w:val="restar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租赁和商务服务业</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widowControl/>
              <w:ind w:left="-32" w:leftChars="-51" w:hanging="90" w:hangingChars="6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121" w:type="pct"/>
            <w:vMerge w:val="continue"/>
            <w:noWrap w:val="0"/>
            <w:vAlign w:val="center"/>
          </w:tcPr>
          <w:p>
            <w:pPr>
              <w:widowControl/>
              <w:jc w:val="left"/>
              <w:rPr>
                <w:rFonts w:ascii="宋体" w:hAnsi="宋体" w:cs="宋体"/>
                <w:color w:val="000000"/>
                <w:kern w:val="0"/>
                <w:sz w:val="15"/>
                <w:szCs w:val="15"/>
                <w:highlight w:val="none"/>
              </w:rPr>
            </w:pPr>
          </w:p>
        </w:tc>
        <w:tc>
          <w:tcPr>
            <w:tcW w:w="725" w:type="pct"/>
            <w:noWrap w:val="0"/>
            <w:vAlign w:val="center"/>
          </w:tcPr>
          <w:p>
            <w:pPr>
              <w:widowControl/>
              <w:spacing w:line="240" w:lineRule="exact"/>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资产总额(Z)</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Z≥120000</w:t>
            </w:r>
          </w:p>
        </w:tc>
        <w:tc>
          <w:tcPr>
            <w:tcW w:w="902"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8000≤Z＜120000</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100≤Z＜8000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121" w:type="pct"/>
            <w:noWrap w:val="0"/>
            <w:vAlign w:val="center"/>
          </w:tcPr>
          <w:p>
            <w:pPr>
              <w:widowControl/>
              <w:spacing w:line="240" w:lineRule="exact"/>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其他未列明行业 *</w:t>
            </w:r>
          </w:p>
        </w:tc>
        <w:tc>
          <w:tcPr>
            <w:tcW w:w="7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4"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widowControl/>
              <w:ind w:left="-32" w:leftChars="-51" w:hanging="90" w:hangingChars="6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color w:val="000000"/>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sz w:val="24"/>
          <w:szCs w:val="24"/>
          <w:highlight w:val="none"/>
          <w:lang w:val="en-US" w:eastAsia="zh-CN"/>
        </w:rPr>
        <w:br w:type="page"/>
      </w:r>
    </w:p>
    <w:p>
      <w:pPr>
        <w:widowControl/>
        <w:adjustRightInd/>
        <w:snapToGrid/>
        <w:rPr>
          <w:rFonts w:hint="eastAsia" w:cs="宋体"/>
          <w:b/>
          <w:bCs/>
          <w:highlight w:val="none"/>
        </w:rPr>
      </w:pPr>
    </w:p>
    <w:p>
      <w:pPr>
        <w:widowControl/>
        <w:adjustRightInd/>
        <w:snapToGrid/>
        <w:rPr>
          <w:b/>
          <w:bCs/>
          <w:highlight w:val="none"/>
        </w:rPr>
      </w:pPr>
      <w:r>
        <w:rPr>
          <w:rFonts w:hint="eastAsia" w:cs="宋体"/>
          <w:b/>
          <w:bCs/>
          <w:highlight w:val="none"/>
        </w:rPr>
        <w:t>附件</w:t>
      </w:r>
      <w:r>
        <w:rPr>
          <w:rFonts w:hint="eastAsia" w:cs="宋体"/>
          <w:b/>
          <w:bCs/>
          <w:highlight w:val="none"/>
          <w:lang w:val="en-US" w:eastAsia="zh-CN"/>
        </w:rPr>
        <w:t>三</w:t>
      </w:r>
      <w:r>
        <w:rPr>
          <w:rFonts w:hint="eastAsia" w:cs="宋体"/>
          <w:b/>
          <w:bCs/>
          <w:highlight w:val="none"/>
        </w:rPr>
        <w:t>：</w:t>
      </w:r>
      <w:r>
        <w:rPr>
          <w:rFonts w:hint="eastAsia"/>
          <w:b/>
          <w:bCs/>
          <w:highlight w:val="none"/>
        </w:rPr>
        <w:t>《四川省财政厅关于推进四川省政府采购供应商信用融资工作的通知》(川财采〔2018〕123号文)</w:t>
      </w:r>
    </w:p>
    <w:p>
      <w:pPr>
        <w:pStyle w:val="22"/>
        <w:widowControl/>
        <w:wordWrap w:val="0"/>
        <w:adjustRightInd/>
        <w:snapToGrid/>
        <w:spacing w:beforeAutospacing="0" w:afterAutospacing="0"/>
        <w:rPr>
          <w:rFonts w:cs="宋体"/>
          <w:b/>
          <w:bCs/>
          <w:highlight w:val="none"/>
        </w:rPr>
      </w:pPr>
      <w:r>
        <w:rPr>
          <w:rFonts w:hint="eastAsia"/>
          <w:b/>
          <w:bCs/>
          <w:highlight w:val="none"/>
        </w:rPr>
        <w:t>查询链接：</w:t>
      </w:r>
      <w:r>
        <w:rPr>
          <w:rFonts w:hint="eastAsia" w:cs="宋体"/>
          <w:b/>
          <w:bCs/>
          <w:highlight w:val="none"/>
        </w:rPr>
        <w:t>http://www.ccgp-sichuan.gov.cn/view/staticpags/sjzcfg/40288687657ff75501672fd954532414.html</w:t>
      </w:r>
    </w:p>
    <w:p>
      <w:pPr>
        <w:widowControl/>
        <w:adjustRightInd/>
        <w:snapToGrid/>
        <w:rPr>
          <w:highlight w:val="none"/>
        </w:rPr>
      </w:pPr>
    </w:p>
    <w:p>
      <w:pPr>
        <w:widowControl/>
        <w:adjustRightInd/>
        <w:snapToGrid/>
        <w:spacing w:line="240" w:lineRule="auto"/>
        <w:jc w:val="center"/>
        <w:rPr>
          <w:rFonts w:cs="宋体"/>
          <w:highlight w:val="none"/>
        </w:rPr>
      </w:pPr>
      <w:r>
        <w:rPr>
          <w:rFonts w:hint="eastAsia" w:cs="宋体"/>
          <w:highlight w:val="none"/>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22"/>
        <w:widowControl/>
        <w:adjustRightInd/>
        <w:snapToGrid/>
        <w:spacing w:beforeAutospacing="0" w:afterAutospacing="0"/>
        <w:ind w:firstLine="480" w:firstLineChars="200"/>
        <w:rPr>
          <w:rFonts w:cs="宋体"/>
          <w:highlight w:val="none"/>
        </w:rPr>
      </w:pPr>
      <w:r>
        <w:rPr>
          <w:rFonts w:hint="eastAsia" w:cs="宋体"/>
          <w:highlight w:val="none"/>
        </w:rPr>
        <w:t>各市(州)、扩权县(市)财政局，各省直机关、事业单位、团体组织，各金融机构，各采购代理机构，各政府采购供应商：</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为贯彻落实党的十九大精神、国务院“放管服”改革决策部署、省委十一届三次全会“大力推进创新驱动发展战略”精神，助力解决政府采购中标、中标人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一、融资概念</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二、基本原则</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(一)财政引导，市场运行</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财政部门推进“政采贷”，银行和供应商按照自愿原则参与。供应商自愿选择是否申请“政采贷”，银行依据其内部审查制度和决策程序决定是否为供应商提供融资，自担风险。</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(二)建立机制，服务银企</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财政部门与银行建立“政采贷”工作机制，推动政府采购政策功能和金融资源的有机结合，拓宽银行的融资业务，助力解决政府采购中标、中标人资金不足、融资难、融资贵的困难，促进企业健康发展。</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(三)优质优惠，加强扶持</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三、基本条件</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(一)银行暨“政采贷”金融产品</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1、征集。</w:t>
      </w:r>
      <w:r>
        <w:rPr>
          <w:rFonts w:hint="eastAsia" w:cs="宋体"/>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申请材料应当包括银行基本情况、“政采贷”产品名称、申请贷款条件、申请贷款方式、申请贷款程序、贷款审查流程、贷款额度、发放贷款时间、收款方式及其他优质服务和优惠承诺等。</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银行提供的“政采贷”产品应当满足“无抵押担保、程序简便、利率优惠、放款及时”的基本条件以及本通知其他相关规定。</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银行申请材料中应当载明其自愿提供“政采贷”产品，自担风险，不得要求或者变相要求财政部门和采购人为其提供风险担保、承诺。</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2、公示。</w:t>
      </w:r>
      <w:r>
        <w:rPr>
          <w:rFonts w:hint="eastAsia" w:cs="宋体"/>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(二)供应商</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政府采购供应商向银行申请“政采贷”，应当满足下列基本条件：</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1、</w:t>
      </w:r>
      <w:r>
        <w:rPr>
          <w:rFonts w:hint="eastAsia" w:cs="宋体"/>
          <w:highlight w:val="none"/>
        </w:rPr>
        <w:t>具有依法承担民事责任的能力；</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2、</w:t>
      </w:r>
      <w:r>
        <w:rPr>
          <w:rFonts w:hint="eastAsia" w:cs="宋体"/>
          <w:highlight w:val="none"/>
        </w:rPr>
        <w:t>具有依法履行政府采购合同的能力；</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3、</w:t>
      </w:r>
      <w:r>
        <w:rPr>
          <w:rFonts w:hint="eastAsia" w:cs="宋体"/>
          <w:highlight w:val="none"/>
        </w:rPr>
        <w:t>参加的政府采购活动未被财政部门依法暂停、责令重新开展或者认定中标、成交无效；</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4、</w:t>
      </w:r>
      <w:r>
        <w:rPr>
          <w:rFonts w:hint="eastAsia" w:cs="宋体"/>
          <w:highlight w:val="none"/>
        </w:rPr>
        <w:t>无《政府采购法》第二十二条第一款第(五)项所称的重大违法记录；</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5、</w:t>
      </w:r>
      <w:r>
        <w:rPr>
          <w:rFonts w:hint="eastAsia" w:cs="宋体"/>
          <w:highlight w:val="none"/>
        </w:rPr>
        <w:t>未被法院、市场监管、税务、银行等部门单位纳入失信名单且在有效期内；</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6、</w:t>
      </w:r>
      <w:r>
        <w:rPr>
          <w:rFonts w:hint="eastAsia" w:cs="宋体"/>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7、</w:t>
      </w:r>
      <w:r>
        <w:rPr>
          <w:rFonts w:hint="eastAsia" w:cs="宋体"/>
          <w:highlight w:val="none"/>
        </w:rPr>
        <w:t>其他银行要求的不属于提供财产抵押或第三方担保的条件。</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四、构建平台</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四川省财政厅将在“四川政府采购网”统一构建四川省“政采贷”信息化服务平台，推进四川省“政采贷”工作信息化建设。</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五、财金互动</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六、基本流程</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(一)意向申请</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22"/>
        <w:widowControl/>
        <w:adjustRightInd/>
        <w:snapToGrid/>
        <w:spacing w:beforeAutospacing="0" w:afterAutospacing="0"/>
        <w:ind w:firstLine="482" w:firstLineChars="200"/>
        <w:rPr>
          <w:rFonts w:cs="宋体"/>
          <w:b/>
          <w:highlight w:val="none"/>
        </w:rPr>
      </w:pPr>
      <w:r>
        <w:rPr>
          <w:rFonts w:hint="eastAsia" w:cs="宋体"/>
          <w:b/>
          <w:highlight w:val="none"/>
        </w:rPr>
        <w:t>(二)正式申请</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(三)贷款审查</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(四)信息报送</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(五)资金支付</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政府采购资金支付过程中，银行需要查询采购资金支付进程有关信息的，财政部门和采购人应当支持。</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七、职责要求</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(一)</w:t>
      </w:r>
      <w:r>
        <w:rPr>
          <w:rFonts w:hint="eastAsia" w:cs="宋体"/>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(二)</w:t>
      </w:r>
      <w:r>
        <w:rPr>
          <w:rFonts w:hint="eastAsia" w:cs="宋体"/>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(三)</w:t>
      </w:r>
      <w:r>
        <w:rPr>
          <w:rFonts w:hint="eastAsia" w:cs="宋体"/>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(四)</w:t>
      </w:r>
      <w:r>
        <w:rPr>
          <w:rFonts w:hint="eastAsia" w:cs="宋体"/>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(五)</w:t>
      </w:r>
      <w:r>
        <w:rPr>
          <w:rFonts w:hint="eastAsia" w:cs="宋体"/>
          <w:highlight w:val="none"/>
        </w:rPr>
        <w:t>供应商应当依法参加政府采购活动，公平竞争，诚实守信，严格按照政府采购合同履约，严格按照借款合同偿还债务。</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(六)</w:t>
      </w:r>
      <w:r>
        <w:rPr>
          <w:rFonts w:hint="eastAsia" w:cs="宋体"/>
          <w:highlight w:val="none"/>
        </w:rPr>
        <w:t>财政部门、采购人、采购代理机构及其他有关单位和个人不得违规干预供应商选择“政采贷”银行及其产品，也不得违规干预银行向供应商进行贷款。</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(七)</w:t>
      </w:r>
      <w:r>
        <w:rPr>
          <w:rFonts w:hint="eastAsia" w:cs="宋体"/>
          <w:highlight w:val="none"/>
        </w:rPr>
        <w:t>相关单位和个人在开展“政采贷”工作过程中，发现新问题、新情况或者有意见建议的，请及时向四川省财政厅反馈。</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八、违规处理</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(一)银行违规处理</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(二)供应商违规处理</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22"/>
        <w:widowControl/>
        <w:adjustRightInd/>
        <w:snapToGrid/>
        <w:spacing w:beforeAutospacing="0" w:afterAutospacing="0"/>
        <w:ind w:firstLine="482" w:firstLineChars="200"/>
        <w:rPr>
          <w:rFonts w:cs="宋体"/>
          <w:highlight w:val="none"/>
        </w:rPr>
      </w:pPr>
      <w:r>
        <w:rPr>
          <w:rFonts w:hint="eastAsia" w:cs="宋体"/>
          <w:b/>
          <w:highlight w:val="none"/>
        </w:rPr>
        <w:t>(三)其他违规处理</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2"/>
        <w:widowControl/>
        <w:adjustRightInd/>
        <w:snapToGrid/>
        <w:spacing w:beforeAutospacing="0" w:afterAutospacing="0"/>
        <w:ind w:firstLine="480" w:firstLineChars="200"/>
        <w:rPr>
          <w:rFonts w:cs="宋体"/>
          <w:highlight w:val="none"/>
        </w:rPr>
      </w:pPr>
      <w:r>
        <w:rPr>
          <w:rFonts w:hint="eastAsia" w:cs="宋体"/>
          <w:highlight w:val="none"/>
        </w:rPr>
        <w:t> 附件：四川省“政采贷”信息统计表</w:t>
      </w:r>
    </w:p>
    <w:p>
      <w:pPr>
        <w:rPr>
          <w:rFonts w:cs="宋体"/>
          <w:highlight w:val="none"/>
        </w:rPr>
      </w:pPr>
      <w:r>
        <w:rPr>
          <w:rFonts w:hint="eastAsia" w:cs="宋体"/>
          <w:kern w:val="0"/>
          <w:highlight w:val="none"/>
        </w:rPr>
        <w:drawing>
          <wp:anchor distT="0" distB="0" distL="114300" distR="114300" simplePos="0" relativeHeight="251663360"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cs="宋体"/>
          <w:highlight w:val="none"/>
        </w:rPr>
        <w:br w:type="page"/>
      </w:r>
    </w:p>
    <w:p>
      <w:pPr>
        <w:widowControl/>
        <w:adjustRightInd/>
        <w:snapToGrid/>
        <w:rPr>
          <w:rFonts w:cs="宋体"/>
          <w:b/>
          <w:bCs/>
          <w:highlight w:val="none"/>
        </w:rPr>
      </w:pPr>
      <w:r>
        <w:rPr>
          <w:rFonts w:hint="eastAsia" w:cs="宋体"/>
          <w:b/>
          <w:bCs/>
          <w:highlight w:val="none"/>
        </w:rPr>
        <w:t>附件</w:t>
      </w:r>
      <w:r>
        <w:rPr>
          <w:rFonts w:hint="eastAsia" w:cs="宋体"/>
          <w:b/>
          <w:bCs/>
          <w:highlight w:val="none"/>
          <w:lang w:val="en-US" w:eastAsia="zh-CN"/>
        </w:rPr>
        <w:t>四</w:t>
      </w:r>
      <w:r>
        <w:rPr>
          <w:rFonts w:hint="eastAsia" w:cs="宋体"/>
          <w:b/>
          <w:bCs/>
          <w:highlight w:val="none"/>
        </w:rPr>
        <w:t>：成都市财政局  中国人民银行成都分行营业管理部关于印发《成都市中小企业政府采购信用融资暂行办法》和《成都市级支持中小企业政府采购信用融资实施方案》的通知(成财采〔2019〕17号)</w:t>
      </w:r>
    </w:p>
    <w:p>
      <w:pPr>
        <w:widowControl/>
        <w:wordWrap w:val="0"/>
        <w:adjustRightInd/>
        <w:snapToGrid/>
        <w:rPr>
          <w:rFonts w:cs="宋体"/>
          <w:b/>
          <w:bCs/>
          <w:highlight w:val="none"/>
        </w:rPr>
      </w:pPr>
      <w:r>
        <w:rPr>
          <w:rFonts w:hint="eastAsia" w:cs="宋体"/>
          <w:b/>
          <w:bCs/>
          <w:highlight w:val="none"/>
        </w:rPr>
        <w:t>查询链接：</w:t>
      </w:r>
      <w:r>
        <w:rPr>
          <w:highlight w:val="none"/>
        </w:rPr>
        <w:fldChar w:fldCharType="begin"/>
      </w:r>
      <w:r>
        <w:rPr>
          <w:highlight w:val="none"/>
        </w:rPr>
        <w:instrText xml:space="preserve"> HYPERLINK "http://cdcz.chengdu.gov.cn/cdsczj/c116726/2019-03/13/content_7d81ae9c2a1e48968c7839a9c5b88ccd.shtml" </w:instrText>
      </w:r>
      <w:r>
        <w:rPr>
          <w:highlight w:val="none"/>
        </w:rPr>
        <w:fldChar w:fldCharType="separate"/>
      </w:r>
      <w:r>
        <w:rPr>
          <w:rStyle w:val="27"/>
          <w:rFonts w:hint="eastAsia" w:cs="宋体"/>
          <w:b/>
          <w:bCs/>
          <w:highlight w:val="none"/>
        </w:rPr>
        <w:t>http://cdcz.chengdu.gov.cn/cdsczj/c116726/2019-03/13/content_7d81ae9c2a1e48968c7839a9c5b88ccd.shtml</w:t>
      </w:r>
      <w:r>
        <w:rPr>
          <w:rStyle w:val="27"/>
          <w:rFonts w:hint="eastAsia" w:cs="宋体"/>
          <w:b/>
          <w:bCs/>
          <w:highlight w:val="none"/>
        </w:rPr>
        <w:fldChar w:fldCharType="end"/>
      </w:r>
    </w:p>
    <w:p>
      <w:pPr>
        <w:widowControl/>
        <w:wordWrap w:val="0"/>
        <w:adjustRightInd/>
        <w:snapToGrid/>
        <w:rPr>
          <w:rFonts w:cs="宋体"/>
          <w:b/>
          <w:bCs/>
          <w:highlight w:val="none"/>
        </w:rPr>
      </w:pPr>
    </w:p>
    <w:tbl>
      <w:tblPr>
        <w:tblStyle w:val="23"/>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pacing w:line="240" w:lineRule="auto"/>
              <w:jc w:val="distribute"/>
              <w:rPr>
                <w:rFonts w:eastAsia="方正小标宋简体"/>
                <w:color w:val="FF0000"/>
                <w:sz w:val="66"/>
                <w:szCs w:val="66"/>
                <w:highlight w:val="none"/>
              </w:rPr>
            </w:pPr>
            <w:r>
              <w:rPr>
                <w:rFonts w:hint="eastAsia" w:eastAsia="方正小标宋简体"/>
                <w:color w:val="FF0000"/>
                <w:sz w:val="66"/>
                <w:szCs w:val="66"/>
                <w:highlight w:val="none"/>
              </w:rPr>
              <w:t>成都市财政局</w:t>
            </w:r>
          </w:p>
        </w:tc>
        <w:tc>
          <w:tcPr>
            <w:tcW w:w="1580" w:type="dxa"/>
            <w:vMerge w:val="restart"/>
            <w:vAlign w:val="center"/>
          </w:tcPr>
          <w:p>
            <w:pPr>
              <w:spacing w:line="240" w:lineRule="auto"/>
              <w:jc w:val="center"/>
              <w:rPr>
                <w:rFonts w:eastAsia="方正小标宋简体"/>
                <w:color w:val="FF0000"/>
                <w:sz w:val="66"/>
                <w:szCs w:val="66"/>
                <w:highlight w:val="none"/>
              </w:rPr>
            </w:pPr>
            <w:r>
              <w:rPr>
                <w:rFonts w:hint="eastAsia" w:eastAsia="方正小标宋简体"/>
                <w:color w:val="FF0000"/>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pacing w:line="240" w:lineRule="auto"/>
              <w:jc w:val="distribute"/>
              <w:rPr>
                <w:rFonts w:eastAsia="方正小标宋简体"/>
                <w:color w:val="FF0000"/>
                <w:spacing w:val="-20"/>
                <w:w w:val="82"/>
                <w:sz w:val="62"/>
                <w:szCs w:val="62"/>
                <w:highlight w:val="none"/>
              </w:rPr>
            </w:pPr>
            <w:r>
              <w:rPr>
                <w:rFonts w:hint="eastAsia" w:eastAsia="方正小标宋简体"/>
                <w:color w:val="FF0000"/>
                <w:spacing w:val="-20"/>
                <w:w w:val="82"/>
                <w:sz w:val="62"/>
                <w:szCs w:val="62"/>
                <w:highlight w:val="none"/>
              </w:rPr>
              <w:t>中国人民银行成都分行营业管理部</w:t>
            </w:r>
          </w:p>
        </w:tc>
        <w:tc>
          <w:tcPr>
            <w:tcW w:w="1580" w:type="dxa"/>
            <w:vMerge w:val="continue"/>
            <w:vAlign w:val="center"/>
          </w:tcPr>
          <w:p>
            <w:pPr>
              <w:spacing w:line="240" w:lineRule="auto"/>
              <w:jc w:val="center"/>
              <w:rPr>
                <w:rFonts w:eastAsia="方正小标宋简体"/>
                <w:color w:val="FF0000"/>
                <w:sz w:val="66"/>
                <w:szCs w:val="66"/>
                <w:highlight w:val="none"/>
              </w:rPr>
            </w:pPr>
          </w:p>
        </w:tc>
      </w:tr>
    </w:tbl>
    <w:p>
      <w:pPr>
        <w:jc w:val="center"/>
        <w:rPr>
          <w:rFonts w:eastAsia="方正仿宋_GBK"/>
          <w:highlight w:val="none"/>
        </w:rPr>
      </w:pPr>
    </w:p>
    <w:p>
      <w:pPr>
        <w:jc w:val="center"/>
        <w:rPr>
          <w:rFonts w:eastAsia="方正仿宋_GBK"/>
          <w:color w:val="000000"/>
          <w:highlight w:val="none"/>
        </w:rPr>
      </w:pPr>
      <w:r>
        <w:rPr>
          <w:rFonts w:eastAsia="方正仿宋_GBK"/>
          <w:color w:val="FF0000"/>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25pt;height:0pt;width:442.4pt;z-index:251664384;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uPvWAAAABgEAAA8AAAAAAAAAAQAgAAAAIgAAAGRycy9kb3ducmV2LnhtbFBLAQIUABQAAAAI&#10;AIdO4kBhC1wm7wEAANkDAAAOAAAAAAAAAAEAIAAAACUBAABkcnMvZTJvRG9jLnhtbFBLBQYAAAAA&#10;BgAGAFkBAACGBQAAAAA=&#10;">
                <v:fill on="f" focussize="0,0"/>
                <v:stroke weight="1.5pt" color="#FF0000" joinstyle="round"/>
                <v:imagedata o:title=""/>
                <o:lock v:ext="edit" aspectratio="f"/>
              </v:line>
            </w:pict>
          </mc:Fallback>
        </mc:AlternateContent>
      </w:r>
      <w:r>
        <w:rPr>
          <w:rFonts w:eastAsia="方正仿宋_GBK"/>
          <w:highlight w:val="none"/>
        </w:rPr>
        <w:t>成财</w:t>
      </w:r>
      <w:r>
        <w:rPr>
          <w:rFonts w:hint="eastAsia" w:eastAsia="方正仿宋_GBK"/>
          <w:highlight w:val="none"/>
        </w:rPr>
        <w:t>采</w:t>
      </w:r>
      <w:r>
        <w:rPr>
          <w:rFonts w:eastAsia="方正仿宋_GBK"/>
          <w:highlight w:val="none"/>
        </w:rPr>
        <w:t>〔201</w:t>
      </w:r>
      <w:r>
        <w:rPr>
          <w:rFonts w:hint="eastAsia" w:eastAsia="方正仿宋_GBK"/>
          <w:highlight w:val="none"/>
        </w:rPr>
        <w:t>9</w:t>
      </w:r>
      <w:r>
        <w:rPr>
          <w:rFonts w:eastAsia="方正仿宋_GBK"/>
          <w:highlight w:val="none"/>
        </w:rPr>
        <w:t>〕</w:t>
      </w:r>
      <w:r>
        <w:rPr>
          <w:rFonts w:hint="eastAsia" w:eastAsia="方正仿宋_GBK"/>
          <w:highlight w:val="none"/>
        </w:rPr>
        <w:t>17</w:t>
      </w:r>
      <w:r>
        <w:rPr>
          <w:rFonts w:eastAsia="方正仿宋_GBK"/>
          <w:highlight w:val="none"/>
        </w:rPr>
        <w:t>号</w:t>
      </w:r>
    </w:p>
    <w:p>
      <w:pPr>
        <w:topLinePunct/>
        <w:jc w:val="center"/>
        <w:rPr>
          <w:rFonts w:ascii="方正小标宋_GBK" w:hAnsi="方正小标宋_GBK" w:eastAsia="方正小标宋_GBK"/>
          <w:highlight w:val="none"/>
        </w:rPr>
      </w:pPr>
    </w:p>
    <w:p>
      <w:pPr>
        <w:topLinePunct/>
        <w:jc w:val="center"/>
        <w:rPr>
          <w:rFonts w:ascii="方正小标宋_GBK" w:hAnsi="方正小标宋_GBK" w:eastAsia="方正小标宋_GBK"/>
          <w:spacing w:val="-18"/>
          <w:sz w:val="44"/>
          <w:szCs w:val="44"/>
          <w:highlight w:val="none"/>
        </w:rPr>
      </w:pPr>
      <w:r>
        <w:rPr>
          <w:rFonts w:hint="eastAsia" w:ascii="方正小标宋_GBK" w:hAnsi="方正小标宋_GBK" w:eastAsia="方正小标宋_GBK"/>
          <w:spacing w:val="-18"/>
          <w:sz w:val="44"/>
          <w:szCs w:val="44"/>
          <w:highlight w:val="none"/>
        </w:rPr>
        <w:t>成都市财政局  中国人民银行成都分行营业管理部</w:t>
      </w:r>
    </w:p>
    <w:p>
      <w:pPr>
        <w:topLinePunct/>
        <w:jc w:val="center"/>
        <w:rPr>
          <w:rFonts w:ascii="方正小标宋_GBK" w:hAnsi="方正小标宋_GBK" w:eastAsia="方正小标宋_GBK"/>
          <w:sz w:val="44"/>
          <w:szCs w:val="44"/>
          <w:highlight w:val="none"/>
        </w:rPr>
      </w:pPr>
      <w:r>
        <w:rPr>
          <w:rFonts w:hint="eastAsia" w:ascii="方正小标宋_GBK" w:hAnsi="方正小标宋_GBK" w:eastAsia="方正小标宋_GBK"/>
          <w:sz w:val="44"/>
          <w:szCs w:val="44"/>
          <w:highlight w:val="none"/>
        </w:rPr>
        <w:t>关于印发《成都市中小企业政府采购信用融资</w:t>
      </w:r>
    </w:p>
    <w:p>
      <w:pPr>
        <w:topLinePunct/>
        <w:jc w:val="center"/>
        <w:rPr>
          <w:rFonts w:ascii="方正小标宋_GBK" w:hAnsi="方正小标宋_GBK" w:eastAsia="方正小标宋_GBK"/>
          <w:sz w:val="44"/>
          <w:szCs w:val="44"/>
          <w:highlight w:val="none"/>
        </w:rPr>
      </w:pPr>
      <w:r>
        <w:rPr>
          <w:rFonts w:hint="eastAsia" w:ascii="方正小标宋_GBK" w:hAnsi="方正小标宋_GBK" w:eastAsia="方正小标宋_GBK"/>
          <w:sz w:val="44"/>
          <w:szCs w:val="44"/>
          <w:highlight w:val="none"/>
        </w:rPr>
        <w:t>暂行办法》和《成都市级支持中小企业</w:t>
      </w:r>
    </w:p>
    <w:p>
      <w:pPr>
        <w:topLinePunct/>
        <w:jc w:val="center"/>
        <w:rPr>
          <w:rFonts w:ascii="方正小标宋_GBK" w:hAnsi="方正小标宋_GBK" w:eastAsia="方正小标宋_GBK"/>
          <w:sz w:val="44"/>
          <w:szCs w:val="44"/>
          <w:highlight w:val="none"/>
        </w:rPr>
      </w:pPr>
      <w:r>
        <w:rPr>
          <w:rFonts w:hint="eastAsia" w:ascii="方正小标宋_GBK" w:hAnsi="方正小标宋_GBK" w:eastAsia="方正小标宋_GBK"/>
          <w:sz w:val="44"/>
          <w:szCs w:val="44"/>
          <w:highlight w:val="none"/>
        </w:rPr>
        <w:t>政府采购信用融资实施方案》的通知</w:t>
      </w:r>
    </w:p>
    <w:p>
      <w:pPr>
        <w:jc w:val="center"/>
        <w:rPr>
          <w:rFonts w:eastAsia="方正仿宋_GBK"/>
          <w:highlight w:val="none"/>
        </w:rPr>
      </w:pPr>
    </w:p>
    <w:p>
      <w:pPr>
        <w:widowControl/>
        <w:adjustRightInd/>
        <w:snapToGrid/>
        <w:ind w:firstLine="480" w:firstLineChars="200"/>
        <w:rPr>
          <w:rFonts w:cs="宋体"/>
          <w:highlight w:val="none"/>
        </w:rPr>
      </w:pPr>
      <w:r>
        <w:rPr>
          <w:rFonts w:hint="eastAsia" w:cs="宋体"/>
          <w:highlight w:val="none"/>
        </w:rPr>
        <w:t>成都天府新区、高新区财政金融局，各区(市)县财政局，市级各部门、单位，各银行业金融机构：</w:t>
      </w:r>
    </w:p>
    <w:p>
      <w:pPr>
        <w:widowControl/>
        <w:adjustRightInd/>
        <w:snapToGrid/>
        <w:ind w:firstLine="480" w:firstLineChars="200"/>
        <w:rPr>
          <w:rFonts w:cs="宋体"/>
          <w:highlight w:val="none"/>
        </w:rPr>
      </w:pPr>
      <w:r>
        <w:rPr>
          <w:rFonts w:hint="eastAsia" w:cs="宋体"/>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rPr>
          <w:rFonts w:cs="宋体"/>
          <w:highlight w:val="none"/>
        </w:rPr>
      </w:pPr>
      <w:r>
        <w:rPr>
          <w:rFonts w:hint="eastAsia" w:cs="宋体"/>
          <w:highlight w:val="none"/>
        </w:rPr>
        <w:t>一、高度重视、迅速行动</w:t>
      </w:r>
    </w:p>
    <w:p>
      <w:pPr>
        <w:widowControl/>
        <w:adjustRightInd/>
        <w:snapToGrid/>
        <w:ind w:firstLine="480" w:firstLineChars="200"/>
        <w:rPr>
          <w:rFonts w:cs="宋体"/>
          <w:highlight w:val="none"/>
        </w:rPr>
      </w:pPr>
      <w:r>
        <w:rPr>
          <w:rFonts w:hint="eastAsia" w:cs="宋体"/>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rPr>
          <w:rFonts w:cs="宋体"/>
          <w:highlight w:val="none"/>
        </w:rPr>
      </w:pPr>
      <w:r>
        <w:rPr>
          <w:rFonts w:hint="eastAsia" w:cs="宋体"/>
          <w:highlight w:val="none"/>
        </w:rPr>
        <w:t>二、明确责任、压茬推进</w:t>
      </w:r>
    </w:p>
    <w:p>
      <w:pPr>
        <w:widowControl/>
        <w:adjustRightInd/>
        <w:snapToGrid/>
        <w:ind w:firstLine="480" w:firstLineChars="200"/>
        <w:rPr>
          <w:rFonts w:cs="宋体"/>
          <w:highlight w:val="none"/>
        </w:rPr>
      </w:pPr>
      <w:r>
        <w:rPr>
          <w:rFonts w:hint="eastAsia" w:cs="宋体"/>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rPr>
          <w:rFonts w:cs="宋体"/>
          <w:highlight w:val="none"/>
        </w:rPr>
      </w:pPr>
      <w:r>
        <w:rPr>
          <w:rFonts w:hint="eastAsia" w:cs="宋体"/>
          <w:highlight w:val="none"/>
        </w:rPr>
        <w:t>三、优化服务、营造氛围</w:t>
      </w:r>
    </w:p>
    <w:p>
      <w:pPr>
        <w:widowControl/>
        <w:adjustRightInd/>
        <w:snapToGrid/>
        <w:ind w:firstLine="480" w:firstLineChars="200"/>
        <w:rPr>
          <w:rFonts w:cs="宋体"/>
          <w:highlight w:val="none"/>
        </w:rPr>
      </w:pPr>
      <w:r>
        <w:rPr>
          <w:rFonts w:hint="eastAsia" w:cs="宋体"/>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highlight w:val="none"/>
        </w:rPr>
      </w:pPr>
    </w:p>
    <w:p>
      <w:pPr>
        <w:widowControl/>
        <w:adjustRightInd/>
        <w:snapToGrid/>
        <w:ind w:firstLine="480" w:firstLineChars="200"/>
        <w:rPr>
          <w:rFonts w:cs="宋体"/>
          <w:highlight w:val="none"/>
        </w:rPr>
      </w:pPr>
      <w:r>
        <w:rPr>
          <w:rFonts w:hint="eastAsia" w:cs="宋体"/>
          <w:highlight w:val="none"/>
        </w:rPr>
        <w:t xml:space="preserve">附件：1．成都市中小企业政府采购信用融资暂行办法 </w:t>
      </w:r>
    </w:p>
    <w:p>
      <w:pPr>
        <w:widowControl/>
        <w:adjustRightInd/>
        <w:snapToGrid/>
        <w:ind w:firstLine="480" w:firstLineChars="200"/>
        <w:rPr>
          <w:rFonts w:cs="宋体"/>
          <w:highlight w:val="none"/>
        </w:rPr>
      </w:pPr>
      <w:r>
        <w:rPr>
          <w:rFonts w:hint="eastAsia" w:cs="宋体"/>
          <w:highlight w:val="none"/>
        </w:rPr>
        <w:t>2．成都市级支持中小企业政府采购信用融资实施方案</w:t>
      </w:r>
    </w:p>
    <w:p>
      <w:pPr>
        <w:pStyle w:val="15"/>
        <w:widowControl/>
        <w:topLinePunct/>
        <w:adjustRightInd/>
        <w:snapToGrid/>
        <w:ind w:firstLine="480" w:firstLineChars="200"/>
        <w:rPr>
          <w:rFonts w:ascii="宋体" w:eastAsia="宋体" w:cs="宋体"/>
          <w:sz w:val="24"/>
          <w:highlight w:val="none"/>
        </w:rPr>
      </w:pPr>
    </w:p>
    <w:p>
      <w:pPr>
        <w:pStyle w:val="15"/>
        <w:widowControl/>
        <w:topLinePunct/>
        <w:adjustRightInd/>
        <w:snapToGrid/>
        <w:ind w:firstLine="480" w:firstLineChars="200"/>
        <w:rPr>
          <w:rFonts w:ascii="宋体" w:eastAsia="宋体" w:cs="宋体"/>
          <w:sz w:val="24"/>
          <w:highlight w:val="none"/>
        </w:rPr>
      </w:pPr>
    </w:p>
    <w:p>
      <w:pPr>
        <w:pStyle w:val="15"/>
        <w:widowControl/>
        <w:topLinePunct/>
        <w:adjustRightInd/>
        <w:snapToGrid/>
        <w:ind w:firstLine="480" w:firstLineChars="200"/>
        <w:rPr>
          <w:rFonts w:ascii="宋体" w:eastAsia="宋体" w:cs="宋体"/>
          <w:sz w:val="24"/>
          <w:highlight w:val="none"/>
        </w:rPr>
      </w:pPr>
    </w:p>
    <w:p>
      <w:pPr>
        <w:widowControl/>
        <w:tabs>
          <w:tab w:val="left" w:pos="7584"/>
          <w:tab w:val="clear" w:pos="0"/>
        </w:tabs>
        <w:topLinePunct/>
        <w:adjustRightInd/>
        <w:snapToGrid/>
        <w:ind w:firstLine="480" w:firstLineChars="200"/>
        <w:jc w:val="right"/>
        <w:rPr>
          <w:rFonts w:cs="宋体"/>
          <w:highlight w:val="none"/>
        </w:rPr>
      </w:pPr>
      <w:r>
        <w:rPr>
          <w:rFonts w:hint="eastAsia" w:cs="宋体"/>
          <w:highlight w:val="none"/>
        </w:rPr>
        <w:t>成都市财政局         中国人民银行成都分行营业管理部</w:t>
      </w:r>
    </w:p>
    <w:p>
      <w:pPr>
        <w:widowControl/>
        <w:tabs>
          <w:tab w:val="left" w:pos="7584"/>
          <w:tab w:val="clear" w:pos="0"/>
        </w:tabs>
        <w:topLinePunct/>
        <w:adjustRightInd/>
        <w:snapToGrid/>
        <w:ind w:firstLine="480" w:firstLineChars="200"/>
        <w:jc w:val="right"/>
        <w:rPr>
          <w:rFonts w:cs="宋体"/>
          <w:highlight w:val="none"/>
        </w:rPr>
      </w:pPr>
      <w:r>
        <w:rPr>
          <w:rFonts w:hint="eastAsia" w:cs="宋体"/>
          <w:highlight w:val="none"/>
        </w:rPr>
        <w:t>2019年2月26日</w:t>
      </w:r>
    </w:p>
    <w:p>
      <w:pPr>
        <w:rPr>
          <w:rFonts w:cs="宋体"/>
          <w:highlight w:val="none"/>
        </w:rPr>
      </w:pPr>
      <w:r>
        <w:rPr>
          <w:rFonts w:hint="eastAsia" w:cs="宋体"/>
          <w:highlight w:val="none"/>
        </w:rPr>
        <w:br w:type="page"/>
      </w:r>
    </w:p>
    <w:p>
      <w:pPr>
        <w:topLinePunct/>
        <w:adjustRightInd/>
        <w:rPr>
          <w:rFonts w:cs="宋体"/>
          <w:highlight w:val="none"/>
        </w:rPr>
      </w:pPr>
      <w:r>
        <w:rPr>
          <w:rFonts w:hint="eastAsia" w:cs="宋体"/>
          <w:highlight w:val="none"/>
        </w:rPr>
        <w:t>附件1</w:t>
      </w:r>
    </w:p>
    <w:p>
      <w:pPr>
        <w:topLinePunct/>
        <w:adjustRightInd/>
        <w:rPr>
          <w:rFonts w:cs="宋体"/>
          <w:highlight w:val="none"/>
        </w:rPr>
      </w:pPr>
    </w:p>
    <w:p>
      <w:pPr>
        <w:topLinePunct/>
        <w:adjustRightInd/>
        <w:jc w:val="center"/>
        <w:rPr>
          <w:rFonts w:cs="宋体"/>
          <w:highlight w:val="none"/>
        </w:rPr>
      </w:pPr>
      <w:r>
        <w:rPr>
          <w:rFonts w:hint="eastAsia" w:cs="宋体"/>
          <w:highlight w:val="none"/>
        </w:rPr>
        <w:t>成都市中小企业</w:t>
      </w:r>
      <w:r>
        <w:rPr>
          <w:rFonts w:hint="eastAsia" w:cs="宋体"/>
          <w:color w:val="000000"/>
          <w:highlight w:val="none"/>
        </w:rPr>
        <w:t>政府采购信用融资暂行</w:t>
      </w:r>
      <w:r>
        <w:rPr>
          <w:rFonts w:hint="eastAsia" w:cs="宋体"/>
          <w:highlight w:val="none"/>
        </w:rPr>
        <w:t>办法</w:t>
      </w:r>
    </w:p>
    <w:p>
      <w:pPr>
        <w:topLinePunct/>
        <w:adjustRightInd/>
        <w:jc w:val="center"/>
        <w:rPr>
          <w:rFonts w:cs="宋体"/>
          <w:highlight w:val="none"/>
        </w:rPr>
      </w:pPr>
      <w:r>
        <w:rPr>
          <w:rFonts w:hint="eastAsia" w:cs="宋体"/>
          <w:highlight w:val="none"/>
        </w:rPr>
        <w:t>第一章  总  则</w:t>
      </w:r>
    </w:p>
    <w:p>
      <w:pPr>
        <w:topLinePunct/>
        <w:adjustRightInd/>
        <w:ind w:firstLine="480" w:firstLineChars="200"/>
        <w:rPr>
          <w:rFonts w:cs="宋体"/>
          <w:highlight w:val="none"/>
        </w:rPr>
      </w:pPr>
      <w:r>
        <w:rPr>
          <w:rFonts w:hint="eastAsia" w:cs="宋体"/>
          <w:highlight w:val="none"/>
        </w:rPr>
        <w:t>第一条(政策依据)</w:t>
      </w:r>
    </w:p>
    <w:p>
      <w:pPr>
        <w:topLinePunct/>
        <w:adjustRightInd/>
        <w:ind w:firstLine="480" w:firstLineChars="200"/>
        <w:rPr>
          <w:rFonts w:cs="宋体"/>
          <w:highlight w:val="none"/>
        </w:rPr>
      </w:pPr>
      <w:r>
        <w:rPr>
          <w:rFonts w:hint="eastAsia" w:cs="宋体"/>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highlight w:val="none"/>
        </w:rPr>
      </w:pPr>
      <w:r>
        <w:rPr>
          <w:rFonts w:hint="eastAsia" w:cs="宋体"/>
          <w:highlight w:val="none"/>
        </w:rPr>
        <w:t>第二条(适用范围)</w:t>
      </w:r>
    </w:p>
    <w:p>
      <w:pPr>
        <w:topLinePunct/>
        <w:adjustRightInd/>
        <w:ind w:firstLine="480" w:firstLineChars="200"/>
        <w:rPr>
          <w:rFonts w:cs="宋体"/>
          <w:highlight w:val="none"/>
        </w:rPr>
      </w:pPr>
      <w:r>
        <w:rPr>
          <w:rFonts w:hint="eastAsia" w:cs="宋体"/>
          <w:highlight w:val="none"/>
        </w:rPr>
        <w:t>成都市行政区域内政府采购信用融资适用本办法。</w:t>
      </w:r>
    </w:p>
    <w:p>
      <w:pPr>
        <w:topLinePunct/>
        <w:adjustRightInd/>
        <w:ind w:firstLine="480" w:firstLineChars="200"/>
        <w:rPr>
          <w:rFonts w:cs="宋体"/>
          <w:highlight w:val="none"/>
        </w:rPr>
      </w:pPr>
      <w:r>
        <w:rPr>
          <w:rFonts w:hint="eastAsia" w:cs="宋体"/>
          <w:highlight w:val="none"/>
        </w:rPr>
        <w:t>第三条(术语定义)</w:t>
      </w:r>
    </w:p>
    <w:p>
      <w:pPr>
        <w:topLinePunct/>
        <w:adjustRightInd/>
        <w:ind w:firstLine="480" w:firstLineChars="200"/>
        <w:rPr>
          <w:rFonts w:cs="宋体"/>
          <w:highlight w:val="none"/>
        </w:rPr>
      </w:pPr>
      <w:r>
        <w:rPr>
          <w:rFonts w:hint="eastAsia" w:cs="宋体"/>
          <w:highlight w:val="none"/>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highlight w:val="none"/>
        </w:rPr>
      </w:pPr>
      <w:r>
        <w:rPr>
          <w:rFonts w:hint="eastAsia" w:cs="宋体"/>
          <w:highlight w:val="none"/>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highlight w:val="none"/>
        </w:rPr>
      </w:pPr>
      <w:r>
        <w:rPr>
          <w:rFonts w:hint="eastAsia" w:cs="宋体"/>
          <w:highlight w:val="none"/>
        </w:rPr>
        <w:t>本办法所称中小企业，包括中型、小型及微型企业，其划型标准按照国家相关规定执行。</w:t>
      </w:r>
    </w:p>
    <w:p>
      <w:pPr>
        <w:topLinePunct/>
        <w:adjustRightInd/>
        <w:ind w:firstLine="480" w:firstLineChars="200"/>
        <w:rPr>
          <w:rFonts w:cs="宋体"/>
          <w:highlight w:val="none"/>
        </w:rPr>
      </w:pPr>
      <w:r>
        <w:rPr>
          <w:rFonts w:hint="eastAsia" w:cs="宋体"/>
          <w:highlight w:val="none"/>
        </w:rPr>
        <w:t>第四条(基本原则)</w:t>
      </w:r>
    </w:p>
    <w:p>
      <w:pPr>
        <w:topLinePunct/>
        <w:adjustRightInd/>
        <w:ind w:firstLine="480" w:firstLineChars="200"/>
        <w:rPr>
          <w:rFonts w:cs="宋体"/>
          <w:highlight w:val="none"/>
        </w:rPr>
      </w:pPr>
      <w:r>
        <w:rPr>
          <w:rFonts w:hint="eastAsia" w:cs="宋体"/>
          <w:highlight w:val="none"/>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highlight w:val="none"/>
        </w:rPr>
      </w:pPr>
      <w:r>
        <w:rPr>
          <w:rFonts w:hint="eastAsia" w:cs="宋体"/>
          <w:highlight w:val="none"/>
        </w:rPr>
        <w:t>第二章  融资优惠</w:t>
      </w:r>
    </w:p>
    <w:p>
      <w:pPr>
        <w:topLinePunct/>
        <w:adjustRightInd/>
        <w:ind w:firstLine="480" w:firstLineChars="200"/>
        <w:rPr>
          <w:rFonts w:cs="宋体"/>
          <w:highlight w:val="none"/>
        </w:rPr>
      </w:pPr>
      <w:r>
        <w:rPr>
          <w:rFonts w:hint="eastAsia" w:cs="宋体"/>
          <w:highlight w:val="none"/>
        </w:rPr>
        <w:t>第五条(融资方式)</w:t>
      </w:r>
    </w:p>
    <w:p>
      <w:pPr>
        <w:topLinePunct/>
        <w:adjustRightInd/>
        <w:ind w:firstLine="480" w:firstLineChars="200"/>
        <w:rPr>
          <w:rFonts w:cs="宋体"/>
          <w:highlight w:val="none"/>
        </w:rPr>
      </w:pPr>
      <w:r>
        <w:rPr>
          <w:rFonts w:hint="eastAsia" w:cs="宋体"/>
          <w:highlight w:val="none"/>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highlight w:val="none"/>
        </w:rPr>
      </w:pPr>
      <w:r>
        <w:rPr>
          <w:rFonts w:hint="eastAsia" w:cs="宋体"/>
          <w:highlight w:val="none"/>
        </w:rPr>
        <w:t>第六条(融资额度)</w:t>
      </w:r>
    </w:p>
    <w:p>
      <w:pPr>
        <w:topLinePunct/>
        <w:adjustRightInd/>
        <w:ind w:firstLine="480" w:firstLineChars="200"/>
        <w:rPr>
          <w:rFonts w:cs="宋体"/>
          <w:highlight w:val="none"/>
        </w:rPr>
      </w:pPr>
      <w:r>
        <w:rPr>
          <w:rFonts w:hint="eastAsia" w:cs="宋体"/>
          <w:highlight w:val="none"/>
        </w:rPr>
        <w:t>融资额度原则上不超过政府采购合同金额。</w:t>
      </w:r>
    </w:p>
    <w:p>
      <w:pPr>
        <w:topLinePunct/>
        <w:adjustRightInd/>
        <w:ind w:firstLine="480" w:firstLineChars="200"/>
        <w:rPr>
          <w:rFonts w:cs="宋体"/>
          <w:highlight w:val="none"/>
        </w:rPr>
      </w:pPr>
      <w:r>
        <w:rPr>
          <w:rFonts w:hint="eastAsia" w:cs="宋体"/>
          <w:highlight w:val="none"/>
        </w:rPr>
        <w:t>第七条(融资利率)</w:t>
      </w:r>
    </w:p>
    <w:p>
      <w:pPr>
        <w:topLinePunct/>
        <w:adjustRightInd/>
        <w:ind w:firstLine="480" w:firstLineChars="200"/>
        <w:rPr>
          <w:rFonts w:cs="宋体"/>
          <w:highlight w:val="none"/>
        </w:rPr>
      </w:pPr>
      <w:r>
        <w:rPr>
          <w:rFonts w:hint="eastAsia" w:cs="宋体"/>
          <w:highlight w:val="none"/>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highlight w:val="none"/>
        </w:rPr>
      </w:pPr>
      <w:r>
        <w:rPr>
          <w:rFonts w:hint="eastAsia" w:cs="宋体"/>
          <w:highlight w:val="none"/>
        </w:rPr>
        <w:t>第八条(融资期限)</w:t>
      </w:r>
    </w:p>
    <w:p>
      <w:pPr>
        <w:topLinePunct/>
        <w:adjustRightInd/>
        <w:ind w:firstLine="480" w:firstLineChars="200"/>
        <w:rPr>
          <w:rFonts w:cs="宋体"/>
          <w:highlight w:val="none"/>
        </w:rPr>
      </w:pPr>
      <w:r>
        <w:rPr>
          <w:rFonts w:hint="eastAsia" w:cs="宋体"/>
          <w:highlight w:val="none"/>
        </w:rPr>
        <w:t>融资期限原则上与政府采购合同</w:t>
      </w:r>
      <w:r>
        <w:rPr>
          <w:rFonts w:hint="eastAsia" w:cs="宋体"/>
          <w:highlight w:val="none"/>
          <w:lang w:eastAsia="zh-CN"/>
        </w:rPr>
        <w:t>服务期限</w:t>
      </w:r>
      <w:r>
        <w:rPr>
          <w:rFonts w:hint="eastAsia" w:cs="宋体"/>
          <w:highlight w:val="none"/>
        </w:rPr>
        <w:t>一致。</w:t>
      </w:r>
    </w:p>
    <w:p>
      <w:pPr>
        <w:topLinePunct/>
        <w:adjustRightInd/>
        <w:ind w:firstLine="480" w:firstLineChars="200"/>
        <w:rPr>
          <w:rFonts w:cs="宋体"/>
          <w:highlight w:val="none"/>
        </w:rPr>
      </w:pPr>
      <w:r>
        <w:rPr>
          <w:rFonts w:hint="eastAsia" w:cs="宋体"/>
          <w:highlight w:val="none"/>
        </w:rPr>
        <w:t>第九条(融资效率)</w:t>
      </w:r>
    </w:p>
    <w:p>
      <w:pPr>
        <w:topLinePunct/>
        <w:adjustRightInd/>
        <w:ind w:firstLine="480" w:firstLineChars="200"/>
        <w:rPr>
          <w:rFonts w:cs="宋体"/>
          <w:highlight w:val="none"/>
        </w:rPr>
      </w:pPr>
      <w:r>
        <w:rPr>
          <w:rFonts w:hint="eastAsia" w:cs="宋体"/>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highlight w:val="none"/>
        </w:rPr>
      </w:pPr>
      <w:r>
        <w:rPr>
          <w:rFonts w:hint="eastAsia" w:cs="宋体"/>
          <w:highlight w:val="none"/>
        </w:rPr>
        <w:t>第十条(融资业务升级)</w:t>
      </w:r>
    </w:p>
    <w:p>
      <w:pPr>
        <w:topLinePunct/>
        <w:adjustRightInd/>
        <w:ind w:firstLine="480" w:firstLineChars="200"/>
        <w:rPr>
          <w:rFonts w:cs="宋体"/>
          <w:highlight w:val="none"/>
        </w:rPr>
      </w:pPr>
      <w:r>
        <w:rPr>
          <w:rFonts w:hint="eastAsia" w:cs="宋体"/>
          <w:highlight w:val="none"/>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highlight w:val="none"/>
        </w:rPr>
      </w:pPr>
      <w:r>
        <w:rPr>
          <w:rFonts w:hint="eastAsia" w:cs="宋体"/>
          <w:highlight w:val="none"/>
        </w:rPr>
        <w:t>第十一条(贷款风险补贴)</w:t>
      </w:r>
    </w:p>
    <w:p>
      <w:pPr>
        <w:topLinePunct/>
        <w:adjustRightInd/>
        <w:ind w:firstLine="480" w:firstLineChars="200"/>
        <w:rPr>
          <w:rFonts w:cs="宋体"/>
          <w:highlight w:val="none"/>
        </w:rPr>
      </w:pPr>
      <w:r>
        <w:rPr>
          <w:rFonts w:hint="eastAsia" w:cs="宋体"/>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highlight w:val="none"/>
        </w:rPr>
      </w:pPr>
      <w:r>
        <w:rPr>
          <w:rFonts w:hint="eastAsia" w:cs="宋体"/>
          <w:highlight w:val="none"/>
        </w:rPr>
        <w:t>第三章  融资流程</w:t>
      </w:r>
    </w:p>
    <w:p>
      <w:pPr>
        <w:topLinePunct/>
        <w:adjustRightInd/>
        <w:ind w:firstLine="480" w:firstLineChars="200"/>
        <w:rPr>
          <w:rFonts w:cs="宋体"/>
          <w:highlight w:val="none"/>
        </w:rPr>
      </w:pPr>
      <w:r>
        <w:rPr>
          <w:rFonts w:hint="eastAsia" w:cs="宋体"/>
          <w:highlight w:val="none"/>
        </w:rPr>
        <w:t>第十二条(融资流程)</w:t>
      </w:r>
    </w:p>
    <w:p>
      <w:pPr>
        <w:topLinePunct/>
        <w:adjustRightInd/>
        <w:ind w:firstLine="480" w:firstLineChars="200"/>
        <w:rPr>
          <w:rFonts w:cs="宋体"/>
          <w:highlight w:val="none"/>
        </w:rPr>
      </w:pPr>
      <w:r>
        <w:rPr>
          <w:rFonts w:hint="eastAsia" w:cs="宋体"/>
          <w:highlight w:val="none"/>
        </w:rPr>
        <w:t>(一)信息发布。采购人应当在发布的采购公告和采购文件中载明采购项目可提供信用融资的信息。</w:t>
      </w:r>
    </w:p>
    <w:p>
      <w:pPr>
        <w:topLinePunct/>
        <w:adjustRightInd/>
        <w:ind w:firstLine="480" w:firstLineChars="200"/>
        <w:rPr>
          <w:rFonts w:cs="宋体"/>
          <w:highlight w:val="none"/>
        </w:rPr>
      </w:pPr>
      <w:r>
        <w:rPr>
          <w:rFonts w:hint="eastAsia" w:cs="宋体"/>
          <w:highlight w:val="none"/>
        </w:rPr>
        <w:t>(二)融资申请。有融资需求的供应商自主选择提供政府采购信用融资服务的融资机构及产品，并按要求提供申请资料。</w:t>
      </w:r>
    </w:p>
    <w:p>
      <w:pPr>
        <w:topLinePunct/>
        <w:adjustRightInd/>
        <w:ind w:firstLine="480" w:firstLineChars="200"/>
        <w:rPr>
          <w:rFonts w:cs="宋体"/>
          <w:highlight w:val="none"/>
        </w:rPr>
      </w:pPr>
      <w:r>
        <w:rPr>
          <w:rFonts w:hint="eastAsia" w:cs="宋体"/>
          <w:highlight w:val="none"/>
        </w:rPr>
        <w:t>(三)融资审查。融资机构对供应商的融资申请进行审查，并向供应商反馈审查及融资额度等情况。</w:t>
      </w:r>
    </w:p>
    <w:p>
      <w:pPr>
        <w:topLinePunct/>
        <w:adjustRightInd/>
        <w:ind w:firstLine="480" w:firstLineChars="200"/>
        <w:rPr>
          <w:rFonts w:cs="宋体"/>
          <w:highlight w:val="none"/>
        </w:rPr>
      </w:pPr>
      <w:r>
        <w:rPr>
          <w:rFonts w:hint="eastAsia" w:cs="宋体"/>
          <w:highlight w:val="none"/>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highlight w:val="none"/>
        </w:rPr>
      </w:pPr>
      <w:r>
        <w:rPr>
          <w:rFonts w:hint="eastAsia" w:cs="宋体"/>
          <w:highlight w:val="none"/>
        </w:rPr>
        <w:t>(五)放款。融资机构对政府采购合同及融资相关信息进行确认，并向供应商提供相应的融资产品。</w:t>
      </w:r>
    </w:p>
    <w:p>
      <w:pPr>
        <w:topLinePunct/>
        <w:adjustRightInd/>
        <w:ind w:firstLine="480" w:firstLineChars="200"/>
        <w:rPr>
          <w:rFonts w:cs="宋体"/>
          <w:highlight w:val="none"/>
        </w:rPr>
      </w:pPr>
      <w:r>
        <w:rPr>
          <w:rFonts w:hint="eastAsia" w:cs="宋体"/>
          <w:highlight w:val="none"/>
        </w:rPr>
        <w:t>(六)贷款归还。采购人按相关规定和合同约定将合同资金支付至约定的唯一收款账户。</w:t>
      </w:r>
    </w:p>
    <w:p>
      <w:pPr>
        <w:topLinePunct/>
        <w:adjustRightInd/>
        <w:ind w:firstLine="480" w:firstLineChars="200"/>
        <w:jc w:val="center"/>
        <w:rPr>
          <w:rFonts w:cs="宋体"/>
          <w:highlight w:val="none"/>
        </w:rPr>
      </w:pPr>
      <w:r>
        <w:rPr>
          <w:rFonts w:hint="eastAsia" w:cs="宋体"/>
          <w:highlight w:val="none"/>
        </w:rPr>
        <w:t>第四章  职责分工</w:t>
      </w:r>
    </w:p>
    <w:p>
      <w:pPr>
        <w:topLinePunct/>
        <w:adjustRightInd/>
        <w:ind w:firstLine="480" w:firstLineChars="200"/>
        <w:rPr>
          <w:rFonts w:cs="宋体"/>
          <w:highlight w:val="none"/>
        </w:rPr>
      </w:pPr>
      <w:r>
        <w:rPr>
          <w:rFonts w:hint="eastAsia" w:cs="宋体"/>
          <w:highlight w:val="none"/>
        </w:rPr>
        <w:t>第十三条(财政部门职责)</w:t>
      </w:r>
    </w:p>
    <w:p>
      <w:pPr>
        <w:topLinePunct/>
        <w:adjustRightInd/>
        <w:ind w:firstLine="480" w:firstLineChars="200"/>
        <w:rPr>
          <w:rFonts w:cs="宋体"/>
          <w:highlight w:val="none"/>
        </w:rPr>
      </w:pPr>
      <w:r>
        <w:rPr>
          <w:rFonts w:hint="eastAsia" w:cs="宋体"/>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highlight w:val="none"/>
        </w:rPr>
      </w:pPr>
      <w:r>
        <w:rPr>
          <w:rFonts w:hint="eastAsia" w:cs="宋体"/>
          <w:highlight w:val="none"/>
        </w:rPr>
        <w:t>第十四条(融资机构主管部门职责)</w:t>
      </w:r>
    </w:p>
    <w:p>
      <w:pPr>
        <w:topLinePunct/>
        <w:adjustRightInd/>
        <w:ind w:firstLine="480" w:firstLineChars="200"/>
        <w:rPr>
          <w:rFonts w:cs="宋体"/>
          <w:highlight w:val="none"/>
        </w:rPr>
      </w:pPr>
      <w:r>
        <w:rPr>
          <w:rFonts w:hint="eastAsia" w:cs="宋体"/>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highlight w:val="none"/>
        </w:rPr>
      </w:pPr>
      <w:r>
        <w:rPr>
          <w:rFonts w:hint="eastAsia" w:cs="宋体"/>
          <w:highlight w:val="none"/>
        </w:rPr>
        <w:t>第十五条(采购人职责)</w:t>
      </w:r>
    </w:p>
    <w:p>
      <w:pPr>
        <w:topLinePunct/>
        <w:adjustRightInd/>
        <w:ind w:firstLine="480" w:firstLineChars="200"/>
        <w:rPr>
          <w:rFonts w:cs="宋体"/>
          <w:highlight w:val="none"/>
        </w:rPr>
      </w:pPr>
      <w:r>
        <w:rPr>
          <w:rFonts w:hint="eastAsia" w:cs="宋体"/>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highlight w:val="none"/>
        </w:rPr>
      </w:pPr>
      <w:r>
        <w:rPr>
          <w:rFonts w:hint="eastAsia" w:cs="宋体"/>
          <w:highlight w:val="none"/>
        </w:rPr>
        <w:t>第十六条(融资机构职责)</w:t>
      </w:r>
    </w:p>
    <w:p>
      <w:pPr>
        <w:topLinePunct/>
        <w:adjustRightInd/>
        <w:ind w:firstLine="480" w:firstLineChars="200"/>
        <w:rPr>
          <w:rFonts w:cs="宋体"/>
          <w:highlight w:val="none"/>
        </w:rPr>
      </w:pPr>
      <w:r>
        <w:rPr>
          <w:rFonts w:hint="eastAsia" w:cs="宋体"/>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highlight w:val="none"/>
        </w:rPr>
      </w:pPr>
      <w:r>
        <w:rPr>
          <w:rFonts w:hint="eastAsia" w:cs="宋体"/>
          <w:highlight w:val="none"/>
        </w:rPr>
        <w:t>第十七条(供应商职责)</w:t>
      </w:r>
    </w:p>
    <w:p>
      <w:pPr>
        <w:topLinePunct/>
        <w:adjustRightInd/>
        <w:ind w:firstLine="480" w:firstLineChars="200"/>
        <w:rPr>
          <w:rFonts w:cs="宋体"/>
          <w:highlight w:val="none"/>
        </w:rPr>
      </w:pPr>
      <w:r>
        <w:rPr>
          <w:rFonts w:hint="eastAsia" w:cs="宋体"/>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highlight w:val="none"/>
        </w:rPr>
      </w:pPr>
      <w:r>
        <w:rPr>
          <w:rFonts w:hint="eastAsia" w:cs="宋体"/>
          <w:highlight w:val="none"/>
        </w:rPr>
        <w:t>第五章 监督管理</w:t>
      </w:r>
    </w:p>
    <w:p>
      <w:pPr>
        <w:topLinePunct/>
        <w:adjustRightInd/>
        <w:ind w:firstLine="480" w:firstLineChars="200"/>
        <w:rPr>
          <w:rFonts w:cs="宋体"/>
          <w:highlight w:val="none"/>
        </w:rPr>
      </w:pPr>
      <w:r>
        <w:rPr>
          <w:rFonts w:hint="eastAsia" w:cs="宋体"/>
          <w:highlight w:val="none"/>
        </w:rPr>
        <w:t>第十八条(采购人监管)</w:t>
      </w:r>
    </w:p>
    <w:p>
      <w:pPr>
        <w:topLinePunct/>
        <w:adjustRightInd/>
        <w:ind w:firstLine="480" w:firstLineChars="200"/>
        <w:rPr>
          <w:rFonts w:cs="宋体"/>
          <w:highlight w:val="none"/>
        </w:rPr>
      </w:pPr>
      <w:r>
        <w:rPr>
          <w:rFonts w:hint="eastAsia" w:cs="宋体"/>
          <w:highlight w:val="none"/>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highlight w:val="none"/>
        </w:rPr>
      </w:pPr>
      <w:r>
        <w:rPr>
          <w:rFonts w:hint="eastAsia" w:cs="宋体"/>
          <w:highlight w:val="none"/>
        </w:rPr>
        <w:t>第十九条(融资机构监管)</w:t>
      </w:r>
    </w:p>
    <w:p>
      <w:pPr>
        <w:topLinePunct/>
        <w:adjustRightInd/>
        <w:ind w:firstLine="480" w:firstLineChars="200"/>
        <w:rPr>
          <w:rFonts w:cs="宋体"/>
          <w:highlight w:val="none"/>
        </w:rPr>
      </w:pPr>
      <w:r>
        <w:rPr>
          <w:rFonts w:hint="eastAsia" w:cs="宋体"/>
          <w:highlight w:val="none"/>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highlight w:val="none"/>
        </w:rPr>
      </w:pPr>
      <w:r>
        <w:rPr>
          <w:rFonts w:hint="eastAsia" w:cs="宋体"/>
          <w:highlight w:val="none"/>
        </w:rPr>
        <w:t>第二十条(供应商监管)</w:t>
      </w:r>
    </w:p>
    <w:p>
      <w:pPr>
        <w:topLinePunct/>
        <w:adjustRightInd/>
        <w:ind w:firstLine="480" w:firstLineChars="200"/>
        <w:rPr>
          <w:rFonts w:cs="宋体"/>
          <w:highlight w:val="none"/>
        </w:rPr>
      </w:pPr>
      <w:r>
        <w:rPr>
          <w:rFonts w:hint="eastAsia" w:cs="宋体"/>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highlight w:val="none"/>
        </w:rPr>
      </w:pPr>
      <w:r>
        <w:rPr>
          <w:rFonts w:hint="eastAsia" w:cs="宋体"/>
          <w:highlight w:val="none"/>
        </w:rPr>
        <w:t>第二十一条</w:t>
      </w:r>
      <w:bookmarkStart w:id="1650" w:name="BM24558847_25425864_3"/>
      <w:bookmarkEnd w:id="1650"/>
      <w:r>
        <w:rPr>
          <w:rFonts w:hint="eastAsia" w:cs="宋体"/>
          <w:highlight w:val="none"/>
        </w:rPr>
        <w:t>(相关单位及工作人员监管)</w:t>
      </w:r>
    </w:p>
    <w:p>
      <w:pPr>
        <w:topLinePunct/>
        <w:adjustRightInd/>
        <w:ind w:firstLine="480" w:firstLineChars="200"/>
        <w:rPr>
          <w:rFonts w:cs="宋体"/>
          <w:highlight w:val="none"/>
        </w:rPr>
      </w:pPr>
      <w:r>
        <w:rPr>
          <w:rFonts w:hint="eastAsia" w:cs="宋体"/>
          <w:highlight w:val="none"/>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highlight w:val="none"/>
        </w:rPr>
      </w:pPr>
      <w:r>
        <w:rPr>
          <w:rFonts w:hint="eastAsia" w:cs="宋体"/>
          <w:highlight w:val="none"/>
        </w:rPr>
        <w:t>第六章  附  则</w:t>
      </w:r>
    </w:p>
    <w:p>
      <w:pPr>
        <w:topLinePunct/>
        <w:adjustRightInd/>
        <w:ind w:firstLine="480" w:firstLineChars="200"/>
        <w:rPr>
          <w:rFonts w:cs="宋体"/>
          <w:highlight w:val="none"/>
        </w:rPr>
      </w:pPr>
      <w:r>
        <w:rPr>
          <w:rFonts w:hint="eastAsia" w:cs="宋体"/>
          <w:highlight w:val="none"/>
        </w:rPr>
        <w:t>第二十二条(解释相关)</w:t>
      </w:r>
    </w:p>
    <w:p>
      <w:pPr>
        <w:topLinePunct/>
        <w:adjustRightInd/>
        <w:ind w:firstLine="480" w:firstLineChars="200"/>
        <w:rPr>
          <w:rFonts w:cs="宋体"/>
          <w:highlight w:val="none"/>
        </w:rPr>
      </w:pPr>
      <w:r>
        <w:rPr>
          <w:rFonts w:hint="eastAsia" w:cs="宋体"/>
          <w:highlight w:val="none"/>
        </w:rPr>
        <w:t>本办法由市财政局会同中国人民银行成都分行营业管理部负责解释。</w:t>
      </w:r>
    </w:p>
    <w:p>
      <w:pPr>
        <w:topLinePunct/>
        <w:adjustRightInd/>
        <w:ind w:firstLine="480" w:firstLineChars="200"/>
        <w:rPr>
          <w:rFonts w:cs="宋体"/>
          <w:highlight w:val="none"/>
        </w:rPr>
      </w:pPr>
      <w:r>
        <w:rPr>
          <w:rFonts w:hint="eastAsia" w:cs="宋体"/>
          <w:highlight w:val="none"/>
        </w:rPr>
        <w:t>第二十三条(施行相关)</w:t>
      </w:r>
    </w:p>
    <w:p>
      <w:pPr>
        <w:topLinePunct/>
        <w:adjustRightInd/>
        <w:ind w:firstLine="480" w:firstLineChars="200"/>
        <w:rPr>
          <w:rFonts w:cs="宋体"/>
          <w:highlight w:val="none"/>
        </w:rPr>
      </w:pPr>
      <w:r>
        <w:rPr>
          <w:rFonts w:hint="eastAsia" w:cs="宋体"/>
          <w:highlight w:val="none"/>
        </w:rPr>
        <w:t>本办法自印发之日起施行。市财政局、市金融办2013年12月9日印发的《关于开展中小企业政府采购信用担保及融资试点工作的通知》(成财采〔2013〕200号)同时废止。</w:t>
      </w:r>
    </w:p>
    <w:p>
      <w:pPr>
        <w:rPr>
          <w:rFonts w:cs="宋体"/>
          <w:highlight w:val="none"/>
        </w:rPr>
      </w:pPr>
      <w:r>
        <w:rPr>
          <w:rFonts w:hint="eastAsia" w:cs="宋体"/>
          <w:highlight w:val="none"/>
        </w:rPr>
        <w:br w:type="page"/>
      </w:r>
    </w:p>
    <w:p>
      <w:pPr>
        <w:topLinePunct/>
        <w:adjustRightInd/>
        <w:rPr>
          <w:rFonts w:cs="宋体"/>
          <w:highlight w:val="none"/>
        </w:rPr>
      </w:pPr>
      <w:r>
        <w:rPr>
          <w:rFonts w:hint="eastAsia" w:cs="宋体"/>
          <w:highlight w:val="none"/>
        </w:rPr>
        <w:t>附件2</w:t>
      </w:r>
    </w:p>
    <w:p>
      <w:pPr>
        <w:topLinePunct/>
        <w:adjustRightInd/>
        <w:ind w:firstLine="480" w:firstLineChars="200"/>
        <w:rPr>
          <w:rFonts w:cs="宋体"/>
          <w:highlight w:val="none"/>
        </w:rPr>
      </w:pPr>
    </w:p>
    <w:p>
      <w:pPr>
        <w:topLinePunct/>
        <w:adjustRightInd/>
        <w:jc w:val="center"/>
        <w:rPr>
          <w:rFonts w:cs="宋体"/>
          <w:highlight w:val="none"/>
        </w:rPr>
      </w:pPr>
      <w:r>
        <w:rPr>
          <w:rFonts w:hint="eastAsia" w:cs="宋体"/>
          <w:highlight w:val="none"/>
        </w:rPr>
        <w:t>成都市级支持中小企业政府采购</w:t>
      </w:r>
    </w:p>
    <w:p>
      <w:pPr>
        <w:topLinePunct/>
        <w:adjustRightInd/>
        <w:jc w:val="center"/>
        <w:rPr>
          <w:rFonts w:cs="宋体"/>
          <w:highlight w:val="none"/>
        </w:rPr>
      </w:pPr>
      <w:r>
        <w:rPr>
          <w:rFonts w:hint="eastAsia" w:cs="宋体"/>
          <w:highlight w:val="none"/>
        </w:rPr>
        <w:t>信用融资实施方案</w:t>
      </w:r>
    </w:p>
    <w:p>
      <w:pPr>
        <w:topLinePunct/>
        <w:adjustRightInd/>
        <w:ind w:firstLine="480" w:firstLineChars="200"/>
        <w:rPr>
          <w:rFonts w:cs="宋体"/>
          <w:highlight w:val="none"/>
        </w:rPr>
      </w:pPr>
    </w:p>
    <w:p>
      <w:pPr>
        <w:topLinePunct/>
        <w:adjustRightInd/>
        <w:ind w:firstLine="480" w:firstLineChars="200"/>
        <w:rPr>
          <w:rFonts w:cs="宋体"/>
          <w:highlight w:val="none"/>
        </w:rPr>
      </w:pPr>
      <w:r>
        <w:rPr>
          <w:rFonts w:hint="eastAsia" w:cs="宋体"/>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rPr>
          <w:rFonts w:cs="宋体"/>
          <w:highlight w:val="none"/>
        </w:rPr>
      </w:pPr>
      <w:r>
        <w:rPr>
          <w:rFonts w:hint="eastAsia" w:cs="宋体"/>
          <w:highlight w:val="none"/>
        </w:rPr>
        <w:t>一、目标任务</w:t>
      </w:r>
    </w:p>
    <w:p>
      <w:pPr>
        <w:topLinePunct/>
        <w:adjustRightInd/>
        <w:ind w:firstLine="480" w:firstLineChars="200"/>
        <w:rPr>
          <w:rFonts w:cs="宋体"/>
          <w:highlight w:val="none"/>
        </w:rPr>
      </w:pPr>
      <w:r>
        <w:rPr>
          <w:rFonts w:hint="eastAsia" w:cs="宋体"/>
          <w:highlight w:val="none"/>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rPr>
          <w:rFonts w:cs="宋体"/>
          <w:highlight w:val="none"/>
        </w:rPr>
      </w:pPr>
      <w:r>
        <w:rPr>
          <w:rFonts w:hint="eastAsia" w:cs="宋体"/>
          <w:highlight w:val="none"/>
        </w:rPr>
        <w:t>二、适用范围</w:t>
      </w:r>
    </w:p>
    <w:p>
      <w:pPr>
        <w:topLinePunct/>
        <w:adjustRightInd/>
        <w:ind w:firstLine="480" w:firstLineChars="200"/>
        <w:rPr>
          <w:rFonts w:cs="宋体"/>
          <w:highlight w:val="none"/>
        </w:rPr>
      </w:pPr>
      <w:r>
        <w:rPr>
          <w:rFonts w:hint="eastAsia" w:cs="宋体"/>
          <w:highlight w:val="none"/>
        </w:rPr>
        <w:t>本《实施方案》适用于成都市本级政府采购信用融资工作。</w:t>
      </w:r>
    </w:p>
    <w:p>
      <w:pPr>
        <w:topLinePunct/>
        <w:adjustRightInd/>
        <w:ind w:firstLine="480" w:firstLineChars="200"/>
        <w:rPr>
          <w:rFonts w:cs="宋体"/>
          <w:highlight w:val="none"/>
        </w:rPr>
      </w:pPr>
      <w:r>
        <w:rPr>
          <w:rFonts w:hint="eastAsia" w:cs="宋体"/>
          <w:highlight w:val="none"/>
        </w:rPr>
        <w:t xml:space="preserve">三、基本原则 </w:t>
      </w:r>
    </w:p>
    <w:p>
      <w:pPr>
        <w:topLinePunct/>
        <w:adjustRightInd/>
        <w:ind w:firstLine="480" w:firstLineChars="200"/>
        <w:rPr>
          <w:rFonts w:cs="宋体"/>
          <w:highlight w:val="none"/>
        </w:rPr>
      </w:pPr>
      <w:r>
        <w:rPr>
          <w:rFonts w:hint="eastAsia" w:cs="宋体"/>
          <w:highlight w:val="none"/>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cs="宋体"/>
          <w:highlight w:val="none"/>
        </w:rPr>
      </w:pPr>
      <w:r>
        <w:rPr>
          <w:rFonts w:hint="eastAsia" w:cs="宋体"/>
          <w:highlight w:val="none"/>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cs="宋体"/>
          <w:highlight w:val="none"/>
        </w:rPr>
      </w:pPr>
      <w:r>
        <w:rPr>
          <w:rFonts w:hint="eastAsia" w:cs="宋体"/>
          <w:highlight w:val="none"/>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rPr>
          <w:rFonts w:cs="宋体"/>
          <w:highlight w:val="none"/>
        </w:rPr>
      </w:pPr>
      <w:r>
        <w:rPr>
          <w:rFonts w:hint="eastAsia" w:cs="宋体"/>
          <w:highlight w:val="none"/>
        </w:rPr>
        <w:t>四、组织实施</w:t>
      </w:r>
    </w:p>
    <w:p>
      <w:pPr>
        <w:topLinePunct/>
        <w:adjustRightInd/>
        <w:ind w:firstLine="480" w:firstLineChars="200"/>
        <w:rPr>
          <w:rFonts w:cs="宋体"/>
          <w:highlight w:val="none"/>
        </w:rPr>
      </w:pPr>
      <w:r>
        <w:rPr>
          <w:rFonts w:hint="eastAsia" w:cs="宋体"/>
          <w:highlight w:val="none"/>
        </w:rPr>
        <w:t>(一)宣传动员</w:t>
      </w:r>
    </w:p>
    <w:p>
      <w:pPr>
        <w:topLinePunct/>
        <w:adjustRightInd/>
        <w:ind w:firstLine="480" w:firstLineChars="200"/>
        <w:rPr>
          <w:rFonts w:cs="宋体"/>
          <w:color w:val="000000"/>
          <w:highlight w:val="none"/>
        </w:rPr>
      </w:pPr>
      <w:r>
        <w:rPr>
          <w:rFonts w:hint="eastAsia" w:cs="宋体"/>
          <w:highlight w:val="none"/>
        </w:rPr>
        <w:t>相关部门和单位采取多种方式积极宣传《暂行办法》和《实</w:t>
      </w:r>
      <w:r>
        <w:rPr>
          <w:rFonts w:hint="eastAsia" w:cs="宋体"/>
          <w:color w:val="000000"/>
          <w:highlight w:val="none"/>
        </w:rPr>
        <w:t>施方案》，落实财政部门、融资机构主管部门、采购人、融资机构等职责任务，明确各项工作目标任务，确保成都市级政府采购信用融资工作有序推进。</w:t>
      </w:r>
    </w:p>
    <w:p>
      <w:pPr>
        <w:topLinePunct/>
        <w:adjustRightInd/>
        <w:ind w:firstLine="480" w:firstLineChars="200"/>
        <w:rPr>
          <w:rFonts w:cs="宋体"/>
          <w:highlight w:val="none"/>
        </w:rPr>
      </w:pPr>
      <w:r>
        <w:rPr>
          <w:rFonts w:hint="eastAsia" w:cs="宋体"/>
          <w:highlight w:val="none"/>
        </w:rPr>
        <w:t>(二)融资机构选择</w:t>
      </w:r>
    </w:p>
    <w:p>
      <w:pPr>
        <w:topLinePunct/>
        <w:adjustRightInd/>
        <w:ind w:firstLine="480" w:firstLineChars="200"/>
        <w:rPr>
          <w:rFonts w:cs="宋体"/>
          <w:color w:val="000000"/>
          <w:highlight w:val="none"/>
        </w:rPr>
      </w:pPr>
      <w:r>
        <w:rPr>
          <w:rFonts w:hint="eastAsia" w:cs="宋体"/>
          <w:color w:val="000000"/>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adjustRightInd/>
        <w:ind w:firstLine="480" w:firstLineChars="200"/>
        <w:rPr>
          <w:rFonts w:cs="宋体"/>
          <w:color w:val="000000"/>
          <w:highlight w:val="none"/>
        </w:rPr>
      </w:pPr>
      <w:r>
        <w:rPr>
          <w:rFonts w:hint="eastAsia" w:cs="宋体"/>
          <w:color w:val="000000"/>
          <w:highlight w:val="none"/>
        </w:rPr>
        <w:t>(1)融资机构基本情况；</w:t>
      </w:r>
    </w:p>
    <w:p>
      <w:pPr>
        <w:topLinePunct/>
        <w:adjustRightInd/>
        <w:ind w:firstLine="480" w:firstLineChars="200"/>
        <w:rPr>
          <w:rFonts w:cs="宋体"/>
          <w:color w:val="000000"/>
          <w:highlight w:val="none"/>
        </w:rPr>
      </w:pPr>
      <w:r>
        <w:rPr>
          <w:rFonts w:hint="eastAsia" w:cs="宋体"/>
          <w:color w:val="000000"/>
          <w:highlight w:val="none"/>
        </w:rPr>
        <w:t>(2)政府采购信用融资实施方案(包括授信政策、融资产品、贷款利率及其它优惠措施、业务流程及各环节办结时间、联系方式等)；</w:t>
      </w:r>
    </w:p>
    <w:p>
      <w:pPr>
        <w:topLinePunct/>
        <w:adjustRightInd/>
        <w:ind w:firstLine="480" w:firstLineChars="200"/>
        <w:rPr>
          <w:rFonts w:cs="宋体"/>
          <w:color w:val="000000"/>
          <w:highlight w:val="none"/>
        </w:rPr>
      </w:pPr>
      <w:r>
        <w:rPr>
          <w:rFonts w:hint="eastAsia" w:cs="宋体"/>
          <w:color w:val="000000"/>
          <w:highlight w:val="none"/>
        </w:rPr>
        <w:t>(3)关于遵照《暂行办法》和《实施方案》开展政府采购信用融资业务的承诺；</w:t>
      </w:r>
    </w:p>
    <w:p>
      <w:pPr>
        <w:topLinePunct/>
        <w:adjustRightInd/>
        <w:ind w:firstLine="480" w:firstLineChars="200"/>
        <w:rPr>
          <w:rFonts w:cs="宋体"/>
          <w:color w:val="000000"/>
          <w:highlight w:val="none"/>
        </w:rPr>
      </w:pPr>
      <w:r>
        <w:rPr>
          <w:rFonts w:hint="eastAsia" w:cs="宋体"/>
          <w:color w:val="000000"/>
          <w:highlight w:val="none"/>
        </w:rPr>
        <w:t>(4)关于政府采购信用融资业务风险及系统对接研发费用自行承担的承诺。</w:t>
      </w:r>
    </w:p>
    <w:p>
      <w:pPr>
        <w:topLinePunct/>
        <w:adjustRightInd/>
        <w:ind w:firstLine="480" w:firstLineChars="200"/>
        <w:rPr>
          <w:rFonts w:cs="宋体"/>
          <w:color w:val="000000"/>
          <w:highlight w:val="none"/>
        </w:rPr>
      </w:pPr>
      <w:r>
        <w:rPr>
          <w:rFonts w:hint="eastAsia" w:cs="宋体"/>
          <w:color w:val="000000"/>
          <w:highlight w:val="none"/>
        </w:rPr>
        <w:t>2．系统对接。融资机构成功报名后，须按要求完成政府采购信用融资业务与成都市政府采购监督管理系统的技术对接。</w:t>
      </w:r>
    </w:p>
    <w:p>
      <w:pPr>
        <w:topLinePunct/>
        <w:adjustRightInd/>
        <w:ind w:firstLine="480" w:firstLineChars="200"/>
        <w:rPr>
          <w:rFonts w:cs="宋体"/>
          <w:color w:val="000000"/>
          <w:highlight w:val="none"/>
        </w:rPr>
      </w:pPr>
      <w:r>
        <w:rPr>
          <w:rFonts w:hint="eastAsia" w:cs="宋体"/>
          <w:color w:val="000000"/>
          <w:highlight w:val="none"/>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rPr>
          <w:rFonts w:cs="宋体"/>
          <w:highlight w:val="none"/>
        </w:rPr>
      </w:pPr>
      <w:r>
        <w:rPr>
          <w:rFonts w:hint="eastAsia" w:cs="宋体"/>
          <w:highlight w:val="none"/>
        </w:rPr>
        <w:t>(三)其他事项</w:t>
      </w:r>
    </w:p>
    <w:p>
      <w:pPr>
        <w:topLinePunct/>
        <w:adjustRightInd/>
        <w:ind w:firstLine="480" w:firstLineChars="200"/>
        <w:rPr>
          <w:rFonts w:cs="宋体"/>
          <w:color w:val="000000"/>
          <w:highlight w:val="none"/>
        </w:rPr>
      </w:pPr>
      <w:r>
        <w:rPr>
          <w:rFonts w:hint="eastAsia" w:cs="宋体"/>
          <w:color w:val="000000"/>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rPr>
          <w:rFonts w:cs="宋体"/>
          <w:highlight w:val="none"/>
        </w:rPr>
      </w:pPr>
      <w:r>
        <w:rPr>
          <w:rFonts w:hint="eastAsia" w:cs="宋体"/>
          <w:highlight w:val="none"/>
        </w:rPr>
        <w:t>五、相关要求</w:t>
      </w:r>
    </w:p>
    <w:p>
      <w:pPr>
        <w:topLinePunct/>
        <w:adjustRightInd/>
        <w:ind w:firstLine="480" w:firstLineChars="200"/>
        <w:rPr>
          <w:rFonts w:cs="宋体"/>
          <w:highlight w:val="none"/>
        </w:rPr>
      </w:pPr>
      <w:r>
        <w:rPr>
          <w:rFonts w:hint="eastAsia" w:cs="宋体"/>
          <w:highlight w:val="none"/>
        </w:rPr>
        <w:t>(一)加强组织领导。</w:t>
      </w:r>
      <w:r>
        <w:rPr>
          <w:rFonts w:hint="eastAsia" w:cs="宋体"/>
          <w:color w:val="000000"/>
          <w:kern w:val="0"/>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cs="宋体"/>
          <w:highlight w:val="none"/>
        </w:rPr>
        <w:t>全面、有序、科学推进政府采购信用融资工作。</w:t>
      </w:r>
    </w:p>
    <w:p>
      <w:pPr>
        <w:topLinePunct/>
        <w:adjustRightInd/>
        <w:ind w:firstLine="480" w:firstLineChars="200"/>
        <w:rPr>
          <w:rFonts w:cs="宋体"/>
          <w:highlight w:val="none"/>
        </w:rPr>
      </w:pPr>
      <w:r>
        <w:rPr>
          <w:rFonts w:hint="eastAsia" w:cs="宋体"/>
          <w:highlight w:val="none"/>
        </w:rPr>
        <w:t>(二)注重协调配合。</w:t>
      </w:r>
      <w:r>
        <w:rPr>
          <w:rFonts w:hint="eastAsia" w:cs="宋体"/>
          <w:color w:val="000000"/>
          <w:kern w:val="0"/>
          <w:highlight w:val="none"/>
        </w:rPr>
        <w:t>市财政局、中国人民银行成都分行营业管理部及采购人</w:t>
      </w:r>
      <w:r>
        <w:rPr>
          <w:rFonts w:hint="eastAsia" w:cs="宋体"/>
          <w:highlight w:val="none"/>
        </w:rPr>
        <w:t>等有关单位要根据职责任务，及时协调解决工作中遇到的困难和问题，积极</w:t>
      </w:r>
      <w:r>
        <w:rPr>
          <w:rFonts w:hint="eastAsia" w:cs="宋体"/>
          <w:color w:val="000000"/>
          <w:kern w:val="0"/>
          <w:highlight w:val="none"/>
        </w:rPr>
        <w:t>创造条件主动服务，帮助有融资需求、符合条件的供应商实现政府采购信用融资，促进中小企业又好又快发展</w:t>
      </w:r>
      <w:r>
        <w:rPr>
          <w:rFonts w:hint="eastAsia" w:cs="宋体"/>
          <w:highlight w:val="none"/>
        </w:rPr>
        <w:t>。</w:t>
      </w:r>
    </w:p>
    <w:p>
      <w:pPr>
        <w:topLinePunct/>
        <w:adjustRightInd/>
        <w:ind w:firstLine="480" w:firstLineChars="200"/>
        <w:rPr>
          <w:rFonts w:cs="宋体"/>
          <w:highlight w:val="none"/>
        </w:rPr>
      </w:pPr>
      <w:r>
        <w:rPr>
          <w:rFonts w:hint="eastAsia" w:cs="宋体"/>
          <w:highlight w:val="none"/>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7"/>
        <w:ind w:firstLine="482"/>
        <w:rPr>
          <w:highlight w:val="none"/>
        </w:rPr>
      </w:pPr>
    </w:p>
    <w:p>
      <w:pPr>
        <w:pStyle w:val="47"/>
        <w:ind w:firstLine="482"/>
        <w:rPr>
          <w:highlight w:val="none"/>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4BE073-DF1C-45E7-B889-7ED4E3822D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72F7BC0-C941-477A-B239-47E398B5380E}"/>
  </w:font>
  <w:font w:name="仿宋_GB2312">
    <w:altName w:val="仿宋"/>
    <w:panose1 w:val="00000000000000000000"/>
    <w:charset w:val="86"/>
    <w:family w:val="modern"/>
    <w:pitch w:val="default"/>
    <w:sig w:usb0="00000000" w:usb1="00000000" w:usb2="00000010" w:usb3="00000000" w:csb0="00040000"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C83EB167-AE07-4299-B8B0-0CB4704B85E4}"/>
  </w:font>
  <w:font w:name="Wingdings 2">
    <w:panose1 w:val="05020102010507070707"/>
    <w:charset w:val="02"/>
    <w:family w:val="roman"/>
    <w:pitch w:val="default"/>
    <w:sig w:usb0="00000000" w:usb1="00000000" w:usb2="00000000" w:usb3="00000000" w:csb0="80000000" w:csb1="00000000"/>
    <w:embedRegular r:id="rId4" w:fontKey="{92C267A8-3A79-40C2-BCE7-30877A719C67}"/>
  </w:font>
  <w:font w:name="方正小标宋简体">
    <w:panose1 w:val="03000509000000000000"/>
    <w:charset w:val="86"/>
    <w:family w:val="auto"/>
    <w:pitch w:val="default"/>
    <w:sig w:usb0="00000000" w:usb1="00000000" w:usb2="00000000" w:usb3="00000000" w:csb0="00000000" w:csb1="00000000"/>
    <w:embedRegular r:id="rId5" w:fontKey="{E693A86E-AEE1-43D8-894E-C1F2D5ED9247}"/>
  </w:font>
  <w:font w:name="方正仿宋_GBK">
    <w:panose1 w:val="03000509000000000000"/>
    <w:charset w:val="86"/>
    <w:family w:val="script"/>
    <w:pitch w:val="default"/>
    <w:sig w:usb0="00000000" w:usb1="00000000" w:usb2="00000000" w:usb3="00000000" w:csb0="00000000" w:csb1="00000000"/>
    <w:embedRegular r:id="rId6" w:fontKey="{408601F8-3706-487F-8644-2BF1C9B0A5C3}"/>
  </w:font>
  <w:font w:name="方正小标宋_GBK">
    <w:panose1 w:val="02000000000000000000"/>
    <w:charset w:val="86"/>
    <w:family w:val="auto"/>
    <w:pitch w:val="default"/>
    <w:sig w:usb0="00000000" w:usb1="00000000" w:usb2="00000000" w:usb3="00000000" w:csb0="00000000" w:csb1="00000000"/>
    <w:embedRegular r:id="rId7" w:fontKey="{2CA6EE42-5901-4BBC-A20D-B9A9B19775BD}"/>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2336" behindDoc="0" locked="0" layoutInCell="1" allowOverlap="1">
              <wp:simplePos x="0" y="0"/>
              <wp:positionH relativeFrom="margin">
                <wp:posOffset>3034665</wp:posOffset>
              </wp:positionH>
              <wp:positionV relativeFrom="paragraph">
                <wp:posOffset>0</wp:posOffset>
              </wp:positionV>
              <wp:extent cx="114935" cy="279400"/>
              <wp:effectExtent l="0" t="0" r="0" b="0"/>
              <wp:wrapNone/>
              <wp:docPr id="4" name="矩形 4"/>
              <wp:cNvGraphicFramePr/>
              <a:graphic xmlns:a="http://schemas.openxmlformats.org/drawingml/2006/main">
                <a:graphicData uri="http://schemas.microsoft.com/office/word/2010/wordprocessingShape">
                  <wps:wsp>
                    <wps:cNvSpPr/>
                    <wps:spPr>
                      <a:xfrm>
                        <a:off x="0" y="0"/>
                        <a:ext cx="114935" cy="279400"/>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22pt;width:9.05pt;mso-position-horizontal-relative:margin;mso-wrap-style:none;z-index:251662336;mso-width-relative:page;mso-height-relative:page;" filled="f" stroked="f" coordsize="21600,21600" o:gfxdata="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8aVmPUAAAABwEAAA8AAAAAAAAAAQAgAAAAIgAAAGRycy9kb3ducmV2Lnht&#10;bFBLAQIUABQAAAAIAIdO4kCyWjgqxAEAAIoDAAAOAAAAAAAAAAEAIAAAACMBAABkcnMvZTJvRG9j&#10;LnhtbFBLBQYAAAAABgAGAFkBAABZ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8"/>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1285" cy="154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9.55pt;mso-position-horizontal:center;mso-position-horizontal-relative:margin;mso-wrap-style:none;z-index:251660288;mso-width-relative:page;mso-height-relative:page;" filled="f" stroked="f" coordsize="21600,21600" o:gfxdata="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Dx1HT0gAAAAMBAAAPAAAAAAAAAAEAIAAAACIAAABkcnMvZG93bnJldi54bWxQSwECFAAU&#10;AAAACACHTuJAjP9ZVjACAABTBAAADgAAAAAAAAABACAAAAAhAQAAZHJzL2Uyb0RvYy54bWxQSwUG&#10;AAAAAAYABgBZAQAAwwUAAAAA&#10;">
              <v:fill on="f" focussize="0,0"/>
              <v:stroke on="f" weight="0.5pt"/>
              <v:imagedata o:title=""/>
              <o:lock v:ext="edit" aspectratio="f"/>
              <v:textbox inset="0mm,0mm,0mm,0mm" style="mso-fit-shape-to-text:t;">
                <w:txbxContent>
                  <w:p>
                    <w:pPr>
                      <w:pStyle w:val="18"/>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154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13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5.05pt;mso-position-horizontal:center;mso-position-horizontal-relative:margin;mso-wrap-style:none;z-index:251661312;mso-width-relative:page;mso-height-relative:page;" filled="f" stroked="f" coordsize="21600,21600" o:gfxdata="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bSS9/SAAAAAwEAAA8AAAAAAAAAAQAgAAAAIgAAAGRycy9kb3ducmV2LnhtbFBLAQIUABQA&#10;AAAIAIdO4kD+BCeRLwIAAFIEAAAOAAAAAAAAAAEAIAAAACEBAABkcnMvZTJvRG9jLnhtbFBLBQYA&#10;AAAABgAGAFkBAADCBQAAAAA=&#10;">
              <v:fill on="f" focussize="0,0"/>
              <v:stroke on="f" weight="0.5pt"/>
              <v:imagedata o:title=""/>
              <o:lock v:ext="edit" aspectratio="f"/>
              <v:textbox inset="0mm,0mm,0mm,0mm" style="mso-fit-shape-to-text:t;">
                <w:txbxContent>
                  <w:p>
                    <w:pPr>
                      <w:pStyle w:val="18"/>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9"/>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 w:val="clea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4"/>
      <w:suff w:val="nothing"/>
      <w:lvlText w:val="%2、"/>
      <w:lvlJc w:val="left"/>
      <w:pPr>
        <w:ind w:left="0" w:firstLine="0"/>
      </w:pPr>
      <w:rPr>
        <w:rFonts w:hint="eastAsia" w:ascii="宋体" w:hAnsi="宋体" w:eastAsia="宋体" w:cs="宋体"/>
      </w:rPr>
    </w:lvl>
    <w:lvl w:ilvl="2" w:tentative="0">
      <w:start w:val="1"/>
      <w:numFmt w:val="chineseCounting"/>
      <w:pStyle w:val="49"/>
      <w:suff w:val="nothing"/>
      <w:lvlText w:val="(%3)"/>
      <w:lvlJc w:val="left"/>
      <w:pPr>
        <w:tabs>
          <w:tab w:val="left" w:pos="0"/>
        </w:tabs>
        <w:ind w:left="0" w:firstLine="0"/>
      </w:pPr>
      <w:rPr>
        <w:rFonts w:hint="eastAsia" w:ascii="宋体" w:hAnsi="宋体" w:eastAsia="宋体" w:cs="宋体"/>
      </w:rPr>
    </w:lvl>
    <w:lvl w:ilvl="3" w:tentative="0">
      <w:start w:val="1"/>
      <w:numFmt w:val="decimal"/>
      <w:pStyle w:val="63"/>
      <w:suff w:val="nothing"/>
      <w:lvlText w:val="%4."/>
      <w:lvlJc w:val="left"/>
      <w:pPr>
        <w:tabs>
          <w:tab w:val="left" w:pos="0"/>
        </w:tabs>
        <w:ind w:left="0" w:firstLine="0"/>
      </w:pPr>
      <w:rPr>
        <w:rFonts w:hint="eastAsia" w:ascii="宋体" w:hAnsi="宋体" w:eastAsia="宋体" w:cs="宋体"/>
      </w:rPr>
    </w:lvl>
    <w:lvl w:ilvl="4" w:tentative="0">
      <w:start w:val="1"/>
      <w:numFmt w:val="decimal"/>
      <w:pStyle w:val="64"/>
      <w:suff w:val="nothing"/>
      <w:lvlText w:val="%4.%5"/>
      <w:lvlJc w:val="left"/>
      <w:pPr>
        <w:ind w:left="0" w:firstLine="0"/>
      </w:pPr>
      <w:rPr>
        <w:rFonts w:hint="eastAsia" w:ascii="宋体" w:hAnsi="宋体" w:eastAsia="宋体" w:cs="宋体"/>
      </w:rPr>
    </w:lvl>
    <w:lvl w:ilvl="5" w:tentative="0">
      <w:start w:val="1"/>
      <w:numFmt w:val="decimal"/>
      <w:pStyle w:val="65"/>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tentative="0">
      <w:start w:val="1"/>
      <w:numFmt w:val="decimal"/>
      <w:pStyle w:val="38"/>
      <w:suff w:val="nothing"/>
      <w:lvlText w:val="%1."/>
      <w:lvlJc w:val="left"/>
      <w:pPr>
        <w:tabs>
          <w:tab w:val="left" w:pos="420"/>
        </w:tabs>
        <w:ind w:left="0" w:firstLine="0"/>
      </w:pPr>
      <w:rPr>
        <w:rFonts w:hint="default" w:ascii="宋体" w:hAnsi="宋体" w:eastAsia="宋体" w:cs="宋体"/>
      </w:rPr>
    </w:lvl>
    <w:lvl w:ilvl="1" w:tentative="0">
      <w:start w:val="1"/>
      <w:numFmt w:val="decimal"/>
      <w:pStyle w:val="39"/>
      <w:suff w:val="nothing"/>
      <w:lvlText w:val="%1.%2"/>
      <w:lvlJc w:val="left"/>
      <w:pPr>
        <w:tabs>
          <w:tab w:val="left" w:pos="420"/>
        </w:tabs>
        <w:ind w:left="0" w:firstLine="0"/>
      </w:pPr>
      <w:rPr>
        <w:rFonts w:hint="default" w:ascii="宋体" w:hAnsi="宋体" w:eastAsia="宋体" w:cs="宋体"/>
      </w:rPr>
    </w:lvl>
    <w:lvl w:ilvl="2" w:tentative="0">
      <w:start w:val="1"/>
      <w:numFmt w:val="decimal"/>
      <w:pStyle w:val="40"/>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D2F3B81A"/>
    <w:multiLevelType w:val="singleLevel"/>
    <w:tmpl w:val="D2F3B81A"/>
    <w:lvl w:ilvl="0" w:tentative="0">
      <w:start w:val="1"/>
      <w:numFmt w:val="chineseCounting"/>
      <w:pStyle w:val="43"/>
      <w:suff w:val="nothing"/>
      <w:lvlText w:val="%1、"/>
      <w:lvlJc w:val="left"/>
      <w:pPr>
        <w:ind w:left="0" w:firstLine="0"/>
      </w:pPr>
      <w:rPr>
        <w:rFonts w:hint="eastAsia"/>
      </w:rPr>
    </w:lvl>
  </w:abstractNum>
  <w:abstractNum w:abstractNumId="4">
    <w:nsid w:val="DCCDE3B6"/>
    <w:multiLevelType w:val="singleLevel"/>
    <w:tmpl w:val="DCCDE3B6"/>
    <w:lvl w:ilvl="0" w:tentative="0">
      <w:start w:val="1"/>
      <w:numFmt w:val="decimal"/>
      <w:lvlText w:val="%1"/>
      <w:lvlJc w:val="left"/>
      <w:pPr>
        <w:tabs>
          <w:tab w:val="left" w:pos="0"/>
        </w:tabs>
        <w:ind w:left="0" w:firstLine="0"/>
      </w:pPr>
      <w:rPr>
        <w:rFonts w:hint="default"/>
      </w:rPr>
    </w:lvl>
  </w:abstractNum>
  <w:abstractNum w:abstractNumId="5">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2"/>
      <w:suff w:val="nothing"/>
      <w:lvlText w:val="(%2)"/>
      <w:lvlJc w:val="left"/>
      <w:pPr>
        <w:ind w:left="0" w:firstLine="0"/>
      </w:pPr>
      <w:rPr>
        <w:rFonts w:hint="eastAsia" w:ascii="宋体" w:hAnsi="宋体" w:eastAsia="宋体" w:cs="宋体"/>
      </w:rPr>
    </w:lvl>
    <w:lvl w:ilvl="2" w:tentative="0">
      <w:start w:val="1"/>
      <w:numFmt w:val="decimal"/>
      <w:pStyle w:val="35"/>
      <w:suff w:val="nothing"/>
      <w:lvlText w:val="%3."/>
      <w:lvlJc w:val="left"/>
      <w:pPr>
        <w:ind w:left="0" w:firstLine="0"/>
      </w:pPr>
      <w:rPr>
        <w:rFonts w:hint="eastAsia" w:ascii="宋体" w:hAnsi="宋体" w:eastAsia="宋体" w:cs="宋体"/>
      </w:rPr>
    </w:lvl>
    <w:lvl w:ilvl="3" w:tentative="0">
      <w:start w:val="1"/>
      <w:numFmt w:val="decimal"/>
      <w:pStyle w:val="36"/>
      <w:suff w:val="nothing"/>
      <w:lvlText w:val="%3.%4"/>
      <w:lvlJc w:val="left"/>
      <w:pPr>
        <w:ind w:left="0" w:firstLine="0"/>
      </w:pPr>
      <w:rPr>
        <w:rFonts w:hint="eastAsia" w:ascii="宋体" w:hAnsi="宋体" w:eastAsia="宋体" w:cs="宋体"/>
      </w:rPr>
    </w:lvl>
    <w:lvl w:ilvl="4" w:tentative="0">
      <w:start w:val="1"/>
      <w:numFmt w:val="decimal"/>
      <w:pStyle w:val="37"/>
      <w:suff w:val="nothing"/>
      <w:lvlText w:val="(%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6">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7">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8">
    <w:nsid w:val="FD312932"/>
    <w:multiLevelType w:val="singleLevel"/>
    <w:tmpl w:val="FD312932"/>
    <w:lvl w:ilvl="0" w:tentative="0">
      <w:start w:val="3"/>
      <w:numFmt w:val="chineseCounting"/>
      <w:lvlText w:val="(%1)"/>
      <w:lvlJc w:val="left"/>
      <w:pPr>
        <w:tabs>
          <w:tab w:val="left" w:pos="312"/>
        </w:tabs>
      </w:pPr>
      <w:rPr>
        <w:rFonts w:hint="eastAsia"/>
      </w:rPr>
    </w:lvl>
  </w:abstractNum>
  <w:abstractNum w:abstractNumId="9">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0">
    <w:nsid w:val="0D3DD0CB"/>
    <w:multiLevelType w:val="singleLevel"/>
    <w:tmpl w:val="0D3DD0CB"/>
    <w:lvl w:ilvl="0" w:tentative="0">
      <w:start w:val="1"/>
      <w:numFmt w:val="decimal"/>
      <w:lvlText w:val="%1."/>
      <w:lvlJc w:val="left"/>
      <w:pPr>
        <w:tabs>
          <w:tab w:val="left" w:pos="312"/>
        </w:tabs>
      </w:p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5912557E"/>
    <w:multiLevelType w:val="singleLevel"/>
    <w:tmpl w:val="5912557E"/>
    <w:lvl w:ilvl="0" w:tentative="0">
      <w:start w:val="1"/>
      <w:numFmt w:val="chineseCounting"/>
      <w:suff w:val="nothing"/>
      <w:lvlText w:val="%1、"/>
      <w:lvlJc w:val="left"/>
      <w:rPr>
        <w:rFonts w:hint="eastAsia"/>
      </w:rPr>
    </w:lvl>
  </w:abstractNum>
  <w:abstractNum w:abstractNumId="13">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5"/>
  </w:num>
  <w:num w:numId="2">
    <w:abstractNumId w:val="11"/>
  </w:num>
  <w:num w:numId="3">
    <w:abstractNumId w:val="0"/>
  </w:num>
  <w:num w:numId="4">
    <w:abstractNumId w:val="1"/>
  </w:num>
  <w:num w:numId="5">
    <w:abstractNumId w:val="3"/>
  </w:num>
  <w:num w:numId="6">
    <w:abstractNumId w:val="2"/>
  </w:num>
  <w:num w:numId="7">
    <w:abstractNumId w:val="9"/>
  </w:num>
  <w:num w:numId="8">
    <w:abstractNumId w:val="4"/>
  </w:num>
  <w:num w:numId="9">
    <w:abstractNumId w:val="1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936B4"/>
    <w:rsid w:val="001B6050"/>
    <w:rsid w:val="001B7BB6"/>
    <w:rsid w:val="001C42C5"/>
    <w:rsid w:val="001E2AED"/>
    <w:rsid w:val="001E6880"/>
    <w:rsid w:val="001E6888"/>
    <w:rsid w:val="00216F2C"/>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CA6"/>
    <w:rsid w:val="002E5F48"/>
    <w:rsid w:val="002F05A6"/>
    <w:rsid w:val="002F3BB7"/>
    <w:rsid w:val="00315B60"/>
    <w:rsid w:val="003274CB"/>
    <w:rsid w:val="00346B27"/>
    <w:rsid w:val="00347724"/>
    <w:rsid w:val="00353E82"/>
    <w:rsid w:val="00396369"/>
    <w:rsid w:val="003B2228"/>
    <w:rsid w:val="003C13E4"/>
    <w:rsid w:val="003D21F1"/>
    <w:rsid w:val="003E1DCC"/>
    <w:rsid w:val="003F4651"/>
    <w:rsid w:val="00410967"/>
    <w:rsid w:val="00411E40"/>
    <w:rsid w:val="00415E21"/>
    <w:rsid w:val="00445ADF"/>
    <w:rsid w:val="00461C19"/>
    <w:rsid w:val="00464832"/>
    <w:rsid w:val="0046727E"/>
    <w:rsid w:val="00482071"/>
    <w:rsid w:val="00483674"/>
    <w:rsid w:val="004861AE"/>
    <w:rsid w:val="00486D20"/>
    <w:rsid w:val="0049224F"/>
    <w:rsid w:val="00495036"/>
    <w:rsid w:val="004A07C5"/>
    <w:rsid w:val="004A6781"/>
    <w:rsid w:val="004A7D40"/>
    <w:rsid w:val="004B4092"/>
    <w:rsid w:val="004E0FDD"/>
    <w:rsid w:val="004F2F95"/>
    <w:rsid w:val="004F4409"/>
    <w:rsid w:val="00506600"/>
    <w:rsid w:val="00526D76"/>
    <w:rsid w:val="00551430"/>
    <w:rsid w:val="00554499"/>
    <w:rsid w:val="00557A19"/>
    <w:rsid w:val="00570E40"/>
    <w:rsid w:val="00573162"/>
    <w:rsid w:val="005C4417"/>
    <w:rsid w:val="005F3F05"/>
    <w:rsid w:val="00603B04"/>
    <w:rsid w:val="0060449E"/>
    <w:rsid w:val="006058A4"/>
    <w:rsid w:val="006109FE"/>
    <w:rsid w:val="00614BF4"/>
    <w:rsid w:val="00616B6E"/>
    <w:rsid w:val="00633858"/>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57F8"/>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107E7"/>
    <w:rsid w:val="009257BB"/>
    <w:rsid w:val="00931981"/>
    <w:rsid w:val="00932AFD"/>
    <w:rsid w:val="00942ED3"/>
    <w:rsid w:val="00945986"/>
    <w:rsid w:val="00946F94"/>
    <w:rsid w:val="00990893"/>
    <w:rsid w:val="009C43E6"/>
    <w:rsid w:val="009D01D2"/>
    <w:rsid w:val="009D06FF"/>
    <w:rsid w:val="009E1E4F"/>
    <w:rsid w:val="009F4A8A"/>
    <w:rsid w:val="009F5992"/>
    <w:rsid w:val="00A17FD4"/>
    <w:rsid w:val="00A23AFB"/>
    <w:rsid w:val="00A3273B"/>
    <w:rsid w:val="00A466E6"/>
    <w:rsid w:val="00A47F1F"/>
    <w:rsid w:val="00A5408A"/>
    <w:rsid w:val="00A75A1A"/>
    <w:rsid w:val="00A837A5"/>
    <w:rsid w:val="00A851B6"/>
    <w:rsid w:val="00A95C07"/>
    <w:rsid w:val="00AA51C1"/>
    <w:rsid w:val="00AB65CA"/>
    <w:rsid w:val="00AB67D8"/>
    <w:rsid w:val="00AC2F78"/>
    <w:rsid w:val="00AC5E59"/>
    <w:rsid w:val="00AE0DDD"/>
    <w:rsid w:val="00AE67F6"/>
    <w:rsid w:val="00AF3998"/>
    <w:rsid w:val="00B07B2E"/>
    <w:rsid w:val="00B31CC3"/>
    <w:rsid w:val="00B60AE1"/>
    <w:rsid w:val="00B6648B"/>
    <w:rsid w:val="00BA69F4"/>
    <w:rsid w:val="00BA6D13"/>
    <w:rsid w:val="00BB299F"/>
    <w:rsid w:val="00BE1766"/>
    <w:rsid w:val="00BF4E9E"/>
    <w:rsid w:val="00C00F81"/>
    <w:rsid w:val="00C17A63"/>
    <w:rsid w:val="00C35487"/>
    <w:rsid w:val="00C43BC1"/>
    <w:rsid w:val="00C937BA"/>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06D95"/>
    <w:rsid w:val="00E2173D"/>
    <w:rsid w:val="00E374A6"/>
    <w:rsid w:val="00E52593"/>
    <w:rsid w:val="00E53568"/>
    <w:rsid w:val="00E72469"/>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2329"/>
    <w:rsid w:val="00F4295B"/>
    <w:rsid w:val="00F714C7"/>
    <w:rsid w:val="00F8367C"/>
    <w:rsid w:val="00F9177B"/>
    <w:rsid w:val="00FF4C4F"/>
    <w:rsid w:val="01051DA8"/>
    <w:rsid w:val="012555D4"/>
    <w:rsid w:val="0126146B"/>
    <w:rsid w:val="012B7796"/>
    <w:rsid w:val="013D1C8A"/>
    <w:rsid w:val="013F0F7C"/>
    <w:rsid w:val="01464694"/>
    <w:rsid w:val="014F3C47"/>
    <w:rsid w:val="015258FF"/>
    <w:rsid w:val="0156446F"/>
    <w:rsid w:val="015F4D6C"/>
    <w:rsid w:val="01657C1C"/>
    <w:rsid w:val="016A18CE"/>
    <w:rsid w:val="01782F69"/>
    <w:rsid w:val="0186780C"/>
    <w:rsid w:val="01876A1F"/>
    <w:rsid w:val="018A5DC5"/>
    <w:rsid w:val="018F03FE"/>
    <w:rsid w:val="019377A3"/>
    <w:rsid w:val="01A96BB6"/>
    <w:rsid w:val="01AA6553"/>
    <w:rsid w:val="01B763DC"/>
    <w:rsid w:val="01BC53AC"/>
    <w:rsid w:val="01C43DE1"/>
    <w:rsid w:val="01C91C5F"/>
    <w:rsid w:val="01CC61D9"/>
    <w:rsid w:val="01D118F0"/>
    <w:rsid w:val="01E366FD"/>
    <w:rsid w:val="02132164"/>
    <w:rsid w:val="0219501B"/>
    <w:rsid w:val="02195753"/>
    <w:rsid w:val="02286712"/>
    <w:rsid w:val="0229654E"/>
    <w:rsid w:val="023372E3"/>
    <w:rsid w:val="02362CC5"/>
    <w:rsid w:val="0241752C"/>
    <w:rsid w:val="02532F87"/>
    <w:rsid w:val="02676F4A"/>
    <w:rsid w:val="026D6F05"/>
    <w:rsid w:val="026D704D"/>
    <w:rsid w:val="02735026"/>
    <w:rsid w:val="027655B6"/>
    <w:rsid w:val="02792F82"/>
    <w:rsid w:val="02825F13"/>
    <w:rsid w:val="028430AA"/>
    <w:rsid w:val="028879D9"/>
    <w:rsid w:val="02932615"/>
    <w:rsid w:val="029C52F0"/>
    <w:rsid w:val="02A14D74"/>
    <w:rsid w:val="02A9227A"/>
    <w:rsid w:val="02AA5D42"/>
    <w:rsid w:val="02AE7975"/>
    <w:rsid w:val="02B43DAD"/>
    <w:rsid w:val="02BB62A0"/>
    <w:rsid w:val="02C8779F"/>
    <w:rsid w:val="02CD0DDD"/>
    <w:rsid w:val="02D904A0"/>
    <w:rsid w:val="02D919B6"/>
    <w:rsid w:val="02D9316D"/>
    <w:rsid w:val="02D94FCE"/>
    <w:rsid w:val="02DC1FED"/>
    <w:rsid w:val="02DD3DF1"/>
    <w:rsid w:val="02E02D5C"/>
    <w:rsid w:val="02E213EC"/>
    <w:rsid w:val="02E247AD"/>
    <w:rsid w:val="02E3266E"/>
    <w:rsid w:val="02F35DDE"/>
    <w:rsid w:val="02F71628"/>
    <w:rsid w:val="02F94AB2"/>
    <w:rsid w:val="0302424D"/>
    <w:rsid w:val="030514DF"/>
    <w:rsid w:val="030662A1"/>
    <w:rsid w:val="0312038B"/>
    <w:rsid w:val="03132B33"/>
    <w:rsid w:val="031C70D4"/>
    <w:rsid w:val="03200E37"/>
    <w:rsid w:val="0321449C"/>
    <w:rsid w:val="03262BDB"/>
    <w:rsid w:val="03486A36"/>
    <w:rsid w:val="0350391F"/>
    <w:rsid w:val="03532C0C"/>
    <w:rsid w:val="035B6560"/>
    <w:rsid w:val="035D5DC5"/>
    <w:rsid w:val="03685373"/>
    <w:rsid w:val="036C5CEA"/>
    <w:rsid w:val="036E7CB0"/>
    <w:rsid w:val="03722B42"/>
    <w:rsid w:val="03770FAA"/>
    <w:rsid w:val="0389180B"/>
    <w:rsid w:val="039261BA"/>
    <w:rsid w:val="0399335B"/>
    <w:rsid w:val="039B3B73"/>
    <w:rsid w:val="03A1062D"/>
    <w:rsid w:val="03A16FDA"/>
    <w:rsid w:val="03AA20AF"/>
    <w:rsid w:val="03AA4C9A"/>
    <w:rsid w:val="03B25307"/>
    <w:rsid w:val="03C23BAF"/>
    <w:rsid w:val="03C40ABE"/>
    <w:rsid w:val="03C86ECF"/>
    <w:rsid w:val="03D3535E"/>
    <w:rsid w:val="03D60077"/>
    <w:rsid w:val="03D942A6"/>
    <w:rsid w:val="03DB670B"/>
    <w:rsid w:val="03E3449B"/>
    <w:rsid w:val="03ED7A5F"/>
    <w:rsid w:val="03F050BD"/>
    <w:rsid w:val="03F22B46"/>
    <w:rsid w:val="03F7077E"/>
    <w:rsid w:val="03FB00F1"/>
    <w:rsid w:val="04053316"/>
    <w:rsid w:val="041E23EC"/>
    <w:rsid w:val="04200D5F"/>
    <w:rsid w:val="04237D4F"/>
    <w:rsid w:val="042E0EC7"/>
    <w:rsid w:val="0431295A"/>
    <w:rsid w:val="043C7F61"/>
    <w:rsid w:val="044135BA"/>
    <w:rsid w:val="044D771D"/>
    <w:rsid w:val="044F225E"/>
    <w:rsid w:val="0453127A"/>
    <w:rsid w:val="045C025A"/>
    <w:rsid w:val="046242B6"/>
    <w:rsid w:val="04652152"/>
    <w:rsid w:val="04671AF4"/>
    <w:rsid w:val="0467789F"/>
    <w:rsid w:val="046D5C58"/>
    <w:rsid w:val="046F52E9"/>
    <w:rsid w:val="047B1E84"/>
    <w:rsid w:val="04802939"/>
    <w:rsid w:val="04841778"/>
    <w:rsid w:val="04892F7A"/>
    <w:rsid w:val="04931FAD"/>
    <w:rsid w:val="049B4341"/>
    <w:rsid w:val="049C59A1"/>
    <w:rsid w:val="049C75C3"/>
    <w:rsid w:val="04A111B3"/>
    <w:rsid w:val="04B830C1"/>
    <w:rsid w:val="04BC54CF"/>
    <w:rsid w:val="04C37368"/>
    <w:rsid w:val="04C756B4"/>
    <w:rsid w:val="04C81FF0"/>
    <w:rsid w:val="04D16A5A"/>
    <w:rsid w:val="04DE5598"/>
    <w:rsid w:val="04DE5CC1"/>
    <w:rsid w:val="04E64236"/>
    <w:rsid w:val="04F51041"/>
    <w:rsid w:val="04FB6CA5"/>
    <w:rsid w:val="04FF4175"/>
    <w:rsid w:val="05007FDC"/>
    <w:rsid w:val="05204AF2"/>
    <w:rsid w:val="05232BB3"/>
    <w:rsid w:val="05291A4F"/>
    <w:rsid w:val="052A62FE"/>
    <w:rsid w:val="053C2598"/>
    <w:rsid w:val="05470F74"/>
    <w:rsid w:val="054A2BA3"/>
    <w:rsid w:val="054C64AA"/>
    <w:rsid w:val="054D4504"/>
    <w:rsid w:val="05533444"/>
    <w:rsid w:val="055B0459"/>
    <w:rsid w:val="055C36F3"/>
    <w:rsid w:val="055D32D9"/>
    <w:rsid w:val="056D77F4"/>
    <w:rsid w:val="05721731"/>
    <w:rsid w:val="057C1154"/>
    <w:rsid w:val="05845294"/>
    <w:rsid w:val="0586026D"/>
    <w:rsid w:val="05A668A5"/>
    <w:rsid w:val="05A74ED3"/>
    <w:rsid w:val="05AA6ECF"/>
    <w:rsid w:val="05B51AB9"/>
    <w:rsid w:val="05B55267"/>
    <w:rsid w:val="05BB71FC"/>
    <w:rsid w:val="05C14E93"/>
    <w:rsid w:val="05CB5549"/>
    <w:rsid w:val="05D65E1E"/>
    <w:rsid w:val="05E06FF9"/>
    <w:rsid w:val="05E75606"/>
    <w:rsid w:val="05EE7A21"/>
    <w:rsid w:val="05F74FD6"/>
    <w:rsid w:val="06015BFD"/>
    <w:rsid w:val="06205349"/>
    <w:rsid w:val="062E1A31"/>
    <w:rsid w:val="06341AEA"/>
    <w:rsid w:val="063C41FB"/>
    <w:rsid w:val="063D7723"/>
    <w:rsid w:val="0644691C"/>
    <w:rsid w:val="06473E71"/>
    <w:rsid w:val="064C13DA"/>
    <w:rsid w:val="064E2053"/>
    <w:rsid w:val="064E6F75"/>
    <w:rsid w:val="06607022"/>
    <w:rsid w:val="06621D45"/>
    <w:rsid w:val="06640B64"/>
    <w:rsid w:val="06657762"/>
    <w:rsid w:val="06681512"/>
    <w:rsid w:val="066D09E8"/>
    <w:rsid w:val="066D20E0"/>
    <w:rsid w:val="06756DF3"/>
    <w:rsid w:val="06791870"/>
    <w:rsid w:val="068B4BC1"/>
    <w:rsid w:val="068D572D"/>
    <w:rsid w:val="068E4102"/>
    <w:rsid w:val="068F14A0"/>
    <w:rsid w:val="06954C45"/>
    <w:rsid w:val="069B7D6F"/>
    <w:rsid w:val="06AB7088"/>
    <w:rsid w:val="06C14990"/>
    <w:rsid w:val="06C255FB"/>
    <w:rsid w:val="06C27DB7"/>
    <w:rsid w:val="06C466BB"/>
    <w:rsid w:val="06CC4655"/>
    <w:rsid w:val="06CE4B5A"/>
    <w:rsid w:val="06CF005C"/>
    <w:rsid w:val="06D2689F"/>
    <w:rsid w:val="06DC4238"/>
    <w:rsid w:val="06E16933"/>
    <w:rsid w:val="06E554EF"/>
    <w:rsid w:val="06E66FD9"/>
    <w:rsid w:val="06E91B3A"/>
    <w:rsid w:val="06F23D1E"/>
    <w:rsid w:val="06FF392B"/>
    <w:rsid w:val="07057562"/>
    <w:rsid w:val="07065AD5"/>
    <w:rsid w:val="070F00B4"/>
    <w:rsid w:val="07124B3B"/>
    <w:rsid w:val="07144A09"/>
    <w:rsid w:val="072209DC"/>
    <w:rsid w:val="07282D9A"/>
    <w:rsid w:val="072A238A"/>
    <w:rsid w:val="073561EB"/>
    <w:rsid w:val="073B634E"/>
    <w:rsid w:val="073C2D1E"/>
    <w:rsid w:val="0743036E"/>
    <w:rsid w:val="074C58DC"/>
    <w:rsid w:val="07525C32"/>
    <w:rsid w:val="075615A8"/>
    <w:rsid w:val="075F0056"/>
    <w:rsid w:val="07641D0D"/>
    <w:rsid w:val="07662674"/>
    <w:rsid w:val="0767483A"/>
    <w:rsid w:val="07821D74"/>
    <w:rsid w:val="07897B46"/>
    <w:rsid w:val="078C436E"/>
    <w:rsid w:val="078E3712"/>
    <w:rsid w:val="07913B51"/>
    <w:rsid w:val="07A31B05"/>
    <w:rsid w:val="07A713F7"/>
    <w:rsid w:val="07C36603"/>
    <w:rsid w:val="07C40FCD"/>
    <w:rsid w:val="07C65804"/>
    <w:rsid w:val="07D7335A"/>
    <w:rsid w:val="07D879E1"/>
    <w:rsid w:val="07D90DBE"/>
    <w:rsid w:val="07E0507A"/>
    <w:rsid w:val="07E761B7"/>
    <w:rsid w:val="080B763A"/>
    <w:rsid w:val="080E6C62"/>
    <w:rsid w:val="080F0A18"/>
    <w:rsid w:val="080F372F"/>
    <w:rsid w:val="081A6BAD"/>
    <w:rsid w:val="08273974"/>
    <w:rsid w:val="082A73B9"/>
    <w:rsid w:val="082F56F4"/>
    <w:rsid w:val="08372ED5"/>
    <w:rsid w:val="08400F85"/>
    <w:rsid w:val="084D1037"/>
    <w:rsid w:val="084F0EED"/>
    <w:rsid w:val="085049F9"/>
    <w:rsid w:val="08541F2D"/>
    <w:rsid w:val="086379DD"/>
    <w:rsid w:val="08795873"/>
    <w:rsid w:val="08872D9E"/>
    <w:rsid w:val="08885FE3"/>
    <w:rsid w:val="08903BD8"/>
    <w:rsid w:val="08A23037"/>
    <w:rsid w:val="08A4283A"/>
    <w:rsid w:val="08AB41F4"/>
    <w:rsid w:val="08B0513C"/>
    <w:rsid w:val="08B36604"/>
    <w:rsid w:val="08BE07C4"/>
    <w:rsid w:val="08C0336E"/>
    <w:rsid w:val="08C203AB"/>
    <w:rsid w:val="08C318A1"/>
    <w:rsid w:val="08D539E3"/>
    <w:rsid w:val="08DB73B0"/>
    <w:rsid w:val="08DE1C47"/>
    <w:rsid w:val="08E720D9"/>
    <w:rsid w:val="08E86909"/>
    <w:rsid w:val="08EC63BA"/>
    <w:rsid w:val="08EE6DAF"/>
    <w:rsid w:val="08FD0364"/>
    <w:rsid w:val="09030899"/>
    <w:rsid w:val="09102109"/>
    <w:rsid w:val="09117007"/>
    <w:rsid w:val="091D71CF"/>
    <w:rsid w:val="09203EE5"/>
    <w:rsid w:val="0926603B"/>
    <w:rsid w:val="09341893"/>
    <w:rsid w:val="093B5F9E"/>
    <w:rsid w:val="09442B1E"/>
    <w:rsid w:val="09474FBC"/>
    <w:rsid w:val="094D4667"/>
    <w:rsid w:val="094F50A3"/>
    <w:rsid w:val="09550175"/>
    <w:rsid w:val="095725CF"/>
    <w:rsid w:val="096B0AA9"/>
    <w:rsid w:val="096B20A4"/>
    <w:rsid w:val="097312E0"/>
    <w:rsid w:val="098413C0"/>
    <w:rsid w:val="098D5EE5"/>
    <w:rsid w:val="098E57E7"/>
    <w:rsid w:val="099B0E28"/>
    <w:rsid w:val="09B024F6"/>
    <w:rsid w:val="09CC3BAD"/>
    <w:rsid w:val="09CC461B"/>
    <w:rsid w:val="09D12789"/>
    <w:rsid w:val="09D76A9E"/>
    <w:rsid w:val="09E05714"/>
    <w:rsid w:val="09E244D3"/>
    <w:rsid w:val="09E34DC5"/>
    <w:rsid w:val="09E44204"/>
    <w:rsid w:val="09EE13EC"/>
    <w:rsid w:val="09EE22B5"/>
    <w:rsid w:val="09F410FD"/>
    <w:rsid w:val="09F568C1"/>
    <w:rsid w:val="0A076898"/>
    <w:rsid w:val="0A0E02AF"/>
    <w:rsid w:val="0A141092"/>
    <w:rsid w:val="0A18215B"/>
    <w:rsid w:val="0A183B38"/>
    <w:rsid w:val="0A197DF4"/>
    <w:rsid w:val="0A1C206E"/>
    <w:rsid w:val="0A1F3AFB"/>
    <w:rsid w:val="0A2939E7"/>
    <w:rsid w:val="0A327BEE"/>
    <w:rsid w:val="0A3D4730"/>
    <w:rsid w:val="0A406793"/>
    <w:rsid w:val="0A4311D0"/>
    <w:rsid w:val="0A4F2112"/>
    <w:rsid w:val="0A517241"/>
    <w:rsid w:val="0A562EAD"/>
    <w:rsid w:val="0A6D4041"/>
    <w:rsid w:val="0A88671B"/>
    <w:rsid w:val="0A941E7B"/>
    <w:rsid w:val="0A997F03"/>
    <w:rsid w:val="0AA36EC0"/>
    <w:rsid w:val="0ABF45E0"/>
    <w:rsid w:val="0AC2238D"/>
    <w:rsid w:val="0AC55D93"/>
    <w:rsid w:val="0AD029E3"/>
    <w:rsid w:val="0AD20D78"/>
    <w:rsid w:val="0AD95FEE"/>
    <w:rsid w:val="0AEB1D55"/>
    <w:rsid w:val="0AEC273E"/>
    <w:rsid w:val="0AEF28BE"/>
    <w:rsid w:val="0AFD2BCB"/>
    <w:rsid w:val="0B030A0E"/>
    <w:rsid w:val="0B0E68CA"/>
    <w:rsid w:val="0B165FCB"/>
    <w:rsid w:val="0B180ECD"/>
    <w:rsid w:val="0B1C1A41"/>
    <w:rsid w:val="0B1C4529"/>
    <w:rsid w:val="0B320ED8"/>
    <w:rsid w:val="0B373A25"/>
    <w:rsid w:val="0B450456"/>
    <w:rsid w:val="0B490628"/>
    <w:rsid w:val="0B4D084E"/>
    <w:rsid w:val="0B5001FD"/>
    <w:rsid w:val="0B52083E"/>
    <w:rsid w:val="0B5D62E7"/>
    <w:rsid w:val="0B5E6C1B"/>
    <w:rsid w:val="0B707612"/>
    <w:rsid w:val="0B781E3E"/>
    <w:rsid w:val="0B7C78A1"/>
    <w:rsid w:val="0B8A2E8C"/>
    <w:rsid w:val="0B8B391E"/>
    <w:rsid w:val="0B94665C"/>
    <w:rsid w:val="0B9B3CCE"/>
    <w:rsid w:val="0B9F7D3B"/>
    <w:rsid w:val="0BA527D4"/>
    <w:rsid w:val="0BA62356"/>
    <w:rsid w:val="0BB90051"/>
    <w:rsid w:val="0BC52720"/>
    <w:rsid w:val="0BCF0D6E"/>
    <w:rsid w:val="0BD076BF"/>
    <w:rsid w:val="0BD625CB"/>
    <w:rsid w:val="0BDD0790"/>
    <w:rsid w:val="0BDD4638"/>
    <w:rsid w:val="0BF05CF9"/>
    <w:rsid w:val="0BF5093F"/>
    <w:rsid w:val="0BF740B1"/>
    <w:rsid w:val="0C027A50"/>
    <w:rsid w:val="0C095932"/>
    <w:rsid w:val="0C0D7E74"/>
    <w:rsid w:val="0C0E3CFD"/>
    <w:rsid w:val="0C154760"/>
    <w:rsid w:val="0C166DCE"/>
    <w:rsid w:val="0C3913BF"/>
    <w:rsid w:val="0C3D3005"/>
    <w:rsid w:val="0C4A22DA"/>
    <w:rsid w:val="0C5815BD"/>
    <w:rsid w:val="0C593A85"/>
    <w:rsid w:val="0C6068FF"/>
    <w:rsid w:val="0C6658D4"/>
    <w:rsid w:val="0C6F3B75"/>
    <w:rsid w:val="0C833C3C"/>
    <w:rsid w:val="0C866B45"/>
    <w:rsid w:val="0C8C56BB"/>
    <w:rsid w:val="0C9F74EE"/>
    <w:rsid w:val="0CA53F3A"/>
    <w:rsid w:val="0CA87886"/>
    <w:rsid w:val="0CAF57CC"/>
    <w:rsid w:val="0CB0086B"/>
    <w:rsid w:val="0CC06DC6"/>
    <w:rsid w:val="0CC12374"/>
    <w:rsid w:val="0CC5099D"/>
    <w:rsid w:val="0CD2452D"/>
    <w:rsid w:val="0CDC30C8"/>
    <w:rsid w:val="0CE94F94"/>
    <w:rsid w:val="0CED067B"/>
    <w:rsid w:val="0CFC6488"/>
    <w:rsid w:val="0D003320"/>
    <w:rsid w:val="0D075B70"/>
    <w:rsid w:val="0D1158BC"/>
    <w:rsid w:val="0D1D475D"/>
    <w:rsid w:val="0D1D5BF4"/>
    <w:rsid w:val="0D1E59D9"/>
    <w:rsid w:val="0D2A2A66"/>
    <w:rsid w:val="0D2E7CDA"/>
    <w:rsid w:val="0D3730A0"/>
    <w:rsid w:val="0D4A61F6"/>
    <w:rsid w:val="0D5A4C9D"/>
    <w:rsid w:val="0D5E127F"/>
    <w:rsid w:val="0D6147B8"/>
    <w:rsid w:val="0D636535"/>
    <w:rsid w:val="0D741C11"/>
    <w:rsid w:val="0D790005"/>
    <w:rsid w:val="0D793F75"/>
    <w:rsid w:val="0D8323B8"/>
    <w:rsid w:val="0D8D191C"/>
    <w:rsid w:val="0D8D3FD0"/>
    <w:rsid w:val="0D9174C8"/>
    <w:rsid w:val="0D947DEF"/>
    <w:rsid w:val="0D9960F6"/>
    <w:rsid w:val="0D9B3836"/>
    <w:rsid w:val="0D9D017D"/>
    <w:rsid w:val="0DB87064"/>
    <w:rsid w:val="0DC91B52"/>
    <w:rsid w:val="0DD21591"/>
    <w:rsid w:val="0DD306E3"/>
    <w:rsid w:val="0DD37D4F"/>
    <w:rsid w:val="0DDE2D32"/>
    <w:rsid w:val="0DFD4EF2"/>
    <w:rsid w:val="0E0B6435"/>
    <w:rsid w:val="0E105F97"/>
    <w:rsid w:val="0E1B5141"/>
    <w:rsid w:val="0E1D4C94"/>
    <w:rsid w:val="0E1E01D2"/>
    <w:rsid w:val="0E237ECF"/>
    <w:rsid w:val="0E2A4EDC"/>
    <w:rsid w:val="0E2C57A6"/>
    <w:rsid w:val="0E3B4AAC"/>
    <w:rsid w:val="0E3D63C6"/>
    <w:rsid w:val="0E444E25"/>
    <w:rsid w:val="0E4528EE"/>
    <w:rsid w:val="0E463F6A"/>
    <w:rsid w:val="0E4E095A"/>
    <w:rsid w:val="0E533A22"/>
    <w:rsid w:val="0E5400D2"/>
    <w:rsid w:val="0E5D50FC"/>
    <w:rsid w:val="0E5E0B3E"/>
    <w:rsid w:val="0E6C2D82"/>
    <w:rsid w:val="0E6F7593"/>
    <w:rsid w:val="0E767DF8"/>
    <w:rsid w:val="0E8D2FCC"/>
    <w:rsid w:val="0E9944EA"/>
    <w:rsid w:val="0EAC0DC8"/>
    <w:rsid w:val="0EB331E4"/>
    <w:rsid w:val="0EB5186D"/>
    <w:rsid w:val="0EB968BD"/>
    <w:rsid w:val="0ECF6E99"/>
    <w:rsid w:val="0ECF73CE"/>
    <w:rsid w:val="0ED45063"/>
    <w:rsid w:val="0ED57EB9"/>
    <w:rsid w:val="0ED8391C"/>
    <w:rsid w:val="0ED923CE"/>
    <w:rsid w:val="0EDE3C73"/>
    <w:rsid w:val="0F090320"/>
    <w:rsid w:val="0F155C7F"/>
    <w:rsid w:val="0F2E639F"/>
    <w:rsid w:val="0F3E19F3"/>
    <w:rsid w:val="0F3E4FBF"/>
    <w:rsid w:val="0F4527B9"/>
    <w:rsid w:val="0F456F43"/>
    <w:rsid w:val="0F4A5B13"/>
    <w:rsid w:val="0F4F7F5C"/>
    <w:rsid w:val="0F552295"/>
    <w:rsid w:val="0F553935"/>
    <w:rsid w:val="0F555D3E"/>
    <w:rsid w:val="0F7331B1"/>
    <w:rsid w:val="0F760C1E"/>
    <w:rsid w:val="0F7E2AEE"/>
    <w:rsid w:val="0F830CF9"/>
    <w:rsid w:val="0F845AA7"/>
    <w:rsid w:val="0F8807D3"/>
    <w:rsid w:val="0F8C60EA"/>
    <w:rsid w:val="0F9677C5"/>
    <w:rsid w:val="0F985025"/>
    <w:rsid w:val="0FA355C9"/>
    <w:rsid w:val="0FA715B7"/>
    <w:rsid w:val="0FAA2BE2"/>
    <w:rsid w:val="0FAB0735"/>
    <w:rsid w:val="0FAB73CF"/>
    <w:rsid w:val="0FAD56C7"/>
    <w:rsid w:val="0FBA136E"/>
    <w:rsid w:val="0FBD3F9D"/>
    <w:rsid w:val="0FBF225D"/>
    <w:rsid w:val="0FC121E4"/>
    <w:rsid w:val="0FC67596"/>
    <w:rsid w:val="0FCB4CB4"/>
    <w:rsid w:val="0FD23538"/>
    <w:rsid w:val="0FE866A2"/>
    <w:rsid w:val="0FEA7956"/>
    <w:rsid w:val="0FF2619D"/>
    <w:rsid w:val="10002E78"/>
    <w:rsid w:val="10091E06"/>
    <w:rsid w:val="100A088B"/>
    <w:rsid w:val="1014463D"/>
    <w:rsid w:val="101E557F"/>
    <w:rsid w:val="10220902"/>
    <w:rsid w:val="102915EA"/>
    <w:rsid w:val="1030329B"/>
    <w:rsid w:val="10392A71"/>
    <w:rsid w:val="10394E6C"/>
    <w:rsid w:val="10464329"/>
    <w:rsid w:val="105E4D49"/>
    <w:rsid w:val="106B4E55"/>
    <w:rsid w:val="10753860"/>
    <w:rsid w:val="10780F20"/>
    <w:rsid w:val="107921C2"/>
    <w:rsid w:val="107E07FE"/>
    <w:rsid w:val="10804B06"/>
    <w:rsid w:val="10897B59"/>
    <w:rsid w:val="108B5C75"/>
    <w:rsid w:val="10927871"/>
    <w:rsid w:val="109A0EBC"/>
    <w:rsid w:val="109B2457"/>
    <w:rsid w:val="10A25B54"/>
    <w:rsid w:val="10A82EFA"/>
    <w:rsid w:val="10A86948"/>
    <w:rsid w:val="10BD4B6E"/>
    <w:rsid w:val="10D11D52"/>
    <w:rsid w:val="10D8733A"/>
    <w:rsid w:val="10E55858"/>
    <w:rsid w:val="10E8122E"/>
    <w:rsid w:val="10F16B8E"/>
    <w:rsid w:val="10F371A5"/>
    <w:rsid w:val="10FA723B"/>
    <w:rsid w:val="10FD57A5"/>
    <w:rsid w:val="11002024"/>
    <w:rsid w:val="1101215E"/>
    <w:rsid w:val="11051170"/>
    <w:rsid w:val="11070673"/>
    <w:rsid w:val="1107086A"/>
    <w:rsid w:val="110944F8"/>
    <w:rsid w:val="111B01DA"/>
    <w:rsid w:val="111D7A3C"/>
    <w:rsid w:val="112673D2"/>
    <w:rsid w:val="11272A81"/>
    <w:rsid w:val="11343C71"/>
    <w:rsid w:val="1135344F"/>
    <w:rsid w:val="113A24A1"/>
    <w:rsid w:val="113B7B50"/>
    <w:rsid w:val="113C21BE"/>
    <w:rsid w:val="113F2FF0"/>
    <w:rsid w:val="1140061F"/>
    <w:rsid w:val="1143758D"/>
    <w:rsid w:val="11511756"/>
    <w:rsid w:val="1158535A"/>
    <w:rsid w:val="1166278E"/>
    <w:rsid w:val="116D186E"/>
    <w:rsid w:val="116D53E1"/>
    <w:rsid w:val="1170715C"/>
    <w:rsid w:val="11722F9E"/>
    <w:rsid w:val="11763534"/>
    <w:rsid w:val="118151C6"/>
    <w:rsid w:val="11A3453B"/>
    <w:rsid w:val="11AD53AD"/>
    <w:rsid w:val="11AD5CD3"/>
    <w:rsid w:val="11B13A44"/>
    <w:rsid w:val="11B64B9D"/>
    <w:rsid w:val="11B9527B"/>
    <w:rsid w:val="11C34C5A"/>
    <w:rsid w:val="11CF686B"/>
    <w:rsid w:val="11D7281B"/>
    <w:rsid w:val="11D93657"/>
    <w:rsid w:val="11E31362"/>
    <w:rsid w:val="11E47A8E"/>
    <w:rsid w:val="11E62926"/>
    <w:rsid w:val="11E7019B"/>
    <w:rsid w:val="12041F1C"/>
    <w:rsid w:val="120B15F0"/>
    <w:rsid w:val="12116344"/>
    <w:rsid w:val="12170B62"/>
    <w:rsid w:val="121D2DB8"/>
    <w:rsid w:val="121F121F"/>
    <w:rsid w:val="125255DD"/>
    <w:rsid w:val="126F5ED9"/>
    <w:rsid w:val="12730499"/>
    <w:rsid w:val="12900ACE"/>
    <w:rsid w:val="129010B2"/>
    <w:rsid w:val="12970BC5"/>
    <w:rsid w:val="1299328B"/>
    <w:rsid w:val="12A04B9A"/>
    <w:rsid w:val="12A30DA6"/>
    <w:rsid w:val="12C23A7C"/>
    <w:rsid w:val="12C56872"/>
    <w:rsid w:val="12D37006"/>
    <w:rsid w:val="12D919C1"/>
    <w:rsid w:val="12E94BA8"/>
    <w:rsid w:val="12F0221C"/>
    <w:rsid w:val="12F55F70"/>
    <w:rsid w:val="12FB30C2"/>
    <w:rsid w:val="130204A8"/>
    <w:rsid w:val="130A3353"/>
    <w:rsid w:val="13127492"/>
    <w:rsid w:val="131B0C66"/>
    <w:rsid w:val="132B0100"/>
    <w:rsid w:val="13340539"/>
    <w:rsid w:val="13380869"/>
    <w:rsid w:val="135C3126"/>
    <w:rsid w:val="135E60A9"/>
    <w:rsid w:val="13755EB2"/>
    <w:rsid w:val="13874770"/>
    <w:rsid w:val="13877DCB"/>
    <w:rsid w:val="13887B1A"/>
    <w:rsid w:val="13895A4A"/>
    <w:rsid w:val="139617FD"/>
    <w:rsid w:val="139F2E5E"/>
    <w:rsid w:val="13A35911"/>
    <w:rsid w:val="13A47BFE"/>
    <w:rsid w:val="13AC6FB0"/>
    <w:rsid w:val="13B02B23"/>
    <w:rsid w:val="13B773EB"/>
    <w:rsid w:val="13C4002F"/>
    <w:rsid w:val="13E67824"/>
    <w:rsid w:val="13E73A66"/>
    <w:rsid w:val="13ED6898"/>
    <w:rsid w:val="13F23853"/>
    <w:rsid w:val="13F52E62"/>
    <w:rsid w:val="13F75382"/>
    <w:rsid w:val="13FB4175"/>
    <w:rsid w:val="1408504F"/>
    <w:rsid w:val="14166484"/>
    <w:rsid w:val="14197E9B"/>
    <w:rsid w:val="14242A9B"/>
    <w:rsid w:val="14293FDD"/>
    <w:rsid w:val="142C4E25"/>
    <w:rsid w:val="143270BD"/>
    <w:rsid w:val="14335E33"/>
    <w:rsid w:val="145D7218"/>
    <w:rsid w:val="14663754"/>
    <w:rsid w:val="1470604A"/>
    <w:rsid w:val="1483229B"/>
    <w:rsid w:val="14857BC8"/>
    <w:rsid w:val="148A09EC"/>
    <w:rsid w:val="148A0E4C"/>
    <w:rsid w:val="14921567"/>
    <w:rsid w:val="14A03AE1"/>
    <w:rsid w:val="14A7075E"/>
    <w:rsid w:val="14BE3BD0"/>
    <w:rsid w:val="14C15D37"/>
    <w:rsid w:val="14CF2CA5"/>
    <w:rsid w:val="14D234DF"/>
    <w:rsid w:val="14D24FF6"/>
    <w:rsid w:val="14D53920"/>
    <w:rsid w:val="14E36FB1"/>
    <w:rsid w:val="14E4157B"/>
    <w:rsid w:val="14E42A9B"/>
    <w:rsid w:val="14E44A7F"/>
    <w:rsid w:val="14E60E10"/>
    <w:rsid w:val="14EE7C33"/>
    <w:rsid w:val="14F62DB0"/>
    <w:rsid w:val="14F71157"/>
    <w:rsid w:val="14F95A36"/>
    <w:rsid w:val="15072773"/>
    <w:rsid w:val="150B6303"/>
    <w:rsid w:val="151D60E3"/>
    <w:rsid w:val="1530340C"/>
    <w:rsid w:val="15443470"/>
    <w:rsid w:val="154D2C83"/>
    <w:rsid w:val="15513D70"/>
    <w:rsid w:val="155D44F6"/>
    <w:rsid w:val="155E2C48"/>
    <w:rsid w:val="1568195A"/>
    <w:rsid w:val="156825AE"/>
    <w:rsid w:val="156A365B"/>
    <w:rsid w:val="157648A9"/>
    <w:rsid w:val="157D25F1"/>
    <w:rsid w:val="158013B3"/>
    <w:rsid w:val="1580388D"/>
    <w:rsid w:val="15831F89"/>
    <w:rsid w:val="15897466"/>
    <w:rsid w:val="15907008"/>
    <w:rsid w:val="159D2AA8"/>
    <w:rsid w:val="15AE3BF2"/>
    <w:rsid w:val="15BC3A0F"/>
    <w:rsid w:val="15C1475F"/>
    <w:rsid w:val="15C901A6"/>
    <w:rsid w:val="15CE2F37"/>
    <w:rsid w:val="15CF3C06"/>
    <w:rsid w:val="15CF6FF0"/>
    <w:rsid w:val="15D26D7D"/>
    <w:rsid w:val="15DF1441"/>
    <w:rsid w:val="15E40909"/>
    <w:rsid w:val="15F97B47"/>
    <w:rsid w:val="16034EBB"/>
    <w:rsid w:val="16071DD9"/>
    <w:rsid w:val="160C5D02"/>
    <w:rsid w:val="16184098"/>
    <w:rsid w:val="16196252"/>
    <w:rsid w:val="161F7166"/>
    <w:rsid w:val="16290D5F"/>
    <w:rsid w:val="162C4C37"/>
    <w:rsid w:val="163409FD"/>
    <w:rsid w:val="164925E6"/>
    <w:rsid w:val="16525CCD"/>
    <w:rsid w:val="165514BD"/>
    <w:rsid w:val="16564ED8"/>
    <w:rsid w:val="16695F27"/>
    <w:rsid w:val="166B2C03"/>
    <w:rsid w:val="166B2D98"/>
    <w:rsid w:val="16753E20"/>
    <w:rsid w:val="167A093E"/>
    <w:rsid w:val="167E6CA3"/>
    <w:rsid w:val="167F4B95"/>
    <w:rsid w:val="168C1642"/>
    <w:rsid w:val="16980ACF"/>
    <w:rsid w:val="16983A1E"/>
    <w:rsid w:val="169B4AFC"/>
    <w:rsid w:val="169D0E74"/>
    <w:rsid w:val="16A0455F"/>
    <w:rsid w:val="16A63B54"/>
    <w:rsid w:val="16A64911"/>
    <w:rsid w:val="16AA4E79"/>
    <w:rsid w:val="16AB1297"/>
    <w:rsid w:val="16AB582B"/>
    <w:rsid w:val="16B0603A"/>
    <w:rsid w:val="16C10A6C"/>
    <w:rsid w:val="16C63741"/>
    <w:rsid w:val="16DB09CD"/>
    <w:rsid w:val="16E21427"/>
    <w:rsid w:val="16E36F17"/>
    <w:rsid w:val="16E72258"/>
    <w:rsid w:val="16F161C8"/>
    <w:rsid w:val="16F335D2"/>
    <w:rsid w:val="16FE1FEC"/>
    <w:rsid w:val="17017CA0"/>
    <w:rsid w:val="17033117"/>
    <w:rsid w:val="17044C1E"/>
    <w:rsid w:val="17050A92"/>
    <w:rsid w:val="1705416A"/>
    <w:rsid w:val="170C751B"/>
    <w:rsid w:val="17156B21"/>
    <w:rsid w:val="17174AB2"/>
    <w:rsid w:val="1718056E"/>
    <w:rsid w:val="171D3139"/>
    <w:rsid w:val="17273AF9"/>
    <w:rsid w:val="172C1D05"/>
    <w:rsid w:val="172F59B8"/>
    <w:rsid w:val="17324647"/>
    <w:rsid w:val="173A64BB"/>
    <w:rsid w:val="173C59AC"/>
    <w:rsid w:val="173F20E2"/>
    <w:rsid w:val="17560581"/>
    <w:rsid w:val="17604455"/>
    <w:rsid w:val="1760681F"/>
    <w:rsid w:val="17792B60"/>
    <w:rsid w:val="177E2175"/>
    <w:rsid w:val="177F62FA"/>
    <w:rsid w:val="177F7361"/>
    <w:rsid w:val="178806BE"/>
    <w:rsid w:val="178E0BAF"/>
    <w:rsid w:val="17930207"/>
    <w:rsid w:val="17C271C7"/>
    <w:rsid w:val="17C641EB"/>
    <w:rsid w:val="17CF4227"/>
    <w:rsid w:val="17E15BCD"/>
    <w:rsid w:val="17E25684"/>
    <w:rsid w:val="17F61D12"/>
    <w:rsid w:val="17F91F57"/>
    <w:rsid w:val="17FA253A"/>
    <w:rsid w:val="18071145"/>
    <w:rsid w:val="180D1861"/>
    <w:rsid w:val="180E1D6D"/>
    <w:rsid w:val="181D1D9B"/>
    <w:rsid w:val="1824021D"/>
    <w:rsid w:val="1825673B"/>
    <w:rsid w:val="182727AA"/>
    <w:rsid w:val="182C3C1D"/>
    <w:rsid w:val="183968EB"/>
    <w:rsid w:val="184D5870"/>
    <w:rsid w:val="185335C0"/>
    <w:rsid w:val="18690252"/>
    <w:rsid w:val="186A253C"/>
    <w:rsid w:val="187602DD"/>
    <w:rsid w:val="18764A71"/>
    <w:rsid w:val="18782953"/>
    <w:rsid w:val="187A35BD"/>
    <w:rsid w:val="188123CF"/>
    <w:rsid w:val="18865DF7"/>
    <w:rsid w:val="18886008"/>
    <w:rsid w:val="18921538"/>
    <w:rsid w:val="18981291"/>
    <w:rsid w:val="189E12C3"/>
    <w:rsid w:val="189E32A4"/>
    <w:rsid w:val="18BD055D"/>
    <w:rsid w:val="18C04A46"/>
    <w:rsid w:val="18C2502F"/>
    <w:rsid w:val="18C4037B"/>
    <w:rsid w:val="18C82853"/>
    <w:rsid w:val="18D764B0"/>
    <w:rsid w:val="18D92B7A"/>
    <w:rsid w:val="18DA6EEE"/>
    <w:rsid w:val="18E7065A"/>
    <w:rsid w:val="18ED0BE6"/>
    <w:rsid w:val="18F25EA0"/>
    <w:rsid w:val="18F3652A"/>
    <w:rsid w:val="18F56358"/>
    <w:rsid w:val="18FF308F"/>
    <w:rsid w:val="190123FF"/>
    <w:rsid w:val="19164E78"/>
    <w:rsid w:val="1920370A"/>
    <w:rsid w:val="19263C11"/>
    <w:rsid w:val="193504B6"/>
    <w:rsid w:val="19364034"/>
    <w:rsid w:val="193F4F6A"/>
    <w:rsid w:val="194727BA"/>
    <w:rsid w:val="194B6D06"/>
    <w:rsid w:val="19580F07"/>
    <w:rsid w:val="19635F44"/>
    <w:rsid w:val="196C060A"/>
    <w:rsid w:val="197226D6"/>
    <w:rsid w:val="197315F4"/>
    <w:rsid w:val="197B045A"/>
    <w:rsid w:val="197F6FC8"/>
    <w:rsid w:val="198F583E"/>
    <w:rsid w:val="19911370"/>
    <w:rsid w:val="19A06826"/>
    <w:rsid w:val="19A14097"/>
    <w:rsid w:val="19A33926"/>
    <w:rsid w:val="19A60597"/>
    <w:rsid w:val="19A659A4"/>
    <w:rsid w:val="19A748CE"/>
    <w:rsid w:val="19AA3C47"/>
    <w:rsid w:val="19AD326C"/>
    <w:rsid w:val="19AE1B17"/>
    <w:rsid w:val="19B53F29"/>
    <w:rsid w:val="19BB4AC7"/>
    <w:rsid w:val="19BD53FF"/>
    <w:rsid w:val="19E6777C"/>
    <w:rsid w:val="19E9579F"/>
    <w:rsid w:val="19ED1019"/>
    <w:rsid w:val="19F30FD0"/>
    <w:rsid w:val="1A0271AB"/>
    <w:rsid w:val="1A041319"/>
    <w:rsid w:val="1A050EFF"/>
    <w:rsid w:val="1A084634"/>
    <w:rsid w:val="1A0931E6"/>
    <w:rsid w:val="1A0B22C7"/>
    <w:rsid w:val="1A0F28CA"/>
    <w:rsid w:val="1A157044"/>
    <w:rsid w:val="1A1D39FB"/>
    <w:rsid w:val="1A1D7033"/>
    <w:rsid w:val="1A2C6661"/>
    <w:rsid w:val="1A2D7316"/>
    <w:rsid w:val="1A33410B"/>
    <w:rsid w:val="1A3D4066"/>
    <w:rsid w:val="1A3D556D"/>
    <w:rsid w:val="1A40461B"/>
    <w:rsid w:val="1A422421"/>
    <w:rsid w:val="1A5846A0"/>
    <w:rsid w:val="1A5B4BCF"/>
    <w:rsid w:val="1A5B75BD"/>
    <w:rsid w:val="1A5C1E8C"/>
    <w:rsid w:val="1A5E2541"/>
    <w:rsid w:val="1A676B50"/>
    <w:rsid w:val="1A684E92"/>
    <w:rsid w:val="1A691672"/>
    <w:rsid w:val="1A70610F"/>
    <w:rsid w:val="1A760B4A"/>
    <w:rsid w:val="1A8A4647"/>
    <w:rsid w:val="1A9723B6"/>
    <w:rsid w:val="1AA04200"/>
    <w:rsid w:val="1AA34AA6"/>
    <w:rsid w:val="1AA93183"/>
    <w:rsid w:val="1AAC781B"/>
    <w:rsid w:val="1AB44A07"/>
    <w:rsid w:val="1AB71515"/>
    <w:rsid w:val="1AB84132"/>
    <w:rsid w:val="1AC434F9"/>
    <w:rsid w:val="1AD41623"/>
    <w:rsid w:val="1AD90681"/>
    <w:rsid w:val="1ADA1B4E"/>
    <w:rsid w:val="1AED05E1"/>
    <w:rsid w:val="1AF00F47"/>
    <w:rsid w:val="1AF046CF"/>
    <w:rsid w:val="1AF17F41"/>
    <w:rsid w:val="1AF618F2"/>
    <w:rsid w:val="1B074284"/>
    <w:rsid w:val="1B0A439F"/>
    <w:rsid w:val="1B0B1052"/>
    <w:rsid w:val="1B0F4F5C"/>
    <w:rsid w:val="1B207872"/>
    <w:rsid w:val="1B24725D"/>
    <w:rsid w:val="1B2B048F"/>
    <w:rsid w:val="1B2D4F2D"/>
    <w:rsid w:val="1B301CAE"/>
    <w:rsid w:val="1B4D4C2F"/>
    <w:rsid w:val="1B5752AC"/>
    <w:rsid w:val="1B67625B"/>
    <w:rsid w:val="1B6A4CA5"/>
    <w:rsid w:val="1B6B336B"/>
    <w:rsid w:val="1B7561D3"/>
    <w:rsid w:val="1B80732A"/>
    <w:rsid w:val="1B8D3457"/>
    <w:rsid w:val="1B8D70E7"/>
    <w:rsid w:val="1B9369D7"/>
    <w:rsid w:val="1B943444"/>
    <w:rsid w:val="1B9E5564"/>
    <w:rsid w:val="1BA65D8C"/>
    <w:rsid w:val="1BAF5377"/>
    <w:rsid w:val="1BB11527"/>
    <w:rsid w:val="1BBA332F"/>
    <w:rsid w:val="1BC81349"/>
    <w:rsid w:val="1BC81529"/>
    <w:rsid w:val="1BCB3B13"/>
    <w:rsid w:val="1BDB57C2"/>
    <w:rsid w:val="1BF149CB"/>
    <w:rsid w:val="1C037A74"/>
    <w:rsid w:val="1C0B4EE0"/>
    <w:rsid w:val="1C19483C"/>
    <w:rsid w:val="1C1F3F12"/>
    <w:rsid w:val="1C213008"/>
    <w:rsid w:val="1C22563E"/>
    <w:rsid w:val="1C24525B"/>
    <w:rsid w:val="1C25739C"/>
    <w:rsid w:val="1C2E73A7"/>
    <w:rsid w:val="1C2F7A9B"/>
    <w:rsid w:val="1C347AE7"/>
    <w:rsid w:val="1C3709C2"/>
    <w:rsid w:val="1C673FD8"/>
    <w:rsid w:val="1C73352D"/>
    <w:rsid w:val="1C7F0A0D"/>
    <w:rsid w:val="1C821705"/>
    <w:rsid w:val="1C883EE2"/>
    <w:rsid w:val="1C8A5704"/>
    <w:rsid w:val="1C8F4613"/>
    <w:rsid w:val="1C8F6A2E"/>
    <w:rsid w:val="1C993644"/>
    <w:rsid w:val="1C9E35C4"/>
    <w:rsid w:val="1CA30814"/>
    <w:rsid w:val="1CA411B8"/>
    <w:rsid w:val="1CA91C58"/>
    <w:rsid w:val="1CAF1665"/>
    <w:rsid w:val="1CB11988"/>
    <w:rsid w:val="1CBE1A22"/>
    <w:rsid w:val="1CC82599"/>
    <w:rsid w:val="1CC86944"/>
    <w:rsid w:val="1CD11261"/>
    <w:rsid w:val="1CD6675B"/>
    <w:rsid w:val="1CED15B5"/>
    <w:rsid w:val="1CF23DFC"/>
    <w:rsid w:val="1CF333E6"/>
    <w:rsid w:val="1CF67742"/>
    <w:rsid w:val="1D0565E2"/>
    <w:rsid w:val="1D061619"/>
    <w:rsid w:val="1D0B56E0"/>
    <w:rsid w:val="1D130803"/>
    <w:rsid w:val="1D1C269E"/>
    <w:rsid w:val="1D2122A1"/>
    <w:rsid w:val="1D2357FD"/>
    <w:rsid w:val="1D28477F"/>
    <w:rsid w:val="1D2952F5"/>
    <w:rsid w:val="1D2D51F1"/>
    <w:rsid w:val="1D37486F"/>
    <w:rsid w:val="1D414CA2"/>
    <w:rsid w:val="1D42071E"/>
    <w:rsid w:val="1D423DBD"/>
    <w:rsid w:val="1D4856D1"/>
    <w:rsid w:val="1D5A0C54"/>
    <w:rsid w:val="1D677324"/>
    <w:rsid w:val="1D6E2D29"/>
    <w:rsid w:val="1D8C6A7E"/>
    <w:rsid w:val="1D8E167F"/>
    <w:rsid w:val="1D9B2A84"/>
    <w:rsid w:val="1DB95872"/>
    <w:rsid w:val="1DC15568"/>
    <w:rsid w:val="1DC476CF"/>
    <w:rsid w:val="1DC77F7C"/>
    <w:rsid w:val="1DCB6F08"/>
    <w:rsid w:val="1DD0335C"/>
    <w:rsid w:val="1DD71602"/>
    <w:rsid w:val="1DFC3B16"/>
    <w:rsid w:val="1E077895"/>
    <w:rsid w:val="1E096B47"/>
    <w:rsid w:val="1E144418"/>
    <w:rsid w:val="1E1E21E7"/>
    <w:rsid w:val="1E2566DA"/>
    <w:rsid w:val="1E2D48C4"/>
    <w:rsid w:val="1E32366D"/>
    <w:rsid w:val="1E3A413D"/>
    <w:rsid w:val="1E3C1D79"/>
    <w:rsid w:val="1E4134CF"/>
    <w:rsid w:val="1E4B2A17"/>
    <w:rsid w:val="1E510853"/>
    <w:rsid w:val="1E5A7CA4"/>
    <w:rsid w:val="1E635018"/>
    <w:rsid w:val="1E6449F6"/>
    <w:rsid w:val="1E672727"/>
    <w:rsid w:val="1E6D680D"/>
    <w:rsid w:val="1E7177FA"/>
    <w:rsid w:val="1E740181"/>
    <w:rsid w:val="1E814CED"/>
    <w:rsid w:val="1E8469F9"/>
    <w:rsid w:val="1E88069A"/>
    <w:rsid w:val="1E88172A"/>
    <w:rsid w:val="1E8E6C7D"/>
    <w:rsid w:val="1E920F59"/>
    <w:rsid w:val="1E9A712D"/>
    <w:rsid w:val="1E9C5BFF"/>
    <w:rsid w:val="1EA420FF"/>
    <w:rsid w:val="1EA810C6"/>
    <w:rsid w:val="1EAD2E47"/>
    <w:rsid w:val="1EAE16ED"/>
    <w:rsid w:val="1EB7542E"/>
    <w:rsid w:val="1EC73773"/>
    <w:rsid w:val="1ECC3FFD"/>
    <w:rsid w:val="1ED2384F"/>
    <w:rsid w:val="1EDC5F38"/>
    <w:rsid w:val="1EDD43FA"/>
    <w:rsid w:val="1EDE3483"/>
    <w:rsid w:val="1EDF476D"/>
    <w:rsid w:val="1EE05BF9"/>
    <w:rsid w:val="1EE4747D"/>
    <w:rsid w:val="1EEA697A"/>
    <w:rsid w:val="1EEC0C5C"/>
    <w:rsid w:val="1F0D3297"/>
    <w:rsid w:val="1F161D81"/>
    <w:rsid w:val="1F176E60"/>
    <w:rsid w:val="1F231A08"/>
    <w:rsid w:val="1F353082"/>
    <w:rsid w:val="1F37018C"/>
    <w:rsid w:val="1F504C1A"/>
    <w:rsid w:val="1F51433D"/>
    <w:rsid w:val="1F5500CB"/>
    <w:rsid w:val="1F565BFA"/>
    <w:rsid w:val="1F6A2F89"/>
    <w:rsid w:val="1F6D044E"/>
    <w:rsid w:val="1F6F2934"/>
    <w:rsid w:val="1F726313"/>
    <w:rsid w:val="1F7B5200"/>
    <w:rsid w:val="1F855BFF"/>
    <w:rsid w:val="1F8A437C"/>
    <w:rsid w:val="1F9A340A"/>
    <w:rsid w:val="1FA15385"/>
    <w:rsid w:val="1FA91261"/>
    <w:rsid w:val="1FB31A5F"/>
    <w:rsid w:val="1FBE16EA"/>
    <w:rsid w:val="1FC24AF3"/>
    <w:rsid w:val="1FC93095"/>
    <w:rsid w:val="1FC97C87"/>
    <w:rsid w:val="1FCC023A"/>
    <w:rsid w:val="1FCD29DD"/>
    <w:rsid w:val="1FD27891"/>
    <w:rsid w:val="1FDA5CF1"/>
    <w:rsid w:val="1FDC1CE4"/>
    <w:rsid w:val="1FDE3F49"/>
    <w:rsid w:val="1FE10E30"/>
    <w:rsid w:val="1FE715FA"/>
    <w:rsid w:val="1FE933AA"/>
    <w:rsid w:val="1FF468DA"/>
    <w:rsid w:val="200518C2"/>
    <w:rsid w:val="201051B9"/>
    <w:rsid w:val="20127EC1"/>
    <w:rsid w:val="201613EF"/>
    <w:rsid w:val="201A1AFF"/>
    <w:rsid w:val="2021267D"/>
    <w:rsid w:val="20225914"/>
    <w:rsid w:val="2025583A"/>
    <w:rsid w:val="20311E4B"/>
    <w:rsid w:val="20383FF4"/>
    <w:rsid w:val="203F63CE"/>
    <w:rsid w:val="2040794E"/>
    <w:rsid w:val="20451EFA"/>
    <w:rsid w:val="20460DDC"/>
    <w:rsid w:val="20481770"/>
    <w:rsid w:val="204D6F6C"/>
    <w:rsid w:val="20506C8E"/>
    <w:rsid w:val="205879D9"/>
    <w:rsid w:val="205B02C9"/>
    <w:rsid w:val="2062766B"/>
    <w:rsid w:val="206B3216"/>
    <w:rsid w:val="206C678C"/>
    <w:rsid w:val="206E17FF"/>
    <w:rsid w:val="207A6FC2"/>
    <w:rsid w:val="207F3ABC"/>
    <w:rsid w:val="207F43D9"/>
    <w:rsid w:val="209128E5"/>
    <w:rsid w:val="209B7621"/>
    <w:rsid w:val="209C4BE1"/>
    <w:rsid w:val="20A84AFD"/>
    <w:rsid w:val="20B336D0"/>
    <w:rsid w:val="20BD42A6"/>
    <w:rsid w:val="20D878C9"/>
    <w:rsid w:val="20DA452F"/>
    <w:rsid w:val="20DD501E"/>
    <w:rsid w:val="20DE519E"/>
    <w:rsid w:val="20E326AB"/>
    <w:rsid w:val="20E40D06"/>
    <w:rsid w:val="20E57BDE"/>
    <w:rsid w:val="20E70DDA"/>
    <w:rsid w:val="20EE5292"/>
    <w:rsid w:val="20EE7A98"/>
    <w:rsid w:val="20F012DA"/>
    <w:rsid w:val="20F51476"/>
    <w:rsid w:val="20F91B22"/>
    <w:rsid w:val="2102118F"/>
    <w:rsid w:val="210643F0"/>
    <w:rsid w:val="2106576D"/>
    <w:rsid w:val="21101023"/>
    <w:rsid w:val="21126A1E"/>
    <w:rsid w:val="21150ACD"/>
    <w:rsid w:val="211822BD"/>
    <w:rsid w:val="211A3117"/>
    <w:rsid w:val="211D6ED8"/>
    <w:rsid w:val="211F6F1A"/>
    <w:rsid w:val="21365E4F"/>
    <w:rsid w:val="213F57A3"/>
    <w:rsid w:val="21432762"/>
    <w:rsid w:val="214C65F9"/>
    <w:rsid w:val="21566826"/>
    <w:rsid w:val="215F5D66"/>
    <w:rsid w:val="21666539"/>
    <w:rsid w:val="217E7613"/>
    <w:rsid w:val="2198609F"/>
    <w:rsid w:val="219B228D"/>
    <w:rsid w:val="219C7087"/>
    <w:rsid w:val="219D2205"/>
    <w:rsid w:val="21A2770F"/>
    <w:rsid w:val="21AF4DC3"/>
    <w:rsid w:val="21C06F92"/>
    <w:rsid w:val="21C414CB"/>
    <w:rsid w:val="21C84E9E"/>
    <w:rsid w:val="21CB5CF6"/>
    <w:rsid w:val="21CE7751"/>
    <w:rsid w:val="21D51AA2"/>
    <w:rsid w:val="21E5632B"/>
    <w:rsid w:val="21E910E9"/>
    <w:rsid w:val="21F143E4"/>
    <w:rsid w:val="21F718D2"/>
    <w:rsid w:val="21FA4DDA"/>
    <w:rsid w:val="220643AF"/>
    <w:rsid w:val="22077889"/>
    <w:rsid w:val="220C644E"/>
    <w:rsid w:val="220F06E1"/>
    <w:rsid w:val="22104944"/>
    <w:rsid w:val="22121D33"/>
    <w:rsid w:val="2225695B"/>
    <w:rsid w:val="222B4A26"/>
    <w:rsid w:val="22316996"/>
    <w:rsid w:val="223A7219"/>
    <w:rsid w:val="224503BF"/>
    <w:rsid w:val="224944DA"/>
    <w:rsid w:val="224C1EE4"/>
    <w:rsid w:val="224E5006"/>
    <w:rsid w:val="225C7AB3"/>
    <w:rsid w:val="225F71CC"/>
    <w:rsid w:val="226E0F46"/>
    <w:rsid w:val="226E2119"/>
    <w:rsid w:val="22750454"/>
    <w:rsid w:val="227F6128"/>
    <w:rsid w:val="228869BB"/>
    <w:rsid w:val="228B7D1B"/>
    <w:rsid w:val="228C0304"/>
    <w:rsid w:val="229D2F51"/>
    <w:rsid w:val="229E3158"/>
    <w:rsid w:val="22A17025"/>
    <w:rsid w:val="22BB1853"/>
    <w:rsid w:val="22E305BB"/>
    <w:rsid w:val="22E55D89"/>
    <w:rsid w:val="22EE7034"/>
    <w:rsid w:val="23167EA3"/>
    <w:rsid w:val="231B17F9"/>
    <w:rsid w:val="233A304E"/>
    <w:rsid w:val="23491976"/>
    <w:rsid w:val="234D6E93"/>
    <w:rsid w:val="235009EB"/>
    <w:rsid w:val="235511EA"/>
    <w:rsid w:val="23644A96"/>
    <w:rsid w:val="23690609"/>
    <w:rsid w:val="237A3E4E"/>
    <w:rsid w:val="237E1230"/>
    <w:rsid w:val="238512CB"/>
    <w:rsid w:val="238727D6"/>
    <w:rsid w:val="238A29AB"/>
    <w:rsid w:val="238F12DC"/>
    <w:rsid w:val="238F40D9"/>
    <w:rsid w:val="2391221B"/>
    <w:rsid w:val="23933508"/>
    <w:rsid w:val="239504D4"/>
    <w:rsid w:val="23950A3C"/>
    <w:rsid w:val="239D7D8D"/>
    <w:rsid w:val="23A92C60"/>
    <w:rsid w:val="23AE700C"/>
    <w:rsid w:val="23B03FD9"/>
    <w:rsid w:val="23B052DD"/>
    <w:rsid w:val="23B30500"/>
    <w:rsid w:val="23B332CF"/>
    <w:rsid w:val="23BA7F5A"/>
    <w:rsid w:val="23C13739"/>
    <w:rsid w:val="23C540DA"/>
    <w:rsid w:val="23E11DA2"/>
    <w:rsid w:val="23E235B0"/>
    <w:rsid w:val="23F66BE1"/>
    <w:rsid w:val="23FA275E"/>
    <w:rsid w:val="23FD6457"/>
    <w:rsid w:val="24025D95"/>
    <w:rsid w:val="24044813"/>
    <w:rsid w:val="24081CC1"/>
    <w:rsid w:val="240D2E7E"/>
    <w:rsid w:val="241C508B"/>
    <w:rsid w:val="241F3B4A"/>
    <w:rsid w:val="2428389C"/>
    <w:rsid w:val="242C5780"/>
    <w:rsid w:val="2439617A"/>
    <w:rsid w:val="245005B3"/>
    <w:rsid w:val="24661A7D"/>
    <w:rsid w:val="247339F1"/>
    <w:rsid w:val="248169C6"/>
    <w:rsid w:val="24824FD6"/>
    <w:rsid w:val="248F4D47"/>
    <w:rsid w:val="24934502"/>
    <w:rsid w:val="24940315"/>
    <w:rsid w:val="249604BE"/>
    <w:rsid w:val="24A31E88"/>
    <w:rsid w:val="24BB3AC3"/>
    <w:rsid w:val="24C504EE"/>
    <w:rsid w:val="24D14521"/>
    <w:rsid w:val="24E164AF"/>
    <w:rsid w:val="24E41B08"/>
    <w:rsid w:val="24E65466"/>
    <w:rsid w:val="24E716AB"/>
    <w:rsid w:val="24E944A8"/>
    <w:rsid w:val="24F54BAD"/>
    <w:rsid w:val="24F61130"/>
    <w:rsid w:val="24FC5064"/>
    <w:rsid w:val="250218CD"/>
    <w:rsid w:val="2504585C"/>
    <w:rsid w:val="250B6C88"/>
    <w:rsid w:val="250D16FB"/>
    <w:rsid w:val="25207316"/>
    <w:rsid w:val="252F052A"/>
    <w:rsid w:val="25373204"/>
    <w:rsid w:val="25395417"/>
    <w:rsid w:val="253A1C68"/>
    <w:rsid w:val="253C7281"/>
    <w:rsid w:val="25447A7F"/>
    <w:rsid w:val="25551F1D"/>
    <w:rsid w:val="255562A7"/>
    <w:rsid w:val="255A4BBE"/>
    <w:rsid w:val="255E4A9F"/>
    <w:rsid w:val="25627611"/>
    <w:rsid w:val="25636FED"/>
    <w:rsid w:val="25645A54"/>
    <w:rsid w:val="25772EBB"/>
    <w:rsid w:val="257F0628"/>
    <w:rsid w:val="25832019"/>
    <w:rsid w:val="259331FE"/>
    <w:rsid w:val="25957FF8"/>
    <w:rsid w:val="259F7BB5"/>
    <w:rsid w:val="25A149AC"/>
    <w:rsid w:val="25AE6649"/>
    <w:rsid w:val="25AF3F32"/>
    <w:rsid w:val="25B1692B"/>
    <w:rsid w:val="25B22A3B"/>
    <w:rsid w:val="25BA2D11"/>
    <w:rsid w:val="25C654B7"/>
    <w:rsid w:val="25C76E87"/>
    <w:rsid w:val="25D03F12"/>
    <w:rsid w:val="25D97596"/>
    <w:rsid w:val="25E37902"/>
    <w:rsid w:val="25EB544B"/>
    <w:rsid w:val="25F044F9"/>
    <w:rsid w:val="25F74971"/>
    <w:rsid w:val="26040109"/>
    <w:rsid w:val="26061962"/>
    <w:rsid w:val="260F672F"/>
    <w:rsid w:val="2611351D"/>
    <w:rsid w:val="26175540"/>
    <w:rsid w:val="261763CE"/>
    <w:rsid w:val="26200FD2"/>
    <w:rsid w:val="262C56B0"/>
    <w:rsid w:val="262E6827"/>
    <w:rsid w:val="262F455F"/>
    <w:rsid w:val="263A525F"/>
    <w:rsid w:val="2642755C"/>
    <w:rsid w:val="26493C20"/>
    <w:rsid w:val="264A0CB7"/>
    <w:rsid w:val="26504873"/>
    <w:rsid w:val="26507D69"/>
    <w:rsid w:val="26511A6C"/>
    <w:rsid w:val="26590788"/>
    <w:rsid w:val="265D1B10"/>
    <w:rsid w:val="26640280"/>
    <w:rsid w:val="26644BD6"/>
    <w:rsid w:val="26664CB6"/>
    <w:rsid w:val="266A48F0"/>
    <w:rsid w:val="266D04E0"/>
    <w:rsid w:val="267A30FB"/>
    <w:rsid w:val="267D0DD4"/>
    <w:rsid w:val="26900E65"/>
    <w:rsid w:val="269308F5"/>
    <w:rsid w:val="26A00DA4"/>
    <w:rsid w:val="26A0140A"/>
    <w:rsid w:val="26A05ED5"/>
    <w:rsid w:val="26A4480F"/>
    <w:rsid w:val="26AB027E"/>
    <w:rsid w:val="26AE73BF"/>
    <w:rsid w:val="26B3402C"/>
    <w:rsid w:val="26BB0D34"/>
    <w:rsid w:val="26BD1A81"/>
    <w:rsid w:val="26BD3478"/>
    <w:rsid w:val="26C11E1D"/>
    <w:rsid w:val="26C5427E"/>
    <w:rsid w:val="26C91AA2"/>
    <w:rsid w:val="26CB5BEC"/>
    <w:rsid w:val="26D17EE9"/>
    <w:rsid w:val="26D26B3A"/>
    <w:rsid w:val="26D7028B"/>
    <w:rsid w:val="26D910C0"/>
    <w:rsid w:val="26E70819"/>
    <w:rsid w:val="26F614FF"/>
    <w:rsid w:val="27085698"/>
    <w:rsid w:val="271F27C4"/>
    <w:rsid w:val="27221AF8"/>
    <w:rsid w:val="2722517B"/>
    <w:rsid w:val="2726309C"/>
    <w:rsid w:val="27325E70"/>
    <w:rsid w:val="27341B93"/>
    <w:rsid w:val="27430D53"/>
    <w:rsid w:val="27437ADB"/>
    <w:rsid w:val="27482D4D"/>
    <w:rsid w:val="274F0AC2"/>
    <w:rsid w:val="27537702"/>
    <w:rsid w:val="275C2C11"/>
    <w:rsid w:val="27644968"/>
    <w:rsid w:val="27661057"/>
    <w:rsid w:val="276974DE"/>
    <w:rsid w:val="27752950"/>
    <w:rsid w:val="277F324B"/>
    <w:rsid w:val="278B23EE"/>
    <w:rsid w:val="27911388"/>
    <w:rsid w:val="279657AA"/>
    <w:rsid w:val="2798045F"/>
    <w:rsid w:val="279A7C68"/>
    <w:rsid w:val="279C7ABE"/>
    <w:rsid w:val="27A11A16"/>
    <w:rsid w:val="27A3263E"/>
    <w:rsid w:val="27AE5060"/>
    <w:rsid w:val="27B52D32"/>
    <w:rsid w:val="27B64EB8"/>
    <w:rsid w:val="27C22234"/>
    <w:rsid w:val="27D30046"/>
    <w:rsid w:val="27D4336A"/>
    <w:rsid w:val="27F448D4"/>
    <w:rsid w:val="27F60128"/>
    <w:rsid w:val="2800077C"/>
    <w:rsid w:val="28100970"/>
    <w:rsid w:val="28130FC3"/>
    <w:rsid w:val="28172B74"/>
    <w:rsid w:val="281C5C13"/>
    <w:rsid w:val="28237D12"/>
    <w:rsid w:val="28242AFE"/>
    <w:rsid w:val="282D4DA2"/>
    <w:rsid w:val="283B2DE6"/>
    <w:rsid w:val="284327FC"/>
    <w:rsid w:val="284661A2"/>
    <w:rsid w:val="284763CA"/>
    <w:rsid w:val="284C1CF1"/>
    <w:rsid w:val="285259C3"/>
    <w:rsid w:val="285570E5"/>
    <w:rsid w:val="28570052"/>
    <w:rsid w:val="286F0F65"/>
    <w:rsid w:val="28772533"/>
    <w:rsid w:val="28810C2F"/>
    <w:rsid w:val="28832153"/>
    <w:rsid w:val="28844C09"/>
    <w:rsid w:val="288C402F"/>
    <w:rsid w:val="288C615D"/>
    <w:rsid w:val="289A71C9"/>
    <w:rsid w:val="28A60E0E"/>
    <w:rsid w:val="28AF56E0"/>
    <w:rsid w:val="28BF2E88"/>
    <w:rsid w:val="28CD54C3"/>
    <w:rsid w:val="28D258C6"/>
    <w:rsid w:val="28E174C3"/>
    <w:rsid w:val="28E35480"/>
    <w:rsid w:val="28ED38FB"/>
    <w:rsid w:val="28EE01A4"/>
    <w:rsid w:val="28F364BD"/>
    <w:rsid w:val="28F5415C"/>
    <w:rsid w:val="29034D8E"/>
    <w:rsid w:val="2903673E"/>
    <w:rsid w:val="2904120C"/>
    <w:rsid w:val="290D640A"/>
    <w:rsid w:val="290D6A6E"/>
    <w:rsid w:val="29177E97"/>
    <w:rsid w:val="291A4C7E"/>
    <w:rsid w:val="291F0427"/>
    <w:rsid w:val="292B2DD6"/>
    <w:rsid w:val="29326E38"/>
    <w:rsid w:val="293C79A7"/>
    <w:rsid w:val="29454D6E"/>
    <w:rsid w:val="294F4DA4"/>
    <w:rsid w:val="295449EC"/>
    <w:rsid w:val="29554FB8"/>
    <w:rsid w:val="29580A24"/>
    <w:rsid w:val="29591EF6"/>
    <w:rsid w:val="295D23DB"/>
    <w:rsid w:val="29601C13"/>
    <w:rsid w:val="2969051B"/>
    <w:rsid w:val="296F263E"/>
    <w:rsid w:val="297172A8"/>
    <w:rsid w:val="29794DC5"/>
    <w:rsid w:val="2983564B"/>
    <w:rsid w:val="2986365A"/>
    <w:rsid w:val="29897F36"/>
    <w:rsid w:val="298F2D60"/>
    <w:rsid w:val="299A5939"/>
    <w:rsid w:val="299E2EE4"/>
    <w:rsid w:val="29A0654A"/>
    <w:rsid w:val="29A46D15"/>
    <w:rsid w:val="29B356AA"/>
    <w:rsid w:val="29BE52CE"/>
    <w:rsid w:val="29D844DA"/>
    <w:rsid w:val="29DB2E13"/>
    <w:rsid w:val="29DB795F"/>
    <w:rsid w:val="29DF3FB6"/>
    <w:rsid w:val="29E728FC"/>
    <w:rsid w:val="29F03548"/>
    <w:rsid w:val="29F43C64"/>
    <w:rsid w:val="29FA25C8"/>
    <w:rsid w:val="29FD19B7"/>
    <w:rsid w:val="2A112438"/>
    <w:rsid w:val="2A1808B1"/>
    <w:rsid w:val="2A1C72FC"/>
    <w:rsid w:val="2A1E2575"/>
    <w:rsid w:val="2A1E7273"/>
    <w:rsid w:val="2A2A3042"/>
    <w:rsid w:val="2A3B159B"/>
    <w:rsid w:val="2A477F2D"/>
    <w:rsid w:val="2A4A5617"/>
    <w:rsid w:val="2A4E0052"/>
    <w:rsid w:val="2A4E6830"/>
    <w:rsid w:val="2A5601EA"/>
    <w:rsid w:val="2A5A55D9"/>
    <w:rsid w:val="2A6021EF"/>
    <w:rsid w:val="2A681EB6"/>
    <w:rsid w:val="2A6C304C"/>
    <w:rsid w:val="2A6D6D04"/>
    <w:rsid w:val="2A7A5040"/>
    <w:rsid w:val="2A94612D"/>
    <w:rsid w:val="2A994460"/>
    <w:rsid w:val="2A9A4051"/>
    <w:rsid w:val="2A9C0D3F"/>
    <w:rsid w:val="2A9C5B40"/>
    <w:rsid w:val="2AA400F4"/>
    <w:rsid w:val="2AA45E35"/>
    <w:rsid w:val="2AAC54BB"/>
    <w:rsid w:val="2AAF0396"/>
    <w:rsid w:val="2AB57FF9"/>
    <w:rsid w:val="2ABA6371"/>
    <w:rsid w:val="2AC329D5"/>
    <w:rsid w:val="2ACC28DA"/>
    <w:rsid w:val="2ACC7B98"/>
    <w:rsid w:val="2AD855B7"/>
    <w:rsid w:val="2ADC6264"/>
    <w:rsid w:val="2ADE08A3"/>
    <w:rsid w:val="2AE11D66"/>
    <w:rsid w:val="2AE71A62"/>
    <w:rsid w:val="2AEB102F"/>
    <w:rsid w:val="2AF24565"/>
    <w:rsid w:val="2AFA470A"/>
    <w:rsid w:val="2B0C20F7"/>
    <w:rsid w:val="2B0F5533"/>
    <w:rsid w:val="2B1B65B9"/>
    <w:rsid w:val="2B1C282C"/>
    <w:rsid w:val="2B244B88"/>
    <w:rsid w:val="2B2706A2"/>
    <w:rsid w:val="2B274543"/>
    <w:rsid w:val="2B28252F"/>
    <w:rsid w:val="2B361E34"/>
    <w:rsid w:val="2B461FAE"/>
    <w:rsid w:val="2B4D31F0"/>
    <w:rsid w:val="2B4F71D5"/>
    <w:rsid w:val="2B527EE3"/>
    <w:rsid w:val="2B5433AC"/>
    <w:rsid w:val="2B580D2F"/>
    <w:rsid w:val="2B581625"/>
    <w:rsid w:val="2B5E1A74"/>
    <w:rsid w:val="2B646493"/>
    <w:rsid w:val="2B667187"/>
    <w:rsid w:val="2B6B6CC8"/>
    <w:rsid w:val="2B6D5301"/>
    <w:rsid w:val="2B6F6CBD"/>
    <w:rsid w:val="2B6F75C5"/>
    <w:rsid w:val="2B7D4228"/>
    <w:rsid w:val="2B7D5456"/>
    <w:rsid w:val="2B8B70C4"/>
    <w:rsid w:val="2B9576E2"/>
    <w:rsid w:val="2B985550"/>
    <w:rsid w:val="2B9A4D5A"/>
    <w:rsid w:val="2BA41CAA"/>
    <w:rsid w:val="2BA45400"/>
    <w:rsid w:val="2BBC5165"/>
    <w:rsid w:val="2BC2082C"/>
    <w:rsid w:val="2BD25B6F"/>
    <w:rsid w:val="2BEC51D8"/>
    <w:rsid w:val="2BEF1A87"/>
    <w:rsid w:val="2BF4209A"/>
    <w:rsid w:val="2C01687B"/>
    <w:rsid w:val="2C0368C6"/>
    <w:rsid w:val="2C05500E"/>
    <w:rsid w:val="2C1134D0"/>
    <w:rsid w:val="2C1E112E"/>
    <w:rsid w:val="2C246940"/>
    <w:rsid w:val="2C25692B"/>
    <w:rsid w:val="2C290D81"/>
    <w:rsid w:val="2C2E1D12"/>
    <w:rsid w:val="2C2E78B5"/>
    <w:rsid w:val="2C335520"/>
    <w:rsid w:val="2C387203"/>
    <w:rsid w:val="2C3C1EC1"/>
    <w:rsid w:val="2C42462B"/>
    <w:rsid w:val="2C4F7878"/>
    <w:rsid w:val="2C5B41CA"/>
    <w:rsid w:val="2C6E6CE8"/>
    <w:rsid w:val="2C704F2D"/>
    <w:rsid w:val="2C7F23AB"/>
    <w:rsid w:val="2C8A6306"/>
    <w:rsid w:val="2CA350BE"/>
    <w:rsid w:val="2CA423D8"/>
    <w:rsid w:val="2CA96082"/>
    <w:rsid w:val="2CAB7553"/>
    <w:rsid w:val="2CB40552"/>
    <w:rsid w:val="2CB85977"/>
    <w:rsid w:val="2CBB5644"/>
    <w:rsid w:val="2CBE1462"/>
    <w:rsid w:val="2CC44205"/>
    <w:rsid w:val="2CC47DED"/>
    <w:rsid w:val="2CCF5DDE"/>
    <w:rsid w:val="2CD3710B"/>
    <w:rsid w:val="2CD86730"/>
    <w:rsid w:val="2CD921D2"/>
    <w:rsid w:val="2CDB0944"/>
    <w:rsid w:val="2CE27267"/>
    <w:rsid w:val="2CE74D39"/>
    <w:rsid w:val="2CE8150A"/>
    <w:rsid w:val="2CF20BDC"/>
    <w:rsid w:val="2D016444"/>
    <w:rsid w:val="2D0B00A7"/>
    <w:rsid w:val="2D0B6221"/>
    <w:rsid w:val="2D12077C"/>
    <w:rsid w:val="2D270FD0"/>
    <w:rsid w:val="2D27285D"/>
    <w:rsid w:val="2D277EFB"/>
    <w:rsid w:val="2D31047C"/>
    <w:rsid w:val="2D3178DC"/>
    <w:rsid w:val="2D324DB9"/>
    <w:rsid w:val="2D4E3F0C"/>
    <w:rsid w:val="2D4E4AEB"/>
    <w:rsid w:val="2D646B9E"/>
    <w:rsid w:val="2D6D4DD9"/>
    <w:rsid w:val="2D6F6DA5"/>
    <w:rsid w:val="2D700E9E"/>
    <w:rsid w:val="2D760A17"/>
    <w:rsid w:val="2D976683"/>
    <w:rsid w:val="2D9B7AEB"/>
    <w:rsid w:val="2DA93130"/>
    <w:rsid w:val="2DAC1F29"/>
    <w:rsid w:val="2DB27C81"/>
    <w:rsid w:val="2DB70397"/>
    <w:rsid w:val="2DC01126"/>
    <w:rsid w:val="2DCB3D94"/>
    <w:rsid w:val="2DE35338"/>
    <w:rsid w:val="2E0702F5"/>
    <w:rsid w:val="2E0C2C21"/>
    <w:rsid w:val="2E110BEC"/>
    <w:rsid w:val="2E113FBC"/>
    <w:rsid w:val="2E137ADD"/>
    <w:rsid w:val="2E194F3D"/>
    <w:rsid w:val="2E1E49FC"/>
    <w:rsid w:val="2E2711C1"/>
    <w:rsid w:val="2E2E5E39"/>
    <w:rsid w:val="2E3E0198"/>
    <w:rsid w:val="2E3F0BEE"/>
    <w:rsid w:val="2E41772A"/>
    <w:rsid w:val="2E45414B"/>
    <w:rsid w:val="2E490642"/>
    <w:rsid w:val="2E560939"/>
    <w:rsid w:val="2E574D85"/>
    <w:rsid w:val="2E5A7CD6"/>
    <w:rsid w:val="2E5E648E"/>
    <w:rsid w:val="2E717A27"/>
    <w:rsid w:val="2E740D40"/>
    <w:rsid w:val="2E790DE1"/>
    <w:rsid w:val="2E7D7C1F"/>
    <w:rsid w:val="2E7F6DDF"/>
    <w:rsid w:val="2E8665B7"/>
    <w:rsid w:val="2E9136EE"/>
    <w:rsid w:val="2EA2173B"/>
    <w:rsid w:val="2EB61C7F"/>
    <w:rsid w:val="2EC56BE5"/>
    <w:rsid w:val="2EC60AB6"/>
    <w:rsid w:val="2EE20386"/>
    <w:rsid w:val="2EF00893"/>
    <w:rsid w:val="2EF82AEC"/>
    <w:rsid w:val="2EFC39E4"/>
    <w:rsid w:val="2EFF3E52"/>
    <w:rsid w:val="2F076562"/>
    <w:rsid w:val="2F08433B"/>
    <w:rsid w:val="2F0D7AB0"/>
    <w:rsid w:val="2F136646"/>
    <w:rsid w:val="2F1E694C"/>
    <w:rsid w:val="2F34595E"/>
    <w:rsid w:val="2F363704"/>
    <w:rsid w:val="2F3B0B33"/>
    <w:rsid w:val="2F3D6719"/>
    <w:rsid w:val="2F61762B"/>
    <w:rsid w:val="2F6A2071"/>
    <w:rsid w:val="2F7002C7"/>
    <w:rsid w:val="2F846F0C"/>
    <w:rsid w:val="2F853097"/>
    <w:rsid w:val="2F941189"/>
    <w:rsid w:val="2F9479B9"/>
    <w:rsid w:val="2F962068"/>
    <w:rsid w:val="2F9E5E02"/>
    <w:rsid w:val="2FA66C08"/>
    <w:rsid w:val="2FA842A4"/>
    <w:rsid w:val="2FA87A96"/>
    <w:rsid w:val="2FA91A62"/>
    <w:rsid w:val="2FA92ACB"/>
    <w:rsid w:val="2FAE7FA7"/>
    <w:rsid w:val="2FB30E01"/>
    <w:rsid w:val="2FB8570B"/>
    <w:rsid w:val="2FBC3413"/>
    <w:rsid w:val="2FBD1A51"/>
    <w:rsid w:val="2FC12E0D"/>
    <w:rsid w:val="2FC57321"/>
    <w:rsid w:val="2FD32C7E"/>
    <w:rsid w:val="2FD3657A"/>
    <w:rsid w:val="2FD55566"/>
    <w:rsid w:val="2FD61251"/>
    <w:rsid w:val="2FDD2E8E"/>
    <w:rsid w:val="2FDE3125"/>
    <w:rsid w:val="2FE96982"/>
    <w:rsid w:val="2FED2320"/>
    <w:rsid w:val="2FF3094F"/>
    <w:rsid w:val="2FF954CE"/>
    <w:rsid w:val="2FFD0C0E"/>
    <w:rsid w:val="2FFF2318"/>
    <w:rsid w:val="300D20E3"/>
    <w:rsid w:val="300D36B9"/>
    <w:rsid w:val="300F3090"/>
    <w:rsid w:val="301B2328"/>
    <w:rsid w:val="302241FA"/>
    <w:rsid w:val="30225849"/>
    <w:rsid w:val="30253FFF"/>
    <w:rsid w:val="302742E5"/>
    <w:rsid w:val="30303C49"/>
    <w:rsid w:val="30322E5C"/>
    <w:rsid w:val="30376B1D"/>
    <w:rsid w:val="30396D27"/>
    <w:rsid w:val="3044003E"/>
    <w:rsid w:val="30455CDD"/>
    <w:rsid w:val="3047499F"/>
    <w:rsid w:val="30505F70"/>
    <w:rsid w:val="305703F6"/>
    <w:rsid w:val="305E4539"/>
    <w:rsid w:val="306125A4"/>
    <w:rsid w:val="30645CFC"/>
    <w:rsid w:val="30655256"/>
    <w:rsid w:val="30665E9F"/>
    <w:rsid w:val="30675208"/>
    <w:rsid w:val="306C7EFE"/>
    <w:rsid w:val="306F0D15"/>
    <w:rsid w:val="30787874"/>
    <w:rsid w:val="30833D57"/>
    <w:rsid w:val="308D0FE4"/>
    <w:rsid w:val="30A57B99"/>
    <w:rsid w:val="30AC4BE2"/>
    <w:rsid w:val="30B141D5"/>
    <w:rsid w:val="30B30DDA"/>
    <w:rsid w:val="30B556A1"/>
    <w:rsid w:val="30B97331"/>
    <w:rsid w:val="30BA6D63"/>
    <w:rsid w:val="30BB7213"/>
    <w:rsid w:val="30C03B35"/>
    <w:rsid w:val="30C23A3B"/>
    <w:rsid w:val="30D6503C"/>
    <w:rsid w:val="30DE6F2C"/>
    <w:rsid w:val="30E048BB"/>
    <w:rsid w:val="30E24933"/>
    <w:rsid w:val="30E9446C"/>
    <w:rsid w:val="30EC7CD2"/>
    <w:rsid w:val="30ED69B7"/>
    <w:rsid w:val="30F5319F"/>
    <w:rsid w:val="30F859A5"/>
    <w:rsid w:val="31083396"/>
    <w:rsid w:val="310C35ED"/>
    <w:rsid w:val="310D031B"/>
    <w:rsid w:val="31186793"/>
    <w:rsid w:val="312855EA"/>
    <w:rsid w:val="313B3958"/>
    <w:rsid w:val="31496258"/>
    <w:rsid w:val="314B0B14"/>
    <w:rsid w:val="31594B69"/>
    <w:rsid w:val="315B0515"/>
    <w:rsid w:val="31607AF5"/>
    <w:rsid w:val="31667095"/>
    <w:rsid w:val="316B6CEE"/>
    <w:rsid w:val="31740C89"/>
    <w:rsid w:val="31783A79"/>
    <w:rsid w:val="3182440D"/>
    <w:rsid w:val="31881438"/>
    <w:rsid w:val="318C3787"/>
    <w:rsid w:val="31913A69"/>
    <w:rsid w:val="31922F44"/>
    <w:rsid w:val="319B3CAA"/>
    <w:rsid w:val="319B69DF"/>
    <w:rsid w:val="319C66CB"/>
    <w:rsid w:val="31A474A9"/>
    <w:rsid w:val="31A6052A"/>
    <w:rsid w:val="31B01187"/>
    <w:rsid w:val="31B36D87"/>
    <w:rsid w:val="31B70966"/>
    <w:rsid w:val="31C77E28"/>
    <w:rsid w:val="31DA7CEA"/>
    <w:rsid w:val="31ED3136"/>
    <w:rsid w:val="31EF2241"/>
    <w:rsid w:val="31F30BB0"/>
    <w:rsid w:val="31FD406A"/>
    <w:rsid w:val="31FE2FC8"/>
    <w:rsid w:val="32066C5B"/>
    <w:rsid w:val="32084A62"/>
    <w:rsid w:val="321103D7"/>
    <w:rsid w:val="3214416F"/>
    <w:rsid w:val="32156795"/>
    <w:rsid w:val="3216466A"/>
    <w:rsid w:val="321743EE"/>
    <w:rsid w:val="321C011B"/>
    <w:rsid w:val="32415501"/>
    <w:rsid w:val="32415D77"/>
    <w:rsid w:val="324276A3"/>
    <w:rsid w:val="32440A8B"/>
    <w:rsid w:val="324639D0"/>
    <w:rsid w:val="32472605"/>
    <w:rsid w:val="32547CCC"/>
    <w:rsid w:val="325719E8"/>
    <w:rsid w:val="325E6DEC"/>
    <w:rsid w:val="325F3BD6"/>
    <w:rsid w:val="3260430A"/>
    <w:rsid w:val="326170B4"/>
    <w:rsid w:val="3264531C"/>
    <w:rsid w:val="32665466"/>
    <w:rsid w:val="326B38EB"/>
    <w:rsid w:val="326B4469"/>
    <w:rsid w:val="326B75A9"/>
    <w:rsid w:val="327D79D8"/>
    <w:rsid w:val="32892A4B"/>
    <w:rsid w:val="32947A36"/>
    <w:rsid w:val="329A730A"/>
    <w:rsid w:val="32AB0069"/>
    <w:rsid w:val="32B736BD"/>
    <w:rsid w:val="32B865A2"/>
    <w:rsid w:val="32BB447B"/>
    <w:rsid w:val="32BE6E92"/>
    <w:rsid w:val="32DF641E"/>
    <w:rsid w:val="32E70824"/>
    <w:rsid w:val="32E87B1D"/>
    <w:rsid w:val="32EA6068"/>
    <w:rsid w:val="32FE6CC1"/>
    <w:rsid w:val="330E2F53"/>
    <w:rsid w:val="330F50F3"/>
    <w:rsid w:val="331339EF"/>
    <w:rsid w:val="331F2416"/>
    <w:rsid w:val="33291ECF"/>
    <w:rsid w:val="33336279"/>
    <w:rsid w:val="333B39A9"/>
    <w:rsid w:val="33435FD9"/>
    <w:rsid w:val="3345063A"/>
    <w:rsid w:val="33461261"/>
    <w:rsid w:val="33482D94"/>
    <w:rsid w:val="335121B9"/>
    <w:rsid w:val="33554305"/>
    <w:rsid w:val="335544F7"/>
    <w:rsid w:val="335708CC"/>
    <w:rsid w:val="33661CF6"/>
    <w:rsid w:val="3370053C"/>
    <w:rsid w:val="337829B0"/>
    <w:rsid w:val="337A0742"/>
    <w:rsid w:val="337C0BAD"/>
    <w:rsid w:val="33835519"/>
    <w:rsid w:val="33923816"/>
    <w:rsid w:val="33960E31"/>
    <w:rsid w:val="339766EC"/>
    <w:rsid w:val="33A07FCF"/>
    <w:rsid w:val="33A13F7B"/>
    <w:rsid w:val="33A22E78"/>
    <w:rsid w:val="33A8589B"/>
    <w:rsid w:val="33A932A0"/>
    <w:rsid w:val="33B95F01"/>
    <w:rsid w:val="33B96650"/>
    <w:rsid w:val="33BE2BC8"/>
    <w:rsid w:val="33BF1D10"/>
    <w:rsid w:val="33C07D0A"/>
    <w:rsid w:val="33DA5957"/>
    <w:rsid w:val="33DE0862"/>
    <w:rsid w:val="33E170B6"/>
    <w:rsid w:val="33E541A9"/>
    <w:rsid w:val="33E93BB1"/>
    <w:rsid w:val="33F75282"/>
    <w:rsid w:val="33FB6405"/>
    <w:rsid w:val="3402383D"/>
    <w:rsid w:val="34043359"/>
    <w:rsid w:val="340640A5"/>
    <w:rsid w:val="340A53E6"/>
    <w:rsid w:val="340C5516"/>
    <w:rsid w:val="34110143"/>
    <w:rsid w:val="341234EC"/>
    <w:rsid w:val="342E505E"/>
    <w:rsid w:val="34367751"/>
    <w:rsid w:val="34414B42"/>
    <w:rsid w:val="34476BB2"/>
    <w:rsid w:val="344D38AC"/>
    <w:rsid w:val="34517714"/>
    <w:rsid w:val="346E1392"/>
    <w:rsid w:val="347362F2"/>
    <w:rsid w:val="348A1DB8"/>
    <w:rsid w:val="34980D1E"/>
    <w:rsid w:val="34AF1463"/>
    <w:rsid w:val="34AF4A0B"/>
    <w:rsid w:val="34B033E7"/>
    <w:rsid w:val="34B21E59"/>
    <w:rsid w:val="34B94556"/>
    <w:rsid w:val="34BD350C"/>
    <w:rsid w:val="34BF74EA"/>
    <w:rsid w:val="34D766B0"/>
    <w:rsid w:val="34DB2B4D"/>
    <w:rsid w:val="34E16316"/>
    <w:rsid w:val="34E467C1"/>
    <w:rsid w:val="34E75F12"/>
    <w:rsid w:val="34F32500"/>
    <w:rsid w:val="350623F2"/>
    <w:rsid w:val="35093FC4"/>
    <w:rsid w:val="350A5CF4"/>
    <w:rsid w:val="351F2F82"/>
    <w:rsid w:val="35210276"/>
    <w:rsid w:val="35260AA1"/>
    <w:rsid w:val="352C0860"/>
    <w:rsid w:val="352D3D79"/>
    <w:rsid w:val="3535293E"/>
    <w:rsid w:val="3536502B"/>
    <w:rsid w:val="353665BD"/>
    <w:rsid w:val="355A1420"/>
    <w:rsid w:val="355B65B2"/>
    <w:rsid w:val="355D4F81"/>
    <w:rsid w:val="3567202C"/>
    <w:rsid w:val="35705AE4"/>
    <w:rsid w:val="35793904"/>
    <w:rsid w:val="35824905"/>
    <w:rsid w:val="35843F72"/>
    <w:rsid w:val="3593050C"/>
    <w:rsid w:val="35970273"/>
    <w:rsid w:val="359F0E35"/>
    <w:rsid w:val="35A401B7"/>
    <w:rsid w:val="35A628BF"/>
    <w:rsid w:val="35A8616F"/>
    <w:rsid w:val="35AC4C37"/>
    <w:rsid w:val="35AC7A77"/>
    <w:rsid w:val="35B4673C"/>
    <w:rsid w:val="35C1500F"/>
    <w:rsid w:val="35C74E47"/>
    <w:rsid w:val="35C93FD1"/>
    <w:rsid w:val="35D50CB0"/>
    <w:rsid w:val="35E24DF5"/>
    <w:rsid w:val="35EB2A94"/>
    <w:rsid w:val="35EE0BFA"/>
    <w:rsid w:val="35FC0320"/>
    <w:rsid w:val="35FC78A0"/>
    <w:rsid w:val="35FF463C"/>
    <w:rsid w:val="36033597"/>
    <w:rsid w:val="360D4DD7"/>
    <w:rsid w:val="361124A4"/>
    <w:rsid w:val="36132896"/>
    <w:rsid w:val="36251E52"/>
    <w:rsid w:val="36280F4A"/>
    <w:rsid w:val="363407F7"/>
    <w:rsid w:val="363627D3"/>
    <w:rsid w:val="36377ADD"/>
    <w:rsid w:val="3638445C"/>
    <w:rsid w:val="363B7EBE"/>
    <w:rsid w:val="36400122"/>
    <w:rsid w:val="364A0E13"/>
    <w:rsid w:val="364D39D1"/>
    <w:rsid w:val="36544AEB"/>
    <w:rsid w:val="365612E8"/>
    <w:rsid w:val="36594F08"/>
    <w:rsid w:val="36611770"/>
    <w:rsid w:val="36612B90"/>
    <w:rsid w:val="366513C8"/>
    <w:rsid w:val="3686608C"/>
    <w:rsid w:val="368A7B73"/>
    <w:rsid w:val="369D01F1"/>
    <w:rsid w:val="36AD62EF"/>
    <w:rsid w:val="36B43FB6"/>
    <w:rsid w:val="36B81B04"/>
    <w:rsid w:val="36BD0318"/>
    <w:rsid w:val="36C142BF"/>
    <w:rsid w:val="36CA1F25"/>
    <w:rsid w:val="36DD5498"/>
    <w:rsid w:val="36DE0951"/>
    <w:rsid w:val="36E1021E"/>
    <w:rsid w:val="36EF752D"/>
    <w:rsid w:val="36F210B1"/>
    <w:rsid w:val="36F62C6F"/>
    <w:rsid w:val="36FA6519"/>
    <w:rsid w:val="36FD5A14"/>
    <w:rsid w:val="37007AC7"/>
    <w:rsid w:val="3701537B"/>
    <w:rsid w:val="370F6DF2"/>
    <w:rsid w:val="371D1C1E"/>
    <w:rsid w:val="371F5B4E"/>
    <w:rsid w:val="371F6EDC"/>
    <w:rsid w:val="372A09FA"/>
    <w:rsid w:val="372A3B2F"/>
    <w:rsid w:val="37330115"/>
    <w:rsid w:val="373529C0"/>
    <w:rsid w:val="37363185"/>
    <w:rsid w:val="37415F46"/>
    <w:rsid w:val="37483A99"/>
    <w:rsid w:val="375A58F4"/>
    <w:rsid w:val="375C5700"/>
    <w:rsid w:val="375E4269"/>
    <w:rsid w:val="375F2D0C"/>
    <w:rsid w:val="37673145"/>
    <w:rsid w:val="376B4FBE"/>
    <w:rsid w:val="376E122E"/>
    <w:rsid w:val="37807A1C"/>
    <w:rsid w:val="37857F34"/>
    <w:rsid w:val="37866CAA"/>
    <w:rsid w:val="378E3BE4"/>
    <w:rsid w:val="37926F42"/>
    <w:rsid w:val="379837CA"/>
    <w:rsid w:val="37994C24"/>
    <w:rsid w:val="37A4695E"/>
    <w:rsid w:val="37A94281"/>
    <w:rsid w:val="37AA79A3"/>
    <w:rsid w:val="37B253AC"/>
    <w:rsid w:val="37B73B33"/>
    <w:rsid w:val="37B83F97"/>
    <w:rsid w:val="37C87091"/>
    <w:rsid w:val="37D42B5B"/>
    <w:rsid w:val="37DB727A"/>
    <w:rsid w:val="37E11252"/>
    <w:rsid w:val="37E8004A"/>
    <w:rsid w:val="37F048A0"/>
    <w:rsid w:val="37F27E10"/>
    <w:rsid w:val="37FD1CC4"/>
    <w:rsid w:val="380D0427"/>
    <w:rsid w:val="381179AF"/>
    <w:rsid w:val="38153971"/>
    <w:rsid w:val="381B0018"/>
    <w:rsid w:val="381D4A6D"/>
    <w:rsid w:val="38277C2E"/>
    <w:rsid w:val="382932C1"/>
    <w:rsid w:val="382A51FA"/>
    <w:rsid w:val="382F4B08"/>
    <w:rsid w:val="38312A30"/>
    <w:rsid w:val="38375AF8"/>
    <w:rsid w:val="383B53FE"/>
    <w:rsid w:val="383D58E5"/>
    <w:rsid w:val="38526F11"/>
    <w:rsid w:val="38544E85"/>
    <w:rsid w:val="385914A3"/>
    <w:rsid w:val="385C728B"/>
    <w:rsid w:val="38605BE7"/>
    <w:rsid w:val="38671084"/>
    <w:rsid w:val="389E47CB"/>
    <w:rsid w:val="38A00A0E"/>
    <w:rsid w:val="38A23923"/>
    <w:rsid w:val="38A81139"/>
    <w:rsid w:val="38A83ADF"/>
    <w:rsid w:val="38B10FD3"/>
    <w:rsid w:val="38BD37C9"/>
    <w:rsid w:val="38BF21DB"/>
    <w:rsid w:val="38CE48E9"/>
    <w:rsid w:val="38CE4F70"/>
    <w:rsid w:val="38DC7DB9"/>
    <w:rsid w:val="38DF7F36"/>
    <w:rsid w:val="38E12A24"/>
    <w:rsid w:val="38E7522B"/>
    <w:rsid w:val="38F03DE8"/>
    <w:rsid w:val="38F172EC"/>
    <w:rsid w:val="38F26C38"/>
    <w:rsid w:val="38FA3CDB"/>
    <w:rsid w:val="38FF3D9D"/>
    <w:rsid w:val="38FF4659"/>
    <w:rsid w:val="39046F8A"/>
    <w:rsid w:val="390D588D"/>
    <w:rsid w:val="391F2C63"/>
    <w:rsid w:val="391F5244"/>
    <w:rsid w:val="392029D3"/>
    <w:rsid w:val="39225CE4"/>
    <w:rsid w:val="392326FF"/>
    <w:rsid w:val="392635CF"/>
    <w:rsid w:val="392876F4"/>
    <w:rsid w:val="392A377B"/>
    <w:rsid w:val="392C4893"/>
    <w:rsid w:val="393120C7"/>
    <w:rsid w:val="393E362D"/>
    <w:rsid w:val="395E6FAD"/>
    <w:rsid w:val="396252C6"/>
    <w:rsid w:val="396428D7"/>
    <w:rsid w:val="39651D5F"/>
    <w:rsid w:val="396D0C84"/>
    <w:rsid w:val="3970352D"/>
    <w:rsid w:val="397F27D6"/>
    <w:rsid w:val="39864802"/>
    <w:rsid w:val="39980102"/>
    <w:rsid w:val="399F0B08"/>
    <w:rsid w:val="39AE1A04"/>
    <w:rsid w:val="39B54FFE"/>
    <w:rsid w:val="39B7679D"/>
    <w:rsid w:val="39C1648A"/>
    <w:rsid w:val="39C550B5"/>
    <w:rsid w:val="39C62DFD"/>
    <w:rsid w:val="39C6346A"/>
    <w:rsid w:val="39CE51AC"/>
    <w:rsid w:val="39DB58DF"/>
    <w:rsid w:val="39DC14C7"/>
    <w:rsid w:val="39DC32CF"/>
    <w:rsid w:val="39DC5B33"/>
    <w:rsid w:val="39DD742E"/>
    <w:rsid w:val="39E53811"/>
    <w:rsid w:val="39EF3377"/>
    <w:rsid w:val="39F63CA8"/>
    <w:rsid w:val="3A091E15"/>
    <w:rsid w:val="3A0A5860"/>
    <w:rsid w:val="3A0C76D7"/>
    <w:rsid w:val="3A127640"/>
    <w:rsid w:val="3A19194C"/>
    <w:rsid w:val="3A194F2E"/>
    <w:rsid w:val="3A1E479F"/>
    <w:rsid w:val="3A204AEC"/>
    <w:rsid w:val="3A2200E6"/>
    <w:rsid w:val="3A2D4580"/>
    <w:rsid w:val="3A2E4056"/>
    <w:rsid w:val="3A377207"/>
    <w:rsid w:val="3A3E0D77"/>
    <w:rsid w:val="3A4E34CE"/>
    <w:rsid w:val="3A504D64"/>
    <w:rsid w:val="3A514E71"/>
    <w:rsid w:val="3A5610C1"/>
    <w:rsid w:val="3A6234A0"/>
    <w:rsid w:val="3A627DF4"/>
    <w:rsid w:val="3A791CD8"/>
    <w:rsid w:val="3A7E250A"/>
    <w:rsid w:val="3A895FAF"/>
    <w:rsid w:val="3A9212C4"/>
    <w:rsid w:val="3A9611FB"/>
    <w:rsid w:val="3AAE2FB7"/>
    <w:rsid w:val="3AB06356"/>
    <w:rsid w:val="3AC20A9E"/>
    <w:rsid w:val="3ACA5143"/>
    <w:rsid w:val="3ACC7E1E"/>
    <w:rsid w:val="3AD83E47"/>
    <w:rsid w:val="3AD937F3"/>
    <w:rsid w:val="3AD94233"/>
    <w:rsid w:val="3ADC43DB"/>
    <w:rsid w:val="3AEB018A"/>
    <w:rsid w:val="3B000900"/>
    <w:rsid w:val="3B047A2C"/>
    <w:rsid w:val="3B0D012B"/>
    <w:rsid w:val="3B101F22"/>
    <w:rsid w:val="3B124C1B"/>
    <w:rsid w:val="3B135C35"/>
    <w:rsid w:val="3B144FE3"/>
    <w:rsid w:val="3B1725D5"/>
    <w:rsid w:val="3B1B785B"/>
    <w:rsid w:val="3B2A3136"/>
    <w:rsid w:val="3B2B31E1"/>
    <w:rsid w:val="3B3245B6"/>
    <w:rsid w:val="3B3D4F8D"/>
    <w:rsid w:val="3B3E7BB5"/>
    <w:rsid w:val="3B41346C"/>
    <w:rsid w:val="3B43293D"/>
    <w:rsid w:val="3B4604BD"/>
    <w:rsid w:val="3B4F3314"/>
    <w:rsid w:val="3B593961"/>
    <w:rsid w:val="3B5D4380"/>
    <w:rsid w:val="3B5F7EA1"/>
    <w:rsid w:val="3B622EBC"/>
    <w:rsid w:val="3B697A40"/>
    <w:rsid w:val="3B71469D"/>
    <w:rsid w:val="3B733F3E"/>
    <w:rsid w:val="3B7B6258"/>
    <w:rsid w:val="3B7C16F1"/>
    <w:rsid w:val="3B7D36E1"/>
    <w:rsid w:val="3B802132"/>
    <w:rsid w:val="3B8A52AF"/>
    <w:rsid w:val="3B8A6A1F"/>
    <w:rsid w:val="3B901E80"/>
    <w:rsid w:val="3B910482"/>
    <w:rsid w:val="3B9B6F13"/>
    <w:rsid w:val="3BAE4EDB"/>
    <w:rsid w:val="3BB11D11"/>
    <w:rsid w:val="3BB16615"/>
    <w:rsid w:val="3BBD1447"/>
    <w:rsid w:val="3BC05AA5"/>
    <w:rsid w:val="3BCB7C57"/>
    <w:rsid w:val="3BCE0130"/>
    <w:rsid w:val="3BD161E3"/>
    <w:rsid w:val="3BE5760A"/>
    <w:rsid w:val="3BEC4627"/>
    <w:rsid w:val="3BED1959"/>
    <w:rsid w:val="3BED69ED"/>
    <w:rsid w:val="3BF736C7"/>
    <w:rsid w:val="3BF91A21"/>
    <w:rsid w:val="3BFA415F"/>
    <w:rsid w:val="3BFD5CA7"/>
    <w:rsid w:val="3C04103F"/>
    <w:rsid w:val="3C0D7EBC"/>
    <w:rsid w:val="3C130B57"/>
    <w:rsid w:val="3C137EF5"/>
    <w:rsid w:val="3C176715"/>
    <w:rsid w:val="3C190282"/>
    <w:rsid w:val="3C1C62B7"/>
    <w:rsid w:val="3C20170F"/>
    <w:rsid w:val="3C2A6C8E"/>
    <w:rsid w:val="3C35789E"/>
    <w:rsid w:val="3C3A17EA"/>
    <w:rsid w:val="3C3E6D60"/>
    <w:rsid w:val="3C441041"/>
    <w:rsid w:val="3C4D4524"/>
    <w:rsid w:val="3C5639DE"/>
    <w:rsid w:val="3C571C05"/>
    <w:rsid w:val="3C604E87"/>
    <w:rsid w:val="3C627600"/>
    <w:rsid w:val="3C64352B"/>
    <w:rsid w:val="3C672E2C"/>
    <w:rsid w:val="3C6B0FA1"/>
    <w:rsid w:val="3C731673"/>
    <w:rsid w:val="3C732DC3"/>
    <w:rsid w:val="3C764FC0"/>
    <w:rsid w:val="3C772CA6"/>
    <w:rsid w:val="3C794F1D"/>
    <w:rsid w:val="3C8968D2"/>
    <w:rsid w:val="3C8B3A72"/>
    <w:rsid w:val="3C8B5507"/>
    <w:rsid w:val="3C8D58BE"/>
    <w:rsid w:val="3C8E5FED"/>
    <w:rsid w:val="3C973C0D"/>
    <w:rsid w:val="3C9B6DA9"/>
    <w:rsid w:val="3C9E20B1"/>
    <w:rsid w:val="3CB53A65"/>
    <w:rsid w:val="3CBA2E06"/>
    <w:rsid w:val="3CC102AC"/>
    <w:rsid w:val="3CC32FD3"/>
    <w:rsid w:val="3CCC1568"/>
    <w:rsid w:val="3CD178A1"/>
    <w:rsid w:val="3CE03742"/>
    <w:rsid w:val="3CE360F2"/>
    <w:rsid w:val="3CEE5C15"/>
    <w:rsid w:val="3CF5496B"/>
    <w:rsid w:val="3D01019C"/>
    <w:rsid w:val="3D056133"/>
    <w:rsid w:val="3D115586"/>
    <w:rsid w:val="3D162435"/>
    <w:rsid w:val="3D176CBC"/>
    <w:rsid w:val="3D197739"/>
    <w:rsid w:val="3D1B28DF"/>
    <w:rsid w:val="3D2871B7"/>
    <w:rsid w:val="3D2B2775"/>
    <w:rsid w:val="3D372F70"/>
    <w:rsid w:val="3D500385"/>
    <w:rsid w:val="3D576CFB"/>
    <w:rsid w:val="3D5A44CB"/>
    <w:rsid w:val="3D6025AF"/>
    <w:rsid w:val="3D636B57"/>
    <w:rsid w:val="3D647CD4"/>
    <w:rsid w:val="3D7069A9"/>
    <w:rsid w:val="3D7B49B3"/>
    <w:rsid w:val="3D84454D"/>
    <w:rsid w:val="3D8720EB"/>
    <w:rsid w:val="3D8B700B"/>
    <w:rsid w:val="3D8D259B"/>
    <w:rsid w:val="3D8D2E74"/>
    <w:rsid w:val="3D940183"/>
    <w:rsid w:val="3D94569F"/>
    <w:rsid w:val="3D9D58CF"/>
    <w:rsid w:val="3D9E1EFA"/>
    <w:rsid w:val="3DA64C20"/>
    <w:rsid w:val="3DB328C2"/>
    <w:rsid w:val="3DCC12F0"/>
    <w:rsid w:val="3DE41CDC"/>
    <w:rsid w:val="3DE85142"/>
    <w:rsid w:val="3DEB52FD"/>
    <w:rsid w:val="3DEC6870"/>
    <w:rsid w:val="3DFC38E9"/>
    <w:rsid w:val="3E016AE6"/>
    <w:rsid w:val="3E0447FA"/>
    <w:rsid w:val="3E0F221F"/>
    <w:rsid w:val="3E157EA5"/>
    <w:rsid w:val="3E187D1F"/>
    <w:rsid w:val="3E1C3525"/>
    <w:rsid w:val="3E200B4B"/>
    <w:rsid w:val="3E225DB0"/>
    <w:rsid w:val="3E2658AC"/>
    <w:rsid w:val="3E2B1230"/>
    <w:rsid w:val="3E3D069E"/>
    <w:rsid w:val="3E483582"/>
    <w:rsid w:val="3E4F50F0"/>
    <w:rsid w:val="3E514111"/>
    <w:rsid w:val="3E5337D0"/>
    <w:rsid w:val="3E537DE4"/>
    <w:rsid w:val="3E554154"/>
    <w:rsid w:val="3E5F165E"/>
    <w:rsid w:val="3E624C91"/>
    <w:rsid w:val="3E650A83"/>
    <w:rsid w:val="3E6547E9"/>
    <w:rsid w:val="3E6A28BE"/>
    <w:rsid w:val="3E6A6BB5"/>
    <w:rsid w:val="3E6B1778"/>
    <w:rsid w:val="3E6D548C"/>
    <w:rsid w:val="3E7168E7"/>
    <w:rsid w:val="3E797897"/>
    <w:rsid w:val="3E8939E2"/>
    <w:rsid w:val="3E8C7718"/>
    <w:rsid w:val="3E8D2247"/>
    <w:rsid w:val="3E904009"/>
    <w:rsid w:val="3E964B4B"/>
    <w:rsid w:val="3E996659"/>
    <w:rsid w:val="3E9E1FC0"/>
    <w:rsid w:val="3EA300A7"/>
    <w:rsid w:val="3EC3043C"/>
    <w:rsid w:val="3EC84EA8"/>
    <w:rsid w:val="3EC8679C"/>
    <w:rsid w:val="3ED76765"/>
    <w:rsid w:val="3EDC3881"/>
    <w:rsid w:val="3EE5288B"/>
    <w:rsid w:val="3F027DD0"/>
    <w:rsid w:val="3F232D0D"/>
    <w:rsid w:val="3F2E1337"/>
    <w:rsid w:val="3F2E2497"/>
    <w:rsid w:val="3F3303B1"/>
    <w:rsid w:val="3F347940"/>
    <w:rsid w:val="3F3607B2"/>
    <w:rsid w:val="3F380D4D"/>
    <w:rsid w:val="3F4A339D"/>
    <w:rsid w:val="3F4E1B72"/>
    <w:rsid w:val="3F5E47EB"/>
    <w:rsid w:val="3F6351E6"/>
    <w:rsid w:val="3F66563F"/>
    <w:rsid w:val="3F6775AE"/>
    <w:rsid w:val="3F6C5444"/>
    <w:rsid w:val="3F6E7773"/>
    <w:rsid w:val="3F780590"/>
    <w:rsid w:val="3F8B412E"/>
    <w:rsid w:val="3F9A519D"/>
    <w:rsid w:val="3F9F1936"/>
    <w:rsid w:val="3FA05939"/>
    <w:rsid w:val="3FAB5086"/>
    <w:rsid w:val="3FBD2DA4"/>
    <w:rsid w:val="3FBF2FE8"/>
    <w:rsid w:val="3FCD21AF"/>
    <w:rsid w:val="3FDE02D2"/>
    <w:rsid w:val="3FE672B3"/>
    <w:rsid w:val="3FE92443"/>
    <w:rsid w:val="3FED00AC"/>
    <w:rsid w:val="3FFB5DCE"/>
    <w:rsid w:val="4002562A"/>
    <w:rsid w:val="400D69C0"/>
    <w:rsid w:val="400F56F2"/>
    <w:rsid w:val="401E1F88"/>
    <w:rsid w:val="40266EE6"/>
    <w:rsid w:val="402D166A"/>
    <w:rsid w:val="40310ED8"/>
    <w:rsid w:val="40332BCE"/>
    <w:rsid w:val="403E203C"/>
    <w:rsid w:val="40406945"/>
    <w:rsid w:val="40506AA3"/>
    <w:rsid w:val="405733C5"/>
    <w:rsid w:val="40595063"/>
    <w:rsid w:val="405B2555"/>
    <w:rsid w:val="40606766"/>
    <w:rsid w:val="40653402"/>
    <w:rsid w:val="40654256"/>
    <w:rsid w:val="406E2D1C"/>
    <w:rsid w:val="40716677"/>
    <w:rsid w:val="4075475E"/>
    <w:rsid w:val="407A1956"/>
    <w:rsid w:val="407C3AE5"/>
    <w:rsid w:val="407E45ED"/>
    <w:rsid w:val="407F1C79"/>
    <w:rsid w:val="4083477A"/>
    <w:rsid w:val="408354C4"/>
    <w:rsid w:val="409516C8"/>
    <w:rsid w:val="409B660A"/>
    <w:rsid w:val="409E738A"/>
    <w:rsid w:val="40A843C0"/>
    <w:rsid w:val="40A93DFB"/>
    <w:rsid w:val="40A96AA7"/>
    <w:rsid w:val="40B04F11"/>
    <w:rsid w:val="40C04B53"/>
    <w:rsid w:val="40C27447"/>
    <w:rsid w:val="40D0698B"/>
    <w:rsid w:val="40D43ECB"/>
    <w:rsid w:val="40D641E4"/>
    <w:rsid w:val="40D92A29"/>
    <w:rsid w:val="40DD7A15"/>
    <w:rsid w:val="40ED38AB"/>
    <w:rsid w:val="40EF3B05"/>
    <w:rsid w:val="40F366F4"/>
    <w:rsid w:val="40F523B4"/>
    <w:rsid w:val="40F64F78"/>
    <w:rsid w:val="40F676A4"/>
    <w:rsid w:val="40FF5264"/>
    <w:rsid w:val="41042837"/>
    <w:rsid w:val="41080CDA"/>
    <w:rsid w:val="410D0068"/>
    <w:rsid w:val="411266A1"/>
    <w:rsid w:val="411C18CD"/>
    <w:rsid w:val="412D7B4F"/>
    <w:rsid w:val="412E51FC"/>
    <w:rsid w:val="413362A7"/>
    <w:rsid w:val="41356368"/>
    <w:rsid w:val="41357E8E"/>
    <w:rsid w:val="414311A9"/>
    <w:rsid w:val="414E3C12"/>
    <w:rsid w:val="415E6A92"/>
    <w:rsid w:val="415E7F1E"/>
    <w:rsid w:val="415F2C86"/>
    <w:rsid w:val="4163168B"/>
    <w:rsid w:val="4163256C"/>
    <w:rsid w:val="41645CF3"/>
    <w:rsid w:val="41684FED"/>
    <w:rsid w:val="41705CAC"/>
    <w:rsid w:val="41714948"/>
    <w:rsid w:val="417852FE"/>
    <w:rsid w:val="41792489"/>
    <w:rsid w:val="418718DD"/>
    <w:rsid w:val="41933D70"/>
    <w:rsid w:val="41975AE6"/>
    <w:rsid w:val="419869E0"/>
    <w:rsid w:val="419A0534"/>
    <w:rsid w:val="41A22005"/>
    <w:rsid w:val="41A7672E"/>
    <w:rsid w:val="41AB30BD"/>
    <w:rsid w:val="41BB5594"/>
    <w:rsid w:val="41C16449"/>
    <w:rsid w:val="41C6235F"/>
    <w:rsid w:val="41D02BED"/>
    <w:rsid w:val="41D9721F"/>
    <w:rsid w:val="41E35933"/>
    <w:rsid w:val="41E82F0A"/>
    <w:rsid w:val="41EA07BD"/>
    <w:rsid w:val="41F22E27"/>
    <w:rsid w:val="41F45A1C"/>
    <w:rsid w:val="42101E16"/>
    <w:rsid w:val="42116907"/>
    <w:rsid w:val="421337A1"/>
    <w:rsid w:val="422C1E62"/>
    <w:rsid w:val="4238215D"/>
    <w:rsid w:val="42382ED8"/>
    <w:rsid w:val="42387696"/>
    <w:rsid w:val="426E0E54"/>
    <w:rsid w:val="42746CC9"/>
    <w:rsid w:val="42782D0E"/>
    <w:rsid w:val="427A3339"/>
    <w:rsid w:val="427C3379"/>
    <w:rsid w:val="42812BEB"/>
    <w:rsid w:val="428759CF"/>
    <w:rsid w:val="42917131"/>
    <w:rsid w:val="429B1A3D"/>
    <w:rsid w:val="42AF12AB"/>
    <w:rsid w:val="42AF6F31"/>
    <w:rsid w:val="42BE31F4"/>
    <w:rsid w:val="42C23654"/>
    <w:rsid w:val="42C71351"/>
    <w:rsid w:val="42CA6FBD"/>
    <w:rsid w:val="42CE1689"/>
    <w:rsid w:val="42D72128"/>
    <w:rsid w:val="42E23496"/>
    <w:rsid w:val="42E80A85"/>
    <w:rsid w:val="42E87A95"/>
    <w:rsid w:val="42EB6B0A"/>
    <w:rsid w:val="42EB6FAA"/>
    <w:rsid w:val="43011432"/>
    <w:rsid w:val="43037E1E"/>
    <w:rsid w:val="430A4553"/>
    <w:rsid w:val="430E4243"/>
    <w:rsid w:val="431567DE"/>
    <w:rsid w:val="431B24E0"/>
    <w:rsid w:val="431F46B8"/>
    <w:rsid w:val="432129E2"/>
    <w:rsid w:val="43224918"/>
    <w:rsid w:val="4337416F"/>
    <w:rsid w:val="433F4923"/>
    <w:rsid w:val="43441DEB"/>
    <w:rsid w:val="43452BC1"/>
    <w:rsid w:val="4345375F"/>
    <w:rsid w:val="434B6E74"/>
    <w:rsid w:val="43536149"/>
    <w:rsid w:val="435436B7"/>
    <w:rsid w:val="4357300A"/>
    <w:rsid w:val="435D54DA"/>
    <w:rsid w:val="43654953"/>
    <w:rsid w:val="43675239"/>
    <w:rsid w:val="43683AE3"/>
    <w:rsid w:val="437300B3"/>
    <w:rsid w:val="437908C2"/>
    <w:rsid w:val="438028DB"/>
    <w:rsid w:val="438D25B3"/>
    <w:rsid w:val="43933756"/>
    <w:rsid w:val="4394527E"/>
    <w:rsid w:val="43970A34"/>
    <w:rsid w:val="439C067A"/>
    <w:rsid w:val="439C453E"/>
    <w:rsid w:val="43A21CED"/>
    <w:rsid w:val="43B001FE"/>
    <w:rsid w:val="43B13CDD"/>
    <w:rsid w:val="43B32834"/>
    <w:rsid w:val="43BB0961"/>
    <w:rsid w:val="43BE6232"/>
    <w:rsid w:val="43C91A5D"/>
    <w:rsid w:val="43CA4D0A"/>
    <w:rsid w:val="43CF6547"/>
    <w:rsid w:val="43D349E2"/>
    <w:rsid w:val="43D34DCA"/>
    <w:rsid w:val="43D549AF"/>
    <w:rsid w:val="43D61162"/>
    <w:rsid w:val="43D91E2D"/>
    <w:rsid w:val="43D951C6"/>
    <w:rsid w:val="43D95633"/>
    <w:rsid w:val="43DA1716"/>
    <w:rsid w:val="43FB5DD1"/>
    <w:rsid w:val="44011F00"/>
    <w:rsid w:val="440D376B"/>
    <w:rsid w:val="441234C5"/>
    <w:rsid w:val="441C152A"/>
    <w:rsid w:val="44385C50"/>
    <w:rsid w:val="444136C3"/>
    <w:rsid w:val="44415838"/>
    <w:rsid w:val="44442356"/>
    <w:rsid w:val="4449591C"/>
    <w:rsid w:val="44512971"/>
    <w:rsid w:val="445439C0"/>
    <w:rsid w:val="44602A2C"/>
    <w:rsid w:val="446F1124"/>
    <w:rsid w:val="447C700B"/>
    <w:rsid w:val="447D6D7C"/>
    <w:rsid w:val="447F27A2"/>
    <w:rsid w:val="44982F38"/>
    <w:rsid w:val="44A7503A"/>
    <w:rsid w:val="44A76CF6"/>
    <w:rsid w:val="44AC1EE5"/>
    <w:rsid w:val="44AD1FCC"/>
    <w:rsid w:val="44B81444"/>
    <w:rsid w:val="44BD0353"/>
    <w:rsid w:val="44BF6D36"/>
    <w:rsid w:val="44CD31E2"/>
    <w:rsid w:val="44DB674E"/>
    <w:rsid w:val="44DD2005"/>
    <w:rsid w:val="44DD62F3"/>
    <w:rsid w:val="44DF60D4"/>
    <w:rsid w:val="44E04549"/>
    <w:rsid w:val="44EB6AFC"/>
    <w:rsid w:val="44F32FB8"/>
    <w:rsid w:val="45010547"/>
    <w:rsid w:val="450A37A6"/>
    <w:rsid w:val="45121191"/>
    <w:rsid w:val="451233A7"/>
    <w:rsid w:val="45363AD2"/>
    <w:rsid w:val="453A3D5A"/>
    <w:rsid w:val="454B22CD"/>
    <w:rsid w:val="45503781"/>
    <w:rsid w:val="45545DCC"/>
    <w:rsid w:val="455E543A"/>
    <w:rsid w:val="456526DC"/>
    <w:rsid w:val="456B6252"/>
    <w:rsid w:val="45722531"/>
    <w:rsid w:val="45733DC0"/>
    <w:rsid w:val="45814379"/>
    <w:rsid w:val="458D1375"/>
    <w:rsid w:val="45912560"/>
    <w:rsid w:val="45B41203"/>
    <w:rsid w:val="45BA3A4B"/>
    <w:rsid w:val="45BC2451"/>
    <w:rsid w:val="45C168FC"/>
    <w:rsid w:val="45C95507"/>
    <w:rsid w:val="45D0102E"/>
    <w:rsid w:val="45D05812"/>
    <w:rsid w:val="45E42AD7"/>
    <w:rsid w:val="45E53BA1"/>
    <w:rsid w:val="45F21CCB"/>
    <w:rsid w:val="45FE6567"/>
    <w:rsid w:val="460145C0"/>
    <w:rsid w:val="4610607A"/>
    <w:rsid w:val="46141C24"/>
    <w:rsid w:val="46174BB3"/>
    <w:rsid w:val="46177320"/>
    <w:rsid w:val="461C7DD4"/>
    <w:rsid w:val="46226875"/>
    <w:rsid w:val="46317741"/>
    <w:rsid w:val="464B7691"/>
    <w:rsid w:val="464E4459"/>
    <w:rsid w:val="464F7D9C"/>
    <w:rsid w:val="46510993"/>
    <w:rsid w:val="46583271"/>
    <w:rsid w:val="46595458"/>
    <w:rsid w:val="46597DAF"/>
    <w:rsid w:val="465D4024"/>
    <w:rsid w:val="4660270E"/>
    <w:rsid w:val="466C2849"/>
    <w:rsid w:val="46731E67"/>
    <w:rsid w:val="468119D1"/>
    <w:rsid w:val="468A7785"/>
    <w:rsid w:val="46965672"/>
    <w:rsid w:val="46A80D82"/>
    <w:rsid w:val="46AD46D2"/>
    <w:rsid w:val="46B26810"/>
    <w:rsid w:val="46B960BA"/>
    <w:rsid w:val="46BB7BAE"/>
    <w:rsid w:val="46BF304B"/>
    <w:rsid w:val="46C20EBF"/>
    <w:rsid w:val="46CB3B16"/>
    <w:rsid w:val="46CB6F98"/>
    <w:rsid w:val="46D06061"/>
    <w:rsid w:val="46D75BE8"/>
    <w:rsid w:val="46DA25C3"/>
    <w:rsid w:val="46DB1F59"/>
    <w:rsid w:val="46DB4025"/>
    <w:rsid w:val="46E813A4"/>
    <w:rsid w:val="46E94533"/>
    <w:rsid w:val="46E97115"/>
    <w:rsid w:val="46F575B9"/>
    <w:rsid w:val="46FF6008"/>
    <w:rsid w:val="470457E6"/>
    <w:rsid w:val="47173C62"/>
    <w:rsid w:val="47185071"/>
    <w:rsid w:val="472530E4"/>
    <w:rsid w:val="47293E0F"/>
    <w:rsid w:val="47307DD7"/>
    <w:rsid w:val="473811EF"/>
    <w:rsid w:val="473C1E11"/>
    <w:rsid w:val="473E2FCD"/>
    <w:rsid w:val="473F409F"/>
    <w:rsid w:val="4741268A"/>
    <w:rsid w:val="47496A9E"/>
    <w:rsid w:val="474C23A8"/>
    <w:rsid w:val="475029D2"/>
    <w:rsid w:val="475603F6"/>
    <w:rsid w:val="476C7B45"/>
    <w:rsid w:val="476D0C9F"/>
    <w:rsid w:val="47722A18"/>
    <w:rsid w:val="47741D0C"/>
    <w:rsid w:val="47782E27"/>
    <w:rsid w:val="477D2472"/>
    <w:rsid w:val="477F6DA1"/>
    <w:rsid w:val="47805970"/>
    <w:rsid w:val="47876B9F"/>
    <w:rsid w:val="478B55C7"/>
    <w:rsid w:val="478C0EC4"/>
    <w:rsid w:val="479236A7"/>
    <w:rsid w:val="4793614E"/>
    <w:rsid w:val="47953EA1"/>
    <w:rsid w:val="47981445"/>
    <w:rsid w:val="47A213C0"/>
    <w:rsid w:val="47B57B67"/>
    <w:rsid w:val="47B76453"/>
    <w:rsid w:val="47BD3EE4"/>
    <w:rsid w:val="47C2640D"/>
    <w:rsid w:val="47C70945"/>
    <w:rsid w:val="47D52482"/>
    <w:rsid w:val="47DC4284"/>
    <w:rsid w:val="47DC5B55"/>
    <w:rsid w:val="47DF7B1C"/>
    <w:rsid w:val="47E8372E"/>
    <w:rsid w:val="47EB4AD4"/>
    <w:rsid w:val="47F21EF0"/>
    <w:rsid w:val="47F5197C"/>
    <w:rsid w:val="47F95DB7"/>
    <w:rsid w:val="48061463"/>
    <w:rsid w:val="480B1989"/>
    <w:rsid w:val="480F66E3"/>
    <w:rsid w:val="48130826"/>
    <w:rsid w:val="481D120F"/>
    <w:rsid w:val="482105C0"/>
    <w:rsid w:val="48211E7E"/>
    <w:rsid w:val="48342F88"/>
    <w:rsid w:val="483510C7"/>
    <w:rsid w:val="483D4CED"/>
    <w:rsid w:val="483F4FF0"/>
    <w:rsid w:val="48554F42"/>
    <w:rsid w:val="485C39F4"/>
    <w:rsid w:val="485E7ACC"/>
    <w:rsid w:val="485F557D"/>
    <w:rsid w:val="4862142D"/>
    <w:rsid w:val="48626E30"/>
    <w:rsid w:val="48636ED0"/>
    <w:rsid w:val="48680479"/>
    <w:rsid w:val="486A4A47"/>
    <w:rsid w:val="486C7D5F"/>
    <w:rsid w:val="48766E5E"/>
    <w:rsid w:val="487835F2"/>
    <w:rsid w:val="487A69DB"/>
    <w:rsid w:val="487F0F75"/>
    <w:rsid w:val="4889205F"/>
    <w:rsid w:val="48952A5D"/>
    <w:rsid w:val="489701E4"/>
    <w:rsid w:val="4898120E"/>
    <w:rsid w:val="489B67F2"/>
    <w:rsid w:val="489C5552"/>
    <w:rsid w:val="48AB0568"/>
    <w:rsid w:val="48AB63B2"/>
    <w:rsid w:val="48AB7A2F"/>
    <w:rsid w:val="48B23A8E"/>
    <w:rsid w:val="48BA110B"/>
    <w:rsid w:val="48C170BE"/>
    <w:rsid w:val="48CD0CC0"/>
    <w:rsid w:val="48D42363"/>
    <w:rsid w:val="48D949EA"/>
    <w:rsid w:val="48E1069F"/>
    <w:rsid w:val="48E36067"/>
    <w:rsid w:val="48F73D54"/>
    <w:rsid w:val="48FA28F1"/>
    <w:rsid w:val="48FB457E"/>
    <w:rsid w:val="48FC00E1"/>
    <w:rsid w:val="4905290C"/>
    <w:rsid w:val="49063785"/>
    <w:rsid w:val="49125918"/>
    <w:rsid w:val="491A0D1D"/>
    <w:rsid w:val="491C548A"/>
    <w:rsid w:val="491D1B81"/>
    <w:rsid w:val="492F531F"/>
    <w:rsid w:val="492F6636"/>
    <w:rsid w:val="492F7E36"/>
    <w:rsid w:val="49405D5E"/>
    <w:rsid w:val="49561E92"/>
    <w:rsid w:val="4959770A"/>
    <w:rsid w:val="496A1DB8"/>
    <w:rsid w:val="497016DD"/>
    <w:rsid w:val="4971045B"/>
    <w:rsid w:val="4979031F"/>
    <w:rsid w:val="497976FA"/>
    <w:rsid w:val="49833A3E"/>
    <w:rsid w:val="49896678"/>
    <w:rsid w:val="49A42C3A"/>
    <w:rsid w:val="49A67E4A"/>
    <w:rsid w:val="49AE68B8"/>
    <w:rsid w:val="49B027C9"/>
    <w:rsid w:val="49C60139"/>
    <w:rsid w:val="49C63B01"/>
    <w:rsid w:val="49D35211"/>
    <w:rsid w:val="49E27E7F"/>
    <w:rsid w:val="49E6704C"/>
    <w:rsid w:val="49EE6A1F"/>
    <w:rsid w:val="49EF23AD"/>
    <w:rsid w:val="49F14CC3"/>
    <w:rsid w:val="49FA15DD"/>
    <w:rsid w:val="49FD6413"/>
    <w:rsid w:val="49FE1236"/>
    <w:rsid w:val="4A192C26"/>
    <w:rsid w:val="4A3629EE"/>
    <w:rsid w:val="4A3B617B"/>
    <w:rsid w:val="4A3D4FF8"/>
    <w:rsid w:val="4A3F629B"/>
    <w:rsid w:val="4A400106"/>
    <w:rsid w:val="4A416D23"/>
    <w:rsid w:val="4A4C1621"/>
    <w:rsid w:val="4A4E62E7"/>
    <w:rsid w:val="4A546A31"/>
    <w:rsid w:val="4A5F5280"/>
    <w:rsid w:val="4A654688"/>
    <w:rsid w:val="4A691BA3"/>
    <w:rsid w:val="4A6B1125"/>
    <w:rsid w:val="4A75264F"/>
    <w:rsid w:val="4A7A4B45"/>
    <w:rsid w:val="4A7F415B"/>
    <w:rsid w:val="4A8622B6"/>
    <w:rsid w:val="4A8625FD"/>
    <w:rsid w:val="4A92504E"/>
    <w:rsid w:val="4A925CA1"/>
    <w:rsid w:val="4AA13962"/>
    <w:rsid w:val="4AA3083C"/>
    <w:rsid w:val="4AAC39C5"/>
    <w:rsid w:val="4AB27100"/>
    <w:rsid w:val="4AB551BB"/>
    <w:rsid w:val="4AC73EF8"/>
    <w:rsid w:val="4ADB40EF"/>
    <w:rsid w:val="4ADD4949"/>
    <w:rsid w:val="4ADF3B00"/>
    <w:rsid w:val="4AE1712B"/>
    <w:rsid w:val="4AE44288"/>
    <w:rsid w:val="4AE775D1"/>
    <w:rsid w:val="4AE86A3E"/>
    <w:rsid w:val="4AF37F3C"/>
    <w:rsid w:val="4AF7270C"/>
    <w:rsid w:val="4AFC08D7"/>
    <w:rsid w:val="4AFC315D"/>
    <w:rsid w:val="4B0B07B7"/>
    <w:rsid w:val="4B0C10BD"/>
    <w:rsid w:val="4B1B311B"/>
    <w:rsid w:val="4B1D1CBD"/>
    <w:rsid w:val="4B252E26"/>
    <w:rsid w:val="4B2E019F"/>
    <w:rsid w:val="4B33627A"/>
    <w:rsid w:val="4B356505"/>
    <w:rsid w:val="4B3A331C"/>
    <w:rsid w:val="4B3A4DD8"/>
    <w:rsid w:val="4B3D32A5"/>
    <w:rsid w:val="4B503E7D"/>
    <w:rsid w:val="4B5526A6"/>
    <w:rsid w:val="4B6A739A"/>
    <w:rsid w:val="4B6B2FC4"/>
    <w:rsid w:val="4B6E666B"/>
    <w:rsid w:val="4B801002"/>
    <w:rsid w:val="4B816AF3"/>
    <w:rsid w:val="4B821DEC"/>
    <w:rsid w:val="4B8273E2"/>
    <w:rsid w:val="4B84080B"/>
    <w:rsid w:val="4B96268C"/>
    <w:rsid w:val="4B972903"/>
    <w:rsid w:val="4B9F32A8"/>
    <w:rsid w:val="4BBA5C6F"/>
    <w:rsid w:val="4BC21D43"/>
    <w:rsid w:val="4BC3761F"/>
    <w:rsid w:val="4BE01CB1"/>
    <w:rsid w:val="4BED7F8C"/>
    <w:rsid w:val="4BEE2702"/>
    <w:rsid w:val="4BF1539E"/>
    <w:rsid w:val="4BF72B06"/>
    <w:rsid w:val="4BF94856"/>
    <w:rsid w:val="4C041848"/>
    <w:rsid w:val="4C0700C6"/>
    <w:rsid w:val="4C090FB0"/>
    <w:rsid w:val="4C0D69A5"/>
    <w:rsid w:val="4C1006CD"/>
    <w:rsid w:val="4C114E73"/>
    <w:rsid w:val="4C15308B"/>
    <w:rsid w:val="4C1A03AD"/>
    <w:rsid w:val="4C1A7C71"/>
    <w:rsid w:val="4C276414"/>
    <w:rsid w:val="4C2C5CA9"/>
    <w:rsid w:val="4C2F0BD5"/>
    <w:rsid w:val="4C30348B"/>
    <w:rsid w:val="4C4310C0"/>
    <w:rsid w:val="4C457E06"/>
    <w:rsid w:val="4C482B52"/>
    <w:rsid w:val="4C486022"/>
    <w:rsid w:val="4C5653EF"/>
    <w:rsid w:val="4C5F6806"/>
    <w:rsid w:val="4C6D5F54"/>
    <w:rsid w:val="4C6E490F"/>
    <w:rsid w:val="4C761AE5"/>
    <w:rsid w:val="4C7A3E0A"/>
    <w:rsid w:val="4C8D4F79"/>
    <w:rsid w:val="4C927C67"/>
    <w:rsid w:val="4C992C68"/>
    <w:rsid w:val="4C996DF6"/>
    <w:rsid w:val="4C9A24A5"/>
    <w:rsid w:val="4CA53EF3"/>
    <w:rsid w:val="4CB4751A"/>
    <w:rsid w:val="4CCE05D1"/>
    <w:rsid w:val="4CD715B6"/>
    <w:rsid w:val="4CE04F07"/>
    <w:rsid w:val="4CE239C2"/>
    <w:rsid w:val="4CE34671"/>
    <w:rsid w:val="4CE34D10"/>
    <w:rsid w:val="4CEB6848"/>
    <w:rsid w:val="4CFE58B7"/>
    <w:rsid w:val="4D0D1B1C"/>
    <w:rsid w:val="4D0D5045"/>
    <w:rsid w:val="4D141D9E"/>
    <w:rsid w:val="4D142642"/>
    <w:rsid w:val="4D176CED"/>
    <w:rsid w:val="4D183925"/>
    <w:rsid w:val="4D241DA1"/>
    <w:rsid w:val="4D2A6DE6"/>
    <w:rsid w:val="4D2D4F3D"/>
    <w:rsid w:val="4D3E4660"/>
    <w:rsid w:val="4D5C35DB"/>
    <w:rsid w:val="4D5F32EE"/>
    <w:rsid w:val="4D60074F"/>
    <w:rsid w:val="4D694853"/>
    <w:rsid w:val="4D6A5234"/>
    <w:rsid w:val="4D6C7DF2"/>
    <w:rsid w:val="4D6E3730"/>
    <w:rsid w:val="4D6E6050"/>
    <w:rsid w:val="4D7B7388"/>
    <w:rsid w:val="4D7D0B22"/>
    <w:rsid w:val="4D7E0901"/>
    <w:rsid w:val="4D826184"/>
    <w:rsid w:val="4D8D55C9"/>
    <w:rsid w:val="4D933D82"/>
    <w:rsid w:val="4D964BDE"/>
    <w:rsid w:val="4DA22F6F"/>
    <w:rsid w:val="4DA366F2"/>
    <w:rsid w:val="4DC43E1F"/>
    <w:rsid w:val="4DCA651D"/>
    <w:rsid w:val="4DD455C4"/>
    <w:rsid w:val="4DD46851"/>
    <w:rsid w:val="4DE141CA"/>
    <w:rsid w:val="4DE84B21"/>
    <w:rsid w:val="4DED17F1"/>
    <w:rsid w:val="4DEE1BA4"/>
    <w:rsid w:val="4DF85277"/>
    <w:rsid w:val="4DF9041E"/>
    <w:rsid w:val="4DFC5B74"/>
    <w:rsid w:val="4E0015EA"/>
    <w:rsid w:val="4E00643A"/>
    <w:rsid w:val="4E0671B5"/>
    <w:rsid w:val="4E1A5E9B"/>
    <w:rsid w:val="4E206385"/>
    <w:rsid w:val="4E220315"/>
    <w:rsid w:val="4E2B750E"/>
    <w:rsid w:val="4E2C7B14"/>
    <w:rsid w:val="4E394DF5"/>
    <w:rsid w:val="4E3A7F99"/>
    <w:rsid w:val="4E525C89"/>
    <w:rsid w:val="4E525FE1"/>
    <w:rsid w:val="4E5912BC"/>
    <w:rsid w:val="4E623E5F"/>
    <w:rsid w:val="4E69351D"/>
    <w:rsid w:val="4E6C7842"/>
    <w:rsid w:val="4E7146D6"/>
    <w:rsid w:val="4E716DD6"/>
    <w:rsid w:val="4E7D41EF"/>
    <w:rsid w:val="4E7D7214"/>
    <w:rsid w:val="4E8743CF"/>
    <w:rsid w:val="4E8A19A2"/>
    <w:rsid w:val="4E8B6297"/>
    <w:rsid w:val="4E8D2B5B"/>
    <w:rsid w:val="4E9D7555"/>
    <w:rsid w:val="4EA47ED4"/>
    <w:rsid w:val="4EA73499"/>
    <w:rsid w:val="4EAA7A84"/>
    <w:rsid w:val="4EAF6660"/>
    <w:rsid w:val="4EB70230"/>
    <w:rsid w:val="4EC112A5"/>
    <w:rsid w:val="4EC273B5"/>
    <w:rsid w:val="4EC27DC2"/>
    <w:rsid w:val="4EC31609"/>
    <w:rsid w:val="4ECA1291"/>
    <w:rsid w:val="4ECB2770"/>
    <w:rsid w:val="4ECD7A91"/>
    <w:rsid w:val="4EE520BF"/>
    <w:rsid w:val="4EEA08DD"/>
    <w:rsid w:val="4EEC101F"/>
    <w:rsid w:val="4EEE423D"/>
    <w:rsid w:val="4EF802BC"/>
    <w:rsid w:val="4F05494C"/>
    <w:rsid w:val="4F0A69D8"/>
    <w:rsid w:val="4F0D50A9"/>
    <w:rsid w:val="4F1535E3"/>
    <w:rsid w:val="4F184A6B"/>
    <w:rsid w:val="4F1867DF"/>
    <w:rsid w:val="4F1A62E3"/>
    <w:rsid w:val="4F20737B"/>
    <w:rsid w:val="4F274B63"/>
    <w:rsid w:val="4F3062DF"/>
    <w:rsid w:val="4F311C64"/>
    <w:rsid w:val="4F4022BC"/>
    <w:rsid w:val="4F460289"/>
    <w:rsid w:val="4F4717CF"/>
    <w:rsid w:val="4F5003AB"/>
    <w:rsid w:val="4F50081E"/>
    <w:rsid w:val="4F5A724C"/>
    <w:rsid w:val="4F5C181B"/>
    <w:rsid w:val="4F5F237E"/>
    <w:rsid w:val="4F737BC5"/>
    <w:rsid w:val="4F8306AF"/>
    <w:rsid w:val="4F897829"/>
    <w:rsid w:val="4F8E053B"/>
    <w:rsid w:val="4F9679F4"/>
    <w:rsid w:val="4F970DE9"/>
    <w:rsid w:val="4F971FC4"/>
    <w:rsid w:val="4F9B749E"/>
    <w:rsid w:val="4FA02C5F"/>
    <w:rsid w:val="4FA5268C"/>
    <w:rsid w:val="4FC804D5"/>
    <w:rsid w:val="4FCC1A25"/>
    <w:rsid w:val="4FD4718F"/>
    <w:rsid w:val="4FE31A0B"/>
    <w:rsid w:val="4FEB2440"/>
    <w:rsid w:val="4FED3F2E"/>
    <w:rsid w:val="4FF06BD7"/>
    <w:rsid w:val="4FF07CA7"/>
    <w:rsid w:val="4FF22676"/>
    <w:rsid w:val="4FFE1B06"/>
    <w:rsid w:val="50047F66"/>
    <w:rsid w:val="50090729"/>
    <w:rsid w:val="500A40D7"/>
    <w:rsid w:val="502138A5"/>
    <w:rsid w:val="502723B7"/>
    <w:rsid w:val="502A54C5"/>
    <w:rsid w:val="50336B3C"/>
    <w:rsid w:val="5048257B"/>
    <w:rsid w:val="50580E05"/>
    <w:rsid w:val="505A67EB"/>
    <w:rsid w:val="507157DD"/>
    <w:rsid w:val="50750658"/>
    <w:rsid w:val="50765757"/>
    <w:rsid w:val="507B5639"/>
    <w:rsid w:val="507F3559"/>
    <w:rsid w:val="508C15FC"/>
    <w:rsid w:val="50901856"/>
    <w:rsid w:val="50A76EC8"/>
    <w:rsid w:val="50B63FD8"/>
    <w:rsid w:val="50BB47E0"/>
    <w:rsid w:val="50BD18A9"/>
    <w:rsid w:val="50C142A9"/>
    <w:rsid w:val="50C4646F"/>
    <w:rsid w:val="50C46BEE"/>
    <w:rsid w:val="50C7382E"/>
    <w:rsid w:val="50D81AF3"/>
    <w:rsid w:val="50DA3843"/>
    <w:rsid w:val="50E01CCD"/>
    <w:rsid w:val="50E02CFE"/>
    <w:rsid w:val="50E17059"/>
    <w:rsid w:val="50E33CEC"/>
    <w:rsid w:val="50FC73BD"/>
    <w:rsid w:val="5104794E"/>
    <w:rsid w:val="5107352A"/>
    <w:rsid w:val="510F1A3E"/>
    <w:rsid w:val="5110524E"/>
    <w:rsid w:val="511C56B7"/>
    <w:rsid w:val="511D153D"/>
    <w:rsid w:val="51205FD8"/>
    <w:rsid w:val="513922B0"/>
    <w:rsid w:val="513C4376"/>
    <w:rsid w:val="513D3D3F"/>
    <w:rsid w:val="51400930"/>
    <w:rsid w:val="51435D0C"/>
    <w:rsid w:val="51446169"/>
    <w:rsid w:val="5145194B"/>
    <w:rsid w:val="514F5C22"/>
    <w:rsid w:val="5168461A"/>
    <w:rsid w:val="516A693F"/>
    <w:rsid w:val="516B6A17"/>
    <w:rsid w:val="516E22FB"/>
    <w:rsid w:val="5171669D"/>
    <w:rsid w:val="517765FC"/>
    <w:rsid w:val="51867852"/>
    <w:rsid w:val="51893EC7"/>
    <w:rsid w:val="51935212"/>
    <w:rsid w:val="51984C5D"/>
    <w:rsid w:val="519A032B"/>
    <w:rsid w:val="519E21FD"/>
    <w:rsid w:val="519F3132"/>
    <w:rsid w:val="51A814D1"/>
    <w:rsid w:val="51AA50F9"/>
    <w:rsid w:val="51B06B92"/>
    <w:rsid w:val="51B07591"/>
    <w:rsid w:val="51B30A50"/>
    <w:rsid w:val="51B43002"/>
    <w:rsid w:val="51BA4306"/>
    <w:rsid w:val="51BB1A11"/>
    <w:rsid w:val="51BD6C11"/>
    <w:rsid w:val="51BF6DF9"/>
    <w:rsid w:val="51C770AC"/>
    <w:rsid w:val="51D14B78"/>
    <w:rsid w:val="51D5080E"/>
    <w:rsid w:val="51D8172F"/>
    <w:rsid w:val="51D857EB"/>
    <w:rsid w:val="51DA58AE"/>
    <w:rsid w:val="51E247EE"/>
    <w:rsid w:val="51E5449B"/>
    <w:rsid w:val="51E66508"/>
    <w:rsid w:val="51E847AF"/>
    <w:rsid w:val="51E94EA3"/>
    <w:rsid w:val="51EA7907"/>
    <w:rsid w:val="51ED7639"/>
    <w:rsid w:val="51EE3C4C"/>
    <w:rsid w:val="52017EFE"/>
    <w:rsid w:val="521B44C0"/>
    <w:rsid w:val="521E5FFD"/>
    <w:rsid w:val="52214BAA"/>
    <w:rsid w:val="52230F41"/>
    <w:rsid w:val="52235C61"/>
    <w:rsid w:val="524450A3"/>
    <w:rsid w:val="52454FBD"/>
    <w:rsid w:val="52510CC8"/>
    <w:rsid w:val="52583CBA"/>
    <w:rsid w:val="52643FB3"/>
    <w:rsid w:val="526D7E77"/>
    <w:rsid w:val="5270414C"/>
    <w:rsid w:val="528331E0"/>
    <w:rsid w:val="52884091"/>
    <w:rsid w:val="52A770BB"/>
    <w:rsid w:val="52B07AF9"/>
    <w:rsid w:val="52B224F0"/>
    <w:rsid w:val="52B41F04"/>
    <w:rsid w:val="52B8785B"/>
    <w:rsid w:val="52BA1E95"/>
    <w:rsid w:val="52C660C9"/>
    <w:rsid w:val="52C93B57"/>
    <w:rsid w:val="52CF29D7"/>
    <w:rsid w:val="52D94139"/>
    <w:rsid w:val="52D962EE"/>
    <w:rsid w:val="52E3567F"/>
    <w:rsid w:val="52E63B54"/>
    <w:rsid w:val="52E74573"/>
    <w:rsid w:val="52ED06D4"/>
    <w:rsid w:val="52F56530"/>
    <w:rsid w:val="53001BB3"/>
    <w:rsid w:val="530265E4"/>
    <w:rsid w:val="5303553A"/>
    <w:rsid w:val="53055E19"/>
    <w:rsid w:val="530922A9"/>
    <w:rsid w:val="53143779"/>
    <w:rsid w:val="53170772"/>
    <w:rsid w:val="531B3817"/>
    <w:rsid w:val="53264D65"/>
    <w:rsid w:val="53284A26"/>
    <w:rsid w:val="532931AC"/>
    <w:rsid w:val="5333135D"/>
    <w:rsid w:val="5335141B"/>
    <w:rsid w:val="53400B7B"/>
    <w:rsid w:val="534555A6"/>
    <w:rsid w:val="534C6703"/>
    <w:rsid w:val="53501B3A"/>
    <w:rsid w:val="536129FA"/>
    <w:rsid w:val="53671704"/>
    <w:rsid w:val="5367646B"/>
    <w:rsid w:val="536B0CB9"/>
    <w:rsid w:val="53736685"/>
    <w:rsid w:val="537514ED"/>
    <w:rsid w:val="53764081"/>
    <w:rsid w:val="537834DC"/>
    <w:rsid w:val="537E4B8D"/>
    <w:rsid w:val="53812044"/>
    <w:rsid w:val="53815461"/>
    <w:rsid w:val="53987838"/>
    <w:rsid w:val="53AA3B4C"/>
    <w:rsid w:val="53AB168D"/>
    <w:rsid w:val="53AC30B8"/>
    <w:rsid w:val="53AD1FC2"/>
    <w:rsid w:val="53B07B30"/>
    <w:rsid w:val="53CD3590"/>
    <w:rsid w:val="53D32C63"/>
    <w:rsid w:val="53D40A5A"/>
    <w:rsid w:val="53D636CD"/>
    <w:rsid w:val="53D83A0A"/>
    <w:rsid w:val="53DE6F83"/>
    <w:rsid w:val="53E17EA9"/>
    <w:rsid w:val="53EA2B5E"/>
    <w:rsid w:val="53EF3446"/>
    <w:rsid w:val="53F01264"/>
    <w:rsid w:val="53FB4F56"/>
    <w:rsid w:val="53FC0EC4"/>
    <w:rsid w:val="5400395F"/>
    <w:rsid w:val="54062707"/>
    <w:rsid w:val="541233D7"/>
    <w:rsid w:val="541C389D"/>
    <w:rsid w:val="541F29DD"/>
    <w:rsid w:val="543F7F1E"/>
    <w:rsid w:val="54452630"/>
    <w:rsid w:val="5448592B"/>
    <w:rsid w:val="544C7BFD"/>
    <w:rsid w:val="544D75B2"/>
    <w:rsid w:val="545029C2"/>
    <w:rsid w:val="5450301F"/>
    <w:rsid w:val="5450471C"/>
    <w:rsid w:val="545D558B"/>
    <w:rsid w:val="546A3A38"/>
    <w:rsid w:val="547651B8"/>
    <w:rsid w:val="54780EBC"/>
    <w:rsid w:val="547F33FC"/>
    <w:rsid w:val="54800440"/>
    <w:rsid w:val="548153F4"/>
    <w:rsid w:val="548324EC"/>
    <w:rsid w:val="548379B4"/>
    <w:rsid w:val="548C6014"/>
    <w:rsid w:val="54913870"/>
    <w:rsid w:val="54B409B1"/>
    <w:rsid w:val="54B976E2"/>
    <w:rsid w:val="54BA3427"/>
    <w:rsid w:val="54C2646B"/>
    <w:rsid w:val="54C72B03"/>
    <w:rsid w:val="54CC69D9"/>
    <w:rsid w:val="54CD0339"/>
    <w:rsid w:val="54D0353A"/>
    <w:rsid w:val="54D65F23"/>
    <w:rsid w:val="54D97AA8"/>
    <w:rsid w:val="54E94703"/>
    <w:rsid w:val="54EA17CF"/>
    <w:rsid w:val="54EB5595"/>
    <w:rsid w:val="54EF0AAE"/>
    <w:rsid w:val="54F65EB5"/>
    <w:rsid w:val="54F77F3B"/>
    <w:rsid w:val="54F9507D"/>
    <w:rsid w:val="55090AE5"/>
    <w:rsid w:val="550A6B30"/>
    <w:rsid w:val="550A6C14"/>
    <w:rsid w:val="550E6696"/>
    <w:rsid w:val="550F6D7E"/>
    <w:rsid w:val="5518442B"/>
    <w:rsid w:val="55234AAE"/>
    <w:rsid w:val="552611B1"/>
    <w:rsid w:val="552F37C9"/>
    <w:rsid w:val="553271D3"/>
    <w:rsid w:val="554305DE"/>
    <w:rsid w:val="55434CE1"/>
    <w:rsid w:val="554B700A"/>
    <w:rsid w:val="554F2666"/>
    <w:rsid w:val="556C60B3"/>
    <w:rsid w:val="55754E2B"/>
    <w:rsid w:val="55890D4A"/>
    <w:rsid w:val="558D6392"/>
    <w:rsid w:val="5593697E"/>
    <w:rsid w:val="55945D37"/>
    <w:rsid w:val="55984191"/>
    <w:rsid w:val="55AA0F8C"/>
    <w:rsid w:val="55B67758"/>
    <w:rsid w:val="55BD3C85"/>
    <w:rsid w:val="55BE4988"/>
    <w:rsid w:val="55C87E5B"/>
    <w:rsid w:val="55CD5E8D"/>
    <w:rsid w:val="55D50823"/>
    <w:rsid w:val="55DB4561"/>
    <w:rsid w:val="55EB1F25"/>
    <w:rsid w:val="55F22B97"/>
    <w:rsid w:val="560018F2"/>
    <w:rsid w:val="56131473"/>
    <w:rsid w:val="561A4E55"/>
    <w:rsid w:val="562231D6"/>
    <w:rsid w:val="5639576C"/>
    <w:rsid w:val="563E5AB2"/>
    <w:rsid w:val="5641535E"/>
    <w:rsid w:val="56495025"/>
    <w:rsid w:val="564C522B"/>
    <w:rsid w:val="565114AB"/>
    <w:rsid w:val="56516667"/>
    <w:rsid w:val="56752FC4"/>
    <w:rsid w:val="56800C9B"/>
    <w:rsid w:val="56807D45"/>
    <w:rsid w:val="568B0DE8"/>
    <w:rsid w:val="56974290"/>
    <w:rsid w:val="56987115"/>
    <w:rsid w:val="569E6CE2"/>
    <w:rsid w:val="56A24E81"/>
    <w:rsid w:val="56A501F8"/>
    <w:rsid w:val="56B855A8"/>
    <w:rsid w:val="56BE75E9"/>
    <w:rsid w:val="56C055FC"/>
    <w:rsid w:val="56C41E6D"/>
    <w:rsid w:val="56CC4FA8"/>
    <w:rsid w:val="56CC638C"/>
    <w:rsid w:val="56D16450"/>
    <w:rsid w:val="56D3410E"/>
    <w:rsid w:val="56D51BC3"/>
    <w:rsid w:val="56DB67A7"/>
    <w:rsid w:val="56DE76AA"/>
    <w:rsid w:val="56EE2581"/>
    <w:rsid w:val="56F22C90"/>
    <w:rsid w:val="56FA19BB"/>
    <w:rsid w:val="57034083"/>
    <w:rsid w:val="570573AC"/>
    <w:rsid w:val="570D273C"/>
    <w:rsid w:val="5727186B"/>
    <w:rsid w:val="573518D3"/>
    <w:rsid w:val="5738404A"/>
    <w:rsid w:val="57427A11"/>
    <w:rsid w:val="57442ECB"/>
    <w:rsid w:val="57452470"/>
    <w:rsid w:val="57501DED"/>
    <w:rsid w:val="57634140"/>
    <w:rsid w:val="576524BB"/>
    <w:rsid w:val="577F5FA9"/>
    <w:rsid w:val="577F68C1"/>
    <w:rsid w:val="57812F5F"/>
    <w:rsid w:val="578201E9"/>
    <w:rsid w:val="57823FBE"/>
    <w:rsid w:val="57941D07"/>
    <w:rsid w:val="57A1557A"/>
    <w:rsid w:val="57A50BBD"/>
    <w:rsid w:val="57AE66B0"/>
    <w:rsid w:val="57B219AD"/>
    <w:rsid w:val="57B62664"/>
    <w:rsid w:val="57C24C91"/>
    <w:rsid w:val="57D05533"/>
    <w:rsid w:val="57DC2F5F"/>
    <w:rsid w:val="57E431F5"/>
    <w:rsid w:val="57E91CD3"/>
    <w:rsid w:val="57EE6662"/>
    <w:rsid w:val="57F57959"/>
    <w:rsid w:val="57F77C67"/>
    <w:rsid w:val="57FC57BD"/>
    <w:rsid w:val="57FF6155"/>
    <w:rsid w:val="580140A6"/>
    <w:rsid w:val="580B6E3C"/>
    <w:rsid w:val="580C1C8E"/>
    <w:rsid w:val="580E0C7E"/>
    <w:rsid w:val="58120B37"/>
    <w:rsid w:val="581E5ECA"/>
    <w:rsid w:val="581E62DD"/>
    <w:rsid w:val="58291B84"/>
    <w:rsid w:val="582B500D"/>
    <w:rsid w:val="58342026"/>
    <w:rsid w:val="583958FC"/>
    <w:rsid w:val="583A4ECC"/>
    <w:rsid w:val="58532CF4"/>
    <w:rsid w:val="58541B21"/>
    <w:rsid w:val="585673E9"/>
    <w:rsid w:val="58597459"/>
    <w:rsid w:val="586C3CC6"/>
    <w:rsid w:val="5874289E"/>
    <w:rsid w:val="587717E4"/>
    <w:rsid w:val="58783CFA"/>
    <w:rsid w:val="589275AB"/>
    <w:rsid w:val="58950814"/>
    <w:rsid w:val="58951088"/>
    <w:rsid w:val="58990FC0"/>
    <w:rsid w:val="589B132F"/>
    <w:rsid w:val="58A14C54"/>
    <w:rsid w:val="58A64233"/>
    <w:rsid w:val="58BB3DC0"/>
    <w:rsid w:val="58BB6E11"/>
    <w:rsid w:val="58C169B7"/>
    <w:rsid w:val="58D95B4A"/>
    <w:rsid w:val="58E236F3"/>
    <w:rsid w:val="58E55D25"/>
    <w:rsid w:val="58EA38F6"/>
    <w:rsid w:val="58F1068B"/>
    <w:rsid w:val="58FC1414"/>
    <w:rsid w:val="58FF7E0B"/>
    <w:rsid w:val="5906339C"/>
    <w:rsid w:val="590A22E7"/>
    <w:rsid w:val="59110906"/>
    <w:rsid w:val="59131292"/>
    <w:rsid w:val="59232A72"/>
    <w:rsid w:val="59307312"/>
    <w:rsid w:val="59410FBD"/>
    <w:rsid w:val="5942577F"/>
    <w:rsid w:val="594B1241"/>
    <w:rsid w:val="596A0C5D"/>
    <w:rsid w:val="59736492"/>
    <w:rsid w:val="59751243"/>
    <w:rsid w:val="59924FF5"/>
    <w:rsid w:val="59AA332F"/>
    <w:rsid w:val="59B56492"/>
    <w:rsid w:val="59C14922"/>
    <w:rsid w:val="59C35ACF"/>
    <w:rsid w:val="59E03E73"/>
    <w:rsid w:val="59E66C46"/>
    <w:rsid w:val="59E87613"/>
    <w:rsid w:val="59EA08FE"/>
    <w:rsid w:val="59EE233C"/>
    <w:rsid w:val="59FE7290"/>
    <w:rsid w:val="5A02182B"/>
    <w:rsid w:val="5A03666B"/>
    <w:rsid w:val="5A0740B6"/>
    <w:rsid w:val="5A07648C"/>
    <w:rsid w:val="5A085265"/>
    <w:rsid w:val="5A086181"/>
    <w:rsid w:val="5A0D509A"/>
    <w:rsid w:val="5A18540C"/>
    <w:rsid w:val="5A2400DF"/>
    <w:rsid w:val="5A2E6F93"/>
    <w:rsid w:val="5A3A3B1E"/>
    <w:rsid w:val="5A3B140A"/>
    <w:rsid w:val="5A432029"/>
    <w:rsid w:val="5A447779"/>
    <w:rsid w:val="5A4854C8"/>
    <w:rsid w:val="5A552EDD"/>
    <w:rsid w:val="5A613CD0"/>
    <w:rsid w:val="5A64740A"/>
    <w:rsid w:val="5A664CCE"/>
    <w:rsid w:val="5A6B7F9D"/>
    <w:rsid w:val="5A6E6E45"/>
    <w:rsid w:val="5A746011"/>
    <w:rsid w:val="5A792FE0"/>
    <w:rsid w:val="5A8556B8"/>
    <w:rsid w:val="5A8A5E83"/>
    <w:rsid w:val="5AA20ED6"/>
    <w:rsid w:val="5AA708CA"/>
    <w:rsid w:val="5AAC551A"/>
    <w:rsid w:val="5AB362A3"/>
    <w:rsid w:val="5AB37F0E"/>
    <w:rsid w:val="5AC12B18"/>
    <w:rsid w:val="5AD04D28"/>
    <w:rsid w:val="5ADF5DC2"/>
    <w:rsid w:val="5AF15610"/>
    <w:rsid w:val="5AF17F45"/>
    <w:rsid w:val="5AF26392"/>
    <w:rsid w:val="5AF819D2"/>
    <w:rsid w:val="5AFD36FE"/>
    <w:rsid w:val="5AFD5309"/>
    <w:rsid w:val="5B0212D6"/>
    <w:rsid w:val="5B123ACE"/>
    <w:rsid w:val="5B2A28AF"/>
    <w:rsid w:val="5B2D4026"/>
    <w:rsid w:val="5B2E4BDA"/>
    <w:rsid w:val="5B3B4BE1"/>
    <w:rsid w:val="5B415759"/>
    <w:rsid w:val="5B47550A"/>
    <w:rsid w:val="5B491FFB"/>
    <w:rsid w:val="5B4E637D"/>
    <w:rsid w:val="5B567BED"/>
    <w:rsid w:val="5B5E6F93"/>
    <w:rsid w:val="5B6160B4"/>
    <w:rsid w:val="5B691244"/>
    <w:rsid w:val="5B6E4826"/>
    <w:rsid w:val="5B6F014B"/>
    <w:rsid w:val="5B736AF3"/>
    <w:rsid w:val="5B7C1860"/>
    <w:rsid w:val="5B7F50BF"/>
    <w:rsid w:val="5B81164C"/>
    <w:rsid w:val="5B867F38"/>
    <w:rsid w:val="5B9207A8"/>
    <w:rsid w:val="5B9F7DAC"/>
    <w:rsid w:val="5BA26F44"/>
    <w:rsid w:val="5BA27472"/>
    <w:rsid w:val="5BA30B46"/>
    <w:rsid w:val="5BAE392F"/>
    <w:rsid w:val="5BB075A4"/>
    <w:rsid w:val="5BB77E50"/>
    <w:rsid w:val="5BB907A2"/>
    <w:rsid w:val="5BBB37E1"/>
    <w:rsid w:val="5BBB3896"/>
    <w:rsid w:val="5BC56F79"/>
    <w:rsid w:val="5BC773B2"/>
    <w:rsid w:val="5BC80851"/>
    <w:rsid w:val="5BCD6444"/>
    <w:rsid w:val="5C006DD5"/>
    <w:rsid w:val="5C0553DC"/>
    <w:rsid w:val="5C111495"/>
    <w:rsid w:val="5C165947"/>
    <w:rsid w:val="5C1739FF"/>
    <w:rsid w:val="5C2B05FE"/>
    <w:rsid w:val="5C3405B2"/>
    <w:rsid w:val="5C374381"/>
    <w:rsid w:val="5C464E59"/>
    <w:rsid w:val="5C4863C1"/>
    <w:rsid w:val="5C60567A"/>
    <w:rsid w:val="5C61437B"/>
    <w:rsid w:val="5C6C3BD8"/>
    <w:rsid w:val="5C7543EF"/>
    <w:rsid w:val="5C78749F"/>
    <w:rsid w:val="5C896522"/>
    <w:rsid w:val="5C8C06C1"/>
    <w:rsid w:val="5C964412"/>
    <w:rsid w:val="5C992D62"/>
    <w:rsid w:val="5CAD65A1"/>
    <w:rsid w:val="5CB02287"/>
    <w:rsid w:val="5CB2756A"/>
    <w:rsid w:val="5CBF58EE"/>
    <w:rsid w:val="5CC24B59"/>
    <w:rsid w:val="5CC26ECC"/>
    <w:rsid w:val="5CCC5196"/>
    <w:rsid w:val="5CCF4F34"/>
    <w:rsid w:val="5CD56D30"/>
    <w:rsid w:val="5CDF5473"/>
    <w:rsid w:val="5CEF196B"/>
    <w:rsid w:val="5CF71428"/>
    <w:rsid w:val="5D1773C9"/>
    <w:rsid w:val="5D26128D"/>
    <w:rsid w:val="5D34149D"/>
    <w:rsid w:val="5D3B0EDA"/>
    <w:rsid w:val="5D3B5726"/>
    <w:rsid w:val="5D4178A2"/>
    <w:rsid w:val="5D4601B1"/>
    <w:rsid w:val="5D49196F"/>
    <w:rsid w:val="5D494DBC"/>
    <w:rsid w:val="5D4C480E"/>
    <w:rsid w:val="5D522E0F"/>
    <w:rsid w:val="5D55588E"/>
    <w:rsid w:val="5D5A0839"/>
    <w:rsid w:val="5D5F372D"/>
    <w:rsid w:val="5D68012B"/>
    <w:rsid w:val="5D6C01E5"/>
    <w:rsid w:val="5D6C6D20"/>
    <w:rsid w:val="5D703A41"/>
    <w:rsid w:val="5D7A5CAC"/>
    <w:rsid w:val="5D7B0085"/>
    <w:rsid w:val="5D7B50D7"/>
    <w:rsid w:val="5D811B5C"/>
    <w:rsid w:val="5D875707"/>
    <w:rsid w:val="5D900FDD"/>
    <w:rsid w:val="5D9114C5"/>
    <w:rsid w:val="5DAB27C9"/>
    <w:rsid w:val="5DB46EC8"/>
    <w:rsid w:val="5DC52F54"/>
    <w:rsid w:val="5DCB6A18"/>
    <w:rsid w:val="5DD371C8"/>
    <w:rsid w:val="5DED633B"/>
    <w:rsid w:val="5DF72179"/>
    <w:rsid w:val="5DF84E51"/>
    <w:rsid w:val="5E0013E1"/>
    <w:rsid w:val="5E01033D"/>
    <w:rsid w:val="5E0937C1"/>
    <w:rsid w:val="5E1136A4"/>
    <w:rsid w:val="5E1568A0"/>
    <w:rsid w:val="5E1B308C"/>
    <w:rsid w:val="5E216771"/>
    <w:rsid w:val="5E3422D3"/>
    <w:rsid w:val="5E3564A3"/>
    <w:rsid w:val="5E39617D"/>
    <w:rsid w:val="5E401CD4"/>
    <w:rsid w:val="5E43222F"/>
    <w:rsid w:val="5E4A295D"/>
    <w:rsid w:val="5E4E36A3"/>
    <w:rsid w:val="5E5A73BB"/>
    <w:rsid w:val="5E6572A9"/>
    <w:rsid w:val="5E692294"/>
    <w:rsid w:val="5E6F4588"/>
    <w:rsid w:val="5E7712E6"/>
    <w:rsid w:val="5E790CA0"/>
    <w:rsid w:val="5E7945FC"/>
    <w:rsid w:val="5E7E7F23"/>
    <w:rsid w:val="5E930082"/>
    <w:rsid w:val="5E9C1122"/>
    <w:rsid w:val="5E9C6A13"/>
    <w:rsid w:val="5E9D3801"/>
    <w:rsid w:val="5EAC21B1"/>
    <w:rsid w:val="5EB351E3"/>
    <w:rsid w:val="5EB6009E"/>
    <w:rsid w:val="5ECB5E0F"/>
    <w:rsid w:val="5ED32946"/>
    <w:rsid w:val="5EDA08BE"/>
    <w:rsid w:val="5EE278D0"/>
    <w:rsid w:val="5EEB1303"/>
    <w:rsid w:val="5F0855AF"/>
    <w:rsid w:val="5F0C20C5"/>
    <w:rsid w:val="5F0D3ABE"/>
    <w:rsid w:val="5F0E22EC"/>
    <w:rsid w:val="5F1800E8"/>
    <w:rsid w:val="5F1A3C82"/>
    <w:rsid w:val="5F1C0991"/>
    <w:rsid w:val="5F1E10BC"/>
    <w:rsid w:val="5F3838CF"/>
    <w:rsid w:val="5F413F0A"/>
    <w:rsid w:val="5F47045F"/>
    <w:rsid w:val="5F4911FC"/>
    <w:rsid w:val="5F4A7918"/>
    <w:rsid w:val="5F4B3934"/>
    <w:rsid w:val="5F4C162A"/>
    <w:rsid w:val="5F58438A"/>
    <w:rsid w:val="5F604260"/>
    <w:rsid w:val="5F613A5C"/>
    <w:rsid w:val="5F6F6111"/>
    <w:rsid w:val="5F701D7B"/>
    <w:rsid w:val="5F727FC6"/>
    <w:rsid w:val="5F763667"/>
    <w:rsid w:val="5F781B5A"/>
    <w:rsid w:val="5F7B0DE0"/>
    <w:rsid w:val="5F9141D8"/>
    <w:rsid w:val="5F94244E"/>
    <w:rsid w:val="5FBE789B"/>
    <w:rsid w:val="5FC469D3"/>
    <w:rsid w:val="5FC601D1"/>
    <w:rsid w:val="5FD862BD"/>
    <w:rsid w:val="5FDA0CA9"/>
    <w:rsid w:val="5FDD0F28"/>
    <w:rsid w:val="5FDD1AF8"/>
    <w:rsid w:val="5FDF2ED0"/>
    <w:rsid w:val="5FE16EF1"/>
    <w:rsid w:val="5FF23085"/>
    <w:rsid w:val="5FF65780"/>
    <w:rsid w:val="5FF973E1"/>
    <w:rsid w:val="5FFE36F1"/>
    <w:rsid w:val="60085D90"/>
    <w:rsid w:val="60265BCA"/>
    <w:rsid w:val="603A2B07"/>
    <w:rsid w:val="603B585C"/>
    <w:rsid w:val="60443A82"/>
    <w:rsid w:val="60447295"/>
    <w:rsid w:val="6054527B"/>
    <w:rsid w:val="60622528"/>
    <w:rsid w:val="606476F9"/>
    <w:rsid w:val="607F45F5"/>
    <w:rsid w:val="607F6BA2"/>
    <w:rsid w:val="608E4E60"/>
    <w:rsid w:val="60A35595"/>
    <w:rsid w:val="60A652C9"/>
    <w:rsid w:val="60B3575F"/>
    <w:rsid w:val="60BE3971"/>
    <w:rsid w:val="60C36BAA"/>
    <w:rsid w:val="60C46AE3"/>
    <w:rsid w:val="60DA02C2"/>
    <w:rsid w:val="60E471F1"/>
    <w:rsid w:val="60F600EF"/>
    <w:rsid w:val="60F864F0"/>
    <w:rsid w:val="610244AA"/>
    <w:rsid w:val="610A217D"/>
    <w:rsid w:val="611304E9"/>
    <w:rsid w:val="611727E7"/>
    <w:rsid w:val="61186287"/>
    <w:rsid w:val="611F5FBC"/>
    <w:rsid w:val="612811FE"/>
    <w:rsid w:val="613045F7"/>
    <w:rsid w:val="61352A96"/>
    <w:rsid w:val="613E6D9F"/>
    <w:rsid w:val="614100E3"/>
    <w:rsid w:val="6145645F"/>
    <w:rsid w:val="61461220"/>
    <w:rsid w:val="61473204"/>
    <w:rsid w:val="614B50C1"/>
    <w:rsid w:val="61517443"/>
    <w:rsid w:val="615B2826"/>
    <w:rsid w:val="615D7119"/>
    <w:rsid w:val="61705093"/>
    <w:rsid w:val="618A3CF6"/>
    <w:rsid w:val="618F5E5F"/>
    <w:rsid w:val="61B00A1E"/>
    <w:rsid w:val="61C44FB6"/>
    <w:rsid w:val="61CA606C"/>
    <w:rsid w:val="61D5069C"/>
    <w:rsid w:val="61DE243F"/>
    <w:rsid w:val="61EC1029"/>
    <w:rsid w:val="61F63299"/>
    <w:rsid w:val="61F810B4"/>
    <w:rsid w:val="61FA79CB"/>
    <w:rsid w:val="62006316"/>
    <w:rsid w:val="62037641"/>
    <w:rsid w:val="6210797D"/>
    <w:rsid w:val="62130E61"/>
    <w:rsid w:val="621A51B1"/>
    <w:rsid w:val="621B7911"/>
    <w:rsid w:val="62244482"/>
    <w:rsid w:val="622446F8"/>
    <w:rsid w:val="622B7DC9"/>
    <w:rsid w:val="622C2A0D"/>
    <w:rsid w:val="622E679D"/>
    <w:rsid w:val="62364403"/>
    <w:rsid w:val="62387CD2"/>
    <w:rsid w:val="623A3510"/>
    <w:rsid w:val="62436960"/>
    <w:rsid w:val="62543E3D"/>
    <w:rsid w:val="625C6B16"/>
    <w:rsid w:val="625F53CD"/>
    <w:rsid w:val="62604FDE"/>
    <w:rsid w:val="62632AA3"/>
    <w:rsid w:val="6270008C"/>
    <w:rsid w:val="62721912"/>
    <w:rsid w:val="627B5880"/>
    <w:rsid w:val="628C752C"/>
    <w:rsid w:val="628E73F5"/>
    <w:rsid w:val="6294124F"/>
    <w:rsid w:val="629F5000"/>
    <w:rsid w:val="62B014B3"/>
    <w:rsid w:val="62B71240"/>
    <w:rsid w:val="62B806AC"/>
    <w:rsid w:val="62C018A7"/>
    <w:rsid w:val="62C2147C"/>
    <w:rsid w:val="62C535DD"/>
    <w:rsid w:val="62CD1F74"/>
    <w:rsid w:val="62D17676"/>
    <w:rsid w:val="62D32BA1"/>
    <w:rsid w:val="62EA2364"/>
    <w:rsid w:val="63003A53"/>
    <w:rsid w:val="63022A0D"/>
    <w:rsid w:val="63027145"/>
    <w:rsid w:val="63073853"/>
    <w:rsid w:val="63075750"/>
    <w:rsid w:val="630934A6"/>
    <w:rsid w:val="63170F7C"/>
    <w:rsid w:val="631C1162"/>
    <w:rsid w:val="63217423"/>
    <w:rsid w:val="632E1FBC"/>
    <w:rsid w:val="63314466"/>
    <w:rsid w:val="63340EFB"/>
    <w:rsid w:val="633571CC"/>
    <w:rsid w:val="6337416D"/>
    <w:rsid w:val="633B709F"/>
    <w:rsid w:val="63400B69"/>
    <w:rsid w:val="6348512C"/>
    <w:rsid w:val="634D0FFB"/>
    <w:rsid w:val="634D4E50"/>
    <w:rsid w:val="63607B63"/>
    <w:rsid w:val="63626B0F"/>
    <w:rsid w:val="636451F8"/>
    <w:rsid w:val="637C603C"/>
    <w:rsid w:val="637F3BE6"/>
    <w:rsid w:val="63861D33"/>
    <w:rsid w:val="63864396"/>
    <w:rsid w:val="638B469B"/>
    <w:rsid w:val="638D54CB"/>
    <w:rsid w:val="63900B3B"/>
    <w:rsid w:val="63AC40B1"/>
    <w:rsid w:val="63AC7B01"/>
    <w:rsid w:val="63B069B7"/>
    <w:rsid w:val="63B4634F"/>
    <w:rsid w:val="63C02AAE"/>
    <w:rsid w:val="63C33C7B"/>
    <w:rsid w:val="63C85E2C"/>
    <w:rsid w:val="63C92F23"/>
    <w:rsid w:val="63D152C3"/>
    <w:rsid w:val="63D20D97"/>
    <w:rsid w:val="63D92960"/>
    <w:rsid w:val="63DC5E76"/>
    <w:rsid w:val="63E16321"/>
    <w:rsid w:val="63E35F3A"/>
    <w:rsid w:val="63EC4F0E"/>
    <w:rsid w:val="63F45464"/>
    <w:rsid w:val="63FF4C2E"/>
    <w:rsid w:val="640E5FB2"/>
    <w:rsid w:val="6419743D"/>
    <w:rsid w:val="641E2FFD"/>
    <w:rsid w:val="641F4F53"/>
    <w:rsid w:val="642D197F"/>
    <w:rsid w:val="64351649"/>
    <w:rsid w:val="64431042"/>
    <w:rsid w:val="64456823"/>
    <w:rsid w:val="64505561"/>
    <w:rsid w:val="6451172E"/>
    <w:rsid w:val="645B218B"/>
    <w:rsid w:val="646949A2"/>
    <w:rsid w:val="64752152"/>
    <w:rsid w:val="64786CCF"/>
    <w:rsid w:val="64802D6E"/>
    <w:rsid w:val="6481513B"/>
    <w:rsid w:val="6481537F"/>
    <w:rsid w:val="648B26CD"/>
    <w:rsid w:val="648D06CB"/>
    <w:rsid w:val="64A16FF9"/>
    <w:rsid w:val="64A37A75"/>
    <w:rsid w:val="64B7696A"/>
    <w:rsid w:val="64BC6F0B"/>
    <w:rsid w:val="64BF2823"/>
    <w:rsid w:val="64C616C2"/>
    <w:rsid w:val="64D30230"/>
    <w:rsid w:val="64D81ED5"/>
    <w:rsid w:val="64D85ADD"/>
    <w:rsid w:val="64DD2C71"/>
    <w:rsid w:val="64E25D83"/>
    <w:rsid w:val="64E45A26"/>
    <w:rsid w:val="64EE5EB6"/>
    <w:rsid w:val="64F74413"/>
    <w:rsid w:val="64FA0716"/>
    <w:rsid w:val="650B4776"/>
    <w:rsid w:val="650C4E66"/>
    <w:rsid w:val="65163A2B"/>
    <w:rsid w:val="65182A1E"/>
    <w:rsid w:val="65194470"/>
    <w:rsid w:val="651B0E8A"/>
    <w:rsid w:val="65341AB7"/>
    <w:rsid w:val="653863C9"/>
    <w:rsid w:val="653D34A1"/>
    <w:rsid w:val="654C0A01"/>
    <w:rsid w:val="654C400E"/>
    <w:rsid w:val="654D13D0"/>
    <w:rsid w:val="65510B4D"/>
    <w:rsid w:val="655C6B59"/>
    <w:rsid w:val="65613598"/>
    <w:rsid w:val="65620663"/>
    <w:rsid w:val="656F497A"/>
    <w:rsid w:val="65891C7A"/>
    <w:rsid w:val="65913ABE"/>
    <w:rsid w:val="65931D3A"/>
    <w:rsid w:val="65947A63"/>
    <w:rsid w:val="659822DD"/>
    <w:rsid w:val="659E0CD8"/>
    <w:rsid w:val="65A3380C"/>
    <w:rsid w:val="65AB663F"/>
    <w:rsid w:val="65AE17A6"/>
    <w:rsid w:val="65B2025D"/>
    <w:rsid w:val="65B44DD6"/>
    <w:rsid w:val="65D21F83"/>
    <w:rsid w:val="65D36CD9"/>
    <w:rsid w:val="65D55F41"/>
    <w:rsid w:val="65D60201"/>
    <w:rsid w:val="65D95B4E"/>
    <w:rsid w:val="65DC4F6E"/>
    <w:rsid w:val="65E174B2"/>
    <w:rsid w:val="65EC2F32"/>
    <w:rsid w:val="65F01AB4"/>
    <w:rsid w:val="65F90B80"/>
    <w:rsid w:val="65FE7F42"/>
    <w:rsid w:val="66073A57"/>
    <w:rsid w:val="660B3DE6"/>
    <w:rsid w:val="66100967"/>
    <w:rsid w:val="661800B4"/>
    <w:rsid w:val="662720D2"/>
    <w:rsid w:val="663219D1"/>
    <w:rsid w:val="663760F8"/>
    <w:rsid w:val="663A5586"/>
    <w:rsid w:val="66521A88"/>
    <w:rsid w:val="66527316"/>
    <w:rsid w:val="6653533F"/>
    <w:rsid w:val="6655292C"/>
    <w:rsid w:val="66646397"/>
    <w:rsid w:val="66692EE9"/>
    <w:rsid w:val="666B183F"/>
    <w:rsid w:val="666D301C"/>
    <w:rsid w:val="667D374B"/>
    <w:rsid w:val="668620CF"/>
    <w:rsid w:val="66892A30"/>
    <w:rsid w:val="66964742"/>
    <w:rsid w:val="6697768C"/>
    <w:rsid w:val="669C06FE"/>
    <w:rsid w:val="669D0FFF"/>
    <w:rsid w:val="669D68AB"/>
    <w:rsid w:val="66A37B86"/>
    <w:rsid w:val="66B87247"/>
    <w:rsid w:val="66BA77D5"/>
    <w:rsid w:val="66C1139D"/>
    <w:rsid w:val="66C31C3B"/>
    <w:rsid w:val="66D12486"/>
    <w:rsid w:val="66D4671D"/>
    <w:rsid w:val="66D4710B"/>
    <w:rsid w:val="66D87459"/>
    <w:rsid w:val="66D92318"/>
    <w:rsid w:val="66DC5B3F"/>
    <w:rsid w:val="66E03F2D"/>
    <w:rsid w:val="66E0751E"/>
    <w:rsid w:val="66E36BE5"/>
    <w:rsid w:val="66E94AD3"/>
    <w:rsid w:val="66F12872"/>
    <w:rsid w:val="67090DB7"/>
    <w:rsid w:val="67105321"/>
    <w:rsid w:val="67133CEC"/>
    <w:rsid w:val="671C652D"/>
    <w:rsid w:val="67206B15"/>
    <w:rsid w:val="67207FCE"/>
    <w:rsid w:val="67381AD5"/>
    <w:rsid w:val="673F7382"/>
    <w:rsid w:val="674711AB"/>
    <w:rsid w:val="67594E02"/>
    <w:rsid w:val="675E2286"/>
    <w:rsid w:val="676E7A51"/>
    <w:rsid w:val="676E7F3D"/>
    <w:rsid w:val="67704FAD"/>
    <w:rsid w:val="67740045"/>
    <w:rsid w:val="677E4332"/>
    <w:rsid w:val="6783211B"/>
    <w:rsid w:val="67836156"/>
    <w:rsid w:val="678A5914"/>
    <w:rsid w:val="679119E4"/>
    <w:rsid w:val="6791531D"/>
    <w:rsid w:val="67A27CC2"/>
    <w:rsid w:val="67A60B9C"/>
    <w:rsid w:val="67A9081B"/>
    <w:rsid w:val="67AD0F3F"/>
    <w:rsid w:val="67C271FD"/>
    <w:rsid w:val="67D514E0"/>
    <w:rsid w:val="67EF30B3"/>
    <w:rsid w:val="68000F49"/>
    <w:rsid w:val="68061993"/>
    <w:rsid w:val="68094500"/>
    <w:rsid w:val="680B2E8B"/>
    <w:rsid w:val="680D0939"/>
    <w:rsid w:val="680D2B49"/>
    <w:rsid w:val="68237FD2"/>
    <w:rsid w:val="68286E52"/>
    <w:rsid w:val="68394CF3"/>
    <w:rsid w:val="68450B5C"/>
    <w:rsid w:val="684557CE"/>
    <w:rsid w:val="68466D27"/>
    <w:rsid w:val="68642F50"/>
    <w:rsid w:val="686D127F"/>
    <w:rsid w:val="687067F6"/>
    <w:rsid w:val="68706AEF"/>
    <w:rsid w:val="68747A3A"/>
    <w:rsid w:val="68802A41"/>
    <w:rsid w:val="68861883"/>
    <w:rsid w:val="68864EF9"/>
    <w:rsid w:val="688A1ACF"/>
    <w:rsid w:val="68901B29"/>
    <w:rsid w:val="689078F6"/>
    <w:rsid w:val="689304A0"/>
    <w:rsid w:val="689E7816"/>
    <w:rsid w:val="689F6DBA"/>
    <w:rsid w:val="68AC1B2F"/>
    <w:rsid w:val="68AD386F"/>
    <w:rsid w:val="68B93D81"/>
    <w:rsid w:val="68C35AB9"/>
    <w:rsid w:val="68CB311D"/>
    <w:rsid w:val="68E32D1E"/>
    <w:rsid w:val="68E3352F"/>
    <w:rsid w:val="68E6046D"/>
    <w:rsid w:val="68E65278"/>
    <w:rsid w:val="68EA0D10"/>
    <w:rsid w:val="68EC04DE"/>
    <w:rsid w:val="68FC7FC0"/>
    <w:rsid w:val="69022832"/>
    <w:rsid w:val="6907456A"/>
    <w:rsid w:val="69093CAF"/>
    <w:rsid w:val="690B7520"/>
    <w:rsid w:val="691200AE"/>
    <w:rsid w:val="69152147"/>
    <w:rsid w:val="693154EC"/>
    <w:rsid w:val="69317031"/>
    <w:rsid w:val="693711AE"/>
    <w:rsid w:val="69413B3B"/>
    <w:rsid w:val="694F1C0F"/>
    <w:rsid w:val="69594552"/>
    <w:rsid w:val="695B7D6D"/>
    <w:rsid w:val="695C7E7A"/>
    <w:rsid w:val="69636B13"/>
    <w:rsid w:val="69647D29"/>
    <w:rsid w:val="69686930"/>
    <w:rsid w:val="697046EC"/>
    <w:rsid w:val="697E74B0"/>
    <w:rsid w:val="69880A72"/>
    <w:rsid w:val="69883750"/>
    <w:rsid w:val="698C1B1B"/>
    <w:rsid w:val="698F0E57"/>
    <w:rsid w:val="6992357A"/>
    <w:rsid w:val="69AA1143"/>
    <w:rsid w:val="69AB1271"/>
    <w:rsid w:val="69B82F3E"/>
    <w:rsid w:val="69B868E7"/>
    <w:rsid w:val="69BA732C"/>
    <w:rsid w:val="69C0374F"/>
    <w:rsid w:val="69C76718"/>
    <w:rsid w:val="69C7697A"/>
    <w:rsid w:val="69C93883"/>
    <w:rsid w:val="69CF00C0"/>
    <w:rsid w:val="69D55359"/>
    <w:rsid w:val="69D85016"/>
    <w:rsid w:val="69DA61FE"/>
    <w:rsid w:val="69E67C99"/>
    <w:rsid w:val="69F36455"/>
    <w:rsid w:val="6A0456C2"/>
    <w:rsid w:val="6A0A518E"/>
    <w:rsid w:val="6A0B1654"/>
    <w:rsid w:val="6A220495"/>
    <w:rsid w:val="6A272D1B"/>
    <w:rsid w:val="6A2D657D"/>
    <w:rsid w:val="6A305C56"/>
    <w:rsid w:val="6A441179"/>
    <w:rsid w:val="6A5318E5"/>
    <w:rsid w:val="6A5339AC"/>
    <w:rsid w:val="6A623645"/>
    <w:rsid w:val="6A6D40BC"/>
    <w:rsid w:val="6A817C93"/>
    <w:rsid w:val="6A83685F"/>
    <w:rsid w:val="6A871F0C"/>
    <w:rsid w:val="6A90546D"/>
    <w:rsid w:val="6AA320BF"/>
    <w:rsid w:val="6AA50A2C"/>
    <w:rsid w:val="6AB5211E"/>
    <w:rsid w:val="6ABD3824"/>
    <w:rsid w:val="6ABF0E6A"/>
    <w:rsid w:val="6AC031B3"/>
    <w:rsid w:val="6AD21B25"/>
    <w:rsid w:val="6AD97F5A"/>
    <w:rsid w:val="6AE9466F"/>
    <w:rsid w:val="6AF42FD3"/>
    <w:rsid w:val="6AFB7E7A"/>
    <w:rsid w:val="6B043B17"/>
    <w:rsid w:val="6B05038A"/>
    <w:rsid w:val="6B132584"/>
    <w:rsid w:val="6B1B74FE"/>
    <w:rsid w:val="6B236CCC"/>
    <w:rsid w:val="6B2B66DF"/>
    <w:rsid w:val="6B2C5B02"/>
    <w:rsid w:val="6B2E24A4"/>
    <w:rsid w:val="6B34272C"/>
    <w:rsid w:val="6B384D01"/>
    <w:rsid w:val="6B4001CD"/>
    <w:rsid w:val="6B4B39FA"/>
    <w:rsid w:val="6B52160E"/>
    <w:rsid w:val="6B555B1B"/>
    <w:rsid w:val="6B5E0EAD"/>
    <w:rsid w:val="6B6533D4"/>
    <w:rsid w:val="6B6B5966"/>
    <w:rsid w:val="6B705245"/>
    <w:rsid w:val="6B776695"/>
    <w:rsid w:val="6B79078E"/>
    <w:rsid w:val="6B8829BB"/>
    <w:rsid w:val="6B8A0EE1"/>
    <w:rsid w:val="6B8D3CA6"/>
    <w:rsid w:val="6B9A59AF"/>
    <w:rsid w:val="6BA076F0"/>
    <w:rsid w:val="6BA27C6A"/>
    <w:rsid w:val="6BB22AFA"/>
    <w:rsid w:val="6BB46EEB"/>
    <w:rsid w:val="6BB74503"/>
    <w:rsid w:val="6BC3763E"/>
    <w:rsid w:val="6BC568DE"/>
    <w:rsid w:val="6BCA00F3"/>
    <w:rsid w:val="6BCA4A4A"/>
    <w:rsid w:val="6BD42100"/>
    <w:rsid w:val="6BDA0C2C"/>
    <w:rsid w:val="6BDA756C"/>
    <w:rsid w:val="6BE76664"/>
    <w:rsid w:val="6BEA45EB"/>
    <w:rsid w:val="6BEB340B"/>
    <w:rsid w:val="6BF132EB"/>
    <w:rsid w:val="6BFA18AE"/>
    <w:rsid w:val="6BFE0F82"/>
    <w:rsid w:val="6BFF36AF"/>
    <w:rsid w:val="6C144674"/>
    <w:rsid w:val="6C292952"/>
    <w:rsid w:val="6C2B5857"/>
    <w:rsid w:val="6C2E38EE"/>
    <w:rsid w:val="6C3811AE"/>
    <w:rsid w:val="6C4A4F10"/>
    <w:rsid w:val="6C4C0931"/>
    <w:rsid w:val="6C4E6D95"/>
    <w:rsid w:val="6C5164C2"/>
    <w:rsid w:val="6C572467"/>
    <w:rsid w:val="6C576A17"/>
    <w:rsid w:val="6C602F3C"/>
    <w:rsid w:val="6C647BD2"/>
    <w:rsid w:val="6C6D225A"/>
    <w:rsid w:val="6C774EA5"/>
    <w:rsid w:val="6C77611C"/>
    <w:rsid w:val="6C7D1340"/>
    <w:rsid w:val="6C7F1182"/>
    <w:rsid w:val="6C813B69"/>
    <w:rsid w:val="6C8A7F22"/>
    <w:rsid w:val="6C8E2466"/>
    <w:rsid w:val="6C9676F4"/>
    <w:rsid w:val="6C9D26A9"/>
    <w:rsid w:val="6CAE3BE5"/>
    <w:rsid w:val="6CB561E6"/>
    <w:rsid w:val="6CBA1634"/>
    <w:rsid w:val="6CC02E2E"/>
    <w:rsid w:val="6CCC1137"/>
    <w:rsid w:val="6CD04B41"/>
    <w:rsid w:val="6CD075C3"/>
    <w:rsid w:val="6CD3045D"/>
    <w:rsid w:val="6CD4339A"/>
    <w:rsid w:val="6CD9608A"/>
    <w:rsid w:val="6CD96E67"/>
    <w:rsid w:val="6CDB1422"/>
    <w:rsid w:val="6CE27AF9"/>
    <w:rsid w:val="6CE30221"/>
    <w:rsid w:val="6CE66A55"/>
    <w:rsid w:val="6CF83B19"/>
    <w:rsid w:val="6D001895"/>
    <w:rsid w:val="6D153877"/>
    <w:rsid w:val="6D1B06DE"/>
    <w:rsid w:val="6D1B4843"/>
    <w:rsid w:val="6D242CB5"/>
    <w:rsid w:val="6D2745CF"/>
    <w:rsid w:val="6D2C37FA"/>
    <w:rsid w:val="6D324CAD"/>
    <w:rsid w:val="6D347EA9"/>
    <w:rsid w:val="6D36206D"/>
    <w:rsid w:val="6D396037"/>
    <w:rsid w:val="6D3A1767"/>
    <w:rsid w:val="6D3B587B"/>
    <w:rsid w:val="6D4658F8"/>
    <w:rsid w:val="6D470E62"/>
    <w:rsid w:val="6D594AFC"/>
    <w:rsid w:val="6D5B1BDC"/>
    <w:rsid w:val="6D696D90"/>
    <w:rsid w:val="6D6F7201"/>
    <w:rsid w:val="6D815288"/>
    <w:rsid w:val="6D8B4DB4"/>
    <w:rsid w:val="6D8F5B49"/>
    <w:rsid w:val="6D951AD3"/>
    <w:rsid w:val="6DBB120B"/>
    <w:rsid w:val="6DBE1A43"/>
    <w:rsid w:val="6DCC74C9"/>
    <w:rsid w:val="6DCF476F"/>
    <w:rsid w:val="6DD2377C"/>
    <w:rsid w:val="6DE216EC"/>
    <w:rsid w:val="6DE954BF"/>
    <w:rsid w:val="6DF04651"/>
    <w:rsid w:val="6DF218DD"/>
    <w:rsid w:val="6DF25C4F"/>
    <w:rsid w:val="6DF825E5"/>
    <w:rsid w:val="6DF86149"/>
    <w:rsid w:val="6DFB4166"/>
    <w:rsid w:val="6E010E59"/>
    <w:rsid w:val="6E097FD1"/>
    <w:rsid w:val="6E0D3650"/>
    <w:rsid w:val="6E19169F"/>
    <w:rsid w:val="6E1B7FDB"/>
    <w:rsid w:val="6E282CF9"/>
    <w:rsid w:val="6E290FBC"/>
    <w:rsid w:val="6E2D2C94"/>
    <w:rsid w:val="6E461B04"/>
    <w:rsid w:val="6E4B0A78"/>
    <w:rsid w:val="6E4C6624"/>
    <w:rsid w:val="6E582A2C"/>
    <w:rsid w:val="6E6011F9"/>
    <w:rsid w:val="6E6E1524"/>
    <w:rsid w:val="6E7D4DA6"/>
    <w:rsid w:val="6E7E2890"/>
    <w:rsid w:val="6E825693"/>
    <w:rsid w:val="6EA13BFA"/>
    <w:rsid w:val="6EAD0ABD"/>
    <w:rsid w:val="6EC15B86"/>
    <w:rsid w:val="6EC33B32"/>
    <w:rsid w:val="6EC45E34"/>
    <w:rsid w:val="6EC543D7"/>
    <w:rsid w:val="6ED94337"/>
    <w:rsid w:val="6EE54ACA"/>
    <w:rsid w:val="6EEC2E18"/>
    <w:rsid w:val="6EEC7DA0"/>
    <w:rsid w:val="6EFF229C"/>
    <w:rsid w:val="6F0B002D"/>
    <w:rsid w:val="6F1A2251"/>
    <w:rsid w:val="6F2A5224"/>
    <w:rsid w:val="6F2A675D"/>
    <w:rsid w:val="6F3077BE"/>
    <w:rsid w:val="6F335839"/>
    <w:rsid w:val="6F376C5B"/>
    <w:rsid w:val="6F3B590C"/>
    <w:rsid w:val="6F5B539B"/>
    <w:rsid w:val="6F5C6265"/>
    <w:rsid w:val="6F674D25"/>
    <w:rsid w:val="6F714A2A"/>
    <w:rsid w:val="6F7C531C"/>
    <w:rsid w:val="6F832444"/>
    <w:rsid w:val="6F844DBC"/>
    <w:rsid w:val="6F8715EB"/>
    <w:rsid w:val="6F8725F7"/>
    <w:rsid w:val="6F8830A8"/>
    <w:rsid w:val="6F8A3070"/>
    <w:rsid w:val="6F8C1686"/>
    <w:rsid w:val="6F8E6F35"/>
    <w:rsid w:val="6F9260E1"/>
    <w:rsid w:val="6F951972"/>
    <w:rsid w:val="6FAC0C5F"/>
    <w:rsid w:val="6FAE2304"/>
    <w:rsid w:val="6FB756F5"/>
    <w:rsid w:val="6FBD6232"/>
    <w:rsid w:val="6FC01F8F"/>
    <w:rsid w:val="6FC82C63"/>
    <w:rsid w:val="6FDC1942"/>
    <w:rsid w:val="6FE06C43"/>
    <w:rsid w:val="6FE20202"/>
    <w:rsid w:val="6FE64BBA"/>
    <w:rsid w:val="6FEC283D"/>
    <w:rsid w:val="6FF93153"/>
    <w:rsid w:val="6FFA2C08"/>
    <w:rsid w:val="70025EB6"/>
    <w:rsid w:val="700C21C5"/>
    <w:rsid w:val="7014630D"/>
    <w:rsid w:val="701557A0"/>
    <w:rsid w:val="702A275D"/>
    <w:rsid w:val="70315516"/>
    <w:rsid w:val="703663BA"/>
    <w:rsid w:val="703D65DA"/>
    <w:rsid w:val="703F5BF3"/>
    <w:rsid w:val="704C260E"/>
    <w:rsid w:val="70543CE2"/>
    <w:rsid w:val="70561F0A"/>
    <w:rsid w:val="706458F5"/>
    <w:rsid w:val="707675BB"/>
    <w:rsid w:val="70780A97"/>
    <w:rsid w:val="708C69B9"/>
    <w:rsid w:val="709D2DEC"/>
    <w:rsid w:val="709F20B3"/>
    <w:rsid w:val="70A01767"/>
    <w:rsid w:val="70A25E93"/>
    <w:rsid w:val="70AA1CC9"/>
    <w:rsid w:val="70AA46DF"/>
    <w:rsid w:val="70AE6CA6"/>
    <w:rsid w:val="70B82FD3"/>
    <w:rsid w:val="70B95679"/>
    <w:rsid w:val="70C224AB"/>
    <w:rsid w:val="70C432B4"/>
    <w:rsid w:val="70CC28E1"/>
    <w:rsid w:val="70CD3D22"/>
    <w:rsid w:val="70CF4244"/>
    <w:rsid w:val="70D4787B"/>
    <w:rsid w:val="70D676F5"/>
    <w:rsid w:val="70D82848"/>
    <w:rsid w:val="70DF7ED0"/>
    <w:rsid w:val="70E471B7"/>
    <w:rsid w:val="70EB7519"/>
    <w:rsid w:val="70EC65A4"/>
    <w:rsid w:val="70F6679F"/>
    <w:rsid w:val="70F82D59"/>
    <w:rsid w:val="710475AE"/>
    <w:rsid w:val="710515F9"/>
    <w:rsid w:val="710D7422"/>
    <w:rsid w:val="711501FC"/>
    <w:rsid w:val="71152AFE"/>
    <w:rsid w:val="711606F7"/>
    <w:rsid w:val="711E3954"/>
    <w:rsid w:val="71223DCE"/>
    <w:rsid w:val="71275730"/>
    <w:rsid w:val="713043DC"/>
    <w:rsid w:val="7135076B"/>
    <w:rsid w:val="7136359B"/>
    <w:rsid w:val="71376051"/>
    <w:rsid w:val="714F1722"/>
    <w:rsid w:val="71540861"/>
    <w:rsid w:val="71566372"/>
    <w:rsid w:val="71593DA9"/>
    <w:rsid w:val="7159676A"/>
    <w:rsid w:val="71655EBC"/>
    <w:rsid w:val="716C34F5"/>
    <w:rsid w:val="7175261E"/>
    <w:rsid w:val="717B089C"/>
    <w:rsid w:val="71806A92"/>
    <w:rsid w:val="71841C3E"/>
    <w:rsid w:val="7193246D"/>
    <w:rsid w:val="7198256C"/>
    <w:rsid w:val="719C7B18"/>
    <w:rsid w:val="719E7939"/>
    <w:rsid w:val="71BB5741"/>
    <w:rsid w:val="71C30E32"/>
    <w:rsid w:val="71C82511"/>
    <w:rsid w:val="71CE7B26"/>
    <w:rsid w:val="71D55662"/>
    <w:rsid w:val="71E02D3A"/>
    <w:rsid w:val="71E93A2C"/>
    <w:rsid w:val="71EB7849"/>
    <w:rsid w:val="71F24FB3"/>
    <w:rsid w:val="71F52906"/>
    <w:rsid w:val="7207701B"/>
    <w:rsid w:val="72092433"/>
    <w:rsid w:val="720D1F2F"/>
    <w:rsid w:val="72134EA2"/>
    <w:rsid w:val="721D0568"/>
    <w:rsid w:val="72256327"/>
    <w:rsid w:val="724501FA"/>
    <w:rsid w:val="724A6054"/>
    <w:rsid w:val="724F05AB"/>
    <w:rsid w:val="726A18B5"/>
    <w:rsid w:val="726D6FD7"/>
    <w:rsid w:val="727B769E"/>
    <w:rsid w:val="727D4077"/>
    <w:rsid w:val="727E489F"/>
    <w:rsid w:val="727F0D1C"/>
    <w:rsid w:val="72863AA7"/>
    <w:rsid w:val="728F7ACD"/>
    <w:rsid w:val="72943159"/>
    <w:rsid w:val="72953AF1"/>
    <w:rsid w:val="729C1ED0"/>
    <w:rsid w:val="729D10E3"/>
    <w:rsid w:val="72B20521"/>
    <w:rsid w:val="72B80B69"/>
    <w:rsid w:val="72BE1CCE"/>
    <w:rsid w:val="72BF19FA"/>
    <w:rsid w:val="72C320DB"/>
    <w:rsid w:val="72C4162D"/>
    <w:rsid w:val="72C9473B"/>
    <w:rsid w:val="72DC7380"/>
    <w:rsid w:val="72DE30C9"/>
    <w:rsid w:val="72E328D4"/>
    <w:rsid w:val="72E43F2E"/>
    <w:rsid w:val="73124218"/>
    <w:rsid w:val="73150018"/>
    <w:rsid w:val="7316313D"/>
    <w:rsid w:val="731F472C"/>
    <w:rsid w:val="73225980"/>
    <w:rsid w:val="732D45F3"/>
    <w:rsid w:val="73321811"/>
    <w:rsid w:val="733351D5"/>
    <w:rsid w:val="734C1455"/>
    <w:rsid w:val="73566DE1"/>
    <w:rsid w:val="735A4CD7"/>
    <w:rsid w:val="73691C33"/>
    <w:rsid w:val="7373536B"/>
    <w:rsid w:val="73770563"/>
    <w:rsid w:val="737D37CC"/>
    <w:rsid w:val="73821391"/>
    <w:rsid w:val="73867CC7"/>
    <w:rsid w:val="738C4998"/>
    <w:rsid w:val="739B2446"/>
    <w:rsid w:val="739C543C"/>
    <w:rsid w:val="739F2A38"/>
    <w:rsid w:val="73A12CB2"/>
    <w:rsid w:val="73A24FAD"/>
    <w:rsid w:val="73AA47FB"/>
    <w:rsid w:val="73AC65EF"/>
    <w:rsid w:val="73AD7669"/>
    <w:rsid w:val="73B04BCD"/>
    <w:rsid w:val="73B65D64"/>
    <w:rsid w:val="73BC476F"/>
    <w:rsid w:val="73C07C20"/>
    <w:rsid w:val="73D14BBF"/>
    <w:rsid w:val="73D944FE"/>
    <w:rsid w:val="73E26FB6"/>
    <w:rsid w:val="73E82B91"/>
    <w:rsid w:val="73EC4687"/>
    <w:rsid w:val="73FD0584"/>
    <w:rsid w:val="74080173"/>
    <w:rsid w:val="74126BC0"/>
    <w:rsid w:val="741479D7"/>
    <w:rsid w:val="74150779"/>
    <w:rsid w:val="74250892"/>
    <w:rsid w:val="74273790"/>
    <w:rsid w:val="743217E7"/>
    <w:rsid w:val="743D1E3C"/>
    <w:rsid w:val="74432E49"/>
    <w:rsid w:val="744876ED"/>
    <w:rsid w:val="744A263B"/>
    <w:rsid w:val="744D309E"/>
    <w:rsid w:val="745C1017"/>
    <w:rsid w:val="745C2583"/>
    <w:rsid w:val="746022ED"/>
    <w:rsid w:val="74636492"/>
    <w:rsid w:val="747B47C1"/>
    <w:rsid w:val="747B6FB9"/>
    <w:rsid w:val="748568CD"/>
    <w:rsid w:val="748969B2"/>
    <w:rsid w:val="748E704E"/>
    <w:rsid w:val="749C211F"/>
    <w:rsid w:val="74A76C06"/>
    <w:rsid w:val="74A923EA"/>
    <w:rsid w:val="74B1185B"/>
    <w:rsid w:val="74B12609"/>
    <w:rsid w:val="74C11875"/>
    <w:rsid w:val="74C16799"/>
    <w:rsid w:val="74C177D1"/>
    <w:rsid w:val="74C24867"/>
    <w:rsid w:val="74D329FB"/>
    <w:rsid w:val="74D57736"/>
    <w:rsid w:val="74D76582"/>
    <w:rsid w:val="74E30911"/>
    <w:rsid w:val="74E41769"/>
    <w:rsid w:val="74E73B3A"/>
    <w:rsid w:val="74FC0326"/>
    <w:rsid w:val="74FD6AF9"/>
    <w:rsid w:val="750C6A6D"/>
    <w:rsid w:val="750D6A39"/>
    <w:rsid w:val="7511631A"/>
    <w:rsid w:val="7514582F"/>
    <w:rsid w:val="751477C0"/>
    <w:rsid w:val="751F0819"/>
    <w:rsid w:val="75207767"/>
    <w:rsid w:val="752E05AD"/>
    <w:rsid w:val="75426BFA"/>
    <w:rsid w:val="75447118"/>
    <w:rsid w:val="754B359F"/>
    <w:rsid w:val="754C0C60"/>
    <w:rsid w:val="754C6DFC"/>
    <w:rsid w:val="7550385F"/>
    <w:rsid w:val="755334CE"/>
    <w:rsid w:val="75581162"/>
    <w:rsid w:val="755D0DC2"/>
    <w:rsid w:val="756C77A6"/>
    <w:rsid w:val="756E671D"/>
    <w:rsid w:val="756F6104"/>
    <w:rsid w:val="757156EB"/>
    <w:rsid w:val="7572212C"/>
    <w:rsid w:val="757815C3"/>
    <w:rsid w:val="757D1E86"/>
    <w:rsid w:val="758C5B29"/>
    <w:rsid w:val="75971833"/>
    <w:rsid w:val="75A5608D"/>
    <w:rsid w:val="75C24F30"/>
    <w:rsid w:val="75C34627"/>
    <w:rsid w:val="75C37CF1"/>
    <w:rsid w:val="75C97A4F"/>
    <w:rsid w:val="75CA6FC2"/>
    <w:rsid w:val="75CB3753"/>
    <w:rsid w:val="75D0102D"/>
    <w:rsid w:val="75D72FE8"/>
    <w:rsid w:val="75D9071B"/>
    <w:rsid w:val="75DA0B91"/>
    <w:rsid w:val="75DD11C7"/>
    <w:rsid w:val="75EE0DA0"/>
    <w:rsid w:val="75FE1C7F"/>
    <w:rsid w:val="75FE78F7"/>
    <w:rsid w:val="7608238C"/>
    <w:rsid w:val="76094850"/>
    <w:rsid w:val="760E26A7"/>
    <w:rsid w:val="762A6911"/>
    <w:rsid w:val="762B7BC5"/>
    <w:rsid w:val="762E71A9"/>
    <w:rsid w:val="763572F5"/>
    <w:rsid w:val="76373424"/>
    <w:rsid w:val="76375C65"/>
    <w:rsid w:val="76387218"/>
    <w:rsid w:val="763B5742"/>
    <w:rsid w:val="764A13AC"/>
    <w:rsid w:val="76504B2A"/>
    <w:rsid w:val="76515480"/>
    <w:rsid w:val="765A05FE"/>
    <w:rsid w:val="766201DF"/>
    <w:rsid w:val="766B5A91"/>
    <w:rsid w:val="766C6D40"/>
    <w:rsid w:val="76742690"/>
    <w:rsid w:val="767B137A"/>
    <w:rsid w:val="767D65DB"/>
    <w:rsid w:val="767F1A60"/>
    <w:rsid w:val="768D6682"/>
    <w:rsid w:val="768E090F"/>
    <w:rsid w:val="76A03B34"/>
    <w:rsid w:val="76A77F73"/>
    <w:rsid w:val="76AB7174"/>
    <w:rsid w:val="76B51A95"/>
    <w:rsid w:val="76B84639"/>
    <w:rsid w:val="76BB3566"/>
    <w:rsid w:val="76BD1D82"/>
    <w:rsid w:val="76C73004"/>
    <w:rsid w:val="76CB270C"/>
    <w:rsid w:val="76CB6E80"/>
    <w:rsid w:val="76D97BC5"/>
    <w:rsid w:val="76DF4EBD"/>
    <w:rsid w:val="76E00191"/>
    <w:rsid w:val="76E2184B"/>
    <w:rsid w:val="76E376B9"/>
    <w:rsid w:val="76E95965"/>
    <w:rsid w:val="76F15F05"/>
    <w:rsid w:val="76F529B8"/>
    <w:rsid w:val="76FB6A51"/>
    <w:rsid w:val="770E298E"/>
    <w:rsid w:val="77210CB8"/>
    <w:rsid w:val="77233EFD"/>
    <w:rsid w:val="7727603A"/>
    <w:rsid w:val="772E7C91"/>
    <w:rsid w:val="773310E3"/>
    <w:rsid w:val="77511B2F"/>
    <w:rsid w:val="77523C83"/>
    <w:rsid w:val="77546499"/>
    <w:rsid w:val="775D7B58"/>
    <w:rsid w:val="776B358A"/>
    <w:rsid w:val="77764CA1"/>
    <w:rsid w:val="778243A7"/>
    <w:rsid w:val="77880CD0"/>
    <w:rsid w:val="77885880"/>
    <w:rsid w:val="779043E2"/>
    <w:rsid w:val="779150B9"/>
    <w:rsid w:val="77951563"/>
    <w:rsid w:val="779D7FD8"/>
    <w:rsid w:val="779E5C83"/>
    <w:rsid w:val="77A67511"/>
    <w:rsid w:val="77A83023"/>
    <w:rsid w:val="77B203F2"/>
    <w:rsid w:val="77B34168"/>
    <w:rsid w:val="77B853CE"/>
    <w:rsid w:val="77BE1E71"/>
    <w:rsid w:val="77C36C3C"/>
    <w:rsid w:val="77CB0788"/>
    <w:rsid w:val="77DF0EAD"/>
    <w:rsid w:val="77E07EEF"/>
    <w:rsid w:val="77EA3CA6"/>
    <w:rsid w:val="77F539B7"/>
    <w:rsid w:val="78102276"/>
    <w:rsid w:val="78164B46"/>
    <w:rsid w:val="781C74D8"/>
    <w:rsid w:val="78252195"/>
    <w:rsid w:val="783A5958"/>
    <w:rsid w:val="784D556E"/>
    <w:rsid w:val="784E76DC"/>
    <w:rsid w:val="78515669"/>
    <w:rsid w:val="78533750"/>
    <w:rsid w:val="78612919"/>
    <w:rsid w:val="78664A55"/>
    <w:rsid w:val="786A010A"/>
    <w:rsid w:val="787C42DD"/>
    <w:rsid w:val="788A5451"/>
    <w:rsid w:val="78950D3A"/>
    <w:rsid w:val="789A08C3"/>
    <w:rsid w:val="789D4FA3"/>
    <w:rsid w:val="78A504C8"/>
    <w:rsid w:val="78B13B0E"/>
    <w:rsid w:val="78B8775D"/>
    <w:rsid w:val="78B91416"/>
    <w:rsid w:val="78C5026F"/>
    <w:rsid w:val="78C84750"/>
    <w:rsid w:val="78CE5CDC"/>
    <w:rsid w:val="78D61A4D"/>
    <w:rsid w:val="78DA2088"/>
    <w:rsid w:val="78DD1239"/>
    <w:rsid w:val="78DF5B2B"/>
    <w:rsid w:val="78DF77D5"/>
    <w:rsid w:val="78E656E7"/>
    <w:rsid w:val="78E75646"/>
    <w:rsid w:val="78EB5EFD"/>
    <w:rsid w:val="78F8672E"/>
    <w:rsid w:val="78FD2405"/>
    <w:rsid w:val="79062161"/>
    <w:rsid w:val="790D20C1"/>
    <w:rsid w:val="7912160F"/>
    <w:rsid w:val="79162D4D"/>
    <w:rsid w:val="792B652C"/>
    <w:rsid w:val="792D38DD"/>
    <w:rsid w:val="793149BC"/>
    <w:rsid w:val="793C27D0"/>
    <w:rsid w:val="79481F08"/>
    <w:rsid w:val="79496D88"/>
    <w:rsid w:val="794C1DA6"/>
    <w:rsid w:val="794F110E"/>
    <w:rsid w:val="795874B4"/>
    <w:rsid w:val="795C05B5"/>
    <w:rsid w:val="79605CAC"/>
    <w:rsid w:val="7961710C"/>
    <w:rsid w:val="796226B7"/>
    <w:rsid w:val="798736BF"/>
    <w:rsid w:val="798813F5"/>
    <w:rsid w:val="798909DE"/>
    <w:rsid w:val="798E67F7"/>
    <w:rsid w:val="79905A88"/>
    <w:rsid w:val="79932F85"/>
    <w:rsid w:val="799474F7"/>
    <w:rsid w:val="79957516"/>
    <w:rsid w:val="799C1CF1"/>
    <w:rsid w:val="799C5797"/>
    <w:rsid w:val="799E40A1"/>
    <w:rsid w:val="79A156EC"/>
    <w:rsid w:val="79A31A75"/>
    <w:rsid w:val="79B44348"/>
    <w:rsid w:val="79B84757"/>
    <w:rsid w:val="79C32FEF"/>
    <w:rsid w:val="79D13944"/>
    <w:rsid w:val="79D20036"/>
    <w:rsid w:val="79D30053"/>
    <w:rsid w:val="79DE7C8F"/>
    <w:rsid w:val="79E52441"/>
    <w:rsid w:val="7A0A209D"/>
    <w:rsid w:val="7A1213EE"/>
    <w:rsid w:val="7A183A02"/>
    <w:rsid w:val="7A2013FC"/>
    <w:rsid w:val="7A215327"/>
    <w:rsid w:val="7A293534"/>
    <w:rsid w:val="7A293831"/>
    <w:rsid w:val="7A3643BA"/>
    <w:rsid w:val="7A380C3F"/>
    <w:rsid w:val="7A3B042E"/>
    <w:rsid w:val="7A4C0DA0"/>
    <w:rsid w:val="7A4F4473"/>
    <w:rsid w:val="7A560030"/>
    <w:rsid w:val="7A576A80"/>
    <w:rsid w:val="7A5C7ABE"/>
    <w:rsid w:val="7A6840CE"/>
    <w:rsid w:val="7A74304F"/>
    <w:rsid w:val="7A7F4BEA"/>
    <w:rsid w:val="7A894151"/>
    <w:rsid w:val="7A9379F9"/>
    <w:rsid w:val="7A975B0F"/>
    <w:rsid w:val="7AA13703"/>
    <w:rsid w:val="7AA71E85"/>
    <w:rsid w:val="7AA9318C"/>
    <w:rsid w:val="7AB343C0"/>
    <w:rsid w:val="7AB577E7"/>
    <w:rsid w:val="7ABB45F6"/>
    <w:rsid w:val="7ABD6E5B"/>
    <w:rsid w:val="7AC10096"/>
    <w:rsid w:val="7AC330B7"/>
    <w:rsid w:val="7AC812E8"/>
    <w:rsid w:val="7ACC2256"/>
    <w:rsid w:val="7ACE7B72"/>
    <w:rsid w:val="7ADB19DB"/>
    <w:rsid w:val="7ADB6A65"/>
    <w:rsid w:val="7ADC193F"/>
    <w:rsid w:val="7AE832A5"/>
    <w:rsid w:val="7AEE7D5A"/>
    <w:rsid w:val="7AF119DB"/>
    <w:rsid w:val="7B036EB4"/>
    <w:rsid w:val="7B0B05F7"/>
    <w:rsid w:val="7B0D3C52"/>
    <w:rsid w:val="7B15789D"/>
    <w:rsid w:val="7B1810CF"/>
    <w:rsid w:val="7B2C15CA"/>
    <w:rsid w:val="7B2C61C2"/>
    <w:rsid w:val="7B390BF2"/>
    <w:rsid w:val="7B4162C7"/>
    <w:rsid w:val="7B4C7AD1"/>
    <w:rsid w:val="7B534E2D"/>
    <w:rsid w:val="7B5C622D"/>
    <w:rsid w:val="7B683189"/>
    <w:rsid w:val="7B691EEB"/>
    <w:rsid w:val="7B6A3E7D"/>
    <w:rsid w:val="7B7F3244"/>
    <w:rsid w:val="7B804382"/>
    <w:rsid w:val="7B88567D"/>
    <w:rsid w:val="7B8F0AFD"/>
    <w:rsid w:val="7B98535A"/>
    <w:rsid w:val="7BA57FBA"/>
    <w:rsid w:val="7BA821FD"/>
    <w:rsid w:val="7BA82254"/>
    <w:rsid w:val="7BAE48FC"/>
    <w:rsid w:val="7BB32376"/>
    <w:rsid w:val="7BB83DF8"/>
    <w:rsid w:val="7BBA2E35"/>
    <w:rsid w:val="7BC46536"/>
    <w:rsid w:val="7BC76B4E"/>
    <w:rsid w:val="7BC84704"/>
    <w:rsid w:val="7BCC163B"/>
    <w:rsid w:val="7BCC236D"/>
    <w:rsid w:val="7BCC7CAA"/>
    <w:rsid w:val="7BE173B0"/>
    <w:rsid w:val="7BE66796"/>
    <w:rsid w:val="7BF01B4A"/>
    <w:rsid w:val="7BFF4559"/>
    <w:rsid w:val="7C0827FE"/>
    <w:rsid w:val="7C084E85"/>
    <w:rsid w:val="7C164F89"/>
    <w:rsid w:val="7C1A756B"/>
    <w:rsid w:val="7C1B1028"/>
    <w:rsid w:val="7C226546"/>
    <w:rsid w:val="7C250A4C"/>
    <w:rsid w:val="7C251562"/>
    <w:rsid w:val="7C2B2034"/>
    <w:rsid w:val="7C2C62B3"/>
    <w:rsid w:val="7C3043FE"/>
    <w:rsid w:val="7C366C5F"/>
    <w:rsid w:val="7C3C0747"/>
    <w:rsid w:val="7C4569BE"/>
    <w:rsid w:val="7C4F607B"/>
    <w:rsid w:val="7C583982"/>
    <w:rsid w:val="7C5B1092"/>
    <w:rsid w:val="7C603908"/>
    <w:rsid w:val="7C6972EC"/>
    <w:rsid w:val="7C6B22AE"/>
    <w:rsid w:val="7C7D0B32"/>
    <w:rsid w:val="7C8B1147"/>
    <w:rsid w:val="7C8C5EFB"/>
    <w:rsid w:val="7C972F3B"/>
    <w:rsid w:val="7C9F1C4C"/>
    <w:rsid w:val="7CA122F9"/>
    <w:rsid w:val="7CA31AB6"/>
    <w:rsid w:val="7CA4518D"/>
    <w:rsid w:val="7CA50BAD"/>
    <w:rsid w:val="7CB47910"/>
    <w:rsid w:val="7CBE5D37"/>
    <w:rsid w:val="7CCC7518"/>
    <w:rsid w:val="7CD17149"/>
    <w:rsid w:val="7CD27243"/>
    <w:rsid w:val="7CD730F8"/>
    <w:rsid w:val="7CDA2056"/>
    <w:rsid w:val="7CE43E14"/>
    <w:rsid w:val="7CE95DFB"/>
    <w:rsid w:val="7CEF6F02"/>
    <w:rsid w:val="7CF11D62"/>
    <w:rsid w:val="7CFB6A2F"/>
    <w:rsid w:val="7D0030DC"/>
    <w:rsid w:val="7D027F2A"/>
    <w:rsid w:val="7D061726"/>
    <w:rsid w:val="7D0A1A32"/>
    <w:rsid w:val="7D0C1069"/>
    <w:rsid w:val="7D0E4B5B"/>
    <w:rsid w:val="7D33504E"/>
    <w:rsid w:val="7D350DAF"/>
    <w:rsid w:val="7D362C54"/>
    <w:rsid w:val="7D3B012B"/>
    <w:rsid w:val="7D3C08AA"/>
    <w:rsid w:val="7D4404B7"/>
    <w:rsid w:val="7D4928DE"/>
    <w:rsid w:val="7D4C641E"/>
    <w:rsid w:val="7D547E56"/>
    <w:rsid w:val="7D5C493C"/>
    <w:rsid w:val="7D7C3D68"/>
    <w:rsid w:val="7D852B14"/>
    <w:rsid w:val="7D947B27"/>
    <w:rsid w:val="7D9740AA"/>
    <w:rsid w:val="7DA90486"/>
    <w:rsid w:val="7DAC204D"/>
    <w:rsid w:val="7DAE540F"/>
    <w:rsid w:val="7DAF1865"/>
    <w:rsid w:val="7DB07FBB"/>
    <w:rsid w:val="7DC052EE"/>
    <w:rsid w:val="7DC767AB"/>
    <w:rsid w:val="7DCB760E"/>
    <w:rsid w:val="7DD318F4"/>
    <w:rsid w:val="7DD4152C"/>
    <w:rsid w:val="7DD458EB"/>
    <w:rsid w:val="7DE854DB"/>
    <w:rsid w:val="7DEA41A0"/>
    <w:rsid w:val="7DF5241B"/>
    <w:rsid w:val="7DF7247F"/>
    <w:rsid w:val="7E064540"/>
    <w:rsid w:val="7E0E7855"/>
    <w:rsid w:val="7E17317E"/>
    <w:rsid w:val="7E1F2DD5"/>
    <w:rsid w:val="7E4030AD"/>
    <w:rsid w:val="7E4313B6"/>
    <w:rsid w:val="7E443F63"/>
    <w:rsid w:val="7E480690"/>
    <w:rsid w:val="7E574A6E"/>
    <w:rsid w:val="7E5C4336"/>
    <w:rsid w:val="7E701D11"/>
    <w:rsid w:val="7E762791"/>
    <w:rsid w:val="7E804FCB"/>
    <w:rsid w:val="7E827F3C"/>
    <w:rsid w:val="7E8533A3"/>
    <w:rsid w:val="7E8E42BF"/>
    <w:rsid w:val="7E9212CE"/>
    <w:rsid w:val="7E9322EC"/>
    <w:rsid w:val="7E971EEC"/>
    <w:rsid w:val="7E9E43D8"/>
    <w:rsid w:val="7EA5087E"/>
    <w:rsid w:val="7EA737EF"/>
    <w:rsid w:val="7EAC0FC4"/>
    <w:rsid w:val="7EB819E3"/>
    <w:rsid w:val="7ECD4B07"/>
    <w:rsid w:val="7ED44F77"/>
    <w:rsid w:val="7ED544B5"/>
    <w:rsid w:val="7EDB49B6"/>
    <w:rsid w:val="7EF249D0"/>
    <w:rsid w:val="7EFF735A"/>
    <w:rsid w:val="7F0D0F48"/>
    <w:rsid w:val="7F14671E"/>
    <w:rsid w:val="7F182485"/>
    <w:rsid w:val="7F1B5E8E"/>
    <w:rsid w:val="7F2938F4"/>
    <w:rsid w:val="7F2A6C85"/>
    <w:rsid w:val="7F2E4552"/>
    <w:rsid w:val="7F3A609B"/>
    <w:rsid w:val="7F4265D1"/>
    <w:rsid w:val="7F435704"/>
    <w:rsid w:val="7F5117A9"/>
    <w:rsid w:val="7F7119F3"/>
    <w:rsid w:val="7F8029CE"/>
    <w:rsid w:val="7F853AB6"/>
    <w:rsid w:val="7F8C2F0B"/>
    <w:rsid w:val="7F8D4C51"/>
    <w:rsid w:val="7F8E5DD1"/>
    <w:rsid w:val="7F942BE1"/>
    <w:rsid w:val="7FA23687"/>
    <w:rsid w:val="7FA71F3A"/>
    <w:rsid w:val="7FB16B07"/>
    <w:rsid w:val="7FC379A1"/>
    <w:rsid w:val="7FC638A9"/>
    <w:rsid w:val="7FCD36ED"/>
    <w:rsid w:val="7FE016BB"/>
    <w:rsid w:val="7FE15B6A"/>
    <w:rsid w:val="7FE23739"/>
    <w:rsid w:val="7FEF2D0E"/>
    <w:rsid w:val="7FF07C1F"/>
    <w:rsid w:val="7FF62D9A"/>
    <w:rsid w:val="7FF67CC8"/>
    <w:rsid w:val="7FF904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4">
    <w:name w:val="heading 1"/>
    <w:basedOn w:val="1"/>
    <w:next w:val="1"/>
    <w:qFormat/>
    <w:uiPriority w:val="0"/>
    <w:pPr>
      <w:keepNext/>
      <w:keepLines/>
      <w:outlineLvl w:val="0"/>
    </w:pPr>
    <w:rPr>
      <w:b/>
      <w:kern w:val="44"/>
      <w:sz w:val="44"/>
    </w:rPr>
  </w:style>
  <w:style w:type="paragraph" w:styleId="5">
    <w:name w:val="heading 2"/>
    <w:basedOn w:val="1"/>
    <w:next w:val="1"/>
    <w:link w:val="31"/>
    <w:unhideWhenUsed/>
    <w:qFormat/>
    <w:uiPriority w:val="0"/>
    <w:pPr>
      <w:keepNext/>
      <w:keepLines/>
      <w:spacing w:line="500" w:lineRule="exact"/>
      <w:outlineLvl w:val="1"/>
    </w:pPr>
    <w:rPr>
      <w:rFonts w:ascii="Arial" w:hAnsi="Arial" w:eastAsia="黑体"/>
      <w:b/>
      <w:sz w:val="28"/>
    </w:rPr>
  </w:style>
  <w:style w:type="paragraph" w:styleId="6">
    <w:name w:val="heading 3"/>
    <w:basedOn w:val="1"/>
    <w:next w:val="1"/>
    <w:unhideWhenUsed/>
    <w:qFormat/>
    <w:uiPriority w:val="0"/>
    <w:pPr>
      <w:outlineLvl w:val="2"/>
    </w:pPr>
    <w:rPr>
      <w:rFonts w:hint="eastAsia" w:cs="Times New Roman"/>
      <w:b/>
      <w:kern w:val="0"/>
      <w:sz w:val="27"/>
      <w:szCs w:val="27"/>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1">
    <w:name w:val="Normal Indent"/>
    <w:basedOn w:val="1"/>
    <w:qFormat/>
    <w:uiPriority w:val="0"/>
    <w:pPr>
      <w:ind w:firstLine="420" w:firstLineChars="200"/>
    </w:pPr>
    <w:rPr>
      <w:rFonts w:eastAsia="宋体"/>
    </w:rPr>
  </w:style>
  <w:style w:type="paragraph" w:styleId="12">
    <w:name w:val="annotation text"/>
    <w:basedOn w:val="1"/>
    <w:qFormat/>
    <w:uiPriority w:val="0"/>
  </w:style>
  <w:style w:type="paragraph" w:styleId="13">
    <w:name w:val="Body Text"/>
    <w:basedOn w:val="1"/>
    <w:next w:val="14"/>
    <w:qFormat/>
    <w:uiPriority w:val="0"/>
    <w:pPr>
      <w:spacing w:after="120"/>
    </w:pPr>
    <w:rPr>
      <w:rFonts w:ascii="Times New Roman"/>
    </w:rPr>
  </w:style>
  <w:style w:type="paragraph" w:styleId="14">
    <w:name w:val="Subtitle"/>
    <w:basedOn w:val="1"/>
    <w:next w:val="1"/>
    <w:qFormat/>
    <w:uiPriority w:val="0"/>
    <w:pPr>
      <w:widowControl w:val="0"/>
      <w:jc w:val="both"/>
    </w:pPr>
    <w:rPr>
      <w:kern w:val="2"/>
      <w:sz w:val="28"/>
      <w:szCs w:val="20"/>
    </w:rPr>
  </w:style>
  <w:style w:type="paragraph" w:styleId="15">
    <w:name w:val="Body Text Indent"/>
    <w:basedOn w:val="1"/>
    <w:qFormat/>
    <w:uiPriority w:val="0"/>
    <w:pPr>
      <w:ind w:firstLine="538" w:firstLineChars="168"/>
    </w:pPr>
    <w:rPr>
      <w:rFonts w:ascii="仿宋_GB2312" w:eastAsia="仿宋_GB2312"/>
      <w:sz w:val="32"/>
    </w:rPr>
  </w:style>
  <w:style w:type="paragraph" w:styleId="16">
    <w:name w:val="toc 3"/>
    <w:basedOn w:val="1"/>
    <w:next w:val="1"/>
    <w:qFormat/>
    <w:uiPriority w:val="0"/>
    <w:pPr>
      <w:wordWrap w:val="0"/>
      <w:topLinePunct/>
      <w:spacing w:line="400" w:lineRule="exact"/>
      <w:ind w:left="840" w:leftChars="400"/>
    </w:pPr>
    <w:rPr>
      <w:sz w:val="21"/>
    </w:rPr>
  </w:style>
  <w:style w:type="paragraph" w:styleId="17">
    <w:name w:val="Balloon Text"/>
    <w:basedOn w:val="1"/>
    <w:link w:val="74"/>
    <w:qFormat/>
    <w:uiPriority w:val="0"/>
    <w:pPr>
      <w:spacing w:line="240" w:lineRule="auto"/>
    </w:pPr>
    <w:rPr>
      <w:rFonts w:ascii="Heiti SC Light" w:eastAsia="Heiti SC Light"/>
      <w:sz w:val="18"/>
      <w:szCs w:val="18"/>
    </w:rPr>
  </w:style>
  <w:style w:type="paragraph" w:styleId="18">
    <w:name w:val="footer"/>
    <w:basedOn w:val="1"/>
    <w:link w:val="30"/>
    <w:qFormat/>
    <w:uiPriority w:val="0"/>
    <w:pPr>
      <w:spacing w:line="240" w:lineRule="auto"/>
    </w:pPr>
    <w:rPr>
      <w:sz w:val="18"/>
      <w:szCs w:val="18"/>
    </w:rPr>
  </w:style>
  <w:style w:type="paragraph" w:styleId="19">
    <w:name w:val="header"/>
    <w:basedOn w:val="1"/>
    <w:link w:val="29"/>
    <w:qFormat/>
    <w:uiPriority w:val="0"/>
    <w:pPr>
      <w:pBdr>
        <w:bottom w:val="single" w:color="auto" w:sz="6" w:space="1"/>
      </w:pBdr>
      <w:wordWrap w:val="0"/>
      <w:topLinePunct/>
      <w:spacing w:line="240" w:lineRule="auto"/>
      <w:jc w:val="center"/>
    </w:pPr>
    <w:rPr>
      <w:sz w:val="18"/>
      <w:szCs w:val="18"/>
    </w:rPr>
  </w:style>
  <w:style w:type="paragraph" w:styleId="20">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21">
    <w:name w:val="toc 2"/>
    <w:basedOn w:val="1"/>
    <w:next w:val="1"/>
    <w:qFormat/>
    <w:uiPriority w:val="0"/>
    <w:pPr>
      <w:wordWrap w:val="0"/>
      <w:topLinePunct/>
      <w:spacing w:line="400" w:lineRule="exact"/>
      <w:ind w:left="420" w:leftChars="200"/>
    </w:pPr>
    <w:rPr>
      <w:sz w:val="21"/>
    </w:rPr>
  </w:style>
  <w:style w:type="paragraph" w:styleId="22">
    <w:name w:val="Normal (Web)"/>
    <w:basedOn w:val="1"/>
    <w:qFormat/>
    <w:uiPriority w:val="0"/>
    <w:pPr>
      <w:spacing w:beforeAutospacing="1" w:afterAutospacing="1"/>
    </w:pPr>
    <w:rPr>
      <w:rFonts w:cs="Times New Roman"/>
      <w:kern w:val="0"/>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qFormat/>
    <w:uiPriority w:val="0"/>
    <w:rPr>
      <w:rFonts w:hint="eastAsia" w:ascii="微软雅黑" w:hAnsi="微软雅黑" w:eastAsia="微软雅黑" w:cs="微软雅黑"/>
      <w:color w:val="02396F"/>
      <w:u w:val="single"/>
    </w:rPr>
  </w:style>
  <w:style w:type="character" w:styleId="27">
    <w:name w:val="Hyperlink"/>
    <w:basedOn w:val="25"/>
    <w:qFormat/>
    <w:uiPriority w:val="0"/>
    <w:rPr>
      <w:color w:val="0000FF"/>
      <w:u w:val="single"/>
    </w:rPr>
  </w:style>
  <w:style w:type="character" w:styleId="28">
    <w:name w:val="HTML Sample"/>
    <w:basedOn w:val="25"/>
    <w:semiHidden/>
    <w:unhideWhenUsed/>
    <w:uiPriority w:val="0"/>
    <w:rPr>
      <w:rFonts w:ascii="Courier New" w:hAnsi="Courier New"/>
    </w:rPr>
  </w:style>
  <w:style w:type="character" w:customStyle="1" w:styleId="29">
    <w:name w:val="页眉 字符"/>
    <w:basedOn w:val="25"/>
    <w:link w:val="19"/>
    <w:qFormat/>
    <w:uiPriority w:val="0"/>
    <w:rPr>
      <w:rFonts w:ascii="宋体" w:hAnsi="宋体" w:eastAsia="宋体" w:cstheme="minorBidi"/>
      <w:kern w:val="2"/>
      <w:sz w:val="18"/>
      <w:szCs w:val="18"/>
    </w:rPr>
  </w:style>
  <w:style w:type="character" w:customStyle="1" w:styleId="30">
    <w:name w:val="页脚 字符"/>
    <w:basedOn w:val="25"/>
    <w:link w:val="18"/>
    <w:qFormat/>
    <w:uiPriority w:val="0"/>
    <w:rPr>
      <w:rFonts w:ascii="宋体" w:hAnsi="宋体" w:eastAsia="宋体" w:cstheme="minorBidi"/>
      <w:kern w:val="2"/>
      <w:sz w:val="18"/>
      <w:szCs w:val="18"/>
    </w:rPr>
  </w:style>
  <w:style w:type="character" w:customStyle="1" w:styleId="31">
    <w:name w:val="标题 2 字符"/>
    <w:basedOn w:val="25"/>
    <w:link w:val="5"/>
    <w:qFormat/>
    <w:uiPriority w:val="0"/>
    <w:rPr>
      <w:rFonts w:ascii="Arial" w:hAnsi="Arial" w:eastAsia="黑体"/>
      <w:b/>
      <w:sz w:val="28"/>
    </w:rPr>
  </w:style>
  <w:style w:type="paragraph" w:customStyle="1" w:styleId="32">
    <w:name w:val="05、“(一)”正文三级标题"/>
    <w:basedOn w:val="1"/>
    <w:link w:val="58"/>
    <w:qFormat/>
    <w:uiPriority w:val="0"/>
    <w:pPr>
      <w:numPr>
        <w:ilvl w:val="1"/>
        <w:numId w:val="1"/>
      </w:numPr>
      <w:wordWrap w:val="0"/>
      <w:topLinePunct/>
      <w:ind w:firstLine="803" w:firstLineChars="200"/>
    </w:pPr>
  </w:style>
  <w:style w:type="paragraph" w:customStyle="1" w:styleId="33">
    <w:name w:val="00、封面正文(与其他内容无关的格式)"/>
    <w:basedOn w:val="1"/>
    <w:qFormat/>
    <w:uiPriority w:val="0"/>
  </w:style>
  <w:style w:type="paragraph" w:customStyle="1" w:styleId="34">
    <w:name w:val="15、“一、”二级标题"/>
    <w:basedOn w:val="1"/>
    <w:qFormat/>
    <w:uiPriority w:val="0"/>
    <w:pPr>
      <w:numPr>
        <w:ilvl w:val="1"/>
        <w:numId w:val="3"/>
      </w:numPr>
      <w:wordWrap w:val="0"/>
      <w:topLinePunct/>
      <w:ind w:firstLine="803" w:firstLineChars="200"/>
      <w:outlineLvl w:val="1"/>
    </w:pPr>
    <w:rPr>
      <w:b/>
    </w:rPr>
  </w:style>
  <w:style w:type="paragraph" w:customStyle="1" w:styleId="35">
    <w:name w:val="06、“1.”正文四级标题"/>
    <w:basedOn w:val="1"/>
    <w:link w:val="60"/>
    <w:qFormat/>
    <w:uiPriority w:val="0"/>
    <w:pPr>
      <w:numPr>
        <w:ilvl w:val="2"/>
        <w:numId w:val="1"/>
      </w:numPr>
      <w:wordWrap w:val="0"/>
      <w:topLinePunct/>
      <w:ind w:firstLine="803" w:firstLineChars="200"/>
    </w:pPr>
    <w:rPr>
      <w:snapToGrid w:val="0"/>
    </w:rPr>
  </w:style>
  <w:style w:type="paragraph" w:customStyle="1" w:styleId="36">
    <w:name w:val="07、“1.1”正文五级标题"/>
    <w:basedOn w:val="1"/>
    <w:link w:val="52"/>
    <w:qFormat/>
    <w:uiPriority w:val="0"/>
    <w:pPr>
      <w:numPr>
        <w:ilvl w:val="3"/>
        <w:numId w:val="1"/>
      </w:numPr>
      <w:ind w:firstLine="803" w:firstLineChars="200"/>
    </w:pPr>
  </w:style>
  <w:style w:type="paragraph" w:customStyle="1" w:styleId="37">
    <w:name w:val="08、“(1)”正文六级标题"/>
    <w:basedOn w:val="1"/>
    <w:link w:val="61"/>
    <w:qFormat/>
    <w:uiPriority w:val="0"/>
    <w:pPr>
      <w:numPr>
        <w:ilvl w:val="4"/>
        <w:numId w:val="1"/>
      </w:numPr>
      <w:ind w:firstLine="803" w:firstLineChars="200"/>
    </w:pPr>
    <w:rPr>
      <w:snapToGrid w:val="0"/>
    </w:rPr>
  </w:style>
  <w:style w:type="paragraph" w:customStyle="1" w:styleId="38">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39">
    <w:name w:val="10、“1.1”表格内二级标题"/>
    <w:basedOn w:val="1"/>
    <w:link w:val="51"/>
    <w:qFormat/>
    <w:uiPriority w:val="0"/>
    <w:pPr>
      <w:numPr>
        <w:ilvl w:val="1"/>
        <w:numId w:val="4"/>
      </w:numPr>
      <w:wordWrap w:val="0"/>
      <w:topLinePunct/>
      <w:spacing w:line="360" w:lineRule="exact"/>
      <w:ind w:left="48" w:leftChars="20"/>
    </w:pPr>
    <w:rPr>
      <w:snapToGrid w:val="0"/>
      <w:sz w:val="21"/>
    </w:rPr>
  </w:style>
  <w:style w:type="paragraph" w:customStyle="1" w:styleId="40">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41">
    <w:name w:val="12、表格内左对齐正文"/>
    <w:basedOn w:val="1"/>
    <w:link w:val="62"/>
    <w:qFormat/>
    <w:uiPriority w:val="0"/>
    <w:pPr>
      <w:wordWrap w:val="0"/>
      <w:topLinePunct/>
      <w:spacing w:line="360" w:lineRule="exact"/>
      <w:ind w:left="48" w:leftChars="20"/>
    </w:pPr>
    <w:rPr>
      <w:snapToGrid w:val="0"/>
      <w:sz w:val="21"/>
    </w:rPr>
  </w:style>
  <w:style w:type="paragraph" w:customStyle="1" w:styleId="42">
    <w:name w:val="01、普通正文"/>
    <w:basedOn w:val="1"/>
    <w:link w:val="56"/>
    <w:qFormat/>
    <w:uiPriority w:val="0"/>
    <w:pPr>
      <w:wordWrap w:val="0"/>
      <w:topLinePunct/>
    </w:pPr>
    <w:rPr>
      <w:snapToGrid w:val="0"/>
    </w:rPr>
  </w:style>
  <w:style w:type="paragraph" w:customStyle="1" w:styleId="43">
    <w:name w:val="20、第二章“一、”二级标题"/>
    <w:basedOn w:val="42"/>
    <w:qFormat/>
    <w:uiPriority w:val="0"/>
    <w:pPr>
      <w:numPr>
        <w:ilvl w:val="0"/>
        <w:numId w:val="5"/>
      </w:numPr>
      <w:spacing w:before="50" w:beforeLines="50" w:after="50" w:afterLines="50"/>
      <w:jc w:val="center"/>
      <w:outlineLvl w:val="1"/>
    </w:pPr>
    <w:rPr>
      <w:b/>
      <w:sz w:val="32"/>
    </w:rPr>
  </w:style>
  <w:style w:type="paragraph" w:customStyle="1" w:styleId="44">
    <w:name w:val="21、第三章“(一)”三级标题"/>
    <w:basedOn w:val="42"/>
    <w:link w:val="53"/>
    <w:qFormat/>
    <w:uiPriority w:val="0"/>
    <w:pPr>
      <w:pageBreakBefore/>
      <w:numPr>
        <w:ilvl w:val="0"/>
        <w:numId w:val="6"/>
      </w:numPr>
      <w:spacing w:before="50" w:beforeLines="50" w:after="50" w:afterLines="50"/>
      <w:jc w:val="center"/>
      <w:outlineLvl w:val="2"/>
    </w:pPr>
    <w:rPr>
      <w:b/>
      <w:sz w:val="28"/>
    </w:rPr>
  </w:style>
  <w:style w:type="paragraph" w:customStyle="1" w:styleId="45">
    <w:name w:val="13、表格内居中正文"/>
    <w:basedOn w:val="1"/>
    <w:qFormat/>
    <w:uiPriority w:val="0"/>
    <w:pPr>
      <w:wordWrap w:val="0"/>
      <w:topLinePunct/>
      <w:spacing w:line="360" w:lineRule="exact"/>
      <w:jc w:val="center"/>
    </w:pPr>
    <w:rPr>
      <w:sz w:val="21"/>
    </w:rPr>
  </w:style>
  <w:style w:type="paragraph" w:customStyle="1" w:styleId="46">
    <w:name w:val="02、首行缩进2字符正文"/>
    <w:basedOn w:val="1"/>
    <w:link w:val="55"/>
    <w:qFormat/>
    <w:uiPriority w:val="0"/>
    <w:pPr>
      <w:wordWrap w:val="0"/>
      <w:topLinePunct/>
      <w:ind w:firstLine="480" w:firstLineChars="200"/>
    </w:pPr>
  </w:style>
  <w:style w:type="paragraph" w:customStyle="1" w:styleId="47">
    <w:name w:val="03、“注：”正文(加粗，首行缩进2字符)"/>
    <w:basedOn w:val="42"/>
    <w:link w:val="57"/>
    <w:qFormat/>
    <w:uiPriority w:val="0"/>
    <w:pPr>
      <w:ind w:firstLine="480" w:firstLineChars="200"/>
    </w:pPr>
    <w:rPr>
      <w:b/>
    </w:rPr>
  </w:style>
  <w:style w:type="paragraph" w:customStyle="1" w:styleId="48">
    <w:name w:val="14、“第一章”一级标题"/>
    <w:basedOn w:val="42"/>
    <w:qFormat/>
    <w:uiPriority w:val="0"/>
    <w:pPr>
      <w:numPr>
        <w:ilvl w:val="0"/>
        <w:numId w:val="3"/>
      </w:numPr>
      <w:spacing w:before="50" w:beforeLines="50" w:after="50" w:afterLines="50" w:line="240" w:lineRule="auto"/>
      <w:jc w:val="center"/>
      <w:outlineLvl w:val="0"/>
    </w:pPr>
    <w:rPr>
      <w:b/>
      <w:sz w:val="36"/>
    </w:rPr>
  </w:style>
  <w:style w:type="paragraph" w:customStyle="1" w:styleId="49">
    <w:name w:val="16、“(一)”三级标题"/>
    <w:basedOn w:val="42"/>
    <w:link w:val="54"/>
    <w:qFormat/>
    <w:uiPriority w:val="0"/>
    <w:pPr>
      <w:numPr>
        <w:ilvl w:val="2"/>
        <w:numId w:val="3"/>
      </w:numPr>
      <w:ind w:firstLine="803" w:firstLineChars="200"/>
      <w:outlineLvl w:val="2"/>
    </w:pPr>
    <w:rPr>
      <w:b/>
    </w:rPr>
  </w:style>
  <w:style w:type="paragraph" w:customStyle="1" w:styleId="50">
    <w:name w:val="04“一、”正文二级标题"/>
    <w:basedOn w:val="42"/>
    <w:link w:val="59"/>
    <w:qFormat/>
    <w:uiPriority w:val="0"/>
    <w:pPr>
      <w:ind w:firstLine="803" w:firstLineChars="200"/>
    </w:pPr>
  </w:style>
  <w:style w:type="character" w:customStyle="1" w:styleId="51">
    <w:name w:val="10、“1.1”表格内二级标题 Char"/>
    <w:link w:val="39"/>
    <w:qFormat/>
    <w:uiPriority w:val="0"/>
    <w:rPr>
      <w:rFonts w:ascii="宋体" w:hAnsi="宋体" w:eastAsia="宋体"/>
      <w:snapToGrid w:val="0"/>
      <w:sz w:val="21"/>
    </w:rPr>
  </w:style>
  <w:style w:type="character" w:customStyle="1" w:styleId="52">
    <w:name w:val="07、“1.1”正文五级标题 Char"/>
    <w:link w:val="36"/>
    <w:qFormat/>
    <w:uiPriority w:val="0"/>
    <w:rPr>
      <w:rFonts w:ascii="宋体" w:hAnsi="宋体" w:eastAsia="宋体"/>
    </w:rPr>
  </w:style>
  <w:style w:type="character" w:customStyle="1" w:styleId="53">
    <w:name w:val="18、第三章“(一)”三级标题 Char"/>
    <w:link w:val="44"/>
    <w:qFormat/>
    <w:uiPriority w:val="0"/>
    <w:rPr>
      <w:rFonts w:ascii="宋体" w:hAnsi="宋体" w:eastAsia="宋体"/>
      <w:b/>
      <w:sz w:val="28"/>
    </w:rPr>
  </w:style>
  <w:style w:type="character" w:customStyle="1" w:styleId="54">
    <w:name w:val="16、“(一)”三级标题 Char"/>
    <w:link w:val="49"/>
    <w:qFormat/>
    <w:uiPriority w:val="0"/>
    <w:rPr>
      <w:rFonts w:ascii="宋体" w:hAnsi="宋体" w:eastAsia="宋体"/>
      <w:b/>
    </w:rPr>
  </w:style>
  <w:style w:type="character" w:customStyle="1" w:styleId="55">
    <w:name w:val="02、首行缩进2字符正文 Char"/>
    <w:link w:val="46"/>
    <w:qFormat/>
    <w:uiPriority w:val="0"/>
    <w:rPr>
      <w:rFonts w:ascii="宋体" w:hAnsi="宋体" w:eastAsia="宋体"/>
    </w:rPr>
  </w:style>
  <w:style w:type="character" w:customStyle="1" w:styleId="56">
    <w:name w:val="01、普通正文 Char"/>
    <w:link w:val="42"/>
    <w:qFormat/>
    <w:uiPriority w:val="0"/>
    <w:rPr>
      <w:rFonts w:ascii="宋体" w:hAnsi="宋体" w:eastAsia="宋体"/>
      <w:snapToGrid w:val="0"/>
    </w:rPr>
  </w:style>
  <w:style w:type="character" w:customStyle="1" w:styleId="57">
    <w:name w:val="03、“注：”正文(加粗，首行缩进2字符) Char"/>
    <w:link w:val="47"/>
    <w:qFormat/>
    <w:uiPriority w:val="0"/>
    <w:rPr>
      <w:b/>
    </w:rPr>
  </w:style>
  <w:style w:type="character" w:customStyle="1" w:styleId="58">
    <w:name w:val="05、“(一)”正文三级标题 Char"/>
    <w:link w:val="32"/>
    <w:qFormat/>
    <w:uiPriority w:val="0"/>
    <w:rPr>
      <w:rFonts w:ascii="宋体" w:hAnsi="宋体" w:eastAsia="宋体"/>
    </w:rPr>
  </w:style>
  <w:style w:type="character" w:customStyle="1" w:styleId="59">
    <w:name w:val="04“一、”正文二级标题 Char"/>
    <w:link w:val="50"/>
    <w:qFormat/>
    <w:uiPriority w:val="0"/>
  </w:style>
  <w:style w:type="character" w:customStyle="1" w:styleId="60">
    <w:name w:val="06、“1.”正文四级标题 Char"/>
    <w:link w:val="35"/>
    <w:qFormat/>
    <w:uiPriority w:val="0"/>
    <w:rPr>
      <w:rFonts w:ascii="宋体" w:hAnsi="宋体" w:eastAsia="宋体"/>
      <w:snapToGrid w:val="0"/>
    </w:rPr>
  </w:style>
  <w:style w:type="character" w:customStyle="1" w:styleId="61">
    <w:name w:val="08、“(1)”正文六级标题 Char"/>
    <w:link w:val="37"/>
    <w:qFormat/>
    <w:uiPriority w:val="0"/>
    <w:rPr>
      <w:rFonts w:ascii="宋体" w:hAnsi="宋体" w:eastAsia="宋体"/>
      <w:snapToGrid w:val="0"/>
    </w:rPr>
  </w:style>
  <w:style w:type="character" w:customStyle="1" w:styleId="62">
    <w:name w:val="12、表格内左对齐正文 Char"/>
    <w:link w:val="41"/>
    <w:qFormat/>
    <w:uiPriority w:val="0"/>
    <w:rPr>
      <w:rFonts w:ascii="宋体" w:hAnsi="宋体" w:eastAsia="宋体"/>
      <w:snapToGrid w:val="0"/>
      <w:sz w:val="21"/>
    </w:rPr>
  </w:style>
  <w:style w:type="paragraph" w:customStyle="1" w:styleId="63">
    <w:name w:val="17“1.”四级标题"/>
    <w:basedOn w:val="46"/>
    <w:qFormat/>
    <w:uiPriority w:val="0"/>
    <w:pPr>
      <w:numPr>
        <w:ilvl w:val="3"/>
        <w:numId w:val="3"/>
      </w:numPr>
      <w:ind w:firstLine="803"/>
    </w:pPr>
  </w:style>
  <w:style w:type="paragraph" w:customStyle="1" w:styleId="64">
    <w:name w:val="18、“1.1”五级标题"/>
    <w:basedOn w:val="63"/>
    <w:qFormat/>
    <w:uiPriority w:val="0"/>
    <w:pPr>
      <w:numPr>
        <w:ilvl w:val="4"/>
      </w:numPr>
      <w:ind w:firstLine="803"/>
    </w:pPr>
  </w:style>
  <w:style w:type="paragraph" w:customStyle="1" w:styleId="65">
    <w:name w:val="19、“(1)”六级标题"/>
    <w:basedOn w:val="63"/>
    <w:qFormat/>
    <w:uiPriority w:val="0"/>
    <w:pPr>
      <w:numPr>
        <w:ilvl w:val="5"/>
      </w:numPr>
      <w:ind w:firstLine="803"/>
    </w:pPr>
  </w:style>
  <w:style w:type="paragraph" w:customStyle="1" w:styleId="66">
    <w:name w:val="样式 首行缩进:  2 字符"/>
    <w:basedOn w:val="1"/>
    <w:qFormat/>
    <w:uiPriority w:val="0"/>
    <w:pPr>
      <w:spacing w:line="400" w:lineRule="exact"/>
      <w:ind w:firstLine="200" w:firstLineChars="200"/>
    </w:pPr>
    <w:rPr>
      <w:rFonts w:cs="宋体"/>
    </w:rPr>
  </w:style>
  <w:style w:type="character" w:customStyle="1" w:styleId="67">
    <w:name w:val="redfilefwwh"/>
    <w:basedOn w:val="25"/>
    <w:qFormat/>
    <w:uiPriority w:val="0"/>
    <w:rPr>
      <w:color w:val="BA2636"/>
      <w:sz w:val="12"/>
      <w:szCs w:val="12"/>
    </w:rPr>
  </w:style>
  <w:style w:type="character" w:customStyle="1" w:styleId="68">
    <w:name w:val="qxdate"/>
    <w:basedOn w:val="25"/>
    <w:qFormat/>
    <w:uiPriority w:val="0"/>
    <w:rPr>
      <w:color w:val="333333"/>
      <w:sz w:val="12"/>
      <w:szCs w:val="12"/>
    </w:rPr>
  </w:style>
  <w:style w:type="character" w:customStyle="1" w:styleId="69">
    <w:name w:val="cfdate"/>
    <w:basedOn w:val="25"/>
    <w:qFormat/>
    <w:uiPriority w:val="0"/>
    <w:rPr>
      <w:color w:val="333333"/>
      <w:sz w:val="12"/>
      <w:szCs w:val="12"/>
    </w:rPr>
  </w:style>
  <w:style w:type="character" w:customStyle="1" w:styleId="70">
    <w:name w:val="gjfg"/>
    <w:basedOn w:val="25"/>
    <w:qFormat/>
    <w:uiPriority w:val="0"/>
  </w:style>
  <w:style w:type="character" w:customStyle="1" w:styleId="71">
    <w:name w:val="displayarti"/>
    <w:basedOn w:val="25"/>
    <w:qFormat/>
    <w:uiPriority w:val="0"/>
    <w:rPr>
      <w:color w:val="FFFFFF"/>
      <w:shd w:val="clear" w:color="auto" w:fill="A00000"/>
    </w:rPr>
  </w:style>
  <w:style w:type="character" w:customStyle="1" w:styleId="72">
    <w:name w:val="redfilenumber"/>
    <w:basedOn w:val="25"/>
    <w:qFormat/>
    <w:uiPriority w:val="0"/>
    <w:rPr>
      <w:color w:val="BA2636"/>
      <w:sz w:val="12"/>
      <w:szCs w:val="12"/>
    </w:rPr>
  </w:style>
  <w:style w:type="paragraph" w:customStyle="1" w:styleId="73">
    <w:name w:val="20、第五章“(一)”三级标题"/>
    <w:basedOn w:val="42"/>
    <w:qFormat/>
    <w:uiPriority w:val="0"/>
    <w:pPr>
      <w:pageBreakBefore/>
      <w:spacing w:before="50" w:beforeLines="50" w:after="50" w:afterLines="50"/>
      <w:jc w:val="center"/>
      <w:outlineLvl w:val="2"/>
    </w:pPr>
    <w:rPr>
      <w:b/>
      <w:sz w:val="28"/>
    </w:rPr>
  </w:style>
  <w:style w:type="character" w:customStyle="1" w:styleId="74">
    <w:name w:val="批注框文本 字符"/>
    <w:basedOn w:val="25"/>
    <w:link w:val="17"/>
    <w:qFormat/>
    <w:uiPriority w:val="0"/>
    <w:rPr>
      <w:rFonts w:ascii="Heiti SC Light" w:hAnsi="宋体" w:eastAsia="Heiti SC Light" w:cstheme="minorBidi"/>
      <w:kern w:val="2"/>
      <w:sz w:val="18"/>
      <w:szCs w:val="18"/>
    </w:rPr>
  </w:style>
  <w:style w:type="paragraph" w:customStyle="1" w:styleId="75">
    <w:name w:val="正文首行缩进两字符"/>
    <w:basedOn w:val="1"/>
    <w:qFormat/>
    <w:uiPriority w:val="0"/>
    <w:pPr>
      <w:widowControl w:val="0"/>
      <w:spacing w:line="360" w:lineRule="auto"/>
      <w:ind w:firstLine="200" w:firstLineChars="200"/>
      <w:jc w:val="both"/>
    </w:pPr>
    <w:rPr>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10564</Words>
  <Characters>60219</Characters>
  <Lines>501</Lines>
  <Paragraphs>141</Paragraphs>
  <TotalTime>0</TotalTime>
  <ScaleCrop>false</ScaleCrop>
  <LinksUpToDate>false</LinksUpToDate>
  <CharactersWithSpaces>70642</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xiaod</cp:lastModifiedBy>
  <cp:lastPrinted>2020-09-22T01:03:00Z</cp:lastPrinted>
  <dcterms:modified xsi:type="dcterms:W3CDTF">2021-04-27T08:57:20Z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7CAF35E10D094FD8969DBBA1CFB178D7</vt:lpwstr>
  </property>
</Properties>
</file>