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tabs>
          <w:tab w:val="left" w:pos="9639"/>
        </w:tabs>
        <w:jc w:val="center"/>
        <w:rPr>
          <w:rFonts w:hint="eastAsia" w:hAnsi="宋体" w:eastAsia="宋体" w:cs="宋体"/>
          <w:b/>
          <w:bCs/>
          <w:sz w:val="48"/>
          <w:szCs w:val="48"/>
          <w:lang w:eastAsia="zh-CN"/>
        </w:rPr>
        <w:sectPr>
          <w:pgSz w:w="11906" w:h="16838"/>
          <w:pgMar w:top="1134" w:right="1417" w:bottom="1134" w:left="1417" w:header="851" w:footer="850" w:gutter="0"/>
          <w:pgNumType w:fmt="decimal"/>
          <w:cols w:space="720" w:num="1"/>
          <w:rtlGutter w:val="0"/>
          <w:docGrid w:linePitch="1" w:charSpace="0"/>
        </w:sectPr>
      </w:pPr>
      <w:r>
        <w:rPr>
          <w:rFonts w:hint="eastAsia" w:hAnsi="宋体" w:eastAsia="宋体" w:cs="宋体"/>
          <w:b/>
          <w:bCs/>
          <w:sz w:val="48"/>
          <w:szCs w:val="48"/>
          <w:lang w:eastAsia="zh-CN"/>
        </w:rPr>
        <w:drawing>
          <wp:inline distT="0" distB="0" distL="114300" distR="114300">
            <wp:extent cx="5731510" cy="8311515"/>
            <wp:effectExtent l="0" t="0" r="2540" b="13335"/>
            <wp:docPr id="26" name="图片 26" descr="C:/Users/Administrator/AppData/Local/Temp/picturecompress_2021102610550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Local/Temp/picturecompress_20211026105503/output_1.jpgoutput_1"/>
                    <pic:cNvPicPr>
                      <a:picLocks noChangeAspect="1"/>
                    </pic:cNvPicPr>
                  </pic:nvPicPr>
                  <pic:blipFill>
                    <a:blip r:embed="rId10"/>
                    <a:stretch>
                      <a:fillRect/>
                    </a:stretch>
                  </pic:blipFill>
                  <pic:spPr>
                    <a:xfrm>
                      <a:off x="0" y="0"/>
                      <a:ext cx="5731510" cy="8311515"/>
                    </a:xfrm>
                    <a:prstGeom prst="rect">
                      <a:avLst/>
                    </a:prstGeom>
                  </pic:spPr>
                </pic:pic>
              </a:graphicData>
            </a:graphic>
          </wp:inline>
        </w:drawing>
      </w:r>
    </w:p>
    <w:p>
      <w:pPr>
        <w:rPr>
          <w:rFonts w:hint="eastAsia"/>
          <w:lang w:eastAsia="zh-CN"/>
        </w:rPr>
      </w:pPr>
    </w:p>
    <w:p>
      <w:pPr>
        <w:pStyle w:val="11"/>
        <w:tabs>
          <w:tab w:val="left" w:pos="9639"/>
        </w:tabs>
        <w:rPr>
          <w:rFonts w:hint="eastAsia"/>
          <w:b/>
          <w:sz w:val="48"/>
          <w:szCs w:val="48"/>
        </w:rPr>
      </w:pPr>
      <w:r>
        <w:rPr>
          <w:rFonts w:hint="eastAsia"/>
          <w:b/>
          <w:sz w:val="48"/>
          <w:szCs w:val="48"/>
        </w:rPr>
        <w:t>德源桤木河城市段城市更新设计采购项目</w:t>
      </w:r>
    </w:p>
    <w:p>
      <w:pPr>
        <w:tabs>
          <w:tab w:val="left" w:pos="9639"/>
        </w:tabs>
        <w:jc w:val="center"/>
        <w:rPr>
          <w:rFonts w:hint="eastAsia"/>
          <w:b/>
          <w:sz w:val="70"/>
          <w:szCs w:val="70"/>
        </w:rPr>
      </w:pPr>
    </w:p>
    <w:p>
      <w:pPr>
        <w:pStyle w:val="8"/>
        <w:rPr>
          <w:rFonts w:hint="eastAsia"/>
          <w:b/>
          <w:sz w:val="70"/>
          <w:szCs w:val="70"/>
        </w:rPr>
      </w:pPr>
    </w:p>
    <w:p>
      <w:pPr>
        <w:rPr>
          <w:rFonts w:hint="eastAsia"/>
          <w:b/>
          <w:sz w:val="70"/>
          <w:szCs w:val="70"/>
        </w:rPr>
      </w:pPr>
    </w:p>
    <w:p>
      <w:pPr>
        <w:pStyle w:val="8"/>
        <w:rPr>
          <w:rFonts w:hint="eastAsia"/>
          <w:b/>
          <w:sz w:val="70"/>
          <w:szCs w:val="70"/>
        </w:rPr>
      </w:pPr>
    </w:p>
    <w:p>
      <w:pPr>
        <w:rPr>
          <w:rFonts w:hint="eastAsia"/>
        </w:rPr>
      </w:pPr>
    </w:p>
    <w:p>
      <w:pPr>
        <w:tabs>
          <w:tab w:val="left" w:pos="9639"/>
        </w:tabs>
        <w:jc w:val="center"/>
        <w:rPr>
          <w:rFonts w:hint="eastAsia"/>
          <w:b/>
          <w:sz w:val="70"/>
          <w:szCs w:val="70"/>
        </w:rPr>
      </w:pPr>
      <w:r>
        <w:rPr>
          <w:rFonts w:hint="eastAsia"/>
          <w:b/>
          <w:sz w:val="70"/>
          <w:szCs w:val="70"/>
        </w:rPr>
        <w:t>竞争性磋商文件</w:t>
      </w:r>
    </w:p>
    <w:p>
      <w:pPr>
        <w:pStyle w:val="11"/>
        <w:rPr>
          <w:rFonts w:hint="eastAsia"/>
        </w:rPr>
      </w:pPr>
    </w:p>
    <w:p>
      <w:pPr>
        <w:tabs>
          <w:tab w:val="left" w:pos="9639"/>
        </w:tabs>
        <w:jc w:val="center"/>
        <w:rPr>
          <w:rFonts w:hint="eastAsia"/>
          <w:b/>
          <w:sz w:val="52"/>
          <w:szCs w:val="52"/>
        </w:rPr>
      </w:pPr>
    </w:p>
    <w:p>
      <w:pPr>
        <w:pStyle w:val="8"/>
        <w:rPr>
          <w:rFonts w:hint="eastAsia"/>
          <w:b/>
          <w:sz w:val="52"/>
          <w:szCs w:val="52"/>
        </w:rPr>
      </w:pPr>
    </w:p>
    <w:p>
      <w:pPr>
        <w:rPr>
          <w:rFonts w:hint="eastAsia"/>
          <w:b/>
          <w:sz w:val="52"/>
          <w:szCs w:val="52"/>
        </w:rPr>
      </w:pPr>
    </w:p>
    <w:p>
      <w:pPr>
        <w:pStyle w:val="8"/>
        <w:rPr>
          <w:rFonts w:hint="eastAsia"/>
        </w:rPr>
      </w:pPr>
    </w:p>
    <w:p>
      <w:pPr>
        <w:pStyle w:val="11"/>
        <w:tabs>
          <w:tab w:val="left" w:pos="9639"/>
        </w:tabs>
        <w:rPr>
          <w:rFonts w:hint="eastAsia"/>
        </w:rPr>
      </w:pPr>
    </w:p>
    <w:p>
      <w:pPr>
        <w:tabs>
          <w:tab w:val="left" w:pos="9639"/>
        </w:tabs>
        <w:spacing w:line="360" w:lineRule="auto"/>
        <w:ind w:firstLine="602" w:firstLineChars="200"/>
        <w:rPr>
          <w:rFonts w:hint="eastAsia"/>
          <w:b/>
          <w:sz w:val="30"/>
          <w:szCs w:val="30"/>
        </w:rPr>
      </w:pPr>
      <w:r>
        <w:rPr>
          <w:rFonts w:hint="eastAsia"/>
          <w:b/>
          <w:sz w:val="30"/>
          <w:szCs w:val="30"/>
        </w:rPr>
        <w:t>项目编号：</w:t>
      </w:r>
      <w:r>
        <w:rPr>
          <w:rFonts w:hint="eastAsia" w:ascii="宋体"/>
          <w:b/>
          <w:sz w:val="30"/>
          <w:szCs w:val="30"/>
          <w:lang w:eastAsia="zh-CN"/>
        </w:rPr>
        <w:t>以四川政府采购网公告自动生成编号为准</w:t>
      </w:r>
      <w:r>
        <w:rPr>
          <w:rFonts w:hint="eastAsia"/>
          <w:b/>
          <w:sz w:val="30"/>
          <w:szCs w:val="30"/>
        </w:rPr>
        <w:t xml:space="preserve"> </w:t>
      </w:r>
    </w:p>
    <w:p>
      <w:pPr>
        <w:pStyle w:val="11"/>
        <w:rPr>
          <w:rFonts w:hint="eastAsia"/>
        </w:rPr>
      </w:pPr>
    </w:p>
    <w:p>
      <w:pPr>
        <w:tabs>
          <w:tab w:val="left" w:pos="9639"/>
        </w:tabs>
        <w:spacing w:line="360" w:lineRule="auto"/>
        <w:ind w:firstLine="602" w:firstLineChars="200"/>
        <w:rPr>
          <w:rFonts w:hint="eastAsia" w:eastAsia="宋体"/>
          <w:b/>
          <w:sz w:val="30"/>
          <w:szCs w:val="30"/>
          <w:lang w:eastAsia="zh-CN"/>
        </w:rPr>
      </w:pPr>
      <w:r>
        <w:rPr>
          <w:rFonts w:hint="eastAsia"/>
          <w:b/>
          <w:sz w:val="30"/>
          <w:szCs w:val="30"/>
        </w:rPr>
        <w:t>采</w:t>
      </w:r>
      <w:r>
        <w:rPr>
          <w:rFonts w:hint="eastAsia"/>
          <w:b/>
          <w:sz w:val="30"/>
          <w:szCs w:val="30"/>
          <w:lang w:val="en-US" w:eastAsia="zh-CN"/>
        </w:rPr>
        <w:t xml:space="preserve">   </w:t>
      </w:r>
      <w:r>
        <w:rPr>
          <w:rFonts w:hint="eastAsia"/>
          <w:b/>
          <w:sz w:val="30"/>
          <w:szCs w:val="30"/>
        </w:rPr>
        <w:t>购</w:t>
      </w:r>
      <w:r>
        <w:rPr>
          <w:rFonts w:hint="eastAsia"/>
          <w:b/>
          <w:sz w:val="30"/>
          <w:szCs w:val="30"/>
          <w:lang w:val="en-US" w:eastAsia="zh-CN"/>
        </w:rPr>
        <w:t xml:space="preserve">   </w:t>
      </w:r>
      <w:r>
        <w:rPr>
          <w:rFonts w:hint="eastAsia"/>
          <w:b/>
          <w:sz w:val="30"/>
          <w:szCs w:val="30"/>
        </w:rPr>
        <w:t>人： 成都市郫都区</w:t>
      </w:r>
      <w:r>
        <w:rPr>
          <w:rFonts w:hint="eastAsia"/>
          <w:b/>
          <w:sz w:val="30"/>
          <w:szCs w:val="30"/>
          <w:lang w:eastAsia="zh-CN"/>
        </w:rPr>
        <w:t>人民政府</w:t>
      </w:r>
      <w:r>
        <w:rPr>
          <w:rFonts w:hint="eastAsia"/>
          <w:b/>
          <w:sz w:val="30"/>
          <w:szCs w:val="30"/>
        </w:rPr>
        <w:t>德源街道办事处</w:t>
      </w:r>
      <w:r>
        <w:rPr>
          <w:rFonts w:hint="eastAsia"/>
          <w:b/>
          <w:sz w:val="30"/>
          <w:szCs w:val="30"/>
          <w:lang w:eastAsia="zh-CN"/>
        </w:rPr>
        <w:t>（盖章）</w:t>
      </w:r>
    </w:p>
    <w:p>
      <w:pPr>
        <w:tabs>
          <w:tab w:val="left" w:pos="9639"/>
        </w:tabs>
        <w:spacing w:line="360" w:lineRule="auto"/>
        <w:ind w:firstLine="6626" w:firstLineChars="2200"/>
        <w:jc w:val="left"/>
        <w:rPr>
          <w:rFonts w:hint="eastAsia"/>
        </w:rPr>
      </w:pPr>
      <w:r>
        <w:rPr>
          <w:rFonts w:hint="eastAsia"/>
          <w:b/>
          <w:bCs/>
          <w:sz w:val="30"/>
          <w:szCs w:val="30"/>
        </w:rPr>
        <w:t>共同编制</w:t>
      </w:r>
    </w:p>
    <w:p>
      <w:pPr>
        <w:tabs>
          <w:tab w:val="left" w:pos="9639"/>
        </w:tabs>
        <w:spacing w:line="360" w:lineRule="auto"/>
        <w:ind w:firstLine="602" w:firstLineChars="200"/>
        <w:rPr>
          <w:rFonts w:hint="eastAsia" w:eastAsia="宋体"/>
          <w:b/>
          <w:sz w:val="30"/>
          <w:szCs w:val="30"/>
          <w:lang w:eastAsia="zh-CN"/>
        </w:rPr>
      </w:pPr>
      <w:r>
        <w:rPr>
          <w:rFonts w:hint="eastAsia"/>
          <w:b/>
          <w:sz w:val="30"/>
          <w:szCs w:val="30"/>
        </w:rPr>
        <w:t>采购代理机构：四川坤阳工程管理咨询有限公司</w:t>
      </w:r>
      <w:r>
        <w:rPr>
          <w:rFonts w:hint="eastAsia"/>
          <w:b/>
          <w:sz w:val="30"/>
          <w:szCs w:val="30"/>
          <w:lang w:eastAsia="zh-CN"/>
        </w:rPr>
        <w:t>（盖章）</w:t>
      </w:r>
    </w:p>
    <w:p>
      <w:pPr>
        <w:pStyle w:val="11"/>
        <w:tabs>
          <w:tab w:val="left" w:pos="9639"/>
        </w:tabs>
      </w:pPr>
    </w:p>
    <w:p>
      <w:pPr>
        <w:tabs>
          <w:tab w:val="left" w:pos="9639"/>
        </w:tabs>
        <w:spacing w:line="360" w:lineRule="auto"/>
        <w:jc w:val="center"/>
        <w:rPr>
          <w:b/>
          <w:bCs/>
          <w:sz w:val="32"/>
          <w:szCs w:val="32"/>
          <w:lang w:val="zh-CN"/>
        </w:rPr>
      </w:pPr>
      <w:r>
        <w:rPr>
          <w:rFonts w:hint="eastAsia"/>
          <w:b/>
          <w:sz w:val="30"/>
          <w:szCs w:val="30"/>
        </w:rPr>
        <w:t>2021</w:t>
      </w:r>
      <w:r>
        <w:rPr>
          <w:b/>
          <w:bCs/>
          <w:sz w:val="32"/>
          <w:szCs w:val="32"/>
          <w:lang w:val="zh-CN"/>
        </w:rPr>
        <w:t>年</w:t>
      </w:r>
      <w:r>
        <w:rPr>
          <w:rFonts w:hint="eastAsia"/>
          <w:b/>
          <w:bCs/>
          <w:sz w:val="32"/>
          <w:szCs w:val="32"/>
          <w:lang w:val="en-US" w:eastAsia="zh-CN"/>
        </w:rPr>
        <w:t>10</w:t>
      </w:r>
      <w:r>
        <w:rPr>
          <w:b/>
          <w:bCs/>
          <w:sz w:val="32"/>
          <w:szCs w:val="32"/>
          <w:lang w:val="zh-CN"/>
        </w:rPr>
        <w:t>月</w:t>
      </w:r>
    </w:p>
    <w:p>
      <w:pPr>
        <w:pStyle w:val="83"/>
        <w:bidi w:val="0"/>
        <w:rPr>
          <w:lang w:val="zh-CN"/>
        </w:rPr>
      </w:pPr>
      <w:bookmarkStart w:id="0" w:name="_Hlt101233737"/>
      <w:bookmarkEnd w:id="0"/>
      <w:bookmarkStart w:id="1" w:name="_Hlt101843627"/>
      <w:bookmarkEnd w:id="1"/>
    </w:p>
    <w:p>
      <w:pPr>
        <w:pStyle w:val="83"/>
        <w:bidi w:val="0"/>
        <w:rPr>
          <w:lang w:val="zh-CN"/>
        </w:rPr>
      </w:pPr>
    </w:p>
    <w:p>
      <w:pPr>
        <w:pStyle w:val="83"/>
        <w:bidi w:val="0"/>
        <w:rPr>
          <w:lang w:val="zh-CN"/>
        </w:rPr>
      </w:pPr>
    </w:p>
    <w:p>
      <w:pPr>
        <w:pStyle w:val="83"/>
        <w:bidi w:val="0"/>
        <w:jc w:val="center"/>
      </w:pPr>
      <w:r>
        <w:rPr>
          <w:b/>
          <w:bCs/>
          <w:sz w:val="32"/>
          <w:szCs w:val="32"/>
          <w:lang w:val="zh-CN"/>
        </w:rPr>
        <w:t>目录</w:t>
      </w:r>
    </w:p>
    <w:p>
      <w:pPr>
        <w:pStyle w:val="22"/>
        <w:tabs>
          <w:tab w:val="right" w:leader="dot" w:pos="8931"/>
        </w:tabs>
        <w:rPr>
          <w:rFonts w:hint="eastAsia" w:ascii="新宋体" w:hAnsi="新宋体" w:eastAsia="新宋体" w:cs="新宋体"/>
          <w:sz w:val="26"/>
          <w:szCs w:val="26"/>
        </w:rPr>
      </w:pPr>
      <w:r>
        <w:rPr>
          <w:rFonts w:hint="eastAsia" w:ascii="新宋体" w:hAnsi="新宋体" w:eastAsia="新宋体" w:cs="新宋体"/>
          <w:sz w:val="26"/>
          <w:szCs w:val="26"/>
        </w:rPr>
        <w:fldChar w:fldCharType="begin"/>
      </w:r>
      <w:r>
        <w:rPr>
          <w:rFonts w:hint="eastAsia" w:ascii="新宋体" w:hAnsi="新宋体" w:eastAsia="新宋体" w:cs="新宋体"/>
          <w:sz w:val="26"/>
          <w:szCs w:val="26"/>
        </w:rPr>
        <w:instrText xml:space="preserve"> TOC \o "1-1" \h \z \u </w:instrText>
      </w:r>
      <w:r>
        <w:rPr>
          <w:rFonts w:hint="eastAsia" w:ascii="新宋体" w:hAnsi="新宋体" w:eastAsia="新宋体" w:cs="新宋体"/>
          <w:sz w:val="26"/>
          <w:szCs w:val="26"/>
        </w:rPr>
        <w:fldChar w:fldCharType="separate"/>
      </w:r>
      <w:r>
        <w:rPr>
          <w:rFonts w:hint="eastAsia" w:ascii="新宋体" w:hAnsi="新宋体" w:eastAsia="新宋体" w:cs="新宋体"/>
          <w:sz w:val="26"/>
          <w:szCs w:val="26"/>
        </w:rPr>
        <w:fldChar w:fldCharType="begin"/>
      </w:r>
      <w:r>
        <w:rPr>
          <w:rStyle w:val="41"/>
          <w:rFonts w:hint="eastAsia" w:ascii="新宋体" w:hAnsi="新宋体" w:eastAsia="新宋体" w:cs="新宋体"/>
          <w:color w:val="auto"/>
          <w:sz w:val="26"/>
          <w:szCs w:val="26"/>
        </w:rPr>
        <w:instrText xml:space="preserve"> </w:instrText>
      </w:r>
      <w:r>
        <w:rPr>
          <w:rFonts w:hint="eastAsia" w:ascii="新宋体" w:hAnsi="新宋体" w:eastAsia="新宋体" w:cs="新宋体"/>
          <w:sz w:val="26"/>
          <w:szCs w:val="26"/>
        </w:rPr>
        <w:instrText xml:space="preserve">HYPERLINK \l "_Toc511386820"</w:instrText>
      </w:r>
      <w:r>
        <w:rPr>
          <w:rStyle w:val="41"/>
          <w:rFonts w:hint="eastAsia" w:ascii="新宋体" w:hAnsi="新宋体" w:eastAsia="新宋体" w:cs="新宋体"/>
          <w:color w:val="auto"/>
          <w:sz w:val="26"/>
          <w:szCs w:val="26"/>
        </w:rPr>
        <w:instrText xml:space="preserve"> </w:instrText>
      </w:r>
      <w:r>
        <w:rPr>
          <w:rFonts w:hint="eastAsia" w:ascii="新宋体" w:hAnsi="新宋体" w:eastAsia="新宋体" w:cs="新宋体"/>
          <w:sz w:val="26"/>
          <w:szCs w:val="26"/>
        </w:rPr>
        <w:fldChar w:fldCharType="separate"/>
      </w:r>
      <w:r>
        <w:rPr>
          <w:rStyle w:val="41"/>
          <w:rFonts w:hint="eastAsia" w:ascii="新宋体" w:hAnsi="新宋体" w:eastAsia="新宋体" w:cs="新宋体"/>
          <w:color w:val="auto"/>
          <w:sz w:val="26"/>
          <w:szCs w:val="26"/>
        </w:rPr>
        <w:t>第一章  磋商邀请</w:t>
      </w:r>
      <w:r>
        <w:rPr>
          <w:rFonts w:hint="eastAsia" w:ascii="新宋体" w:hAnsi="新宋体" w:eastAsia="新宋体" w:cs="新宋体"/>
          <w:sz w:val="26"/>
          <w:szCs w:val="26"/>
        </w:rPr>
        <w:tab/>
      </w:r>
      <w:r>
        <w:rPr>
          <w:rFonts w:hint="eastAsia" w:ascii="新宋体" w:hAnsi="新宋体" w:eastAsia="新宋体" w:cs="新宋体"/>
          <w:sz w:val="26"/>
          <w:szCs w:val="26"/>
        </w:rPr>
        <w:fldChar w:fldCharType="begin"/>
      </w:r>
      <w:r>
        <w:rPr>
          <w:rFonts w:hint="eastAsia" w:ascii="新宋体" w:hAnsi="新宋体" w:eastAsia="新宋体" w:cs="新宋体"/>
          <w:sz w:val="26"/>
          <w:szCs w:val="26"/>
        </w:rPr>
        <w:instrText xml:space="preserve"> PAGEREF _Toc511386820 \h </w:instrText>
      </w:r>
      <w:r>
        <w:rPr>
          <w:rFonts w:hint="eastAsia" w:ascii="新宋体" w:hAnsi="新宋体" w:eastAsia="新宋体" w:cs="新宋体"/>
          <w:sz w:val="26"/>
          <w:szCs w:val="26"/>
        </w:rPr>
        <w:fldChar w:fldCharType="separate"/>
      </w:r>
      <w:r>
        <w:rPr>
          <w:rFonts w:hint="eastAsia" w:ascii="新宋体" w:hAnsi="新宋体" w:eastAsia="新宋体" w:cs="新宋体"/>
          <w:sz w:val="26"/>
          <w:szCs w:val="26"/>
        </w:rPr>
        <w:t>3</w:t>
      </w:r>
      <w:r>
        <w:rPr>
          <w:rFonts w:hint="eastAsia" w:ascii="新宋体" w:hAnsi="新宋体" w:eastAsia="新宋体" w:cs="新宋体"/>
          <w:sz w:val="26"/>
          <w:szCs w:val="26"/>
        </w:rPr>
        <w:fldChar w:fldCharType="end"/>
      </w:r>
      <w:r>
        <w:rPr>
          <w:rFonts w:hint="eastAsia" w:ascii="新宋体" w:hAnsi="新宋体" w:eastAsia="新宋体" w:cs="新宋体"/>
          <w:sz w:val="26"/>
          <w:szCs w:val="26"/>
        </w:rPr>
        <w:fldChar w:fldCharType="end"/>
      </w:r>
    </w:p>
    <w:p>
      <w:pPr>
        <w:pStyle w:val="22"/>
        <w:tabs>
          <w:tab w:val="right" w:leader="dot" w:pos="8931"/>
        </w:tabs>
        <w:rPr>
          <w:rFonts w:hint="eastAsia" w:ascii="新宋体" w:hAnsi="新宋体" w:eastAsia="新宋体" w:cs="新宋体"/>
          <w:sz w:val="26"/>
          <w:szCs w:val="26"/>
        </w:rPr>
      </w:pPr>
      <w:r>
        <w:rPr>
          <w:rFonts w:hint="eastAsia" w:ascii="新宋体" w:hAnsi="新宋体" w:eastAsia="新宋体" w:cs="新宋体"/>
          <w:sz w:val="26"/>
          <w:szCs w:val="26"/>
        </w:rPr>
        <w:fldChar w:fldCharType="begin"/>
      </w:r>
      <w:r>
        <w:rPr>
          <w:rStyle w:val="41"/>
          <w:rFonts w:hint="eastAsia" w:ascii="新宋体" w:hAnsi="新宋体" w:eastAsia="新宋体" w:cs="新宋体"/>
          <w:color w:val="auto"/>
          <w:sz w:val="26"/>
          <w:szCs w:val="26"/>
        </w:rPr>
        <w:instrText xml:space="preserve"> </w:instrText>
      </w:r>
      <w:r>
        <w:rPr>
          <w:rFonts w:hint="eastAsia" w:ascii="新宋体" w:hAnsi="新宋体" w:eastAsia="新宋体" w:cs="新宋体"/>
          <w:sz w:val="26"/>
          <w:szCs w:val="26"/>
        </w:rPr>
        <w:instrText xml:space="preserve">HYPERLINK \l "_Toc511386821"</w:instrText>
      </w:r>
      <w:r>
        <w:rPr>
          <w:rStyle w:val="41"/>
          <w:rFonts w:hint="eastAsia" w:ascii="新宋体" w:hAnsi="新宋体" w:eastAsia="新宋体" w:cs="新宋体"/>
          <w:color w:val="auto"/>
          <w:sz w:val="26"/>
          <w:szCs w:val="26"/>
        </w:rPr>
        <w:instrText xml:space="preserve"> </w:instrText>
      </w:r>
      <w:r>
        <w:rPr>
          <w:rFonts w:hint="eastAsia" w:ascii="新宋体" w:hAnsi="新宋体" w:eastAsia="新宋体" w:cs="新宋体"/>
          <w:sz w:val="26"/>
          <w:szCs w:val="26"/>
        </w:rPr>
        <w:fldChar w:fldCharType="separate"/>
      </w:r>
      <w:r>
        <w:rPr>
          <w:rStyle w:val="41"/>
          <w:rFonts w:hint="eastAsia" w:ascii="新宋体" w:hAnsi="新宋体" w:eastAsia="新宋体" w:cs="新宋体"/>
          <w:color w:val="auto"/>
          <w:sz w:val="26"/>
          <w:szCs w:val="26"/>
        </w:rPr>
        <w:t>第二章  磋商须知</w:t>
      </w:r>
      <w:r>
        <w:rPr>
          <w:rFonts w:hint="eastAsia" w:ascii="新宋体" w:hAnsi="新宋体" w:eastAsia="新宋体" w:cs="新宋体"/>
          <w:sz w:val="26"/>
          <w:szCs w:val="26"/>
        </w:rPr>
        <w:tab/>
      </w:r>
      <w:r>
        <w:rPr>
          <w:rFonts w:hint="eastAsia" w:ascii="新宋体" w:hAnsi="新宋体" w:eastAsia="新宋体" w:cs="新宋体"/>
          <w:sz w:val="26"/>
          <w:szCs w:val="26"/>
        </w:rPr>
        <w:fldChar w:fldCharType="begin"/>
      </w:r>
      <w:r>
        <w:rPr>
          <w:rFonts w:hint="eastAsia" w:ascii="新宋体" w:hAnsi="新宋体" w:eastAsia="新宋体" w:cs="新宋体"/>
          <w:sz w:val="26"/>
          <w:szCs w:val="26"/>
        </w:rPr>
        <w:instrText xml:space="preserve"> PAGEREF _Toc511386821 \h </w:instrText>
      </w:r>
      <w:r>
        <w:rPr>
          <w:rFonts w:hint="eastAsia" w:ascii="新宋体" w:hAnsi="新宋体" w:eastAsia="新宋体" w:cs="新宋体"/>
          <w:sz w:val="26"/>
          <w:szCs w:val="26"/>
        </w:rPr>
        <w:fldChar w:fldCharType="separate"/>
      </w:r>
      <w:r>
        <w:rPr>
          <w:rFonts w:hint="eastAsia" w:ascii="新宋体" w:hAnsi="新宋体" w:eastAsia="新宋体" w:cs="新宋体"/>
          <w:sz w:val="26"/>
          <w:szCs w:val="26"/>
        </w:rPr>
        <w:t>6</w:t>
      </w:r>
      <w:r>
        <w:rPr>
          <w:rFonts w:hint="eastAsia" w:ascii="新宋体" w:hAnsi="新宋体" w:eastAsia="新宋体" w:cs="新宋体"/>
          <w:sz w:val="26"/>
          <w:szCs w:val="26"/>
        </w:rPr>
        <w:fldChar w:fldCharType="end"/>
      </w:r>
      <w:r>
        <w:rPr>
          <w:rFonts w:hint="eastAsia" w:ascii="新宋体" w:hAnsi="新宋体" w:eastAsia="新宋体" w:cs="新宋体"/>
          <w:sz w:val="26"/>
          <w:szCs w:val="26"/>
        </w:rPr>
        <w:fldChar w:fldCharType="end"/>
      </w:r>
    </w:p>
    <w:p>
      <w:pPr>
        <w:pStyle w:val="22"/>
        <w:tabs>
          <w:tab w:val="right" w:leader="dot" w:pos="8931"/>
        </w:tabs>
        <w:rPr>
          <w:rFonts w:hint="eastAsia" w:ascii="新宋体" w:hAnsi="新宋体" w:eastAsia="新宋体" w:cs="新宋体"/>
          <w:sz w:val="26"/>
          <w:szCs w:val="26"/>
        </w:rPr>
      </w:pPr>
      <w:r>
        <w:rPr>
          <w:rFonts w:hint="eastAsia" w:ascii="新宋体" w:hAnsi="新宋体" w:eastAsia="新宋体" w:cs="新宋体"/>
          <w:sz w:val="26"/>
          <w:szCs w:val="26"/>
        </w:rPr>
        <w:fldChar w:fldCharType="begin"/>
      </w:r>
      <w:r>
        <w:rPr>
          <w:rStyle w:val="41"/>
          <w:rFonts w:hint="eastAsia" w:ascii="新宋体" w:hAnsi="新宋体" w:eastAsia="新宋体" w:cs="新宋体"/>
          <w:color w:val="auto"/>
          <w:sz w:val="26"/>
          <w:szCs w:val="26"/>
        </w:rPr>
        <w:instrText xml:space="preserve"> </w:instrText>
      </w:r>
      <w:r>
        <w:rPr>
          <w:rFonts w:hint="eastAsia" w:ascii="新宋体" w:hAnsi="新宋体" w:eastAsia="新宋体" w:cs="新宋体"/>
          <w:sz w:val="26"/>
          <w:szCs w:val="26"/>
        </w:rPr>
        <w:instrText xml:space="preserve">HYPERLINK \l "_Toc511386822"</w:instrText>
      </w:r>
      <w:r>
        <w:rPr>
          <w:rStyle w:val="41"/>
          <w:rFonts w:hint="eastAsia" w:ascii="新宋体" w:hAnsi="新宋体" w:eastAsia="新宋体" w:cs="新宋体"/>
          <w:color w:val="auto"/>
          <w:sz w:val="26"/>
          <w:szCs w:val="26"/>
        </w:rPr>
        <w:instrText xml:space="preserve"> </w:instrText>
      </w:r>
      <w:r>
        <w:rPr>
          <w:rFonts w:hint="eastAsia" w:ascii="新宋体" w:hAnsi="新宋体" w:eastAsia="新宋体" w:cs="新宋体"/>
          <w:sz w:val="26"/>
          <w:szCs w:val="26"/>
        </w:rPr>
        <w:fldChar w:fldCharType="separate"/>
      </w:r>
      <w:r>
        <w:rPr>
          <w:rStyle w:val="41"/>
          <w:rFonts w:hint="eastAsia" w:ascii="新宋体" w:hAnsi="新宋体" w:eastAsia="新宋体" w:cs="新宋体"/>
          <w:color w:val="auto"/>
          <w:sz w:val="26"/>
          <w:szCs w:val="26"/>
        </w:rPr>
        <w:t>第三章  供应商资格条件要求</w:t>
      </w:r>
      <w:r>
        <w:rPr>
          <w:rFonts w:hint="eastAsia" w:ascii="新宋体" w:hAnsi="新宋体" w:eastAsia="新宋体" w:cs="新宋体"/>
          <w:sz w:val="26"/>
          <w:szCs w:val="26"/>
        </w:rPr>
        <w:tab/>
      </w:r>
      <w:r>
        <w:rPr>
          <w:rFonts w:hint="eastAsia" w:ascii="新宋体" w:hAnsi="新宋体" w:eastAsia="新宋体" w:cs="新宋体"/>
          <w:sz w:val="26"/>
          <w:szCs w:val="26"/>
        </w:rPr>
        <w:fldChar w:fldCharType="begin"/>
      </w:r>
      <w:r>
        <w:rPr>
          <w:rFonts w:hint="eastAsia" w:ascii="新宋体" w:hAnsi="新宋体" w:eastAsia="新宋体" w:cs="新宋体"/>
          <w:sz w:val="26"/>
          <w:szCs w:val="26"/>
        </w:rPr>
        <w:instrText xml:space="preserve"> PAGEREF _Toc511386822 \h </w:instrText>
      </w:r>
      <w:r>
        <w:rPr>
          <w:rFonts w:hint="eastAsia" w:ascii="新宋体" w:hAnsi="新宋体" w:eastAsia="新宋体" w:cs="新宋体"/>
          <w:sz w:val="26"/>
          <w:szCs w:val="26"/>
        </w:rPr>
        <w:fldChar w:fldCharType="separate"/>
      </w:r>
      <w:r>
        <w:rPr>
          <w:rFonts w:hint="eastAsia" w:ascii="新宋体" w:hAnsi="新宋体" w:eastAsia="新宋体" w:cs="新宋体"/>
          <w:sz w:val="26"/>
          <w:szCs w:val="26"/>
        </w:rPr>
        <w:t>17</w:t>
      </w:r>
      <w:r>
        <w:rPr>
          <w:rFonts w:hint="eastAsia" w:ascii="新宋体" w:hAnsi="新宋体" w:eastAsia="新宋体" w:cs="新宋体"/>
          <w:sz w:val="26"/>
          <w:szCs w:val="26"/>
        </w:rPr>
        <w:fldChar w:fldCharType="end"/>
      </w:r>
      <w:r>
        <w:rPr>
          <w:rFonts w:hint="eastAsia" w:ascii="新宋体" w:hAnsi="新宋体" w:eastAsia="新宋体" w:cs="新宋体"/>
          <w:sz w:val="26"/>
          <w:szCs w:val="26"/>
        </w:rPr>
        <w:fldChar w:fldCharType="end"/>
      </w:r>
    </w:p>
    <w:p>
      <w:pPr>
        <w:pStyle w:val="22"/>
        <w:tabs>
          <w:tab w:val="right" w:leader="dot" w:pos="8931"/>
        </w:tabs>
        <w:rPr>
          <w:rFonts w:hint="eastAsia" w:ascii="新宋体" w:hAnsi="新宋体" w:eastAsia="新宋体" w:cs="新宋体"/>
          <w:sz w:val="26"/>
          <w:szCs w:val="26"/>
        </w:rPr>
      </w:pPr>
      <w:r>
        <w:rPr>
          <w:rFonts w:hint="eastAsia" w:ascii="新宋体" w:hAnsi="新宋体" w:eastAsia="新宋体" w:cs="新宋体"/>
          <w:sz w:val="26"/>
          <w:szCs w:val="26"/>
        </w:rPr>
        <w:fldChar w:fldCharType="begin"/>
      </w:r>
      <w:r>
        <w:rPr>
          <w:rStyle w:val="41"/>
          <w:rFonts w:hint="eastAsia" w:ascii="新宋体" w:hAnsi="新宋体" w:eastAsia="新宋体" w:cs="新宋体"/>
          <w:color w:val="auto"/>
          <w:sz w:val="26"/>
          <w:szCs w:val="26"/>
        </w:rPr>
        <w:instrText xml:space="preserve"> </w:instrText>
      </w:r>
      <w:r>
        <w:rPr>
          <w:rFonts w:hint="eastAsia" w:ascii="新宋体" w:hAnsi="新宋体" w:eastAsia="新宋体" w:cs="新宋体"/>
          <w:sz w:val="26"/>
          <w:szCs w:val="26"/>
        </w:rPr>
        <w:instrText xml:space="preserve">HYPERLINK \l "_Toc511386823"</w:instrText>
      </w:r>
      <w:r>
        <w:rPr>
          <w:rStyle w:val="41"/>
          <w:rFonts w:hint="eastAsia" w:ascii="新宋体" w:hAnsi="新宋体" w:eastAsia="新宋体" w:cs="新宋体"/>
          <w:color w:val="auto"/>
          <w:sz w:val="26"/>
          <w:szCs w:val="26"/>
        </w:rPr>
        <w:instrText xml:space="preserve"> </w:instrText>
      </w:r>
      <w:r>
        <w:rPr>
          <w:rFonts w:hint="eastAsia" w:ascii="新宋体" w:hAnsi="新宋体" w:eastAsia="新宋体" w:cs="新宋体"/>
          <w:sz w:val="26"/>
          <w:szCs w:val="26"/>
        </w:rPr>
        <w:fldChar w:fldCharType="separate"/>
      </w:r>
      <w:r>
        <w:rPr>
          <w:rStyle w:val="41"/>
          <w:rFonts w:hint="eastAsia" w:ascii="新宋体" w:hAnsi="新宋体" w:eastAsia="新宋体" w:cs="新宋体"/>
          <w:color w:val="auto"/>
          <w:sz w:val="26"/>
          <w:szCs w:val="26"/>
        </w:rPr>
        <w:t>第四章  供应商资格证明材料</w:t>
      </w:r>
      <w:r>
        <w:rPr>
          <w:rFonts w:hint="eastAsia" w:ascii="新宋体" w:hAnsi="新宋体" w:eastAsia="新宋体" w:cs="新宋体"/>
          <w:sz w:val="26"/>
          <w:szCs w:val="26"/>
        </w:rPr>
        <w:tab/>
      </w:r>
      <w:r>
        <w:rPr>
          <w:rFonts w:hint="eastAsia" w:ascii="新宋体" w:hAnsi="新宋体" w:eastAsia="新宋体" w:cs="新宋体"/>
          <w:sz w:val="26"/>
          <w:szCs w:val="26"/>
        </w:rPr>
        <w:fldChar w:fldCharType="begin"/>
      </w:r>
      <w:r>
        <w:rPr>
          <w:rFonts w:hint="eastAsia" w:ascii="新宋体" w:hAnsi="新宋体" w:eastAsia="新宋体" w:cs="新宋体"/>
          <w:sz w:val="26"/>
          <w:szCs w:val="26"/>
        </w:rPr>
        <w:instrText xml:space="preserve"> PAGEREF _Toc511386823 \h </w:instrText>
      </w:r>
      <w:r>
        <w:rPr>
          <w:rFonts w:hint="eastAsia" w:ascii="新宋体" w:hAnsi="新宋体" w:eastAsia="新宋体" w:cs="新宋体"/>
          <w:sz w:val="26"/>
          <w:szCs w:val="26"/>
        </w:rPr>
        <w:fldChar w:fldCharType="separate"/>
      </w:r>
      <w:r>
        <w:rPr>
          <w:rFonts w:hint="eastAsia" w:ascii="新宋体" w:hAnsi="新宋体" w:eastAsia="新宋体" w:cs="新宋体"/>
          <w:sz w:val="26"/>
          <w:szCs w:val="26"/>
        </w:rPr>
        <w:t>1</w:t>
      </w:r>
      <w:r>
        <w:rPr>
          <w:rFonts w:hint="eastAsia" w:ascii="新宋体" w:hAnsi="新宋体" w:eastAsia="新宋体" w:cs="新宋体"/>
          <w:sz w:val="26"/>
          <w:szCs w:val="26"/>
          <w:lang w:val="en-US" w:eastAsia="zh-CN"/>
        </w:rPr>
        <w:t>8</w:t>
      </w:r>
      <w:r>
        <w:rPr>
          <w:rFonts w:hint="eastAsia" w:ascii="新宋体" w:hAnsi="新宋体" w:eastAsia="新宋体" w:cs="新宋体"/>
          <w:sz w:val="26"/>
          <w:szCs w:val="26"/>
        </w:rPr>
        <w:fldChar w:fldCharType="end"/>
      </w:r>
      <w:r>
        <w:rPr>
          <w:rFonts w:hint="eastAsia" w:ascii="新宋体" w:hAnsi="新宋体" w:eastAsia="新宋体" w:cs="新宋体"/>
          <w:sz w:val="26"/>
          <w:szCs w:val="26"/>
        </w:rPr>
        <w:fldChar w:fldCharType="end"/>
      </w:r>
    </w:p>
    <w:p>
      <w:pPr>
        <w:pStyle w:val="22"/>
        <w:tabs>
          <w:tab w:val="right" w:leader="dot" w:pos="8931"/>
        </w:tabs>
        <w:rPr>
          <w:rFonts w:hint="eastAsia" w:ascii="新宋体" w:hAnsi="新宋体" w:eastAsia="新宋体" w:cs="新宋体"/>
          <w:sz w:val="26"/>
          <w:szCs w:val="26"/>
        </w:rPr>
      </w:pPr>
      <w:r>
        <w:rPr>
          <w:rFonts w:hint="eastAsia" w:ascii="新宋体" w:hAnsi="新宋体" w:eastAsia="新宋体" w:cs="新宋体"/>
          <w:sz w:val="26"/>
          <w:szCs w:val="26"/>
        </w:rPr>
        <w:fldChar w:fldCharType="begin"/>
      </w:r>
      <w:r>
        <w:rPr>
          <w:rStyle w:val="41"/>
          <w:rFonts w:hint="eastAsia" w:ascii="新宋体" w:hAnsi="新宋体" w:eastAsia="新宋体" w:cs="新宋体"/>
          <w:color w:val="auto"/>
          <w:sz w:val="26"/>
          <w:szCs w:val="26"/>
        </w:rPr>
        <w:instrText xml:space="preserve"> </w:instrText>
      </w:r>
      <w:r>
        <w:rPr>
          <w:rFonts w:hint="eastAsia" w:ascii="新宋体" w:hAnsi="新宋体" w:eastAsia="新宋体" w:cs="新宋体"/>
          <w:sz w:val="26"/>
          <w:szCs w:val="26"/>
        </w:rPr>
        <w:instrText xml:space="preserve">HYPERLINK \l "_Toc511386824"</w:instrText>
      </w:r>
      <w:r>
        <w:rPr>
          <w:rStyle w:val="41"/>
          <w:rFonts w:hint="eastAsia" w:ascii="新宋体" w:hAnsi="新宋体" w:eastAsia="新宋体" w:cs="新宋体"/>
          <w:color w:val="auto"/>
          <w:sz w:val="26"/>
          <w:szCs w:val="26"/>
        </w:rPr>
        <w:instrText xml:space="preserve"> </w:instrText>
      </w:r>
      <w:r>
        <w:rPr>
          <w:rFonts w:hint="eastAsia" w:ascii="新宋体" w:hAnsi="新宋体" w:eastAsia="新宋体" w:cs="新宋体"/>
          <w:sz w:val="26"/>
          <w:szCs w:val="26"/>
        </w:rPr>
        <w:fldChar w:fldCharType="separate"/>
      </w:r>
      <w:r>
        <w:rPr>
          <w:rStyle w:val="41"/>
          <w:rFonts w:hint="eastAsia" w:ascii="新宋体" w:hAnsi="新宋体" w:eastAsia="新宋体" w:cs="新宋体"/>
          <w:color w:val="auto"/>
          <w:sz w:val="26"/>
          <w:szCs w:val="26"/>
        </w:rPr>
        <w:t>第五章  采购项目技术、服务及其他商务要求</w:t>
      </w:r>
      <w:r>
        <w:rPr>
          <w:rFonts w:hint="eastAsia" w:ascii="新宋体" w:hAnsi="新宋体" w:eastAsia="新宋体" w:cs="新宋体"/>
          <w:sz w:val="26"/>
          <w:szCs w:val="26"/>
        </w:rPr>
        <w:tab/>
      </w:r>
      <w:r>
        <w:rPr>
          <w:rFonts w:hint="eastAsia" w:ascii="新宋体" w:hAnsi="新宋体" w:eastAsia="新宋体" w:cs="新宋体"/>
          <w:sz w:val="26"/>
          <w:szCs w:val="26"/>
        </w:rPr>
        <w:fldChar w:fldCharType="begin"/>
      </w:r>
      <w:r>
        <w:rPr>
          <w:rFonts w:hint="eastAsia" w:ascii="新宋体" w:hAnsi="新宋体" w:eastAsia="新宋体" w:cs="新宋体"/>
          <w:sz w:val="26"/>
          <w:szCs w:val="26"/>
        </w:rPr>
        <w:instrText xml:space="preserve"> PAGEREF _Toc511386824 \h </w:instrText>
      </w:r>
      <w:r>
        <w:rPr>
          <w:rFonts w:hint="eastAsia" w:ascii="新宋体" w:hAnsi="新宋体" w:eastAsia="新宋体" w:cs="新宋体"/>
          <w:sz w:val="26"/>
          <w:szCs w:val="26"/>
        </w:rPr>
        <w:fldChar w:fldCharType="separate"/>
      </w:r>
      <w:r>
        <w:rPr>
          <w:rFonts w:hint="eastAsia" w:ascii="新宋体" w:hAnsi="新宋体" w:eastAsia="新宋体" w:cs="新宋体"/>
          <w:sz w:val="26"/>
          <w:szCs w:val="26"/>
        </w:rPr>
        <w:t>2</w:t>
      </w:r>
      <w:r>
        <w:rPr>
          <w:rFonts w:hint="eastAsia" w:ascii="新宋体" w:hAnsi="新宋体" w:eastAsia="新宋体" w:cs="新宋体"/>
          <w:sz w:val="26"/>
          <w:szCs w:val="26"/>
          <w:lang w:val="en-US" w:eastAsia="zh-CN"/>
        </w:rPr>
        <w:t>1</w:t>
      </w:r>
      <w:r>
        <w:rPr>
          <w:rFonts w:hint="eastAsia" w:ascii="新宋体" w:hAnsi="新宋体" w:eastAsia="新宋体" w:cs="新宋体"/>
          <w:sz w:val="26"/>
          <w:szCs w:val="26"/>
        </w:rPr>
        <w:t xml:space="preserve"> </w:t>
      </w:r>
      <w:r>
        <w:rPr>
          <w:rFonts w:hint="eastAsia" w:ascii="新宋体" w:hAnsi="新宋体" w:eastAsia="新宋体" w:cs="新宋体"/>
          <w:sz w:val="26"/>
          <w:szCs w:val="26"/>
        </w:rPr>
        <w:fldChar w:fldCharType="end"/>
      </w:r>
      <w:r>
        <w:rPr>
          <w:rFonts w:hint="eastAsia" w:ascii="新宋体" w:hAnsi="新宋体" w:eastAsia="新宋体" w:cs="新宋体"/>
          <w:sz w:val="26"/>
          <w:szCs w:val="26"/>
        </w:rPr>
        <w:fldChar w:fldCharType="end"/>
      </w:r>
    </w:p>
    <w:p>
      <w:pPr>
        <w:pStyle w:val="22"/>
        <w:tabs>
          <w:tab w:val="right" w:leader="dot" w:pos="8931"/>
        </w:tabs>
        <w:rPr>
          <w:rFonts w:hint="eastAsia" w:ascii="新宋体" w:hAnsi="新宋体" w:eastAsia="新宋体" w:cs="新宋体"/>
          <w:sz w:val="26"/>
          <w:szCs w:val="26"/>
        </w:rPr>
      </w:pPr>
      <w:r>
        <w:rPr>
          <w:rFonts w:hint="eastAsia" w:ascii="新宋体" w:hAnsi="新宋体" w:eastAsia="新宋体" w:cs="新宋体"/>
          <w:sz w:val="26"/>
          <w:szCs w:val="26"/>
        </w:rPr>
        <w:fldChar w:fldCharType="begin"/>
      </w:r>
      <w:r>
        <w:rPr>
          <w:rStyle w:val="41"/>
          <w:rFonts w:hint="eastAsia" w:ascii="新宋体" w:hAnsi="新宋体" w:eastAsia="新宋体" w:cs="新宋体"/>
          <w:color w:val="auto"/>
          <w:sz w:val="26"/>
          <w:szCs w:val="26"/>
        </w:rPr>
        <w:instrText xml:space="preserve"> </w:instrText>
      </w:r>
      <w:r>
        <w:rPr>
          <w:rFonts w:hint="eastAsia" w:ascii="新宋体" w:hAnsi="新宋体" w:eastAsia="新宋体" w:cs="新宋体"/>
          <w:sz w:val="26"/>
          <w:szCs w:val="26"/>
        </w:rPr>
        <w:instrText xml:space="preserve">HYPERLINK \l "_Toc511386825"</w:instrText>
      </w:r>
      <w:r>
        <w:rPr>
          <w:rStyle w:val="41"/>
          <w:rFonts w:hint="eastAsia" w:ascii="新宋体" w:hAnsi="新宋体" w:eastAsia="新宋体" w:cs="新宋体"/>
          <w:color w:val="auto"/>
          <w:sz w:val="26"/>
          <w:szCs w:val="26"/>
        </w:rPr>
        <w:instrText xml:space="preserve"> </w:instrText>
      </w:r>
      <w:r>
        <w:rPr>
          <w:rFonts w:hint="eastAsia" w:ascii="新宋体" w:hAnsi="新宋体" w:eastAsia="新宋体" w:cs="新宋体"/>
          <w:sz w:val="26"/>
          <w:szCs w:val="26"/>
        </w:rPr>
        <w:fldChar w:fldCharType="separate"/>
      </w:r>
      <w:r>
        <w:rPr>
          <w:rStyle w:val="41"/>
          <w:rFonts w:hint="eastAsia" w:ascii="新宋体" w:hAnsi="新宋体" w:eastAsia="新宋体" w:cs="新宋体"/>
          <w:color w:val="auto"/>
          <w:sz w:val="26"/>
          <w:szCs w:val="26"/>
        </w:rPr>
        <w:t>第六章  采购项目实质性要求</w:t>
      </w:r>
      <w:r>
        <w:rPr>
          <w:rFonts w:hint="eastAsia" w:ascii="新宋体" w:hAnsi="新宋体" w:eastAsia="新宋体" w:cs="新宋体"/>
          <w:sz w:val="26"/>
          <w:szCs w:val="26"/>
        </w:rPr>
        <w:tab/>
      </w:r>
      <w:r>
        <w:rPr>
          <w:rFonts w:hint="eastAsia" w:ascii="新宋体" w:hAnsi="新宋体" w:eastAsia="新宋体" w:cs="新宋体"/>
          <w:sz w:val="26"/>
          <w:szCs w:val="26"/>
        </w:rPr>
        <w:fldChar w:fldCharType="begin"/>
      </w:r>
      <w:r>
        <w:rPr>
          <w:rFonts w:hint="eastAsia" w:ascii="新宋体" w:hAnsi="新宋体" w:eastAsia="新宋体" w:cs="新宋体"/>
          <w:sz w:val="26"/>
          <w:szCs w:val="26"/>
        </w:rPr>
        <w:instrText xml:space="preserve"> PAGEREF _Toc511386825 \h </w:instrText>
      </w:r>
      <w:r>
        <w:rPr>
          <w:rFonts w:hint="eastAsia" w:ascii="新宋体" w:hAnsi="新宋体" w:eastAsia="新宋体" w:cs="新宋体"/>
          <w:sz w:val="26"/>
          <w:szCs w:val="26"/>
        </w:rPr>
        <w:fldChar w:fldCharType="separate"/>
      </w:r>
      <w:r>
        <w:rPr>
          <w:rFonts w:hint="eastAsia" w:ascii="新宋体" w:hAnsi="新宋体" w:eastAsia="新宋体" w:cs="新宋体"/>
          <w:sz w:val="26"/>
          <w:szCs w:val="26"/>
        </w:rPr>
        <w:t>2</w:t>
      </w:r>
      <w:r>
        <w:rPr>
          <w:rFonts w:hint="eastAsia" w:ascii="新宋体" w:hAnsi="新宋体" w:eastAsia="新宋体" w:cs="新宋体"/>
          <w:sz w:val="26"/>
          <w:szCs w:val="26"/>
          <w:lang w:val="en-US" w:eastAsia="zh-CN"/>
        </w:rPr>
        <w:t>4</w:t>
      </w:r>
      <w:r>
        <w:rPr>
          <w:rFonts w:hint="eastAsia" w:ascii="新宋体" w:hAnsi="新宋体" w:eastAsia="新宋体" w:cs="新宋体"/>
          <w:sz w:val="26"/>
          <w:szCs w:val="26"/>
        </w:rPr>
        <w:t xml:space="preserve"> </w:t>
      </w:r>
      <w:r>
        <w:rPr>
          <w:rFonts w:hint="eastAsia" w:ascii="新宋体" w:hAnsi="新宋体" w:eastAsia="新宋体" w:cs="新宋体"/>
          <w:sz w:val="26"/>
          <w:szCs w:val="26"/>
        </w:rPr>
        <w:fldChar w:fldCharType="end"/>
      </w:r>
      <w:r>
        <w:rPr>
          <w:rFonts w:hint="eastAsia" w:ascii="新宋体" w:hAnsi="新宋体" w:eastAsia="新宋体" w:cs="新宋体"/>
          <w:sz w:val="26"/>
          <w:szCs w:val="26"/>
        </w:rPr>
        <w:fldChar w:fldCharType="end"/>
      </w:r>
    </w:p>
    <w:p>
      <w:pPr>
        <w:pStyle w:val="22"/>
        <w:tabs>
          <w:tab w:val="right" w:leader="dot" w:pos="8931"/>
        </w:tabs>
        <w:rPr>
          <w:rFonts w:hint="eastAsia" w:ascii="新宋体" w:hAnsi="新宋体" w:eastAsia="新宋体" w:cs="新宋体"/>
          <w:sz w:val="26"/>
          <w:szCs w:val="26"/>
        </w:rPr>
      </w:pPr>
      <w:r>
        <w:rPr>
          <w:rFonts w:hint="eastAsia" w:ascii="新宋体" w:hAnsi="新宋体" w:eastAsia="新宋体" w:cs="新宋体"/>
          <w:sz w:val="26"/>
          <w:szCs w:val="26"/>
        </w:rPr>
        <w:fldChar w:fldCharType="begin"/>
      </w:r>
      <w:r>
        <w:rPr>
          <w:rStyle w:val="41"/>
          <w:rFonts w:hint="eastAsia" w:ascii="新宋体" w:hAnsi="新宋体" w:eastAsia="新宋体" w:cs="新宋体"/>
          <w:color w:val="auto"/>
          <w:sz w:val="26"/>
          <w:szCs w:val="26"/>
        </w:rPr>
        <w:instrText xml:space="preserve"> </w:instrText>
      </w:r>
      <w:r>
        <w:rPr>
          <w:rFonts w:hint="eastAsia" w:ascii="新宋体" w:hAnsi="新宋体" w:eastAsia="新宋体" w:cs="新宋体"/>
          <w:sz w:val="26"/>
          <w:szCs w:val="26"/>
        </w:rPr>
        <w:instrText xml:space="preserve">HYPERLINK \l "_Toc511386826"</w:instrText>
      </w:r>
      <w:r>
        <w:rPr>
          <w:rStyle w:val="41"/>
          <w:rFonts w:hint="eastAsia" w:ascii="新宋体" w:hAnsi="新宋体" w:eastAsia="新宋体" w:cs="新宋体"/>
          <w:color w:val="auto"/>
          <w:sz w:val="26"/>
          <w:szCs w:val="26"/>
        </w:rPr>
        <w:instrText xml:space="preserve"> </w:instrText>
      </w:r>
      <w:r>
        <w:rPr>
          <w:rFonts w:hint="eastAsia" w:ascii="新宋体" w:hAnsi="新宋体" w:eastAsia="新宋体" w:cs="新宋体"/>
          <w:sz w:val="26"/>
          <w:szCs w:val="26"/>
        </w:rPr>
        <w:fldChar w:fldCharType="separate"/>
      </w:r>
      <w:r>
        <w:rPr>
          <w:rStyle w:val="41"/>
          <w:rFonts w:hint="eastAsia" w:ascii="新宋体" w:hAnsi="新宋体" w:eastAsia="新宋体" w:cs="新宋体"/>
          <w:color w:val="auto"/>
          <w:sz w:val="26"/>
          <w:szCs w:val="26"/>
        </w:rPr>
        <w:t>第七章  磋商内容、磋商过程中可实质性变动的内容</w:t>
      </w:r>
      <w:r>
        <w:rPr>
          <w:rFonts w:hint="eastAsia" w:ascii="新宋体" w:hAnsi="新宋体" w:eastAsia="新宋体" w:cs="新宋体"/>
          <w:sz w:val="26"/>
          <w:szCs w:val="26"/>
        </w:rPr>
        <w:tab/>
      </w:r>
      <w:r>
        <w:rPr>
          <w:rFonts w:hint="eastAsia" w:ascii="新宋体" w:hAnsi="新宋体" w:eastAsia="新宋体" w:cs="新宋体"/>
          <w:sz w:val="26"/>
          <w:szCs w:val="26"/>
        </w:rPr>
        <w:fldChar w:fldCharType="begin"/>
      </w:r>
      <w:r>
        <w:rPr>
          <w:rFonts w:hint="eastAsia" w:ascii="新宋体" w:hAnsi="新宋体" w:eastAsia="新宋体" w:cs="新宋体"/>
          <w:sz w:val="26"/>
          <w:szCs w:val="26"/>
        </w:rPr>
        <w:instrText xml:space="preserve"> PAGEREF _Toc511386826 \h </w:instrText>
      </w:r>
      <w:r>
        <w:rPr>
          <w:rFonts w:hint="eastAsia" w:ascii="新宋体" w:hAnsi="新宋体" w:eastAsia="新宋体" w:cs="新宋体"/>
          <w:sz w:val="26"/>
          <w:szCs w:val="26"/>
        </w:rPr>
        <w:fldChar w:fldCharType="separate"/>
      </w:r>
      <w:r>
        <w:rPr>
          <w:rFonts w:hint="eastAsia" w:ascii="新宋体" w:hAnsi="新宋体" w:eastAsia="新宋体" w:cs="新宋体"/>
          <w:sz w:val="26"/>
          <w:szCs w:val="26"/>
        </w:rPr>
        <w:t>2</w:t>
      </w:r>
      <w:r>
        <w:rPr>
          <w:rFonts w:hint="eastAsia" w:ascii="新宋体" w:hAnsi="新宋体" w:eastAsia="新宋体" w:cs="新宋体"/>
          <w:sz w:val="26"/>
          <w:szCs w:val="26"/>
          <w:lang w:val="en-US" w:eastAsia="zh-CN"/>
        </w:rPr>
        <w:t>5</w:t>
      </w:r>
      <w:r>
        <w:rPr>
          <w:rFonts w:hint="eastAsia" w:ascii="新宋体" w:hAnsi="新宋体" w:eastAsia="新宋体" w:cs="新宋体"/>
          <w:sz w:val="26"/>
          <w:szCs w:val="26"/>
        </w:rPr>
        <w:t xml:space="preserve"> </w:t>
      </w:r>
      <w:r>
        <w:rPr>
          <w:rFonts w:hint="eastAsia" w:ascii="新宋体" w:hAnsi="新宋体" w:eastAsia="新宋体" w:cs="新宋体"/>
          <w:sz w:val="26"/>
          <w:szCs w:val="26"/>
        </w:rPr>
        <w:fldChar w:fldCharType="end"/>
      </w:r>
      <w:r>
        <w:rPr>
          <w:rFonts w:hint="eastAsia" w:ascii="新宋体" w:hAnsi="新宋体" w:eastAsia="新宋体" w:cs="新宋体"/>
          <w:sz w:val="26"/>
          <w:szCs w:val="26"/>
        </w:rPr>
        <w:fldChar w:fldCharType="end"/>
      </w:r>
    </w:p>
    <w:p>
      <w:pPr>
        <w:pStyle w:val="22"/>
        <w:tabs>
          <w:tab w:val="right" w:leader="dot" w:pos="8931"/>
        </w:tabs>
        <w:rPr>
          <w:rFonts w:hint="eastAsia" w:ascii="新宋体" w:hAnsi="新宋体" w:eastAsia="新宋体" w:cs="新宋体"/>
          <w:sz w:val="26"/>
          <w:szCs w:val="26"/>
        </w:rPr>
      </w:pPr>
      <w:r>
        <w:rPr>
          <w:rFonts w:hint="eastAsia" w:ascii="新宋体" w:hAnsi="新宋体" w:eastAsia="新宋体" w:cs="新宋体"/>
          <w:sz w:val="26"/>
          <w:szCs w:val="26"/>
        </w:rPr>
        <w:fldChar w:fldCharType="begin"/>
      </w:r>
      <w:r>
        <w:rPr>
          <w:rStyle w:val="41"/>
          <w:rFonts w:hint="eastAsia" w:ascii="新宋体" w:hAnsi="新宋体" w:eastAsia="新宋体" w:cs="新宋体"/>
          <w:color w:val="auto"/>
          <w:sz w:val="26"/>
          <w:szCs w:val="26"/>
        </w:rPr>
        <w:instrText xml:space="preserve"> </w:instrText>
      </w:r>
      <w:r>
        <w:rPr>
          <w:rFonts w:hint="eastAsia" w:ascii="新宋体" w:hAnsi="新宋体" w:eastAsia="新宋体" w:cs="新宋体"/>
          <w:sz w:val="26"/>
          <w:szCs w:val="26"/>
        </w:rPr>
        <w:instrText xml:space="preserve">HYPERLINK \l "_Toc511386827"</w:instrText>
      </w:r>
      <w:r>
        <w:rPr>
          <w:rStyle w:val="41"/>
          <w:rFonts w:hint="eastAsia" w:ascii="新宋体" w:hAnsi="新宋体" w:eastAsia="新宋体" w:cs="新宋体"/>
          <w:color w:val="auto"/>
          <w:sz w:val="26"/>
          <w:szCs w:val="26"/>
        </w:rPr>
        <w:instrText xml:space="preserve"> </w:instrText>
      </w:r>
      <w:r>
        <w:rPr>
          <w:rFonts w:hint="eastAsia" w:ascii="新宋体" w:hAnsi="新宋体" w:eastAsia="新宋体" w:cs="新宋体"/>
          <w:sz w:val="26"/>
          <w:szCs w:val="26"/>
        </w:rPr>
        <w:fldChar w:fldCharType="separate"/>
      </w:r>
      <w:r>
        <w:rPr>
          <w:rStyle w:val="41"/>
          <w:rFonts w:hint="eastAsia" w:ascii="新宋体" w:hAnsi="新宋体" w:eastAsia="新宋体" w:cs="新宋体"/>
          <w:color w:val="auto"/>
          <w:sz w:val="26"/>
          <w:szCs w:val="26"/>
        </w:rPr>
        <w:t>第八章  响应文件格式</w:t>
      </w:r>
      <w:r>
        <w:rPr>
          <w:rFonts w:hint="eastAsia" w:ascii="新宋体" w:hAnsi="新宋体" w:eastAsia="新宋体" w:cs="新宋体"/>
          <w:sz w:val="26"/>
          <w:szCs w:val="26"/>
        </w:rPr>
        <w:tab/>
      </w:r>
      <w:r>
        <w:rPr>
          <w:rFonts w:hint="eastAsia" w:ascii="新宋体" w:hAnsi="新宋体" w:eastAsia="新宋体" w:cs="新宋体"/>
          <w:sz w:val="26"/>
          <w:szCs w:val="26"/>
        </w:rPr>
        <w:fldChar w:fldCharType="begin"/>
      </w:r>
      <w:r>
        <w:rPr>
          <w:rFonts w:hint="eastAsia" w:ascii="新宋体" w:hAnsi="新宋体" w:eastAsia="新宋体" w:cs="新宋体"/>
          <w:sz w:val="26"/>
          <w:szCs w:val="26"/>
        </w:rPr>
        <w:instrText xml:space="preserve"> PAGEREF _Toc511386827 \h </w:instrText>
      </w:r>
      <w:r>
        <w:rPr>
          <w:rFonts w:hint="eastAsia" w:ascii="新宋体" w:hAnsi="新宋体" w:eastAsia="新宋体" w:cs="新宋体"/>
          <w:sz w:val="26"/>
          <w:szCs w:val="26"/>
        </w:rPr>
        <w:fldChar w:fldCharType="separate"/>
      </w:r>
      <w:r>
        <w:rPr>
          <w:rFonts w:hint="eastAsia" w:ascii="新宋体" w:hAnsi="新宋体" w:eastAsia="新宋体" w:cs="新宋体"/>
          <w:sz w:val="26"/>
          <w:szCs w:val="26"/>
        </w:rPr>
        <w:t>2</w:t>
      </w:r>
      <w:r>
        <w:rPr>
          <w:rFonts w:hint="eastAsia" w:ascii="新宋体" w:hAnsi="新宋体" w:eastAsia="新宋体" w:cs="新宋体"/>
          <w:sz w:val="26"/>
          <w:szCs w:val="26"/>
          <w:lang w:val="en-US" w:eastAsia="zh-CN"/>
        </w:rPr>
        <w:t>8</w:t>
      </w:r>
      <w:r>
        <w:rPr>
          <w:rFonts w:hint="eastAsia" w:ascii="新宋体" w:hAnsi="新宋体" w:eastAsia="新宋体" w:cs="新宋体"/>
          <w:sz w:val="26"/>
          <w:szCs w:val="26"/>
        </w:rPr>
        <w:t xml:space="preserve"> </w:t>
      </w:r>
      <w:r>
        <w:rPr>
          <w:rFonts w:hint="eastAsia" w:ascii="新宋体" w:hAnsi="新宋体" w:eastAsia="新宋体" w:cs="新宋体"/>
          <w:sz w:val="26"/>
          <w:szCs w:val="26"/>
        </w:rPr>
        <w:fldChar w:fldCharType="end"/>
      </w:r>
      <w:r>
        <w:rPr>
          <w:rFonts w:hint="eastAsia" w:ascii="新宋体" w:hAnsi="新宋体" w:eastAsia="新宋体" w:cs="新宋体"/>
          <w:sz w:val="26"/>
          <w:szCs w:val="26"/>
        </w:rPr>
        <w:fldChar w:fldCharType="end"/>
      </w:r>
    </w:p>
    <w:p>
      <w:pPr>
        <w:pStyle w:val="22"/>
        <w:tabs>
          <w:tab w:val="right" w:leader="dot" w:pos="8931"/>
        </w:tabs>
        <w:rPr>
          <w:rFonts w:hint="eastAsia" w:ascii="新宋体" w:hAnsi="新宋体" w:eastAsia="新宋体" w:cs="新宋体"/>
          <w:sz w:val="26"/>
          <w:szCs w:val="26"/>
        </w:rPr>
      </w:pPr>
      <w:r>
        <w:rPr>
          <w:rFonts w:hint="eastAsia" w:ascii="新宋体" w:hAnsi="新宋体" w:eastAsia="新宋体" w:cs="新宋体"/>
          <w:sz w:val="26"/>
          <w:szCs w:val="26"/>
        </w:rPr>
        <w:fldChar w:fldCharType="begin"/>
      </w:r>
      <w:r>
        <w:rPr>
          <w:rStyle w:val="41"/>
          <w:rFonts w:hint="eastAsia" w:ascii="新宋体" w:hAnsi="新宋体" w:eastAsia="新宋体" w:cs="新宋体"/>
          <w:color w:val="auto"/>
          <w:sz w:val="26"/>
          <w:szCs w:val="26"/>
        </w:rPr>
        <w:instrText xml:space="preserve"> </w:instrText>
      </w:r>
      <w:r>
        <w:rPr>
          <w:rFonts w:hint="eastAsia" w:ascii="新宋体" w:hAnsi="新宋体" w:eastAsia="新宋体" w:cs="新宋体"/>
          <w:sz w:val="26"/>
          <w:szCs w:val="26"/>
        </w:rPr>
        <w:instrText xml:space="preserve">HYPERLINK \l "_Toc511386828"</w:instrText>
      </w:r>
      <w:r>
        <w:rPr>
          <w:rStyle w:val="41"/>
          <w:rFonts w:hint="eastAsia" w:ascii="新宋体" w:hAnsi="新宋体" w:eastAsia="新宋体" w:cs="新宋体"/>
          <w:color w:val="auto"/>
          <w:sz w:val="26"/>
          <w:szCs w:val="26"/>
        </w:rPr>
        <w:instrText xml:space="preserve"> </w:instrText>
      </w:r>
      <w:r>
        <w:rPr>
          <w:rFonts w:hint="eastAsia" w:ascii="新宋体" w:hAnsi="新宋体" w:eastAsia="新宋体" w:cs="新宋体"/>
          <w:sz w:val="26"/>
          <w:szCs w:val="26"/>
        </w:rPr>
        <w:fldChar w:fldCharType="separate"/>
      </w:r>
      <w:r>
        <w:rPr>
          <w:rStyle w:val="41"/>
          <w:rFonts w:hint="eastAsia" w:ascii="新宋体" w:hAnsi="新宋体" w:eastAsia="新宋体" w:cs="新宋体"/>
          <w:color w:val="auto"/>
          <w:sz w:val="26"/>
          <w:szCs w:val="26"/>
        </w:rPr>
        <w:t>第九章  评审方法</w:t>
      </w:r>
      <w:r>
        <w:rPr>
          <w:rFonts w:hint="eastAsia" w:ascii="新宋体" w:hAnsi="新宋体" w:eastAsia="新宋体" w:cs="新宋体"/>
          <w:sz w:val="26"/>
          <w:szCs w:val="26"/>
        </w:rPr>
        <w:tab/>
      </w:r>
      <w:r>
        <w:rPr>
          <w:rFonts w:hint="eastAsia" w:ascii="新宋体" w:hAnsi="新宋体" w:eastAsia="新宋体" w:cs="新宋体"/>
          <w:sz w:val="26"/>
          <w:szCs w:val="26"/>
        </w:rPr>
        <w:fldChar w:fldCharType="begin"/>
      </w:r>
      <w:r>
        <w:rPr>
          <w:rFonts w:hint="eastAsia" w:ascii="新宋体" w:hAnsi="新宋体" w:eastAsia="新宋体" w:cs="新宋体"/>
          <w:sz w:val="26"/>
          <w:szCs w:val="26"/>
        </w:rPr>
        <w:instrText xml:space="preserve"> PAGEREF _Toc511386827 \h </w:instrText>
      </w:r>
      <w:r>
        <w:rPr>
          <w:rFonts w:hint="eastAsia" w:ascii="新宋体" w:hAnsi="新宋体" w:eastAsia="新宋体" w:cs="新宋体"/>
          <w:sz w:val="26"/>
          <w:szCs w:val="26"/>
        </w:rPr>
        <w:fldChar w:fldCharType="separate"/>
      </w:r>
      <w:r>
        <w:rPr>
          <w:rFonts w:hint="eastAsia" w:ascii="新宋体" w:hAnsi="新宋体" w:eastAsia="新宋体" w:cs="新宋体"/>
          <w:sz w:val="26"/>
          <w:szCs w:val="26"/>
          <w:lang w:val="en-US" w:eastAsia="zh-CN"/>
        </w:rPr>
        <w:t>44</w:t>
      </w:r>
      <w:r>
        <w:rPr>
          <w:rFonts w:hint="eastAsia" w:ascii="新宋体" w:hAnsi="新宋体" w:eastAsia="新宋体" w:cs="新宋体"/>
          <w:sz w:val="26"/>
          <w:szCs w:val="26"/>
        </w:rPr>
        <w:t xml:space="preserve"> </w:t>
      </w:r>
      <w:r>
        <w:rPr>
          <w:rFonts w:hint="eastAsia" w:ascii="新宋体" w:hAnsi="新宋体" w:eastAsia="新宋体" w:cs="新宋体"/>
          <w:sz w:val="26"/>
          <w:szCs w:val="26"/>
        </w:rPr>
        <w:fldChar w:fldCharType="end"/>
      </w:r>
      <w:r>
        <w:rPr>
          <w:rFonts w:hint="eastAsia" w:ascii="新宋体" w:hAnsi="新宋体" w:eastAsia="新宋体" w:cs="新宋体"/>
          <w:sz w:val="26"/>
          <w:szCs w:val="26"/>
        </w:rPr>
        <w:fldChar w:fldCharType="end"/>
      </w:r>
    </w:p>
    <w:p>
      <w:pPr>
        <w:rPr>
          <w:rFonts w:hint="eastAsia"/>
        </w:rPr>
      </w:pPr>
      <w:r>
        <w:rPr>
          <w:rFonts w:hint="eastAsia" w:ascii="新宋体" w:hAnsi="新宋体" w:eastAsia="新宋体" w:cs="新宋体"/>
          <w:sz w:val="26"/>
          <w:szCs w:val="26"/>
        </w:rPr>
        <w:fldChar w:fldCharType="begin"/>
      </w:r>
      <w:r>
        <w:rPr>
          <w:rStyle w:val="41"/>
          <w:rFonts w:hint="eastAsia" w:ascii="新宋体" w:hAnsi="新宋体" w:eastAsia="新宋体" w:cs="新宋体"/>
          <w:color w:val="auto"/>
          <w:sz w:val="26"/>
          <w:szCs w:val="26"/>
        </w:rPr>
        <w:instrText xml:space="preserve"> </w:instrText>
      </w:r>
      <w:r>
        <w:rPr>
          <w:rFonts w:hint="eastAsia" w:ascii="新宋体" w:hAnsi="新宋体" w:eastAsia="新宋体" w:cs="新宋体"/>
          <w:sz w:val="26"/>
          <w:szCs w:val="26"/>
        </w:rPr>
        <w:instrText xml:space="preserve">HYPERLINK \l "_Toc511386828"</w:instrText>
      </w:r>
      <w:r>
        <w:rPr>
          <w:rStyle w:val="41"/>
          <w:rFonts w:hint="eastAsia" w:ascii="新宋体" w:hAnsi="新宋体" w:eastAsia="新宋体" w:cs="新宋体"/>
          <w:color w:val="auto"/>
          <w:sz w:val="26"/>
          <w:szCs w:val="26"/>
        </w:rPr>
        <w:instrText xml:space="preserve"> </w:instrText>
      </w:r>
      <w:r>
        <w:rPr>
          <w:rFonts w:hint="eastAsia" w:ascii="新宋体" w:hAnsi="新宋体" w:eastAsia="新宋体" w:cs="新宋体"/>
          <w:sz w:val="26"/>
          <w:szCs w:val="26"/>
        </w:rPr>
        <w:fldChar w:fldCharType="separate"/>
      </w:r>
      <w:r>
        <w:rPr>
          <w:rStyle w:val="41"/>
          <w:rFonts w:hint="eastAsia" w:ascii="新宋体" w:hAnsi="新宋体" w:eastAsia="新宋体" w:cs="新宋体"/>
          <w:color w:val="auto"/>
          <w:sz w:val="26"/>
          <w:szCs w:val="26"/>
        </w:rPr>
        <w:t>第</w:t>
      </w:r>
      <w:r>
        <w:rPr>
          <w:rStyle w:val="41"/>
          <w:rFonts w:hint="eastAsia" w:ascii="新宋体" w:hAnsi="新宋体" w:eastAsia="新宋体" w:cs="新宋体"/>
          <w:color w:val="auto"/>
          <w:sz w:val="26"/>
          <w:szCs w:val="26"/>
          <w:lang w:eastAsia="zh-CN"/>
        </w:rPr>
        <w:t>十</w:t>
      </w:r>
      <w:r>
        <w:rPr>
          <w:rStyle w:val="41"/>
          <w:rFonts w:hint="eastAsia" w:ascii="新宋体" w:hAnsi="新宋体" w:eastAsia="新宋体" w:cs="新宋体"/>
          <w:color w:val="auto"/>
          <w:sz w:val="26"/>
          <w:szCs w:val="26"/>
        </w:rPr>
        <w:t xml:space="preserve">章  </w:t>
      </w:r>
      <w:r>
        <w:rPr>
          <w:rStyle w:val="41"/>
          <w:rFonts w:hint="eastAsia" w:ascii="新宋体" w:hAnsi="新宋体" w:eastAsia="新宋体" w:cs="新宋体"/>
          <w:color w:val="auto"/>
          <w:sz w:val="26"/>
          <w:szCs w:val="26"/>
          <w:lang w:eastAsia="zh-CN"/>
        </w:rPr>
        <w:t>政府采购合同（草案）</w:t>
      </w:r>
      <w:r>
        <w:rPr>
          <w:rFonts w:hint="eastAsia" w:ascii="宋体" w:hAnsi="宋体" w:eastAsia="宋体" w:cs="宋体"/>
          <w:bCs/>
          <w:sz w:val="24"/>
        </w:rPr>
        <w:t>………………………………………………………</w:t>
      </w:r>
      <w:r>
        <w:rPr>
          <w:rFonts w:hint="eastAsia" w:ascii="新宋体" w:hAnsi="新宋体" w:eastAsia="新宋体" w:cs="新宋体"/>
          <w:sz w:val="26"/>
          <w:szCs w:val="26"/>
        </w:rPr>
        <w:fldChar w:fldCharType="begin"/>
      </w:r>
      <w:r>
        <w:rPr>
          <w:rFonts w:hint="eastAsia" w:ascii="新宋体" w:hAnsi="新宋体" w:eastAsia="新宋体" w:cs="新宋体"/>
          <w:sz w:val="26"/>
          <w:szCs w:val="26"/>
        </w:rPr>
        <w:instrText xml:space="preserve"> PAGEREF _Toc511386827 \h </w:instrText>
      </w:r>
      <w:r>
        <w:rPr>
          <w:rFonts w:hint="eastAsia" w:ascii="新宋体" w:hAnsi="新宋体" w:eastAsia="新宋体" w:cs="新宋体"/>
          <w:sz w:val="26"/>
          <w:szCs w:val="26"/>
        </w:rPr>
        <w:fldChar w:fldCharType="separate"/>
      </w:r>
      <w:r>
        <w:rPr>
          <w:rFonts w:hint="eastAsia" w:ascii="新宋体" w:hAnsi="新宋体" w:eastAsia="新宋体" w:cs="新宋体"/>
          <w:sz w:val="26"/>
          <w:szCs w:val="26"/>
          <w:lang w:val="en-US" w:eastAsia="zh-CN"/>
        </w:rPr>
        <w:t>52</w:t>
      </w:r>
      <w:r>
        <w:rPr>
          <w:rFonts w:hint="eastAsia" w:ascii="新宋体" w:hAnsi="新宋体" w:eastAsia="新宋体" w:cs="新宋体"/>
          <w:sz w:val="26"/>
          <w:szCs w:val="26"/>
        </w:rPr>
        <w:t xml:space="preserve"> </w:t>
      </w:r>
      <w:r>
        <w:rPr>
          <w:rFonts w:hint="eastAsia" w:ascii="新宋体" w:hAnsi="新宋体" w:eastAsia="新宋体" w:cs="新宋体"/>
          <w:sz w:val="26"/>
          <w:szCs w:val="26"/>
        </w:rPr>
        <w:fldChar w:fldCharType="end"/>
      </w:r>
      <w:r>
        <w:rPr>
          <w:rFonts w:hint="eastAsia" w:ascii="新宋体" w:hAnsi="新宋体" w:eastAsia="新宋体" w:cs="新宋体"/>
          <w:sz w:val="26"/>
          <w:szCs w:val="26"/>
        </w:rPr>
        <w:fldChar w:fldCharType="end"/>
      </w:r>
    </w:p>
    <w:p>
      <w:pPr>
        <w:tabs>
          <w:tab w:val="right" w:leader="dot" w:pos="8931"/>
        </w:tabs>
      </w:pPr>
      <w:r>
        <w:rPr>
          <w:rFonts w:hint="eastAsia" w:ascii="新宋体" w:hAnsi="新宋体" w:eastAsia="新宋体" w:cs="新宋体"/>
          <w:sz w:val="26"/>
          <w:szCs w:val="26"/>
        </w:rPr>
        <w:fldChar w:fldCharType="end"/>
      </w:r>
    </w:p>
    <w:p>
      <w:pPr>
        <w:tabs>
          <w:tab w:val="left" w:pos="9639"/>
        </w:tabs>
        <w:ind w:firstLine="480" w:firstLineChars="200"/>
        <w:rPr>
          <w:rFonts w:hint="eastAsia" w:hAnsi="宋体"/>
          <w:bCs/>
          <w:sz w:val="24"/>
        </w:rPr>
      </w:pPr>
    </w:p>
    <w:p>
      <w:pPr>
        <w:tabs>
          <w:tab w:val="left" w:pos="9639"/>
        </w:tabs>
        <w:ind w:firstLine="480" w:firstLineChars="200"/>
        <w:rPr>
          <w:rFonts w:hint="eastAsia" w:hAnsi="宋体"/>
          <w:bCs/>
          <w:sz w:val="24"/>
        </w:rPr>
      </w:pPr>
    </w:p>
    <w:p>
      <w:pPr>
        <w:ind w:firstLine="480" w:firstLineChars="200"/>
        <w:jc w:val="both"/>
        <w:rPr>
          <w:rFonts w:hint="eastAsia" w:ascii="宋体" w:hAnsi="宋体" w:eastAsia="宋体" w:cs="宋体"/>
          <w:bCs/>
          <w:sz w:val="24"/>
        </w:rPr>
      </w:pPr>
    </w:p>
    <w:p>
      <w:pPr>
        <w:tabs>
          <w:tab w:val="left" w:pos="9639"/>
        </w:tabs>
        <w:ind w:firstLine="480" w:firstLineChars="200"/>
        <w:rPr>
          <w:rFonts w:hint="eastAsia" w:hAnsi="宋体"/>
          <w:bCs/>
          <w:sz w:val="24"/>
        </w:rPr>
      </w:pPr>
    </w:p>
    <w:p>
      <w:pPr>
        <w:tabs>
          <w:tab w:val="left" w:pos="9639"/>
        </w:tabs>
        <w:ind w:firstLine="480" w:firstLineChars="200"/>
        <w:rPr>
          <w:rFonts w:hint="eastAsia" w:hAnsi="宋体"/>
          <w:bCs/>
          <w:sz w:val="24"/>
        </w:rPr>
      </w:pPr>
    </w:p>
    <w:p>
      <w:pPr>
        <w:tabs>
          <w:tab w:val="left" w:pos="9639"/>
        </w:tabs>
        <w:ind w:firstLine="480" w:firstLineChars="200"/>
        <w:rPr>
          <w:rFonts w:hint="eastAsia" w:hAnsi="宋体"/>
          <w:bCs/>
          <w:sz w:val="24"/>
        </w:rPr>
      </w:pPr>
    </w:p>
    <w:p>
      <w:pPr>
        <w:tabs>
          <w:tab w:val="left" w:pos="9639"/>
        </w:tabs>
        <w:rPr>
          <w:rFonts w:hint="eastAsia"/>
        </w:rPr>
      </w:pPr>
    </w:p>
    <w:p>
      <w:pPr>
        <w:pStyle w:val="3"/>
        <w:tabs>
          <w:tab w:val="left" w:pos="9639"/>
        </w:tabs>
        <w:jc w:val="center"/>
        <w:rPr>
          <w:rFonts w:hint="eastAsia"/>
        </w:rPr>
      </w:pPr>
      <w:r>
        <w:br w:type="page"/>
      </w:r>
      <w:bookmarkStart w:id="2" w:name="_Toc509823111"/>
      <w:bookmarkStart w:id="3" w:name="_Toc511386820"/>
      <w:r>
        <w:rPr>
          <w:rFonts w:hint="eastAsia"/>
        </w:rPr>
        <w:t>第一章  磋商邀请</w:t>
      </w:r>
      <w:bookmarkEnd w:id="2"/>
      <w:bookmarkEnd w:id="3"/>
    </w:p>
    <w:p>
      <w:pPr>
        <w:tabs>
          <w:tab w:val="left" w:pos="7665"/>
          <w:tab w:val="left" w:pos="9639"/>
        </w:tabs>
        <w:spacing w:line="360" w:lineRule="auto"/>
        <w:ind w:firstLine="600" w:firstLineChars="250"/>
        <w:rPr>
          <w:rFonts w:hint="eastAsia"/>
          <w:sz w:val="24"/>
          <w:szCs w:val="22"/>
        </w:rPr>
      </w:pPr>
      <w:r>
        <w:rPr>
          <w:rFonts w:hint="eastAsia"/>
          <w:sz w:val="24"/>
          <w:szCs w:val="22"/>
          <w:u w:val="single"/>
        </w:rPr>
        <w:t>四川坤阳工程管理咨询有限公司</w:t>
      </w:r>
      <w:r>
        <w:rPr>
          <w:rFonts w:hint="eastAsia"/>
          <w:sz w:val="24"/>
          <w:szCs w:val="22"/>
        </w:rPr>
        <w:t>（采购代理机构）受</w:t>
      </w:r>
      <w:r>
        <w:rPr>
          <w:rFonts w:hint="eastAsia"/>
          <w:sz w:val="24"/>
          <w:szCs w:val="22"/>
          <w:u w:val="single"/>
        </w:rPr>
        <w:t>成都市郫都区</w:t>
      </w:r>
      <w:r>
        <w:rPr>
          <w:rFonts w:hint="eastAsia"/>
          <w:sz w:val="24"/>
          <w:szCs w:val="22"/>
          <w:u w:val="single"/>
          <w:lang w:eastAsia="zh-CN"/>
        </w:rPr>
        <w:t>人民政府</w:t>
      </w:r>
      <w:r>
        <w:rPr>
          <w:rFonts w:hint="eastAsia"/>
          <w:sz w:val="24"/>
          <w:szCs w:val="22"/>
          <w:u w:val="single"/>
        </w:rPr>
        <w:t>德源街道办事处</w:t>
      </w:r>
      <w:r>
        <w:rPr>
          <w:rFonts w:hint="eastAsia"/>
          <w:sz w:val="24"/>
          <w:szCs w:val="22"/>
        </w:rPr>
        <w:t>（采购人）委托，拟对</w:t>
      </w:r>
      <w:r>
        <w:rPr>
          <w:rFonts w:hint="eastAsia"/>
          <w:sz w:val="24"/>
          <w:szCs w:val="22"/>
          <w:u w:val="single"/>
        </w:rPr>
        <w:t>德源桤木河城市段城市更新设计采购项目</w:t>
      </w:r>
      <w:r>
        <w:rPr>
          <w:rFonts w:hint="eastAsia"/>
          <w:sz w:val="24"/>
          <w:szCs w:val="22"/>
        </w:rPr>
        <w:t>采用竞争性磋商方式进行采购，特邀请符合本次采购要求的供应商参加本项目的竞争性磋商。</w:t>
      </w:r>
    </w:p>
    <w:p>
      <w:pPr>
        <w:tabs>
          <w:tab w:val="left" w:pos="9639"/>
        </w:tabs>
        <w:spacing w:line="360" w:lineRule="auto"/>
        <w:ind w:firstLine="482" w:firstLineChars="200"/>
        <w:rPr>
          <w:rFonts w:hint="eastAsia" w:ascii="黑体" w:hAnsi="宋体" w:eastAsia="黑体"/>
          <w:sz w:val="24"/>
        </w:rPr>
      </w:pPr>
      <w:r>
        <w:rPr>
          <w:rFonts w:hint="eastAsia" w:hAnsi="宋体"/>
          <w:b/>
          <w:sz w:val="24"/>
        </w:rPr>
        <w:t>一、采购项目基本情况</w:t>
      </w:r>
    </w:p>
    <w:p>
      <w:pPr>
        <w:tabs>
          <w:tab w:val="left" w:pos="9639"/>
        </w:tabs>
        <w:spacing w:line="360" w:lineRule="auto"/>
        <w:ind w:firstLine="480" w:firstLineChars="200"/>
        <w:rPr>
          <w:rFonts w:hint="eastAsia" w:hAnsi="宋体"/>
          <w:sz w:val="24"/>
        </w:rPr>
      </w:pPr>
      <w:r>
        <w:rPr>
          <w:rFonts w:hint="eastAsia" w:hAnsi="宋体"/>
          <w:sz w:val="24"/>
        </w:rPr>
        <w:t>1.采购项目编号：</w:t>
      </w:r>
      <w:r>
        <w:rPr>
          <w:rFonts w:hint="eastAsia" w:hAnsi="宋体"/>
          <w:sz w:val="24"/>
          <w:u w:val="single"/>
          <w:lang w:eastAsia="zh-CN"/>
        </w:rPr>
        <w:t>以四川政府采购网公告自动生成编号为准</w:t>
      </w:r>
      <w:r>
        <w:rPr>
          <w:rFonts w:hint="eastAsia" w:hAnsi="宋体"/>
          <w:sz w:val="24"/>
          <w:szCs w:val="22"/>
        </w:rPr>
        <w:t xml:space="preserve">  </w:t>
      </w:r>
    </w:p>
    <w:p>
      <w:pPr>
        <w:tabs>
          <w:tab w:val="left" w:pos="9639"/>
        </w:tabs>
        <w:spacing w:line="360" w:lineRule="auto"/>
        <w:ind w:firstLine="480" w:firstLineChars="200"/>
        <w:rPr>
          <w:rFonts w:hint="eastAsia" w:hAnsi="宋体"/>
          <w:bCs/>
          <w:sz w:val="24"/>
          <w:u w:val="single"/>
        </w:rPr>
      </w:pPr>
      <w:r>
        <w:rPr>
          <w:rFonts w:hint="eastAsia" w:hAnsi="宋体"/>
          <w:sz w:val="24"/>
        </w:rPr>
        <w:t>2.采购项目名称：</w:t>
      </w:r>
      <w:r>
        <w:rPr>
          <w:rFonts w:hint="eastAsia"/>
          <w:sz w:val="24"/>
          <w:szCs w:val="22"/>
          <w:u w:val="single"/>
        </w:rPr>
        <w:t>德源桤木河城市段城市更新设计采购项目</w:t>
      </w:r>
    </w:p>
    <w:p>
      <w:pPr>
        <w:pStyle w:val="59"/>
        <w:tabs>
          <w:tab w:val="left" w:pos="9639"/>
        </w:tabs>
        <w:ind w:firstLine="470" w:firstLineChars="196"/>
        <w:rPr>
          <w:rFonts w:hint="eastAsia" w:hAnsi="宋体"/>
          <w:sz w:val="24"/>
        </w:rPr>
      </w:pPr>
      <w:r>
        <w:rPr>
          <w:rFonts w:hint="eastAsia" w:hAnsi="宋体"/>
          <w:sz w:val="24"/>
        </w:rPr>
        <w:t>3.采购人：</w:t>
      </w:r>
      <w:r>
        <w:rPr>
          <w:rFonts w:hint="eastAsia"/>
          <w:sz w:val="24"/>
          <w:szCs w:val="22"/>
          <w:u w:val="single"/>
        </w:rPr>
        <w:t>成都市郫都区</w:t>
      </w:r>
      <w:r>
        <w:rPr>
          <w:rFonts w:hint="eastAsia"/>
          <w:sz w:val="24"/>
          <w:szCs w:val="22"/>
          <w:u w:val="single"/>
          <w:lang w:eastAsia="zh-CN"/>
        </w:rPr>
        <w:t>人民政府</w:t>
      </w:r>
      <w:r>
        <w:rPr>
          <w:rFonts w:hint="eastAsia"/>
          <w:sz w:val="24"/>
          <w:szCs w:val="22"/>
          <w:u w:val="single"/>
        </w:rPr>
        <w:t>德源街道办事处</w:t>
      </w:r>
    </w:p>
    <w:p>
      <w:pPr>
        <w:tabs>
          <w:tab w:val="left" w:pos="9639"/>
        </w:tabs>
        <w:spacing w:line="360" w:lineRule="auto"/>
        <w:ind w:firstLine="480" w:firstLineChars="200"/>
        <w:rPr>
          <w:rFonts w:hint="eastAsia" w:hAnsi="宋体"/>
          <w:sz w:val="24"/>
          <w:u w:val="single"/>
        </w:rPr>
      </w:pPr>
      <w:r>
        <w:rPr>
          <w:rFonts w:hint="eastAsia" w:hAnsi="宋体"/>
          <w:sz w:val="24"/>
        </w:rPr>
        <w:t>4.采购代理机构：</w:t>
      </w:r>
      <w:r>
        <w:rPr>
          <w:rFonts w:hint="eastAsia" w:hAnsi="宋体"/>
          <w:sz w:val="24"/>
          <w:u w:val="single"/>
        </w:rPr>
        <w:t>四川坤阳工程管理咨询有限公司</w:t>
      </w:r>
    </w:p>
    <w:p>
      <w:pPr>
        <w:tabs>
          <w:tab w:val="left" w:pos="9639"/>
        </w:tabs>
        <w:spacing w:line="360" w:lineRule="auto"/>
        <w:ind w:firstLine="482" w:firstLineChars="200"/>
        <w:rPr>
          <w:rFonts w:hint="eastAsia" w:hAnsi="宋体"/>
          <w:b/>
          <w:sz w:val="24"/>
        </w:rPr>
      </w:pPr>
      <w:r>
        <w:rPr>
          <w:rFonts w:hint="eastAsia" w:hAnsi="宋体"/>
          <w:b/>
          <w:sz w:val="24"/>
        </w:rPr>
        <w:t>二、资金情况</w:t>
      </w:r>
    </w:p>
    <w:p>
      <w:pPr>
        <w:tabs>
          <w:tab w:val="left" w:pos="9639"/>
        </w:tabs>
        <w:spacing w:line="360" w:lineRule="auto"/>
        <w:ind w:firstLine="480" w:firstLineChars="200"/>
        <w:rPr>
          <w:rFonts w:hint="eastAsia" w:hAnsi="宋体"/>
          <w:b/>
          <w:bCs/>
          <w:sz w:val="24"/>
        </w:rPr>
      </w:pPr>
      <w:r>
        <w:rPr>
          <w:rFonts w:hint="eastAsia" w:hAnsi="宋体"/>
          <w:sz w:val="24"/>
        </w:rPr>
        <w:t>资金来源及金额：</w:t>
      </w:r>
      <w:r>
        <w:rPr>
          <w:rFonts w:hint="eastAsia" w:ascii="华文宋体" w:hAnsi="华文宋体" w:eastAsia="华文宋体" w:cs="华文宋体"/>
          <w:color w:val="000000"/>
          <w:sz w:val="24"/>
          <w:highlight w:val="none"/>
        </w:rPr>
        <w:t>财政性资金（人民币）</w:t>
      </w:r>
      <w:r>
        <w:rPr>
          <w:rFonts w:hint="eastAsia" w:ascii="华文宋体" w:hAnsi="华文宋体" w:eastAsia="华文宋体" w:cs="华文宋体"/>
          <w:color w:val="000000"/>
          <w:sz w:val="24"/>
          <w:highlight w:val="none"/>
          <w:u w:val="single"/>
          <w:lang w:val="en-US" w:eastAsia="zh-CN"/>
        </w:rPr>
        <w:t>200</w:t>
      </w:r>
      <w:r>
        <w:rPr>
          <w:rFonts w:hint="eastAsia" w:ascii="华文宋体" w:hAnsi="华文宋体" w:eastAsia="华文宋体" w:cs="华文宋体"/>
          <w:color w:val="000000"/>
          <w:sz w:val="24"/>
          <w:highlight w:val="none"/>
        </w:rPr>
        <w:t>万元</w:t>
      </w:r>
      <w:r>
        <w:rPr>
          <w:rFonts w:hint="eastAsia" w:hAnsi="宋体"/>
          <w:sz w:val="24"/>
        </w:rPr>
        <w:t>。</w:t>
      </w:r>
    </w:p>
    <w:p>
      <w:pPr>
        <w:tabs>
          <w:tab w:val="left" w:pos="9639"/>
        </w:tabs>
        <w:spacing w:line="360" w:lineRule="auto"/>
        <w:ind w:firstLine="482" w:firstLineChars="200"/>
        <w:rPr>
          <w:rFonts w:hint="eastAsia" w:hAnsi="宋体"/>
          <w:sz w:val="24"/>
        </w:rPr>
      </w:pPr>
      <w:r>
        <w:rPr>
          <w:rFonts w:hint="eastAsia" w:hAnsi="宋体"/>
          <w:b/>
          <w:sz w:val="24"/>
        </w:rPr>
        <w:t>三</w:t>
      </w:r>
      <w:r>
        <w:rPr>
          <w:rFonts w:hint="eastAsia" w:hAnsi="宋体"/>
          <w:b/>
          <w:bCs/>
          <w:sz w:val="24"/>
        </w:rPr>
        <w:t>、</w:t>
      </w:r>
      <w:r>
        <w:rPr>
          <w:rFonts w:hint="eastAsia" w:hAnsi="宋体"/>
          <w:b/>
          <w:sz w:val="24"/>
        </w:rPr>
        <w:t>采购项目简介：</w:t>
      </w:r>
    </w:p>
    <w:p>
      <w:pPr>
        <w:tabs>
          <w:tab w:val="left" w:pos="7665"/>
          <w:tab w:val="left" w:pos="9639"/>
        </w:tabs>
        <w:spacing w:line="360" w:lineRule="auto"/>
        <w:ind w:firstLine="600" w:firstLineChars="250"/>
        <w:rPr>
          <w:rFonts w:hint="eastAsia"/>
          <w:sz w:val="24"/>
        </w:rPr>
      </w:pPr>
      <w:r>
        <w:rPr>
          <w:rFonts w:hint="eastAsia"/>
          <w:sz w:val="24"/>
        </w:rPr>
        <w:t>本项目共分为1个包，</w:t>
      </w:r>
      <w:bookmarkStart w:id="4" w:name="OLE_LINK3"/>
      <w:bookmarkStart w:id="5" w:name="OLE_LINK1"/>
      <w:r>
        <w:rPr>
          <w:rFonts w:hint="eastAsia"/>
          <w:sz w:val="24"/>
        </w:rPr>
        <w:t>具体需求详见</w:t>
      </w:r>
      <w:r>
        <w:rPr>
          <w:rFonts w:hint="eastAsia"/>
          <w:sz w:val="24"/>
          <w:lang w:eastAsia="zh-CN"/>
        </w:rPr>
        <w:t>磋商文件</w:t>
      </w:r>
      <w:r>
        <w:rPr>
          <w:rFonts w:hint="eastAsia"/>
          <w:sz w:val="24"/>
        </w:rPr>
        <w:t>“第五章 采购项目技术、服务及其他商务要求”。</w:t>
      </w:r>
      <w:bookmarkEnd w:id="4"/>
      <w:bookmarkEnd w:id="5"/>
    </w:p>
    <w:p>
      <w:pPr>
        <w:tabs>
          <w:tab w:val="left" w:pos="9639"/>
        </w:tabs>
        <w:spacing w:line="360" w:lineRule="auto"/>
        <w:ind w:firstLine="482" w:firstLineChars="200"/>
        <w:rPr>
          <w:rFonts w:hint="eastAsia" w:hAnsi="宋体"/>
          <w:b/>
          <w:bCs/>
          <w:sz w:val="24"/>
        </w:rPr>
      </w:pPr>
      <w:r>
        <w:rPr>
          <w:rFonts w:hint="eastAsia" w:hAnsi="宋体"/>
          <w:b/>
          <w:bCs/>
          <w:sz w:val="24"/>
        </w:rPr>
        <w:t>四、供应商邀请方式</w:t>
      </w:r>
    </w:p>
    <w:p>
      <w:pPr>
        <w:tabs>
          <w:tab w:val="left" w:pos="9639"/>
        </w:tabs>
        <w:spacing w:line="360" w:lineRule="auto"/>
        <w:ind w:firstLine="480" w:firstLineChars="200"/>
        <w:rPr>
          <w:rFonts w:hint="eastAsia" w:hAnsi="宋体"/>
          <w:bCs/>
          <w:sz w:val="24"/>
        </w:rPr>
      </w:pPr>
      <w:r>
        <w:rPr>
          <w:rFonts w:hint="eastAsia" w:hAnsi="宋体"/>
          <w:bCs/>
          <w:sz w:val="24"/>
        </w:rPr>
        <w:t>公告方式：本次竞争性磋商邀请在四川政府采购网（www.ccgp-sichuan.gov.cn）上以公告形式发布。</w:t>
      </w:r>
    </w:p>
    <w:p>
      <w:pPr>
        <w:tabs>
          <w:tab w:val="left" w:pos="9639"/>
        </w:tabs>
        <w:spacing w:line="360" w:lineRule="auto"/>
        <w:ind w:firstLine="482" w:firstLineChars="200"/>
        <w:rPr>
          <w:rFonts w:hint="eastAsia" w:hAnsi="宋体"/>
          <w:b/>
          <w:bCs/>
          <w:sz w:val="24"/>
        </w:rPr>
      </w:pPr>
      <w:r>
        <w:rPr>
          <w:rFonts w:hint="eastAsia" w:hAnsi="宋体"/>
          <w:b/>
          <w:bCs/>
          <w:sz w:val="24"/>
        </w:rPr>
        <w:t>五、供应商参加本次政府采购活动应具备下列条件</w:t>
      </w:r>
    </w:p>
    <w:p>
      <w:pPr>
        <w:pStyle w:val="59"/>
        <w:tabs>
          <w:tab w:val="left" w:pos="9639"/>
        </w:tabs>
        <w:ind w:firstLine="600" w:firstLineChars="250"/>
        <w:rPr>
          <w:rFonts w:hint="eastAsia"/>
          <w:sz w:val="24"/>
        </w:rPr>
      </w:pPr>
      <w:r>
        <w:rPr>
          <w:rFonts w:hint="eastAsia"/>
          <w:sz w:val="24"/>
        </w:rPr>
        <w:t>1.具有独立承担民事责任的能力；</w:t>
      </w:r>
    </w:p>
    <w:p>
      <w:pPr>
        <w:tabs>
          <w:tab w:val="left" w:pos="7665"/>
          <w:tab w:val="left" w:pos="9639"/>
        </w:tabs>
        <w:spacing w:line="360" w:lineRule="auto"/>
        <w:ind w:firstLine="600" w:firstLineChars="250"/>
        <w:rPr>
          <w:rFonts w:hint="eastAsia"/>
          <w:sz w:val="24"/>
        </w:rPr>
      </w:pPr>
      <w:r>
        <w:rPr>
          <w:rFonts w:hint="eastAsia"/>
          <w:sz w:val="24"/>
        </w:rPr>
        <w:t>2.具有良好的商业信誉和健全的财务会计制度；</w:t>
      </w:r>
    </w:p>
    <w:p>
      <w:pPr>
        <w:tabs>
          <w:tab w:val="left" w:pos="7665"/>
          <w:tab w:val="left" w:pos="9639"/>
        </w:tabs>
        <w:spacing w:line="360" w:lineRule="auto"/>
        <w:ind w:firstLine="600" w:firstLineChars="250"/>
        <w:rPr>
          <w:rFonts w:hint="eastAsia"/>
          <w:sz w:val="24"/>
        </w:rPr>
      </w:pPr>
      <w:r>
        <w:rPr>
          <w:rFonts w:hint="eastAsia"/>
          <w:sz w:val="24"/>
        </w:rPr>
        <w:t>3.具有履行合同所必须的设备和专业技术能力；</w:t>
      </w:r>
    </w:p>
    <w:p>
      <w:pPr>
        <w:tabs>
          <w:tab w:val="left" w:pos="7665"/>
          <w:tab w:val="left" w:pos="9639"/>
        </w:tabs>
        <w:spacing w:line="360" w:lineRule="auto"/>
        <w:ind w:firstLine="600" w:firstLineChars="250"/>
        <w:rPr>
          <w:rFonts w:hint="eastAsia"/>
          <w:sz w:val="24"/>
        </w:rPr>
      </w:pPr>
      <w:r>
        <w:rPr>
          <w:rFonts w:hint="eastAsia"/>
          <w:sz w:val="24"/>
        </w:rPr>
        <w:t>4.具有依法缴纳税收和社会保障资金的良好记录；</w:t>
      </w:r>
    </w:p>
    <w:p>
      <w:pPr>
        <w:tabs>
          <w:tab w:val="left" w:pos="7665"/>
          <w:tab w:val="left" w:pos="9639"/>
        </w:tabs>
        <w:spacing w:line="360" w:lineRule="auto"/>
        <w:ind w:firstLine="600" w:firstLineChars="250"/>
        <w:rPr>
          <w:rFonts w:hint="eastAsia"/>
          <w:sz w:val="24"/>
        </w:rPr>
      </w:pPr>
      <w:r>
        <w:rPr>
          <w:rFonts w:hint="eastAsia"/>
          <w:sz w:val="24"/>
        </w:rPr>
        <w:t>5.参加本次政府采购活动前三年内，在经营活动中没有重大违法记录；</w:t>
      </w:r>
    </w:p>
    <w:p>
      <w:pPr>
        <w:pStyle w:val="59"/>
        <w:tabs>
          <w:tab w:val="left" w:pos="9639"/>
        </w:tabs>
        <w:ind w:firstLine="600" w:firstLineChars="250"/>
        <w:rPr>
          <w:rFonts w:hint="eastAsia"/>
          <w:sz w:val="24"/>
        </w:rPr>
      </w:pPr>
      <w:r>
        <w:rPr>
          <w:rFonts w:hint="eastAsia"/>
          <w:sz w:val="24"/>
        </w:rPr>
        <w:t>6.法律、行政法规规定的其他条件；</w:t>
      </w:r>
    </w:p>
    <w:p>
      <w:pPr>
        <w:pStyle w:val="59"/>
        <w:tabs>
          <w:tab w:val="left" w:pos="9639"/>
        </w:tabs>
        <w:ind w:firstLine="600" w:firstLineChars="250"/>
        <w:rPr>
          <w:rFonts w:hint="eastAsia"/>
          <w:sz w:val="24"/>
          <w:szCs w:val="22"/>
        </w:rPr>
      </w:pPr>
      <w:r>
        <w:rPr>
          <w:rFonts w:hint="eastAsia"/>
          <w:sz w:val="24"/>
        </w:rPr>
        <w:t>7</w:t>
      </w:r>
      <w:r>
        <w:rPr>
          <w:rFonts w:hint="eastAsia"/>
          <w:sz w:val="24"/>
          <w:szCs w:val="22"/>
        </w:rPr>
        <w:t>.本次政府采购活动不接受联合体参与采购活动。</w:t>
      </w:r>
    </w:p>
    <w:p>
      <w:pPr>
        <w:pStyle w:val="59"/>
        <w:tabs>
          <w:tab w:val="left" w:pos="9639"/>
        </w:tabs>
        <w:ind w:firstLine="600" w:firstLineChars="250"/>
        <w:rPr>
          <w:rFonts w:hint="eastAsia"/>
          <w:sz w:val="24"/>
        </w:rPr>
      </w:pPr>
      <w:r>
        <w:rPr>
          <w:rFonts w:hint="eastAsia"/>
          <w:sz w:val="24"/>
        </w:rPr>
        <w:t>（二）采购人根据采购项目提出的特殊条件:</w:t>
      </w:r>
    </w:p>
    <w:p>
      <w:pPr>
        <w:pStyle w:val="59"/>
        <w:tabs>
          <w:tab w:val="left" w:pos="9639"/>
        </w:tabs>
        <w:ind w:firstLine="600" w:firstLineChars="250"/>
        <w:rPr>
          <w:rFonts w:hint="eastAsia" w:ascii="宋体" w:hAnsi="宋体" w:eastAsia="宋体" w:cs="宋体"/>
          <w:sz w:val="24"/>
        </w:rPr>
      </w:pPr>
      <w:r>
        <w:rPr>
          <w:rFonts w:hint="eastAsia" w:ascii="宋体" w:hAnsi="宋体" w:eastAsia="宋体" w:cs="宋体"/>
          <w:sz w:val="24"/>
        </w:rPr>
        <w:t>1、供应商不得为“信用中国”网站(www.creditchina.gov.cn)中列入失信被执行人、重大税收违法案件和政府采购严重违法失信当事人名单的供应商，不得为中国政府采购网(www.ccgp.gov.cn)政府采购严重违法失信行为记录名单中被财政部门禁止参加政府采购活动的供应商(处罚决定规定的时间和地域范围内)；（投标文件中可不提供相关资料）</w:t>
      </w:r>
    </w:p>
    <w:p>
      <w:pPr>
        <w:pStyle w:val="59"/>
        <w:tabs>
          <w:tab w:val="left" w:pos="9639"/>
        </w:tabs>
        <w:ind w:firstLine="600" w:firstLineChars="250"/>
        <w:rPr>
          <w:rFonts w:hint="eastAsia" w:ascii="宋体" w:hAnsi="宋体" w:eastAsia="宋体" w:cs="宋体"/>
          <w:sz w:val="24"/>
        </w:rPr>
      </w:pPr>
      <w:r>
        <w:rPr>
          <w:rFonts w:hint="eastAsia" w:ascii="宋体" w:hAnsi="宋体" w:eastAsia="宋体" w:cs="宋体"/>
          <w:sz w:val="24"/>
        </w:rPr>
        <w:t>2、供应商不得为“中国政府采购网”曝光台被曝光供应商。（投标文件中可不提供相关资料）</w:t>
      </w:r>
    </w:p>
    <w:p>
      <w:pPr>
        <w:pStyle w:val="59"/>
        <w:tabs>
          <w:tab w:val="left" w:pos="9639"/>
        </w:tabs>
        <w:ind w:firstLine="600" w:firstLineChars="250"/>
        <w:rPr>
          <w:rFonts w:hint="eastAsia" w:ascii="宋体" w:hAnsi="宋体" w:eastAsia="宋体" w:cs="宋体"/>
          <w:sz w:val="24"/>
        </w:rPr>
      </w:pPr>
      <w:r>
        <w:rPr>
          <w:rFonts w:hint="eastAsia" w:ascii="宋体" w:hAnsi="宋体" w:eastAsia="宋体" w:cs="宋体"/>
          <w:sz w:val="24"/>
        </w:rPr>
        <w:t>注：采购人或采购代理机构将于本项目投标截止日在‘信用中国’网站、‘中国政府采购网’网站等渠道对供应商进行信用记录查询，并将查询记录存档。凡被列入失信被执行人、重大税收违法案件当事人名单、政府采购严重违法失信行为记录名单的，视为存在不良信用记录，参与本项目的将被拒绝。</w:t>
      </w:r>
    </w:p>
    <w:p>
      <w:pPr>
        <w:pStyle w:val="11"/>
        <w:tabs>
          <w:tab w:val="left" w:pos="9639"/>
        </w:tabs>
        <w:spacing w:after="0" w:line="360" w:lineRule="auto"/>
        <w:ind w:firstLine="660" w:firstLineChars="275"/>
        <w:rPr>
          <w:rFonts w:hint="eastAsia" w:ascii="宋体" w:hAnsi="宋体" w:eastAsia="宋体" w:cs="宋体"/>
          <w:sz w:val="24"/>
          <w:lang w:bidi="ar"/>
        </w:rPr>
      </w:pPr>
      <w:r>
        <w:rPr>
          <w:rFonts w:hint="eastAsia" w:ascii="宋体" w:hAnsi="宋体" w:eastAsia="宋体" w:cs="宋体"/>
          <w:kern w:val="2"/>
          <w:sz w:val="24"/>
          <w:szCs w:val="24"/>
        </w:rPr>
        <w:t>3、</w:t>
      </w:r>
      <w:r>
        <w:rPr>
          <w:rFonts w:hint="eastAsia" w:ascii="宋体" w:hAnsi="宋体" w:eastAsia="宋体" w:cs="宋体"/>
          <w:bCs/>
          <w:color w:val="auto"/>
          <w:kern w:val="1"/>
          <w:sz w:val="24"/>
          <w:szCs w:val="24"/>
        </w:rPr>
        <w:t>本项目专门面向中小企业采购(监狱企业、残疾人福利性单位均视同小微企业)，非中小企业参与的将视为无效响应</w:t>
      </w:r>
      <w:r>
        <w:rPr>
          <w:rFonts w:hint="eastAsia" w:ascii="宋体" w:hAnsi="宋体" w:eastAsia="宋体" w:cs="宋体"/>
          <w:bCs/>
          <w:color w:val="auto"/>
          <w:kern w:val="1"/>
          <w:sz w:val="24"/>
          <w:szCs w:val="24"/>
          <w:lang w:eastAsia="zh-CN"/>
        </w:rPr>
        <w:t>；</w:t>
      </w:r>
    </w:p>
    <w:p>
      <w:pPr>
        <w:tabs>
          <w:tab w:val="left" w:pos="9639"/>
        </w:tabs>
        <w:spacing w:line="360" w:lineRule="auto"/>
        <w:ind w:firstLine="480" w:firstLineChars="200"/>
        <w:rPr>
          <w:rFonts w:hint="eastAsia" w:ascii="宋体" w:hAnsi="宋体" w:eastAsia="宋体" w:cs="宋体"/>
          <w:sz w:val="24"/>
          <w:szCs w:val="22"/>
          <w:lang w:eastAsia="zh-CN" w:bidi="ar"/>
        </w:rPr>
      </w:pPr>
      <w:r>
        <w:rPr>
          <w:rFonts w:hint="eastAsia" w:ascii="宋体" w:hAnsi="宋体" w:eastAsia="宋体" w:cs="宋体"/>
          <w:sz w:val="24"/>
        </w:rPr>
        <w:t xml:space="preserve"> 4、</w:t>
      </w:r>
      <w:r>
        <w:rPr>
          <w:rFonts w:hint="eastAsia" w:ascii="宋体" w:hAnsi="宋体" w:eastAsia="宋体" w:cs="宋体"/>
          <w:color w:val="auto"/>
          <w:kern w:val="2"/>
          <w:sz w:val="24"/>
          <w:szCs w:val="24"/>
          <w:lang w:eastAsia="zh-CN"/>
        </w:rPr>
        <w:t>供应商应具备建设行政主管部门颁发的</w:t>
      </w:r>
      <w:r>
        <w:rPr>
          <w:rFonts w:hint="eastAsia" w:ascii="宋体" w:hAnsi="宋体" w:eastAsia="宋体" w:cs="宋体"/>
          <w:color w:val="auto"/>
          <w:kern w:val="2"/>
          <w:sz w:val="24"/>
          <w:szCs w:val="24"/>
          <w:lang w:val="en-US" w:eastAsia="zh-CN"/>
        </w:rPr>
        <w:t>风景园林工程专项设计乙级及以上资质和建筑行业（建筑工程）设计丙级及以上资质</w:t>
      </w:r>
      <w:r>
        <w:rPr>
          <w:rFonts w:hint="eastAsia" w:ascii="宋体" w:hAnsi="宋体" w:eastAsia="宋体" w:cs="宋体"/>
          <w:sz w:val="24"/>
          <w:szCs w:val="22"/>
          <w:lang w:eastAsia="zh-CN" w:bidi="ar"/>
        </w:rPr>
        <w:t>；</w:t>
      </w:r>
    </w:p>
    <w:p>
      <w:pPr>
        <w:pStyle w:val="8"/>
        <w:ind w:firstLine="720" w:firstLineChars="300"/>
        <w:rPr>
          <w:rFonts w:hint="eastAsia" w:ascii="宋体" w:hAnsi="宋体" w:eastAsia="宋体" w:cs="宋体"/>
          <w:lang w:val="en-US" w:eastAsia="zh-CN"/>
        </w:rPr>
      </w:pPr>
      <w:r>
        <w:rPr>
          <w:rFonts w:hint="eastAsia" w:ascii="宋体" w:hAnsi="宋体" w:eastAsia="宋体" w:cs="宋体"/>
          <w:sz w:val="24"/>
          <w:szCs w:val="22"/>
          <w:lang w:val="en-US" w:eastAsia="zh-CN" w:bidi="ar"/>
        </w:rPr>
        <w:t>5、</w:t>
      </w:r>
      <w:r>
        <w:rPr>
          <w:rFonts w:hint="eastAsia" w:ascii="宋体" w:hAnsi="宋体" w:eastAsia="宋体" w:cs="宋体"/>
          <w:color w:val="auto"/>
          <w:kern w:val="2"/>
          <w:sz w:val="24"/>
          <w:szCs w:val="24"/>
          <w:lang w:eastAsia="zh-CN"/>
        </w:rPr>
        <w:t>未处于财产被接管、冻结、破产状态，未处于四川省行政区域内有关行政处罚和投标禁入期间。</w:t>
      </w:r>
    </w:p>
    <w:p>
      <w:pPr>
        <w:tabs>
          <w:tab w:val="left" w:pos="9639"/>
        </w:tabs>
        <w:spacing w:line="440" w:lineRule="exact"/>
        <w:ind w:firstLine="482" w:firstLineChars="200"/>
        <w:rPr>
          <w:rFonts w:hint="eastAsia" w:hAnsi="宋体"/>
          <w:b/>
          <w:bCs/>
          <w:sz w:val="24"/>
        </w:rPr>
      </w:pPr>
      <w:r>
        <w:rPr>
          <w:rFonts w:hint="eastAsia"/>
          <w:b/>
          <w:bCs/>
          <w:sz w:val="24"/>
        </w:rPr>
        <w:t>六、</w:t>
      </w:r>
      <w:r>
        <w:rPr>
          <w:rFonts w:hint="eastAsia" w:hAnsi="宋体"/>
          <w:b/>
          <w:bCs/>
          <w:sz w:val="24"/>
        </w:rPr>
        <w:t>禁止参加本次采购活动的供应商</w:t>
      </w:r>
    </w:p>
    <w:p>
      <w:pPr>
        <w:tabs>
          <w:tab w:val="left" w:pos="9639"/>
        </w:tabs>
        <w:spacing w:line="360" w:lineRule="auto"/>
        <w:ind w:firstLine="480" w:firstLineChars="200"/>
        <w:rPr>
          <w:rFonts w:hint="eastAsia" w:hAnsi="宋体"/>
          <w:sz w:val="24"/>
        </w:rPr>
      </w:pPr>
      <w:r>
        <w:rPr>
          <w:rFonts w:hint="eastAsia" w:hAnsi="宋体"/>
          <w:sz w:val="24"/>
        </w:rPr>
        <w:t>1.根据《关于在政府采购活动中查询及使用信用记录有关问题的通知》（财库〔2016〕125号）的要求， 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pPr>
        <w:tabs>
          <w:tab w:val="left" w:pos="9639"/>
        </w:tabs>
        <w:spacing w:line="360" w:lineRule="auto"/>
        <w:ind w:firstLine="480" w:firstLineChars="200"/>
        <w:rPr>
          <w:rFonts w:hint="eastAsia" w:hAnsi="宋体"/>
          <w:sz w:val="24"/>
        </w:rPr>
      </w:pPr>
      <w:r>
        <w:rPr>
          <w:rFonts w:hint="eastAsia" w:hAnsi="宋体"/>
          <w:sz w:val="24"/>
        </w:rPr>
        <w:t>2.为采购项目提供整体设计、规范编制或者项目管理、监理、检测等服务的供应商，不得参加本采购项目。供应商为采购人、采购代理机构在确定采购需求、编制磋商文件过程中提供咨询论证，其提供的咨询论证意见成为磋商文件中规定的供应商资格条件、技术服务商务要求、评审因素和标准、政府采购合同等实质性内容条款的，视同为采购项目提供规范编制。</w:t>
      </w:r>
    </w:p>
    <w:p>
      <w:pPr>
        <w:tabs>
          <w:tab w:val="left" w:pos="9639"/>
        </w:tabs>
        <w:autoSpaceDE w:val="0"/>
        <w:autoSpaceDN w:val="0"/>
        <w:spacing w:line="360" w:lineRule="auto"/>
        <w:ind w:firstLine="422" w:firstLineChars="175"/>
        <w:jc w:val="left"/>
        <w:rPr>
          <w:rFonts w:hint="eastAsia" w:hAnsi="宋体" w:cs="宋体"/>
          <w:sz w:val="24"/>
          <w:szCs w:val="22"/>
          <w:lang w:bidi="ar"/>
        </w:rPr>
      </w:pPr>
      <w:r>
        <w:rPr>
          <w:rFonts w:hint="eastAsia" w:hAnsi="宋体"/>
          <w:b/>
          <w:bCs/>
          <w:sz w:val="24"/>
          <w:szCs w:val="24"/>
        </w:rPr>
        <w:t>3、供应商</w:t>
      </w:r>
      <w:r>
        <w:rPr>
          <w:rFonts w:hAnsi="宋体"/>
          <w:b/>
          <w:bCs/>
          <w:sz w:val="24"/>
          <w:szCs w:val="24"/>
        </w:rPr>
        <w:t>信用融资：</w:t>
      </w:r>
      <w:r>
        <w:rPr>
          <w:rFonts w:hint="eastAsia" w:hAnsi="宋体" w:cs="宋体"/>
          <w:sz w:val="24"/>
          <w:szCs w:val="22"/>
          <w:lang w:bidi="ar"/>
        </w:rPr>
        <w:t>根据《四川省财政厅关于推进四川省政府采购供应商信用融资工作的通知》（川财采〔2018〕123号）、《成都市财政局中国人民银行成都分行营业管理部关于印发&lt;成都市中小企业政府采购信用融资暂行办法&gt;和&lt;成都市级支持中小企业政府采购信用融资实施方案&gt;的通知》（成财采【2019】17号）规定，本项目对符合文件规定条件的中小企业可依照文件规定提供信用融资，中标（成交）供应商为中小微企业的，可依据政府采购合同申请政府采购信用融资。</w:t>
      </w:r>
    </w:p>
    <w:p>
      <w:pPr>
        <w:tabs>
          <w:tab w:val="left" w:pos="9639"/>
        </w:tabs>
        <w:spacing w:line="360" w:lineRule="auto"/>
        <w:ind w:firstLine="482" w:firstLineChars="200"/>
        <w:rPr>
          <w:rFonts w:hint="eastAsia" w:hAnsi="宋体"/>
          <w:b/>
          <w:sz w:val="24"/>
        </w:rPr>
      </w:pPr>
      <w:r>
        <w:rPr>
          <w:rFonts w:hint="eastAsia" w:hAnsi="宋体"/>
          <w:b/>
          <w:sz w:val="24"/>
        </w:rPr>
        <w:t>七、磋商文件获取方式、时间、地点：</w:t>
      </w:r>
    </w:p>
    <w:p>
      <w:pPr>
        <w:tabs>
          <w:tab w:val="left" w:pos="9639"/>
        </w:tabs>
        <w:adjustRightInd w:val="0"/>
        <w:snapToGrid w:val="0"/>
        <w:spacing w:line="360" w:lineRule="auto"/>
        <w:ind w:firstLine="590" w:firstLineChars="245"/>
        <w:contextualSpacing/>
        <w:rPr>
          <w:rFonts w:hint="eastAsia" w:hAnsi="宋体" w:cs="宋体"/>
          <w:sz w:val="24"/>
          <w:szCs w:val="24"/>
        </w:rPr>
      </w:pPr>
      <w:r>
        <w:rPr>
          <w:rFonts w:hint="eastAsia" w:hAnsi="宋体" w:cs="宋体"/>
          <w:b/>
          <w:bCs/>
          <w:sz w:val="24"/>
          <w:szCs w:val="24"/>
        </w:rPr>
        <w:t>磋商文件获取时间</w:t>
      </w:r>
      <w:r>
        <w:rPr>
          <w:rFonts w:hint="eastAsia" w:hAnsi="宋体" w:cs="宋体"/>
          <w:sz w:val="24"/>
          <w:szCs w:val="24"/>
        </w:rPr>
        <w:t>：</w:t>
      </w:r>
      <w:r>
        <w:rPr>
          <w:rFonts w:hint="eastAsia" w:hAnsi="宋体" w:cs="宋体"/>
          <w:sz w:val="24"/>
          <w:szCs w:val="24"/>
          <w:u w:val="single"/>
        </w:rPr>
        <w:t>2021</w:t>
      </w:r>
      <w:r>
        <w:rPr>
          <w:rFonts w:hint="eastAsia" w:hAnsi="宋体" w:cs="宋体"/>
          <w:sz w:val="24"/>
          <w:szCs w:val="24"/>
        </w:rPr>
        <w:t>年</w:t>
      </w:r>
      <w:r>
        <w:rPr>
          <w:rFonts w:hint="eastAsia" w:hAnsi="宋体" w:cs="宋体"/>
          <w:sz w:val="24"/>
          <w:szCs w:val="24"/>
          <w:u w:val="single"/>
          <w:lang w:val="en-US" w:eastAsia="zh-CN"/>
        </w:rPr>
        <w:t>10</w:t>
      </w:r>
      <w:r>
        <w:rPr>
          <w:rFonts w:hint="eastAsia" w:hAnsi="宋体" w:cs="宋体"/>
          <w:sz w:val="24"/>
          <w:szCs w:val="24"/>
        </w:rPr>
        <w:t>月</w:t>
      </w:r>
      <w:r>
        <w:rPr>
          <w:rFonts w:hint="eastAsia" w:hAnsi="宋体" w:cs="宋体"/>
          <w:sz w:val="24"/>
          <w:szCs w:val="24"/>
          <w:u w:val="single"/>
        </w:rPr>
        <w:t>2</w:t>
      </w:r>
      <w:r>
        <w:rPr>
          <w:rFonts w:hint="eastAsia" w:hAnsi="宋体" w:cs="宋体"/>
          <w:sz w:val="24"/>
          <w:szCs w:val="24"/>
          <w:u w:val="single"/>
          <w:lang w:val="en-US" w:eastAsia="zh-CN"/>
        </w:rPr>
        <w:t>7</w:t>
      </w:r>
      <w:r>
        <w:rPr>
          <w:rFonts w:hint="eastAsia" w:hAnsi="宋体" w:cs="宋体"/>
          <w:sz w:val="24"/>
          <w:szCs w:val="24"/>
        </w:rPr>
        <w:t>日至</w:t>
      </w:r>
      <w:r>
        <w:rPr>
          <w:rFonts w:hint="eastAsia" w:hAnsi="宋体" w:cs="宋体"/>
          <w:sz w:val="24"/>
          <w:szCs w:val="24"/>
          <w:u w:val="single"/>
        </w:rPr>
        <w:t>2021</w:t>
      </w:r>
      <w:r>
        <w:rPr>
          <w:rFonts w:hint="eastAsia" w:hAnsi="宋体" w:cs="宋体"/>
          <w:sz w:val="24"/>
          <w:szCs w:val="24"/>
        </w:rPr>
        <w:t>年</w:t>
      </w:r>
      <w:r>
        <w:rPr>
          <w:rFonts w:hint="eastAsia" w:hAnsi="宋体" w:cs="宋体"/>
          <w:sz w:val="24"/>
          <w:szCs w:val="24"/>
          <w:u w:val="single"/>
          <w:lang w:val="en-US" w:eastAsia="zh-CN"/>
        </w:rPr>
        <w:t>11</w:t>
      </w:r>
      <w:r>
        <w:rPr>
          <w:rFonts w:hint="eastAsia" w:hAnsi="宋体" w:cs="宋体"/>
          <w:sz w:val="24"/>
          <w:szCs w:val="24"/>
        </w:rPr>
        <w:t>月</w:t>
      </w:r>
      <w:r>
        <w:rPr>
          <w:rFonts w:hint="eastAsia" w:hAnsi="宋体" w:cs="宋体"/>
          <w:sz w:val="24"/>
          <w:szCs w:val="24"/>
          <w:u w:val="single"/>
        </w:rPr>
        <w:t>0</w:t>
      </w:r>
      <w:r>
        <w:rPr>
          <w:rFonts w:hint="eastAsia" w:hAnsi="宋体" w:cs="宋体"/>
          <w:sz w:val="24"/>
          <w:szCs w:val="24"/>
          <w:u w:val="single"/>
          <w:lang w:val="en-US" w:eastAsia="zh-CN"/>
        </w:rPr>
        <w:t>2</w:t>
      </w:r>
      <w:r>
        <w:rPr>
          <w:rFonts w:hint="eastAsia" w:hAnsi="宋体" w:cs="宋体"/>
          <w:sz w:val="24"/>
          <w:szCs w:val="24"/>
        </w:rPr>
        <w:t>日（每天</w:t>
      </w:r>
      <w:r>
        <w:rPr>
          <w:rFonts w:hint="eastAsia" w:hAnsi="宋体" w:cs="宋体"/>
          <w:sz w:val="24"/>
          <w:szCs w:val="24"/>
          <w:u w:val="single"/>
        </w:rPr>
        <w:t>09:00</w:t>
      </w:r>
      <w:r>
        <w:rPr>
          <w:rFonts w:hint="eastAsia" w:hAnsi="宋体" w:cs="宋体"/>
          <w:sz w:val="24"/>
          <w:szCs w:val="24"/>
        </w:rPr>
        <w:t>时-</w:t>
      </w:r>
      <w:r>
        <w:rPr>
          <w:rFonts w:hint="eastAsia" w:hAnsi="宋体" w:cs="宋体"/>
          <w:sz w:val="24"/>
          <w:szCs w:val="24"/>
          <w:u w:val="single"/>
        </w:rPr>
        <w:t>12:00</w:t>
      </w:r>
      <w:r>
        <w:rPr>
          <w:rFonts w:hint="eastAsia" w:hAnsi="宋体" w:cs="宋体"/>
          <w:sz w:val="24"/>
          <w:szCs w:val="24"/>
        </w:rPr>
        <w:t>时，</w:t>
      </w:r>
      <w:r>
        <w:rPr>
          <w:rFonts w:hint="eastAsia" w:hAnsi="宋体" w:cs="宋体"/>
          <w:sz w:val="24"/>
          <w:szCs w:val="24"/>
          <w:u w:val="single"/>
        </w:rPr>
        <w:t>14:00</w:t>
      </w:r>
      <w:r>
        <w:rPr>
          <w:rFonts w:hint="eastAsia" w:hAnsi="宋体" w:cs="宋体"/>
          <w:sz w:val="24"/>
          <w:szCs w:val="24"/>
        </w:rPr>
        <w:t>时-</w:t>
      </w:r>
      <w:r>
        <w:rPr>
          <w:rFonts w:hint="eastAsia" w:hAnsi="宋体" w:cs="宋体"/>
          <w:sz w:val="24"/>
          <w:szCs w:val="24"/>
          <w:u w:val="single"/>
          <w:lang w:val="en-US" w:eastAsia="zh-CN"/>
        </w:rPr>
        <w:t>23</w:t>
      </w:r>
      <w:r>
        <w:rPr>
          <w:rFonts w:hint="eastAsia" w:hAnsi="宋体" w:cs="宋体"/>
          <w:sz w:val="24"/>
          <w:szCs w:val="24"/>
          <w:u w:val="single"/>
        </w:rPr>
        <w:t>:</w:t>
      </w:r>
      <w:r>
        <w:rPr>
          <w:rFonts w:hint="eastAsia" w:hAnsi="宋体" w:cs="宋体"/>
          <w:sz w:val="24"/>
          <w:szCs w:val="24"/>
          <w:u w:val="single"/>
          <w:lang w:val="en-US" w:eastAsia="zh-CN"/>
        </w:rPr>
        <w:t>59</w:t>
      </w:r>
      <w:r>
        <w:rPr>
          <w:rFonts w:hint="eastAsia" w:hAnsi="宋体" w:cs="宋体"/>
          <w:sz w:val="24"/>
          <w:szCs w:val="24"/>
          <w:u w:val="single"/>
          <w:lang w:eastAsia="zh-CN"/>
        </w:rPr>
        <w:t>：</w:t>
      </w:r>
      <w:r>
        <w:rPr>
          <w:rFonts w:hint="eastAsia" w:hAnsi="宋体" w:cs="宋体"/>
          <w:sz w:val="24"/>
          <w:szCs w:val="24"/>
          <w:u w:val="single"/>
          <w:lang w:val="en-US" w:eastAsia="zh-CN"/>
        </w:rPr>
        <w:t>59</w:t>
      </w:r>
      <w:r>
        <w:rPr>
          <w:rFonts w:hint="eastAsia" w:hAnsi="宋体" w:cs="宋体"/>
          <w:sz w:val="24"/>
          <w:szCs w:val="24"/>
          <w:lang w:val="en-US" w:eastAsia="zh-CN"/>
        </w:rPr>
        <w:t>分</w:t>
      </w:r>
      <w:r>
        <w:rPr>
          <w:rFonts w:hint="eastAsia" w:hAnsi="宋体" w:cs="宋体"/>
          <w:sz w:val="24"/>
          <w:szCs w:val="24"/>
        </w:rPr>
        <w:t>)。</w:t>
      </w:r>
    </w:p>
    <w:p>
      <w:pPr>
        <w:widowControl/>
        <w:tabs>
          <w:tab w:val="left" w:pos="9639"/>
        </w:tabs>
        <w:adjustRightInd w:val="0"/>
        <w:snapToGrid w:val="0"/>
        <w:spacing w:line="360" w:lineRule="auto"/>
        <w:ind w:firstLine="590" w:firstLineChars="246"/>
        <w:contextualSpacing/>
        <w:jc w:val="left"/>
        <w:rPr>
          <w:rFonts w:hint="eastAsia" w:hAnsi="宋体" w:cs="宋体"/>
          <w:sz w:val="24"/>
          <w:szCs w:val="24"/>
        </w:rPr>
      </w:pPr>
      <w:r>
        <w:rPr>
          <w:rFonts w:hint="eastAsia" w:hAnsi="宋体" w:cs="宋体"/>
          <w:sz w:val="24"/>
          <w:szCs w:val="24"/>
        </w:rPr>
        <w:t>磋商文件发售地点：供应商从“政府采购云平台”获取采购文件（网址：</w:t>
      </w:r>
      <w:r>
        <w:rPr>
          <w:rFonts w:hint="eastAsia" w:hAnsi="宋体" w:cs="宋体"/>
          <w:sz w:val="24"/>
          <w:szCs w:val="24"/>
        </w:rPr>
        <w:drawing>
          <wp:inline distT="0" distB="0" distL="114300" distR="114300">
            <wp:extent cx="190500" cy="142875"/>
            <wp:effectExtent l="0" t="0" r="0" b="9525"/>
            <wp:docPr id="2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IMG_256"/>
                    <pic:cNvPicPr>
                      <a:picLocks noChangeAspect="1"/>
                    </pic:cNvPicPr>
                  </pic:nvPicPr>
                  <pic:blipFill>
                    <a:blip r:embed="rId11"/>
                    <a:stretch>
                      <a:fillRect/>
                    </a:stretch>
                  </pic:blipFill>
                  <pic:spPr>
                    <a:xfrm>
                      <a:off x="0" y="0"/>
                      <a:ext cx="190500" cy="142875"/>
                    </a:xfrm>
                    <a:prstGeom prst="rect">
                      <a:avLst/>
                    </a:prstGeom>
                    <a:noFill/>
                    <a:ln w="9525">
                      <a:noFill/>
                    </a:ln>
                  </pic:spPr>
                </pic:pic>
              </a:graphicData>
            </a:graphic>
          </wp:inline>
        </w:drawing>
      </w:r>
      <w:r>
        <w:rPr>
          <w:rFonts w:hint="eastAsia" w:hAnsi="宋体" w:cs="宋体"/>
          <w:sz w:val="24"/>
          <w:szCs w:val="24"/>
        </w:rPr>
        <w:t>https://www.zcygov.cn）。登录政府采购云平台—项目采购—获取采购文件—申请获取采购文件。</w:t>
      </w:r>
      <w:r>
        <w:rPr>
          <w:rFonts w:hint="eastAsia" w:hAnsi="宋体" w:cs="宋体"/>
          <w:sz w:val="24"/>
          <w:szCs w:val="24"/>
        </w:rPr>
        <w:br w:type="textWrapping"/>
      </w:r>
      <w:r>
        <w:rPr>
          <w:rFonts w:hint="eastAsia" w:hAnsi="宋体" w:cs="宋体"/>
          <w:sz w:val="24"/>
          <w:szCs w:val="24"/>
        </w:rPr>
        <w:t>提示：</w:t>
      </w:r>
      <w:r>
        <w:rPr>
          <w:rFonts w:hint="eastAsia" w:hAnsi="宋体" w:cs="宋体"/>
          <w:sz w:val="24"/>
          <w:szCs w:val="24"/>
        </w:rPr>
        <w:br w:type="textWrapping"/>
      </w:r>
      <w:r>
        <w:rPr>
          <w:rFonts w:hint="eastAsia" w:hAnsi="宋体" w:cs="宋体"/>
          <w:sz w:val="24"/>
          <w:szCs w:val="24"/>
        </w:rPr>
        <w:t>（1）本项目磋商文件免费获取。</w:t>
      </w:r>
      <w:r>
        <w:rPr>
          <w:rFonts w:hint="eastAsia" w:hAnsi="宋体" w:cs="宋体"/>
          <w:sz w:val="24"/>
          <w:szCs w:val="24"/>
        </w:rPr>
        <w:br w:type="textWrapping"/>
      </w:r>
      <w:r>
        <w:rPr>
          <w:rFonts w:hint="eastAsia" w:hAnsi="宋体" w:cs="宋体"/>
          <w:sz w:val="24"/>
          <w:szCs w:val="24"/>
        </w:rPr>
        <w:t>（2）供应商只有在“政府采购云平台”完成获取磋商文件申请并下载磋商文件后才视作依法参与本项目。如未在“政府采购云平台”内完成相关流程，引起的投标无效责任自负。</w:t>
      </w:r>
    </w:p>
    <w:p>
      <w:pPr>
        <w:widowControl/>
        <w:tabs>
          <w:tab w:val="left" w:pos="9639"/>
        </w:tabs>
        <w:adjustRightInd w:val="0"/>
        <w:snapToGrid w:val="0"/>
        <w:spacing w:line="360" w:lineRule="auto"/>
        <w:ind w:firstLine="590" w:firstLineChars="246"/>
        <w:contextualSpacing/>
        <w:jc w:val="left"/>
        <w:rPr>
          <w:rFonts w:hint="eastAsia" w:hAnsi="宋体" w:cs="宋体"/>
          <w:sz w:val="24"/>
          <w:szCs w:val="24"/>
        </w:rPr>
      </w:pPr>
      <w:r>
        <w:rPr>
          <w:rFonts w:hint="eastAsia" w:hAnsi="宋体" w:cs="宋体"/>
          <w:sz w:val="24"/>
          <w:szCs w:val="24"/>
        </w:rPr>
        <w:t>本项目磋商文件有偿获取，磋商文件售价：人民币</w:t>
      </w:r>
      <w:r>
        <w:rPr>
          <w:rFonts w:hint="eastAsia" w:hAnsi="宋体" w:cs="宋体"/>
          <w:sz w:val="24"/>
          <w:szCs w:val="24"/>
          <w:u w:val="single"/>
          <w:lang w:val="en-US" w:eastAsia="zh-CN"/>
        </w:rPr>
        <w:t>0</w:t>
      </w:r>
      <w:r>
        <w:rPr>
          <w:rFonts w:hint="eastAsia" w:hAnsi="宋体" w:cs="宋体"/>
          <w:sz w:val="24"/>
          <w:szCs w:val="24"/>
        </w:rPr>
        <w:t>元/份。</w:t>
      </w:r>
    </w:p>
    <w:p>
      <w:pPr>
        <w:tabs>
          <w:tab w:val="left" w:pos="9639"/>
        </w:tabs>
        <w:spacing w:line="360" w:lineRule="auto"/>
        <w:ind w:firstLine="482" w:firstLineChars="200"/>
        <w:rPr>
          <w:rFonts w:hint="eastAsia" w:hAnsi="宋体"/>
          <w:sz w:val="24"/>
          <w:szCs w:val="28"/>
        </w:rPr>
      </w:pPr>
      <w:r>
        <w:rPr>
          <w:rFonts w:hint="eastAsia" w:hAnsi="宋体"/>
          <w:b/>
          <w:sz w:val="24"/>
          <w:szCs w:val="28"/>
        </w:rPr>
        <w:t>八、递交响应文件</w:t>
      </w:r>
      <w:r>
        <w:rPr>
          <w:rFonts w:hint="eastAsia" w:hAnsi="宋体"/>
          <w:b/>
          <w:sz w:val="24"/>
        </w:rPr>
        <w:t>时间：</w:t>
      </w:r>
      <w:r>
        <w:rPr>
          <w:rFonts w:hint="eastAsia" w:hAnsi="宋体"/>
          <w:bCs/>
          <w:sz w:val="24"/>
          <w:u w:val="single"/>
        </w:rPr>
        <w:t>2021</w:t>
      </w:r>
      <w:r>
        <w:rPr>
          <w:rFonts w:hint="eastAsia" w:hAnsi="宋体"/>
          <w:bCs/>
          <w:sz w:val="24"/>
        </w:rPr>
        <w:t>年</w:t>
      </w:r>
      <w:r>
        <w:rPr>
          <w:rFonts w:hint="eastAsia" w:hAnsi="宋体"/>
          <w:bCs/>
          <w:sz w:val="24"/>
          <w:u w:val="single"/>
          <w:lang w:val="en-US" w:eastAsia="zh-CN"/>
        </w:rPr>
        <w:t>11</w:t>
      </w:r>
      <w:r>
        <w:rPr>
          <w:rFonts w:hint="eastAsia" w:hAnsi="宋体"/>
          <w:bCs/>
          <w:sz w:val="24"/>
        </w:rPr>
        <w:t>月</w:t>
      </w:r>
      <w:r>
        <w:rPr>
          <w:rFonts w:hint="eastAsia" w:hAnsi="宋体"/>
          <w:bCs/>
          <w:sz w:val="24"/>
          <w:u w:val="single"/>
          <w:lang w:val="en-US" w:eastAsia="zh-CN"/>
        </w:rPr>
        <w:t>09</w:t>
      </w:r>
      <w:r>
        <w:rPr>
          <w:rFonts w:hint="eastAsia" w:hAnsi="宋体"/>
          <w:bCs/>
          <w:sz w:val="24"/>
        </w:rPr>
        <w:t>日</w:t>
      </w:r>
      <w:r>
        <w:rPr>
          <w:rFonts w:hint="eastAsia" w:hAnsi="宋体"/>
          <w:bCs/>
          <w:sz w:val="24"/>
          <w:u w:val="single"/>
        </w:rPr>
        <w:t>11</w:t>
      </w:r>
      <w:r>
        <w:rPr>
          <w:rFonts w:hAnsi="宋体"/>
          <w:bCs/>
          <w:sz w:val="24"/>
          <w:u w:val="single"/>
        </w:rPr>
        <w:t>:</w:t>
      </w:r>
      <w:r>
        <w:rPr>
          <w:rFonts w:hint="eastAsia" w:hAnsi="宋体"/>
          <w:bCs/>
          <w:sz w:val="24"/>
          <w:u w:val="single"/>
        </w:rPr>
        <w:t>00</w:t>
      </w:r>
      <w:r>
        <w:rPr>
          <w:rFonts w:hint="eastAsia" w:hAnsi="宋体"/>
          <w:bCs/>
          <w:sz w:val="24"/>
        </w:rPr>
        <w:t>时</w:t>
      </w:r>
      <w:r>
        <w:rPr>
          <w:rFonts w:hAnsi="宋体"/>
          <w:sz w:val="24"/>
          <w:szCs w:val="28"/>
        </w:rPr>
        <w:t>（北京时间）</w:t>
      </w:r>
      <w:r>
        <w:rPr>
          <w:rFonts w:hint="eastAsia" w:hAnsi="宋体"/>
          <w:sz w:val="24"/>
          <w:szCs w:val="28"/>
        </w:rPr>
        <w:t>。</w:t>
      </w:r>
    </w:p>
    <w:p>
      <w:pPr>
        <w:tabs>
          <w:tab w:val="left" w:pos="9639"/>
        </w:tabs>
        <w:spacing w:line="360" w:lineRule="auto"/>
        <w:ind w:firstLine="482" w:firstLineChars="200"/>
        <w:rPr>
          <w:rFonts w:hint="eastAsia" w:hAnsi="宋体"/>
          <w:sz w:val="24"/>
          <w:szCs w:val="28"/>
        </w:rPr>
      </w:pPr>
      <w:r>
        <w:rPr>
          <w:rFonts w:hint="eastAsia" w:hAnsi="宋体"/>
          <w:b/>
          <w:sz w:val="24"/>
          <w:szCs w:val="28"/>
        </w:rPr>
        <w:t>九</w:t>
      </w:r>
      <w:r>
        <w:rPr>
          <w:rFonts w:hint="eastAsia" w:hAnsi="宋体"/>
          <w:b/>
          <w:sz w:val="24"/>
        </w:rPr>
        <w:t>、递交响应文件地点：</w:t>
      </w:r>
      <w:r>
        <w:rPr>
          <w:rFonts w:hint="eastAsia" w:hAnsi="宋体"/>
          <w:sz w:val="24"/>
        </w:rPr>
        <w:t>响应文件必须在递交响应文件截止时间前送达磋商地点。逾期送达、密封和标注错误的响应文件，采购人/采购代理机构恕不接收。本次采购不接收邮寄的响应文件。</w:t>
      </w:r>
    </w:p>
    <w:p>
      <w:pPr>
        <w:tabs>
          <w:tab w:val="left" w:pos="9639"/>
          <w:tab w:val="right" w:pos="9753"/>
        </w:tabs>
        <w:spacing w:line="360" w:lineRule="auto"/>
        <w:ind w:firstLine="482" w:firstLineChars="200"/>
        <w:rPr>
          <w:rFonts w:hint="eastAsia" w:hAnsi="宋体"/>
          <w:sz w:val="24"/>
          <w:szCs w:val="28"/>
        </w:rPr>
      </w:pPr>
      <w:r>
        <w:rPr>
          <w:rFonts w:hint="eastAsia" w:hAnsi="宋体"/>
          <w:b/>
          <w:sz w:val="24"/>
          <w:szCs w:val="28"/>
        </w:rPr>
        <w:t>十、响应文件开启时间：</w:t>
      </w:r>
      <w:r>
        <w:rPr>
          <w:rFonts w:hint="eastAsia" w:hAnsi="宋体"/>
          <w:bCs/>
          <w:sz w:val="24"/>
          <w:u w:val="single"/>
        </w:rPr>
        <w:t>2021</w:t>
      </w:r>
      <w:r>
        <w:rPr>
          <w:rFonts w:hint="eastAsia" w:hAnsi="宋体"/>
          <w:bCs/>
          <w:sz w:val="24"/>
        </w:rPr>
        <w:t>年</w:t>
      </w:r>
      <w:r>
        <w:rPr>
          <w:rFonts w:hint="eastAsia" w:hAnsi="宋体"/>
          <w:bCs/>
          <w:sz w:val="24"/>
          <w:u w:val="single"/>
          <w:lang w:val="en-US" w:eastAsia="zh-CN"/>
        </w:rPr>
        <w:t>11</w:t>
      </w:r>
      <w:r>
        <w:rPr>
          <w:rFonts w:hint="eastAsia" w:hAnsi="宋体"/>
          <w:bCs/>
          <w:sz w:val="24"/>
        </w:rPr>
        <w:t>月</w:t>
      </w:r>
      <w:r>
        <w:rPr>
          <w:rFonts w:hint="eastAsia" w:hAnsi="宋体"/>
          <w:bCs/>
          <w:sz w:val="24"/>
          <w:u w:val="single"/>
          <w:lang w:val="en-US" w:eastAsia="zh-CN"/>
        </w:rPr>
        <w:t>09</w:t>
      </w:r>
      <w:r>
        <w:rPr>
          <w:rFonts w:hint="eastAsia" w:hAnsi="宋体"/>
          <w:bCs/>
          <w:sz w:val="24"/>
        </w:rPr>
        <w:t>日</w:t>
      </w:r>
      <w:r>
        <w:rPr>
          <w:rFonts w:hint="eastAsia" w:hAnsi="宋体"/>
          <w:bCs/>
          <w:sz w:val="24"/>
          <w:u w:val="single"/>
        </w:rPr>
        <w:t>11</w:t>
      </w:r>
      <w:r>
        <w:rPr>
          <w:rFonts w:hAnsi="宋体"/>
          <w:bCs/>
          <w:sz w:val="24"/>
          <w:u w:val="single"/>
        </w:rPr>
        <w:t>:</w:t>
      </w:r>
      <w:r>
        <w:rPr>
          <w:rFonts w:hint="eastAsia" w:hAnsi="宋体"/>
          <w:bCs/>
          <w:sz w:val="24"/>
          <w:u w:val="single"/>
        </w:rPr>
        <w:t>00</w:t>
      </w:r>
      <w:r>
        <w:rPr>
          <w:rFonts w:hint="eastAsia" w:hAnsi="宋体"/>
          <w:bCs/>
          <w:sz w:val="24"/>
        </w:rPr>
        <w:t>时</w:t>
      </w:r>
      <w:r>
        <w:rPr>
          <w:rFonts w:hAnsi="宋体"/>
          <w:sz w:val="24"/>
          <w:szCs w:val="28"/>
        </w:rPr>
        <w:t>（北京时间）</w:t>
      </w:r>
      <w:r>
        <w:rPr>
          <w:rFonts w:hint="eastAsia" w:hAnsi="宋体"/>
          <w:sz w:val="24"/>
          <w:szCs w:val="28"/>
        </w:rPr>
        <w:t>在磋商地点开启。</w:t>
      </w:r>
      <w:r>
        <w:rPr>
          <w:rFonts w:hAnsi="宋体"/>
          <w:sz w:val="24"/>
          <w:szCs w:val="28"/>
        </w:rPr>
        <w:tab/>
      </w:r>
    </w:p>
    <w:p>
      <w:pPr>
        <w:tabs>
          <w:tab w:val="left" w:pos="9639"/>
        </w:tabs>
        <w:spacing w:line="360" w:lineRule="auto"/>
        <w:ind w:firstLine="489" w:firstLineChars="203"/>
        <w:rPr>
          <w:rFonts w:hint="eastAsia" w:hAnsi="宋体"/>
          <w:sz w:val="24"/>
          <w:szCs w:val="28"/>
        </w:rPr>
      </w:pPr>
      <w:r>
        <w:rPr>
          <w:rFonts w:hint="eastAsia" w:hAnsi="宋体"/>
          <w:b/>
          <w:sz w:val="24"/>
          <w:szCs w:val="28"/>
        </w:rPr>
        <w:t>十一、磋商</w:t>
      </w:r>
      <w:r>
        <w:rPr>
          <w:rFonts w:hAnsi="宋体"/>
          <w:b/>
          <w:sz w:val="24"/>
          <w:szCs w:val="28"/>
        </w:rPr>
        <w:t>地点：</w:t>
      </w:r>
      <w:r>
        <w:rPr>
          <w:rFonts w:hint="eastAsia" w:ascii="宋体" w:hAnsi="宋体" w:eastAsia="宋体" w:cs="宋体"/>
          <w:sz w:val="24"/>
          <w:szCs w:val="24"/>
          <w:lang w:eastAsia="zh-CN"/>
        </w:rPr>
        <w:t>成都市锦江区金石路366号新希望中鼎国际3栋1702号（坤阳公司开评标区）</w:t>
      </w:r>
      <w:r>
        <w:rPr>
          <w:rFonts w:hint="eastAsia" w:hAnsi="宋体"/>
          <w:sz w:val="24"/>
          <w:szCs w:val="28"/>
        </w:rPr>
        <w:t>。</w:t>
      </w:r>
    </w:p>
    <w:p>
      <w:pPr>
        <w:pStyle w:val="59"/>
        <w:tabs>
          <w:tab w:val="left" w:pos="9639"/>
        </w:tabs>
        <w:spacing w:line="480" w:lineRule="auto"/>
        <w:ind w:firstLine="482"/>
        <w:rPr>
          <w:rFonts w:hint="eastAsia"/>
          <w:b/>
          <w:sz w:val="24"/>
        </w:rPr>
      </w:pPr>
      <w:r>
        <w:rPr>
          <w:rFonts w:hint="eastAsia"/>
          <w:b/>
          <w:sz w:val="24"/>
        </w:rPr>
        <w:t>十二、联系方式</w:t>
      </w:r>
    </w:p>
    <w:p>
      <w:pPr>
        <w:tabs>
          <w:tab w:val="left" w:pos="9639"/>
        </w:tabs>
        <w:spacing w:line="360" w:lineRule="auto"/>
        <w:ind w:firstLine="480" w:firstLineChars="200"/>
        <w:rPr>
          <w:rFonts w:hint="eastAsia" w:hAnsi="宋体"/>
          <w:bCs/>
          <w:sz w:val="24"/>
        </w:rPr>
      </w:pPr>
      <w:r>
        <w:rPr>
          <w:rFonts w:hint="eastAsia" w:hAnsi="宋体"/>
          <w:bCs/>
          <w:sz w:val="24"/>
        </w:rPr>
        <w:t>采购人：</w:t>
      </w:r>
      <w:r>
        <w:rPr>
          <w:rFonts w:hint="eastAsia" w:hAnsi="宋体"/>
          <w:bCs/>
          <w:sz w:val="24"/>
          <w:lang w:eastAsia="zh-CN"/>
        </w:rPr>
        <w:t xml:space="preserve"> 成都市郫都区人民政府德源街道办事处</w:t>
      </w:r>
    </w:p>
    <w:p>
      <w:pPr>
        <w:tabs>
          <w:tab w:val="left" w:pos="9639"/>
        </w:tabs>
        <w:spacing w:line="360" w:lineRule="auto"/>
        <w:ind w:firstLine="480" w:firstLineChars="200"/>
        <w:rPr>
          <w:rFonts w:hint="default" w:hAnsi="宋体" w:eastAsia="宋体"/>
          <w:bCs/>
          <w:sz w:val="24"/>
          <w:lang w:val="en-US" w:eastAsia="zh-CN"/>
        </w:rPr>
      </w:pPr>
      <w:r>
        <w:rPr>
          <w:rFonts w:hint="eastAsia" w:hAnsi="宋体"/>
          <w:bCs/>
          <w:sz w:val="24"/>
        </w:rPr>
        <w:t>地址：</w:t>
      </w:r>
      <w:r>
        <w:rPr>
          <w:rFonts w:hint="eastAsia" w:hAnsi="宋体" w:cs="宋体"/>
          <w:bCs/>
          <w:sz w:val="24"/>
          <w:szCs w:val="24"/>
        </w:rPr>
        <w:t>四川省成都市郫都区</w:t>
      </w:r>
      <w:r>
        <w:rPr>
          <w:rFonts w:hint="eastAsia" w:hAnsi="宋体" w:cs="宋体"/>
          <w:bCs/>
          <w:sz w:val="24"/>
          <w:szCs w:val="24"/>
          <w:lang w:val="en-US" w:eastAsia="zh-CN"/>
        </w:rPr>
        <w:t>兴德街78号</w:t>
      </w:r>
    </w:p>
    <w:p>
      <w:pPr>
        <w:tabs>
          <w:tab w:val="left" w:pos="9639"/>
        </w:tabs>
        <w:spacing w:line="360" w:lineRule="auto"/>
        <w:ind w:firstLine="480" w:firstLineChars="200"/>
        <w:rPr>
          <w:rFonts w:hint="eastAsia" w:hAnsi="宋体" w:eastAsia="宋体"/>
          <w:bCs/>
          <w:sz w:val="24"/>
          <w:lang w:eastAsia="zh-CN"/>
        </w:rPr>
      </w:pPr>
      <w:r>
        <w:rPr>
          <w:rFonts w:hint="eastAsia" w:hAnsi="宋体"/>
          <w:bCs/>
          <w:sz w:val="24"/>
        </w:rPr>
        <w:t>联系人：朱</w:t>
      </w:r>
      <w:r>
        <w:rPr>
          <w:rFonts w:hint="eastAsia" w:hAnsi="宋体"/>
          <w:bCs/>
          <w:sz w:val="24"/>
          <w:lang w:val="en-US" w:eastAsia="zh-CN"/>
        </w:rPr>
        <w:t>女士</w:t>
      </w:r>
    </w:p>
    <w:p>
      <w:pPr>
        <w:widowControl/>
        <w:tabs>
          <w:tab w:val="left" w:pos="9639"/>
        </w:tabs>
        <w:spacing w:line="360" w:lineRule="auto"/>
        <w:ind w:firstLine="480" w:firstLineChars="200"/>
        <w:jc w:val="left"/>
        <w:rPr>
          <w:rFonts w:hint="default" w:hAnsi="宋体" w:eastAsia="宋体"/>
          <w:bCs/>
          <w:sz w:val="24"/>
          <w:lang w:val="en-US" w:eastAsia="zh-CN"/>
        </w:rPr>
      </w:pPr>
      <w:r>
        <w:rPr>
          <w:rFonts w:hint="eastAsia" w:hAnsi="宋体" w:cs="仿宋_GB2312"/>
          <w:sz w:val="24"/>
        </w:rPr>
        <w:t>电  话：</w:t>
      </w:r>
      <w:r>
        <w:rPr>
          <w:rFonts w:hint="eastAsia" w:hAnsi="宋体"/>
          <w:bCs/>
          <w:sz w:val="24"/>
        </w:rPr>
        <w:t>13</w:t>
      </w:r>
      <w:r>
        <w:rPr>
          <w:rFonts w:hint="eastAsia" w:hAnsi="宋体"/>
          <w:bCs/>
          <w:sz w:val="24"/>
          <w:lang w:val="en-US" w:eastAsia="zh-CN"/>
        </w:rPr>
        <w:t>880532110</w:t>
      </w:r>
    </w:p>
    <w:p>
      <w:pPr>
        <w:widowControl/>
        <w:spacing w:line="440" w:lineRule="exact"/>
        <w:ind w:firstLine="480"/>
        <w:jc w:val="left"/>
        <w:rPr>
          <w:rFonts w:hint="eastAsia" w:ascii="宋体" w:hAnsi="宋体" w:cs="宋体"/>
          <w:color w:val="auto"/>
          <w:kern w:val="1"/>
          <w:sz w:val="24"/>
          <w:szCs w:val="24"/>
        </w:rPr>
      </w:pPr>
      <w:r>
        <w:rPr>
          <w:rFonts w:hint="eastAsia" w:ascii="宋体" w:hAnsi="宋体" w:cs="宋体"/>
          <w:color w:val="auto"/>
          <w:kern w:val="1"/>
          <w:sz w:val="24"/>
          <w:szCs w:val="24"/>
        </w:rPr>
        <w:t>采购代理机构：</w:t>
      </w:r>
      <w:r>
        <w:rPr>
          <w:rFonts w:hint="eastAsia" w:ascii="宋体" w:hAnsi="宋体" w:cs="宋体"/>
          <w:color w:val="auto"/>
          <w:kern w:val="1"/>
          <w:sz w:val="24"/>
          <w:szCs w:val="24"/>
          <w:lang w:eastAsia="zh-CN"/>
        </w:rPr>
        <w:t>四川坤阳工程管理咨询有限</w:t>
      </w:r>
      <w:r>
        <w:rPr>
          <w:rFonts w:hint="eastAsia" w:ascii="宋体" w:hAnsi="宋体" w:cs="宋体"/>
          <w:color w:val="auto"/>
          <w:kern w:val="1"/>
          <w:sz w:val="24"/>
          <w:szCs w:val="24"/>
        </w:rPr>
        <w:t>公司</w:t>
      </w:r>
    </w:p>
    <w:p>
      <w:pPr>
        <w:widowControl/>
        <w:spacing w:line="440" w:lineRule="exact"/>
        <w:ind w:firstLine="480"/>
        <w:jc w:val="left"/>
        <w:rPr>
          <w:rFonts w:hint="eastAsia" w:ascii="宋体" w:hAnsi="宋体" w:cs="宋体"/>
          <w:color w:val="auto"/>
          <w:kern w:val="1"/>
          <w:sz w:val="24"/>
          <w:szCs w:val="24"/>
        </w:rPr>
      </w:pPr>
      <w:r>
        <w:rPr>
          <w:rFonts w:hint="eastAsia" w:ascii="宋体" w:hAnsi="宋体" w:cs="宋体"/>
          <w:color w:val="auto"/>
          <w:kern w:val="1"/>
          <w:sz w:val="24"/>
          <w:szCs w:val="24"/>
        </w:rPr>
        <w:t>地    址：</w:t>
      </w:r>
      <w:r>
        <w:rPr>
          <w:rFonts w:hint="eastAsia" w:ascii="宋体" w:hAnsi="宋体" w:eastAsia="宋体" w:cs="宋体"/>
          <w:color w:val="000000"/>
          <w:kern w:val="0"/>
          <w:sz w:val="24"/>
          <w:szCs w:val="24"/>
          <w:lang w:eastAsia="zh-CN"/>
        </w:rPr>
        <w:t>成都市锦江区金石路366号新希望中鼎国际3栋1702、1704号</w:t>
      </w:r>
    </w:p>
    <w:p>
      <w:pPr>
        <w:widowControl/>
        <w:spacing w:line="440" w:lineRule="exact"/>
        <w:ind w:firstLine="480"/>
        <w:jc w:val="left"/>
        <w:rPr>
          <w:rFonts w:hint="eastAsia" w:ascii="宋体" w:hAnsi="宋体" w:eastAsia="宋体" w:cs="宋体"/>
          <w:color w:val="auto"/>
          <w:kern w:val="1"/>
          <w:sz w:val="24"/>
          <w:szCs w:val="24"/>
          <w:lang w:eastAsia="zh-CN"/>
        </w:rPr>
      </w:pPr>
      <w:r>
        <w:rPr>
          <w:rFonts w:hint="eastAsia" w:ascii="宋体" w:hAnsi="宋体" w:cs="宋体"/>
          <w:color w:val="auto"/>
          <w:kern w:val="1"/>
          <w:sz w:val="24"/>
          <w:szCs w:val="24"/>
        </w:rPr>
        <w:t>联 系 人：</w:t>
      </w:r>
      <w:r>
        <w:rPr>
          <w:rFonts w:hint="eastAsia" w:ascii="宋体" w:hAnsi="宋体" w:cs="宋体"/>
          <w:color w:val="auto"/>
          <w:kern w:val="1"/>
          <w:sz w:val="24"/>
          <w:szCs w:val="24"/>
          <w:lang w:eastAsia="zh-CN"/>
        </w:rPr>
        <w:t>陈先生</w:t>
      </w:r>
    </w:p>
    <w:p>
      <w:pPr>
        <w:widowControl/>
        <w:spacing w:line="440" w:lineRule="exact"/>
        <w:ind w:firstLine="480"/>
        <w:jc w:val="left"/>
        <w:rPr>
          <w:rFonts w:hint="default" w:ascii="宋体" w:hAnsi="宋体" w:eastAsia="宋体" w:cs="宋体"/>
          <w:color w:val="auto"/>
          <w:kern w:val="1"/>
          <w:sz w:val="24"/>
          <w:szCs w:val="24"/>
          <w:lang w:val="en-US" w:eastAsia="zh-CN"/>
        </w:rPr>
      </w:pPr>
      <w:r>
        <w:rPr>
          <w:rFonts w:hint="eastAsia" w:ascii="宋体" w:hAnsi="宋体" w:cs="宋体"/>
          <w:color w:val="auto"/>
          <w:kern w:val="1"/>
          <w:sz w:val="24"/>
          <w:szCs w:val="24"/>
        </w:rPr>
        <w:t>联系电话：</w:t>
      </w:r>
      <w:r>
        <w:rPr>
          <w:rFonts w:hint="eastAsia" w:ascii="宋体" w:hAnsi="宋体" w:cs="宋体"/>
          <w:color w:val="auto"/>
          <w:kern w:val="1"/>
          <w:sz w:val="24"/>
          <w:szCs w:val="24"/>
          <w:lang w:val="en-US" w:eastAsia="zh-CN"/>
        </w:rPr>
        <w:t>18108061077</w:t>
      </w:r>
    </w:p>
    <w:p>
      <w:pPr>
        <w:pStyle w:val="8"/>
      </w:pPr>
    </w:p>
    <w:p>
      <w:pPr>
        <w:pStyle w:val="31"/>
        <w:tabs>
          <w:tab w:val="left" w:pos="9639"/>
        </w:tabs>
        <w:spacing w:before="0" w:beforeAutospacing="0" w:after="0" w:afterAutospacing="0" w:line="360" w:lineRule="auto"/>
        <w:ind w:firstLine="6840" w:firstLineChars="2850"/>
        <w:rPr>
          <w:rFonts w:hint="default" w:eastAsia="宋体"/>
          <w:bCs/>
          <w:kern w:val="2"/>
          <w:sz w:val="24"/>
          <w:szCs w:val="24"/>
          <w:lang w:val="en-US" w:eastAsia="zh-CN"/>
        </w:rPr>
      </w:pPr>
      <w:r>
        <w:rPr>
          <w:rFonts w:hint="eastAsia"/>
          <w:bCs/>
          <w:kern w:val="2"/>
          <w:sz w:val="24"/>
          <w:szCs w:val="24"/>
        </w:rPr>
        <w:t>2021年</w:t>
      </w:r>
      <w:r>
        <w:rPr>
          <w:rFonts w:hint="eastAsia"/>
          <w:bCs/>
          <w:kern w:val="2"/>
          <w:sz w:val="24"/>
          <w:szCs w:val="24"/>
          <w:lang w:val="en-US" w:eastAsia="zh-CN"/>
        </w:rPr>
        <w:t>10</w:t>
      </w:r>
      <w:r>
        <w:rPr>
          <w:rFonts w:hint="eastAsia"/>
          <w:bCs/>
          <w:kern w:val="2"/>
          <w:sz w:val="24"/>
          <w:szCs w:val="24"/>
        </w:rPr>
        <w:t>月</w:t>
      </w:r>
      <w:r>
        <w:rPr>
          <w:rFonts w:hint="eastAsia"/>
          <w:bCs/>
          <w:kern w:val="2"/>
          <w:sz w:val="24"/>
          <w:szCs w:val="24"/>
          <w:lang w:val="en-US" w:eastAsia="zh-CN"/>
        </w:rPr>
        <w:t>27日</w:t>
      </w:r>
    </w:p>
    <w:p>
      <w:pPr>
        <w:pStyle w:val="3"/>
        <w:tabs>
          <w:tab w:val="left" w:pos="9639"/>
        </w:tabs>
        <w:jc w:val="center"/>
        <w:rPr>
          <w:rFonts w:hint="eastAsia"/>
        </w:rPr>
      </w:pPr>
      <w:bookmarkStart w:id="6" w:name="_Toc213396759"/>
      <w:bookmarkStart w:id="7" w:name="_Toc213397009"/>
      <w:bookmarkStart w:id="8" w:name="_Toc213396945"/>
      <w:bookmarkStart w:id="9" w:name="_Toc217446031"/>
      <w:bookmarkStart w:id="10" w:name="_Toc213496267"/>
      <w:r>
        <w:br w:type="page"/>
      </w:r>
      <w:bookmarkStart w:id="11" w:name="_Toc511386821"/>
      <w:bookmarkStart w:id="12" w:name="_Toc509823112"/>
      <w:r>
        <w:rPr>
          <w:rFonts w:hint="eastAsia"/>
        </w:rPr>
        <w:t>第二章  磋商须知</w:t>
      </w:r>
      <w:bookmarkEnd w:id="6"/>
      <w:bookmarkEnd w:id="7"/>
      <w:bookmarkEnd w:id="8"/>
      <w:bookmarkEnd w:id="9"/>
      <w:bookmarkEnd w:id="10"/>
      <w:bookmarkEnd w:id="11"/>
      <w:bookmarkEnd w:id="12"/>
    </w:p>
    <w:p>
      <w:pPr>
        <w:pStyle w:val="2"/>
        <w:keepNext w:val="0"/>
        <w:keepLines w:val="0"/>
        <w:tabs>
          <w:tab w:val="left" w:pos="9639"/>
        </w:tabs>
        <w:spacing w:line="240" w:lineRule="atLeast"/>
        <w:jc w:val="center"/>
        <w:rPr>
          <w:rFonts w:hint="eastAsia"/>
        </w:rPr>
      </w:pPr>
      <w:r>
        <w:rPr>
          <w:rFonts w:hint="eastAsia"/>
        </w:rPr>
        <w:t>一、供应商须知附表</w:t>
      </w:r>
    </w:p>
    <w:tbl>
      <w:tblPr>
        <w:tblStyle w:val="34"/>
        <w:tblW w:w="10440" w:type="dxa"/>
        <w:jc w:val="center"/>
        <w:tblLayout w:type="fixed"/>
        <w:tblCellMar>
          <w:top w:w="0" w:type="dxa"/>
          <w:left w:w="0" w:type="dxa"/>
          <w:bottom w:w="0" w:type="dxa"/>
          <w:right w:w="0" w:type="dxa"/>
        </w:tblCellMar>
      </w:tblPr>
      <w:tblGrid>
        <w:gridCol w:w="678"/>
        <w:gridCol w:w="1704"/>
        <w:gridCol w:w="8058"/>
      </w:tblGrid>
      <w:tr>
        <w:tblPrEx>
          <w:tblCellMar>
            <w:top w:w="0" w:type="dxa"/>
            <w:left w:w="0" w:type="dxa"/>
            <w:bottom w:w="0" w:type="dxa"/>
            <w:right w:w="0" w:type="dxa"/>
          </w:tblCellMar>
        </w:tblPrEx>
        <w:trPr>
          <w:trHeight w:val="23" w:hRule="atLeast"/>
          <w:jc w:val="center"/>
        </w:trPr>
        <w:tc>
          <w:tcPr>
            <w:tcW w:w="678" w:type="dxa"/>
            <w:tcBorders>
              <w:top w:val="double" w:color="000000" w:sz="4" w:space="0"/>
              <w:left w:val="double" w:color="000000" w:sz="4" w:space="0"/>
              <w:bottom w:val="single" w:color="000000" w:sz="4" w:space="0"/>
              <w:right w:val="single" w:color="000000" w:sz="4" w:space="0"/>
            </w:tcBorders>
            <w:noWrap w:val="0"/>
            <w:vAlign w:val="center"/>
          </w:tcPr>
          <w:p>
            <w:pPr>
              <w:jc w:val="center"/>
              <w:rPr>
                <w:rFonts w:hint="eastAsia" w:ascii="宋体" w:hAnsi="宋体" w:cs="宋体"/>
                <w:b/>
                <w:bCs/>
                <w:sz w:val="21"/>
                <w:szCs w:val="21"/>
              </w:rPr>
            </w:pPr>
            <w:r>
              <w:rPr>
                <w:rFonts w:hint="eastAsia" w:ascii="宋体" w:hAnsi="宋体" w:cs="宋体"/>
                <w:b/>
                <w:bCs/>
                <w:sz w:val="21"/>
                <w:szCs w:val="21"/>
              </w:rPr>
              <w:t>序号</w:t>
            </w:r>
          </w:p>
        </w:tc>
        <w:tc>
          <w:tcPr>
            <w:tcW w:w="1704" w:type="dxa"/>
            <w:tcBorders>
              <w:top w:val="doub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sz w:val="21"/>
                <w:szCs w:val="21"/>
              </w:rPr>
            </w:pPr>
            <w:r>
              <w:rPr>
                <w:rFonts w:hint="eastAsia" w:ascii="宋体" w:hAnsi="宋体" w:cs="宋体"/>
                <w:b/>
                <w:bCs/>
                <w:sz w:val="21"/>
                <w:szCs w:val="21"/>
              </w:rPr>
              <w:t>条款名称</w:t>
            </w:r>
          </w:p>
        </w:tc>
        <w:tc>
          <w:tcPr>
            <w:tcW w:w="8058" w:type="dxa"/>
            <w:tcBorders>
              <w:top w:val="double" w:color="000000" w:sz="4" w:space="0"/>
              <w:left w:val="single" w:color="000000" w:sz="4" w:space="0"/>
              <w:bottom w:val="single" w:color="000000" w:sz="4" w:space="0"/>
              <w:right w:val="double" w:color="000000" w:sz="4" w:space="0"/>
            </w:tcBorders>
            <w:noWrap w:val="0"/>
            <w:vAlign w:val="center"/>
          </w:tcPr>
          <w:p>
            <w:pPr>
              <w:spacing w:line="360" w:lineRule="auto"/>
              <w:jc w:val="center"/>
              <w:rPr>
                <w:rFonts w:hint="eastAsia" w:ascii="宋体" w:hAnsi="宋体" w:cs="宋体"/>
                <w:b/>
                <w:bCs/>
                <w:color w:val="auto"/>
                <w:kern w:val="1"/>
                <w:sz w:val="21"/>
                <w:szCs w:val="21"/>
              </w:rPr>
            </w:pPr>
            <w:r>
              <w:rPr>
                <w:rFonts w:hint="eastAsia" w:ascii="宋体" w:hAnsi="宋体" w:cs="宋体"/>
                <w:b/>
                <w:bCs/>
                <w:color w:val="auto"/>
                <w:kern w:val="1"/>
                <w:sz w:val="21"/>
                <w:szCs w:val="21"/>
              </w:rPr>
              <w:t>说明和要求</w:t>
            </w:r>
          </w:p>
        </w:tc>
      </w:tr>
      <w:tr>
        <w:tblPrEx>
          <w:tblCellMar>
            <w:top w:w="0" w:type="dxa"/>
            <w:left w:w="0" w:type="dxa"/>
            <w:bottom w:w="0" w:type="dxa"/>
            <w:right w:w="0" w:type="dxa"/>
          </w:tblCellMar>
        </w:tblPrEx>
        <w:trPr>
          <w:trHeight w:val="23" w:hRule="atLeast"/>
          <w:jc w:val="center"/>
        </w:trPr>
        <w:tc>
          <w:tcPr>
            <w:tcW w:w="678" w:type="dxa"/>
            <w:vMerge w:val="restart"/>
            <w:tcBorders>
              <w:top w:val="single" w:color="000000" w:sz="4" w:space="0"/>
              <w:left w:val="double" w:color="000000" w:sz="4" w:space="0"/>
              <w:bottom w:val="single" w:color="000000" w:sz="4" w:space="0"/>
              <w:right w:val="single" w:color="000000" w:sz="4" w:space="0"/>
            </w:tcBorders>
            <w:noWrap w:val="0"/>
            <w:vAlign w:val="center"/>
          </w:tcPr>
          <w:p>
            <w:pPr>
              <w:jc w:val="center"/>
              <w:rPr>
                <w:rFonts w:hint="eastAsia" w:ascii="宋体" w:hAnsi="宋体" w:cs="宋体"/>
                <w:sz w:val="21"/>
                <w:szCs w:val="21"/>
              </w:rPr>
            </w:pPr>
            <w:r>
              <w:rPr>
                <w:rFonts w:hint="eastAsia" w:ascii="宋体" w:hAnsi="宋体" w:cs="宋体"/>
                <w:sz w:val="21"/>
                <w:szCs w:val="21"/>
              </w:rPr>
              <w:t>1</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cs="宋体"/>
                <w:sz w:val="21"/>
                <w:szCs w:val="21"/>
              </w:rPr>
            </w:pPr>
            <w:r>
              <w:rPr>
                <w:rFonts w:hint="eastAsia" w:ascii="宋体" w:hAnsi="宋体" w:cs="宋体"/>
                <w:sz w:val="21"/>
                <w:szCs w:val="21"/>
              </w:rPr>
              <w:t>采购预算</w:t>
            </w:r>
          </w:p>
          <w:p>
            <w:pPr>
              <w:spacing w:line="240" w:lineRule="auto"/>
              <w:jc w:val="center"/>
              <w:rPr>
                <w:rFonts w:hint="eastAsia" w:ascii="宋体" w:hAnsi="宋体" w:cs="宋体"/>
                <w:sz w:val="21"/>
                <w:szCs w:val="21"/>
              </w:rPr>
            </w:pPr>
            <w:r>
              <w:rPr>
                <w:rFonts w:hint="eastAsia" w:ascii="宋体" w:hAnsi="宋体" w:cs="宋体"/>
                <w:sz w:val="21"/>
                <w:szCs w:val="21"/>
              </w:rPr>
              <w:t>（实质性要求）</w:t>
            </w:r>
          </w:p>
        </w:tc>
        <w:tc>
          <w:tcPr>
            <w:tcW w:w="8058" w:type="dxa"/>
            <w:tcBorders>
              <w:top w:val="single" w:color="000000" w:sz="4" w:space="0"/>
              <w:left w:val="single" w:color="000000" w:sz="4" w:space="0"/>
              <w:bottom w:val="single" w:color="000000" w:sz="4" w:space="0"/>
              <w:right w:val="double" w:color="000000" w:sz="4" w:space="0"/>
            </w:tcBorders>
            <w:noWrap w:val="0"/>
            <w:vAlign w:val="center"/>
          </w:tcPr>
          <w:p>
            <w:pPr>
              <w:spacing w:line="240" w:lineRule="auto"/>
              <w:ind w:right="31"/>
              <w:rPr>
                <w:rFonts w:hint="eastAsia" w:ascii="宋体" w:hAnsi="宋体" w:cs="宋体"/>
                <w:color w:val="auto"/>
                <w:kern w:val="1"/>
                <w:sz w:val="21"/>
                <w:szCs w:val="21"/>
              </w:rPr>
            </w:pPr>
            <w:r>
              <w:rPr>
                <w:rFonts w:hint="eastAsia" w:ascii="宋体" w:hAnsi="宋体" w:cs="宋体"/>
                <w:color w:val="auto"/>
                <w:kern w:val="1"/>
                <w:sz w:val="21"/>
                <w:szCs w:val="21"/>
              </w:rPr>
              <w:t>采购预算</w:t>
            </w:r>
            <w:r>
              <w:rPr>
                <w:rFonts w:hint="eastAsia" w:ascii="宋体" w:hAnsi="宋体" w:cs="宋体"/>
                <w:bCs/>
                <w:color w:val="auto"/>
                <w:kern w:val="1"/>
                <w:sz w:val="21"/>
                <w:szCs w:val="21"/>
              </w:rPr>
              <w:t>：</w:t>
            </w:r>
            <w:r>
              <w:rPr>
                <w:rFonts w:hint="eastAsia" w:ascii="宋体" w:hAnsi="宋体" w:cs="宋体"/>
                <w:bCs/>
                <w:color w:val="auto"/>
                <w:kern w:val="1"/>
                <w:sz w:val="21"/>
                <w:szCs w:val="21"/>
                <w:u w:val="single"/>
                <w:lang w:val="en-US" w:eastAsia="zh-CN"/>
              </w:rPr>
              <w:t>200</w:t>
            </w:r>
            <w:r>
              <w:rPr>
                <w:rFonts w:hint="eastAsia" w:ascii="宋体" w:hAnsi="宋体" w:cs="宋体"/>
                <w:bCs/>
                <w:color w:val="auto"/>
                <w:kern w:val="1"/>
                <w:sz w:val="21"/>
                <w:szCs w:val="21"/>
                <w:u w:val="single"/>
              </w:rPr>
              <w:t>万元</w:t>
            </w:r>
          </w:p>
          <w:p>
            <w:pPr>
              <w:spacing w:line="240" w:lineRule="auto"/>
              <w:rPr>
                <w:rFonts w:hint="eastAsia" w:ascii="宋体" w:hAnsi="宋体" w:cs="宋体"/>
                <w:color w:val="auto"/>
                <w:kern w:val="1"/>
                <w:sz w:val="21"/>
                <w:szCs w:val="21"/>
              </w:rPr>
            </w:pPr>
            <w:r>
              <w:rPr>
                <w:rFonts w:hint="eastAsia" w:ascii="宋体" w:hAnsi="宋体" w:cs="宋体"/>
                <w:color w:val="auto"/>
                <w:kern w:val="1"/>
                <w:sz w:val="21"/>
                <w:szCs w:val="21"/>
              </w:rPr>
              <w:t>超过采购预算的报价为无效报价，其响应文件按无效响应文件处理。</w:t>
            </w:r>
          </w:p>
        </w:tc>
      </w:tr>
      <w:tr>
        <w:tblPrEx>
          <w:tblCellMar>
            <w:top w:w="0" w:type="dxa"/>
            <w:left w:w="0" w:type="dxa"/>
            <w:bottom w:w="0" w:type="dxa"/>
            <w:right w:w="0" w:type="dxa"/>
          </w:tblCellMar>
        </w:tblPrEx>
        <w:trPr>
          <w:trHeight w:val="23" w:hRule="atLeast"/>
          <w:jc w:val="center"/>
        </w:trPr>
        <w:tc>
          <w:tcPr>
            <w:tcW w:w="678" w:type="dxa"/>
            <w:vMerge w:val="continue"/>
            <w:tcBorders>
              <w:top w:val="single" w:color="000000" w:sz="4" w:space="0"/>
              <w:left w:val="double" w:color="000000" w:sz="4" w:space="0"/>
              <w:bottom w:val="single" w:color="000000" w:sz="4" w:space="0"/>
              <w:right w:val="single" w:color="000000" w:sz="4" w:space="0"/>
            </w:tcBorders>
            <w:noWrap w:val="0"/>
            <w:vAlign w:val="center"/>
          </w:tcPr>
          <w:p>
            <w:pPr>
              <w:jc w:val="center"/>
              <w:rPr>
                <w:rFonts w:hint="eastAsia" w:ascii="宋体" w:hAnsi="宋体" w:cs="宋体"/>
                <w:sz w:val="21"/>
                <w:szCs w:val="21"/>
              </w:rPr>
            </w:pP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cs="宋体"/>
                <w:sz w:val="21"/>
                <w:szCs w:val="21"/>
              </w:rPr>
            </w:pPr>
            <w:r>
              <w:rPr>
                <w:rFonts w:hint="eastAsia" w:ascii="宋体" w:hAnsi="宋体" w:cs="宋体"/>
                <w:sz w:val="21"/>
                <w:szCs w:val="21"/>
              </w:rPr>
              <w:t>最高限价</w:t>
            </w:r>
          </w:p>
          <w:p>
            <w:pPr>
              <w:spacing w:line="240" w:lineRule="auto"/>
              <w:jc w:val="center"/>
              <w:rPr>
                <w:rFonts w:hint="eastAsia" w:ascii="宋体" w:hAnsi="宋体" w:cs="宋体"/>
                <w:sz w:val="21"/>
                <w:szCs w:val="21"/>
              </w:rPr>
            </w:pPr>
            <w:r>
              <w:rPr>
                <w:rFonts w:hint="eastAsia" w:ascii="宋体" w:hAnsi="宋体" w:cs="宋体"/>
                <w:sz w:val="21"/>
                <w:szCs w:val="21"/>
              </w:rPr>
              <w:t>（实质性要求）</w:t>
            </w:r>
          </w:p>
        </w:tc>
        <w:tc>
          <w:tcPr>
            <w:tcW w:w="8058" w:type="dxa"/>
            <w:tcBorders>
              <w:top w:val="single" w:color="000000" w:sz="4" w:space="0"/>
              <w:left w:val="single" w:color="000000" w:sz="4" w:space="0"/>
              <w:bottom w:val="single" w:color="000000" w:sz="4" w:space="0"/>
              <w:right w:val="double" w:color="000000" w:sz="4" w:space="0"/>
            </w:tcBorders>
            <w:noWrap w:val="0"/>
            <w:vAlign w:val="center"/>
          </w:tcPr>
          <w:p>
            <w:pPr>
              <w:spacing w:line="240" w:lineRule="auto"/>
              <w:rPr>
                <w:rFonts w:hint="eastAsia" w:ascii="宋体" w:hAnsi="宋体" w:cs="宋体"/>
                <w:color w:val="auto"/>
                <w:kern w:val="1"/>
                <w:sz w:val="21"/>
                <w:szCs w:val="21"/>
              </w:rPr>
            </w:pPr>
            <w:r>
              <w:rPr>
                <w:rFonts w:hint="eastAsia" w:ascii="宋体" w:hAnsi="宋体" w:cs="宋体"/>
                <w:color w:val="auto"/>
                <w:kern w:val="1"/>
                <w:sz w:val="21"/>
                <w:szCs w:val="21"/>
              </w:rPr>
              <w:t>最高限价：</w:t>
            </w:r>
            <w:r>
              <w:rPr>
                <w:rFonts w:hint="eastAsia" w:ascii="宋体" w:hAnsi="宋体" w:cs="宋体"/>
                <w:bCs/>
                <w:color w:val="auto"/>
                <w:kern w:val="1"/>
                <w:sz w:val="21"/>
                <w:szCs w:val="21"/>
                <w:u w:val="single"/>
                <w:lang w:val="en-US" w:eastAsia="zh-CN"/>
              </w:rPr>
              <w:t>200</w:t>
            </w:r>
            <w:r>
              <w:rPr>
                <w:rFonts w:hint="eastAsia" w:ascii="宋体" w:hAnsi="宋体" w:cs="宋体"/>
                <w:bCs/>
                <w:color w:val="auto"/>
                <w:kern w:val="1"/>
                <w:sz w:val="21"/>
                <w:szCs w:val="21"/>
                <w:u w:val="single"/>
              </w:rPr>
              <w:t>万元</w:t>
            </w:r>
          </w:p>
          <w:p>
            <w:pPr>
              <w:pStyle w:val="11"/>
              <w:spacing w:line="240" w:lineRule="auto"/>
              <w:rPr>
                <w:rFonts w:hint="eastAsia" w:ascii="宋体" w:hAnsi="宋体" w:cs="宋体"/>
                <w:sz w:val="21"/>
                <w:szCs w:val="21"/>
              </w:rPr>
            </w:pPr>
            <w:r>
              <w:rPr>
                <w:rFonts w:hint="eastAsia" w:ascii="宋体" w:hAnsi="宋体" w:cs="宋体"/>
                <w:sz w:val="21"/>
                <w:szCs w:val="21"/>
              </w:rPr>
              <w:t>超过最高限价的报价为无效报价，其响应文件按无效响应文件处理。</w:t>
            </w:r>
          </w:p>
        </w:tc>
      </w:tr>
      <w:tr>
        <w:tblPrEx>
          <w:tblCellMar>
            <w:top w:w="0" w:type="dxa"/>
            <w:left w:w="0" w:type="dxa"/>
            <w:bottom w:w="0" w:type="dxa"/>
            <w:right w:w="0" w:type="dxa"/>
          </w:tblCellMar>
        </w:tblPrEx>
        <w:trPr>
          <w:trHeight w:val="23" w:hRule="atLeast"/>
          <w:jc w:val="center"/>
        </w:trPr>
        <w:tc>
          <w:tcPr>
            <w:tcW w:w="678" w:type="dxa"/>
            <w:tcBorders>
              <w:top w:val="single" w:color="000000" w:sz="4" w:space="0"/>
              <w:left w:val="double" w:color="000000" w:sz="4" w:space="0"/>
              <w:bottom w:val="single" w:color="000000" w:sz="4" w:space="0"/>
              <w:right w:val="single" w:color="000000" w:sz="4" w:space="0"/>
            </w:tcBorders>
            <w:noWrap w:val="0"/>
            <w:vAlign w:val="center"/>
          </w:tcPr>
          <w:p>
            <w:pPr>
              <w:jc w:val="center"/>
              <w:rPr>
                <w:rFonts w:hint="eastAsia" w:ascii="宋体" w:hAnsi="宋体" w:cs="宋体"/>
                <w:sz w:val="21"/>
                <w:szCs w:val="21"/>
              </w:rPr>
            </w:pPr>
            <w:r>
              <w:rPr>
                <w:rFonts w:hint="eastAsia" w:ascii="宋体" w:hAnsi="宋体" w:cs="宋体"/>
                <w:sz w:val="21"/>
                <w:szCs w:val="21"/>
              </w:rPr>
              <w:t>2</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cs="宋体"/>
                <w:sz w:val="21"/>
                <w:szCs w:val="21"/>
              </w:rPr>
            </w:pPr>
            <w:r>
              <w:rPr>
                <w:rFonts w:hint="eastAsia" w:ascii="宋体" w:hAnsi="宋体" w:cs="宋体"/>
                <w:sz w:val="21"/>
                <w:szCs w:val="21"/>
              </w:rPr>
              <w:t>低于成本价不正当竞争预防措施（实质性要求）</w:t>
            </w:r>
          </w:p>
        </w:tc>
        <w:tc>
          <w:tcPr>
            <w:tcW w:w="8058" w:type="dxa"/>
            <w:tcBorders>
              <w:top w:val="single" w:color="000000" w:sz="4" w:space="0"/>
              <w:left w:val="single" w:color="000000" w:sz="4" w:space="0"/>
              <w:bottom w:val="single" w:color="000000" w:sz="4" w:space="0"/>
              <w:right w:val="double" w:color="000000" w:sz="4" w:space="0"/>
            </w:tcBorders>
            <w:noWrap w:val="0"/>
            <w:vAlign w:val="center"/>
          </w:tcPr>
          <w:p>
            <w:pPr>
              <w:spacing w:line="240" w:lineRule="auto"/>
              <w:rPr>
                <w:rFonts w:hint="eastAsia" w:ascii="宋体" w:hAnsi="宋体" w:cs="宋体"/>
                <w:color w:val="auto"/>
                <w:kern w:val="1"/>
                <w:sz w:val="21"/>
                <w:szCs w:val="21"/>
              </w:rPr>
            </w:pPr>
            <w:r>
              <w:rPr>
                <w:rFonts w:hint="eastAsia" w:ascii="宋体" w:hAnsi="宋体" w:cs="宋体"/>
                <w:color w:val="auto"/>
                <w:kern w:val="1"/>
                <w:sz w:val="21"/>
                <w:szCs w:val="21"/>
              </w:rPr>
              <w:t>1、在评审过程中，评审委员会认为供应商的报价明显低于其他通过资格性审查的供应商报价，有可能影响产品质量或者不能诚信履约的，应当要求其在评审现场合理的时间内提供书面说明，必要时提交相关证明材料；供应商不能证明其报价的合理性，评审委员会应当将其作为无效报价处理。</w:t>
            </w:r>
          </w:p>
          <w:p>
            <w:pPr>
              <w:spacing w:line="240" w:lineRule="auto"/>
              <w:rPr>
                <w:rFonts w:hint="eastAsia" w:ascii="宋体" w:hAnsi="宋体" w:cs="宋体"/>
                <w:color w:val="auto"/>
                <w:kern w:val="1"/>
                <w:sz w:val="21"/>
                <w:szCs w:val="21"/>
              </w:rPr>
            </w:pPr>
            <w:r>
              <w:rPr>
                <w:rFonts w:hint="eastAsia" w:ascii="宋体" w:hAnsi="宋体" w:cs="宋体"/>
                <w:color w:val="auto"/>
                <w:kern w:val="1"/>
                <w:sz w:val="21"/>
                <w:szCs w:val="21"/>
              </w:rPr>
              <w:t>2、供应商书面说明应当签字确认或者加盖公章，否则无效。书面说明的签字确认，供应商为法人的，由其法定代表人/单位负责人或者代理人签字确认；供应商为其他组织的，由其主要负责人或者代理人签字确认；供应商为自然人的，由其本人或者代理人签字确认。</w:t>
            </w:r>
          </w:p>
          <w:p>
            <w:pPr>
              <w:spacing w:line="240" w:lineRule="auto"/>
              <w:rPr>
                <w:rFonts w:hint="eastAsia" w:ascii="宋体" w:hAnsi="宋体" w:cs="宋体"/>
                <w:sz w:val="21"/>
                <w:szCs w:val="21"/>
              </w:rPr>
            </w:pPr>
            <w:r>
              <w:rPr>
                <w:rFonts w:hint="eastAsia" w:ascii="宋体" w:hAnsi="宋体" w:cs="宋体"/>
                <w:color w:val="auto"/>
                <w:kern w:val="1"/>
                <w:sz w:val="21"/>
                <w:szCs w:val="21"/>
              </w:rPr>
              <w:t>3、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磋商小组应当将其响应文件作为无效处理。</w:t>
            </w:r>
          </w:p>
        </w:tc>
      </w:tr>
      <w:tr>
        <w:tblPrEx>
          <w:tblCellMar>
            <w:top w:w="0" w:type="dxa"/>
            <w:left w:w="0" w:type="dxa"/>
            <w:bottom w:w="0" w:type="dxa"/>
            <w:right w:w="0" w:type="dxa"/>
          </w:tblCellMar>
        </w:tblPrEx>
        <w:trPr>
          <w:trHeight w:val="23" w:hRule="atLeast"/>
          <w:jc w:val="center"/>
        </w:trPr>
        <w:tc>
          <w:tcPr>
            <w:tcW w:w="678" w:type="dxa"/>
            <w:tcBorders>
              <w:top w:val="single" w:color="000000" w:sz="4" w:space="0"/>
              <w:left w:val="double" w:color="000000" w:sz="4" w:space="0"/>
              <w:bottom w:val="single" w:color="000000" w:sz="4" w:space="0"/>
              <w:right w:val="single" w:color="000000" w:sz="4" w:space="0"/>
            </w:tcBorders>
            <w:noWrap w:val="0"/>
            <w:vAlign w:val="center"/>
          </w:tcPr>
          <w:p>
            <w:pPr>
              <w:jc w:val="center"/>
              <w:rPr>
                <w:rFonts w:hint="eastAsia" w:ascii="宋体" w:hAnsi="宋体" w:cs="宋体"/>
                <w:sz w:val="21"/>
                <w:szCs w:val="21"/>
                <w:lang w:val="zh-CN"/>
              </w:rPr>
            </w:pPr>
            <w:r>
              <w:rPr>
                <w:rFonts w:hint="eastAsia" w:ascii="宋体" w:hAnsi="宋体" w:cs="宋体"/>
                <w:sz w:val="21"/>
                <w:szCs w:val="21"/>
              </w:rPr>
              <w:t>3</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rPr>
                <w:rFonts w:hint="eastAsia" w:ascii="宋体" w:hAnsi="宋体" w:cs="宋体"/>
                <w:sz w:val="21"/>
                <w:szCs w:val="21"/>
                <w:lang w:val="zh-CN"/>
              </w:rPr>
            </w:pPr>
            <w:r>
              <w:rPr>
                <w:rFonts w:hint="eastAsia" w:ascii="宋体" w:hAnsi="宋体" w:cs="宋体"/>
                <w:sz w:val="21"/>
                <w:szCs w:val="21"/>
                <w:lang w:val="zh-CN"/>
              </w:rPr>
              <w:t>小微企业（监狱企业、残疾人福利性单位视同小微企业）价格扣</w:t>
            </w:r>
          </w:p>
          <w:p>
            <w:pPr>
              <w:spacing w:line="240" w:lineRule="auto"/>
              <w:rPr>
                <w:rFonts w:hint="eastAsia" w:ascii="宋体" w:hAnsi="宋体" w:cs="宋体"/>
                <w:sz w:val="21"/>
                <w:szCs w:val="21"/>
                <w:lang w:val="zh-CN"/>
              </w:rPr>
            </w:pPr>
            <w:r>
              <w:rPr>
                <w:rFonts w:hint="eastAsia" w:ascii="宋体" w:hAnsi="宋体" w:cs="宋体"/>
                <w:sz w:val="21"/>
                <w:szCs w:val="21"/>
                <w:lang w:val="zh-CN"/>
              </w:rPr>
              <w:t>除和失信企业报价加成或者扣分</w:t>
            </w:r>
          </w:p>
          <w:p>
            <w:pPr>
              <w:spacing w:line="240" w:lineRule="auto"/>
              <w:jc w:val="center"/>
              <w:rPr>
                <w:rFonts w:hint="eastAsia" w:ascii="宋体" w:hAnsi="宋体" w:cs="宋体"/>
                <w:sz w:val="21"/>
                <w:szCs w:val="21"/>
                <w:lang w:val="zh-CN"/>
              </w:rPr>
            </w:pPr>
          </w:p>
        </w:tc>
        <w:tc>
          <w:tcPr>
            <w:tcW w:w="8058" w:type="dxa"/>
            <w:tcBorders>
              <w:top w:val="single" w:color="000000" w:sz="4" w:space="0"/>
              <w:left w:val="single" w:color="000000" w:sz="4" w:space="0"/>
              <w:bottom w:val="single" w:color="000000" w:sz="4" w:space="0"/>
              <w:right w:val="double" w:color="000000" w:sz="4" w:space="0"/>
            </w:tcBorders>
            <w:noWrap w:val="0"/>
            <w:vAlign w:val="center"/>
          </w:tcPr>
          <w:p>
            <w:pPr>
              <w:spacing w:line="240" w:lineRule="auto"/>
              <w:ind w:left="170" w:leftChars="50" w:right="170" w:rightChars="50"/>
              <w:rPr>
                <w:rFonts w:hint="eastAsia" w:ascii="宋体" w:hAnsi="宋体" w:cs="宋体"/>
                <w:sz w:val="21"/>
                <w:szCs w:val="21"/>
              </w:rPr>
            </w:pPr>
            <w:r>
              <w:rPr>
                <w:rFonts w:hint="eastAsia" w:ascii="宋体" w:hAnsi="宋体" w:cs="宋体"/>
                <w:sz w:val="21"/>
                <w:szCs w:val="21"/>
              </w:rPr>
              <w:t>一、小微企业（监狱企业、残疾人福利性单位均视同小微企业）价格扣除</w:t>
            </w:r>
            <w:r>
              <w:rPr>
                <w:rFonts w:hint="eastAsia" w:ascii="宋体" w:hAnsi="宋体" w:cs="宋体"/>
                <w:b/>
                <w:bCs/>
                <w:sz w:val="21"/>
                <w:szCs w:val="21"/>
              </w:rPr>
              <w:t>（本项目为专门面向中小企业的项目，不涉及价格扣除）</w:t>
            </w:r>
          </w:p>
          <w:p>
            <w:pPr>
              <w:spacing w:line="240" w:lineRule="auto"/>
              <w:ind w:left="170" w:leftChars="50" w:right="170" w:rightChars="50"/>
              <w:rPr>
                <w:rFonts w:hint="eastAsia" w:ascii="宋体" w:hAnsi="宋体" w:cs="宋体"/>
                <w:color w:val="auto"/>
                <w:sz w:val="21"/>
                <w:szCs w:val="21"/>
              </w:rPr>
            </w:pPr>
            <w:r>
              <w:rPr>
                <w:rFonts w:hint="eastAsia" w:ascii="宋体" w:hAnsi="宋体" w:cs="宋体"/>
                <w:color w:val="auto"/>
                <w:sz w:val="21"/>
                <w:szCs w:val="21"/>
              </w:rPr>
              <w:t>二、失信企业报价加成或者扣分</w:t>
            </w:r>
            <w:r>
              <w:rPr>
                <w:rFonts w:hint="eastAsia" w:ascii="宋体" w:hAnsi="宋体" w:cs="宋体"/>
                <w:color w:val="auto"/>
                <w:sz w:val="21"/>
                <w:szCs w:val="21"/>
                <w:lang w:val="zh-CN"/>
              </w:rPr>
              <w:t>（实质性要求）</w:t>
            </w:r>
          </w:p>
          <w:p>
            <w:pPr>
              <w:spacing w:line="240" w:lineRule="auto"/>
              <w:ind w:left="170" w:leftChars="50" w:right="170" w:rightChars="50"/>
              <w:rPr>
                <w:rFonts w:hint="eastAsia" w:ascii="宋体" w:hAnsi="宋体" w:cs="宋体"/>
                <w:color w:val="auto"/>
                <w:sz w:val="21"/>
                <w:szCs w:val="21"/>
              </w:rPr>
            </w:pPr>
            <w:r>
              <w:rPr>
                <w:rFonts w:hint="eastAsia" w:ascii="宋体" w:hAnsi="宋体" w:cs="宋体"/>
                <w:color w:val="auto"/>
                <w:sz w:val="21"/>
                <w:szCs w:val="21"/>
              </w:rPr>
              <w:t>1.对记入诚信档案且在有效期内的失信供应商，参加政府采购活动按照10%的报价加成，以加成后报价作为该供应商报价参与评审。供应商失信行为惩戒实行无限制累加制，因其失信行为进行报价加成惩戒后报价超过政府采购预算的，其响应文件按照无效处理。</w:t>
            </w:r>
          </w:p>
          <w:p>
            <w:pPr>
              <w:spacing w:line="240" w:lineRule="auto"/>
              <w:ind w:left="170" w:leftChars="50" w:right="170" w:rightChars="50"/>
              <w:rPr>
                <w:rFonts w:hint="eastAsia" w:ascii="宋体" w:hAnsi="宋体" w:cs="宋体"/>
                <w:color w:val="auto"/>
                <w:sz w:val="21"/>
                <w:szCs w:val="21"/>
              </w:rPr>
            </w:pPr>
            <w:r>
              <w:rPr>
                <w:rFonts w:hint="eastAsia" w:ascii="宋体" w:hAnsi="宋体" w:cs="宋体"/>
                <w:color w:val="auto"/>
                <w:sz w:val="21"/>
                <w:szCs w:val="21"/>
              </w:rPr>
              <w:t>2.供应商参加政府采购活动时，应当就自己的诚信情况在响应文件中进行承诺。</w:t>
            </w:r>
          </w:p>
        </w:tc>
      </w:tr>
      <w:tr>
        <w:tblPrEx>
          <w:tblCellMar>
            <w:top w:w="0" w:type="dxa"/>
            <w:left w:w="0" w:type="dxa"/>
            <w:bottom w:w="0" w:type="dxa"/>
            <w:right w:w="0" w:type="dxa"/>
          </w:tblCellMar>
        </w:tblPrEx>
        <w:trPr>
          <w:trHeight w:val="23" w:hRule="atLeast"/>
          <w:jc w:val="center"/>
        </w:trPr>
        <w:tc>
          <w:tcPr>
            <w:tcW w:w="678" w:type="dxa"/>
            <w:tcBorders>
              <w:top w:val="single" w:color="000000" w:sz="4" w:space="0"/>
              <w:left w:val="double" w:color="000000" w:sz="4" w:space="0"/>
              <w:bottom w:val="single" w:color="000000" w:sz="4" w:space="0"/>
              <w:right w:val="single" w:color="000000" w:sz="4" w:space="0"/>
            </w:tcBorders>
            <w:noWrap w:val="0"/>
            <w:vAlign w:val="center"/>
          </w:tcPr>
          <w:p>
            <w:pPr>
              <w:jc w:val="center"/>
              <w:rPr>
                <w:rFonts w:hint="eastAsia" w:ascii="宋体" w:hAnsi="宋体" w:cs="宋体"/>
                <w:sz w:val="21"/>
                <w:szCs w:val="21"/>
              </w:rPr>
            </w:pPr>
            <w:r>
              <w:rPr>
                <w:rFonts w:hint="eastAsia" w:ascii="宋体" w:hAnsi="宋体" w:cs="宋体"/>
                <w:sz w:val="21"/>
                <w:szCs w:val="21"/>
              </w:rPr>
              <w:t>4</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cs="宋体"/>
                <w:sz w:val="21"/>
                <w:szCs w:val="21"/>
              </w:rPr>
            </w:pPr>
            <w:r>
              <w:rPr>
                <w:rFonts w:hint="eastAsia" w:ascii="宋体" w:hAnsi="宋体" w:cs="宋体"/>
                <w:sz w:val="21"/>
                <w:szCs w:val="21"/>
              </w:rPr>
              <w:t>评标情况公告</w:t>
            </w:r>
          </w:p>
        </w:tc>
        <w:tc>
          <w:tcPr>
            <w:tcW w:w="8058" w:type="dxa"/>
            <w:tcBorders>
              <w:top w:val="single" w:color="000000" w:sz="4" w:space="0"/>
              <w:left w:val="single" w:color="000000" w:sz="4" w:space="0"/>
              <w:bottom w:val="single" w:color="000000" w:sz="4" w:space="0"/>
              <w:right w:val="double" w:color="000000" w:sz="4" w:space="0"/>
            </w:tcBorders>
            <w:noWrap w:val="0"/>
            <w:vAlign w:val="center"/>
          </w:tcPr>
          <w:p>
            <w:pPr>
              <w:widowControl/>
              <w:spacing w:line="240" w:lineRule="auto"/>
              <w:rPr>
                <w:rFonts w:hint="eastAsia" w:ascii="宋体" w:hAnsi="宋体" w:cs="宋体"/>
                <w:color w:val="auto"/>
                <w:kern w:val="1"/>
                <w:sz w:val="21"/>
                <w:szCs w:val="21"/>
              </w:rPr>
            </w:pPr>
            <w:r>
              <w:rPr>
                <w:rFonts w:hint="eastAsia" w:ascii="宋体" w:hAnsi="宋体" w:cs="宋体"/>
                <w:color w:val="auto"/>
                <w:kern w:val="1"/>
                <w:sz w:val="21"/>
                <w:szCs w:val="21"/>
              </w:rPr>
              <w:t>所有供应商响应文件资格性检查情况、采用综合评分法时的总得分和分项汇总得分情况、评标结果等将在四川政府采购网上采购结果公告栏中予以公告。</w:t>
            </w:r>
          </w:p>
        </w:tc>
      </w:tr>
      <w:tr>
        <w:tblPrEx>
          <w:tblCellMar>
            <w:top w:w="0" w:type="dxa"/>
            <w:left w:w="0" w:type="dxa"/>
            <w:bottom w:w="0" w:type="dxa"/>
            <w:right w:w="0" w:type="dxa"/>
          </w:tblCellMar>
        </w:tblPrEx>
        <w:trPr>
          <w:trHeight w:val="468" w:hRule="atLeast"/>
          <w:jc w:val="center"/>
        </w:trPr>
        <w:tc>
          <w:tcPr>
            <w:tcW w:w="678" w:type="dxa"/>
            <w:tcBorders>
              <w:top w:val="single" w:color="000000" w:sz="4" w:space="0"/>
              <w:left w:val="double" w:color="000000" w:sz="4" w:space="0"/>
              <w:bottom w:val="single" w:color="000000" w:sz="4" w:space="0"/>
              <w:right w:val="single" w:color="000000" w:sz="4" w:space="0"/>
            </w:tcBorders>
            <w:noWrap w:val="0"/>
            <w:vAlign w:val="center"/>
          </w:tcPr>
          <w:p>
            <w:pPr>
              <w:jc w:val="center"/>
              <w:rPr>
                <w:rFonts w:hint="eastAsia" w:ascii="宋体" w:hAnsi="宋体" w:cs="宋体"/>
                <w:sz w:val="21"/>
                <w:szCs w:val="21"/>
              </w:rPr>
            </w:pPr>
            <w:r>
              <w:rPr>
                <w:rFonts w:hint="eastAsia" w:ascii="宋体" w:hAnsi="宋体" w:cs="宋体"/>
                <w:sz w:val="21"/>
                <w:szCs w:val="21"/>
              </w:rPr>
              <w:t>5</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cs="宋体"/>
                <w:sz w:val="21"/>
                <w:szCs w:val="21"/>
              </w:rPr>
            </w:pPr>
            <w:r>
              <w:rPr>
                <w:rFonts w:hint="eastAsia" w:ascii="宋体" w:hAnsi="宋体" w:cs="宋体"/>
                <w:sz w:val="21"/>
                <w:szCs w:val="21"/>
              </w:rPr>
              <w:t>磋商保证金</w:t>
            </w:r>
          </w:p>
        </w:tc>
        <w:tc>
          <w:tcPr>
            <w:tcW w:w="8058" w:type="dxa"/>
            <w:tcBorders>
              <w:top w:val="single" w:color="000000" w:sz="4" w:space="0"/>
              <w:left w:val="single" w:color="000000" w:sz="4" w:space="0"/>
              <w:bottom w:val="single" w:color="000000" w:sz="4" w:space="0"/>
              <w:right w:val="double" w:color="000000" w:sz="4" w:space="0"/>
            </w:tcBorders>
            <w:noWrap w:val="0"/>
            <w:vAlign w:val="center"/>
          </w:tcPr>
          <w:p>
            <w:pPr>
              <w:pStyle w:val="11"/>
              <w:spacing w:after="0" w:line="240" w:lineRule="auto"/>
              <w:jc w:val="left"/>
              <w:rPr>
                <w:rFonts w:hint="eastAsia" w:ascii="宋体" w:hAnsi="宋体" w:cs="宋体"/>
                <w:sz w:val="21"/>
                <w:szCs w:val="21"/>
              </w:rPr>
            </w:pPr>
            <w:r>
              <w:rPr>
                <w:rFonts w:hint="eastAsia" w:ascii="宋体" w:hAnsi="宋体" w:cs="宋体"/>
                <w:color w:val="auto"/>
                <w:sz w:val="21"/>
                <w:szCs w:val="21"/>
              </w:rPr>
              <w:t>本项目不做要求。</w:t>
            </w:r>
          </w:p>
        </w:tc>
      </w:tr>
      <w:tr>
        <w:tblPrEx>
          <w:tblCellMar>
            <w:top w:w="0" w:type="dxa"/>
            <w:left w:w="0" w:type="dxa"/>
            <w:bottom w:w="0" w:type="dxa"/>
            <w:right w:w="0" w:type="dxa"/>
          </w:tblCellMar>
        </w:tblPrEx>
        <w:trPr>
          <w:trHeight w:val="23" w:hRule="atLeast"/>
          <w:jc w:val="center"/>
        </w:trPr>
        <w:tc>
          <w:tcPr>
            <w:tcW w:w="678" w:type="dxa"/>
            <w:tcBorders>
              <w:top w:val="single" w:color="000000" w:sz="4" w:space="0"/>
              <w:left w:val="double" w:color="000000" w:sz="4" w:space="0"/>
              <w:bottom w:val="single" w:color="000000" w:sz="4" w:space="0"/>
              <w:right w:val="single" w:color="000000" w:sz="4" w:space="0"/>
            </w:tcBorders>
            <w:noWrap w:val="0"/>
            <w:vAlign w:val="center"/>
          </w:tcPr>
          <w:p>
            <w:pPr>
              <w:jc w:val="center"/>
              <w:rPr>
                <w:rFonts w:hint="eastAsia" w:ascii="宋体" w:hAnsi="宋体" w:cs="宋体"/>
                <w:sz w:val="21"/>
                <w:szCs w:val="21"/>
              </w:rPr>
            </w:pPr>
            <w:r>
              <w:rPr>
                <w:rFonts w:hint="eastAsia" w:ascii="宋体" w:hAnsi="宋体" w:cs="宋体"/>
                <w:sz w:val="21"/>
                <w:szCs w:val="21"/>
              </w:rPr>
              <w:t>6</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cs="宋体"/>
                <w:sz w:val="21"/>
                <w:szCs w:val="21"/>
              </w:rPr>
            </w:pPr>
            <w:r>
              <w:rPr>
                <w:rFonts w:hint="eastAsia" w:ascii="宋体" w:hAnsi="宋体" w:cs="宋体"/>
                <w:sz w:val="21"/>
                <w:szCs w:val="21"/>
              </w:rPr>
              <w:t>履约保证金</w:t>
            </w:r>
          </w:p>
        </w:tc>
        <w:tc>
          <w:tcPr>
            <w:tcW w:w="8058" w:type="dxa"/>
            <w:tcBorders>
              <w:top w:val="single" w:color="000000" w:sz="4" w:space="0"/>
              <w:left w:val="single" w:color="000000" w:sz="4" w:space="0"/>
              <w:bottom w:val="single" w:color="000000" w:sz="4" w:space="0"/>
              <w:right w:val="double" w:color="000000" w:sz="4" w:space="0"/>
            </w:tcBorders>
            <w:noWrap w:val="0"/>
            <w:vAlign w:val="center"/>
          </w:tcPr>
          <w:p>
            <w:pPr>
              <w:widowControl/>
              <w:spacing w:line="240" w:lineRule="auto"/>
              <w:jc w:val="left"/>
              <w:rPr>
                <w:rFonts w:hint="eastAsia" w:ascii="宋体" w:hAnsi="宋体" w:cs="宋体"/>
                <w:color w:val="auto"/>
                <w:kern w:val="1"/>
                <w:sz w:val="21"/>
                <w:szCs w:val="21"/>
                <w:lang w:val="zh-CN"/>
              </w:rPr>
            </w:pPr>
            <w:r>
              <w:rPr>
                <w:rFonts w:hint="eastAsia" w:ascii="宋体" w:hAnsi="宋体" w:cs="宋体"/>
                <w:color w:val="auto"/>
                <w:sz w:val="21"/>
                <w:szCs w:val="21"/>
              </w:rPr>
              <w:t>本项目不做要求</w:t>
            </w:r>
            <w:r>
              <w:rPr>
                <w:rFonts w:hint="eastAsia" w:ascii="宋体" w:hAnsi="宋体" w:cs="宋体"/>
                <w:sz w:val="21"/>
                <w:szCs w:val="21"/>
              </w:rPr>
              <w:t>。</w:t>
            </w:r>
          </w:p>
        </w:tc>
      </w:tr>
      <w:tr>
        <w:tblPrEx>
          <w:tblCellMar>
            <w:top w:w="0" w:type="dxa"/>
            <w:left w:w="0" w:type="dxa"/>
            <w:bottom w:w="0" w:type="dxa"/>
            <w:right w:w="0" w:type="dxa"/>
          </w:tblCellMar>
        </w:tblPrEx>
        <w:trPr>
          <w:trHeight w:val="23" w:hRule="atLeast"/>
          <w:jc w:val="center"/>
        </w:trPr>
        <w:tc>
          <w:tcPr>
            <w:tcW w:w="678" w:type="dxa"/>
            <w:tcBorders>
              <w:top w:val="single" w:color="000000" w:sz="4" w:space="0"/>
              <w:left w:val="double" w:color="000000" w:sz="4" w:space="0"/>
              <w:bottom w:val="single" w:color="000000" w:sz="4" w:space="0"/>
              <w:right w:val="single" w:color="000000" w:sz="4" w:space="0"/>
            </w:tcBorders>
            <w:noWrap w:val="0"/>
            <w:vAlign w:val="center"/>
          </w:tcPr>
          <w:p>
            <w:pPr>
              <w:jc w:val="center"/>
              <w:rPr>
                <w:rFonts w:hint="eastAsia" w:ascii="宋体" w:hAnsi="宋体" w:cs="宋体"/>
                <w:sz w:val="21"/>
                <w:szCs w:val="21"/>
              </w:rPr>
            </w:pPr>
            <w:r>
              <w:rPr>
                <w:rFonts w:hint="eastAsia" w:ascii="宋体" w:hAnsi="宋体" w:cs="宋体"/>
                <w:sz w:val="21"/>
                <w:szCs w:val="21"/>
              </w:rPr>
              <w:t>7</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cs="宋体"/>
                <w:sz w:val="21"/>
                <w:szCs w:val="21"/>
              </w:rPr>
            </w:pPr>
            <w:r>
              <w:rPr>
                <w:rFonts w:hint="eastAsia" w:ascii="宋体" w:hAnsi="宋体" w:cs="宋体"/>
                <w:sz w:val="21"/>
                <w:szCs w:val="21"/>
              </w:rPr>
              <w:t>磋商文件咨询</w:t>
            </w:r>
          </w:p>
        </w:tc>
        <w:tc>
          <w:tcPr>
            <w:tcW w:w="8058" w:type="dxa"/>
            <w:tcBorders>
              <w:top w:val="single" w:color="000000" w:sz="4" w:space="0"/>
              <w:left w:val="single" w:color="000000" w:sz="4" w:space="0"/>
              <w:bottom w:val="single" w:color="000000" w:sz="4" w:space="0"/>
              <w:right w:val="double" w:color="000000" w:sz="4" w:space="0"/>
            </w:tcBorders>
            <w:noWrap w:val="0"/>
            <w:vAlign w:val="center"/>
          </w:tcPr>
          <w:p>
            <w:pPr>
              <w:widowControl/>
              <w:spacing w:line="240" w:lineRule="auto"/>
              <w:rPr>
                <w:rFonts w:hint="eastAsia" w:ascii="宋体" w:hAnsi="宋体" w:cs="宋体"/>
                <w:color w:val="auto"/>
                <w:sz w:val="21"/>
                <w:szCs w:val="21"/>
              </w:rPr>
            </w:pPr>
            <w:r>
              <w:rPr>
                <w:rFonts w:hint="eastAsia" w:ascii="宋体" w:hAnsi="宋体" w:cs="宋体"/>
                <w:color w:val="auto"/>
                <w:sz w:val="21"/>
                <w:szCs w:val="21"/>
              </w:rPr>
              <w:t>联系人：</w:t>
            </w:r>
            <w:r>
              <w:rPr>
                <w:rFonts w:hint="eastAsia" w:ascii="宋体" w:hAnsi="宋体" w:cs="宋体"/>
                <w:color w:val="auto"/>
                <w:sz w:val="21"/>
                <w:szCs w:val="21"/>
                <w:lang w:eastAsia="zh-CN"/>
              </w:rPr>
              <w:t>陈先生</w:t>
            </w:r>
            <w:r>
              <w:rPr>
                <w:rFonts w:hint="eastAsia" w:ascii="宋体" w:hAnsi="宋体" w:cs="宋体"/>
                <w:color w:val="auto"/>
                <w:sz w:val="21"/>
                <w:szCs w:val="21"/>
              </w:rPr>
              <w:t>；</w:t>
            </w:r>
          </w:p>
          <w:p>
            <w:pPr>
              <w:widowControl/>
              <w:spacing w:line="240" w:lineRule="auto"/>
              <w:rPr>
                <w:rFonts w:hint="default" w:ascii="宋体" w:hAnsi="宋体" w:eastAsia="宋体" w:cs="宋体"/>
                <w:color w:val="auto"/>
                <w:sz w:val="21"/>
                <w:szCs w:val="21"/>
                <w:lang w:val="en-US" w:eastAsia="zh-CN"/>
              </w:rPr>
            </w:pPr>
            <w:r>
              <w:rPr>
                <w:rFonts w:hint="eastAsia" w:ascii="宋体" w:hAnsi="宋体" w:cs="宋体"/>
                <w:color w:val="auto"/>
                <w:sz w:val="21"/>
                <w:szCs w:val="21"/>
              </w:rPr>
              <w:t>联系电话：</w:t>
            </w:r>
            <w:r>
              <w:rPr>
                <w:rFonts w:hint="eastAsia" w:ascii="宋体" w:hAnsi="宋体" w:cs="宋体"/>
                <w:color w:val="auto"/>
                <w:sz w:val="21"/>
                <w:szCs w:val="21"/>
                <w:lang w:val="en-US" w:eastAsia="zh-CN"/>
              </w:rPr>
              <w:t>18108061077</w:t>
            </w:r>
          </w:p>
        </w:tc>
      </w:tr>
      <w:tr>
        <w:tblPrEx>
          <w:tblCellMar>
            <w:top w:w="0" w:type="dxa"/>
            <w:left w:w="0" w:type="dxa"/>
            <w:bottom w:w="0" w:type="dxa"/>
            <w:right w:w="0" w:type="dxa"/>
          </w:tblCellMar>
        </w:tblPrEx>
        <w:trPr>
          <w:trHeight w:val="23" w:hRule="atLeast"/>
          <w:jc w:val="center"/>
        </w:trPr>
        <w:tc>
          <w:tcPr>
            <w:tcW w:w="678" w:type="dxa"/>
            <w:tcBorders>
              <w:top w:val="single" w:color="000000" w:sz="4" w:space="0"/>
              <w:left w:val="double" w:color="000000" w:sz="4" w:space="0"/>
              <w:bottom w:val="single" w:color="000000" w:sz="4" w:space="0"/>
              <w:right w:val="single" w:color="000000" w:sz="4" w:space="0"/>
            </w:tcBorders>
            <w:noWrap w:val="0"/>
            <w:vAlign w:val="center"/>
          </w:tcPr>
          <w:p>
            <w:pPr>
              <w:jc w:val="center"/>
              <w:rPr>
                <w:rFonts w:hint="eastAsia" w:ascii="宋体" w:hAnsi="宋体" w:cs="宋体"/>
                <w:sz w:val="21"/>
                <w:szCs w:val="21"/>
              </w:rPr>
            </w:pPr>
            <w:r>
              <w:rPr>
                <w:rFonts w:hint="eastAsia" w:ascii="宋体" w:hAnsi="宋体" w:cs="宋体"/>
                <w:sz w:val="21"/>
                <w:szCs w:val="21"/>
              </w:rPr>
              <w:t>8</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cs="宋体"/>
                <w:sz w:val="21"/>
                <w:szCs w:val="21"/>
              </w:rPr>
            </w:pPr>
            <w:r>
              <w:rPr>
                <w:rFonts w:hint="eastAsia" w:ascii="宋体" w:hAnsi="宋体" w:cs="宋体"/>
                <w:sz w:val="21"/>
                <w:szCs w:val="21"/>
              </w:rPr>
              <w:t>开标、评标工作咨询</w:t>
            </w:r>
          </w:p>
        </w:tc>
        <w:tc>
          <w:tcPr>
            <w:tcW w:w="8058" w:type="dxa"/>
            <w:tcBorders>
              <w:top w:val="single" w:color="000000" w:sz="4" w:space="0"/>
              <w:left w:val="single" w:color="000000" w:sz="4" w:space="0"/>
              <w:bottom w:val="single" w:color="000000" w:sz="4" w:space="0"/>
              <w:right w:val="double" w:color="000000" w:sz="4" w:space="0"/>
            </w:tcBorders>
            <w:noWrap w:val="0"/>
            <w:vAlign w:val="center"/>
          </w:tcPr>
          <w:p>
            <w:pPr>
              <w:widowControl/>
              <w:spacing w:line="240" w:lineRule="auto"/>
              <w:rPr>
                <w:rFonts w:hint="eastAsia" w:ascii="宋体" w:hAnsi="宋体" w:cs="宋体"/>
                <w:color w:val="auto"/>
                <w:sz w:val="21"/>
                <w:szCs w:val="21"/>
              </w:rPr>
            </w:pPr>
            <w:r>
              <w:rPr>
                <w:rFonts w:hint="eastAsia" w:ascii="宋体" w:hAnsi="宋体" w:cs="宋体"/>
                <w:color w:val="auto"/>
                <w:sz w:val="21"/>
                <w:szCs w:val="21"/>
              </w:rPr>
              <w:t>联系人：</w:t>
            </w:r>
            <w:r>
              <w:rPr>
                <w:rFonts w:hint="eastAsia" w:ascii="宋体" w:hAnsi="宋体" w:cs="宋体"/>
                <w:color w:val="auto"/>
                <w:sz w:val="21"/>
                <w:szCs w:val="21"/>
                <w:lang w:eastAsia="zh-CN"/>
              </w:rPr>
              <w:t>陈先生</w:t>
            </w:r>
            <w:r>
              <w:rPr>
                <w:rFonts w:hint="eastAsia" w:ascii="宋体" w:hAnsi="宋体" w:cs="宋体"/>
                <w:color w:val="auto"/>
                <w:sz w:val="21"/>
                <w:szCs w:val="21"/>
              </w:rPr>
              <w:t>；</w:t>
            </w:r>
          </w:p>
          <w:p>
            <w:pPr>
              <w:widowControl/>
              <w:spacing w:line="240" w:lineRule="auto"/>
              <w:rPr>
                <w:rFonts w:hint="default" w:ascii="宋体" w:hAnsi="宋体" w:eastAsia="宋体" w:cs="宋体"/>
                <w:color w:val="auto"/>
                <w:sz w:val="21"/>
                <w:szCs w:val="21"/>
                <w:lang w:val="en-US" w:eastAsia="zh-CN"/>
              </w:rPr>
            </w:pPr>
            <w:r>
              <w:rPr>
                <w:rFonts w:hint="eastAsia" w:ascii="宋体" w:hAnsi="宋体" w:cs="宋体"/>
                <w:color w:val="auto"/>
                <w:sz w:val="21"/>
                <w:szCs w:val="21"/>
              </w:rPr>
              <w:t>联系电话：</w:t>
            </w:r>
            <w:r>
              <w:rPr>
                <w:rFonts w:hint="eastAsia" w:ascii="宋体" w:hAnsi="宋体" w:cs="宋体"/>
                <w:color w:val="auto"/>
                <w:sz w:val="21"/>
                <w:szCs w:val="21"/>
                <w:lang w:val="en-US" w:eastAsia="zh-CN"/>
              </w:rPr>
              <w:t>18108061077</w:t>
            </w:r>
          </w:p>
        </w:tc>
      </w:tr>
      <w:tr>
        <w:tblPrEx>
          <w:tblCellMar>
            <w:top w:w="0" w:type="dxa"/>
            <w:left w:w="0" w:type="dxa"/>
            <w:bottom w:w="0" w:type="dxa"/>
            <w:right w:w="0" w:type="dxa"/>
          </w:tblCellMar>
        </w:tblPrEx>
        <w:trPr>
          <w:trHeight w:val="23" w:hRule="atLeast"/>
          <w:jc w:val="center"/>
        </w:trPr>
        <w:tc>
          <w:tcPr>
            <w:tcW w:w="678" w:type="dxa"/>
            <w:tcBorders>
              <w:top w:val="single" w:color="000000" w:sz="4" w:space="0"/>
              <w:left w:val="double" w:color="000000" w:sz="4" w:space="0"/>
              <w:bottom w:val="single" w:color="000000" w:sz="4" w:space="0"/>
              <w:right w:val="single" w:color="000000" w:sz="4" w:space="0"/>
            </w:tcBorders>
            <w:noWrap w:val="0"/>
            <w:vAlign w:val="center"/>
          </w:tcPr>
          <w:p>
            <w:pPr>
              <w:jc w:val="center"/>
              <w:rPr>
                <w:rFonts w:hint="eastAsia" w:ascii="宋体" w:hAnsi="宋体" w:cs="宋体"/>
                <w:sz w:val="21"/>
                <w:szCs w:val="21"/>
              </w:rPr>
            </w:pPr>
            <w:r>
              <w:rPr>
                <w:rFonts w:hint="eastAsia" w:ascii="宋体" w:hAnsi="宋体" w:cs="宋体"/>
                <w:sz w:val="21"/>
                <w:szCs w:val="21"/>
              </w:rPr>
              <w:t>9</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cs="宋体"/>
                <w:sz w:val="21"/>
                <w:szCs w:val="21"/>
              </w:rPr>
            </w:pPr>
            <w:r>
              <w:rPr>
                <w:rFonts w:hint="eastAsia" w:ascii="宋体" w:hAnsi="宋体" w:cs="宋体"/>
                <w:sz w:val="21"/>
                <w:szCs w:val="21"/>
              </w:rPr>
              <w:t>成交通知书领取</w:t>
            </w:r>
          </w:p>
        </w:tc>
        <w:tc>
          <w:tcPr>
            <w:tcW w:w="8058" w:type="dxa"/>
            <w:tcBorders>
              <w:top w:val="single" w:color="000000" w:sz="4" w:space="0"/>
              <w:left w:val="single" w:color="000000" w:sz="4" w:space="0"/>
              <w:bottom w:val="single" w:color="000000" w:sz="4" w:space="0"/>
              <w:right w:val="double" w:color="000000" w:sz="4" w:space="0"/>
            </w:tcBorders>
            <w:noWrap w:val="0"/>
            <w:vAlign w:val="center"/>
          </w:tcPr>
          <w:p>
            <w:pPr>
              <w:widowControl/>
              <w:spacing w:line="240" w:lineRule="auto"/>
              <w:rPr>
                <w:rFonts w:hint="eastAsia" w:ascii="宋体" w:hAnsi="宋体" w:cs="宋体"/>
                <w:color w:val="auto"/>
                <w:sz w:val="21"/>
                <w:szCs w:val="21"/>
              </w:rPr>
            </w:pPr>
            <w:r>
              <w:rPr>
                <w:rFonts w:hint="eastAsia" w:ascii="宋体" w:hAnsi="宋体" w:cs="宋体"/>
                <w:color w:val="auto"/>
                <w:sz w:val="21"/>
                <w:szCs w:val="21"/>
              </w:rPr>
              <w:t>成交公告在四川政府采购网上公告后，请成交供应商凭有效身份证件到四川</w:t>
            </w:r>
            <w:r>
              <w:rPr>
                <w:rFonts w:hint="eastAsia" w:ascii="宋体" w:hAnsi="宋体" w:cs="宋体"/>
                <w:color w:val="auto"/>
                <w:sz w:val="21"/>
                <w:szCs w:val="21"/>
                <w:lang w:eastAsia="zh-CN"/>
              </w:rPr>
              <w:t>坤阳工程管理咨询有限</w:t>
            </w:r>
            <w:r>
              <w:rPr>
                <w:rFonts w:hint="eastAsia" w:ascii="宋体" w:hAnsi="宋体" w:cs="宋体"/>
                <w:color w:val="auto"/>
                <w:sz w:val="21"/>
                <w:szCs w:val="21"/>
              </w:rPr>
              <w:t>公司领取成交通知书。</w:t>
            </w:r>
          </w:p>
          <w:p>
            <w:pPr>
              <w:widowControl/>
              <w:spacing w:line="240" w:lineRule="auto"/>
              <w:rPr>
                <w:rFonts w:hint="eastAsia" w:ascii="宋体" w:hAnsi="宋体" w:eastAsia="宋体" w:cs="宋体"/>
                <w:color w:val="auto"/>
                <w:sz w:val="21"/>
                <w:szCs w:val="21"/>
                <w:lang w:eastAsia="zh-CN"/>
              </w:rPr>
            </w:pPr>
            <w:r>
              <w:rPr>
                <w:rFonts w:hint="eastAsia" w:ascii="宋体" w:hAnsi="宋体" w:cs="宋体"/>
                <w:color w:val="auto"/>
                <w:sz w:val="21"/>
                <w:szCs w:val="21"/>
              </w:rPr>
              <w:t>联系人：</w:t>
            </w:r>
            <w:r>
              <w:rPr>
                <w:rFonts w:hint="eastAsia" w:ascii="宋体" w:hAnsi="宋体" w:cs="宋体"/>
                <w:color w:val="auto"/>
                <w:sz w:val="21"/>
                <w:szCs w:val="21"/>
                <w:lang w:eastAsia="zh-CN"/>
              </w:rPr>
              <w:t>陈先生</w:t>
            </w:r>
          </w:p>
          <w:p>
            <w:pPr>
              <w:widowControl/>
              <w:spacing w:line="240" w:lineRule="auto"/>
              <w:rPr>
                <w:rFonts w:hint="default" w:ascii="宋体" w:hAnsi="宋体" w:eastAsia="宋体" w:cs="宋体"/>
                <w:color w:val="auto"/>
                <w:sz w:val="21"/>
                <w:szCs w:val="21"/>
                <w:lang w:val="en-US" w:eastAsia="zh-CN"/>
              </w:rPr>
            </w:pPr>
            <w:r>
              <w:rPr>
                <w:rFonts w:hint="eastAsia" w:ascii="宋体" w:hAnsi="宋体" w:cs="宋体"/>
                <w:color w:val="auto"/>
                <w:sz w:val="21"/>
                <w:szCs w:val="21"/>
              </w:rPr>
              <w:t>联系电话：</w:t>
            </w:r>
            <w:r>
              <w:rPr>
                <w:rFonts w:hint="eastAsia" w:ascii="宋体" w:hAnsi="宋体" w:cs="宋体"/>
                <w:color w:val="auto"/>
                <w:sz w:val="21"/>
                <w:szCs w:val="21"/>
                <w:lang w:val="en-US" w:eastAsia="zh-CN"/>
              </w:rPr>
              <w:t>18108061077</w:t>
            </w:r>
          </w:p>
          <w:p>
            <w:pPr>
              <w:widowControl/>
              <w:spacing w:line="240" w:lineRule="auto"/>
              <w:rPr>
                <w:rFonts w:hint="eastAsia" w:ascii="宋体" w:hAnsi="宋体" w:cs="宋体"/>
                <w:color w:val="auto"/>
                <w:sz w:val="21"/>
                <w:szCs w:val="21"/>
              </w:rPr>
            </w:pPr>
            <w:r>
              <w:rPr>
                <w:rFonts w:hint="eastAsia" w:ascii="宋体" w:hAnsi="宋体" w:cs="宋体"/>
                <w:color w:val="auto"/>
                <w:sz w:val="21"/>
                <w:szCs w:val="21"/>
              </w:rPr>
              <w:t>地址：</w:t>
            </w:r>
            <w:r>
              <w:rPr>
                <w:rFonts w:hint="eastAsia" w:ascii="宋体" w:hAnsi="宋体" w:eastAsia="宋体" w:cs="宋体"/>
                <w:color w:val="000000"/>
                <w:kern w:val="0"/>
                <w:sz w:val="21"/>
                <w:szCs w:val="21"/>
                <w:lang w:eastAsia="zh-CN"/>
              </w:rPr>
              <w:t>成都市锦江区金石路366号新希望中鼎国际3栋1702、1704号</w:t>
            </w:r>
          </w:p>
        </w:tc>
      </w:tr>
      <w:tr>
        <w:tblPrEx>
          <w:tblCellMar>
            <w:top w:w="0" w:type="dxa"/>
            <w:left w:w="0" w:type="dxa"/>
            <w:bottom w:w="0" w:type="dxa"/>
            <w:right w:w="0" w:type="dxa"/>
          </w:tblCellMar>
        </w:tblPrEx>
        <w:trPr>
          <w:trHeight w:val="23" w:hRule="atLeast"/>
          <w:jc w:val="center"/>
        </w:trPr>
        <w:tc>
          <w:tcPr>
            <w:tcW w:w="678" w:type="dxa"/>
            <w:tcBorders>
              <w:top w:val="single" w:color="000000" w:sz="4" w:space="0"/>
              <w:left w:val="double" w:color="000000" w:sz="4" w:space="0"/>
              <w:bottom w:val="single" w:color="000000" w:sz="4" w:space="0"/>
              <w:right w:val="single" w:color="000000" w:sz="4" w:space="0"/>
            </w:tcBorders>
            <w:noWrap w:val="0"/>
            <w:vAlign w:val="center"/>
          </w:tcPr>
          <w:p>
            <w:pPr>
              <w:jc w:val="center"/>
              <w:rPr>
                <w:rFonts w:hint="eastAsia" w:ascii="宋体" w:hAnsi="宋体" w:cs="宋体"/>
                <w:sz w:val="21"/>
                <w:szCs w:val="21"/>
              </w:rPr>
            </w:pPr>
            <w:r>
              <w:rPr>
                <w:rFonts w:hint="eastAsia" w:ascii="宋体" w:hAnsi="宋体" w:cs="宋体"/>
                <w:sz w:val="21"/>
                <w:szCs w:val="21"/>
              </w:rPr>
              <w:t>10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cs="宋体"/>
                <w:sz w:val="21"/>
                <w:szCs w:val="21"/>
              </w:rPr>
            </w:pPr>
            <w:r>
              <w:rPr>
                <w:rFonts w:hint="eastAsia" w:ascii="宋体" w:hAnsi="宋体" w:cs="宋体"/>
                <w:sz w:val="21"/>
                <w:szCs w:val="21"/>
              </w:rPr>
              <w:t>供应商询问</w:t>
            </w:r>
          </w:p>
        </w:tc>
        <w:tc>
          <w:tcPr>
            <w:tcW w:w="8058" w:type="dxa"/>
            <w:tcBorders>
              <w:top w:val="single" w:color="000000" w:sz="4" w:space="0"/>
              <w:left w:val="single" w:color="000000" w:sz="4" w:space="0"/>
              <w:bottom w:val="single" w:color="000000" w:sz="4" w:space="0"/>
              <w:right w:val="double" w:color="000000" w:sz="4" w:space="0"/>
            </w:tcBorders>
            <w:noWrap w:val="0"/>
            <w:vAlign w:val="center"/>
          </w:tcPr>
          <w:p>
            <w:pPr>
              <w:widowControl/>
              <w:spacing w:line="240" w:lineRule="auto"/>
              <w:rPr>
                <w:rFonts w:hint="eastAsia" w:ascii="宋体" w:hAnsi="宋体" w:cs="宋体"/>
                <w:color w:val="auto"/>
                <w:sz w:val="21"/>
                <w:szCs w:val="21"/>
              </w:rPr>
            </w:pPr>
            <w:r>
              <w:rPr>
                <w:rFonts w:hint="eastAsia" w:ascii="宋体" w:hAnsi="宋体" w:cs="宋体"/>
                <w:color w:val="auto"/>
                <w:sz w:val="21"/>
                <w:szCs w:val="21"/>
              </w:rPr>
              <w:t>根据采购委托代理协议，供应商应当直接向代理机构依法提出，并由四川</w:t>
            </w:r>
            <w:r>
              <w:rPr>
                <w:rFonts w:hint="eastAsia" w:ascii="宋体" w:hAnsi="宋体" w:cs="宋体"/>
                <w:color w:val="auto"/>
                <w:sz w:val="21"/>
                <w:szCs w:val="21"/>
                <w:lang w:eastAsia="zh-CN"/>
              </w:rPr>
              <w:t>坤阳工程管理咨询有限</w:t>
            </w:r>
            <w:r>
              <w:rPr>
                <w:rFonts w:hint="eastAsia" w:ascii="宋体" w:hAnsi="宋体" w:cs="宋体"/>
                <w:color w:val="auto"/>
                <w:sz w:val="21"/>
                <w:szCs w:val="21"/>
              </w:rPr>
              <w:t>公司依法受理和回复。</w:t>
            </w:r>
          </w:p>
          <w:p>
            <w:pPr>
              <w:widowControl/>
              <w:spacing w:line="240" w:lineRule="auto"/>
              <w:rPr>
                <w:rFonts w:hint="eastAsia" w:ascii="宋体" w:hAnsi="宋体" w:eastAsia="宋体" w:cs="宋体"/>
                <w:color w:val="auto"/>
                <w:sz w:val="21"/>
                <w:szCs w:val="21"/>
                <w:lang w:eastAsia="zh-CN"/>
              </w:rPr>
            </w:pPr>
            <w:r>
              <w:rPr>
                <w:rFonts w:hint="eastAsia" w:ascii="宋体" w:hAnsi="宋体" w:cs="宋体"/>
                <w:color w:val="auto"/>
                <w:sz w:val="21"/>
                <w:szCs w:val="21"/>
              </w:rPr>
              <w:t>联 系 人：</w:t>
            </w:r>
            <w:r>
              <w:rPr>
                <w:rFonts w:hint="eastAsia" w:ascii="宋体" w:hAnsi="宋体" w:cs="宋体"/>
                <w:color w:val="auto"/>
                <w:sz w:val="21"/>
                <w:szCs w:val="21"/>
                <w:lang w:eastAsia="zh-CN"/>
              </w:rPr>
              <w:t>陈先生</w:t>
            </w:r>
          </w:p>
          <w:p>
            <w:pPr>
              <w:widowControl/>
              <w:spacing w:line="240" w:lineRule="auto"/>
              <w:rPr>
                <w:rFonts w:hint="default" w:ascii="宋体" w:hAnsi="宋体" w:eastAsia="宋体" w:cs="宋体"/>
                <w:color w:val="auto"/>
                <w:sz w:val="21"/>
                <w:szCs w:val="21"/>
                <w:lang w:val="en-US" w:eastAsia="zh-CN"/>
              </w:rPr>
            </w:pPr>
            <w:r>
              <w:rPr>
                <w:rFonts w:hint="eastAsia" w:ascii="宋体" w:hAnsi="宋体" w:cs="宋体"/>
                <w:color w:val="auto"/>
                <w:sz w:val="21"/>
                <w:szCs w:val="21"/>
              </w:rPr>
              <w:t>联系电话：</w:t>
            </w:r>
            <w:r>
              <w:rPr>
                <w:rFonts w:hint="eastAsia" w:ascii="宋体" w:hAnsi="宋体" w:cs="宋体"/>
                <w:color w:val="auto"/>
                <w:sz w:val="21"/>
                <w:szCs w:val="21"/>
                <w:lang w:val="en-US" w:eastAsia="zh-CN"/>
              </w:rPr>
              <w:t>18108061077</w:t>
            </w:r>
          </w:p>
          <w:p>
            <w:pPr>
              <w:widowControl/>
              <w:spacing w:line="240" w:lineRule="auto"/>
              <w:rPr>
                <w:rFonts w:hint="eastAsia" w:ascii="宋体" w:hAnsi="宋体" w:cs="宋体"/>
                <w:color w:val="auto"/>
                <w:sz w:val="21"/>
                <w:szCs w:val="21"/>
              </w:rPr>
            </w:pPr>
            <w:r>
              <w:rPr>
                <w:rFonts w:hint="eastAsia" w:ascii="宋体" w:hAnsi="宋体" w:cs="宋体"/>
                <w:color w:val="auto"/>
                <w:sz w:val="21"/>
                <w:szCs w:val="21"/>
              </w:rPr>
              <w:t>地址：</w:t>
            </w:r>
            <w:r>
              <w:rPr>
                <w:rFonts w:hint="eastAsia" w:ascii="宋体" w:hAnsi="宋体" w:eastAsia="宋体" w:cs="宋体"/>
                <w:color w:val="000000"/>
                <w:kern w:val="0"/>
                <w:sz w:val="21"/>
                <w:szCs w:val="21"/>
                <w:lang w:eastAsia="zh-CN"/>
              </w:rPr>
              <w:t>成都市锦江区金石路366号新希望中鼎国际3栋1702、1704号</w:t>
            </w:r>
          </w:p>
        </w:tc>
      </w:tr>
      <w:tr>
        <w:tblPrEx>
          <w:tblCellMar>
            <w:top w:w="0" w:type="dxa"/>
            <w:left w:w="0" w:type="dxa"/>
            <w:bottom w:w="0" w:type="dxa"/>
            <w:right w:w="0" w:type="dxa"/>
          </w:tblCellMar>
        </w:tblPrEx>
        <w:trPr>
          <w:trHeight w:val="23" w:hRule="atLeast"/>
          <w:jc w:val="center"/>
        </w:trPr>
        <w:tc>
          <w:tcPr>
            <w:tcW w:w="678" w:type="dxa"/>
            <w:tcBorders>
              <w:top w:val="single" w:color="000000" w:sz="4" w:space="0"/>
              <w:left w:val="double" w:color="000000" w:sz="4" w:space="0"/>
              <w:bottom w:val="single" w:color="000000" w:sz="4" w:space="0"/>
              <w:right w:val="single" w:color="000000" w:sz="4" w:space="0"/>
            </w:tcBorders>
            <w:noWrap w:val="0"/>
            <w:vAlign w:val="center"/>
          </w:tcPr>
          <w:p>
            <w:pPr>
              <w:jc w:val="center"/>
              <w:rPr>
                <w:rFonts w:ascii="宋体" w:hAnsi="宋体" w:cs="宋体"/>
                <w:sz w:val="21"/>
                <w:szCs w:val="21"/>
              </w:rPr>
            </w:pPr>
            <w:r>
              <w:rPr>
                <w:rFonts w:hint="eastAsia" w:ascii="宋体" w:hAnsi="宋体" w:cs="宋体"/>
                <w:sz w:val="21"/>
                <w:szCs w:val="21"/>
              </w:rPr>
              <w:t>11</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cs="宋体"/>
                <w:sz w:val="21"/>
                <w:szCs w:val="21"/>
              </w:rPr>
            </w:pPr>
            <w:r>
              <w:rPr>
                <w:rFonts w:hint="eastAsia" w:ascii="宋体" w:hAnsi="宋体" w:cs="宋体"/>
                <w:sz w:val="21"/>
                <w:szCs w:val="21"/>
              </w:rPr>
              <w:t>供应商质疑</w:t>
            </w:r>
          </w:p>
        </w:tc>
        <w:tc>
          <w:tcPr>
            <w:tcW w:w="8058" w:type="dxa"/>
            <w:tcBorders>
              <w:top w:val="single" w:color="000000" w:sz="4" w:space="0"/>
              <w:left w:val="single" w:color="000000" w:sz="4" w:space="0"/>
              <w:bottom w:val="single" w:color="000000" w:sz="4" w:space="0"/>
              <w:right w:val="double" w:color="000000" w:sz="4" w:space="0"/>
            </w:tcBorders>
            <w:noWrap w:val="0"/>
            <w:vAlign w:val="center"/>
          </w:tcPr>
          <w:p>
            <w:pPr>
              <w:widowControl/>
              <w:spacing w:line="240" w:lineRule="auto"/>
              <w:rPr>
                <w:rFonts w:hint="eastAsia" w:ascii="宋体" w:hAnsi="宋体" w:cs="宋体"/>
                <w:color w:val="auto"/>
                <w:sz w:val="21"/>
                <w:szCs w:val="21"/>
              </w:rPr>
            </w:pPr>
            <w:r>
              <w:rPr>
                <w:rFonts w:hint="eastAsia" w:ascii="宋体" w:hAnsi="宋体" w:cs="宋体"/>
                <w:color w:val="auto"/>
                <w:sz w:val="21"/>
                <w:szCs w:val="21"/>
              </w:rPr>
              <w:t>根据采购委托代理协议，供应商应当直接向代理机构依法提出，并由四川</w:t>
            </w:r>
            <w:r>
              <w:rPr>
                <w:rFonts w:hint="eastAsia" w:ascii="宋体" w:hAnsi="宋体" w:cs="宋体"/>
                <w:color w:val="auto"/>
                <w:sz w:val="21"/>
                <w:szCs w:val="21"/>
                <w:lang w:eastAsia="zh-CN"/>
              </w:rPr>
              <w:t>坤阳工程管理咨询有限</w:t>
            </w:r>
            <w:r>
              <w:rPr>
                <w:rFonts w:hint="eastAsia" w:ascii="宋体" w:hAnsi="宋体" w:cs="宋体"/>
                <w:color w:val="auto"/>
                <w:sz w:val="21"/>
                <w:szCs w:val="21"/>
              </w:rPr>
              <w:t>公司依法受理和回复。</w:t>
            </w:r>
          </w:p>
          <w:p>
            <w:pPr>
              <w:widowControl/>
              <w:spacing w:line="240" w:lineRule="auto"/>
              <w:rPr>
                <w:rFonts w:hint="eastAsia" w:ascii="宋体" w:hAnsi="宋体" w:eastAsia="宋体" w:cs="宋体"/>
                <w:color w:val="auto"/>
                <w:sz w:val="21"/>
                <w:szCs w:val="21"/>
                <w:lang w:eastAsia="zh-CN"/>
              </w:rPr>
            </w:pPr>
            <w:r>
              <w:rPr>
                <w:rFonts w:hint="eastAsia" w:ascii="宋体" w:hAnsi="宋体" w:cs="宋体"/>
                <w:color w:val="auto"/>
                <w:sz w:val="21"/>
                <w:szCs w:val="21"/>
              </w:rPr>
              <w:t>联 系 人：</w:t>
            </w:r>
            <w:r>
              <w:rPr>
                <w:rFonts w:hint="eastAsia" w:ascii="宋体" w:hAnsi="宋体" w:cs="宋体"/>
                <w:color w:val="auto"/>
                <w:sz w:val="21"/>
                <w:szCs w:val="21"/>
                <w:lang w:eastAsia="zh-CN"/>
              </w:rPr>
              <w:t>陈先生</w:t>
            </w:r>
          </w:p>
          <w:p>
            <w:pPr>
              <w:widowControl/>
              <w:spacing w:line="240" w:lineRule="auto"/>
              <w:rPr>
                <w:rFonts w:hint="default" w:ascii="宋体" w:hAnsi="宋体" w:eastAsia="宋体" w:cs="宋体"/>
                <w:color w:val="auto"/>
                <w:sz w:val="21"/>
                <w:szCs w:val="21"/>
                <w:lang w:val="en-US" w:eastAsia="zh-CN"/>
              </w:rPr>
            </w:pPr>
            <w:r>
              <w:rPr>
                <w:rFonts w:hint="eastAsia" w:ascii="宋体" w:hAnsi="宋体" w:cs="宋体"/>
                <w:color w:val="auto"/>
                <w:sz w:val="21"/>
                <w:szCs w:val="21"/>
              </w:rPr>
              <w:t>联系电话：</w:t>
            </w:r>
            <w:r>
              <w:rPr>
                <w:rFonts w:hint="eastAsia" w:ascii="宋体" w:hAnsi="宋体" w:cs="宋体"/>
                <w:color w:val="auto"/>
                <w:sz w:val="21"/>
                <w:szCs w:val="21"/>
                <w:lang w:val="en-US" w:eastAsia="zh-CN"/>
              </w:rPr>
              <w:t>18108061077</w:t>
            </w:r>
          </w:p>
          <w:p>
            <w:pPr>
              <w:widowControl/>
              <w:spacing w:line="240" w:lineRule="auto"/>
              <w:rPr>
                <w:rFonts w:hint="eastAsia" w:ascii="宋体" w:hAnsi="宋体" w:cs="宋体"/>
                <w:color w:val="auto"/>
                <w:sz w:val="21"/>
                <w:szCs w:val="21"/>
              </w:rPr>
            </w:pPr>
            <w:r>
              <w:rPr>
                <w:rFonts w:hint="eastAsia" w:ascii="宋体" w:hAnsi="宋体" w:cs="宋体"/>
                <w:color w:val="auto"/>
                <w:sz w:val="21"/>
                <w:szCs w:val="21"/>
              </w:rPr>
              <w:t>地址：</w:t>
            </w:r>
            <w:r>
              <w:rPr>
                <w:rFonts w:hint="eastAsia" w:ascii="宋体" w:hAnsi="宋体" w:eastAsia="宋体" w:cs="宋体"/>
                <w:color w:val="000000"/>
                <w:kern w:val="0"/>
                <w:sz w:val="21"/>
                <w:szCs w:val="21"/>
                <w:lang w:eastAsia="zh-CN"/>
              </w:rPr>
              <w:t>成都市锦江区金石路366号新希望中鼎国际3栋1702、1704号</w:t>
            </w:r>
          </w:p>
        </w:tc>
      </w:tr>
      <w:tr>
        <w:tblPrEx>
          <w:tblCellMar>
            <w:top w:w="0" w:type="dxa"/>
            <w:left w:w="0" w:type="dxa"/>
            <w:bottom w:w="0" w:type="dxa"/>
            <w:right w:w="0" w:type="dxa"/>
          </w:tblCellMar>
        </w:tblPrEx>
        <w:trPr>
          <w:trHeight w:val="23" w:hRule="atLeast"/>
          <w:jc w:val="center"/>
        </w:trPr>
        <w:tc>
          <w:tcPr>
            <w:tcW w:w="678" w:type="dxa"/>
            <w:tcBorders>
              <w:top w:val="single" w:color="000000" w:sz="4" w:space="0"/>
              <w:left w:val="double" w:color="000000" w:sz="4" w:space="0"/>
              <w:bottom w:val="single" w:color="000000" w:sz="4" w:space="0"/>
              <w:right w:val="single" w:color="000000" w:sz="4" w:space="0"/>
            </w:tcBorders>
            <w:noWrap w:val="0"/>
            <w:vAlign w:val="center"/>
          </w:tcPr>
          <w:p>
            <w:pPr>
              <w:jc w:val="center"/>
              <w:rPr>
                <w:rFonts w:hint="eastAsia" w:ascii="宋体" w:hAnsi="宋体" w:cs="宋体"/>
                <w:sz w:val="21"/>
                <w:szCs w:val="21"/>
              </w:rPr>
            </w:pPr>
            <w:r>
              <w:rPr>
                <w:rFonts w:hint="eastAsia" w:ascii="宋体" w:hAnsi="宋体" w:cs="宋体"/>
                <w:sz w:val="21"/>
                <w:szCs w:val="21"/>
              </w:rPr>
              <w:t>12</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cs="宋体"/>
                <w:sz w:val="21"/>
                <w:szCs w:val="21"/>
              </w:rPr>
            </w:pPr>
            <w:r>
              <w:rPr>
                <w:rFonts w:hint="eastAsia" w:ascii="宋体" w:hAnsi="宋体" w:cs="宋体"/>
                <w:sz w:val="21"/>
                <w:szCs w:val="21"/>
              </w:rPr>
              <w:t>供应商投诉</w:t>
            </w:r>
          </w:p>
        </w:tc>
        <w:tc>
          <w:tcPr>
            <w:tcW w:w="8058" w:type="dxa"/>
            <w:tcBorders>
              <w:top w:val="single" w:color="000000" w:sz="4" w:space="0"/>
              <w:left w:val="single" w:color="000000" w:sz="4" w:space="0"/>
              <w:bottom w:val="single" w:color="000000" w:sz="4" w:space="0"/>
              <w:right w:val="double" w:color="000000" w:sz="4" w:space="0"/>
            </w:tcBorders>
            <w:noWrap w:val="0"/>
            <w:vAlign w:val="center"/>
          </w:tcPr>
          <w:p>
            <w:pPr>
              <w:widowControl/>
              <w:spacing w:line="240" w:lineRule="auto"/>
              <w:rPr>
                <w:rFonts w:hint="eastAsia" w:ascii="宋体" w:hAnsi="宋体" w:cs="宋体"/>
                <w:color w:val="auto"/>
                <w:kern w:val="1"/>
                <w:sz w:val="21"/>
                <w:szCs w:val="21"/>
              </w:rPr>
            </w:pPr>
            <w:r>
              <w:rPr>
                <w:rFonts w:hint="eastAsia" w:ascii="宋体" w:hAnsi="宋体" w:cs="宋体"/>
                <w:color w:val="auto"/>
                <w:kern w:val="1"/>
                <w:sz w:val="21"/>
                <w:szCs w:val="21"/>
              </w:rPr>
              <w:t>投诉受理单位：</w:t>
            </w:r>
            <w:r>
              <w:rPr>
                <w:rFonts w:hint="eastAsia" w:ascii="宋体" w:hAnsi="宋体" w:cs="宋体"/>
                <w:color w:val="auto"/>
                <w:kern w:val="1"/>
                <w:sz w:val="21"/>
                <w:szCs w:val="21"/>
                <w:lang w:eastAsia="zh-CN"/>
              </w:rPr>
              <w:t>成都市郫都区</w:t>
            </w:r>
            <w:r>
              <w:rPr>
                <w:rFonts w:hint="eastAsia" w:ascii="宋体" w:hAnsi="宋体" w:cs="宋体"/>
                <w:color w:val="auto"/>
                <w:kern w:val="1"/>
                <w:sz w:val="21"/>
                <w:szCs w:val="21"/>
              </w:rPr>
              <w:t>财政局</w:t>
            </w:r>
          </w:p>
          <w:p>
            <w:pPr>
              <w:widowControl/>
              <w:spacing w:line="240" w:lineRule="auto"/>
              <w:rPr>
                <w:rFonts w:hint="default" w:ascii="宋体" w:hAnsi="宋体" w:eastAsia="宋体" w:cs="宋体"/>
                <w:color w:val="auto"/>
                <w:kern w:val="1"/>
                <w:sz w:val="21"/>
                <w:szCs w:val="21"/>
                <w:lang w:val="en-US" w:eastAsia="zh-CN"/>
              </w:rPr>
            </w:pPr>
            <w:r>
              <w:rPr>
                <w:rFonts w:hint="eastAsia" w:ascii="宋体" w:hAnsi="宋体" w:cs="宋体"/>
                <w:color w:val="auto"/>
                <w:kern w:val="1"/>
                <w:sz w:val="21"/>
                <w:szCs w:val="21"/>
              </w:rPr>
              <w:t>联系电话：028-</w:t>
            </w:r>
            <w:r>
              <w:rPr>
                <w:rFonts w:hint="eastAsia" w:ascii="宋体" w:hAnsi="宋体" w:cs="宋体"/>
                <w:color w:val="auto"/>
                <w:kern w:val="1"/>
                <w:sz w:val="21"/>
                <w:szCs w:val="21"/>
                <w:lang w:val="en-US" w:eastAsia="zh-CN"/>
              </w:rPr>
              <w:t>87882972</w:t>
            </w:r>
          </w:p>
          <w:p>
            <w:pPr>
              <w:spacing w:line="240" w:lineRule="auto"/>
              <w:rPr>
                <w:rFonts w:hint="eastAsia" w:ascii="宋体" w:hAnsi="宋体" w:cs="宋体"/>
                <w:sz w:val="21"/>
                <w:szCs w:val="21"/>
              </w:rPr>
            </w:pPr>
            <w:r>
              <w:rPr>
                <w:rFonts w:hint="eastAsia" w:ascii="宋体" w:hAnsi="宋体" w:cs="宋体"/>
                <w:sz w:val="21"/>
                <w:szCs w:val="21"/>
              </w:rPr>
              <w:t>地址：</w:t>
            </w:r>
            <w:r>
              <w:rPr>
                <w:rFonts w:hint="eastAsia" w:ascii="宋体" w:hAnsi="宋体" w:cs="宋体"/>
                <w:sz w:val="21"/>
                <w:szCs w:val="21"/>
                <w:lang w:eastAsia="zh-CN"/>
              </w:rPr>
              <w:t>成都市郫都区望丛中路</w:t>
            </w:r>
            <w:r>
              <w:rPr>
                <w:rFonts w:hint="eastAsia" w:ascii="宋体" w:hAnsi="宋体" w:cs="宋体"/>
                <w:sz w:val="21"/>
                <w:szCs w:val="21"/>
                <w:lang w:val="en-US" w:eastAsia="zh-CN"/>
              </w:rPr>
              <w:t>998</w:t>
            </w:r>
            <w:r>
              <w:rPr>
                <w:rFonts w:hint="eastAsia" w:ascii="宋体" w:hAnsi="宋体" w:cs="宋体"/>
                <w:sz w:val="21"/>
                <w:szCs w:val="21"/>
              </w:rPr>
              <w:t>号</w:t>
            </w:r>
          </w:p>
          <w:p>
            <w:pPr>
              <w:widowControl/>
              <w:spacing w:line="240" w:lineRule="auto"/>
              <w:rPr>
                <w:rFonts w:hint="eastAsia" w:ascii="宋体" w:hAnsi="宋体" w:cs="宋体"/>
                <w:color w:val="auto"/>
                <w:kern w:val="1"/>
                <w:sz w:val="21"/>
                <w:szCs w:val="21"/>
              </w:rPr>
            </w:pPr>
            <w:r>
              <w:rPr>
                <w:rFonts w:hint="eastAsia" w:ascii="宋体" w:hAnsi="宋体" w:cs="宋体"/>
                <w:color w:val="auto"/>
                <w:kern w:val="1"/>
                <w:sz w:val="21"/>
                <w:szCs w:val="21"/>
              </w:rPr>
              <w:t>注：根据《中华人民共和国政府采购法实施条例》及中华人民共和国财政部令第94号《政府采购质疑和投诉》办法等的规定，供应商投诉事项不得超出已质疑事项的范围。</w:t>
            </w:r>
          </w:p>
        </w:tc>
      </w:tr>
      <w:tr>
        <w:tblPrEx>
          <w:tblCellMar>
            <w:top w:w="0" w:type="dxa"/>
            <w:left w:w="0" w:type="dxa"/>
            <w:bottom w:w="0" w:type="dxa"/>
            <w:right w:w="0" w:type="dxa"/>
          </w:tblCellMar>
        </w:tblPrEx>
        <w:trPr>
          <w:trHeight w:val="23" w:hRule="atLeast"/>
          <w:jc w:val="center"/>
        </w:trPr>
        <w:tc>
          <w:tcPr>
            <w:tcW w:w="678" w:type="dxa"/>
            <w:tcBorders>
              <w:top w:val="single" w:color="000000" w:sz="4" w:space="0"/>
              <w:left w:val="double" w:color="000000" w:sz="4" w:space="0"/>
              <w:bottom w:val="single" w:color="000000" w:sz="4" w:space="0"/>
              <w:right w:val="single" w:color="000000" w:sz="4" w:space="0"/>
            </w:tcBorders>
            <w:noWrap w:val="0"/>
            <w:vAlign w:val="center"/>
          </w:tcPr>
          <w:p>
            <w:pPr>
              <w:jc w:val="center"/>
              <w:rPr>
                <w:rFonts w:hint="eastAsia" w:ascii="宋体" w:hAnsi="宋体" w:cs="宋体"/>
                <w:sz w:val="21"/>
                <w:szCs w:val="21"/>
              </w:rPr>
            </w:pPr>
            <w:r>
              <w:rPr>
                <w:rFonts w:hint="eastAsia" w:ascii="宋体" w:hAnsi="宋体" w:cs="宋体"/>
                <w:sz w:val="21"/>
                <w:szCs w:val="21"/>
              </w:rPr>
              <w:t>13</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cs="宋体"/>
                <w:sz w:val="21"/>
                <w:szCs w:val="21"/>
              </w:rPr>
            </w:pPr>
            <w:r>
              <w:rPr>
                <w:rFonts w:hint="eastAsia" w:ascii="宋体" w:hAnsi="宋体" w:cs="宋体"/>
                <w:sz w:val="21"/>
                <w:szCs w:val="21"/>
              </w:rPr>
              <w:t>政府采购合同公告备案</w:t>
            </w:r>
          </w:p>
        </w:tc>
        <w:tc>
          <w:tcPr>
            <w:tcW w:w="8058" w:type="dxa"/>
            <w:tcBorders>
              <w:top w:val="single" w:color="000000" w:sz="4" w:space="0"/>
              <w:left w:val="single" w:color="000000" w:sz="4" w:space="0"/>
              <w:bottom w:val="single" w:color="000000" w:sz="4" w:space="0"/>
              <w:right w:val="double" w:color="000000" w:sz="4" w:space="0"/>
            </w:tcBorders>
            <w:noWrap w:val="0"/>
            <w:vAlign w:val="center"/>
          </w:tcPr>
          <w:p>
            <w:pPr>
              <w:widowControl/>
              <w:spacing w:line="240" w:lineRule="auto"/>
              <w:rPr>
                <w:rFonts w:hint="eastAsia" w:ascii="宋体" w:hAnsi="宋体" w:cs="宋体"/>
                <w:color w:val="auto"/>
                <w:kern w:val="1"/>
                <w:sz w:val="21"/>
                <w:szCs w:val="21"/>
              </w:rPr>
            </w:pPr>
            <w:r>
              <w:rPr>
                <w:rFonts w:hint="eastAsia" w:ascii="宋体" w:hAnsi="宋体" w:cs="宋体"/>
                <w:color w:val="auto"/>
                <w:kern w:val="1"/>
                <w:sz w:val="21"/>
                <w:szCs w:val="21"/>
              </w:rPr>
              <w:t>政府采购合同签订之日起2个工作日内，采购人将政府采购合同在四川政府采购网公告；政府采购合同签订之日起7个工作日内，政府采购合同自签订之日起七个工作日内，采购人应当将合同副本报同级政府采购监督管理部门和有关部门备案。</w:t>
            </w:r>
          </w:p>
        </w:tc>
      </w:tr>
      <w:tr>
        <w:tblPrEx>
          <w:tblCellMar>
            <w:top w:w="0" w:type="dxa"/>
            <w:left w:w="0" w:type="dxa"/>
            <w:bottom w:w="0" w:type="dxa"/>
            <w:right w:w="0" w:type="dxa"/>
          </w:tblCellMar>
        </w:tblPrEx>
        <w:trPr>
          <w:trHeight w:val="23" w:hRule="atLeast"/>
          <w:jc w:val="center"/>
        </w:trPr>
        <w:tc>
          <w:tcPr>
            <w:tcW w:w="678" w:type="dxa"/>
            <w:tcBorders>
              <w:top w:val="single" w:color="000000" w:sz="4" w:space="0"/>
              <w:left w:val="double" w:color="000000" w:sz="4" w:space="0"/>
              <w:bottom w:val="single" w:color="000000" w:sz="4" w:space="0"/>
              <w:right w:val="single" w:color="000000" w:sz="4" w:space="0"/>
            </w:tcBorders>
            <w:noWrap w:val="0"/>
            <w:vAlign w:val="center"/>
          </w:tcPr>
          <w:p>
            <w:pPr>
              <w:jc w:val="center"/>
              <w:rPr>
                <w:rFonts w:hint="eastAsia" w:ascii="宋体" w:hAnsi="宋体" w:cs="宋体"/>
                <w:sz w:val="21"/>
                <w:szCs w:val="21"/>
              </w:rPr>
            </w:pPr>
            <w:r>
              <w:rPr>
                <w:rFonts w:hint="eastAsia" w:ascii="宋体" w:hAnsi="宋体" w:cs="宋体"/>
                <w:sz w:val="21"/>
                <w:szCs w:val="21"/>
              </w:rPr>
              <w:t>14</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cs="宋体"/>
                <w:sz w:val="21"/>
                <w:szCs w:val="21"/>
              </w:rPr>
            </w:pPr>
            <w:r>
              <w:rPr>
                <w:rFonts w:hint="eastAsia" w:ascii="宋体" w:hAnsi="宋体" w:cs="宋体"/>
                <w:sz w:val="21"/>
                <w:szCs w:val="21"/>
              </w:rPr>
              <w:t>招标服务费</w:t>
            </w:r>
          </w:p>
        </w:tc>
        <w:tc>
          <w:tcPr>
            <w:tcW w:w="8058" w:type="dxa"/>
            <w:tcBorders>
              <w:top w:val="single" w:color="000000" w:sz="4" w:space="0"/>
              <w:left w:val="single" w:color="000000" w:sz="4" w:space="0"/>
              <w:bottom w:val="single" w:color="000000" w:sz="4" w:space="0"/>
              <w:right w:val="double" w:color="000000" w:sz="4" w:space="0"/>
            </w:tcBorders>
            <w:noWrap w:val="0"/>
            <w:vAlign w:val="center"/>
          </w:tcPr>
          <w:p>
            <w:pPr>
              <w:widowControl/>
              <w:spacing w:line="240" w:lineRule="auto"/>
              <w:rPr>
                <w:rFonts w:hint="eastAsia" w:ascii="宋体" w:hAnsi="宋体" w:cs="宋体"/>
                <w:color w:val="auto"/>
                <w:sz w:val="21"/>
                <w:szCs w:val="21"/>
              </w:rPr>
            </w:pPr>
            <w:r>
              <w:rPr>
                <w:rFonts w:hint="eastAsia" w:ascii="宋体" w:hAnsi="宋体" w:cs="宋体"/>
                <w:color w:val="auto"/>
                <w:sz w:val="21"/>
                <w:szCs w:val="21"/>
              </w:rPr>
              <w:t>按《招标代理服务收费管理暂行办法》（计价格[2002]1980号）以及招标代理机构与采购人签订的委托代理协议收取，由成交供应商在领取成交通知书前向招标代理机构交纳招标代理服务费</w:t>
            </w:r>
            <w:r>
              <w:rPr>
                <w:rFonts w:hint="eastAsia" w:ascii="宋体" w:hAnsi="宋体" w:cs="宋体"/>
                <w:color w:val="auto"/>
                <w:sz w:val="21"/>
                <w:szCs w:val="21"/>
                <w:lang w:val="en-US" w:eastAsia="zh-CN"/>
              </w:rPr>
              <w:t>16000.00元</w:t>
            </w:r>
            <w:r>
              <w:rPr>
                <w:rFonts w:hint="eastAsia" w:ascii="宋体" w:hAnsi="宋体" w:cs="宋体"/>
                <w:color w:val="auto"/>
                <w:sz w:val="21"/>
                <w:szCs w:val="21"/>
              </w:rPr>
              <w:t>。</w:t>
            </w:r>
          </w:p>
          <w:p>
            <w:pPr>
              <w:widowControl/>
              <w:spacing w:line="240" w:lineRule="auto"/>
              <w:rPr>
                <w:rFonts w:hint="eastAsia" w:ascii="宋体" w:hAnsi="宋体" w:cs="宋体"/>
                <w:color w:val="auto"/>
                <w:sz w:val="21"/>
                <w:szCs w:val="21"/>
              </w:rPr>
            </w:pPr>
            <w:r>
              <w:rPr>
                <w:rFonts w:hint="eastAsia" w:ascii="宋体" w:hAnsi="宋体" w:cs="宋体"/>
                <w:color w:val="auto"/>
                <w:sz w:val="21"/>
                <w:szCs w:val="21"/>
              </w:rPr>
              <w:t>收款单位：四川</w:t>
            </w:r>
            <w:r>
              <w:rPr>
                <w:rFonts w:hint="eastAsia" w:ascii="宋体" w:hAnsi="宋体" w:cs="宋体"/>
                <w:color w:val="auto"/>
                <w:sz w:val="21"/>
                <w:szCs w:val="21"/>
                <w:lang w:eastAsia="zh-CN"/>
              </w:rPr>
              <w:t>坤阳工程管理咨询有限</w:t>
            </w:r>
            <w:r>
              <w:rPr>
                <w:rFonts w:hint="eastAsia" w:ascii="宋体" w:hAnsi="宋体" w:cs="宋体"/>
                <w:color w:val="auto"/>
                <w:sz w:val="21"/>
                <w:szCs w:val="21"/>
              </w:rPr>
              <w:t>公司</w:t>
            </w:r>
          </w:p>
          <w:p>
            <w:pPr>
              <w:widowControl/>
              <w:spacing w:line="240" w:lineRule="auto"/>
              <w:rPr>
                <w:rFonts w:hint="eastAsia" w:ascii="宋体" w:hAnsi="宋体" w:cs="宋体"/>
                <w:color w:val="auto"/>
                <w:sz w:val="21"/>
                <w:szCs w:val="21"/>
              </w:rPr>
            </w:pPr>
            <w:r>
              <w:rPr>
                <w:rFonts w:hint="eastAsia" w:ascii="宋体" w:hAnsi="宋体" w:cs="宋体"/>
                <w:color w:val="auto"/>
                <w:sz w:val="21"/>
                <w:szCs w:val="21"/>
              </w:rPr>
              <w:t>开户行：</w:t>
            </w:r>
            <w:r>
              <w:rPr>
                <w:rFonts w:hint="eastAsia" w:ascii="宋体" w:hAnsi="宋体" w:cs="宋体"/>
                <w:color w:val="auto"/>
                <w:sz w:val="21"/>
                <w:szCs w:val="21"/>
                <w:lang w:eastAsia="zh-CN"/>
              </w:rPr>
              <w:t>中国农业银行股份有限公司成都总府</w:t>
            </w:r>
            <w:r>
              <w:rPr>
                <w:rFonts w:hint="eastAsia" w:ascii="宋体" w:hAnsi="宋体" w:cs="宋体"/>
                <w:color w:val="auto"/>
                <w:sz w:val="21"/>
                <w:szCs w:val="21"/>
              </w:rPr>
              <w:t>支行</w:t>
            </w:r>
          </w:p>
          <w:p>
            <w:pPr>
              <w:widowControl/>
              <w:spacing w:line="240" w:lineRule="auto"/>
              <w:rPr>
                <w:rFonts w:hint="default" w:ascii="宋体" w:hAnsi="宋体" w:eastAsia="宋体" w:cs="宋体"/>
                <w:color w:val="auto"/>
                <w:sz w:val="21"/>
                <w:szCs w:val="21"/>
                <w:lang w:val="en-US" w:eastAsia="zh-CN"/>
              </w:rPr>
            </w:pPr>
            <w:r>
              <w:rPr>
                <w:rFonts w:hint="eastAsia" w:ascii="宋体" w:hAnsi="宋体" w:cs="宋体"/>
                <w:color w:val="auto"/>
                <w:sz w:val="21"/>
                <w:szCs w:val="21"/>
              </w:rPr>
              <w:t>银行账号：</w:t>
            </w:r>
            <w:r>
              <w:rPr>
                <w:rFonts w:hint="eastAsia" w:ascii="宋体" w:hAnsi="宋体" w:cs="宋体"/>
                <w:color w:val="auto"/>
                <w:sz w:val="21"/>
                <w:szCs w:val="21"/>
                <w:lang w:val="en-US" w:eastAsia="zh-CN"/>
              </w:rPr>
              <w:t>2290010140033430</w:t>
            </w:r>
          </w:p>
        </w:tc>
      </w:tr>
      <w:tr>
        <w:tblPrEx>
          <w:tblCellMar>
            <w:top w:w="0" w:type="dxa"/>
            <w:left w:w="0" w:type="dxa"/>
            <w:bottom w:w="0" w:type="dxa"/>
            <w:right w:w="0" w:type="dxa"/>
          </w:tblCellMar>
        </w:tblPrEx>
        <w:trPr>
          <w:trHeight w:val="518" w:hRule="atLeast"/>
          <w:jc w:val="center"/>
        </w:trPr>
        <w:tc>
          <w:tcPr>
            <w:tcW w:w="678" w:type="dxa"/>
            <w:tcBorders>
              <w:top w:val="single" w:color="000000" w:sz="4" w:space="0"/>
              <w:left w:val="double" w:color="000000" w:sz="4" w:space="0"/>
              <w:bottom w:val="single" w:color="000000" w:sz="4" w:space="0"/>
              <w:right w:val="single" w:color="000000" w:sz="4" w:space="0"/>
            </w:tcBorders>
            <w:noWrap w:val="0"/>
            <w:vAlign w:val="center"/>
          </w:tcPr>
          <w:p>
            <w:pPr>
              <w:jc w:val="center"/>
              <w:rPr>
                <w:rFonts w:hint="eastAsia" w:ascii="宋体" w:hAnsi="宋体" w:cs="宋体"/>
                <w:sz w:val="21"/>
                <w:szCs w:val="21"/>
              </w:rPr>
            </w:pPr>
            <w:r>
              <w:rPr>
                <w:rFonts w:hint="eastAsia" w:ascii="宋体" w:hAnsi="宋体" w:cs="宋体"/>
                <w:sz w:val="21"/>
                <w:szCs w:val="21"/>
              </w:rPr>
              <w:t>15</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cs="宋体"/>
                <w:sz w:val="21"/>
                <w:szCs w:val="21"/>
              </w:rPr>
            </w:pPr>
            <w:r>
              <w:rPr>
                <w:rFonts w:hint="eastAsia" w:ascii="宋体" w:hAnsi="宋体" w:cs="宋体"/>
                <w:sz w:val="21"/>
                <w:szCs w:val="21"/>
              </w:rPr>
              <w:t>信用融资</w:t>
            </w:r>
          </w:p>
        </w:tc>
        <w:tc>
          <w:tcPr>
            <w:tcW w:w="8058" w:type="dxa"/>
            <w:tcBorders>
              <w:top w:val="single" w:color="000000" w:sz="4" w:space="0"/>
              <w:left w:val="single" w:color="000000" w:sz="4" w:space="0"/>
              <w:bottom w:val="single" w:color="000000" w:sz="4" w:space="0"/>
              <w:right w:val="double" w:color="000000" w:sz="4" w:space="0"/>
            </w:tcBorders>
            <w:noWrap w:val="0"/>
            <w:vAlign w:val="center"/>
          </w:tcPr>
          <w:p>
            <w:pPr>
              <w:keepLines/>
              <w:widowControl/>
              <w:numPr>
                <w:ilvl w:val="0"/>
                <w:numId w:val="0"/>
              </w:numPr>
              <w:wordWrap w:val="0"/>
              <w:spacing w:line="240" w:lineRule="auto"/>
              <w:ind w:right="170" w:rightChars="50"/>
              <w:rPr>
                <w:rFonts w:hint="eastAsia" w:ascii="宋体" w:hAnsi="宋体" w:cs="宋体"/>
                <w:sz w:val="21"/>
                <w:szCs w:val="21"/>
              </w:rPr>
            </w:pPr>
            <w:r>
              <w:rPr>
                <w:rFonts w:hint="eastAsia" w:ascii="宋体" w:hAnsi="宋体" w:cs="宋体"/>
                <w:sz w:val="21"/>
                <w:szCs w:val="21"/>
                <w:lang w:val="en-US" w:eastAsia="zh-CN"/>
              </w:rPr>
              <w:t>1、</w:t>
            </w:r>
            <w:r>
              <w:rPr>
                <w:rFonts w:hint="eastAsia" w:ascii="宋体" w:hAnsi="宋体" w:cs="宋体"/>
                <w:sz w:val="21"/>
                <w:szCs w:val="21"/>
              </w:rPr>
              <w:t>根据《四川省财政厅关于推进四川省政府采购供应商信用融资工作的通知》（川财采〔2018〕123 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申请政采贷具体相关流程请查看http://202.61.88.41:9009/static/login/login.html。</w:t>
            </w:r>
          </w:p>
          <w:p>
            <w:pPr>
              <w:wordWrap w:val="0"/>
              <w:spacing w:line="240" w:lineRule="auto"/>
              <w:ind w:right="264"/>
              <w:jc w:val="left"/>
              <w:rPr>
                <w:rFonts w:hint="eastAsia" w:ascii="宋体" w:hAnsi="宋体" w:cs="宋体"/>
                <w:color w:val="auto"/>
                <w:sz w:val="21"/>
                <w:szCs w:val="21"/>
              </w:rPr>
            </w:pPr>
            <w:r>
              <w:rPr>
                <w:rFonts w:hint="eastAsia" w:ascii="宋体" w:hAnsi="宋体" w:cs="宋体"/>
                <w:sz w:val="21"/>
                <w:szCs w:val="21"/>
              </w:rPr>
              <w:t>2、为有效缓解中小企业融资难、融资贵问题，根据成都市财政局中国人民银行成都分行营业管理部 关于印发《成都市中小企业政府采购信用融资暂行办法》和《成都市级支持中小企业政府采购信用融资实施方案》的通知（成财采〔2019〕17号），成都市范围内政府采购项目中标（成交）供应商为中小微企业的，可依据政府采购合同申请政府采购信用融资。申请蓉采贷具体相关流程请查看http://cdcz.chengdu.gov.cn/zfcg/gpLoan。</w:t>
            </w:r>
          </w:p>
        </w:tc>
      </w:tr>
      <w:tr>
        <w:tblPrEx>
          <w:tblCellMar>
            <w:top w:w="0" w:type="dxa"/>
            <w:left w:w="0" w:type="dxa"/>
            <w:bottom w:w="0" w:type="dxa"/>
            <w:right w:w="0" w:type="dxa"/>
          </w:tblCellMar>
        </w:tblPrEx>
        <w:trPr>
          <w:trHeight w:val="375" w:hRule="atLeast"/>
          <w:jc w:val="center"/>
        </w:trPr>
        <w:tc>
          <w:tcPr>
            <w:tcW w:w="678" w:type="dxa"/>
            <w:tcBorders>
              <w:top w:val="single" w:color="000000" w:sz="4" w:space="0"/>
              <w:left w:val="double" w:color="000000" w:sz="4" w:space="0"/>
              <w:bottom w:val="single" w:color="000000" w:sz="4" w:space="0"/>
              <w:right w:val="single" w:color="000000" w:sz="4" w:space="0"/>
            </w:tcBorders>
            <w:noWrap w:val="0"/>
            <w:vAlign w:val="center"/>
          </w:tcPr>
          <w:p>
            <w:pPr>
              <w:jc w:val="center"/>
              <w:rPr>
                <w:rFonts w:hint="eastAsia" w:ascii="宋体" w:hAnsi="宋体" w:cs="宋体"/>
                <w:sz w:val="21"/>
                <w:szCs w:val="21"/>
              </w:rPr>
            </w:pPr>
            <w:r>
              <w:rPr>
                <w:rFonts w:hint="eastAsia" w:ascii="宋体" w:hAnsi="宋体" w:cs="宋体"/>
                <w:sz w:val="21"/>
                <w:szCs w:val="21"/>
              </w:rPr>
              <w:t>16</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cs="宋体"/>
                <w:sz w:val="21"/>
                <w:szCs w:val="21"/>
              </w:rPr>
            </w:pPr>
            <w:r>
              <w:rPr>
                <w:rFonts w:hint="eastAsia" w:ascii="宋体" w:hAnsi="宋体" w:cs="宋体"/>
                <w:sz w:val="21"/>
                <w:szCs w:val="21"/>
                <w:lang w:val="zh-CN"/>
              </w:rPr>
              <w:t>承诺提醒</w:t>
            </w:r>
          </w:p>
        </w:tc>
        <w:tc>
          <w:tcPr>
            <w:tcW w:w="8058" w:type="dxa"/>
            <w:tcBorders>
              <w:top w:val="single" w:color="000000" w:sz="4" w:space="0"/>
              <w:left w:val="single" w:color="000000" w:sz="4" w:space="0"/>
              <w:bottom w:val="single" w:color="000000" w:sz="4" w:space="0"/>
              <w:right w:val="double" w:color="000000" w:sz="4" w:space="0"/>
            </w:tcBorders>
            <w:noWrap w:val="0"/>
            <w:vAlign w:val="center"/>
          </w:tcPr>
          <w:p>
            <w:pPr>
              <w:widowControl/>
              <w:spacing w:line="240" w:lineRule="auto"/>
              <w:rPr>
                <w:rFonts w:hint="eastAsia" w:ascii="宋体" w:hAnsi="宋体" w:cs="宋体"/>
                <w:sz w:val="21"/>
                <w:szCs w:val="21"/>
              </w:rPr>
            </w:pPr>
            <w:r>
              <w:rPr>
                <w:rFonts w:hint="eastAsia" w:ascii="宋体" w:hAnsi="宋体" w:cs="宋体"/>
                <w:color w:val="auto"/>
                <w:kern w:val="1"/>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CellMar>
            <w:top w:w="0" w:type="dxa"/>
            <w:left w:w="0" w:type="dxa"/>
            <w:bottom w:w="0" w:type="dxa"/>
            <w:right w:w="0" w:type="dxa"/>
          </w:tblCellMar>
        </w:tblPrEx>
        <w:trPr>
          <w:trHeight w:val="702" w:hRule="atLeast"/>
          <w:jc w:val="center"/>
        </w:trPr>
        <w:tc>
          <w:tcPr>
            <w:tcW w:w="678" w:type="dxa"/>
            <w:tcBorders>
              <w:top w:val="single" w:color="000000" w:sz="4" w:space="0"/>
              <w:left w:val="double" w:color="000000" w:sz="4" w:space="0"/>
              <w:bottom w:val="single" w:color="000000" w:sz="4" w:space="0"/>
              <w:right w:val="single" w:color="000000" w:sz="4" w:space="0"/>
            </w:tcBorders>
            <w:noWrap w:val="0"/>
            <w:vAlign w:val="center"/>
          </w:tcPr>
          <w:p>
            <w:pPr>
              <w:jc w:val="center"/>
              <w:rPr>
                <w:rFonts w:hint="eastAsia" w:ascii="宋体" w:hAnsi="宋体" w:cs="宋体"/>
                <w:sz w:val="21"/>
                <w:szCs w:val="21"/>
              </w:rPr>
            </w:pPr>
            <w:r>
              <w:rPr>
                <w:rFonts w:hint="eastAsia" w:ascii="宋体" w:hAnsi="宋体" w:cs="宋体"/>
                <w:sz w:val="21"/>
                <w:szCs w:val="21"/>
              </w:rPr>
              <w:t>17</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宋体" w:hAnsi="宋体" w:cs="宋体"/>
                <w:sz w:val="21"/>
                <w:szCs w:val="21"/>
                <w:lang w:val="zh-CN"/>
              </w:rPr>
            </w:pPr>
            <w:r>
              <w:rPr>
                <w:rFonts w:hint="eastAsia" w:ascii="宋体" w:hAnsi="宋体" w:cs="宋体"/>
                <w:sz w:val="21"/>
                <w:szCs w:val="21"/>
                <w:lang w:val="zh-CN"/>
              </w:rPr>
              <w:t>其他</w:t>
            </w:r>
          </w:p>
        </w:tc>
        <w:tc>
          <w:tcPr>
            <w:tcW w:w="8058" w:type="dxa"/>
            <w:tcBorders>
              <w:top w:val="single" w:color="000000" w:sz="4" w:space="0"/>
              <w:left w:val="single" w:color="000000" w:sz="4" w:space="0"/>
              <w:bottom w:val="single" w:color="000000" w:sz="4" w:space="0"/>
              <w:right w:val="double" w:color="000000" w:sz="4" w:space="0"/>
            </w:tcBorders>
            <w:noWrap w:val="0"/>
            <w:vAlign w:val="center"/>
          </w:tcPr>
          <w:p>
            <w:pPr>
              <w:widowControl/>
              <w:numPr>
                <w:ilvl w:val="0"/>
                <w:numId w:val="1"/>
              </w:numPr>
              <w:spacing w:line="240" w:lineRule="auto"/>
              <w:rPr>
                <w:rFonts w:hint="eastAsia"/>
                <w:sz w:val="21"/>
                <w:szCs w:val="21"/>
                <w:lang w:val="zh-CN"/>
              </w:rPr>
            </w:pPr>
            <w:r>
              <w:rPr>
                <w:rFonts w:hint="eastAsia"/>
                <w:sz w:val="21"/>
                <w:szCs w:val="21"/>
                <w:lang w:val="zh-CN"/>
              </w:rPr>
              <w:t>郫都区政采预算执行号（2021）</w:t>
            </w:r>
            <w:r>
              <w:rPr>
                <w:rFonts w:hint="eastAsia"/>
                <w:sz w:val="21"/>
                <w:szCs w:val="21"/>
                <w:lang w:val="en-US" w:eastAsia="zh-CN"/>
              </w:rPr>
              <w:t>0757</w:t>
            </w:r>
            <w:r>
              <w:rPr>
                <w:rFonts w:hint="eastAsia"/>
                <w:sz w:val="21"/>
                <w:szCs w:val="21"/>
                <w:lang w:val="zh-CN"/>
              </w:rPr>
              <w:t>号；</w:t>
            </w:r>
          </w:p>
          <w:p>
            <w:pPr>
              <w:pStyle w:val="71"/>
              <w:numPr>
                <w:ilvl w:val="0"/>
                <w:numId w:val="1"/>
              </w:numPr>
              <w:spacing w:line="240" w:lineRule="auto"/>
              <w:rPr>
                <w:rFonts w:hint="eastAsia"/>
                <w:sz w:val="21"/>
                <w:szCs w:val="21"/>
                <w:lang w:val="zh-CN"/>
              </w:rPr>
            </w:pPr>
            <w:r>
              <w:rPr>
                <w:rFonts w:hint="eastAsia"/>
                <w:sz w:val="21"/>
                <w:szCs w:val="21"/>
                <w:lang w:val="zh-CN"/>
              </w:rPr>
              <w:t>本项目所属行业为：其他</w:t>
            </w:r>
            <w:r>
              <w:rPr>
                <w:rFonts w:hint="eastAsia"/>
                <w:sz w:val="21"/>
                <w:szCs w:val="21"/>
                <w:lang w:val="en-US" w:eastAsia="zh-CN"/>
              </w:rPr>
              <w:t>专业技术</w:t>
            </w:r>
            <w:r>
              <w:rPr>
                <w:rFonts w:hint="eastAsia"/>
                <w:sz w:val="21"/>
                <w:szCs w:val="21"/>
                <w:lang w:val="zh-CN"/>
              </w:rPr>
              <w:t>服务。</w:t>
            </w:r>
          </w:p>
        </w:tc>
      </w:tr>
    </w:tbl>
    <w:p>
      <w:pPr>
        <w:pStyle w:val="2"/>
        <w:tabs>
          <w:tab w:val="left" w:pos="9639"/>
        </w:tabs>
        <w:jc w:val="center"/>
        <w:rPr>
          <w:rFonts w:hint="eastAsia"/>
        </w:rPr>
      </w:pPr>
      <w:r>
        <w:br w:type="page"/>
      </w:r>
      <w:r>
        <w:rPr>
          <w:rFonts w:hint="eastAsia"/>
        </w:rPr>
        <w:t>二、总则</w:t>
      </w:r>
    </w:p>
    <w:p>
      <w:pPr>
        <w:pStyle w:val="4"/>
        <w:keepNext w:val="0"/>
        <w:keepLines w:val="0"/>
        <w:tabs>
          <w:tab w:val="left" w:pos="9639"/>
        </w:tabs>
        <w:spacing w:before="0" w:after="0" w:line="400" w:lineRule="exact"/>
        <w:ind w:firstLine="482" w:firstLineChars="200"/>
        <w:rPr>
          <w:rFonts w:hint="eastAsia" w:hAnsi="宋体"/>
          <w:sz w:val="24"/>
        </w:rPr>
      </w:pPr>
      <w:bookmarkStart w:id="13" w:name="_Toc183582205"/>
      <w:bookmarkStart w:id="14" w:name="_Toc183682342"/>
      <w:bookmarkStart w:id="15" w:name="_Toc217446034"/>
      <w:r>
        <w:rPr>
          <w:rFonts w:hint="eastAsia" w:hAnsi="宋体"/>
          <w:sz w:val="24"/>
        </w:rPr>
        <w:t>1</w:t>
      </w:r>
      <w:r>
        <w:rPr>
          <w:rFonts w:hAnsi="宋体"/>
          <w:sz w:val="24"/>
        </w:rPr>
        <w:t>.</w:t>
      </w:r>
      <w:bookmarkEnd w:id="13"/>
      <w:bookmarkEnd w:id="14"/>
      <w:r>
        <w:rPr>
          <w:rFonts w:hint="eastAsia" w:hAnsi="宋体"/>
          <w:sz w:val="24"/>
          <w:szCs w:val="24"/>
        </w:rPr>
        <w:t>适用范围</w:t>
      </w:r>
      <w:bookmarkEnd w:id="15"/>
    </w:p>
    <w:p>
      <w:pPr>
        <w:tabs>
          <w:tab w:val="left" w:pos="7665"/>
          <w:tab w:val="left" w:pos="9639"/>
        </w:tabs>
        <w:spacing w:line="400" w:lineRule="exact"/>
        <w:ind w:firstLine="480" w:firstLineChars="200"/>
        <w:rPr>
          <w:rFonts w:hint="eastAsia" w:hAnsi="宋体"/>
          <w:sz w:val="24"/>
        </w:rPr>
      </w:pPr>
      <w:r>
        <w:rPr>
          <w:rFonts w:hint="eastAsia" w:hAnsi="宋体"/>
          <w:sz w:val="24"/>
        </w:rPr>
        <w:t>1</w:t>
      </w:r>
      <w:r>
        <w:rPr>
          <w:rFonts w:hAnsi="宋体"/>
          <w:sz w:val="24"/>
        </w:rPr>
        <w:t>.</w:t>
      </w:r>
      <w:r>
        <w:rPr>
          <w:rFonts w:hint="eastAsia" w:hAnsi="宋体"/>
          <w:sz w:val="24"/>
        </w:rPr>
        <w:t>1 本磋商文件仅适用于本次磋商所叙述的服务采购。</w:t>
      </w:r>
    </w:p>
    <w:p>
      <w:pPr>
        <w:tabs>
          <w:tab w:val="left" w:pos="7665"/>
          <w:tab w:val="left" w:pos="9639"/>
        </w:tabs>
        <w:spacing w:line="400" w:lineRule="exact"/>
        <w:ind w:firstLine="480" w:firstLineChars="200"/>
        <w:rPr>
          <w:rFonts w:hint="eastAsia" w:hAnsi="宋体"/>
          <w:sz w:val="24"/>
        </w:rPr>
      </w:pPr>
      <w:r>
        <w:rPr>
          <w:rFonts w:hint="eastAsia" w:hAnsi="宋体"/>
          <w:sz w:val="24"/>
        </w:rPr>
        <w:t>1.2 本磋商文件的解释权归采购人和采购代理机构所有。</w:t>
      </w:r>
    </w:p>
    <w:p>
      <w:pPr>
        <w:pStyle w:val="4"/>
        <w:keepNext w:val="0"/>
        <w:keepLines w:val="0"/>
        <w:tabs>
          <w:tab w:val="left" w:pos="9639"/>
        </w:tabs>
        <w:spacing w:before="0" w:after="0" w:line="400" w:lineRule="exact"/>
        <w:ind w:firstLine="482" w:firstLineChars="200"/>
        <w:rPr>
          <w:rFonts w:hint="eastAsia" w:hAnsi="宋体"/>
          <w:sz w:val="24"/>
        </w:rPr>
      </w:pPr>
      <w:bookmarkStart w:id="16" w:name="_Toc183582206"/>
      <w:bookmarkStart w:id="17" w:name="_Toc217446035"/>
      <w:bookmarkStart w:id="18" w:name="_Toc183682343"/>
      <w:r>
        <w:rPr>
          <w:rFonts w:hAnsi="宋体"/>
          <w:sz w:val="24"/>
        </w:rPr>
        <w:t>2.</w:t>
      </w:r>
      <w:bookmarkEnd w:id="16"/>
      <w:bookmarkEnd w:id="17"/>
      <w:bookmarkEnd w:id="18"/>
      <w:r>
        <w:rPr>
          <w:rFonts w:hint="eastAsia" w:hAnsi="宋体"/>
          <w:sz w:val="24"/>
        </w:rPr>
        <w:t>采购主体</w:t>
      </w:r>
    </w:p>
    <w:p>
      <w:pPr>
        <w:tabs>
          <w:tab w:val="left" w:pos="9639"/>
        </w:tabs>
        <w:spacing w:line="480" w:lineRule="auto"/>
        <w:ind w:firstLine="480" w:firstLineChars="200"/>
        <w:rPr>
          <w:rFonts w:hint="eastAsia" w:hAnsi="宋体"/>
          <w:sz w:val="24"/>
        </w:rPr>
      </w:pPr>
      <w:r>
        <w:rPr>
          <w:rFonts w:hint="eastAsia" w:hAnsi="宋体"/>
          <w:sz w:val="24"/>
        </w:rPr>
        <w:t>2</w:t>
      </w:r>
      <w:r>
        <w:rPr>
          <w:rFonts w:hAnsi="宋体"/>
          <w:sz w:val="24"/>
        </w:rPr>
        <w:t>.</w:t>
      </w:r>
      <w:r>
        <w:rPr>
          <w:rFonts w:hint="eastAsia" w:hAnsi="宋体"/>
          <w:sz w:val="24"/>
        </w:rPr>
        <w:t>1本次磋商的采购人是</w:t>
      </w:r>
      <w:r>
        <w:rPr>
          <w:rFonts w:hint="eastAsia" w:hAnsi="宋体"/>
          <w:sz w:val="24"/>
          <w:u w:val="single"/>
          <w:lang w:eastAsia="zh-CN"/>
        </w:rPr>
        <w:t>成都市郫都区人民政府德源街道办事处</w:t>
      </w:r>
      <w:r>
        <w:rPr>
          <w:rFonts w:hint="eastAsia" w:hAnsi="宋体"/>
          <w:sz w:val="24"/>
        </w:rPr>
        <w:t>。</w:t>
      </w:r>
    </w:p>
    <w:p>
      <w:pPr>
        <w:tabs>
          <w:tab w:val="left" w:pos="7665"/>
          <w:tab w:val="left" w:pos="9639"/>
        </w:tabs>
        <w:spacing w:line="400" w:lineRule="exact"/>
        <w:ind w:firstLine="480" w:firstLineChars="200"/>
        <w:rPr>
          <w:rFonts w:hint="eastAsia" w:hAnsi="宋体"/>
          <w:sz w:val="24"/>
        </w:rPr>
      </w:pPr>
      <w:r>
        <w:rPr>
          <w:rFonts w:hint="eastAsia" w:hAnsi="宋体"/>
          <w:sz w:val="24"/>
        </w:rPr>
        <w:t>2</w:t>
      </w:r>
      <w:r>
        <w:rPr>
          <w:rFonts w:hAnsi="宋体"/>
          <w:sz w:val="24"/>
        </w:rPr>
        <w:t>.</w:t>
      </w:r>
      <w:r>
        <w:rPr>
          <w:rFonts w:hint="eastAsia" w:hAnsi="宋体"/>
          <w:sz w:val="24"/>
        </w:rPr>
        <w:t>2本次磋商的采购代理机构是</w:t>
      </w:r>
      <w:r>
        <w:rPr>
          <w:rFonts w:hint="eastAsia" w:hAnsi="宋体"/>
          <w:sz w:val="24"/>
          <w:u w:val="single"/>
        </w:rPr>
        <w:t>四川坤阳工程管理咨询有限公司</w:t>
      </w:r>
      <w:r>
        <w:rPr>
          <w:rFonts w:hint="eastAsia" w:hAnsi="宋体"/>
          <w:sz w:val="24"/>
        </w:rPr>
        <w:t>。</w:t>
      </w:r>
    </w:p>
    <w:p>
      <w:pPr>
        <w:pStyle w:val="4"/>
        <w:keepNext w:val="0"/>
        <w:keepLines w:val="0"/>
        <w:tabs>
          <w:tab w:val="left" w:pos="9639"/>
        </w:tabs>
        <w:spacing w:before="0" w:after="0" w:line="400" w:lineRule="exact"/>
        <w:ind w:firstLine="482" w:firstLineChars="200"/>
        <w:rPr>
          <w:rFonts w:hint="eastAsia" w:hAnsi="宋体"/>
          <w:sz w:val="24"/>
        </w:rPr>
      </w:pPr>
      <w:bookmarkStart w:id="19" w:name="_Toc217446036"/>
      <w:bookmarkStart w:id="20" w:name="_Toc217390843"/>
      <w:bookmarkStart w:id="21" w:name="_Toc183582207"/>
      <w:bookmarkStart w:id="22" w:name="_Toc183682344"/>
      <w:r>
        <w:rPr>
          <w:rFonts w:hAnsi="宋体"/>
          <w:sz w:val="24"/>
        </w:rPr>
        <w:t>3.</w:t>
      </w:r>
      <w:r>
        <w:rPr>
          <w:rFonts w:hint="eastAsia" w:hAnsi="宋体"/>
          <w:sz w:val="24"/>
        </w:rPr>
        <w:t xml:space="preserve"> 合格</w:t>
      </w:r>
      <w:bookmarkEnd w:id="19"/>
      <w:bookmarkEnd w:id="20"/>
      <w:bookmarkEnd w:id="21"/>
      <w:bookmarkEnd w:id="22"/>
      <w:r>
        <w:rPr>
          <w:rFonts w:hint="eastAsia" w:hAnsi="宋体"/>
          <w:sz w:val="24"/>
        </w:rPr>
        <w:t>供应商（实质性要求）</w:t>
      </w:r>
    </w:p>
    <w:p>
      <w:pPr>
        <w:tabs>
          <w:tab w:val="left" w:pos="7665"/>
          <w:tab w:val="left" w:pos="9639"/>
        </w:tabs>
        <w:spacing w:line="400" w:lineRule="exact"/>
        <w:rPr>
          <w:rFonts w:hint="eastAsia" w:hAnsi="宋体"/>
          <w:sz w:val="24"/>
        </w:rPr>
      </w:pPr>
      <w:r>
        <w:rPr>
          <w:rFonts w:hint="eastAsia" w:hAnsi="宋体"/>
          <w:b/>
          <w:sz w:val="24"/>
        </w:rPr>
        <w:t xml:space="preserve">    </w:t>
      </w:r>
      <w:r>
        <w:rPr>
          <w:rFonts w:hint="eastAsia" w:hAnsi="宋体"/>
          <w:sz w:val="24"/>
        </w:rPr>
        <w:t>合格供应商应具备以下条件：</w:t>
      </w:r>
    </w:p>
    <w:p>
      <w:pPr>
        <w:tabs>
          <w:tab w:val="left" w:pos="7665"/>
          <w:tab w:val="left" w:pos="9639"/>
        </w:tabs>
        <w:spacing w:line="400" w:lineRule="exact"/>
        <w:ind w:firstLine="480" w:firstLineChars="200"/>
        <w:rPr>
          <w:rFonts w:hint="eastAsia" w:hAnsi="宋体"/>
          <w:spacing w:val="-4"/>
          <w:sz w:val="24"/>
        </w:rPr>
      </w:pPr>
      <w:r>
        <w:rPr>
          <w:rFonts w:hint="eastAsia" w:hAnsi="宋体"/>
          <w:sz w:val="24"/>
        </w:rPr>
        <w:t>3.1 具备法律法规和本采购文件规定的资格条件</w:t>
      </w:r>
      <w:r>
        <w:rPr>
          <w:rFonts w:hint="eastAsia" w:hAnsi="宋体"/>
          <w:spacing w:val="-4"/>
          <w:sz w:val="24"/>
        </w:rPr>
        <w:t>；</w:t>
      </w:r>
    </w:p>
    <w:p>
      <w:pPr>
        <w:tabs>
          <w:tab w:val="left" w:pos="7665"/>
          <w:tab w:val="left" w:pos="9639"/>
        </w:tabs>
        <w:spacing w:line="400" w:lineRule="exact"/>
        <w:ind w:firstLine="464" w:firstLineChars="200"/>
        <w:rPr>
          <w:rFonts w:hint="eastAsia" w:hAnsi="宋体"/>
          <w:spacing w:val="-4"/>
          <w:sz w:val="24"/>
        </w:rPr>
      </w:pPr>
      <w:r>
        <w:rPr>
          <w:rFonts w:hint="eastAsia" w:hAnsi="宋体"/>
          <w:spacing w:val="-4"/>
          <w:sz w:val="24"/>
        </w:rPr>
        <w:t>3.2 不属于禁止参加本项目采购活动的供应商；</w:t>
      </w:r>
    </w:p>
    <w:p>
      <w:pPr>
        <w:tabs>
          <w:tab w:val="left" w:pos="7665"/>
          <w:tab w:val="left" w:pos="9639"/>
        </w:tabs>
        <w:spacing w:line="400" w:lineRule="exact"/>
        <w:ind w:firstLine="464" w:firstLineChars="200"/>
        <w:rPr>
          <w:rFonts w:hint="eastAsia" w:hAnsi="宋体"/>
          <w:spacing w:val="-4"/>
          <w:sz w:val="24"/>
        </w:rPr>
      </w:pPr>
      <w:r>
        <w:rPr>
          <w:rFonts w:hint="eastAsia" w:hAnsi="宋体"/>
          <w:spacing w:val="-4"/>
          <w:sz w:val="24"/>
        </w:rPr>
        <w:t>3.3 按照规定</w:t>
      </w:r>
      <w:r>
        <w:rPr>
          <w:rFonts w:hint="eastAsia" w:hAnsi="宋体"/>
          <w:sz w:val="24"/>
        </w:rPr>
        <w:t>获取了磋商文件，属于实质性参加政府采购活动的供应商。</w:t>
      </w:r>
    </w:p>
    <w:p>
      <w:pPr>
        <w:pStyle w:val="4"/>
        <w:keepNext w:val="0"/>
        <w:keepLines w:val="0"/>
        <w:tabs>
          <w:tab w:val="left" w:pos="9639"/>
        </w:tabs>
        <w:spacing w:before="0" w:after="0" w:line="400" w:lineRule="exact"/>
        <w:ind w:firstLine="482" w:firstLineChars="200"/>
        <w:rPr>
          <w:rFonts w:hint="eastAsia" w:hAnsi="宋体"/>
          <w:sz w:val="24"/>
        </w:rPr>
      </w:pPr>
      <w:bookmarkStart w:id="23" w:name="_Toc183682345"/>
      <w:bookmarkStart w:id="24" w:name="_Toc183582208"/>
      <w:bookmarkStart w:id="25" w:name="_Toc217446037"/>
      <w:r>
        <w:rPr>
          <w:rFonts w:hint="eastAsia" w:hAnsi="宋体"/>
          <w:sz w:val="24"/>
        </w:rPr>
        <w:t>4. 磋商费用</w:t>
      </w:r>
      <w:bookmarkEnd w:id="23"/>
      <w:bookmarkEnd w:id="24"/>
      <w:bookmarkEnd w:id="25"/>
    </w:p>
    <w:p>
      <w:pPr>
        <w:tabs>
          <w:tab w:val="left" w:pos="7665"/>
          <w:tab w:val="left" w:pos="9639"/>
        </w:tabs>
        <w:spacing w:line="400" w:lineRule="exact"/>
        <w:ind w:firstLine="480"/>
        <w:rPr>
          <w:rFonts w:hint="eastAsia" w:hAnsi="宋体"/>
          <w:sz w:val="24"/>
        </w:rPr>
      </w:pPr>
      <w:r>
        <w:rPr>
          <w:rFonts w:hint="eastAsia" w:hAnsi="宋体"/>
          <w:sz w:val="24"/>
        </w:rPr>
        <w:t>供应商应自行承担参加磋商活动的全部费用。</w:t>
      </w:r>
    </w:p>
    <w:p>
      <w:pPr>
        <w:pStyle w:val="77"/>
        <w:tabs>
          <w:tab w:val="left" w:pos="9639"/>
        </w:tabs>
        <w:spacing w:line="400" w:lineRule="exact"/>
        <w:ind w:left="1" w:firstLine="482" w:firstLineChars="200"/>
        <w:rPr>
          <w:rFonts w:hint="eastAsia" w:hAnsi="宋体"/>
          <w:b/>
          <w:sz w:val="24"/>
        </w:rPr>
      </w:pPr>
      <w:r>
        <w:rPr>
          <w:rFonts w:hint="eastAsia" w:hAnsi="宋体"/>
          <w:b/>
          <w:sz w:val="24"/>
        </w:rPr>
        <w:t>5.充分、公平竞争保障措施（实质性要求）</w:t>
      </w:r>
    </w:p>
    <w:p>
      <w:pPr>
        <w:pStyle w:val="77"/>
        <w:tabs>
          <w:tab w:val="left" w:pos="9639"/>
        </w:tabs>
        <w:spacing w:line="400" w:lineRule="exact"/>
        <w:ind w:left="1" w:firstLine="480" w:firstLineChars="200"/>
        <w:rPr>
          <w:rFonts w:hint="eastAsia" w:hAnsi="宋体"/>
          <w:sz w:val="28"/>
          <w:szCs w:val="28"/>
        </w:rPr>
      </w:pPr>
      <w:r>
        <w:rPr>
          <w:rFonts w:hint="eastAsia" w:hAnsi="宋体"/>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77"/>
        <w:tabs>
          <w:tab w:val="left" w:pos="9639"/>
        </w:tabs>
        <w:spacing w:line="400" w:lineRule="exact"/>
        <w:ind w:left="1" w:firstLine="480" w:firstLineChars="200"/>
        <w:rPr>
          <w:rFonts w:hint="eastAsia" w:hAnsi="宋体"/>
          <w:sz w:val="24"/>
        </w:rPr>
      </w:pPr>
      <w:r>
        <w:rPr>
          <w:rFonts w:hint="eastAsia" w:hAnsi="宋体"/>
          <w:sz w:val="24"/>
        </w:rPr>
        <w:t>5.2利害关系授权代表处理。两家以上的供应商不得在同一合同项下的采购项目中，委托同一个自然人、同一家庭的人员、同一单位的人员作为其授权代表，否则，其响应文件作为无效处理。</w:t>
      </w:r>
    </w:p>
    <w:p>
      <w:pPr>
        <w:pStyle w:val="77"/>
        <w:tabs>
          <w:tab w:val="left" w:pos="9639"/>
        </w:tabs>
        <w:spacing w:line="400" w:lineRule="exact"/>
        <w:ind w:left="1" w:firstLine="480" w:firstLineChars="200"/>
        <w:rPr>
          <w:rFonts w:hint="eastAsia" w:hAnsi="宋体"/>
          <w:sz w:val="24"/>
        </w:rPr>
      </w:pPr>
      <w:r>
        <w:rPr>
          <w:rFonts w:hint="eastAsia" w:hAnsi="宋体"/>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77"/>
        <w:tabs>
          <w:tab w:val="left" w:pos="9639"/>
        </w:tabs>
        <w:spacing w:line="400" w:lineRule="exact"/>
        <w:ind w:left="1" w:firstLine="480" w:firstLineChars="200"/>
        <w:rPr>
          <w:rFonts w:hint="eastAsia" w:hAnsi="宋体"/>
          <w:sz w:val="24"/>
        </w:rPr>
      </w:pPr>
      <w:r>
        <w:rPr>
          <w:rFonts w:hint="eastAsia" w:hAnsi="宋体"/>
          <w:sz w:val="24"/>
        </w:rPr>
        <w:t>5.4提供相同品牌产品处理。提供相同品牌产品的不同供应商参加同一合同项下采购活动的，以其中通过资格审查且报价最低的供应商参加磋商，报价相同的，由采购人自主采取公平、择优的方式确定一个供应商参加磋商，其他响应文件无效。</w:t>
      </w:r>
    </w:p>
    <w:p>
      <w:pPr>
        <w:pStyle w:val="77"/>
        <w:tabs>
          <w:tab w:val="left" w:pos="9639"/>
        </w:tabs>
        <w:spacing w:line="400" w:lineRule="exact"/>
        <w:ind w:left="1" w:firstLine="480" w:firstLineChars="200"/>
        <w:rPr>
          <w:rFonts w:hint="eastAsia" w:hAnsi="宋体"/>
          <w:sz w:val="24"/>
        </w:rPr>
      </w:pPr>
      <w:r>
        <w:rPr>
          <w:rFonts w:hint="eastAsia" w:hAnsi="宋体"/>
          <w:sz w:val="24"/>
        </w:rPr>
        <w:t>非单一产品采购项目中，多家供应商提供的部分或所有核心产品品牌相同的，视为提供相同品牌产品。</w:t>
      </w:r>
    </w:p>
    <w:p>
      <w:pPr>
        <w:pStyle w:val="77"/>
        <w:tabs>
          <w:tab w:val="left" w:pos="9639"/>
        </w:tabs>
        <w:spacing w:line="400" w:lineRule="exact"/>
        <w:ind w:left="1" w:firstLine="480" w:firstLineChars="200"/>
        <w:rPr>
          <w:rFonts w:hint="eastAsia" w:hAnsi="宋体"/>
          <w:sz w:val="24"/>
        </w:rPr>
      </w:pPr>
      <w:r>
        <w:rPr>
          <w:rFonts w:hint="eastAsia" w:hAnsi="宋体"/>
          <w:sz w:val="24"/>
        </w:rPr>
        <w:t>5.5供应商实际控制人或者中高级管理人员，同时是采购代理机构工作人员，不得参与本项目政府采购活动。</w:t>
      </w:r>
    </w:p>
    <w:p>
      <w:pPr>
        <w:tabs>
          <w:tab w:val="left" w:pos="9639"/>
        </w:tabs>
        <w:spacing w:line="400" w:lineRule="exact"/>
        <w:ind w:firstLine="480" w:firstLineChars="200"/>
        <w:rPr>
          <w:rFonts w:hint="eastAsia" w:hAnsi="宋体"/>
          <w:sz w:val="24"/>
        </w:rPr>
      </w:pPr>
      <w:r>
        <w:rPr>
          <w:rFonts w:hint="eastAsia" w:hAnsi="宋体"/>
          <w:sz w:val="24"/>
        </w:rPr>
        <w:t>5.6同一母公司的两家以上的子公司只能组成联合体参加本项目同一合同项下的采购活动，不得以不同供应商身份同时参加本项目同一合同项下的采购活动。</w:t>
      </w:r>
    </w:p>
    <w:p>
      <w:pPr>
        <w:tabs>
          <w:tab w:val="left" w:pos="9639"/>
        </w:tabs>
        <w:spacing w:line="400" w:lineRule="exact"/>
        <w:ind w:firstLine="480" w:firstLineChars="200"/>
        <w:rPr>
          <w:rFonts w:hint="eastAsia" w:hAnsi="宋体"/>
          <w:sz w:val="24"/>
        </w:rPr>
      </w:pPr>
      <w:r>
        <w:rPr>
          <w:rFonts w:hint="eastAsia" w:hAnsi="宋体"/>
          <w:sz w:val="24"/>
        </w:rPr>
        <w:t>5.7供应商与采购代理机构存在关联关系，或者是采购代理机构的母公司或子公司，不得参加本项目政府采购活动。</w:t>
      </w:r>
    </w:p>
    <w:p>
      <w:pPr>
        <w:pStyle w:val="77"/>
        <w:tabs>
          <w:tab w:val="left" w:pos="9639"/>
        </w:tabs>
        <w:spacing w:line="400" w:lineRule="exact"/>
        <w:ind w:left="1" w:firstLine="480" w:firstLineChars="200"/>
        <w:rPr>
          <w:rFonts w:hint="eastAsia" w:hAnsi="宋体"/>
          <w:sz w:val="24"/>
        </w:rPr>
      </w:pPr>
      <w:r>
        <w:rPr>
          <w:rFonts w:hint="eastAsia" w:hAnsi="宋体"/>
          <w:sz w:val="24"/>
        </w:rPr>
        <w:t>5.8回避。政府采购活动中，采购人员及相关人员与供应商有下列利害关系之一的，应当回避：</w:t>
      </w:r>
    </w:p>
    <w:p>
      <w:pPr>
        <w:pStyle w:val="77"/>
        <w:tabs>
          <w:tab w:val="left" w:pos="9639"/>
        </w:tabs>
        <w:spacing w:line="400" w:lineRule="exact"/>
        <w:ind w:left="1" w:firstLine="480" w:firstLineChars="200"/>
        <w:rPr>
          <w:rFonts w:hint="eastAsia" w:hAnsi="宋体"/>
          <w:sz w:val="24"/>
        </w:rPr>
      </w:pPr>
      <w:r>
        <w:rPr>
          <w:rFonts w:hint="eastAsia" w:hAnsi="宋体"/>
          <w:sz w:val="24"/>
        </w:rPr>
        <w:t>（1）参加采购活动前3年内与供应商存在劳动关系；</w:t>
      </w:r>
    </w:p>
    <w:p>
      <w:pPr>
        <w:pStyle w:val="77"/>
        <w:tabs>
          <w:tab w:val="left" w:pos="9639"/>
        </w:tabs>
        <w:spacing w:line="400" w:lineRule="exact"/>
        <w:ind w:left="1" w:firstLine="480" w:firstLineChars="200"/>
        <w:rPr>
          <w:rFonts w:hint="eastAsia" w:hAnsi="宋体"/>
          <w:sz w:val="24"/>
        </w:rPr>
      </w:pPr>
      <w:r>
        <w:rPr>
          <w:rFonts w:hint="eastAsia" w:hAnsi="宋体"/>
          <w:sz w:val="24"/>
        </w:rPr>
        <w:t>（2）参加采购活动前3年内担任供应商的董事、监事；</w:t>
      </w:r>
    </w:p>
    <w:p>
      <w:pPr>
        <w:pStyle w:val="77"/>
        <w:tabs>
          <w:tab w:val="left" w:pos="9639"/>
        </w:tabs>
        <w:spacing w:line="400" w:lineRule="exact"/>
        <w:ind w:left="1" w:firstLine="480" w:firstLineChars="200"/>
        <w:rPr>
          <w:rFonts w:hint="eastAsia" w:hAnsi="宋体"/>
          <w:sz w:val="24"/>
        </w:rPr>
      </w:pPr>
      <w:r>
        <w:rPr>
          <w:rFonts w:hint="eastAsia" w:hAnsi="宋体"/>
          <w:sz w:val="24"/>
        </w:rPr>
        <w:t>（3）参加采购活动前3年内是供应商的控股股东或者实际控制人；</w:t>
      </w:r>
    </w:p>
    <w:p>
      <w:pPr>
        <w:pStyle w:val="77"/>
        <w:tabs>
          <w:tab w:val="left" w:pos="9639"/>
        </w:tabs>
        <w:spacing w:line="400" w:lineRule="exact"/>
        <w:ind w:left="1" w:firstLine="480" w:firstLineChars="200"/>
        <w:rPr>
          <w:rFonts w:hint="eastAsia" w:hAnsi="宋体"/>
          <w:sz w:val="24"/>
        </w:rPr>
      </w:pPr>
      <w:r>
        <w:rPr>
          <w:rFonts w:hint="eastAsia" w:hAnsi="宋体"/>
          <w:sz w:val="24"/>
        </w:rPr>
        <w:t>（4）与供应商的法定代表人或者负责人有夫妻、直系血亲、三代以内旁系血亲或者近姻亲关系；</w:t>
      </w:r>
    </w:p>
    <w:p>
      <w:pPr>
        <w:pStyle w:val="77"/>
        <w:tabs>
          <w:tab w:val="left" w:pos="9639"/>
        </w:tabs>
        <w:spacing w:line="400" w:lineRule="exact"/>
        <w:ind w:left="1" w:firstLine="480" w:firstLineChars="200"/>
        <w:rPr>
          <w:rFonts w:hint="eastAsia" w:hAnsi="宋体"/>
          <w:sz w:val="24"/>
        </w:rPr>
      </w:pPr>
      <w:r>
        <w:rPr>
          <w:rFonts w:hint="eastAsia" w:hAnsi="宋体"/>
          <w:sz w:val="24"/>
        </w:rPr>
        <w:t>（5）与供应商有其他可能影响政府采购活动公平、公正进行的关系。</w:t>
      </w:r>
    </w:p>
    <w:p>
      <w:pPr>
        <w:pStyle w:val="77"/>
        <w:tabs>
          <w:tab w:val="left" w:pos="9639"/>
        </w:tabs>
        <w:spacing w:line="400" w:lineRule="exact"/>
        <w:ind w:left="1" w:firstLine="480" w:firstLineChars="200"/>
        <w:rPr>
          <w:rFonts w:hint="eastAsia" w:hAnsi="宋体"/>
          <w:sz w:val="24"/>
        </w:rPr>
      </w:pPr>
      <w:r>
        <w:rPr>
          <w:rFonts w:hint="eastAsia" w:hAnsi="宋体"/>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77"/>
        <w:tabs>
          <w:tab w:val="left" w:pos="9639"/>
        </w:tabs>
        <w:spacing w:line="400" w:lineRule="exact"/>
        <w:ind w:left="1" w:firstLine="480" w:firstLineChars="200"/>
        <w:rPr>
          <w:rFonts w:hint="eastAsia" w:hAnsi="宋体"/>
          <w:sz w:val="24"/>
        </w:rPr>
      </w:pPr>
      <w:r>
        <w:rPr>
          <w:rFonts w:hint="eastAsia" w:hAnsi="宋体"/>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77"/>
        <w:tabs>
          <w:tab w:val="left" w:pos="9639"/>
        </w:tabs>
        <w:spacing w:line="400" w:lineRule="exact"/>
        <w:ind w:left="1" w:firstLine="482" w:firstLineChars="200"/>
        <w:rPr>
          <w:rFonts w:hint="eastAsia" w:hAnsi="宋体"/>
          <w:b/>
          <w:sz w:val="24"/>
        </w:rPr>
      </w:pPr>
      <w:r>
        <w:rPr>
          <w:rFonts w:hint="eastAsia" w:hAnsi="宋体"/>
          <w:b/>
          <w:sz w:val="24"/>
        </w:rPr>
        <w:t>6.联合体竞争性磋商（实质性要求）</w:t>
      </w:r>
    </w:p>
    <w:p>
      <w:pPr>
        <w:pStyle w:val="77"/>
        <w:tabs>
          <w:tab w:val="left" w:pos="9639"/>
        </w:tabs>
        <w:spacing w:line="400" w:lineRule="exact"/>
        <w:ind w:left="1" w:firstLine="480" w:firstLineChars="200"/>
        <w:rPr>
          <w:rFonts w:hint="eastAsia" w:hAnsi="宋体"/>
          <w:sz w:val="24"/>
        </w:rPr>
      </w:pPr>
      <w:r>
        <w:rPr>
          <w:rFonts w:hint="eastAsia" w:hAnsi="宋体"/>
          <w:sz w:val="24"/>
        </w:rPr>
        <w:t>本项目不接受联合体参与采购活动。</w:t>
      </w:r>
    </w:p>
    <w:p>
      <w:pPr>
        <w:pStyle w:val="77"/>
        <w:tabs>
          <w:tab w:val="left" w:pos="9639"/>
        </w:tabs>
        <w:spacing w:line="400" w:lineRule="exact"/>
        <w:ind w:left="1" w:firstLine="482" w:firstLineChars="200"/>
        <w:rPr>
          <w:rFonts w:hint="eastAsia" w:hAnsi="宋体"/>
          <w:b/>
          <w:sz w:val="24"/>
        </w:rPr>
      </w:pPr>
      <w:r>
        <w:rPr>
          <w:rFonts w:hint="eastAsia" w:hAnsi="宋体"/>
          <w:b/>
          <w:sz w:val="24"/>
        </w:rPr>
        <w:t>7.磋商保证金</w:t>
      </w:r>
    </w:p>
    <w:p>
      <w:pPr>
        <w:tabs>
          <w:tab w:val="left" w:pos="9639"/>
        </w:tabs>
        <w:spacing w:line="400" w:lineRule="exact"/>
        <w:ind w:firstLine="482" w:firstLineChars="200"/>
        <w:rPr>
          <w:rFonts w:hint="default" w:hAnsi="宋体"/>
          <w:b/>
          <w:sz w:val="24"/>
          <w:lang w:val="en-US" w:eastAsia="zh-CN"/>
        </w:rPr>
      </w:pPr>
      <w:r>
        <w:rPr>
          <w:rFonts w:hint="eastAsia" w:hAnsi="宋体"/>
          <w:b/>
          <w:sz w:val="24"/>
          <w:lang w:eastAsia="zh-CN"/>
        </w:rPr>
        <w:t>按供应商须知附表第</w:t>
      </w:r>
      <w:r>
        <w:rPr>
          <w:rFonts w:hint="eastAsia" w:hAnsi="宋体"/>
          <w:b/>
          <w:sz w:val="24"/>
          <w:lang w:val="en-US" w:eastAsia="zh-CN"/>
        </w:rPr>
        <w:t>5条执行。</w:t>
      </w:r>
    </w:p>
    <w:p>
      <w:pPr>
        <w:tabs>
          <w:tab w:val="left" w:pos="9639"/>
        </w:tabs>
        <w:spacing w:line="400" w:lineRule="exact"/>
        <w:ind w:firstLine="472" w:firstLineChars="196"/>
        <w:rPr>
          <w:rFonts w:hint="eastAsia" w:hAnsi="宋体"/>
          <w:b/>
          <w:sz w:val="24"/>
        </w:rPr>
      </w:pPr>
      <w:r>
        <w:rPr>
          <w:rFonts w:hint="eastAsia" w:hAnsi="宋体"/>
          <w:b/>
          <w:sz w:val="24"/>
        </w:rPr>
        <w:t>8.响应文件有效期（实质性要求）</w:t>
      </w:r>
    </w:p>
    <w:p>
      <w:pPr>
        <w:tabs>
          <w:tab w:val="left" w:pos="9639"/>
        </w:tabs>
        <w:spacing w:line="400" w:lineRule="exact"/>
        <w:ind w:firstLine="470" w:firstLineChars="196"/>
        <w:rPr>
          <w:rFonts w:hint="eastAsia" w:hAnsi="宋体"/>
          <w:sz w:val="24"/>
        </w:rPr>
      </w:pPr>
      <w:r>
        <w:rPr>
          <w:rFonts w:hint="eastAsia" w:hAnsi="宋体"/>
          <w:sz w:val="24"/>
        </w:rPr>
        <w:t>本项目响应文件有效期为递交磋商响应文件截止之日起60天。供应商响应文件中必须载明响应文件有效期，响应文件中载明的响应文件有效期可以长于磋商文件规定的期限，但不得短于磋商文件规定的期限。否则，其响应文件将作为无效处理。</w:t>
      </w:r>
    </w:p>
    <w:p>
      <w:pPr>
        <w:pStyle w:val="12"/>
        <w:tabs>
          <w:tab w:val="left" w:pos="9639"/>
        </w:tabs>
        <w:spacing w:line="400" w:lineRule="exact"/>
        <w:ind w:firstLine="482" w:firstLineChars="200"/>
        <w:rPr>
          <w:rFonts w:hAnsi="宋体"/>
          <w:b/>
          <w:bCs/>
          <w:sz w:val="24"/>
          <w:szCs w:val="24"/>
        </w:rPr>
      </w:pPr>
      <w:r>
        <w:rPr>
          <w:rFonts w:hint="eastAsia" w:hAnsi="宋体"/>
          <w:b/>
          <w:sz w:val="24"/>
        </w:rPr>
        <w:t>9.</w:t>
      </w:r>
      <w:r>
        <w:rPr>
          <w:rFonts w:hint="eastAsia" w:hAnsi="宋体"/>
          <w:b/>
          <w:bCs/>
          <w:sz w:val="24"/>
          <w:szCs w:val="24"/>
        </w:rPr>
        <w:t>知识产权（实质性要求）</w:t>
      </w:r>
    </w:p>
    <w:p>
      <w:pPr>
        <w:pStyle w:val="12"/>
        <w:tabs>
          <w:tab w:val="left" w:pos="9639"/>
        </w:tabs>
        <w:spacing w:line="400" w:lineRule="exact"/>
        <w:ind w:firstLine="480" w:firstLineChars="200"/>
        <w:rPr>
          <w:rFonts w:hAnsi="宋体"/>
          <w:sz w:val="24"/>
          <w:szCs w:val="24"/>
        </w:rPr>
      </w:pPr>
      <w:r>
        <w:rPr>
          <w:rFonts w:hint="eastAsia" w:hAnsi="宋体"/>
          <w:sz w:val="24"/>
          <w:szCs w:val="24"/>
        </w:rPr>
        <w:t>9</w:t>
      </w:r>
      <w:r>
        <w:rPr>
          <w:rFonts w:hAnsi="宋体"/>
          <w:sz w:val="24"/>
          <w:szCs w:val="24"/>
        </w:rPr>
        <w:t>.1</w:t>
      </w:r>
      <w:r>
        <w:rPr>
          <w:rFonts w:hint="eastAsia" w:hAnsi="宋体"/>
          <w:sz w:val="24"/>
          <w:szCs w:val="24"/>
        </w:rPr>
        <w:t xml:space="preserve"> </w:t>
      </w:r>
      <w:r>
        <w:rPr>
          <w:rFonts w:hint="eastAsia" w:hAnsi="宋体"/>
          <w:sz w:val="24"/>
        </w:rPr>
        <w:t>供应商</w:t>
      </w:r>
      <w:r>
        <w:rPr>
          <w:rFonts w:hint="eastAsia" w:hAnsi="宋体"/>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hAnsi="宋体"/>
          <w:sz w:val="24"/>
        </w:rPr>
        <w:t>供应商</w:t>
      </w:r>
      <w:r>
        <w:rPr>
          <w:rFonts w:hint="eastAsia" w:hAnsi="宋体"/>
          <w:sz w:val="24"/>
          <w:szCs w:val="24"/>
        </w:rPr>
        <w:t>承担所有相关责任。</w:t>
      </w:r>
    </w:p>
    <w:p>
      <w:pPr>
        <w:pStyle w:val="12"/>
        <w:tabs>
          <w:tab w:val="left" w:pos="9639"/>
        </w:tabs>
        <w:spacing w:line="400" w:lineRule="exact"/>
        <w:ind w:firstLine="480" w:firstLineChars="200"/>
        <w:rPr>
          <w:rFonts w:hAnsi="宋体"/>
          <w:sz w:val="24"/>
          <w:szCs w:val="24"/>
        </w:rPr>
      </w:pPr>
      <w:r>
        <w:rPr>
          <w:rFonts w:hint="eastAsia" w:hAnsi="宋体"/>
          <w:sz w:val="24"/>
          <w:szCs w:val="24"/>
        </w:rPr>
        <w:t>9</w:t>
      </w:r>
      <w:r>
        <w:rPr>
          <w:rFonts w:hAnsi="宋体"/>
          <w:sz w:val="24"/>
          <w:szCs w:val="24"/>
        </w:rPr>
        <w:t>.2</w:t>
      </w:r>
      <w:r>
        <w:rPr>
          <w:rFonts w:hint="eastAsia" w:hAnsi="宋体"/>
          <w:sz w:val="24"/>
          <w:szCs w:val="24"/>
        </w:rPr>
        <w:t xml:space="preserve"> 除非磋商文件特别规定，采购人享有本项目实施过程中产生的知识成果及知识产权。</w:t>
      </w:r>
    </w:p>
    <w:p>
      <w:pPr>
        <w:tabs>
          <w:tab w:val="left" w:pos="9639"/>
        </w:tabs>
        <w:spacing w:line="400" w:lineRule="exact"/>
        <w:ind w:firstLine="480" w:firstLineChars="200"/>
        <w:rPr>
          <w:rFonts w:hint="eastAsia" w:ascii="仿宋_GB2312" w:eastAsia="仿宋_GB2312"/>
          <w:sz w:val="32"/>
          <w:szCs w:val="32"/>
        </w:rPr>
      </w:pPr>
      <w:r>
        <w:rPr>
          <w:rFonts w:hint="eastAsia" w:hAnsi="宋体"/>
          <w:sz w:val="24"/>
        </w:rPr>
        <w:t>9</w:t>
      </w:r>
      <w:r>
        <w:rPr>
          <w:rFonts w:hAnsi="宋体"/>
          <w:sz w:val="24"/>
        </w:rPr>
        <w:t>.3</w:t>
      </w:r>
      <w:r>
        <w:rPr>
          <w:rFonts w:hint="eastAsia" w:hAnsi="宋体"/>
          <w:sz w:val="24"/>
        </w:rPr>
        <w:t>供应商将在采购项目实施过程中采用自有或者第三方知识成果的，应当在响应文件中载明，并提供相关知识产权证明文件。使用该知识成果后，供应商需提供开发接口和开发手册等技术资料，并承诺提供无限期支持，采购人享有使用权（含采购人委托第三方在该项目后续开发的使用权）。</w:t>
      </w:r>
    </w:p>
    <w:p>
      <w:pPr>
        <w:tabs>
          <w:tab w:val="left" w:pos="9639"/>
        </w:tabs>
        <w:spacing w:line="400" w:lineRule="exact"/>
        <w:ind w:firstLine="460" w:firstLineChars="192"/>
        <w:rPr>
          <w:rFonts w:hint="eastAsia" w:hAnsi="宋体"/>
          <w:sz w:val="24"/>
        </w:rPr>
      </w:pPr>
      <w:r>
        <w:rPr>
          <w:rFonts w:hint="eastAsia" w:hAnsi="宋体"/>
          <w:sz w:val="24"/>
        </w:rPr>
        <w:t>9</w:t>
      </w:r>
      <w:r>
        <w:rPr>
          <w:rFonts w:hAnsi="宋体"/>
          <w:sz w:val="24"/>
        </w:rPr>
        <w:t>.4</w:t>
      </w:r>
      <w:r>
        <w:rPr>
          <w:rFonts w:hint="eastAsia" w:hAnsi="宋体"/>
          <w:sz w:val="24"/>
        </w:rPr>
        <w:t xml:space="preserve"> 如采用供应商所不拥有的知识产权，则在报价中必须包括合法获取该知识产权的相关费用。 </w:t>
      </w:r>
    </w:p>
    <w:p>
      <w:pPr>
        <w:pStyle w:val="2"/>
        <w:keepNext w:val="0"/>
        <w:keepLines w:val="0"/>
        <w:tabs>
          <w:tab w:val="left" w:pos="9639"/>
        </w:tabs>
        <w:spacing w:before="0" w:after="0" w:line="400" w:lineRule="exact"/>
        <w:jc w:val="center"/>
        <w:rPr>
          <w:rFonts w:hint="eastAsia" w:ascii="黑体"/>
          <w:bCs w:val="0"/>
        </w:rPr>
      </w:pPr>
      <w:bookmarkStart w:id="26" w:name="_Toc89075875"/>
      <w:bookmarkStart w:id="27" w:name="_Toc183582209"/>
      <w:bookmarkStart w:id="28" w:name="_Toc77400779"/>
      <w:bookmarkStart w:id="29" w:name="_Toc217446038"/>
      <w:bookmarkStart w:id="30" w:name="_Toc183682346"/>
      <w:r>
        <w:rPr>
          <w:rFonts w:hint="eastAsia" w:ascii="黑体"/>
          <w:bCs w:val="0"/>
        </w:rPr>
        <w:t>三、磋商文件</w:t>
      </w:r>
      <w:bookmarkEnd w:id="26"/>
      <w:bookmarkEnd w:id="27"/>
      <w:bookmarkEnd w:id="28"/>
      <w:bookmarkEnd w:id="29"/>
      <w:bookmarkEnd w:id="30"/>
    </w:p>
    <w:p>
      <w:pPr>
        <w:pStyle w:val="4"/>
        <w:keepNext w:val="0"/>
        <w:keepLines w:val="0"/>
        <w:tabs>
          <w:tab w:val="left" w:pos="9639"/>
        </w:tabs>
        <w:spacing w:before="0" w:after="0" w:line="400" w:lineRule="exact"/>
        <w:ind w:firstLine="482" w:firstLineChars="200"/>
        <w:rPr>
          <w:rFonts w:hint="eastAsia" w:hAnsi="宋体"/>
          <w:sz w:val="24"/>
        </w:rPr>
      </w:pPr>
      <w:bookmarkStart w:id="31" w:name="_Toc183582210"/>
      <w:bookmarkStart w:id="32" w:name="_Toc183682347"/>
      <w:bookmarkStart w:id="33" w:name="_Toc217446039"/>
      <w:r>
        <w:rPr>
          <w:rFonts w:hint="eastAsia" w:hAnsi="宋体"/>
          <w:sz w:val="24"/>
        </w:rPr>
        <w:t>10．磋商文件的构成</w:t>
      </w:r>
      <w:bookmarkEnd w:id="31"/>
      <w:bookmarkEnd w:id="32"/>
      <w:bookmarkEnd w:id="33"/>
      <w:r>
        <w:rPr>
          <w:rFonts w:hint="eastAsia" w:hAnsi="宋体"/>
          <w:sz w:val="24"/>
        </w:rPr>
        <w:t>（实质性要求）</w:t>
      </w:r>
    </w:p>
    <w:p>
      <w:pPr>
        <w:tabs>
          <w:tab w:val="left" w:pos="720"/>
          <w:tab w:val="left" w:pos="9639"/>
        </w:tabs>
        <w:spacing w:line="400" w:lineRule="exact"/>
        <w:ind w:firstLine="480" w:firstLineChars="200"/>
        <w:rPr>
          <w:rFonts w:hint="eastAsia" w:hAnsi="宋体"/>
          <w:sz w:val="24"/>
        </w:rPr>
      </w:pPr>
      <w:r>
        <w:rPr>
          <w:rFonts w:hint="eastAsia" w:hAnsi="宋体"/>
          <w:sz w:val="24"/>
        </w:rPr>
        <w:t>10</w:t>
      </w:r>
      <w:r>
        <w:rPr>
          <w:rFonts w:hAnsi="宋体"/>
          <w:b/>
          <w:bCs/>
          <w:sz w:val="24"/>
        </w:rPr>
        <w:t>.</w:t>
      </w:r>
      <w:r>
        <w:rPr>
          <w:rFonts w:hint="eastAsia" w:hAnsi="宋体"/>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 w:val="left" w:pos="9639"/>
        </w:tabs>
        <w:spacing w:line="400" w:lineRule="exact"/>
        <w:ind w:firstLine="480" w:firstLineChars="200"/>
        <w:rPr>
          <w:rFonts w:hint="eastAsia" w:hAnsi="宋体"/>
          <w:sz w:val="24"/>
        </w:rPr>
      </w:pPr>
      <w:r>
        <w:rPr>
          <w:rFonts w:hint="eastAsia" w:hAnsi="宋体"/>
          <w:sz w:val="24"/>
        </w:rPr>
        <w:t>10</w:t>
      </w:r>
      <w:r>
        <w:rPr>
          <w:rFonts w:hint="eastAsia" w:hAnsi="宋体"/>
          <w:b/>
          <w:bCs/>
          <w:sz w:val="24"/>
        </w:rPr>
        <w:t>.</w:t>
      </w:r>
      <w:r>
        <w:rPr>
          <w:rFonts w:hint="eastAsia" w:hAnsi="宋体"/>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pStyle w:val="4"/>
        <w:keepNext w:val="0"/>
        <w:keepLines w:val="0"/>
        <w:tabs>
          <w:tab w:val="left" w:pos="9639"/>
        </w:tabs>
        <w:spacing w:before="0" w:after="0" w:line="400" w:lineRule="exact"/>
        <w:ind w:firstLine="482" w:firstLineChars="200"/>
        <w:rPr>
          <w:rFonts w:hint="eastAsia" w:hAnsi="宋体"/>
          <w:sz w:val="24"/>
        </w:rPr>
      </w:pPr>
      <w:bookmarkStart w:id="34" w:name="_Toc183582211"/>
      <w:bookmarkStart w:id="35" w:name="_Toc183682348"/>
      <w:bookmarkStart w:id="36" w:name="_Toc217446040"/>
      <w:r>
        <w:rPr>
          <w:rFonts w:hint="eastAsia" w:hAnsi="宋体"/>
          <w:sz w:val="24"/>
        </w:rPr>
        <w:t>11. 磋商文件的澄清</w:t>
      </w:r>
      <w:bookmarkEnd w:id="34"/>
      <w:bookmarkEnd w:id="35"/>
      <w:r>
        <w:rPr>
          <w:rFonts w:hint="eastAsia" w:hAnsi="宋体"/>
          <w:sz w:val="24"/>
        </w:rPr>
        <w:t>和修改</w:t>
      </w:r>
      <w:bookmarkEnd w:id="36"/>
    </w:p>
    <w:p>
      <w:pPr>
        <w:tabs>
          <w:tab w:val="left" w:pos="720"/>
          <w:tab w:val="left" w:pos="9639"/>
        </w:tabs>
        <w:spacing w:line="400" w:lineRule="exact"/>
        <w:ind w:firstLine="480" w:firstLineChars="200"/>
        <w:rPr>
          <w:rFonts w:hint="eastAsia" w:hAnsi="宋体"/>
          <w:sz w:val="24"/>
        </w:rPr>
      </w:pPr>
      <w:r>
        <w:rPr>
          <w:rFonts w:hint="eastAsia" w:hAnsi="宋体"/>
          <w:sz w:val="24"/>
        </w:rPr>
        <w:t>11.1 在递交响应文件截止时间前，采购人、采购代理机构可以对磋商文件进行澄清或者修改。</w:t>
      </w:r>
    </w:p>
    <w:p>
      <w:pPr>
        <w:tabs>
          <w:tab w:val="left" w:pos="720"/>
          <w:tab w:val="left" w:pos="9639"/>
        </w:tabs>
        <w:spacing w:line="400" w:lineRule="exact"/>
        <w:ind w:firstLine="480" w:firstLineChars="200"/>
        <w:rPr>
          <w:rFonts w:hint="eastAsia" w:hAnsi="宋体"/>
          <w:sz w:val="24"/>
        </w:rPr>
      </w:pPr>
      <w:r>
        <w:rPr>
          <w:rFonts w:hint="eastAsia" w:hAnsi="宋体"/>
          <w:sz w:val="24"/>
        </w:rPr>
        <w:t>11.2 采购代理机构对已发出的磋商文件进行澄清或者修改，应当以书面形式将澄清或者修改的内容通知所有购买了磋商文件的供应商，同时在中国政府采购网上发布更正公告。该澄清或者修改的内容为磋商文件的组成部分，澄清或者修改的内容可能影响响应文件编制的，采购人或者采购代理机构发布公告并书面通知供应商的时间，应当在</w:t>
      </w:r>
      <w:r>
        <w:rPr>
          <w:rFonts w:hint="eastAsia" w:hAnsi="宋体" w:cs="宋体"/>
          <w:sz w:val="24"/>
        </w:rPr>
        <w:t>提交</w:t>
      </w:r>
      <w:r>
        <w:rPr>
          <w:rFonts w:hint="eastAsia" w:hAnsi="宋体"/>
          <w:sz w:val="24"/>
        </w:rPr>
        <w:t>首次响应文件截</w:t>
      </w:r>
      <w:r>
        <w:rPr>
          <w:rFonts w:hint="eastAsia" w:hAnsi="宋体" w:cs="宋体"/>
          <w:sz w:val="24"/>
        </w:rPr>
        <w:t>止之日起3个工作日前</w:t>
      </w:r>
      <w:r>
        <w:rPr>
          <w:rFonts w:hint="eastAsia" w:hAnsi="宋体"/>
          <w:sz w:val="24"/>
        </w:rPr>
        <w:t>；不足上述时间的，应当顺延递交响应文件的截止时间。</w:t>
      </w:r>
    </w:p>
    <w:p>
      <w:pPr>
        <w:tabs>
          <w:tab w:val="left" w:pos="720"/>
          <w:tab w:val="left" w:pos="9639"/>
        </w:tabs>
        <w:spacing w:line="400" w:lineRule="exact"/>
        <w:ind w:firstLine="480" w:firstLineChars="200"/>
        <w:rPr>
          <w:rFonts w:hint="eastAsia" w:hAnsi="宋体"/>
          <w:sz w:val="24"/>
        </w:rPr>
      </w:pPr>
      <w:r>
        <w:rPr>
          <w:rFonts w:hint="eastAsia" w:hAnsi="宋体"/>
          <w:sz w:val="24"/>
        </w:rPr>
        <w:t>11.3供应商认为采购人/采购代理机构需要对磋商文件进行澄清或者修改的，可以在响应文件递交截止时间前以书面形式向采购人/采购代理机构提出申请，由采购人/采购代理机构决定是否采纳供应商的申请事项。</w:t>
      </w:r>
    </w:p>
    <w:p>
      <w:pPr>
        <w:pStyle w:val="4"/>
        <w:keepNext w:val="0"/>
        <w:keepLines w:val="0"/>
        <w:tabs>
          <w:tab w:val="left" w:pos="9639"/>
        </w:tabs>
        <w:spacing w:before="0" w:after="0" w:line="400" w:lineRule="exact"/>
        <w:ind w:firstLine="482" w:firstLineChars="200"/>
        <w:rPr>
          <w:rFonts w:hint="eastAsia" w:hAnsi="宋体"/>
          <w:sz w:val="24"/>
        </w:rPr>
      </w:pPr>
      <w:bookmarkStart w:id="37" w:name="_Toc208848971"/>
      <w:bookmarkStart w:id="38" w:name="_Toc217446041"/>
      <w:r>
        <w:rPr>
          <w:rFonts w:hint="eastAsia" w:hAnsi="宋体"/>
          <w:sz w:val="24"/>
        </w:rPr>
        <w:t>12. 答疑会和现场考察</w:t>
      </w:r>
      <w:bookmarkEnd w:id="37"/>
      <w:bookmarkEnd w:id="38"/>
    </w:p>
    <w:p>
      <w:pPr>
        <w:tabs>
          <w:tab w:val="left" w:pos="9639"/>
        </w:tabs>
        <w:spacing w:line="400" w:lineRule="exact"/>
        <w:ind w:firstLine="480" w:firstLineChars="200"/>
        <w:rPr>
          <w:rFonts w:hint="eastAsia" w:hAnsi="宋体"/>
          <w:sz w:val="24"/>
        </w:rPr>
      </w:pPr>
      <w:r>
        <w:rPr>
          <w:rFonts w:hint="eastAsia" w:hAnsi="宋体"/>
          <w:sz w:val="24"/>
        </w:rPr>
        <w:t>12.1 根据采购项目和具体情况，采购人、采购代理机构认为有必要，可以在磋商文件提供期限截止后响应文件提交截止前，组织已获取磋商文件的潜在供应商现场考察或者召开答疑会。</w:t>
      </w:r>
    </w:p>
    <w:p>
      <w:pPr>
        <w:tabs>
          <w:tab w:val="left" w:pos="9639"/>
        </w:tabs>
        <w:spacing w:line="400" w:lineRule="exact"/>
        <w:ind w:firstLine="480" w:firstLineChars="200"/>
        <w:rPr>
          <w:rFonts w:hint="eastAsia" w:hAnsi="宋体"/>
          <w:sz w:val="24"/>
        </w:rPr>
      </w:pPr>
      <w:r>
        <w:rPr>
          <w:rFonts w:hint="eastAsia" w:hAnsi="宋体"/>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tabs>
          <w:tab w:val="left" w:pos="9639"/>
        </w:tabs>
        <w:adjustRightInd w:val="0"/>
        <w:snapToGrid w:val="0"/>
        <w:spacing w:line="400" w:lineRule="exact"/>
        <w:ind w:firstLine="420" w:firstLineChars="175"/>
        <w:rPr>
          <w:rFonts w:hint="eastAsia" w:hAnsi="宋体"/>
          <w:sz w:val="24"/>
        </w:rPr>
      </w:pPr>
      <w:r>
        <w:rPr>
          <w:rFonts w:hint="eastAsia" w:hAnsi="宋体"/>
          <w:sz w:val="24"/>
        </w:rPr>
        <w:t>12</w:t>
      </w:r>
      <w:r>
        <w:rPr>
          <w:rFonts w:hAnsi="宋体"/>
          <w:sz w:val="24"/>
        </w:rPr>
        <w:t>.</w:t>
      </w:r>
      <w:r>
        <w:rPr>
          <w:rFonts w:hint="eastAsia" w:hAnsi="宋体"/>
          <w:sz w:val="24"/>
        </w:rPr>
        <w:t>3 供应商考察现场或者参加答疑会所发生的一切费用由供应商自己承担。</w:t>
      </w:r>
    </w:p>
    <w:p>
      <w:pPr>
        <w:pStyle w:val="2"/>
        <w:keepNext w:val="0"/>
        <w:keepLines w:val="0"/>
        <w:tabs>
          <w:tab w:val="left" w:pos="9639"/>
        </w:tabs>
        <w:spacing w:before="0" w:after="0" w:line="400" w:lineRule="exact"/>
        <w:jc w:val="center"/>
        <w:rPr>
          <w:rFonts w:hint="eastAsia" w:ascii="黑体"/>
          <w:bCs w:val="0"/>
        </w:rPr>
      </w:pPr>
      <w:bookmarkStart w:id="39" w:name="_Toc77400780"/>
      <w:bookmarkStart w:id="40" w:name="_Toc89075876"/>
      <w:bookmarkStart w:id="41" w:name="_Toc183682351"/>
      <w:bookmarkStart w:id="42" w:name="_Toc183582214"/>
      <w:bookmarkStart w:id="43" w:name="_Toc217446042"/>
      <w:r>
        <w:rPr>
          <w:rFonts w:hint="eastAsia" w:ascii="黑体"/>
          <w:bCs w:val="0"/>
        </w:rPr>
        <w:t>四、响应文件</w:t>
      </w:r>
      <w:bookmarkEnd w:id="39"/>
      <w:bookmarkEnd w:id="40"/>
      <w:bookmarkEnd w:id="41"/>
      <w:bookmarkEnd w:id="42"/>
      <w:bookmarkEnd w:id="43"/>
    </w:p>
    <w:p>
      <w:pPr>
        <w:pStyle w:val="4"/>
        <w:keepNext w:val="0"/>
        <w:keepLines w:val="0"/>
        <w:tabs>
          <w:tab w:val="left" w:pos="9639"/>
        </w:tabs>
        <w:spacing w:before="0" w:after="0" w:line="400" w:lineRule="exact"/>
        <w:ind w:firstLine="482" w:firstLineChars="200"/>
        <w:rPr>
          <w:rFonts w:hint="eastAsia" w:hAnsi="宋体"/>
          <w:sz w:val="24"/>
        </w:rPr>
      </w:pPr>
      <w:bookmarkStart w:id="44" w:name="_Toc183682352"/>
      <w:bookmarkStart w:id="45" w:name="_Toc183582215"/>
      <w:bookmarkStart w:id="46" w:name="_Toc217446043"/>
      <w:r>
        <w:rPr>
          <w:rFonts w:hint="eastAsia" w:hAnsi="宋体"/>
          <w:sz w:val="24"/>
        </w:rPr>
        <w:t>13.响应文件的组成</w:t>
      </w:r>
    </w:p>
    <w:p>
      <w:pPr>
        <w:tabs>
          <w:tab w:val="left" w:pos="9639"/>
        </w:tabs>
        <w:spacing w:line="400" w:lineRule="exact"/>
        <w:ind w:left="3" w:leftChars="1" w:firstLine="480" w:firstLineChars="200"/>
        <w:rPr>
          <w:rFonts w:hint="eastAsia" w:hAnsi="宋体"/>
          <w:sz w:val="24"/>
        </w:rPr>
      </w:pPr>
      <w:r>
        <w:rPr>
          <w:rFonts w:hint="eastAsia" w:hAnsi="宋体"/>
          <w:sz w:val="24"/>
        </w:rPr>
        <w:t>供应商应按照磋商文件的规定和要求编制响应文件。供应商在成交后将成交项目的非主体、非关键性工作分包他人完成的，应当在响应文件中载明或磋商过程中澄清。供应商编写的响应文件应包括资格性响应文件和其他响应文件两部分，分册装订。</w:t>
      </w:r>
    </w:p>
    <w:p>
      <w:pPr>
        <w:pStyle w:val="4"/>
        <w:keepNext w:val="0"/>
        <w:keepLines w:val="0"/>
        <w:tabs>
          <w:tab w:val="left" w:pos="9639"/>
        </w:tabs>
        <w:spacing w:before="0" w:after="0" w:line="400" w:lineRule="exact"/>
        <w:ind w:firstLine="482" w:firstLineChars="200"/>
        <w:rPr>
          <w:rFonts w:hint="eastAsia" w:hAnsi="宋体"/>
          <w:bCs w:val="0"/>
          <w:sz w:val="24"/>
        </w:rPr>
      </w:pPr>
      <w:r>
        <w:rPr>
          <w:rFonts w:hint="eastAsia" w:hAnsi="宋体"/>
          <w:bCs w:val="0"/>
          <w:sz w:val="24"/>
        </w:rPr>
        <w:t>14.响应文件的语言</w:t>
      </w:r>
      <w:bookmarkEnd w:id="44"/>
      <w:bookmarkEnd w:id="45"/>
      <w:bookmarkEnd w:id="46"/>
    </w:p>
    <w:p>
      <w:pPr>
        <w:tabs>
          <w:tab w:val="left" w:pos="9639"/>
        </w:tabs>
        <w:spacing w:line="400" w:lineRule="exact"/>
        <w:ind w:firstLine="480" w:firstLineChars="200"/>
        <w:rPr>
          <w:rFonts w:hint="eastAsia" w:hAnsi="宋体"/>
          <w:sz w:val="24"/>
        </w:rPr>
      </w:pPr>
      <w:r>
        <w:rPr>
          <w:rFonts w:hint="eastAsia" w:hAnsi="宋体"/>
          <w:sz w:val="24"/>
        </w:rPr>
        <w:t>14.1</w:t>
      </w:r>
      <w:r>
        <w:rPr>
          <w:rFonts w:hint="eastAsia"/>
          <w:sz w:val="24"/>
        </w:rPr>
        <w:t xml:space="preserve"> </w:t>
      </w:r>
      <w:r>
        <w:rPr>
          <w:rFonts w:hint="eastAsia" w:hAnsi="宋体"/>
          <w:sz w:val="24"/>
        </w:rPr>
        <w:t>供应商提交的响应文件以及供应商与采购人、采购代理机构就有关报价的所有来往书面文件均须使用中文。响应文件中如附有外文资料，必须逐一对应翻译成中文并加盖供应商公章后附在相关外文资料后面，否则，供应商的响应文件</w:t>
      </w:r>
      <w:r>
        <w:rPr>
          <w:rFonts w:hint="eastAsia" w:hAnsi="宋体"/>
          <w:sz w:val="24"/>
          <w:lang w:eastAsia="zh-CN"/>
        </w:rPr>
        <w:t>中的外文资料</w:t>
      </w:r>
      <w:r>
        <w:rPr>
          <w:rFonts w:hint="eastAsia" w:hAnsi="宋体"/>
          <w:sz w:val="24"/>
        </w:rPr>
        <w:t>将作为无效处理。（说明：供应商的法定代表人为外籍人士的，法定代表人的签字和护照除外。）</w:t>
      </w:r>
    </w:p>
    <w:p>
      <w:pPr>
        <w:tabs>
          <w:tab w:val="left" w:pos="9639"/>
        </w:tabs>
        <w:spacing w:line="400" w:lineRule="exact"/>
        <w:ind w:firstLine="480" w:firstLineChars="200"/>
        <w:rPr>
          <w:rFonts w:hAnsi="宋体"/>
          <w:sz w:val="24"/>
        </w:rPr>
      </w:pPr>
      <w:r>
        <w:rPr>
          <w:rFonts w:hint="eastAsia" w:hAnsi="宋体"/>
          <w:sz w:val="24"/>
        </w:rPr>
        <w:t>14.2 翻译的中文资料与外文资料如果出现差异和矛盾，以中文为准。但不能故意错误翻译，否则，供应商的响应文件将作为无效处理。</w:t>
      </w:r>
    </w:p>
    <w:p>
      <w:pPr>
        <w:pStyle w:val="4"/>
        <w:keepNext w:val="0"/>
        <w:keepLines w:val="0"/>
        <w:tabs>
          <w:tab w:val="left" w:pos="9639"/>
        </w:tabs>
        <w:spacing w:before="0" w:after="0" w:line="400" w:lineRule="exact"/>
        <w:ind w:firstLine="482" w:firstLineChars="200"/>
        <w:rPr>
          <w:rFonts w:hint="eastAsia" w:hAnsi="宋体"/>
          <w:sz w:val="24"/>
        </w:rPr>
      </w:pPr>
      <w:bookmarkStart w:id="47" w:name="_Toc183582216"/>
      <w:bookmarkStart w:id="48" w:name="_Toc217446044"/>
      <w:bookmarkStart w:id="49" w:name="_Toc183682353"/>
      <w:r>
        <w:rPr>
          <w:rFonts w:hint="eastAsia" w:hAnsi="宋体"/>
          <w:sz w:val="24"/>
        </w:rPr>
        <w:t>15．计量单位</w:t>
      </w:r>
      <w:bookmarkEnd w:id="47"/>
      <w:bookmarkEnd w:id="48"/>
      <w:bookmarkEnd w:id="49"/>
      <w:r>
        <w:rPr>
          <w:rFonts w:hint="eastAsia" w:hAnsi="宋体"/>
          <w:sz w:val="24"/>
        </w:rPr>
        <w:t>（实质性要求）</w:t>
      </w:r>
    </w:p>
    <w:p>
      <w:pPr>
        <w:tabs>
          <w:tab w:val="left" w:pos="9639"/>
        </w:tabs>
        <w:spacing w:line="400" w:lineRule="exact"/>
        <w:ind w:firstLine="470" w:firstLineChars="196"/>
        <w:rPr>
          <w:rFonts w:hAnsi="宋体"/>
          <w:b/>
          <w:bCs/>
          <w:sz w:val="24"/>
        </w:rPr>
      </w:pPr>
      <w:r>
        <w:rPr>
          <w:rFonts w:hint="eastAsia" w:hAnsi="宋体"/>
          <w:sz w:val="24"/>
        </w:rPr>
        <w:t>除磋商文件中另有规定外，本次采购项目所有合同项下的报价均采用国家法定的计量单位。</w:t>
      </w:r>
      <w:bookmarkStart w:id="50" w:name="_Toc217446045"/>
      <w:r>
        <w:rPr>
          <w:rFonts w:hint="eastAsia" w:hAnsi="宋体"/>
          <w:sz w:val="24"/>
        </w:rPr>
        <w:t xml:space="preserve"> </w:t>
      </w:r>
    </w:p>
    <w:p>
      <w:pPr>
        <w:tabs>
          <w:tab w:val="left" w:pos="9639"/>
        </w:tabs>
        <w:spacing w:line="400" w:lineRule="exact"/>
        <w:ind w:firstLine="470" w:firstLineChars="195"/>
        <w:rPr>
          <w:rFonts w:hint="eastAsia" w:hAnsi="宋体"/>
          <w:b/>
          <w:bCs/>
          <w:sz w:val="24"/>
        </w:rPr>
      </w:pPr>
      <w:r>
        <w:rPr>
          <w:rFonts w:hint="eastAsia" w:hAnsi="宋体"/>
          <w:b/>
          <w:bCs/>
          <w:sz w:val="24"/>
        </w:rPr>
        <w:t xml:space="preserve">16. </w:t>
      </w:r>
      <w:r>
        <w:rPr>
          <w:rFonts w:hint="eastAsia" w:hAnsi="宋体"/>
          <w:b/>
          <w:sz w:val="24"/>
        </w:rPr>
        <w:t>报价</w:t>
      </w:r>
      <w:r>
        <w:rPr>
          <w:rFonts w:hint="eastAsia" w:hAnsi="宋体"/>
          <w:b/>
          <w:bCs/>
          <w:sz w:val="24"/>
        </w:rPr>
        <w:t>货币（实质性要求）</w:t>
      </w:r>
    </w:p>
    <w:p>
      <w:pPr>
        <w:tabs>
          <w:tab w:val="left" w:pos="9639"/>
        </w:tabs>
        <w:spacing w:line="400" w:lineRule="exact"/>
        <w:ind w:firstLine="468" w:firstLineChars="195"/>
        <w:rPr>
          <w:rFonts w:hint="eastAsia" w:hAnsi="宋体"/>
          <w:bCs/>
          <w:sz w:val="24"/>
        </w:rPr>
      </w:pPr>
      <w:r>
        <w:rPr>
          <w:rFonts w:hint="eastAsia" w:hAnsi="宋体"/>
          <w:bCs/>
          <w:sz w:val="24"/>
        </w:rPr>
        <w:t>本次磋商项目的</w:t>
      </w:r>
      <w:r>
        <w:rPr>
          <w:rFonts w:hint="eastAsia" w:hAnsi="宋体"/>
          <w:sz w:val="24"/>
        </w:rPr>
        <w:t>报价货币为</w:t>
      </w:r>
      <w:r>
        <w:rPr>
          <w:rFonts w:hint="eastAsia" w:hAnsi="宋体"/>
          <w:bCs/>
          <w:sz w:val="24"/>
        </w:rPr>
        <w:t>人民币，报价以磋商文件规定为准。</w:t>
      </w:r>
    </w:p>
    <w:bookmarkEnd w:id="50"/>
    <w:p>
      <w:pPr>
        <w:tabs>
          <w:tab w:val="left" w:pos="9639"/>
        </w:tabs>
        <w:spacing w:line="400" w:lineRule="exact"/>
        <w:ind w:left="3" w:leftChars="1" w:firstLine="482" w:firstLineChars="200"/>
        <w:rPr>
          <w:rFonts w:hint="eastAsia" w:hAnsi="宋体"/>
          <w:b/>
          <w:bCs/>
          <w:sz w:val="24"/>
        </w:rPr>
      </w:pPr>
      <w:r>
        <w:rPr>
          <w:rFonts w:hint="eastAsia" w:hAnsi="宋体"/>
          <w:b/>
          <w:bCs/>
          <w:sz w:val="24"/>
        </w:rPr>
        <w:t>17.响应文件格式</w:t>
      </w:r>
    </w:p>
    <w:p>
      <w:pPr>
        <w:tabs>
          <w:tab w:val="left" w:pos="9639"/>
        </w:tabs>
        <w:spacing w:line="400" w:lineRule="exact"/>
        <w:ind w:left="3" w:leftChars="1" w:firstLine="480" w:firstLineChars="200"/>
        <w:rPr>
          <w:rFonts w:hint="eastAsia" w:hAnsi="宋体"/>
          <w:bCs/>
          <w:sz w:val="24"/>
        </w:rPr>
      </w:pPr>
      <w:r>
        <w:rPr>
          <w:rFonts w:hint="eastAsia" w:hAnsi="宋体"/>
          <w:bCs/>
          <w:sz w:val="24"/>
        </w:rPr>
        <w:t>17.1 供应商应执行磋商文件第八章的规定要求。</w:t>
      </w:r>
    </w:p>
    <w:p>
      <w:pPr>
        <w:tabs>
          <w:tab w:val="left" w:pos="9639"/>
        </w:tabs>
        <w:spacing w:line="400" w:lineRule="exact"/>
        <w:ind w:left="3" w:leftChars="1" w:firstLine="480" w:firstLineChars="200"/>
        <w:rPr>
          <w:rFonts w:hint="eastAsia" w:hAnsi="宋体"/>
          <w:sz w:val="24"/>
        </w:rPr>
      </w:pPr>
      <w:r>
        <w:rPr>
          <w:rFonts w:hint="eastAsia" w:hAnsi="宋体"/>
          <w:sz w:val="24"/>
        </w:rPr>
        <w:t>17.2 对于没有格式要求的磋商文件由供应商自行编写。</w:t>
      </w:r>
    </w:p>
    <w:p>
      <w:pPr>
        <w:tabs>
          <w:tab w:val="left" w:pos="9639"/>
        </w:tabs>
        <w:spacing w:line="400" w:lineRule="exact"/>
        <w:ind w:firstLine="472" w:firstLineChars="196"/>
        <w:rPr>
          <w:rFonts w:hint="eastAsia" w:hAnsi="宋体"/>
          <w:b/>
          <w:sz w:val="24"/>
        </w:rPr>
      </w:pPr>
      <w:bookmarkStart w:id="51" w:name="_Toc217446051"/>
      <w:bookmarkStart w:id="52" w:name="_Toc183682361"/>
      <w:bookmarkStart w:id="53" w:name="_Toc183582224"/>
      <w:r>
        <w:rPr>
          <w:rFonts w:hint="eastAsia" w:hAnsi="宋体"/>
          <w:b/>
          <w:sz w:val="24"/>
        </w:rPr>
        <w:t>18.响应文件的编制和签署</w:t>
      </w:r>
    </w:p>
    <w:p>
      <w:pPr>
        <w:tabs>
          <w:tab w:val="left" w:pos="9639"/>
        </w:tabs>
        <w:spacing w:line="400" w:lineRule="exact"/>
        <w:ind w:firstLine="468" w:firstLineChars="195"/>
        <w:rPr>
          <w:rFonts w:hint="eastAsia" w:hAnsi="宋体"/>
          <w:bCs/>
          <w:sz w:val="24"/>
        </w:rPr>
      </w:pPr>
      <w:r>
        <w:rPr>
          <w:rFonts w:hint="eastAsia" w:hAnsi="宋体"/>
          <w:sz w:val="24"/>
        </w:rPr>
        <w:t>18.1 资格性响应文件正本壹份，副本两份</w:t>
      </w:r>
      <w:r>
        <w:rPr>
          <w:rFonts w:hint="eastAsia" w:hAnsi="宋体"/>
          <w:bCs/>
          <w:sz w:val="24"/>
        </w:rPr>
        <w:t>，并在其封面上清楚地标明资格性响应文件、采购项目名称、采购项目编号、包件号及名称（若有）、供应商名称以及“正本”或“副本”字样。若正本和副本有不一致的内容，以正本书面响应文件为准。</w:t>
      </w:r>
    </w:p>
    <w:p>
      <w:pPr>
        <w:tabs>
          <w:tab w:val="left" w:pos="9639"/>
        </w:tabs>
        <w:spacing w:line="400" w:lineRule="exact"/>
        <w:ind w:firstLine="468" w:firstLineChars="195"/>
        <w:rPr>
          <w:rFonts w:hint="eastAsia" w:hAnsi="宋体"/>
          <w:bCs/>
          <w:sz w:val="24"/>
        </w:rPr>
      </w:pPr>
      <w:r>
        <w:rPr>
          <w:rFonts w:hint="eastAsia" w:hAnsi="宋体"/>
          <w:bCs/>
          <w:sz w:val="24"/>
        </w:rPr>
        <w:t>18.2 其他响应文件正本壹份，副本两份，并在其封面上清楚地标明其他响应文件、采购项目名称、采购项目编号、包件号及名称（若有）、供应商名称以及“正本”或“副本”字样。若正本和副本有不一致的内容，以正本书面响应文件为准。</w:t>
      </w:r>
    </w:p>
    <w:bookmarkEnd w:id="51"/>
    <w:bookmarkEnd w:id="52"/>
    <w:bookmarkEnd w:id="53"/>
    <w:p>
      <w:pPr>
        <w:tabs>
          <w:tab w:val="left" w:pos="9639"/>
        </w:tabs>
        <w:spacing w:line="400" w:lineRule="exact"/>
        <w:ind w:firstLine="468" w:firstLineChars="195"/>
        <w:rPr>
          <w:rFonts w:hint="eastAsia" w:hAnsi="宋体"/>
          <w:bCs/>
          <w:sz w:val="24"/>
        </w:rPr>
      </w:pPr>
      <w:r>
        <w:rPr>
          <w:rFonts w:hint="eastAsia" w:hAnsi="宋体"/>
          <w:bCs/>
          <w:sz w:val="24"/>
        </w:rPr>
        <w:t>18.3 响应文件正本和副本均需在规定签章处签字和盖章。响应文件副本可采用正本的复印件，电子文档采用光盘或U盘制作。</w:t>
      </w:r>
    </w:p>
    <w:p>
      <w:pPr>
        <w:tabs>
          <w:tab w:val="left" w:pos="9639"/>
        </w:tabs>
        <w:spacing w:line="400" w:lineRule="exact"/>
        <w:ind w:firstLine="468" w:firstLineChars="195"/>
        <w:rPr>
          <w:rFonts w:hint="eastAsia" w:hAnsi="宋体"/>
          <w:bCs/>
          <w:sz w:val="24"/>
        </w:rPr>
      </w:pPr>
      <w:r>
        <w:rPr>
          <w:rFonts w:hint="eastAsia" w:hAnsi="宋体"/>
          <w:bCs/>
          <w:sz w:val="24"/>
        </w:rPr>
        <w:t>18.4响应文件的打印和书写应清楚工整，任何行间插字、涂改或增删，必须由供应商的法定代表人或其授权代表签字并盖供应商公章。</w:t>
      </w:r>
    </w:p>
    <w:p>
      <w:pPr>
        <w:tabs>
          <w:tab w:val="left" w:pos="9639"/>
        </w:tabs>
        <w:spacing w:line="400" w:lineRule="exact"/>
        <w:ind w:firstLine="468" w:firstLineChars="195"/>
        <w:rPr>
          <w:rFonts w:hAnsi="宋体"/>
          <w:bCs/>
          <w:sz w:val="24"/>
        </w:rPr>
      </w:pPr>
      <w:r>
        <w:rPr>
          <w:rFonts w:hint="eastAsia" w:hAnsi="宋体"/>
          <w:bCs/>
          <w:sz w:val="24"/>
        </w:rPr>
        <w:t>18.5（实质性要求）响应文件应由供应商法定代表人/主要负责人/本人或其授权代表在响应文件要求的地方签字（或加盖私人印章），要求加盖公章的地方加盖单位公章，不得使用专用章（如经济合同章、投标专用章等）或下属单位印章代替。</w:t>
      </w:r>
    </w:p>
    <w:p>
      <w:pPr>
        <w:tabs>
          <w:tab w:val="left" w:pos="9639"/>
        </w:tabs>
        <w:spacing w:line="400" w:lineRule="exact"/>
        <w:ind w:firstLine="468" w:firstLineChars="195"/>
        <w:rPr>
          <w:rFonts w:hint="eastAsia" w:hAnsi="宋体"/>
          <w:bCs/>
          <w:sz w:val="24"/>
        </w:rPr>
      </w:pPr>
      <w:r>
        <w:rPr>
          <w:rFonts w:hint="eastAsia" w:hAnsi="宋体"/>
          <w:bCs/>
          <w:sz w:val="24"/>
        </w:rPr>
        <w:t>18.6响应文件正本和副本需要逐页编目编码。</w:t>
      </w:r>
    </w:p>
    <w:p>
      <w:pPr>
        <w:tabs>
          <w:tab w:val="left" w:pos="1080"/>
          <w:tab w:val="left" w:pos="9639"/>
        </w:tabs>
        <w:spacing w:line="400" w:lineRule="exact"/>
        <w:ind w:firstLine="460" w:firstLineChars="192"/>
        <w:rPr>
          <w:rFonts w:hAnsi="宋体"/>
          <w:sz w:val="24"/>
        </w:rPr>
      </w:pPr>
      <w:r>
        <w:rPr>
          <w:rFonts w:hint="eastAsia" w:hAnsi="宋体"/>
          <w:sz w:val="24"/>
        </w:rPr>
        <w:t>18.7响应文件正本和副本应当采用胶装方式装订成册，不得散装或者合页装订。</w:t>
      </w:r>
    </w:p>
    <w:p>
      <w:pPr>
        <w:tabs>
          <w:tab w:val="left" w:pos="1080"/>
          <w:tab w:val="left" w:pos="9639"/>
        </w:tabs>
        <w:spacing w:line="400" w:lineRule="exact"/>
        <w:ind w:firstLine="460" w:firstLineChars="192"/>
        <w:rPr>
          <w:rFonts w:hint="eastAsia" w:hAnsi="宋体"/>
          <w:sz w:val="24"/>
        </w:rPr>
      </w:pPr>
      <w:r>
        <w:rPr>
          <w:rFonts w:hint="eastAsia" w:hAnsi="宋体"/>
          <w:sz w:val="24"/>
        </w:rPr>
        <w:t>18.8响应文件应根据磋商文件的要求制作，签署、盖章。（按照《政府采购评审工作规程（修订）》规范）</w:t>
      </w:r>
    </w:p>
    <w:p>
      <w:pPr>
        <w:tabs>
          <w:tab w:val="left" w:pos="1080"/>
          <w:tab w:val="left" w:pos="9639"/>
        </w:tabs>
        <w:spacing w:line="400" w:lineRule="exact"/>
        <w:ind w:firstLine="460" w:firstLineChars="192"/>
        <w:rPr>
          <w:rFonts w:hAnsi="宋体"/>
          <w:sz w:val="24"/>
        </w:rPr>
      </w:pPr>
      <w:r>
        <w:rPr>
          <w:rFonts w:hint="eastAsia" w:hAnsi="宋体"/>
          <w:sz w:val="24"/>
        </w:rPr>
        <w:t>18.9响应文件统一用</w:t>
      </w:r>
      <w:r>
        <w:rPr>
          <w:rFonts w:hAnsi="宋体"/>
          <w:sz w:val="24"/>
        </w:rPr>
        <w:t>A4</w:t>
      </w:r>
      <w:r>
        <w:rPr>
          <w:rFonts w:hint="eastAsia" w:hAnsi="宋体"/>
          <w:sz w:val="24"/>
        </w:rPr>
        <w:t>幅面纸印制，除另有规定外。</w:t>
      </w:r>
    </w:p>
    <w:p>
      <w:pPr>
        <w:tabs>
          <w:tab w:val="left" w:pos="1080"/>
          <w:tab w:val="left" w:pos="9639"/>
        </w:tabs>
        <w:spacing w:line="400" w:lineRule="exact"/>
        <w:ind w:firstLine="463" w:firstLineChars="192"/>
        <w:rPr>
          <w:rFonts w:hint="eastAsia"/>
          <w:b/>
          <w:sz w:val="24"/>
        </w:rPr>
      </w:pPr>
      <w:bookmarkStart w:id="54" w:name="_Toc183582226"/>
      <w:bookmarkStart w:id="55" w:name="_Toc77400781"/>
      <w:bookmarkStart w:id="56" w:name="_Toc183682363"/>
      <w:bookmarkStart w:id="57" w:name="_Toc89075877"/>
      <w:bookmarkStart w:id="58" w:name="_Toc217446053"/>
      <w:r>
        <w:rPr>
          <w:rFonts w:hint="eastAsia"/>
          <w:b/>
          <w:sz w:val="24"/>
        </w:rPr>
        <w:t>19.响应文件的密封和标注（不属于本项目磋商小组评审范畴，由采购人、采购代理机构在接收响应文件时及时处理）</w:t>
      </w:r>
    </w:p>
    <w:p>
      <w:pPr>
        <w:tabs>
          <w:tab w:val="left" w:pos="1080"/>
          <w:tab w:val="left" w:pos="9639"/>
        </w:tabs>
        <w:spacing w:line="400" w:lineRule="exact"/>
        <w:ind w:firstLine="460" w:firstLineChars="192"/>
        <w:rPr>
          <w:rFonts w:hint="eastAsia"/>
          <w:sz w:val="24"/>
        </w:rPr>
      </w:pPr>
      <w:r>
        <w:rPr>
          <w:rFonts w:hint="eastAsia"/>
          <w:sz w:val="24"/>
        </w:rPr>
        <w:t>19.1 响应文件可以单独密封包装，也可以所有响应文件密封包装在一个密封袋内。</w:t>
      </w:r>
    </w:p>
    <w:p>
      <w:pPr>
        <w:tabs>
          <w:tab w:val="left" w:pos="1080"/>
          <w:tab w:val="left" w:pos="9639"/>
        </w:tabs>
        <w:spacing w:line="400" w:lineRule="exact"/>
        <w:ind w:firstLine="460" w:firstLineChars="192"/>
        <w:rPr>
          <w:rFonts w:hint="eastAsia"/>
          <w:sz w:val="24"/>
        </w:rPr>
      </w:pPr>
      <w:r>
        <w:rPr>
          <w:rFonts w:hint="eastAsia"/>
          <w:sz w:val="24"/>
        </w:rPr>
        <w:t>19.2 响应文件密封袋的最外层应清楚地标明采购项目名称、采购项目编号、包件号及名称（若有）、供应商名称。</w:t>
      </w:r>
    </w:p>
    <w:p>
      <w:pPr>
        <w:tabs>
          <w:tab w:val="left" w:pos="1080"/>
          <w:tab w:val="left" w:pos="9639"/>
        </w:tabs>
        <w:spacing w:line="400" w:lineRule="exact"/>
        <w:ind w:firstLine="460" w:firstLineChars="192"/>
        <w:rPr>
          <w:rFonts w:hint="eastAsia"/>
          <w:sz w:val="24"/>
        </w:rPr>
      </w:pPr>
      <w:r>
        <w:rPr>
          <w:rFonts w:hint="eastAsia"/>
          <w:sz w:val="24"/>
        </w:rPr>
        <w:t>19.3 所有外层密封袋的封口处应粘贴牢固。</w:t>
      </w:r>
    </w:p>
    <w:p>
      <w:pPr>
        <w:tabs>
          <w:tab w:val="left" w:pos="1080"/>
          <w:tab w:val="left" w:pos="9639"/>
        </w:tabs>
        <w:spacing w:line="400" w:lineRule="exact"/>
        <w:ind w:firstLine="460" w:firstLineChars="192"/>
        <w:rPr>
          <w:rFonts w:hint="eastAsia"/>
          <w:sz w:val="24"/>
        </w:rPr>
      </w:pPr>
      <w:r>
        <w:rPr>
          <w:rFonts w:hint="eastAsia"/>
          <w:sz w:val="24"/>
        </w:rPr>
        <w:t>19.4 未按以上要求进行密封和标注的响应文件，采购人、采购代理机构将拒收或者在时间允许的范围内，要求修改完善后接收。</w:t>
      </w:r>
    </w:p>
    <w:p>
      <w:pPr>
        <w:tabs>
          <w:tab w:val="left" w:pos="1080"/>
          <w:tab w:val="left" w:pos="9639"/>
        </w:tabs>
        <w:spacing w:line="400" w:lineRule="exact"/>
        <w:ind w:firstLine="463" w:firstLineChars="192"/>
        <w:rPr>
          <w:rFonts w:hint="eastAsia"/>
          <w:b/>
          <w:sz w:val="24"/>
        </w:rPr>
      </w:pPr>
      <w:r>
        <w:rPr>
          <w:rFonts w:hint="eastAsia"/>
          <w:b/>
          <w:sz w:val="24"/>
        </w:rPr>
        <w:t>20.响应文件的递交</w:t>
      </w:r>
    </w:p>
    <w:p>
      <w:pPr>
        <w:tabs>
          <w:tab w:val="left" w:pos="1080"/>
          <w:tab w:val="left" w:pos="9639"/>
        </w:tabs>
        <w:spacing w:line="400" w:lineRule="exact"/>
        <w:ind w:firstLine="460" w:firstLineChars="192"/>
        <w:rPr>
          <w:rFonts w:hint="eastAsia"/>
          <w:sz w:val="24"/>
        </w:rPr>
      </w:pPr>
      <w:r>
        <w:rPr>
          <w:rFonts w:hint="eastAsia"/>
          <w:sz w:val="24"/>
        </w:rPr>
        <w:t>20.1 资格性响应文件和其他响应文件应于递交响应文件截止时间前送达指定地点，采购代理机构拒绝接收截止时间后送达的响应文件。</w:t>
      </w:r>
    </w:p>
    <w:p>
      <w:pPr>
        <w:tabs>
          <w:tab w:val="left" w:pos="1080"/>
          <w:tab w:val="left" w:pos="9639"/>
        </w:tabs>
        <w:spacing w:line="400" w:lineRule="exact"/>
        <w:ind w:firstLine="460" w:firstLineChars="192"/>
        <w:rPr>
          <w:rFonts w:hint="eastAsia"/>
          <w:sz w:val="24"/>
        </w:rPr>
      </w:pPr>
      <w:r>
        <w:rPr>
          <w:rFonts w:hint="eastAsia"/>
          <w:sz w:val="24"/>
        </w:rPr>
        <w:t>20.2 采购代理机构将向通过资格审查的供应商发出磋商邀请；告知未通过资格审查的供应商未通过的原因。</w:t>
      </w:r>
    </w:p>
    <w:p>
      <w:pPr>
        <w:tabs>
          <w:tab w:val="left" w:pos="1080"/>
          <w:tab w:val="left" w:pos="9639"/>
        </w:tabs>
        <w:spacing w:line="400" w:lineRule="exact"/>
        <w:ind w:firstLine="460" w:firstLineChars="192"/>
        <w:rPr>
          <w:rFonts w:hint="eastAsia"/>
          <w:sz w:val="24"/>
        </w:rPr>
      </w:pPr>
      <w:r>
        <w:rPr>
          <w:rFonts w:hint="eastAsia"/>
          <w:sz w:val="24"/>
        </w:rPr>
        <w:t>20.3 报价表在磋商后，磋商小组要求供应商进行最后报价时递交。</w:t>
      </w:r>
    </w:p>
    <w:p>
      <w:pPr>
        <w:tabs>
          <w:tab w:val="left" w:pos="1080"/>
          <w:tab w:val="left" w:pos="9639"/>
        </w:tabs>
        <w:spacing w:line="400" w:lineRule="exact"/>
        <w:ind w:firstLine="460" w:firstLineChars="192"/>
        <w:rPr>
          <w:rFonts w:hint="eastAsia"/>
          <w:sz w:val="24"/>
        </w:rPr>
      </w:pPr>
      <w:r>
        <w:rPr>
          <w:rFonts w:hint="eastAsia"/>
          <w:sz w:val="24"/>
        </w:rPr>
        <w:t>20.4 本次采购不接收邮寄的响应文件。</w:t>
      </w:r>
    </w:p>
    <w:bookmarkEnd w:id="54"/>
    <w:bookmarkEnd w:id="55"/>
    <w:bookmarkEnd w:id="56"/>
    <w:bookmarkEnd w:id="57"/>
    <w:bookmarkEnd w:id="58"/>
    <w:p>
      <w:pPr>
        <w:tabs>
          <w:tab w:val="left" w:pos="1080"/>
          <w:tab w:val="left" w:pos="9639"/>
        </w:tabs>
        <w:spacing w:line="400" w:lineRule="exact"/>
        <w:ind w:firstLine="463" w:firstLineChars="192"/>
        <w:rPr>
          <w:rFonts w:hint="eastAsia" w:hAnsi="宋体"/>
          <w:b/>
          <w:sz w:val="24"/>
        </w:rPr>
      </w:pPr>
      <w:bookmarkStart w:id="59" w:name="_Toc183682365"/>
      <w:bookmarkStart w:id="60" w:name="_Toc183582228"/>
      <w:bookmarkStart w:id="61" w:name="_Toc217446055"/>
      <w:r>
        <w:rPr>
          <w:rFonts w:hint="eastAsia" w:hAnsi="宋体"/>
          <w:b/>
          <w:sz w:val="24"/>
        </w:rPr>
        <w:t>21.响应文件的修改和撤回（补充、修改响应文件的</w:t>
      </w:r>
      <w:r>
        <w:rPr>
          <w:rFonts w:hint="eastAsia"/>
          <w:b/>
          <w:sz w:val="24"/>
        </w:rPr>
        <w:t>密封和标注按照本章“19.响应文件的密封和标注”规定处理</w:t>
      </w:r>
      <w:r>
        <w:rPr>
          <w:rFonts w:hint="eastAsia" w:hAnsi="宋体"/>
          <w:b/>
          <w:sz w:val="24"/>
        </w:rPr>
        <w:t>）</w:t>
      </w:r>
    </w:p>
    <w:p>
      <w:pPr>
        <w:pStyle w:val="7"/>
        <w:tabs>
          <w:tab w:val="left" w:pos="9639"/>
        </w:tabs>
        <w:spacing w:line="400" w:lineRule="exact"/>
        <w:ind w:firstLine="480"/>
        <w:rPr>
          <w:rFonts w:hint="eastAsia"/>
          <w:sz w:val="24"/>
        </w:rPr>
      </w:pPr>
      <w:r>
        <w:rPr>
          <w:rFonts w:hint="eastAsia"/>
          <w:sz w:val="24"/>
        </w:rPr>
        <w:t>21</w:t>
      </w:r>
      <w:r>
        <w:rPr>
          <w:sz w:val="24"/>
        </w:rPr>
        <w:t>.</w:t>
      </w:r>
      <w:r>
        <w:rPr>
          <w:rFonts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pPr>
        <w:tabs>
          <w:tab w:val="left" w:pos="9639"/>
        </w:tabs>
        <w:adjustRightInd w:val="0"/>
        <w:snapToGrid w:val="0"/>
        <w:spacing w:line="400" w:lineRule="exact"/>
        <w:ind w:firstLine="480" w:firstLineChars="200"/>
        <w:rPr>
          <w:rFonts w:hint="eastAsia" w:hAnsi="宋体"/>
          <w:sz w:val="24"/>
        </w:rPr>
      </w:pPr>
      <w:r>
        <w:rPr>
          <w:rFonts w:hint="eastAsia" w:hAnsi="宋体"/>
          <w:sz w:val="24"/>
        </w:rPr>
        <w:t>21</w:t>
      </w:r>
      <w:r>
        <w:rPr>
          <w:rFonts w:hAnsi="宋体"/>
          <w:sz w:val="24"/>
        </w:rPr>
        <w:t>.</w:t>
      </w:r>
      <w:r>
        <w:rPr>
          <w:rFonts w:hint="eastAsia" w:hAnsi="宋体"/>
          <w:sz w:val="24"/>
        </w:rPr>
        <w:t>2供应商对响应文件修改的书面材料或撤回的通知应该按规定进行编写、密封、标注和递送，并注明“修改响应文件”字样。</w:t>
      </w:r>
    </w:p>
    <w:p>
      <w:pPr>
        <w:tabs>
          <w:tab w:val="left" w:pos="9639"/>
        </w:tabs>
        <w:adjustRightInd w:val="0"/>
        <w:snapToGrid w:val="0"/>
        <w:spacing w:line="400" w:lineRule="exact"/>
        <w:ind w:firstLine="480" w:firstLineChars="200"/>
        <w:rPr>
          <w:rFonts w:hint="eastAsia" w:hAnsi="宋体"/>
          <w:sz w:val="24"/>
        </w:rPr>
      </w:pPr>
      <w:r>
        <w:rPr>
          <w:rFonts w:hint="eastAsia" w:hAnsi="宋体"/>
          <w:sz w:val="24"/>
        </w:rPr>
        <w:t>21</w:t>
      </w:r>
      <w:r>
        <w:rPr>
          <w:rFonts w:hAnsi="宋体"/>
          <w:sz w:val="24"/>
        </w:rPr>
        <w:t>.</w:t>
      </w:r>
      <w:r>
        <w:rPr>
          <w:rFonts w:hint="eastAsia" w:hAnsi="宋体"/>
          <w:sz w:val="24"/>
        </w:rPr>
        <w:t>3供应商不得在递交截止时间起至响应文件有效期期满前撤销其响应文件。否则其磋商保证金将按“第二部分供应商采购须知7”的相关规定被没收。</w:t>
      </w:r>
    </w:p>
    <w:p>
      <w:pPr>
        <w:tabs>
          <w:tab w:val="left" w:pos="9639"/>
        </w:tabs>
        <w:spacing w:line="400" w:lineRule="exact"/>
        <w:ind w:firstLine="480"/>
        <w:rPr>
          <w:rFonts w:hint="eastAsia" w:hAnsi="宋体"/>
          <w:sz w:val="24"/>
        </w:rPr>
      </w:pPr>
      <w:r>
        <w:rPr>
          <w:rFonts w:hint="eastAsia" w:hAnsi="宋体"/>
          <w:sz w:val="24"/>
        </w:rPr>
        <w:t>21.4 响应文件中报价如果出现下列不一致的，可按以下原则进行修改：</w:t>
      </w:r>
    </w:p>
    <w:p>
      <w:pPr>
        <w:tabs>
          <w:tab w:val="left" w:pos="9639"/>
        </w:tabs>
        <w:spacing w:line="400" w:lineRule="exact"/>
        <w:ind w:firstLine="480"/>
        <w:rPr>
          <w:rFonts w:hint="eastAsia" w:hAnsi="宋体"/>
          <w:sz w:val="24"/>
        </w:rPr>
      </w:pPr>
      <w:r>
        <w:rPr>
          <w:rFonts w:hint="eastAsia" w:hAnsi="宋体"/>
          <w:sz w:val="24"/>
        </w:rPr>
        <w:t>（一）</w:t>
      </w:r>
      <w:r>
        <w:rPr>
          <w:rFonts w:hint="eastAsia" w:hAnsi="宋体" w:cs="宋体"/>
          <w:sz w:val="24"/>
        </w:rPr>
        <w:t>大写金额和小写金额不一致的，以大写金额为准</w:t>
      </w:r>
      <w:r>
        <w:rPr>
          <w:rFonts w:hint="eastAsia" w:hAnsi="宋体"/>
          <w:sz w:val="24"/>
        </w:rPr>
        <w:t>，但大写金额文字存在错误的，应当先对大写金额的文字错误进行澄清、说明或者更正，再行修正。</w:t>
      </w:r>
    </w:p>
    <w:p>
      <w:pPr>
        <w:tabs>
          <w:tab w:val="left" w:pos="9639"/>
        </w:tabs>
        <w:spacing w:line="400" w:lineRule="exact"/>
        <w:ind w:firstLine="480"/>
        <w:rPr>
          <w:rFonts w:hint="eastAsia" w:hAnsi="宋体"/>
          <w:sz w:val="24"/>
        </w:rPr>
      </w:pPr>
      <w:r>
        <w:rPr>
          <w:rFonts w:hint="eastAsia" w:hAnsi="宋体"/>
          <w:sz w:val="24"/>
        </w:rPr>
        <w:t>（二）</w:t>
      </w:r>
      <w:r>
        <w:rPr>
          <w:rFonts w:hint="eastAsia" w:hAnsi="宋体" w:cs="宋体"/>
          <w:sz w:val="24"/>
        </w:rPr>
        <w:t>总价金额与按单价汇总金额不一致的，以单价金额计算结果为准，</w:t>
      </w:r>
      <w:r>
        <w:rPr>
          <w:rFonts w:hint="eastAsia" w:hAnsi="宋体"/>
          <w:sz w:val="24"/>
        </w:rPr>
        <w:t>但</w:t>
      </w:r>
      <w:r>
        <w:rPr>
          <w:rFonts w:hint="eastAsia" w:hAnsi="宋体" w:cs="宋体"/>
          <w:sz w:val="24"/>
        </w:rPr>
        <w:t>单价或者单价汇总金额存在数字或者</w:t>
      </w:r>
      <w:r>
        <w:rPr>
          <w:rFonts w:hint="eastAsia" w:hAnsi="宋体"/>
          <w:sz w:val="24"/>
        </w:rPr>
        <w:t>文字错误的，应当先对</w:t>
      </w:r>
      <w:r>
        <w:rPr>
          <w:rFonts w:hint="eastAsia" w:hAnsi="宋体" w:cs="宋体"/>
          <w:sz w:val="24"/>
        </w:rPr>
        <w:t>数字或者</w:t>
      </w:r>
      <w:r>
        <w:rPr>
          <w:rFonts w:hint="eastAsia" w:hAnsi="宋体"/>
          <w:sz w:val="24"/>
        </w:rPr>
        <w:t>文字错误进行澄清、说明或者更正，再行修正。</w:t>
      </w:r>
    </w:p>
    <w:p>
      <w:pPr>
        <w:tabs>
          <w:tab w:val="left" w:pos="9639"/>
        </w:tabs>
        <w:spacing w:line="400" w:lineRule="exact"/>
        <w:ind w:firstLine="480"/>
        <w:rPr>
          <w:rFonts w:hint="eastAsia" w:hAnsi="宋体"/>
          <w:sz w:val="24"/>
        </w:rPr>
      </w:pPr>
      <w:r>
        <w:rPr>
          <w:rFonts w:hint="eastAsia" w:hAnsi="宋体"/>
          <w:sz w:val="24"/>
        </w:rPr>
        <w:t>（三）单价金额小数点</w:t>
      </w:r>
      <w:r>
        <w:rPr>
          <w:rFonts w:hint="eastAsia" w:hAnsi="宋体" w:cs="宋体"/>
          <w:sz w:val="24"/>
        </w:rPr>
        <w:t>或者百分比有明显错位的</w:t>
      </w:r>
      <w:r>
        <w:rPr>
          <w:rFonts w:hint="eastAsia" w:hAnsi="宋体"/>
          <w:sz w:val="24"/>
        </w:rPr>
        <w:t>，以总价为准，修正单价。</w:t>
      </w:r>
    </w:p>
    <w:p>
      <w:pPr>
        <w:tabs>
          <w:tab w:val="left" w:pos="9639"/>
        </w:tabs>
        <w:ind w:firstLine="480" w:firstLineChars="200"/>
        <w:jc w:val="left"/>
        <w:rPr>
          <w:rFonts w:hint="eastAsia" w:hAnsi="宋体" w:cs="宋体"/>
          <w:sz w:val="24"/>
        </w:rPr>
      </w:pPr>
      <w:r>
        <w:rPr>
          <w:rFonts w:hint="eastAsia" w:hAnsi="宋体" w:cs="宋体"/>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tabs>
          <w:tab w:val="left" w:pos="9639"/>
        </w:tabs>
        <w:spacing w:line="400" w:lineRule="exact"/>
        <w:ind w:firstLine="480"/>
        <w:rPr>
          <w:rFonts w:hint="eastAsia" w:hAnsi="宋体"/>
          <w:sz w:val="24"/>
        </w:rPr>
      </w:pPr>
      <w:r>
        <w:rPr>
          <w:rFonts w:hint="eastAsia"/>
          <w:sz w:val="24"/>
        </w:rPr>
        <w:t>21.5供应商对其提交的响应文件的真实性、合法性承担法律责任。</w:t>
      </w:r>
      <w:bookmarkEnd w:id="59"/>
      <w:bookmarkEnd w:id="60"/>
      <w:bookmarkEnd w:id="61"/>
    </w:p>
    <w:p>
      <w:pPr>
        <w:pStyle w:val="2"/>
        <w:keepNext w:val="0"/>
        <w:keepLines w:val="0"/>
        <w:tabs>
          <w:tab w:val="left" w:pos="9639"/>
        </w:tabs>
        <w:spacing w:line="400" w:lineRule="exact"/>
        <w:jc w:val="center"/>
        <w:rPr>
          <w:rFonts w:hint="eastAsia"/>
        </w:rPr>
      </w:pPr>
      <w:bookmarkStart w:id="62" w:name="_Toc77400782"/>
      <w:bookmarkStart w:id="63" w:name="_Toc183582231"/>
      <w:bookmarkStart w:id="64" w:name="_Toc217446056"/>
      <w:bookmarkStart w:id="65" w:name="_Toc183682368"/>
      <w:bookmarkStart w:id="66" w:name="_Toc89075878"/>
      <w:r>
        <w:rPr>
          <w:rFonts w:hint="eastAsia"/>
        </w:rPr>
        <w:t>五、评审</w:t>
      </w:r>
    </w:p>
    <w:p>
      <w:pPr>
        <w:tabs>
          <w:tab w:val="left" w:pos="9639"/>
        </w:tabs>
        <w:ind w:firstLine="480" w:firstLineChars="200"/>
        <w:jc w:val="left"/>
        <w:rPr>
          <w:rFonts w:hint="eastAsia" w:hAnsi="宋体" w:cs="宋体"/>
          <w:sz w:val="24"/>
        </w:rPr>
      </w:pPr>
      <w:r>
        <w:rPr>
          <w:rFonts w:hint="eastAsia" w:hAnsi="宋体" w:cs="宋体"/>
          <w:sz w:val="24"/>
        </w:rPr>
        <w:t>22.磋商小组的组建及其评审工作按照有关法律制度和本文件第九章的规定进行。</w:t>
      </w:r>
    </w:p>
    <w:p>
      <w:pPr>
        <w:pStyle w:val="2"/>
        <w:keepNext w:val="0"/>
        <w:keepLines w:val="0"/>
        <w:tabs>
          <w:tab w:val="left" w:pos="9639"/>
        </w:tabs>
        <w:spacing w:line="400" w:lineRule="exact"/>
        <w:jc w:val="center"/>
        <w:rPr>
          <w:rFonts w:hint="eastAsia" w:ascii="黑体" w:hAnsi="宋体"/>
        </w:rPr>
      </w:pPr>
      <w:r>
        <w:rPr>
          <w:rFonts w:hint="eastAsia" w:ascii="黑体" w:hAnsi="宋体"/>
        </w:rPr>
        <w:t>六、成交事项</w:t>
      </w:r>
    </w:p>
    <w:p>
      <w:pPr>
        <w:pStyle w:val="4"/>
        <w:keepNext w:val="0"/>
        <w:keepLines w:val="0"/>
        <w:tabs>
          <w:tab w:val="left" w:pos="9639"/>
        </w:tabs>
        <w:spacing w:before="0" w:after="0" w:line="400" w:lineRule="exact"/>
        <w:ind w:firstLine="482" w:firstLineChars="200"/>
        <w:rPr>
          <w:rFonts w:hint="eastAsia" w:hAnsi="宋体"/>
          <w:sz w:val="24"/>
        </w:rPr>
      </w:pPr>
      <w:r>
        <w:rPr>
          <w:rFonts w:hint="eastAsia" w:hAnsi="宋体"/>
          <w:sz w:val="24"/>
        </w:rPr>
        <w:t>23.确定成交供应商</w:t>
      </w:r>
    </w:p>
    <w:p>
      <w:pPr>
        <w:tabs>
          <w:tab w:val="left" w:pos="9639"/>
        </w:tabs>
        <w:spacing w:line="400" w:lineRule="exact"/>
        <w:ind w:firstLine="480" w:firstLineChars="200"/>
        <w:rPr>
          <w:rFonts w:hint="eastAsia" w:hAnsi="宋体"/>
          <w:sz w:val="24"/>
        </w:rPr>
      </w:pPr>
      <w:r>
        <w:rPr>
          <w:rFonts w:hint="eastAsia" w:hAnsi="宋体"/>
          <w:sz w:val="24"/>
        </w:rPr>
        <w:t>采购人将按磋商小组推荐的成交候选供应商顺序确定成交供应商。采购人授权磋商小组根据综合评分排名直接确定成交供应商。</w:t>
      </w:r>
    </w:p>
    <w:p>
      <w:pPr>
        <w:tabs>
          <w:tab w:val="left" w:pos="9639"/>
        </w:tabs>
        <w:spacing w:line="400" w:lineRule="exact"/>
        <w:ind w:firstLine="480" w:firstLineChars="200"/>
        <w:rPr>
          <w:rFonts w:hint="eastAsia" w:hAnsi="宋体"/>
          <w:sz w:val="24"/>
        </w:rPr>
      </w:pPr>
      <w:r>
        <w:rPr>
          <w:rFonts w:hint="eastAsia" w:hAnsi="宋体"/>
          <w:sz w:val="24"/>
        </w:rPr>
        <w:t>23.1采购代理机构自评审结束后2个工作日内将磋商报告及有关资料送交采购人确定成交供应商。</w:t>
      </w:r>
    </w:p>
    <w:p>
      <w:pPr>
        <w:tabs>
          <w:tab w:val="left" w:pos="9639"/>
        </w:tabs>
        <w:spacing w:line="400" w:lineRule="exact"/>
        <w:ind w:firstLine="480" w:firstLineChars="200"/>
        <w:rPr>
          <w:rFonts w:hint="eastAsia" w:hAnsi="宋体"/>
          <w:sz w:val="24"/>
        </w:rPr>
      </w:pPr>
      <w:r>
        <w:rPr>
          <w:rFonts w:hint="eastAsia" w:hAnsi="宋体"/>
          <w:sz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tabs>
          <w:tab w:val="left" w:pos="9639"/>
        </w:tabs>
        <w:spacing w:line="400" w:lineRule="exact"/>
        <w:ind w:firstLine="480" w:firstLineChars="200"/>
        <w:rPr>
          <w:rFonts w:hint="eastAsia" w:hAnsi="宋体"/>
          <w:sz w:val="24"/>
        </w:rPr>
      </w:pPr>
      <w:r>
        <w:rPr>
          <w:rFonts w:hint="eastAsia" w:hAnsi="宋体"/>
          <w:sz w:val="24"/>
        </w:rPr>
        <w:t>23.3采购人确定成交供应商过程中，发现成交候选供应商有下列情形之一的，应当不予确定其为成交供应商：</w:t>
      </w:r>
    </w:p>
    <w:p>
      <w:pPr>
        <w:tabs>
          <w:tab w:val="left" w:pos="9639"/>
        </w:tabs>
        <w:spacing w:line="400" w:lineRule="exact"/>
        <w:ind w:firstLine="480" w:firstLineChars="200"/>
        <w:rPr>
          <w:rFonts w:hint="eastAsia" w:hAnsi="宋体"/>
          <w:sz w:val="24"/>
        </w:rPr>
      </w:pPr>
      <w:r>
        <w:rPr>
          <w:rFonts w:hint="eastAsia" w:hAnsi="宋体"/>
          <w:sz w:val="24"/>
        </w:rPr>
        <w:t>（1）发现成交候选供应商存在禁止参加本项目采购活动的违法行为的；</w:t>
      </w:r>
    </w:p>
    <w:p>
      <w:pPr>
        <w:tabs>
          <w:tab w:val="left" w:pos="9639"/>
        </w:tabs>
        <w:spacing w:line="400" w:lineRule="exact"/>
        <w:ind w:firstLine="480" w:firstLineChars="200"/>
        <w:rPr>
          <w:rFonts w:hint="eastAsia" w:hAnsi="宋体"/>
          <w:sz w:val="24"/>
        </w:rPr>
      </w:pPr>
      <w:r>
        <w:rPr>
          <w:rFonts w:hint="eastAsia" w:hAnsi="宋体"/>
          <w:sz w:val="24"/>
        </w:rPr>
        <w:t>（2）成交候选供应商因不可抗力，不能继续参加政府采购活动；</w:t>
      </w:r>
    </w:p>
    <w:p>
      <w:pPr>
        <w:tabs>
          <w:tab w:val="left" w:pos="9639"/>
        </w:tabs>
        <w:spacing w:line="400" w:lineRule="exact"/>
        <w:ind w:firstLine="480" w:firstLineChars="200"/>
        <w:rPr>
          <w:rFonts w:hint="eastAsia" w:hAnsi="宋体"/>
          <w:sz w:val="24"/>
        </w:rPr>
      </w:pPr>
      <w:r>
        <w:rPr>
          <w:rFonts w:hint="eastAsia" w:hAnsi="宋体"/>
          <w:sz w:val="24"/>
        </w:rPr>
        <w:t>（3）成交候选供应商无偿赠与或者低于成本价竞争；</w:t>
      </w:r>
    </w:p>
    <w:p>
      <w:pPr>
        <w:tabs>
          <w:tab w:val="left" w:pos="9639"/>
        </w:tabs>
        <w:spacing w:line="400" w:lineRule="exact"/>
        <w:ind w:firstLine="480" w:firstLineChars="200"/>
        <w:rPr>
          <w:rFonts w:hint="eastAsia" w:hAnsi="宋体"/>
          <w:sz w:val="24"/>
        </w:rPr>
      </w:pPr>
      <w:r>
        <w:rPr>
          <w:rFonts w:hint="eastAsia" w:hAnsi="宋体"/>
          <w:sz w:val="24"/>
        </w:rPr>
        <w:t>（4）成交候选供应商提供虚假材料；</w:t>
      </w:r>
    </w:p>
    <w:p>
      <w:pPr>
        <w:tabs>
          <w:tab w:val="left" w:pos="9639"/>
        </w:tabs>
        <w:spacing w:line="400" w:lineRule="exact"/>
        <w:ind w:firstLine="480" w:firstLineChars="200"/>
        <w:rPr>
          <w:rFonts w:hint="eastAsia" w:hAnsi="宋体"/>
          <w:sz w:val="24"/>
        </w:rPr>
      </w:pPr>
      <w:r>
        <w:rPr>
          <w:rFonts w:hint="eastAsia" w:hAnsi="宋体"/>
          <w:sz w:val="24"/>
        </w:rPr>
        <w:t>（5）成交候选供应商恶意串通。</w:t>
      </w:r>
    </w:p>
    <w:p>
      <w:pPr>
        <w:tabs>
          <w:tab w:val="left" w:pos="9639"/>
        </w:tabs>
        <w:spacing w:line="400" w:lineRule="exact"/>
        <w:ind w:firstLine="480" w:firstLineChars="200"/>
        <w:rPr>
          <w:rFonts w:hint="eastAsia" w:hAnsi="宋体"/>
          <w:sz w:val="24"/>
        </w:rPr>
      </w:pPr>
      <w:r>
        <w:rPr>
          <w:rFonts w:hint="eastAsia" w:hAnsi="宋体"/>
          <w:sz w:val="24"/>
        </w:rPr>
        <w:t>成交候选供应商有本条情形之一的，采购人可以确定后一位成交候选供应商为成交供应商，依次类推。无法确定成交供应商的，应当重新组织采购。</w:t>
      </w:r>
    </w:p>
    <w:p>
      <w:pPr>
        <w:pStyle w:val="4"/>
        <w:keepNext w:val="0"/>
        <w:keepLines w:val="0"/>
        <w:tabs>
          <w:tab w:val="left" w:pos="9639"/>
        </w:tabs>
        <w:spacing w:before="0" w:after="0" w:line="400" w:lineRule="exact"/>
        <w:ind w:firstLine="482" w:firstLineChars="200"/>
        <w:rPr>
          <w:rFonts w:hint="eastAsia" w:hAnsi="宋体"/>
          <w:sz w:val="24"/>
        </w:rPr>
      </w:pPr>
      <w:r>
        <w:rPr>
          <w:rFonts w:hint="eastAsia" w:hAnsi="宋体"/>
          <w:sz w:val="24"/>
        </w:rPr>
        <w:t>24.成交结果</w:t>
      </w:r>
    </w:p>
    <w:p>
      <w:pPr>
        <w:tabs>
          <w:tab w:val="left" w:pos="9639"/>
        </w:tabs>
        <w:spacing w:line="400" w:lineRule="exact"/>
        <w:ind w:firstLine="480" w:firstLineChars="200"/>
        <w:rPr>
          <w:rFonts w:hint="eastAsia" w:hAnsi="宋体"/>
          <w:sz w:val="24"/>
        </w:rPr>
      </w:pPr>
      <w:r>
        <w:rPr>
          <w:rFonts w:hint="eastAsia" w:hAnsi="宋体"/>
          <w:sz w:val="24"/>
        </w:rPr>
        <w:t>24.1采购人确定成交供应商后，将及时书面通知采购代理机构，发出成交通知书并发布成交结果公告。</w:t>
      </w:r>
    </w:p>
    <w:p>
      <w:pPr>
        <w:tabs>
          <w:tab w:val="left" w:pos="9639"/>
        </w:tabs>
        <w:spacing w:line="400" w:lineRule="exact"/>
        <w:ind w:firstLine="480" w:firstLineChars="200"/>
        <w:rPr>
          <w:rFonts w:hint="eastAsia" w:hAnsi="宋体"/>
          <w:sz w:val="24"/>
        </w:rPr>
      </w:pPr>
      <w:r>
        <w:rPr>
          <w:rFonts w:hint="eastAsia" w:hAnsi="宋体"/>
          <w:sz w:val="24"/>
        </w:rPr>
        <w:t>24.2成交供应商应当及时领取成交通知书。本项目需要交纳履约保证金的，成交供应商应当及时向采购人交纳。</w:t>
      </w:r>
    </w:p>
    <w:p>
      <w:pPr>
        <w:tabs>
          <w:tab w:val="left" w:pos="9639"/>
        </w:tabs>
        <w:spacing w:line="400" w:lineRule="exact"/>
        <w:ind w:firstLine="480" w:firstLineChars="200"/>
        <w:rPr>
          <w:rFonts w:hint="eastAsia" w:hAnsi="宋体"/>
          <w:sz w:val="24"/>
        </w:rPr>
      </w:pPr>
      <w:r>
        <w:rPr>
          <w:rFonts w:hint="eastAsia" w:hAnsi="宋体"/>
          <w:sz w:val="24"/>
        </w:rPr>
        <w:t>24.3成家供应商不能及时领取成交通知书，采购人或者采购代理机应当通过邮寄、快递等方式将项目成交通知书送达成交供应商。</w:t>
      </w:r>
    </w:p>
    <w:p>
      <w:pPr>
        <w:pStyle w:val="4"/>
        <w:keepNext w:val="0"/>
        <w:keepLines w:val="0"/>
        <w:tabs>
          <w:tab w:val="left" w:pos="9639"/>
        </w:tabs>
        <w:spacing w:before="0" w:after="0" w:line="400" w:lineRule="exact"/>
        <w:ind w:firstLine="482" w:firstLineChars="200"/>
        <w:rPr>
          <w:rFonts w:hint="eastAsia" w:hAnsi="宋体"/>
          <w:sz w:val="24"/>
        </w:rPr>
      </w:pPr>
      <w:r>
        <w:rPr>
          <w:rFonts w:hint="eastAsia" w:hAnsi="宋体"/>
          <w:sz w:val="24"/>
        </w:rPr>
        <w:t>25.成交通知书</w:t>
      </w:r>
    </w:p>
    <w:p>
      <w:pPr>
        <w:tabs>
          <w:tab w:val="left" w:pos="9639"/>
        </w:tabs>
        <w:spacing w:line="400" w:lineRule="exact"/>
        <w:ind w:firstLine="480" w:firstLineChars="200"/>
        <w:rPr>
          <w:rFonts w:hint="eastAsia" w:hAnsi="宋体"/>
          <w:sz w:val="24"/>
        </w:rPr>
      </w:pPr>
      <w:r>
        <w:rPr>
          <w:rFonts w:hint="eastAsia" w:hAnsi="宋体"/>
          <w:sz w:val="24"/>
        </w:rPr>
        <w:t>25.1成交通知书为签订政府采购合同的依据之一，是合同的有效组成部分。</w:t>
      </w:r>
    </w:p>
    <w:p>
      <w:pPr>
        <w:tabs>
          <w:tab w:val="left" w:pos="9639"/>
        </w:tabs>
        <w:spacing w:line="400" w:lineRule="exact"/>
        <w:ind w:firstLine="480" w:firstLineChars="200"/>
        <w:rPr>
          <w:rFonts w:hint="eastAsia" w:hAnsi="宋体"/>
          <w:sz w:val="24"/>
        </w:rPr>
      </w:pPr>
      <w:r>
        <w:rPr>
          <w:rFonts w:hint="eastAsia" w:hAnsi="宋体"/>
          <w:sz w:val="24"/>
        </w:rPr>
        <w:t>25.2成交通知书对采购人和成交供应商均具有法律效力。成交通知书发出后，采购人无正当理由改变成交结果，或者成交供应商无正当理由放弃成交的，将承担相应的法律责任。</w:t>
      </w:r>
    </w:p>
    <w:p>
      <w:pPr>
        <w:tabs>
          <w:tab w:val="left" w:pos="9639"/>
        </w:tabs>
        <w:spacing w:line="400" w:lineRule="exact"/>
        <w:ind w:firstLine="480" w:firstLineChars="200"/>
        <w:rPr>
          <w:rFonts w:hint="eastAsia" w:hAnsi="宋体"/>
          <w:sz w:val="24"/>
        </w:rPr>
      </w:pPr>
      <w:r>
        <w:rPr>
          <w:rFonts w:hint="eastAsia" w:hAnsi="宋体"/>
          <w:sz w:val="24"/>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pStyle w:val="2"/>
        <w:keepNext w:val="0"/>
        <w:keepLines w:val="0"/>
        <w:tabs>
          <w:tab w:val="left" w:pos="9639"/>
        </w:tabs>
        <w:spacing w:line="400" w:lineRule="exact"/>
        <w:jc w:val="center"/>
        <w:rPr>
          <w:rFonts w:hint="eastAsia"/>
        </w:rPr>
      </w:pPr>
      <w:r>
        <w:rPr>
          <w:rFonts w:hint="eastAsia"/>
        </w:rPr>
        <w:t>七、合同事项</w:t>
      </w:r>
    </w:p>
    <w:p>
      <w:pPr>
        <w:pStyle w:val="4"/>
        <w:keepNext w:val="0"/>
        <w:keepLines w:val="0"/>
        <w:tabs>
          <w:tab w:val="left" w:pos="9639"/>
        </w:tabs>
        <w:spacing w:before="0" w:after="0" w:line="400" w:lineRule="exact"/>
        <w:ind w:firstLine="482" w:firstLineChars="200"/>
        <w:rPr>
          <w:rFonts w:hint="eastAsia" w:hAnsi="宋体"/>
          <w:sz w:val="24"/>
        </w:rPr>
      </w:pPr>
      <w:bookmarkStart w:id="67" w:name="_Toc101250646"/>
      <w:bookmarkStart w:id="68" w:name="_Toc430773927"/>
      <w:bookmarkStart w:id="69" w:name="_Toc101174151"/>
      <w:bookmarkStart w:id="70" w:name="_Toc209847069"/>
      <w:bookmarkStart w:id="71" w:name="_Toc101338364"/>
      <w:r>
        <w:rPr>
          <w:rFonts w:hint="eastAsia" w:hAnsi="宋体"/>
          <w:sz w:val="24"/>
        </w:rPr>
        <w:t>26.签订合同</w:t>
      </w:r>
      <w:bookmarkEnd w:id="67"/>
      <w:bookmarkEnd w:id="68"/>
      <w:bookmarkEnd w:id="69"/>
      <w:bookmarkEnd w:id="70"/>
      <w:bookmarkEnd w:id="71"/>
    </w:p>
    <w:p>
      <w:pPr>
        <w:tabs>
          <w:tab w:val="left" w:pos="9639"/>
        </w:tabs>
        <w:spacing w:line="400" w:lineRule="exact"/>
        <w:ind w:firstLine="480" w:firstLineChars="200"/>
        <w:rPr>
          <w:rFonts w:hint="eastAsia" w:hAnsi="宋体"/>
          <w:sz w:val="24"/>
        </w:rPr>
      </w:pPr>
      <w:r>
        <w:rPr>
          <w:rFonts w:hint="eastAsia" w:hAnsi="宋体"/>
          <w:sz w:val="24"/>
        </w:rPr>
        <w:t>26.1 成交供应商应在成交通知书发出之日起三十日内与采购人签订采购合同。由于成交供应商的原因逾期未与采购人签订采购合同的，将视为放弃成交，取消其成交资格并将按相关规定进行处理。</w:t>
      </w:r>
    </w:p>
    <w:p>
      <w:pPr>
        <w:tabs>
          <w:tab w:val="left" w:pos="9639"/>
        </w:tabs>
        <w:spacing w:line="400" w:lineRule="exact"/>
        <w:ind w:firstLine="480" w:firstLineChars="200"/>
        <w:rPr>
          <w:rFonts w:hint="eastAsia" w:hAnsi="宋体"/>
          <w:sz w:val="24"/>
        </w:rPr>
      </w:pPr>
      <w:r>
        <w:rPr>
          <w:rFonts w:hint="eastAsia" w:hAnsi="宋体"/>
          <w:sz w:val="24"/>
        </w:rPr>
        <w:t>26.2 磋商文件、成交供应商的响应文件及双方确认的澄清文件等，均为有法律约束力的合同组成部分。</w:t>
      </w:r>
    </w:p>
    <w:p>
      <w:pPr>
        <w:tabs>
          <w:tab w:val="left" w:pos="9639"/>
        </w:tabs>
        <w:spacing w:line="400" w:lineRule="exact"/>
        <w:ind w:firstLine="480" w:firstLineChars="200"/>
        <w:rPr>
          <w:rFonts w:hint="eastAsia" w:hAnsi="宋体"/>
          <w:sz w:val="24"/>
        </w:rPr>
      </w:pPr>
      <w:r>
        <w:rPr>
          <w:rFonts w:hint="eastAsia" w:hAnsi="宋体"/>
          <w:sz w:val="24"/>
        </w:rPr>
        <w:t>26.3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tabs>
          <w:tab w:val="left" w:pos="9639"/>
        </w:tabs>
        <w:spacing w:line="400" w:lineRule="exact"/>
        <w:ind w:firstLine="480" w:firstLineChars="200"/>
        <w:rPr>
          <w:rFonts w:hint="eastAsia" w:hAnsi="宋体"/>
          <w:sz w:val="24"/>
        </w:rPr>
      </w:pPr>
      <w:r>
        <w:rPr>
          <w:rFonts w:hint="eastAsia" w:hAnsi="宋体"/>
          <w:sz w:val="24"/>
        </w:rPr>
        <w:t>26.4 成交供应商因不可抗力原因不能履行采购合同或放弃成交的，采购人可以与排在成交供应商之后第一位的成交候选人签订采购合同，以此类推。</w:t>
      </w:r>
    </w:p>
    <w:p>
      <w:pPr>
        <w:tabs>
          <w:tab w:val="left" w:pos="9639"/>
        </w:tabs>
        <w:spacing w:line="400" w:lineRule="exact"/>
        <w:ind w:firstLine="480" w:firstLineChars="200"/>
        <w:rPr>
          <w:rFonts w:hint="eastAsia" w:hAnsi="宋体"/>
          <w:sz w:val="24"/>
        </w:rPr>
      </w:pPr>
      <w:r>
        <w:rPr>
          <w:rFonts w:hint="eastAsia" w:hAnsi="宋体"/>
          <w:sz w:val="24"/>
        </w:rPr>
        <w:t>26.5竞争性磋商文件、成交供应商提交的响应文件、磋商中的最后报价、成交供应商承诺书、成交通知书等均称为有法律约束力的合同组成内容。</w:t>
      </w:r>
    </w:p>
    <w:p>
      <w:pPr>
        <w:tabs>
          <w:tab w:val="left" w:pos="9639"/>
        </w:tabs>
        <w:spacing w:line="400" w:lineRule="exact"/>
        <w:ind w:firstLine="482" w:firstLineChars="200"/>
        <w:rPr>
          <w:rFonts w:hint="eastAsia" w:hAnsi="宋体"/>
          <w:b/>
          <w:sz w:val="24"/>
        </w:rPr>
      </w:pPr>
      <w:r>
        <w:rPr>
          <w:rFonts w:hint="eastAsia" w:hAnsi="宋体"/>
          <w:b/>
          <w:sz w:val="24"/>
        </w:rPr>
        <w:t>27.合同分包（实质性要求）</w:t>
      </w:r>
    </w:p>
    <w:p>
      <w:pPr>
        <w:tabs>
          <w:tab w:val="left" w:pos="9639"/>
        </w:tabs>
        <w:spacing w:line="400" w:lineRule="exact"/>
        <w:ind w:firstLine="480" w:firstLineChars="200"/>
        <w:rPr>
          <w:rFonts w:hint="eastAsia" w:hAnsi="宋体"/>
          <w:sz w:val="24"/>
        </w:rPr>
      </w:pPr>
      <w:r>
        <w:rPr>
          <w:rFonts w:hint="eastAsia" w:hAnsi="宋体"/>
          <w:sz w:val="24"/>
        </w:rPr>
        <w:t>27.1 经采购人同意，成交供应商可以依法采取分包方式履行合同，但必须在响应文件中事前载明。这种要求应当在合同签订之前征得采购人同意，并且分包供应商履行的分包项目的品牌、规格型号及技术要求等，必须与成交的一致。</w:t>
      </w:r>
    </w:p>
    <w:p>
      <w:pPr>
        <w:tabs>
          <w:tab w:val="left" w:pos="9639"/>
        </w:tabs>
        <w:spacing w:line="400" w:lineRule="exact"/>
        <w:ind w:firstLine="480" w:firstLineChars="200"/>
        <w:rPr>
          <w:rFonts w:hint="eastAsia" w:hAnsi="宋体"/>
          <w:sz w:val="24"/>
        </w:rPr>
      </w:pPr>
      <w:r>
        <w:rPr>
          <w:rFonts w:hint="eastAsia" w:hAnsi="宋体"/>
          <w:sz w:val="24"/>
        </w:rPr>
        <w:t>分包履行合同的部分应当为采购项目的非主体、非关键性工作，不属于成交供应商的主要合同义务。</w:t>
      </w:r>
    </w:p>
    <w:p>
      <w:pPr>
        <w:tabs>
          <w:tab w:val="left" w:pos="9639"/>
        </w:tabs>
        <w:spacing w:line="400" w:lineRule="exact"/>
        <w:ind w:firstLine="480" w:firstLineChars="200"/>
        <w:rPr>
          <w:rFonts w:hint="eastAsia" w:hAnsi="宋体"/>
          <w:sz w:val="24"/>
        </w:rPr>
      </w:pPr>
      <w:r>
        <w:rPr>
          <w:rFonts w:hint="eastAsia" w:hAnsi="宋体"/>
          <w:sz w:val="24"/>
        </w:rPr>
        <w:t>27.2 采购合同实行分包履行的，成交供应商就采购项目和分包项目向采购人负责，分包供应商就分包项目承担责任。</w:t>
      </w:r>
    </w:p>
    <w:p>
      <w:pPr>
        <w:tabs>
          <w:tab w:val="left" w:pos="9639"/>
        </w:tabs>
        <w:spacing w:line="400" w:lineRule="exact"/>
        <w:ind w:firstLine="480" w:firstLineChars="200"/>
        <w:rPr>
          <w:rFonts w:hint="eastAsia" w:hAnsi="宋体"/>
          <w:sz w:val="24"/>
        </w:rPr>
      </w:pPr>
      <w:r>
        <w:rPr>
          <w:rFonts w:hint="eastAsia" w:hAnsi="宋体"/>
          <w:sz w:val="24"/>
        </w:rPr>
        <w:t>27.3 中小企业依据《政府采购促进中小企业发展暂行办法》（财库[20</w:t>
      </w:r>
      <w:r>
        <w:rPr>
          <w:rFonts w:hint="eastAsia" w:hAnsi="宋体"/>
          <w:sz w:val="24"/>
          <w:lang w:val="en-US" w:eastAsia="zh-CN"/>
        </w:rPr>
        <w:t>20</w:t>
      </w:r>
      <w:r>
        <w:rPr>
          <w:rFonts w:hint="eastAsia" w:hAnsi="宋体"/>
          <w:sz w:val="24"/>
        </w:rPr>
        <w:t>]</w:t>
      </w:r>
      <w:r>
        <w:rPr>
          <w:rFonts w:hint="eastAsia" w:hAnsi="宋体"/>
          <w:sz w:val="24"/>
          <w:lang w:val="en-US" w:eastAsia="zh-CN"/>
        </w:rPr>
        <w:t>46</w:t>
      </w:r>
      <w:r>
        <w:rPr>
          <w:rFonts w:hint="eastAsia" w:hAnsi="宋体"/>
          <w:sz w:val="24"/>
        </w:rPr>
        <w:t>号）规定的政策获取政府采购合同后，小型、微型企业不得分包或转包给大型、中型企业，中型企业不得分包或转包给大型企业。</w:t>
      </w:r>
    </w:p>
    <w:p>
      <w:pPr>
        <w:tabs>
          <w:tab w:val="left" w:pos="9639"/>
        </w:tabs>
        <w:spacing w:line="400" w:lineRule="exact"/>
        <w:ind w:firstLine="482" w:firstLineChars="200"/>
        <w:rPr>
          <w:rFonts w:hint="eastAsia" w:hAnsi="宋体"/>
          <w:b/>
          <w:sz w:val="24"/>
        </w:rPr>
      </w:pPr>
      <w:r>
        <w:rPr>
          <w:rFonts w:hint="eastAsia" w:hAnsi="宋体"/>
          <w:b/>
          <w:sz w:val="24"/>
        </w:rPr>
        <w:t>28.合同转包（实质性要求：本项目不允许转包）</w:t>
      </w:r>
    </w:p>
    <w:p>
      <w:pPr>
        <w:tabs>
          <w:tab w:val="left" w:pos="9639"/>
        </w:tabs>
        <w:spacing w:line="400" w:lineRule="exact"/>
        <w:ind w:firstLine="480" w:firstLineChars="200"/>
        <w:rPr>
          <w:rFonts w:hint="eastAsia" w:hAnsi="宋体"/>
          <w:sz w:val="24"/>
        </w:rPr>
      </w:pPr>
      <w:r>
        <w:rPr>
          <w:rFonts w:hint="eastAsia" w:hAnsi="宋体"/>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tabs>
          <w:tab w:val="left" w:pos="9639"/>
        </w:tabs>
        <w:spacing w:line="400" w:lineRule="exact"/>
        <w:ind w:firstLine="480" w:firstLineChars="200"/>
        <w:rPr>
          <w:rFonts w:hint="eastAsia" w:hAnsi="宋体"/>
          <w:sz w:val="24"/>
        </w:rPr>
      </w:pPr>
      <w:r>
        <w:rPr>
          <w:rFonts w:hint="eastAsia" w:hAnsi="宋体"/>
          <w:sz w:val="24"/>
        </w:rPr>
        <w:t>成交供应商转包的，视同拒绝履行政府采购合同义务，将依法追究法律责任。</w:t>
      </w:r>
    </w:p>
    <w:p>
      <w:pPr>
        <w:tabs>
          <w:tab w:val="left" w:pos="9639"/>
        </w:tabs>
        <w:spacing w:line="400" w:lineRule="exact"/>
        <w:ind w:firstLine="482" w:firstLineChars="200"/>
        <w:rPr>
          <w:rFonts w:hint="eastAsia" w:hAnsi="宋体"/>
          <w:b/>
          <w:sz w:val="24"/>
        </w:rPr>
      </w:pPr>
      <w:r>
        <w:rPr>
          <w:rFonts w:hint="eastAsia" w:hAnsi="宋体"/>
          <w:b/>
          <w:sz w:val="24"/>
        </w:rPr>
        <w:t>29.补充合同</w:t>
      </w:r>
    </w:p>
    <w:p>
      <w:pPr>
        <w:tabs>
          <w:tab w:val="left" w:pos="9639"/>
        </w:tabs>
        <w:spacing w:line="400" w:lineRule="exact"/>
        <w:ind w:firstLine="480" w:firstLineChars="200"/>
        <w:rPr>
          <w:rFonts w:hint="eastAsia" w:hAnsi="宋体"/>
          <w:sz w:val="24"/>
        </w:rPr>
      </w:pPr>
      <w:r>
        <w:rPr>
          <w:rFonts w:hint="eastAsia" w:hAnsi="宋体"/>
          <w:sz w:val="24"/>
        </w:rPr>
        <w:t xml:space="preserve">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tabs>
          <w:tab w:val="left" w:pos="9639"/>
        </w:tabs>
        <w:spacing w:line="400" w:lineRule="exact"/>
        <w:ind w:firstLine="482" w:firstLineChars="200"/>
        <w:rPr>
          <w:rFonts w:hint="eastAsia" w:hAnsi="宋体" w:eastAsia="宋体"/>
          <w:b/>
          <w:sz w:val="24"/>
          <w:lang w:eastAsia="zh-CN"/>
        </w:rPr>
      </w:pPr>
      <w:r>
        <w:rPr>
          <w:rFonts w:hint="eastAsia" w:hAnsi="宋体"/>
          <w:b/>
          <w:sz w:val="24"/>
        </w:rPr>
        <w:t>30.履约保证金</w:t>
      </w:r>
      <w:r>
        <w:rPr>
          <w:rFonts w:hint="eastAsia" w:hAnsi="宋体"/>
          <w:b/>
          <w:sz w:val="24"/>
          <w:lang w:val="en-US" w:eastAsia="zh-CN"/>
        </w:rPr>
        <w:t xml:space="preserve"> </w:t>
      </w:r>
    </w:p>
    <w:p>
      <w:pPr>
        <w:tabs>
          <w:tab w:val="left" w:pos="9639"/>
        </w:tabs>
        <w:spacing w:line="400" w:lineRule="exact"/>
        <w:ind w:firstLine="482" w:firstLineChars="200"/>
        <w:rPr>
          <w:rFonts w:hint="default" w:hAnsi="宋体"/>
          <w:b/>
          <w:sz w:val="24"/>
          <w:lang w:val="en-US" w:eastAsia="zh-CN"/>
        </w:rPr>
      </w:pPr>
      <w:r>
        <w:rPr>
          <w:rFonts w:hint="eastAsia" w:hAnsi="宋体"/>
          <w:b/>
          <w:sz w:val="24"/>
          <w:lang w:eastAsia="zh-CN"/>
        </w:rPr>
        <w:t>按供应商须知附表第</w:t>
      </w:r>
      <w:r>
        <w:rPr>
          <w:rFonts w:hint="eastAsia" w:hAnsi="宋体"/>
          <w:b/>
          <w:sz w:val="24"/>
          <w:lang w:val="en-US" w:eastAsia="zh-CN"/>
        </w:rPr>
        <w:t>6条执行。</w:t>
      </w:r>
    </w:p>
    <w:p>
      <w:pPr>
        <w:tabs>
          <w:tab w:val="left" w:pos="9639"/>
        </w:tabs>
        <w:spacing w:line="400" w:lineRule="exact"/>
        <w:ind w:firstLine="482" w:firstLineChars="200"/>
        <w:rPr>
          <w:rFonts w:hint="eastAsia" w:hAnsi="宋体"/>
          <w:b/>
          <w:sz w:val="24"/>
        </w:rPr>
      </w:pPr>
      <w:r>
        <w:rPr>
          <w:rFonts w:hint="eastAsia" w:hAnsi="宋体"/>
          <w:b/>
          <w:sz w:val="24"/>
        </w:rPr>
        <w:t>31.履行合同</w:t>
      </w:r>
    </w:p>
    <w:p>
      <w:pPr>
        <w:tabs>
          <w:tab w:val="left" w:pos="9639"/>
        </w:tabs>
        <w:spacing w:line="400" w:lineRule="exact"/>
        <w:ind w:firstLine="480" w:firstLineChars="200"/>
        <w:rPr>
          <w:rFonts w:hint="eastAsia" w:hAnsi="宋体"/>
          <w:sz w:val="24"/>
        </w:rPr>
      </w:pPr>
      <w:r>
        <w:rPr>
          <w:rFonts w:hint="eastAsia" w:hAnsi="宋体"/>
          <w:sz w:val="24"/>
        </w:rPr>
        <w:t>31.1 成交供应商与采购人签订合同后，合同双方应严格执行合同条款，履行合同规定的义务，保证合同的顺利完成。</w:t>
      </w:r>
    </w:p>
    <w:p>
      <w:pPr>
        <w:tabs>
          <w:tab w:val="left" w:pos="9639"/>
        </w:tabs>
        <w:spacing w:line="400" w:lineRule="exact"/>
        <w:ind w:firstLine="480" w:firstLineChars="200"/>
        <w:rPr>
          <w:rFonts w:hint="eastAsia" w:hAnsi="宋体"/>
          <w:sz w:val="24"/>
        </w:rPr>
      </w:pPr>
      <w:r>
        <w:rPr>
          <w:rFonts w:hint="eastAsia" w:hAnsi="宋体"/>
          <w:sz w:val="24"/>
        </w:rPr>
        <w:t>31.2 在合同履行过程中，如发生合同纠纷，合同双方应按照《合同法》的有关规定进行处理。</w:t>
      </w:r>
    </w:p>
    <w:p>
      <w:pPr>
        <w:tabs>
          <w:tab w:val="left" w:pos="9639"/>
        </w:tabs>
        <w:spacing w:line="400" w:lineRule="exact"/>
        <w:ind w:firstLine="482" w:firstLineChars="200"/>
        <w:rPr>
          <w:rFonts w:hint="eastAsia" w:hAnsi="宋体"/>
          <w:b/>
          <w:sz w:val="24"/>
        </w:rPr>
      </w:pPr>
      <w:r>
        <w:rPr>
          <w:rFonts w:hint="eastAsia" w:hAnsi="宋体"/>
          <w:b/>
          <w:sz w:val="24"/>
        </w:rPr>
        <w:t>32.验收</w:t>
      </w:r>
    </w:p>
    <w:p>
      <w:pPr>
        <w:tabs>
          <w:tab w:val="left" w:pos="9639"/>
        </w:tabs>
        <w:spacing w:line="400" w:lineRule="exact"/>
        <w:ind w:firstLine="480" w:firstLineChars="200"/>
        <w:rPr>
          <w:rFonts w:hint="eastAsia" w:hAnsi="宋体"/>
          <w:sz w:val="24"/>
        </w:rPr>
      </w:pPr>
      <w:r>
        <w:rPr>
          <w:rFonts w:hint="eastAsia" w:hAnsi="宋体"/>
          <w:sz w:val="24"/>
        </w:rPr>
        <w:t>32.1本项目采购人及其委托的采购代理机构将严格按照政府采购相关法律法规以及《政府采购项目需求论证和履约验收管理办法》的要求进行验收。</w:t>
      </w:r>
    </w:p>
    <w:p>
      <w:pPr>
        <w:tabs>
          <w:tab w:val="left" w:pos="9639"/>
        </w:tabs>
        <w:spacing w:line="400" w:lineRule="exact"/>
        <w:ind w:firstLine="482" w:firstLineChars="200"/>
        <w:rPr>
          <w:rFonts w:hint="eastAsia" w:hAnsi="宋体"/>
          <w:b/>
          <w:sz w:val="24"/>
        </w:rPr>
      </w:pPr>
      <w:r>
        <w:rPr>
          <w:rFonts w:hint="eastAsia" w:hAnsi="宋体"/>
          <w:b/>
          <w:sz w:val="24"/>
        </w:rPr>
        <w:t>33.资金支付</w:t>
      </w:r>
    </w:p>
    <w:p>
      <w:pPr>
        <w:tabs>
          <w:tab w:val="left" w:pos="9639"/>
        </w:tabs>
        <w:spacing w:line="400" w:lineRule="exact"/>
        <w:ind w:firstLine="480" w:firstLineChars="200"/>
        <w:rPr>
          <w:rFonts w:hint="eastAsia" w:hAnsi="宋体"/>
          <w:sz w:val="24"/>
        </w:rPr>
      </w:pPr>
      <w:r>
        <w:rPr>
          <w:rFonts w:hint="eastAsia" w:hAnsi="宋体"/>
          <w:sz w:val="24"/>
        </w:rPr>
        <w:t>采购人将按照政府采购合同规定，及时向成交供应商支付采购资金。</w:t>
      </w:r>
    </w:p>
    <w:p>
      <w:pPr>
        <w:pStyle w:val="2"/>
        <w:keepNext w:val="0"/>
        <w:keepLines w:val="0"/>
        <w:tabs>
          <w:tab w:val="left" w:pos="9639"/>
        </w:tabs>
        <w:spacing w:before="0" w:after="0" w:line="400" w:lineRule="exact"/>
        <w:jc w:val="center"/>
        <w:rPr>
          <w:rFonts w:hint="eastAsia"/>
        </w:rPr>
      </w:pPr>
      <w:r>
        <w:rPr>
          <w:rFonts w:hint="eastAsia"/>
        </w:rPr>
        <w:t>八、磋商纪律要求</w:t>
      </w:r>
    </w:p>
    <w:p>
      <w:pPr>
        <w:tabs>
          <w:tab w:val="left" w:pos="851"/>
          <w:tab w:val="left" w:pos="9639"/>
        </w:tabs>
        <w:spacing w:line="360" w:lineRule="auto"/>
        <w:ind w:firstLine="482" w:firstLineChars="200"/>
        <w:rPr>
          <w:rFonts w:hint="eastAsia" w:hAnsi="宋体"/>
          <w:b/>
          <w:sz w:val="24"/>
        </w:rPr>
      </w:pPr>
      <w:r>
        <w:rPr>
          <w:rFonts w:hint="eastAsia" w:hAnsi="宋体"/>
          <w:b/>
          <w:sz w:val="24"/>
        </w:rPr>
        <w:t>34.供应商不得具有的情形</w:t>
      </w:r>
    </w:p>
    <w:p>
      <w:pPr>
        <w:tabs>
          <w:tab w:val="left" w:pos="851"/>
          <w:tab w:val="left" w:pos="9639"/>
        </w:tabs>
        <w:spacing w:line="360" w:lineRule="auto"/>
        <w:ind w:firstLine="480" w:firstLineChars="200"/>
        <w:rPr>
          <w:rFonts w:hint="eastAsia" w:hAnsi="宋体"/>
          <w:sz w:val="24"/>
        </w:rPr>
      </w:pPr>
      <w:r>
        <w:rPr>
          <w:rFonts w:hint="eastAsia" w:hAnsi="宋体"/>
          <w:sz w:val="24"/>
        </w:rPr>
        <w:t>供应商参加本项目磋商不得有下列情形：</w:t>
      </w:r>
    </w:p>
    <w:p>
      <w:pPr>
        <w:tabs>
          <w:tab w:val="left" w:pos="851"/>
          <w:tab w:val="left" w:pos="9639"/>
        </w:tabs>
        <w:spacing w:line="360" w:lineRule="auto"/>
        <w:ind w:firstLine="480" w:firstLineChars="200"/>
        <w:rPr>
          <w:rFonts w:hint="eastAsia" w:hAnsi="宋体"/>
          <w:sz w:val="24"/>
        </w:rPr>
      </w:pPr>
      <w:r>
        <w:rPr>
          <w:rFonts w:hint="eastAsia" w:hAnsi="宋体"/>
          <w:sz w:val="24"/>
        </w:rPr>
        <w:t>（1）提供虚假材料谋取成交；</w:t>
      </w:r>
    </w:p>
    <w:p>
      <w:pPr>
        <w:tabs>
          <w:tab w:val="left" w:pos="851"/>
          <w:tab w:val="left" w:pos="9639"/>
        </w:tabs>
        <w:spacing w:line="360" w:lineRule="auto"/>
        <w:ind w:firstLine="480" w:firstLineChars="200"/>
        <w:rPr>
          <w:rFonts w:hint="eastAsia" w:hAnsi="宋体"/>
          <w:sz w:val="24"/>
        </w:rPr>
      </w:pPr>
      <w:r>
        <w:rPr>
          <w:rFonts w:hint="eastAsia" w:hAnsi="宋体"/>
          <w:sz w:val="24"/>
        </w:rPr>
        <w:t>（2）采取不正当手段诋毁、排挤其他供应商；</w:t>
      </w:r>
    </w:p>
    <w:p>
      <w:pPr>
        <w:tabs>
          <w:tab w:val="left" w:pos="851"/>
          <w:tab w:val="left" w:pos="9639"/>
        </w:tabs>
        <w:spacing w:line="360" w:lineRule="auto"/>
        <w:ind w:firstLine="480" w:firstLineChars="200"/>
        <w:rPr>
          <w:rFonts w:hint="eastAsia" w:hAnsi="宋体"/>
          <w:sz w:val="24"/>
        </w:rPr>
      </w:pPr>
      <w:r>
        <w:rPr>
          <w:rFonts w:hint="eastAsia" w:hAnsi="宋体"/>
          <w:sz w:val="24"/>
        </w:rPr>
        <w:t>（3）与采购人、采购代理机构、或其他供应商恶意串通；</w:t>
      </w:r>
    </w:p>
    <w:p>
      <w:pPr>
        <w:tabs>
          <w:tab w:val="left" w:pos="851"/>
          <w:tab w:val="left" w:pos="9639"/>
        </w:tabs>
        <w:spacing w:line="360" w:lineRule="auto"/>
        <w:ind w:firstLine="480" w:firstLineChars="200"/>
        <w:rPr>
          <w:rFonts w:hint="eastAsia" w:hAnsi="宋体"/>
          <w:sz w:val="24"/>
        </w:rPr>
      </w:pPr>
      <w:r>
        <w:rPr>
          <w:rFonts w:hint="eastAsia" w:hAnsi="宋体"/>
          <w:sz w:val="24"/>
        </w:rPr>
        <w:t>（4）向采购人、采购代理机构、磋商小组成员行贿或者提供其他不正当利益；</w:t>
      </w:r>
    </w:p>
    <w:p>
      <w:pPr>
        <w:tabs>
          <w:tab w:val="left" w:pos="851"/>
          <w:tab w:val="left" w:pos="9639"/>
        </w:tabs>
        <w:spacing w:line="360" w:lineRule="auto"/>
        <w:ind w:firstLine="480" w:firstLineChars="200"/>
        <w:rPr>
          <w:rFonts w:hint="eastAsia" w:hAnsi="宋体"/>
          <w:sz w:val="24"/>
        </w:rPr>
      </w:pPr>
      <w:r>
        <w:rPr>
          <w:rFonts w:hint="eastAsia" w:hAnsi="宋体"/>
          <w:sz w:val="24"/>
        </w:rPr>
        <w:t>（5）在磋商过程中与采购人、采购代理机构进行协商；</w:t>
      </w:r>
    </w:p>
    <w:p>
      <w:pPr>
        <w:tabs>
          <w:tab w:val="left" w:pos="851"/>
          <w:tab w:val="left" w:pos="9639"/>
        </w:tabs>
        <w:spacing w:line="360" w:lineRule="auto"/>
        <w:ind w:firstLine="480" w:firstLineChars="200"/>
        <w:rPr>
          <w:rFonts w:hint="eastAsia" w:hAnsi="宋体"/>
          <w:sz w:val="24"/>
        </w:rPr>
      </w:pPr>
      <w:r>
        <w:rPr>
          <w:rFonts w:hint="eastAsia" w:hAnsi="宋体"/>
          <w:sz w:val="24"/>
        </w:rPr>
        <w:t>（6）成交后无正当理由拒不与采购人签订政府采购合同；</w:t>
      </w:r>
    </w:p>
    <w:p>
      <w:pPr>
        <w:tabs>
          <w:tab w:val="left" w:pos="851"/>
          <w:tab w:val="left" w:pos="9639"/>
        </w:tabs>
        <w:spacing w:line="360" w:lineRule="auto"/>
        <w:ind w:firstLine="480" w:firstLineChars="200"/>
        <w:rPr>
          <w:rFonts w:hint="eastAsia" w:hAnsi="宋体"/>
          <w:sz w:val="24"/>
        </w:rPr>
      </w:pPr>
      <w:r>
        <w:rPr>
          <w:rFonts w:hint="eastAsia" w:hAnsi="宋体"/>
          <w:sz w:val="24"/>
        </w:rPr>
        <w:t>（7）未按照磋商文件确定的事项签订政府采购合同；</w:t>
      </w:r>
    </w:p>
    <w:p>
      <w:pPr>
        <w:tabs>
          <w:tab w:val="left" w:pos="851"/>
          <w:tab w:val="left" w:pos="9639"/>
        </w:tabs>
        <w:spacing w:line="360" w:lineRule="auto"/>
        <w:ind w:firstLine="480" w:firstLineChars="200"/>
        <w:rPr>
          <w:rFonts w:hint="eastAsia" w:hAnsi="宋体"/>
          <w:sz w:val="24"/>
        </w:rPr>
      </w:pPr>
      <w:r>
        <w:rPr>
          <w:rFonts w:hint="eastAsia" w:hAnsi="宋体"/>
          <w:sz w:val="24"/>
        </w:rPr>
        <w:t>（8）将政府采购合同转包或者违规分包；</w:t>
      </w:r>
    </w:p>
    <w:p>
      <w:pPr>
        <w:tabs>
          <w:tab w:val="left" w:pos="851"/>
          <w:tab w:val="left" w:pos="9639"/>
        </w:tabs>
        <w:spacing w:line="360" w:lineRule="auto"/>
        <w:ind w:firstLine="480" w:firstLineChars="200"/>
        <w:rPr>
          <w:rFonts w:hint="eastAsia" w:hAnsi="宋体"/>
          <w:sz w:val="24"/>
        </w:rPr>
      </w:pPr>
      <w:r>
        <w:rPr>
          <w:rFonts w:hint="eastAsia" w:hAnsi="宋体"/>
          <w:sz w:val="24"/>
        </w:rPr>
        <w:t>（9）提供假冒伪劣产品；</w:t>
      </w:r>
    </w:p>
    <w:p>
      <w:pPr>
        <w:tabs>
          <w:tab w:val="left" w:pos="851"/>
          <w:tab w:val="left" w:pos="9639"/>
        </w:tabs>
        <w:spacing w:line="360" w:lineRule="auto"/>
        <w:ind w:firstLine="480" w:firstLineChars="200"/>
        <w:rPr>
          <w:rFonts w:hint="eastAsia" w:hAnsi="宋体"/>
          <w:sz w:val="24"/>
        </w:rPr>
      </w:pPr>
      <w:r>
        <w:rPr>
          <w:rFonts w:hint="eastAsia" w:hAnsi="宋体"/>
          <w:sz w:val="24"/>
        </w:rPr>
        <w:t>（10）擅自变更、中止或者终止政府采购合同；</w:t>
      </w:r>
    </w:p>
    <w:p>
      <w:pPr>
        <w:tabs>
          <w:tab w:val="left" w:pos="851"/>
          <w:tab w:val="left" w:pos="9639"/>
        </w:tabs>
        <w:spacing w:line="360" w:lineRule="auto"/>
        <w:ind w:firstLine="480" w:firstLineChars="200"/>
        <w:rPr>
          <w:rFonts w:hint="eastAsia" w:hAnsi="宋体"/>
          <w:sz w:val="24"/>
        </w:rPr>
      </w:pPr>
      <w:r>
        <w:rPr>
          <w:rFonts w:hint="eastAsia" w:hAnsi="宋体"/>
          <w:sz w:val="24"/>
        </w:rPr>
        <w:t>（11）拒绝有关部门的监督检查或者向监督检查部门提供虚假情况；</w:t>
      </w:r>
    </w:p>
    <w:p>
      <w:pPr>
        <w:tabs>
          <w:tab w:val="left" w:pos="851"/>
          <w:tab w:val="left" w:pos="9639"/>
        </w:tabs>
        <w:spacing w:line="360" w:lineRule="auto"/>
        <w:ind w:firstLine="480" w:firstLineChars="200"/>
        <w:rPr>
          <w:rFonts w:hint="eastAsia" w:hAnsi="宋体"/>
          <w:sz w:val="24"/>
        </w:rPr>
      </w:pPr>
      <w:r>
        <w:rPr>
          <w:rFonts w:hint="eastAsia" w:hAnsi="宋体"/>
          <w:sz w:val="24"/>
        </w:rPr>
        <w:t>（12）法律法规规定的其他情形。</w:t>
      </w:r>
    </w:p>
    <w:p>
      <w:pPr>
        <w:tabs>
          <w:tab w:val="left" w:pos="851"/>
          <w:tab w:val="left" w:pos="9639"/>
        </w:tabs>
        <w:spacing w:line="360" w:lineRule="auto"/>
        <w:ind w:firstLine="480" w:firstLineChars="200"/>
        <w:rPr>
          <w:rFonts w:hint="eastAsia" w:hAnsi="宋体"/>
          <w:sz w:val="24"/>
        </w:rPr>
      </w:pPr>
      <w:r>
        <w:rPr>
          <w:rFonts w:hint="eastAsia" w:hAnsi="宋体"/>
          <w:sz w:val="24"/>
        </w:rPr>
        <w:t>供应商有上述情形的，按照规定追究法律责任，具备（1）-（10）条情形之一的，同时将取消被确认为成交供应商的资格或者认定成交无效。</w:t>
      </w:r>
    </w:p>
    <w:p>
      <w:pPr>
        <w:pStyle w:val="2"/>
        <w:keepNext w:val="0"/>
        <w:keepLines w:val="0"/>
        <w:tabs>
          <w:tab w:val="left" w:pos="9639"/>
        </w:tabs>
        <w:spacing w:before="0" w:after="0" w:line="400" w:lineRule="exact"/>
        <w:jc w:val="center"/>
        <w:rPr>
          <w:rFonts w:hint="eastAsia"/>
          <w:sz w:val="32"/>
        </w:rPr>
      </w:pPr>
      <w:r>
        <w:rPr>
          <w:rFonts w:hint="eastAsia"/>
          <w:sz w:val="32"/>
        </w:rPr>
        <w:t>九、询问、质疑和投诉</w:t>
      </w:r>
    </w:p>
    <w:p>
      <w:pPr>
        <w:tabs>
          <w:tab w:val="left" w:pos="851"/>
          <w:tab w:val="left" w:pos="9639"/>
        </w:tabs>
        <w:spacing w:line="360" w:lineRule="auto"/>
        <w:ind w:firstLine="495"/>
        <w:rPr>
          <w:rFonts w:hint="eastAsia" w:hAnsi="宋体"/>
          <w:sz w:val="24"/>
        </w:rPr>
      </w:pPr>
      <w:r>
        <w:rPr>
          <w:rFonts w:hint="eastAsia" w:hAnsi="宋体"/>
          <w:sz w:val="24"/>
        </w:rPr>
        <w:t>35.询问、质疑、投诉的接收和处理严格按照《中华人民共和国政府采购法》、《中华人民共和国政府采购法实施条例》、《财政部关于加强政府采购供应商投诉受理审查工作的通知》、《政府采购质疑和投诉办法》94号令和财政部的有关规定办理。</w:t>
      </w:r>
    </w:p>
    <w:p>
      <w:pPr>
        <w:pStyle w:val="2"/>
        <w:keepNext w:val="0"/>
        <w:keepLines w:val="0"/>
        <w:tabs>
          <w:tab w:val="left" w:pos="9639"/>
        </w:tabs>
        <w:spacing w:before="0" w:after="0" w:line="400" w:lineRule="exact"/>
        <w:jc w:val="center"/>
        <w:rPr>
          <w:rFonts w:hint="eastAsia"/>
          <w:sz w:val="32"/>
        </w:rPr>
      </w:pPr>
      <w:r>
        <w:rPr>
          <w:rFonts w:hint="eastAsia"/>
          <w:sz w:val="32"/>
        </w:rPr>
        <w:t>十、其  他</w:t>
      </w:r>
    </w:p>
    <w:p>
      <w:pPr>
        <w:tabs>
          <w:tab w:val="left" w:pos="851"/>
          <w:tab w:val="left" w:pos="9639"/>
        </w:tabs>
        <w:spacing w:line="360" w:lineRule="auto"/>
        <w:rPr>
          <w:rFonts w:hint="eastAsia" w:hAnsi="宋体"/>
          <w:sz w:val="24"/>
        </w:rPr>
      </w:pPr>
      <w:r>
        <w:rPr>
          <w:rFonts w:hint="eastAsia" w:hAnsi="宋体"/>
          <w:sz w:val="24"/>
        </w:rPr>
        <w:t xml:space="preserve">    36.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tabs>
          <w:tab w:val="left" w:pos="9639"/>
        </w:tabs>
        <w:spacing w:line="400" w:lineRule="exact"/>
        <w:ind w:firstLine="480" w:firstLineChars="200"/>
        <w:jc w:val="left"/>
        <w:rPr>
          <w:rFonts w:hint="eastAsia"/>
        </w:rPr>
      </w:pPr>
      <w:r>
        <w:rPr>
          <w:rFonts w:hint="eastAsia" w:hAnsi="宋体"/>
          <w:sz w:val="24"/>
        </w:rPr>
        <w:t>37.</w:t>
      </w:r>
      <w:r>
        <w:rPr>
          <w:rFonts w:hint="eastAsia" w:hAnsi="宋体"/>
          <w:b/>
          <w:sz w:val="24"/>
        </w:rPr>
        <w:t>（实质性要求）</w:t>
      </w:r>
      <w:r>
        <w:rPr>
          <w:rFonts w:hAnsi="宋体"/>
          <w:sz w:val="24"/>
        </w:rPr>
        <w:t>国家</w:t>
      </w:r>
      <w:r>
        <w:rPr>
          <w:rFonts w:hint="eastAsia" w:hAnsi="宋体"/>
          <w:sz w:val="24"/>
        </w:rPr>
        <w:t>或行业主管部门</w:t>
      </w:r>
      <w:r>
        <w:rPr>
          <w:rFonts w:hAnsi="宋体"/>
          <w:sz w:val="24"/>
        </w:rPr>
        <w:t>对</w:t>
      </w:r>
      <w:r>
        <w:rPr>
          <w:rFonts w:hint="eastAsia" w:hAnsi="宋体"/>
          <w:sz w:val="24"/>
        </w:rPr>
        <w:t>供应商和采购产品的</w:t>
      </w:r>
      <w:r>
        <w:rPr>
          <w:rFonts w:hAnsi="宋体"/>
          <w:sz w:val="24"/>
        </w:rPr>
        <w:t>技术</w:t>
      </w:r>
      <w:r>
        <w:rPr>
          <w:rFonts w:hint="eastAsia" w:hAnsi="宋体"/>
          <w:sz w:val="24"/>
        </w:rPr>
        <w:t>标准、</w:t>
      </w:r>
      <w:r>
        <w:rPr>
          <w:rFonts w:hAnsi="宋体"/>
          <w:sz w:val="24"/>
        </w:rPr>
        <w:t>质量</w:t>
      </w:r>
      <w:r>
        <w:rPr>
          <w:rFonts w:hint="eastAsia" w:hAnsi="宋体"/>
          <w:sz w:val="24"/>
        </w:rPr>
        <w:t>标准和资格资质条件</w:t>
      </w:r>
      <w:r>
        <w:rPr>
          <w:rFonts w:hAnsi="宋体"/>
          <w:sz w:val="24"/>
        </w:rPr>
        <w:t>等有</w:t>
      </w:r>
      <w:r>
        <w:rPr>
          <w:rFonts w:hint="eastAsia" w:hAnsi="宋体"/>
          <w:sz w:val="24"/>
        </w:rPr>
        <w:t>强制性规定</w:t>
      </w:r>
      <w:r>
        <w:rPr>
          <w:rFonts w:hAnsi="宋体"/>
          <w:sz w:val="24"/>
        </w:rPr>
        <w:t>的</w:t>
      </w:r>
      <w:r>
        <w:rPr>
          <w:rFonts w:hint="eastAsia" w:hAnsi="宋体"/>
          <w:sz w:val="24"/>
        </w:rPr>
        <w:t>，必须符合其要求。</w:t>
      </w:r>
    </w:p>
    <w:p>
      <w:pPr>
        <w:pStyle w:val="3"/>
        <w:tabs>
          <w:tab w:val="left" w:pos="9639"/>
        </w:tabs>
        <w:jc w:val="center"/>
        <w:rPr>
          <w:rFonts w:hint="eastAsia"/>
        </w:rPr>
      </w:pPr>
      <w:r>
        <w:br w:type="page"/>
      </w:r>
      <w:bookmarkStart w:id="72" w:name="_Toc511386822"/>
      <w:bookmarkStart w:id="73" w:name="_Toc509823113"/>
      <w:r>
        <w:rPr>
          <w:rFonts w:hint="eastAsia"/>
        </w:rPr>
        <w:t>第三章  供应商资格条件要求</w:t>
      </w:r>
      <w:bookmarkEnd w:id="72"/>
      <w:bookmarkEnd w:id="73"/>
    </w:p>
    <w:p>
      <w:pPr>
        <w:pStyle w:val="8"/>
        <w:spacing w:line="360" w:lineRule="auto"/>
        <w:rPr>
          <w:rFonts w:hint="eastAsia"/>
          <w:b/>
          <w:bCs/>
          <w:sz w:val="30"/>
          <w:szCs w:val="30"/>
        </w:rPr>
      </w:pPr>
      <w:r>
        <w:rPr>
          <w:rFonts w:hint="eastAsia"/>
          <w:b/>
          <w:bCs/>
          <w:sz w:val="30"/>
          <w:szCs w:val="30"/>
        </w:rPr>
        <w:t>一、供应商资格、资质性及其他类似效力要求。</w:t>
      </w:r>
    </w:p>
    <w:p>
      <w:pPr>
        <w:spacing w:line="360" w:lineRule="auto"/>
        <w:ind w:firstLine="482" w:firstLineChars="200"/>
        <w:rPr>
          <w:rFonts w:hint="eastAsia" w:ascii="宋体" w:hAnsi="宋体" w:eastAsia="宋体" w:cs="宋体"/>
          <w:b/>
          <w:bCs/>
          <w:color w:val="auto"/>
          <w:kern w:val="2"/>
          <w:sz w:val="24"/>
          <w:szCs w:val="24"/>
          <w:lang w:eastAsia="zh-CN"/>
        </w:rPr>
      </w:pPr>
      <w:r>
        <w:rPr>
          <w:rFonts w:hint="eastAsia" w:ascii="宋体" w:hAnsi="宋体" w:eastAsia="宋体" w:cs="宋体"/>
          <w:b/>
          <w:bCs/>
          <w:color w:val="auto"/>
          <w:kern w:val="2"/>
          <w:sz w:val="24"/>
          <w:szCs w:val="24"/>
          <w:lang w:eastAsia="zh-CN"/>
        </w:rPr>
        <w:t>（一）符合《中华人民共和国政府采购法》第二十二条规定的条件：</w:t>
      </w:r>
    </w:p>
    <w:p>
      <w:pPr>
        <w:spacing w:line="360" w:lineRule="auto"/>
        <w:ind w:firstLine="560"/>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1.具有独立承担民事责任的能力；</w:t>
      </w:r>
    </w:p>
    <w:p>
      <w:pPr>
        <w:spacing w:line="360" w:lineRule="auto"/>
        <w:ind w:firstLine="560"/>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2.具有良好的商业信誉和健全的财务会计制度；</w:t>
      </w:r>
    </w:p>
    <w:p>
      <w:pPr>
        <w:spacing w:line="360" w:lineRule="auto"/>
        <w:ind w:firstLine="560"/>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3.具有履行合同所必须的设备和专业技术能力；</w:t>
      </w:r>
    </w:p>
    <w:p>
      <w:pPr>
        <w:spacing w:line="360" w:lineRule="auto"/>
        <w:ind w:firstLine="560"/>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4.具有依法缴纳税收和社会保障资金的良好记录；</w:t>
      </w:r>
    </w:p>
    <w:p>
      <w:pPr>
        <w:spacing w:line="360" w:lineRule="auto"/>
        <w:ind w:firstLine="560"/>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5.参加本次政府采购活动前三年内，在经营活动中没有重大违法记录；</w:t>
      </w:r>
    </w:p>
    <w:p>
      <w:pPr>
        <w:spacing w:line="360" w:lineRule="auto"/>
        <w:ind w:firstLine="560"/>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6.法律、行政法规规定的其他条件；</w:t>
      </w:r>
    </w:p>
    <w:p>
      <w:pPr>
        <w:spacing w:line="360" w:lineRule="auto"/>
        <w:ind w:firstLine="560"/>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7.根据采购项目提出的特殊要求：本项目不接受联合体。</w:t>
      </w:r>
    </w:p>
    <w:p>
      <w:pPr>
        <w:pStyle w:val="59"/>
        <w:tabs>
          <w:tab w:val="left" w:pos="9639"/>
        </w:tabs>
        <w:spacing w:line="360" w:lineRule="auto"/>
        <w:ind w:firstLine="602" w:firstLineChars="250"/>
        <w:rPr>
          <w:rFonts w:hint="eastAsia"/>
          <w:b/>
          <w:bCs/>
          <w:sz w:val="24"/>
        </w:rPr>
      </w:pPr>
      <w:r>
        <w:rPr>
          <w:rFonts w:hint="eastAsia"/>
          <w:b/>
          <w:bCs/>
          <w:sz w:val="24"/>
        </w:rPr>
        <w:t>（二）采购人根据采购项目提出的特殊条件:</w:t>
      </w:r>
    </w:p>
    <w:p>
      <w:pPr>
        <w:pStyle w:val="59"/>
        <w:tabs>
          <w:tab w:val="left" w:pos="9639"/>
        </w:tabs>
        <w:ind w:firstLine="600" w:firstLineChars="250"/>
        <w:rPr>
          <w:rFonts w:hint="eastAsia" w:ascii="宋体" w:hAnsi="宋体" w:eastAsia="宋体" w:cs="宋体"/>
          <w:sz w:val="24"/>
        </w:rPr>
      </w:pPr>
      <w:bookmarkStart w:id="74" w:name="_Toc511386823"/>
      <w:bookmarkStart w:id="75" w:name="_Toc509823114"/>
      <w:r>
        <w:rPr>
          <w:rFonts w:hint="eastAsia" w:ascii="宋体" w:hAnsi="宋体" w:eastAsia="宋体" w:cs="宋体"/>
          <w:sz w:val="24"/>
        </w:rPr>
        <w:t>1、供应商不得为“信用中国”网站(www.creditchina.gov.cn)中列入失信被执行人、重大税收违法案件和政府采购严重违法失信当事人名单的供应商，不得为中国政府采购网(www.ccgp.gov.cn)政府采购严重违法失信行为记录名单中被财政部门禁止参加政府采购活动的供应商(处罚决定规定的时间和地域范围内)；（投标文件中可不提供相关资料）</w:t>
      </w:r>
    </w:p>
    <w:p>
      <w:pPr>
        <w:pStyle w:val="59"/>
        <w:tabs>
          <w:tab w:val="left" w:pos="9639"/>
        </w:tabs>
        <w:ind w:firstLine="600" w:firstLineChars="250"/>
        <w:rPr>
          <w:rFonts w:hint="eastAsia" w:ascii="宋体" w:hAnsi="宋体" w:eastAsia="宋体" w:cs="宋体"/>
          <w:sz w:val="24"/>
        </w:rPr>
      </w:pPr>
      <w:r>
        <w:rPr>
          <w:rFonts w:hint="eastAsia" w:ascii="宋体" w:hAnsi="宋体" w:eastAsia="宋体" w:cs="宋体"/>
          <w:sz w:val="24"/>
        </w:rPr>
        <w:t>2、供应商不得为“中国政府采购网”曝光台被曝光供应商。（投标文件中可不提供相关资料）</w:t>
      </w:r>
    </w:p>
    <w:p>
      <w:pPr>
        <w:pStyle w:val="59"/>
        <w:tabs>
          <w:tab w:val="left" w:pos="9639"/>
        </w:tabs>
        <w:ind w:firstLine="600" w:firstLineChars="250"/>
        <w:rPr>
          <w:rFonts w:hint="eastAsia" w:ascii="宋体" w:hAnsi="宋体" w:eastAsia="宋体" w:cs="宋体"/>
          <w:sz w:val="24"/>
        </w:rPr>
      </w:pPr>
      <w:r>
        <w:rPr>
          <w:rFonts w:hint="eastAsia" w:ascii="宋体" w:hAnsi="宋体" w:eastAsia="宋体" w:cs="宋体"/>
          <w:sz w:val="24"/>
        </w:rPr>
        <w:t>注：采购人或采购代理机构将于本项目投标截止日在‘信用中国’网站、‘中国政府采购网’网站等渠道对供应商进行信用记录查询，并将查询记录存档。凡被列入失信被执行人、重大税收违法案件当事人名单、政府采购严重违法失信行为记录名单的，视为存在不良信用记录，参与本项目的将被拒绝。</w:t>
      </w:r>
    </w:p>
    <w:p>
      <w:pPr>
        <w:pStyle w:val="11"/>
        <w:tabs>
          <w:tab w:val="left" w:pos="9639"/>
        </w:tabs>
        <w:spacing w:after="0" w:line="360" w:lineRule="auto"/>
        <w:ind w:firstLine="660" w:firstLineChars="275"/>
        <w:rPr>
          <w:rFonts w:hint="eastAsia" w:ascii="宋体" w:hAnsi="宋体" w:eastAsia="宋体" w:cs="宋体"/>
          <w:sz w:val="24"/>
          <w:lang w:bidi="ar"/>
        </w:rPr>
      </w:pPr>
      <w:r>
        <w:rPr>
          <w:rFonts w:hint="eastAsia" w:ascii="宋体" w:hAnsi="宋体" w:eastAsia="宋体" w:cs="宋体"/>
          <w:kern w:val="2"/>
          <w:sz w:val="24"/>
          <w:szCs w:val="24"/>
        </w:rPr>
        <w:t>3、</w:t>
      </w:r>
      <w:r>
        <w:rPr>
          <w:rFonts w:hint="eastAsia" w:ascii="宋体" w:hAnsi="宋体" w:eastAsia="宋体" w:cs="宋体"/>
          <w:bCs/>
          <w:color w:val="auto"/>
          <w:kern w:val="1"/>
          <w:sz w:val="24"/>
          <w:szCs w:val="24"/>
        </w:rPr>
        <w:t>本项目专门面向中小企业采购(监狱企业、残疾人福利性单位均视同小微企业)，非中小企业参与的将视为无效响应</w:t>
      </w:r>
      <w:r>
        <w:rPr>
          <w:rFonts w:hint="eastAsia" w:ascii="宋体" w:hAnsi="宋体" w:eastAsia="宋体" w:cs="宋体"/>
          <w:bCs/>
          <w:color w:val="auto"/>
          <w:kern w:val="1"/>
          <w:sz w:val="24"/>
          <w:szCs w:val="24"/>
          <w:lang w:eastAsia="zh-CN"/>
        </w:rPr>
        <w:t>；</w:t>
      </w:r>
    </w:p>
    <w:p>
      <w:pPr>
        <w:tabs>
          <w:tab w:val="left" w:pos="9639"/>
        </w:tabs>
        <w:spacing w:line="360" w:lineRule="auto"/>
        <w:ind w:firstLine="480" w:firstLineChars="200"/>
        <w:rPr>
          <w:rFonts w:hint="eastAsia" w:ascii="宋体" w:hAnsi="宋体" w:eastAsia="宋体" w:cs="宋体"/>
          <w:sz w:val="24"/>
          <w:szCs w:val="22"/>
          <w:lang w:eastAsia="zh-CN" w:bidi="ar"/>
        </w:rPr>
      </w:pPr>
      <w:r>
        <w:rPr>
          <w:rFonts w:hint="eastAsia" w:ascii="宋体" w:hAnsi="宋体" w:eastAsia="宋体" w:cs="宋体"/>
          <w:sz w:val="24"/>
        </w:rPr>
        <w:t xml:space="preserve"> 4、</w:t>
      </w:r>
      <w:r>
        <w:rPr>
          <w:rFonts w:hint="eastAsia" w:ascii="宋体" w:hAnsi="宋体" w:eastAsia="宋体" w:cs="宋体"/>
          <w:color w:val="auto"/>
          <w:kern w:val="2"/>
          <w:sz w:val="24"/>
          <w:szCs w:val="24"/>
          <w:lang w:eastAsia="zh-CN"/>
        </w:rPr>
        <w:t>供应商应具备建设行政主管部门颁发的</w:t>
      </w:r>
      <w:r>
        <w:rPr>
          <w:rFonts w:hint="eastAsia" w:ascii="宋体" w:hAnsi="宋体" w:eastAsia="宋体" w:cs="宋体"/>
          <w:color w:val="auto"/>
          <w:kern w:val="2"/>
          <w:sz w:val="24"/>
          <w:szCs w:val="24"/>
          <w:lang w:val="en-US" w:eastAsia="zh-CN"/>
        </w:rPr>
        <w:t>风景园林工程专项设计乙级及以上资质和建筑行业（建筑工程）设计丙级及以上资质</w:t>
      </w:r>
      <w:r>
        <w:rPr>
          <w:rFonts w:hint="eastAsia" w:ascii="宋体" w:hAnsi="宋体" w:eastAsia="宋体" w:cs="宋体"/>
          <w:sz w:val="24"/>
          <w:szCs w:val="22"/>
          <w:lang w:eastAsia="zh-CN" w:bidi="ar"/>
        </w:rPr>
        <w:t>；</w:t>
      </w:r>
    </w:p>
    <w:p>
      <w:pPr>
        <w:pStyle w:val="8"/>
        <w:ind w:firstLine="720" w:firstLineChars="300"/>
        <w:rPr>
          <w:rFonts w:hint="eastAsia" w:ascii="宋体" w:hAnsi="宋体" w:eastAsia="宋体" w:cs="宋体"/>
          <w:lang w:val="en-US" w:eastAsia="zh-CN"/>
        </w:rPr>
      </w:pPr>
      <w:r>
        <w:rPr>
          <w:rFonts w:hint="eastAsia" w:ascii="宋体" w:hAnsi="宋体" w:eastAsia="宋体" w:cs="宋体"/>
          <w:sz w:val="24"/>
          <w:szCs w:val="22"/>
          <w:lang w:val="en-US" w:eastAsia="zh-CN" w:bidi="ar"/>
        </w:rPr>
        <w:t>5、</w:t>
      </w:r>
      <w:r>
        <w:rPr>
          <w:rFonts w:hint="eastAsia" w:ascii="宋体" w:hAnsi="宋体" w:eastAsia="宋体" w:cs="宋体"/>
          <w:color w:val="auto"/>
          <w:kern w:val="2"/>
          <w:sz w:val="24"/>
          <w:szCs w:val="24"/>
          <w:lang w:eastAsia="zh-CN"/>
        </w:rPr>
        <w:t>未处于财产被接管、冻结、破产状态，未处于四川省行政区域内有关行政处罚和投标禁入期间。</w:t>
      </w:r>
    </w:p>
    <w:p>
      <w:pPr>
        <w:pStyle w:val="44"/>
        <w:rPr>
          <w:rFonts w:hint="eastAsia"/>
          <w:b/>
          <w:bCs/>
          <w:sz w:val="30"/>
          <w:szCs w:val="30"/>
          <w:lang w:eastAsia="zh-CN"/>
        </w:rPr>
      </w:pPr>
      <w:r>
        <w:rPr>
          <w:rFonts w:hint="eastAsia"/>
          <w:b/>
          <w:bCs/>
          <w:sz w:val="30"/>
          <w:szCs w:val="30"/>
          <w:lang w:eastAsia="zh-CN"/>
        </w:rPr>
        <w:t>二、供应商产品的资格、资质性及其他类似效力要求：无</w:t>
      </w:r>
    </w:p>
    <w:p>
      <w:pPr>
        <w:pStyle w:val="44"/>
        <w:rPr>
          <w:rFonts w:hint="eastAsia"/>
          <w:sz w:val="24"/>
          <w:szCs w:val="24"/>
          <w:lang w:eastAsia="zh-CN"/>
        </w:rPr>
      </w:pPr>
      <w:r>
        <w:rPr>
          <w:rFonts w:hint="eastAsia"/>
          <w:sz w:val="24"/>
          <w:szCs w:val="24"/>
          <w:lang w:eastAsia="zh-CN"/>
        </w:rPr>
        <w:t>注：1、重大违法记录，是指供应商因违法经营受到刑事处罚或者责令停产停业、吊销许可证或者执照、较大数额罚款等行政处罚。</w:t>
      </w:r>
    </w:p>
    <w:p>
      <w:pPr>
        <w:pStyle w:val="44"/>
        <w:rPr>
          <w:rFonts w:hint="eastAsia"/>
          <w:sz w:val="24"/>
          <w:szCs w:val="24"/>
          <w:lang w:eastAsia="zh-CN"/>
        </w:rPr>
      </w:pPr>
      <w:r>
        <w:rPr>
          <w:rFonts w:hint="eastAsia"/>
          <w:sz w:val="24"/>
          <w:szCs w:val="24"/>
          <w:lang w:val="en-US" w:eastAsia="zh-CN"/>
        </w:rPr>
        <w:t>2、</w:t>
      </w:r>
      <w:r>
        <w:rPr>
          <w:rFonts w:hint="eastAsia"/>
          <w:sz w:val="24"/>
          <w:szCs w:val="24"/>
          <w:lang w:eastAsia="zh-CN"/>
        </w:rPr>
        <w:t>本项目确定供应商重大违法记录中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省内以四川省人民政府规定的行政处罚罚款听证标准金额为准；省外以作出行政处罚地域政府规定的行政处罚罚款听证标准金额为准。</w:t>
      </w:r>
    </w:p>
    <w:p>
      <w:pPr>
        <w:pStyle w:val="44"/>
        <w:rPr>
          <w:rFonts w:hint="eastAsia"/>
          <w:sz w:val="24"/>
          <w:szCs w:val="24"/>
          <w:lang w:eastAsia="zh-CN"/>
        </w:rPr>
        <w:sectPr>
          <w:footerReference r:id="rId3" w:type="default"/>
          <w:pgSz w:w="11906" w:h="16838"/>
          <w:pgMar w:top="1134" w:right="1417" w:bottom="1134" w:left="1417" w:header="851" w:footer="850" w:gutter="0"/>
          <w:pgNumType w:fmt="decimal" w:start="1"/>
          <w:cols w:space="720" w:num="1"/>
          <w:rtlGutter w:val="0"/>
          <w:docGrid w:linePitch="1" w:charSpace="0"/>
        </w:sectPr>
      </w:pPr>
      <w:r>
        <w:rPr>
          <w:rFonts w:hint="eastAsia"/>
          <w:sz w:val="24"/>
          <w:szCs w:val="24"/>
          <w:lang w:eastAsia="zh-CN"/>
        </w:rPr>
        <w:t>3、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3"/>
        <w:tabs>
          <w:tab w:val="left" w:pos="9639"/>
        </w:tabs>
        <w:jc w:val="center"/>
        <w:rPr>
          <w:rFonts w:hint="eastAsia" w:hAnsi="宋体"/>
          <w:sz w:val="28"/>
          <w:szCs w:val="28"/>
        </w:rPr>
      </w:pPr>
      <w:r>
        <w:rPr>
          <w:rFonts w:hint="eastAsia"/>
        </w:rPr>
        <w:t>第四章  供应商资格证明材料</w:t>
      </w:r>
      <w:bookmarkEnd w:id="74"/>
      <w:bookmarkEnd w:id="75"/>
    </w:p>
    <w:p>
      <w:pPr>
        <w:tabs>
          <w:tab w:val="left" w:pos="9639"/>
        </w:tabs>
        <w:overflowPunct w:val="0"/>
        <w:spacing w:line="480" w:lineRule="auto"/>
        <w:ind w:right="40"/>
        <w:rPr>
          <w:rFonts w:hint="eastAsia" w:hAnsi="宋体" w:cs="宋体"/>
          <w:b/>
          <w:sz w:val="24"/>
        </w:rPr>
      </w:pPr>
      <w:r>
        <w:rPr>
          <w:rFonts w:hint="eastAsia" w:hAnsi="宋体" w:cs="宋体"/>
          <w:b/>
          <w:sz w:val="24"/>
        </w:rPr>
        <w:t>一、应当提供的供应商资格、资质性及其他具有类似效力的要求的相关证明材料</w:t>
      </w:r>
    </w:p>
    <w:p>
      <w:pPr>
        <w:tabs>
          <w:tab w:val="left" w:pos="9639"/>
        </w:tabs>
        <w:overflowPunct w:val="0"/>
        <w:spacing w:line="480" w:lineRule="auto"/>
        <w:ind w:right="40" w:firstLine="720" w:firstLineChars="300"/>
        <w:rPr>
          <w:rFonts w:hint="eastAsia" w:hAnsi="宋体" w:cs="宋体"/>
          <w:sz w:val="24"/>
        </w:rPr>
      </w:pPr>
      <w:r>
        <w:rPr>
          <w:rFonts w:hint="eastAsia" w:hAnsi="宋体" w:cs="宋体"/>
          <w:sz w:val="24"/>
        </w:rPr>
        <w:t>1、</w:t>
      </w:r>
      <w:r>
        <w:rPr>
          <w:rFonts w:hint="eastAsia"/>
          <w:sz w:val="24"/>
        </w:rPr>
        <w:t>具有独立承担民事责任的能力</w:t>
      </w:r>
      <w:r>
        <w:rPr>
          <w:rFonts w:hint="eastAsia" w:hAnsi="宋体" w:cs="宋体"/>
          <w:sz w:val="24"/>
        </w:rPr>
        <w:t>的相关证明材料 （1）营业执照副本复印件(注：①在有效期内；②复印件加盖公章)；组织机构代码证副本复印件(注：①发证机关有年检要求的，应按规定通过年检；②在有效期内；③复印件加盖 公章)；税务登记证副本复印件(注：①在有效期内；②复印件加盖公章)；</w:t>
      </w:r>
    </w:p>
    <w:p>
      <w:pPr>
        <w:tabs>
          <w:tab w:val="left" w:pos="9639"/>
        </w:tabs>
        <w:overflowPunct w:val="0"/>
        <w:spacing w:line="480" w:lineRule="auto"/>
        <w:ind w:firstLine="420"/>
        <w:jc w:val="left"/>
        <w:rPr>
          <w:rFonts w:hint="eastAsia" w:hAnsi="宋体" w:cs="宋体"/>
          <w:sz w:val="24"/>
        </w:rPr>
      </w:pPr>
      <w:r>
        <w:rPr>
          <w:rFonts w:hint="eastAsia" w:hAnsi="宋体" w:cs="宋体"/>
          <w:sz w:val="24"/>
        </w:rPr>
        <w:t>注：企业若已更换为三证合一的则提供营业执照副本复印件，事业单位提供事业单位法人证书，其他组织提供营业执照等证明材料，自然人提供身份证明均具备此条同等效力；</w:t>
      </w:r>
    </w:p>
    <w:p>
      <w:pPr>
        <w:numPr>
          <w:ilvl w:val="0"/>
          <w:numId w:val="2"/>
        </w:numPr>
        <w:tabs>
          <w:tab w:val="left" w:pos="9639"/>
        </w:tabs>
        <w:overflowPunct w:val="0"/>
        <w:spacing w:line="480" w:lineRule="auto"/>
        <w:ind w:right="40" w:firstLine="420"/>
        <w:rPr>
          <w:rFonts w:hint="eastAsia" w:hAnsi="宋体" w:cs="宋体"/>
          <w:sz w:val="24"/>
        </w:rPr>
      </w:pPr>
      <w:r>
        <w:rPr>
          <w:rFonts w:hint="eastAsia" w:hAnsi="宋体" w:cs="宋体"/>
          <w:sz w:val="24"/>
        </w:rPr>
        <w:t>具有良好的商业信誉的承诺函</w:t>
      </w:r>
      <w:r>
        <w:rPr>
          <w:rFonts w:hint="eastAsia" w:hAnsi="宋体" w:cs="宋体"/>
          <w:sz w:val="24"/>
          <w:lang w:eastAsia="zh-CN"/>
        </w:rPr>
        <w:t>（格式自拟）</w:t>
      </w:r>
      <w:r>
        <w:rPr>
          <w:rFonts w:hint="eastAsia" w:hAnsi="宋体" w:cs="宋体"/>
          <w:sz w:val="24"/>
        </w:rPr>
        <w:t>；</w:t>
      </w:r>
    </w:p>
    <w:p>
      <w:pPr>
        <w:numPr>
          <w:ilvl w:val="0"/>
          <w:numId w:val="2"/>
        </w:numPr>
        <w:tabs>
          <w:tab w:val="left" w:pos="9639"/>
        </w:tabs>
        <w:overflowPunct w:val="0"/>
        <w:spacing w:line="480" w:lineRule="auto"/>
        <w:ind w:right="40" w:firstLine="420"/>
        <w:rPr>
          <w:rFonts w:hint="eastAsia" w:hAnsi="宋体" w:cs="宋体"/>
          <w:sz w:val="24"/>
        </w:rPr>
      </w:pPr>
      <w:r>
        <w:rPr>
          <w:rFonts w:hint="eastAsia" w:hAnsi="宋体" w:cs="宋体"/>
          <w:sz w:val="24"/>
        </w:rPr>
        <w:t>具有健全的财务会计制度的证明材料：</w:t>
      </w:r>
    </w:p>
    <w:p>
      <w:pPr>
        <w:tabs>
          <w:tab w:val="left" w:pos="9639"/>
        </w:tabs>
        <w:overflowPunct w:val="0"/>
        <w:spacing w:line="480" w:lineRule="auto"/>
        <w:ind w:right="40" w:firstLine="720" w:firstLineChars="300"/>
        <w:rPr>
          <w:rFonts w:hint="eastAsia" w:hAnsi="宋体" w:cs="宋体"/>
          <w:sz w:val="24"/>
        </w:rPr>
      </w:pPr>
      <w:r>
        <w:rPr>
          <w:rFonts w:hint="eastAsia" w:hAnsi="宋体" w:cs="宋体"/>
          <w:sz w:val="24"/>
        </w:rPr>
        <w:t>①提供2019年度或2020年度经过会计师事务所审计的有效财务报告（财务审计报告应包含三表一附注，会计师事务所营业执照、会计师注册证书）</w:t>
      </w:r>
      <w:r>
        <w:rPr>
          <w:rFonts w:hint="eastAsia" w:hAnsi="宋体"/>
          <w:bCs/>
          <w:sz w:val="24"/>
          <w:szCs w:val="24"/>
        </w:rPr>
        <w:t>②也可提供2019年或</w:t>
      </w:r>
      <w:r>
        <w:rPr>
          <w:rFonts w:hint="eastAsia" w:hAnsi="宋体" w:cs="宋体"/>
          <w:sz w:val="24"/>
          <w:szCs w:val="24"/>
        </w:rPr>
        <w:t>2020年供应商内部的财务报表复印件（至少包含资金产负债表）</w:t>
      </w:r>
      <w:r>
        <w:rPr>
          <w:rFonts w:hint="eastAsia" w:hAnsi="宋体" w:cs="宋体"/>
          <w:sz w:val="24"/>
        </w:rPr>
        <w:t>③银行出具的资信证明④</w:t>
      </w:r>
      <w:r>
        <w:rPr>
          <w:rFonts w:hint="eastAsia"/>
          <w:sz w:val="24"/>
        </w:rPr>
        <w:t>供应商注册时间距投标文件递交截止日不足一年的，可提供在工商备案的公司章程复印件或</w:t>
      </w:r>
      <w:r>
        <w:rPr>
          <w:rFonts w:hint="eastAsia" w:hAnsi="宋体" w:cs="宋体"/>
          <w:sz w:val="24"/>
        </w:rPr>
        <w:t>提供具有良好的商业信誉和健全的财务会计制度的承诺函；</w:t>
      </w:r>
    </w:p>
    <w:p>
      <w:pPr>
        <w:tabs>
          <w:tab w:val="left" w:pos="9639"/>
        </w:tabs>
        <w:overflowPunct w:val="0"/>
        <w:spacing w:line="480" w:lineRule="auto"/>
        <w:ind w:firstLine="458"/>
        <w:rPr>
          <w:rFonts w:hint="eastAsia" w:hAnsi="宋体" w:cs="宋体"/>
          <w:sz w:val="24"/>
        </w:rPr>
      </w:pPr>
      <w:r>
        <w:rPr>
          <w:rFonts w:hint="eastAsia" w:hAnsi="宋体" w:cs="宋体"/>
          <w:sz w:val="24"/>
        </w:rPr>
        <w:t>注：以上①②③④项具有同等的投标效力，提供任一项均可，未进行财务审计的供应商、存在困难的投标供应商，如在评标时不能明确界定，以有利于供应商的原则进行评审；</w:t>
      </w:r>
    </w:p>
    <w:p>
      <w:pPr>
        <w:tabs>
          <w:tab w:val="left" w:pos="9639"/>
        </w:tabs>
        <w:overflowPunct w:val="0"/>
        <w:spacing w:line="480" w:lineRule="auto"/>
        <w:ind w:right="40" w:firstLine="240" w:firstLineChars="100"/>
        <w:rPr>
          <w:rFonts w:hint="eastAsia" w:hAnsi="宋体" w:cs="宋体"/>
          <w:sz w:val="24"/>
        </w:rPr>
      </w:pPr>
      <w:r>
        <w:rPr>
          <w:rFonts w:hint="eastAsia" w:hAnsi="宋体" w:cs="宋体"/>
          <w:sz w:val="24"/>
        </w:rPr>
        <w:t>（4）提供具有履行合同所必需的设备和专业技术能力证明材料</w:t>
      </w:r>
      <w:r>
        <w:rPr>
          <w:rFonts w:hint="eastAsia" w:hAnsi="宋体" w:cs="宋体"/>
          <w:sz w:val="24"/>
          <w:lang w:eastAsia="zh-CN"/>
        </w:rPr>
        <w:t>或</w:t>
      </w:r>
      <w:r>
        <w:rPr>
          <w:rFonts w:hint="eastAsia" w:hAnsi="宋体" w:cs="宋体"/>
          <w:sz w:val="24"/>
        </w:rPr>
        <w:t>承诺函</w:t>
      </w:r>
      <w:r>
        <w:rPr>
          <w:rFonts w:hint="eastAsia" w:hAnsi="宋体" w:cs="宋体"/>
          <w:sz w:val="24"/>
          <w:lang w:eastAsia="zh-CN"/>
        </w:rPr>
        <w:t>（格式自拟）</w:t>
      </w:r>
      <w:r>
        <w:rPr>
          <w:rFonts w:hint="eastAsia" w:hAnsi="宋体" w:cs="宋体"/>
          <w:sz w:val="24"/>
        </w:rPr>
        <w:t xml:space="preserve">； </w:t>
      </w:r>
    </w:p>
    <w:p>
      <w:pPr>
        <w:tabs>
          <w:tab w:val="left" w:pos="9639"/>
        </w:tabs>
        <w:overflowPunct w:val="0"/>
        <w:spacing w:line="480" w:lineRule="auto"/>
        <w:ind w:right="40" w:firstLine="240" w:firstLineChars="100"/>
        <w:rPr>
          <w:rFonts w:hint="eastAsia" w:hAnsi="宋体" w:cs="宋体"/>
          <w:sz w:val="24"/>
        </w:rPr>
      </w:pPr>
      <w:r>
        <w:rPr>
          <w:rFonts w:hint="eastAsia" w:hAnsi="宋体" w:cs="宋体"/>
          <w:sz w:val="24"/>
        </w:rPr>
        <w:t>（5）有依法缴纳税收和社会保障资金的良好记录</w:t>
      </w:r>
      <w:r>
        <w:rPr>
          <w:rFonts w:hint="eastAsia" w:hAnsi="宋体" w:cs="宋体"/>
          <w:sz w:val="24"/>
          <w:lang w:eastAsia="zh-CN"/>
        </w:rPr>
        <w:t>的证明材料</w:t>
      </w:r>
      <w:r>
        <w:rPr>
          <w:rFonts w:hint="eastAsia" w:hAnsi="宋体" w:cs="宋体"/>
          <w:sz w:val="24"/>
        </w:rPr>
        <w:t>[提供</w:t>
      </w:r>
      <w:r>
        <w:rPr>
          <w:rFonts w:hint="eastAsia" w:hAnsi="宋体" w:cs="宋体"/>
          <w:sz w:val="24"/>
          <w:lang w:val="en-US" w:eastAsia="zh-CN"/>
        </w:rPr>
        <w:t>2021</w:t>
      </w:r>
      <w:r>
        <w:rPr>
          <w:rFonts w:hint="eastAsia" w:hAnsi="宋体" w:cs="宋体"/>
          <w:sz w:val="24"/>
        </w:rPr>
        <w:t>年以来(任意三个月)社会保障资金缴纳及纳税的相关证明材料或提供依法缴纳税收和社会保障资金的良好记录的承诺函</w:t>
      </w:r>
      <w:r>
        <w:rPr>
          <w:rFonts w:hint="eastAsia" w:hAnsi="宋体" w:cs="宋体"/>
          <w:sz w:val="24"/>
          <w:lang w:eastAsia="zh-CN"/>
        </w:rPr>
        <w:t>（格式自拟）</w:t>
      </w:r>
      <w:r>
        <w:rPr>
          <w:rFonts w:hint="eastAsia" w:hAnsi="宋体" w:cs="宋体"/>
          <w:sz w:val="24"/>
        </w:rPr>
        <w:t>]；</w:t>
      </w:r>
    </w:p>
    <w:p>
      <w:pPr>
        <w:tabs>
          <w:tab w:val="left" w:pos="9639"/>
        </w:tabs>
        <w:overflowPunct w:val="0"/>
        <w:spacing w:line="480" w:lineRule="auto"/>
        <w:ind w:right="40" w:firstLine="420"/>
        <w:rPr>
          <w:rFonts w:hint="eastAsia" w:hAnsi="宋体" w:cs="宋体"/>
          <w:sz w:val="24"/>
        </w:rPr>
      </w:pPr>
      <w:r>
        <w:rPr>
          <w:rFonts w:hint="eastAsia" w:hAnsi="宋体" w:cs="宋体"/>
          <w:sz w:val="24"/>
        </w:rPr>
        <w:t>注：依法免税或不需要缴纳社会保障资金的供应商，应提供相应文件证明其依法免税或不需要缴纳社会保障资金。</w:t>
      </w:r>
    </w:p>
    <w:p>
      <w:pPr>
        <w:tabs>
          <w:tab w:val="left" w:pos="9639"/>
        </w:tabs>
        <w:overflowPunct w:val="0"/>
        <w:spacing w:line="480" w:lineRule="auto"/>
        <w:ind w:right="40" w:firstLine="420"/>
        <w:jc w:val="left"/>
        <w:rPr>
          <w:rFonts w:hint="eastAsia" w:hAnsi="宋体" w:cs="宋体"/>
          <w:sz w:val="24"/>
        </w:rPr>
      </w:pPr>
      <w:r>
        <w:rPr>
          <w:rFonts w:hint="eastAsia" w:hAnsi="宋体" w:cs="宋体"/>
          <w:sz w:val="24"/>
        </w:rPr>
        <w:t>（6）提供参加本次政府采购活动前三年内，在经营活动中没有重大违法记录的书面声明 (成立不足三年的，从成立之日起计算)；</w:t>
      </w:r>
    </w:p>
    <w:p>
      <w:pPr>
        <w:tabs>
          <w:tab w:val="left" w:pos="9639"/>
        </w:tabs>
        <w:overflowPunct w:val="0"/>
        <w:spacing w:line="480" w:lineRule="auto"/>
        <w:ind w:right="40" w:firstLine="480" w:firstLineChars="200"/>
        <w:jc w:val="left"/>
        <w:rPr>
          <w:rFonts w:hint="eastAsia" w:hAnsi="宋体" w:cs="宋体"/>
          <w:sz w:val="24"/>
        </w:rPr>
      </w:pPr>
      <w:r>
        <w:rPr>
          <w:rFonts w:hint="eastAsia" w:hAnsi="宋体" w:cs="宋体"/>
          <w:sz w:val="24"/>
        </w:rPr>
        <w:t>（7）</w:t>
      </w:r>
      <w:r>
        <w:rPr>
          <w:rFonts w:hint="eastAsia"/>
          <w:sz w:val="24"/>
        </w:rPr>
        <w:t>参加本次政府采购活动前三年内，在经营活动中没有重大违法记录</w:t>
      </w:r>
      <w:r>
        <w:rPr>
          <w:rFonts w:hint="eastAsia"/>
          <w:sz w:val="24"/>
          <w:lang w:eastAsia="zh-CN"/>
        </w:rPr>
        <w:t>的证明材料或</w:t>
      </w:r>
      <w:r>
        <w:rPr>
          <w:rFonts w:hint="eastAsia" w:hAnsi="宋体" w:cs="宋体"/>
          <w:sz w:val="24"/>
        </w:rPr>
        <w:t>承诺函</w:t>
      </w:r>
      <w:r>
        <w:rPr>
          <w:rFonts w:hint="eastAsia" w:hAnsi="宋体" w:cs="宋体"/>
          <w:sz w:val="24"/>
          <w:lang w:eastAsia="zh-CN"/>
        </w:rPr>
        <w:t>（格式自拟）</w:t>
      </w:r>
      <w:r>
        <w:rPr>
          <w:rFonts w:hint="eastAsia" w:hAnsi="宋体" w:cs="宋体"/>
          <w:sz w:val="24"/>
        </w:rPr>
        <w:t xml:space="preserve">； </w:t>
      </w:r>
    </w:p>
    <w:p>
      <w:pPr>
        <w:tabs>
          <w:tab w:val="left" w:pos="9639"/>
        </w:tabs>
        <w:overflowPunct w:val="0"/>
        <w:spacing w:line="480" w:lineRule="auto"/>
        <w:ind w:left="10" w:right="40" w:firstLine="403" w:firstLineChars="168"/>
        <w:jc w:val="left"/>
        <w:rPr>
          <w:rFonts w:hint="eastAsia" w:hAnsi="宋体" w:cs="宋体"/>
          <w:sz w:val="24"/>
        </w:rPr>
      </w:pPr>
      <w:r>
        <w:rPr>
          <w:rFonts w:hint="eastAsia" w:hAnsi="宋体" w:cs="宋体"/>
          <w:sz w:val="24"/>
        </w:rPr>
        <w:t>（8）</w:t>
      </w:r>
      <w:r>
        <w:rPr>
          <w:rFonts w:hint="eastAsia" w:ascii="宋体" w:hAnsi="宋体" w:eastAsia="宋体" w:cs="宋体"/>
          <w:sz w:val="24"/>
        </w:rPr>
        <w:t>供应商不得为“信用中国”网站(www.creditchina.gov.cn)中列入失信被执行人、重大税收违法案件和政府采购严重违法失信当事人名单的供应商，不得为中国政府采购网(www.ccgp.gov.cn)政府采购严重违法失信行为记录名单中被财政部门禁止参加政府采购活动的供应商</w:t>
      </w:r>
      <w:r>
        <w:rPr>
          <w:rFonts w:hint="eastAsia" w:hAnsi="宋体" w:cs="宋体"/>
          <w:sz w:val="24"/>
          <w:lang w:eastAsia="zh-CN"/>
        </w:rPr>
        <w:t>的证明材料</w:t>
      </w:r>
      <w:r>
        <w:rPr>
          <w:rFonts w:hint="eastAsia" w:hAnsi="宋体" w:cs="宋体"/>
          <w:sz w:val="24"/>
        </w:rPr>
        <w:t>的</w:t>
      </w:r>
      <w:r>
        <w:rPr>
          <w:rFonts w:hint="eastAsia" w:hAnsi="宋体" w:cs="宋体"/>
          <w:sz w:val="24"/>
          <w:lang w:eastAsia="zh-CN"/>
        </w:rPr>
        <w:t>或</w:t>
      </w:r>
      <w:r>
        <w:rPr>
          <w:rFonts w:hint="eastAsia" w:hAnsi="宋体" w:cs="宋体"/>
          <w:sz w:val="24"/>
        </w:rPr>
        <w:t>承诺函</w:t>
      </w:r>
      <w:r>
        <w:rPr>
          <w:rFonts w:hint="eastAsia" w:hAnsi="宋体" w:cs="宋体"/>
          <w:sz w:val="24"/>
          <w:lang w:eastAsia="zh-CN"/>
        </w:rPr>
        <w:t>（格式自拟）</w:t>
      </w:r>
      <w:r>
        <w:rPr>
          <w:rFonts w:hint="eastAsia" w:hAnsi="宋体" w:cs="宋体"/>
          <w:sz w:val="24"/>
        </w:rPr>
        <w:t xml:space="preserve">； </w:t>
      </w:r>
    </w:p>
    <w:p>
      <w:pPr>
        <w:tabs>
          <w:tab w:val="left" w:pos="9639"/>
        </w:tabs>
        <w:overflowPunct w:val="0"/>
        <w:spacing w:line="480" w:lineRule="auto"/>
        <w:ind w:left="469" w:leftChars="122" w:right="40" w:hanging="55" w:hangingChars="23"/>
        <w:jc w:val="left"/>
        <w:rPr>
          <w:rFonts w:hint="eastAsia" w:hAnsi="宋体" w:cs="宋体"/>
          <w:sz w:val="24"/>
        </w:rPr>
      </w:pPr>
      <w:r>
        <w:rPr>
          <w:rFonts w:hint="eastAsia" w:hAnsi="宋体" w:cs="宋体"/>
          <w:sz w:val="24"/>
        </w:rPr>
        <w:t>（9）</w:t>
      </w:r>
      <w:r>
        <w:rPr>
          <w:rFonts w:hint="eastAsia" w:ascii="宋体" w:hAnsi="宋体" w:eastAsia="宋体" w:cs="宋体"/>
          <w:sz w:val="24"/>
        </w:rPr>
        <w:t>供应商不得为“中国政府采购网”曝光台被曝光供应商</w:t>
      </w:r>
      <w:r>
        <w:rPr>
          <w:rFonts w:hint="eastAsia" w:hAnsi="宋体" w:cs="宋体"/>
          <w:sz w:val="24"/>
        </w:rPr>
        <w:t>的</w:t>
      </w:r>
      <w:r>
        <w:rPr>
          <w:rFonts w:hint="eastAsia" w:hAnsi="宋体" w:cs="宋体"/>
          <w:sz w:val="24"/>
          <w:lang w:eastAsia="zh-CN"/>
        </w:rPr>
        <w:t>证明材料或</w:t>
      </w:r>
      <w:r>
        <w:rPr>
          <w:rFonts w:hint="eastAsia" w:hAnsi="宋体" w:cs="宋体"/>
          <w:sz w:val="24"/>
        </w:rPr>
        <w:t>承诺函</w:t>
      </w:r>
      <w:r>
        <w:rPr>
          <w:rFonts w:hint="eastAsia" w:hAnsi="宋体" w:cs="宋体"/>
          <w:sz w:val="24"/>
          <w:lang w:eastAsia="zh-CN"/>
        </w:rPr>
        <w:t>（格式自拟）</w:t>
      </w:r>
      <w:r>
        <w:rPr>
          <w:rFonts w:hint="eastAsia" w:hAnsi="宋体" w:cs="宋体"/>
          <w:sz w:val="24"/>
        </w:rPr>
        <w:t xml:space="preserve">； </w:t>
      </w:r>
    </w:p>
    <w:p>
      <w:pPr>
        <w:tabs>
          <w:tab w:val="left" w:pos="9639"/>
        </w:tabs>
        <w:overflowPunct w:val="0"/>
        <w:spacing w:line="480" w:lineRule="auto"/>
        <w:ind w:left="10" w:right="40" w:firstLine="403" w:firstLineChars="168"/>
        <w:jc w:val="left"/>
        <w:rPr>
          <w:rFonts w:hint="eastAsia" w:hAnsi="宋体" w:cs="宋体"/>
          <w:sz w:val="24"/>
        </w:rPr>
      </w:pPr>
      <w:r>
        <w:rPr>
          <w:rFonts w:hint="eastAsia" w:hAnsi="宋体" w:cs="宋体"/>
          <w:sz w:val="24"/>
        </w:rPr>
        <w:t>（10）</w:t>
      </w:r>
      <w:r>
        <w:rPr>
          <w:rFonts w:hint="eastAsia" w:hAnsi="宋体" w:cs="宋体"/>
          <w:sz w:val="24"/>
          <w:lang w:eastAsia="zh-CN"/>
        </w:rPr>
        <w:t>供应商为</w:t>
      </w:r>
      <w:r>
        <w:rPr>
          <w:rFonts w:hint="eastAsia" w:ascii="宋体" w:hAnsi="宋体" w:eastAsia="宋体" w:cs="宋体"/>
          <w:bCs/>
          <w:color w:val="auto"/>
          <w:kern w:val="1"/>
          <w:sz w:val="24"/>
          <w:szCs w:val="24"/>
        </w:rPr>
        <w:t>中小企业采购(监狱企业、残疾人福利性单位均视同小微企业)</w:t>
      </w:r>
      <w:r>
        <w:rPr>
          <w:rFonts w:hint="eastAsia" w:hAnsi="宋体" w:cs="宋体"/>
          <w:bCs/>
          <w:color w:val="auto"/>
          <w:kern w:val="1"/>
          <w:sz w:val="24"/>
          <w:szCs w:val="24"/>
          <w:lang w:eastAsia="zh-CN"/>
        </w:rPr>
        <w:t>的证明材料或</w:t>
      </w:r>
      <w:r>
        <w:rPr>
          <w:rFonts w:hint="eastAsia" w:hAnsi="宋体" w:cs="宋体"/>
          <w:sz w:val="24"/>
        </w:rPr>
        <w:t>承诺函</w:t>
      </w:r>
      <w:r>
        <w:rPr>
          <w:rFonts w:hint="eastAsia" w:hAnsi="宋体" w:cs="宋体"/>
          <w:sz w:val="24"/>
          <w:lang w:eastAsia="zh-CN"/>
        </w:rPr>
        <w:t>（格式自拟）</w:t>
      </w:r>
      <w:r>
        <w:rPr>
          <w:rFonts w:hint="eastAsia" w:hAnsi="宋体" w:cs="宋体"/>
          <w:sz w:val="24"/>
        </w:rPr>
        <w:t>；</w:t>
      </w:r>
    </w:p>
    <w:p>
      <w:pPr>
        <w:tabs>
          <w:tab w:val="left" w:pos="9639"/>
        </w:tabs>
        <w:overflowPunct w:val="0"/>
        <w:spacing w:line="480" w:lineRule="auto"/>
        <w:ind w:right="40" w:firstLine="340" w:firstLineChars="142"/>
        <w:jc w:val="left"/>
        <w:rPr>
          <w:rFonts w:hint="eastAsia" w:hAnsi="宋体" w:cs="宋体"/>
          <w:sz w:val="24"/>
        </w:rPr>
      </w:pPr>
      <w:r>
        <w:rPr>
          <w:rFonts w:hint="eastAsia" w:hAnsi="宋体" w:cs="宋体"/>
          <w:sz w:val="24"/>
        </w:rPr>
        <w:t>（11）</w:t>
      </w:r>
      <w:r>
        <w:rPr>
          <w:rFonts w:hint="eastAsia" w:ascii="宋体" w:hAnsi="宋体" w:eastAsia="宋体" w:cs="宋体"/>
          <w:color w:val="auto"/>
          <w:kern w:val="2"/>
          <w:sz w:val="24"/>
          <w:szCs w:val="24"/>
          <w:lang w:eastAsia="zh-CN"/>
        </w:rPr>
        <w:t>供应商应具备建设行政主管部门颁发的</w:t>
      </w:r>
      <w:r>
        <w:rPr>
          <w:rFonts w:hint="eastAsia" w:ascii="宋体" w:hAnsi="宋体" w:eastAsia="宋体" w:cs="宋体"/>
          <w:color w:val="auto"/>
          <w:kern w:val="2"/>
          <w:sz w:val="24"/>
          <w:szCs w:val="24"/>
          <w:lang w:val="en-US" w:eastAsia="zh-CN"/>
        </w:rPr>
        <w:t>风景园林工程专项设计乙级及以上资质和建筑行业（建筑工程）设计丙级及以上资质</w:t>
      </w:r>
      <w:r>
        <w:rPr>
          <w:rFonts w:hint="eastAsia" w:hAnsi="宋体" w:cs="宋体"/>
          <w:color w:val="auto"/>
          <w:kern w:val="2"/>
          <w:sz w:val="24"/>
          <w:szCs w:val="24"/>
          <w:lang w:val="en-US" w:eastAsia="zh-CN"/>
        </w:rPr>
        <w:t>的证明材料（提供有效的资质证书复印件）</w:t>
      </w:r>
      <w:r>
        <w:rPr>
          <w:rFonts w:hint="eastAsia" w:hAnsi="宋体" w:cs="宋体"/>
          <w:sz w:val="24"/>
        </w:rPr>
        <w:t xml:space="preserve">； </w:t>
      </w:r>
    </w:p>
    <w:p>
      <w:pPr>
        <w:tabs>
          <w:tab w:val="left" w:pos="9639"/>
        </w:tabs>
        <w:wordWrap w:val="0"/>
        <w:overflowPunct w:val="0"/>
        <w:spacing w:line="480" w:lineRule="auto"/>
        <w:ind w:right="40" w:firstLine="340" w:firstLineChars="142"/>
        <w:jc w:val="left"/>
        <w:rPr>
          <w:rFonts w:hint="eastAsia" w:hAnsi="宋体" w:cs="宋体"/>
          <w:sz w:val="24"/>
        </w:rPr>
      </w:pPr>
      <w:r>
        <w:rPr>
          <w:rFonts w:hint="eastAsia" w:hAnsi="宋体" w:cs="宋体"/>
          <w:sz w:val="24"/>
        </w:rPr>
        <w:t>（12）</w:t>
      </w:r>
      <w:r>
        <w:rPr>
          <w:rFonts w:hint="eastAsia" w:ascii="宋体" w:hAnsi="宋体" w:eastAsia="宋体" w:cs="宋体"/>
          <w:color w:val="auto"/>
          <w:kern w:val="2"/>
          <w:sz w:val="24"/>
          <w:szCs w:val="24"/>
          <w:lang w:eastAsia="zh-CN"/>
        </w:rPr>
        <w:t>未处于财产被接管、冻结、破产状态，未处于四川省行政区域内有关行政处罚和投标禁入期间</w:t>
      </w:r>
      <w:r>
        <w:rPr>
          <w:rFonts w:hint="eastAsia" w:hAnsi="宋体" w:cs="宋体"/>
          <w:color w:val="auto"/>
          <w:kern w:val="2"/>
          <w:sz w:val="24"/>
          <w:szCs w:val="24"/>
          <w:lang w:eastAsia="zh-CN"/>
        </w:rPr>
        <w:t>的证明材料或承诺函（格式自拟）</w:t>
      </w:r>
      <w:r>
        <w:rPr>
          <w:rFonts w:hint="eastAsia" w:hAnsi="宋体" w:cs="宋体"/>
          <w:sz w:val="24"/>
        </w:rPr>
        <w:t>；</w:t>
      </w:r>
    </w:p>
    <w:p>
      <w:pPr>
        <w:tabs>
          <w:tab w:val="left" w:pos="6714"/>
          <w:tab w:val="left" w:pos="9639"/>
        </w:tabs>
        <w:spacing w:line="480" w:lineRule="auto"/>
        <w:ind w:firstLine="240" w:firstLineChars="100"/>
        <w:jc w:val="left"/>
        <w:rPr>
          <w:rFonts w:hint="eastAsia" w:hAnsi="宋体" w:cs="宋体"/>
          <w:sz w:val="24"/>
        </w:rPr>
      </w:pPr>
      <w:r>
        <w:rPr>
          <w:rFonts w:hint="eastAsia" w:hAnsi="宋体" w:cs="宋体"/>
          <w:sz w:val="24"/>
        </w:rPr>
        <w:t xml:space="preserve">（13）法定代表人授权书原件； 注：①附法定代表人和被授权人身份证复印件正反面；②法定代表人亲自参与投标时不需要提供； </w:t>
      </w:r>
    </w:p>
    <w:p>
      <w:pPr>
        <w:tabs>
          <w:tab w:val="left" w:pos="9639"/>
        </w:tabs>
        <w:overflowPunct w:val="0"/>
        <w:spacing w:line="480" w:lineRule="auto"/>
        <w:ind w:left="420" w:right="-194" w:hanging="420"/>
        <w:jc w:val="left"/>
        <w:rPr>
          <w:rFonts w:hint="eastAsia" w:hAnsi="宋体" w:cs="宋体"/>
          <w:sz w:val="24"/>
        </w:rPr>
      </w:pPr>
      <w:r>
        <w:rPr>
          <w:rFonts w:hint="eastAsia" w:hAnsi="宋体" w:cs="宋体"/>
          <w:sz w:val="24"/>
        </w:rPr>
        <w:t>（14）法定代表人证明书；</w:t>
      </w:r>
    </w:p>
    <w:p>
      <w:pPr>
        <w:tabs>
          <w:tab w:val="left" w:pos="9639"/>
        </w:tabs>
        <w:overflowPunct w:val="0"/>
        <w:spacing w:line="480" w:lineRule="auto"/>
        <w:ind w:right="160"/>
        <w:jc w:val="left"/>
        <w:rPr>
          <w:rFonts w:hint="eastAsia" w:hAnsi="宋体" w:cs="宋体"/>
          <w:sz w:val="24"/>
        </w:rPr>
      </w:pPr>
      <w:r>
        <w:rPr>
          <w:rFonts w:hint="eastAsia" w:hAnsi="宋体" w:cs="宋体"/>
          <w:sz w:val="24"/>
        </w:rPr>
        <w:t>注：①法定代表人身份证复印件正反面；②法定代表人亲自参加投标时提供本证明书；</w:t>
      </w:r>
    </w:p>
    <w:p>
      <w:pPr>
        <w:tabs>
          <w:tab w:val="left" w:pos="9639"/>
        </w:tabs>
        <w:overflowPunct w:val="0"/>
        <w:spacing w:line="480" w:lineRule="auto"/>
        <w:ind w:right="160"/>
        <w:jc w:val="left"/>
        <w:rPr>
          <w:rFonts w:hint="eastAsia" w:hAnsi="宋体" w:cs="宋体"/>
          <w:sz w:val="24"/>
        </w:rPr>
      </w:pPr>
      <w:r>
        <w:rPr>
          <w:rFonts w:hint="eastAsia" w:hAnsi="宋体" w:cs="宋体"/>
          <w:sz w:val="24"/>
        </w:rPr>
        <w:t xml:space="preserve"> 注：1.以上承诺及声明函(可参照第八章投标文件格式“承诺及声明函”格式或自拟格式填写均有效)。</w:t>
      </w:r>
    </w:p>
    <w:p>
      <w:pPr>
        <w:tabs>
          <w:tab w:val="left" w:pos="9639"/>
        </w:tabs>
        <w:spacing w:line="480" w:lineRule="auto"/>
        <w:rPr>
          <w:rFonts w:hint="eastAsia" w:hAnsi="宋体"/>
          <w:sz w:val="24"/>
        </w:rPr>
      </w:pPr>
      <w:r>
        <w:rPr>
          <w:rFonts w:hint="eastAsia" w:hAnsi="宋体"/>
          <w:sz w:val="24"/>
        </w:rPr>
        <w:t xml:space="preserve">     2.本章要求提供的相关证明材料应当与第三章的规定要求对应，除供应商自愿以外，不能要求供应商提供额外的证明材料。如果要求提供额外的证明材料，供应商有权拒绝提供，且不影响响应文件的有效性和完整性。</w:t>
      </w:r>
    </w:p>
    <w:p>
      <w:pPr>
        <w:tabs>
          <w:tab w:val="left" w:pos="9639"/>
        </w:tabs>
        <w:spacing w:line="480" w:lineRule="auto"/>
        <w:ind w:firstLine="480" w:firstLineChars="200"/>
        <w:rPr>
          <w:rFonts w:hint="eastAsia" w:hAnsi="宋体"/>
          <w:sz w:val="24"/>
        </w:rPr>
      </w:pPr>
      <w:r>
        <w:rPr>
          <w:rFonts w:hint="eastAsia" w:hAnsi="宋体"/>
          <w:sz w:val="24"/>
        </w:rPr>
        <w:t>3.本章要求提供的相关证明材料应当结合采购项目具体情况和供应商的组织机构性质确定，不得一概而论。</w:t>
      </w:r>
    </w:p>
    <w:p>
      <w:pPr>
        <w:pStyle w:val="3"/>
        <w:tabs>
          <w:tab w:val="left" w:pos="9639"/>
        </w:tabs>
        <w:rPr>
          <w:rFonts w:hint="eastAsia"/>
        </w:rPr>
      </w:pPr>
      <w:r>
        <w:rPr>
          <w:sz w:val="24"/>
          <w:szCs w:val="24"/>
        </w:rPr>
        <w:br w:type="page"/>
      </w:r>
      <w:bookmarkStart w:id="157" w:name="_GoBack"/>
      <w:bookmarkStart w:id="76" w:name="_Toc509823115"/>
      <w:bookmarkStart w:id="77" w:name="_Toc511386824"/>
      <w:r>
        <w:rPr>
          <w:rFonts w:hint="eastAsia"/>
        </w:rPr>
        <w:t>第五章  采购项目技术、服务及其他商务要求</w:t>
      </w:r>
      <w:bookmarkEnd w:id="76"/>
      <w:bookmarkEnd w:id="77"/>
    </w:p>
    <w:bookmarkEnd w:id="62"/>
    <w:bookmarkEnd w:id="63"/>
    <w:bookmarkEnd w:id="64"/>
    <w:bookmarkEnd w:id="65"/>
    <w:bookmarkEnd w:id="66"/>
    <w:p>
      <w:pPr>
        <w:spacing w:line="576" w:lineRule="exact"/>
        <w:rPr>
          <w:rFonts w:hint="eastAsia" w:ascii="宋体" w:hAnsi="宋体" w:eastAsia="宋体" w:cs="宋体"/>
          <w:b/>
          <w:sz w:val="24"/>
          <w:szCs w:val="24"/>
        </w:rPr>
      </w:pPr>
      <w:bookmarkStart w:id="78" w:name="_Toc351203501"/>
      <w:bookmarkStart w:id="79" w:name="_Toc217446057"/>
      <w:bookmarkStart w:id="80" w:name="_Toc183682369"/>
      <w:bookmarkStart w:id="81" w:name="_Toc183582232"/>
      <w:r>
        <w:rPr>
          <w:rFonts w:hint="eastAsia" w:ascii="宋体" w:hAnsi="宋体" w:eastAsia="宋体" w:cs="宋体"/>
          <w:b/>
          <w:sz w:val="24"/>
          <w:szCs w:val="24"/>
        </w:rPr>
        <w:t>一、项目背景</w:t>
      </w:r>
    </w:p>
    <w:p>
      <w:pPr>
        <w:spacing w:line="360" w:lineRule="auto"/>
        <w:ind w:firstLine="560"/>
        <w:rPr>
          <w:rFonts w:hint="eastAsia" w:ascii="宋体" w:hAnsi="宋体" w:eastAsia="宋体" w:cs="宋体"/>
          <w:sz w:val="24"/>
          <w:szCs w:val="24"/>
          <w:lang w:eastAsia="zh-CN"/>
        </w:rPr>
      </w:pPr>
      <w:r>
        <w:rPr>
          <w:rFonts w:hint="eastAsia" w:ascii="宋体" w:hAnsi="宋体" w:eastAsia="宋体" w:cs="宋体"/>
          <w:sz w:val="24"/>
          <w:szCs w:val="24"/>
        </w:rPr>
        <w:t>按照国务院、住房城乡建设部关于城市更新的相关文件精神，</w:t>
      </w:r>
      <w:bookmarkStart w:id="82" w:name="_Hlk76042257"/>
      <w:r>
        <w:rPr>
          <w:rFonts w:hint="eastAsia" w:ascii="宋体" w:hAnsi="宋体" w:eastAsia="宋体" w:cs="宋体"/>
          <w:sz w:val="24"/>
          <w:szCs w:val="24"/>
        </w:rPr>
        <w:t>为落实成都市第十七届人民代表大会第五次会议《关于实施幸福美好生活十大工程的报告》的会议决议，</w:t>
      </w:r>
      <w:bookmarkEnd w:id="82"/>
      <w:r>
        <w:rPr>
          <w:rFonts w:hint="eastAsia" w:ascii="宋体" w:hAnsi="宋体" w:eastAsia="宋体" w:cs="宋体"/>
          <w:sz w:val="24"/>
          <w:szCs w:val="24"/>
        </w:rPr>
        <w:t>成都将以城市品质提升重大工程为牵引，全面加速老旧小区、棚户区和城中村改造进程，改善人居环境，</w:t>
      </w:r>
      <w:r>
        <w:rPr>
          <w:rFonts w:hint="eastAsia" w:ascii="宋体" w:hAnsi="宋体" w:eastAsia="宋体" w:cs="宋体"/>
          <w:sz w:val="24"/>
          <w:szCs w:val="24"/>
          <w:lang w:eastAsia="zh-CN"/>
        </w:rPr>
        <w:t>完善基础配套设施、</w:t>
      </w:r>
      <w:r>
        <w:rPr>
          <w:rFonts w:hint="eastAsia" w:ascii="宋体" w:hAnsi="宋体" w:eastAsia="宋体" w:cs="宋体"/>
          <w:sz w:val="24"/>
          <w:szCs w:val="24"/>
        </w:rPr>
        <w:t>提升功能品质，保留城市记忆，延续市井文化，让“老成都”焕发新活力。推进老旧小区分类提升改造，因地制宜改造提升适老、适幼、停车等功能。推动老旧社区居家养老、医疗康养、社区教育、数字文娱、定制配送等智慧化个性生活服务进小区，拓展家庭安防、邻里互助等智慧应用场景。加快街头绿地、小游园建设和老旧公园改造提升，实现300米见绿、500米见园，“老旧片区重构市井烟火气”。利用城市剩余空间打造 “金角银边”，建设融合体育、文化、休闲、商业等功能的“1+N”复合型空间。按照项目建设需要，</w:t>
      </w:r>
      <w:r>
        <w:rPr>
          <w:rFonts w:hint="eastAsia" w:ascii="宋体" w:hAnsi="宋体" w:eastAsia="宋体" w:cs="宋体"/>
          <w:sz w:val="24"/>
          <w:szCs w:val="24"/>
          <w:lang w:eastAsia="zh-CN"/>
        </w:rPr>
        <w:t>成都市郫都区人民政府</w:t>
      </w:r>
      <w:r>
        <w:rPr>
          <w:rFonts w:hint="eastAsia" w:ascii="宋体" w:hAnsi="宋体" w:eastAsia="宋体" w:cs="宋体"/>
          <w:sz w:val="24"/>
          <w:szCs w:val="24"/>
        </w:rPr>
        <w:t>德源街道办事处启动德源桤木河城市段城市</w:t>
      </w:r>
      <w:r>
        <w:rPr>
          <w:rFonts w:hint="eastAsia" w:ascii="宋体" w:hAnsi="宋体" w:eastAsia="宋体" w:cs="宋体"/>
          <w:sz w:val="24"/>
          <w:szCs w:val="24"/>
          <w:lang w:eastAsia="zh-CN"/>
        </w:rPr>
        <w:t>改造</w:t>
      </w:r>
      <w:r>
        <w:rPr>
          <w:rFonts w:hint="eastAsia" w:ascii="宋体" w:hAnsi="宋体" w:eastAsia="宋体" w:cs="宋体"/>
          <w:sz w:val="24"/>
          <w:szCs w:val="24"/>
        </w:rPr>
        <w:t>更新设计工作</w:t>
      </w:r>
      <w:r>
        <w:rPr>
          <w:rFonts w:hint="eastAsia" w:ascii="宋体" w:hAnsi="宋体" w:eastAsia="宋体" w:cs="宋体"/>
          <w:sz w:val="24"/>
          <w:szCs w:val="24"/>
          <w:lang w:eastAsia="zh-CN"/>
        </w:rPr>
        <w:t>。</w:t>
      </w:r>
    </w:p>
    <w:p>
      <w:pPr>
        <w:spacing w:line="576" w:lineRule="exact"/>
        <w:rPr>
          <w:rFonts w:hint="eastAsia" w:ascii="宋体" w:hAnsi="宋体" w:eastAsia="宋体" w:cs="宋体"/>
          <w:b/>
          <w:sz w:val="24"/>
          <w:szCs w:val="24"/>
        </w:rPr>
      </w:pPr>
      <w:r>
        <w:rPr>
          <w:rFonts w:hint="eastAsia" w:ascii="宋体" w:hAnsi="宋体" w:eastAsia="宋体" w:cs="宋体"/>
          <w:b/>
          <w:sz w:val="24"/>
          <w:szCs w:val="24"/>
        </w:rPr>
        <w:t>二、技术、服务要求</w:t>
      </w:r>
    </w:p>
    <w:p>
      <w:pPr>
        <w:spacing w:line="576" w:lineRule="exact"/>
        <w:ind w:firstLine="480" w:firstLineChars="200"/>
        <w:rPr>
          <w:rFonts w:hint="eastAsia" w:ascii="宋体" w:hAnsi="宋体" w:eastAsia="宋体" w:cs="宋体"/>
          <w:b/>
          <w:sz w:val="24"/>
          <w:szCs w:val="24"/>
        </w:rPr>
      </w:pPr>
      <w:r>
        <w:rPr>
          <w:rFonts w:hint="eastAsia" w:ascii="宋体" w:hAnsi="宋体" w:eastAsia="宋体" w:cs="宋体"/>
          <w:b/>
          <w:sz w:val="24"/>
          <w:szCs w:val="24"/>
        </w:rPr>
        <w:t>（一）总体要求</w:t>
      </w:r>
    </w:p>
    <w:p>
      <w:pPr>
        <w:spacing w:line="42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为保障本</w:t>
      </w:r>
      <w:r>
        <w:rPr>
          <w:rFonts w:hint="eastAsia" w:ascii="宋体" w:hAnsi="宋体" w:eastAsia="宋体" w:cs="宋体"/>
          <w:bCs/>
          <w:sz w:val="24"/>
          <w:szCs w:val="24"/>
          <w:lang w:eastAsia="zh-CN"/>
        </w:rPr>
        <w:t>项目</w:t>
      </w:r>
      <w:r>
        <w:rPr>
          <w:rFonts w:hint="eastAsia" w:ascii="宋体" w:hAnsi="宋体" w:eastAsia="宋体" w:cs="宋体"/>
          <w:bCs/>
          <w:sz w:val="24"/>
          <w:szCs w:val="24"/>
        </w:rPr>
        <w:t>实施方案编制</w:t>
      </w:r>
      <w:r>
        <w:rPr>
          <w:rFonts w:hint="eastAsia" w:ascii="宋体" w:hAnsi="宋体" w:eastAsia="宋体" w:cs="宋体"/>
          <w:bCs/>
          <w:sz w:val="24"/>
          <w:szCs w:val="24"/>
          <w:lang w:eastAsia="zh-CN"/>
        </w:rPr>
        <w:t>和设计</w:t>
      </w:r>
      <w:r>
        <w:rPr>
          <w:rFonts w:hint="eastAsia" w:ascii="宋体" w:hAnsi="宋体" w:eastAsia="宋体" w:cs="宋体"/>
          <w:bCs/>
          <w:sz w:val="24"/>
          <w:szCs w:val="24"/>
        </w:rPr>
        <w:t>工作顺利完成，投标人应严格按照采购人</w:t>
      </w:r>
      <w:r>
        <w:rPr>
          <w:rFonts w:hint="eastAsia" w:ascii="宋体" w:hAnsi="宋体" w:eastAsia="宋体" w:cs="宋体"/>
          <w:bCs/>
          <w:sz w:val="24"/>
          <w:szCs w:val="24"/>
          <w:lang w:eastAsia="zh-CN"/>
        </w:rPr>
        <w:t>发布的《竞争性磋商公告》和《竞争性磋商文件》等相关</w:t>
      </w:r>
      <w:r>
        <w:rPr>
          <w:rFonts w:hint="eastAsia" w:ascii="宋体" w:hAnsi="宋体" w:eastAsia="宋体" w:cs="宋体"/>
          <w:bCs/>
          <w:sz w:val="24"/>
          <w:szCs w:val="24"/>
        </w:rPr>
        <w:t>要求，精心组织</w:t>
      </w:r>
      <w:r>
        <w:rPr>
          <w:rFonts w:hint="eastAsia" w:ascii="宋体" w:hAnsi="宋体" w:eastAsia="宋体" w:cs="宋体"/>
          <w:bCs/>
          <w:sz w:val="24"/>
          <w:szCs w:val="24"/>
          <w:lang w:eastAsia="zh-CN"/>
        </w:rPr>
        <w:t>参与竞标</w:t>
      </w:r>
      <w:r>
        <w:rPr>
          <w:rFonts w:hint="eastAsia" w:ascii="宋体" w:hAnsi="宋体" w:eastAsia="宋体" w:cs="宋体"/>
          <w:bCs/>
          <w:sz w:val="24"/>
          <w:szCs w:val="24"/>
        </w:rPr>
        <w:t>。</w:t>
      </w:r>
    </w:p>
    <w:p>
      <w:pPr>
        <w:spacing w:line="576" w:lineRule="exact"/>
        <w:ind w:firstLine="480" w:firstLineChars="200"/>
        <w:rPr>
          <w:rFonts w:hint="eastAsia" w:ascii="宋体" w:hAnsi="宋体" w:eastAsia="宋体" w:cs="宋体"/>
          <w:b/>
          <w:sz w:val="24"/>
          <w:szCs w:val="24"/>
        </w:rPr>
      </w:pPr>
      <w:r>
        <w:rPr>
          <w:rFonts w:hint="eastAsia" w:ascii="华文宋体" w:hAnsi="华文宋体" w:eastAsia="华文宋体" w:cs="华文宋体"/>
          <w:b/>
          <w:color w:val="000000"/>
          <w:sz w:val="24"/>
          <w:szCs w:val="22"/>
          <w:highlight w:val="none"/>
          <w:lang w:val="en-US" w:eastAsia="zh-CN"/>
        </w:rPr>
        <w:t>★</w:t>
      </w:r>
      <w:r>
        <w:rPr>
          <w:rFonts w:hint="eastAsia" w:ascii="宋体" w:hAnsi="宋体" w:eastAsia="宋体" w:cs="宋体"/>
          <w:b/>
          <w:sz w:val="24"/>
          <w:szCs w:val="24"/>
        </w:rPr>
        <w:t>（二）设计要求</w:t>
      </w:r>
    </w:p>
    <w:p>
      <w:pPr>
        <w:spacing w:line="360" w:lineRule="auto"/>
        <w:ind w:firstLine="480"/>
        <w:rPr>
          <w:rFonts w:hint="eastAsia" w:ascii="宋体" w:hAnsi="宋体" w:eastAsia="宋体" w:cs="宋体"/>
          <w:bCs/>
          <w:sz w:val="24"/>
          <w:szCs w:val="24"/>
        </w:rPr>
      </w:pPr>
      <w:r>
        <w:rPr>
          <w:rFonts w:hint="eastAsia" w:ascii="宋体" w:hAnsi="宋体" w:eastAsia="宋体" w:cs="宋体"/>
          <w:bCs/>
          <w:sz w:val="24"/>
          <w:szCs w:val="24"/>
        </w:rPr>
        <w:t>符合国家现行规范要求</w:t>
      </w:r>
      <w:r>
        <w:rPr>
          <w:rFonts w:hint="eastAsia" w:ascii="宋体" w:hAnsi="宋体" w:eastAsia="宋体" w:cs="宋体"/>
          <w:bCs/>
          <w:sz w:val="24"/>
          <w:szCs w:val="24"/>
          <w:lang w:eastAsia="zh-CN"/>
        </w:rPr>
        <w:t>并</w:t>
      </w:r>
      <w:r>
        <w:rPr>
          <w:rFonts w:hint="eastAsia" w:ascii="宋体" w:hAnsi="宋体" w:eastAsia="宋体" w:cs="宋体"/>
          <w:bCs/>
          <w:sz w:val="24"/>
          <w:szCs w:val="24"/>
        </w:rPr>
        <w:t>通过专家评审、最终</w:t>
      </w:r>
      <w:r>
        <w:rPr>
          <w:rFonts w:hint="eastAsia" w:ascii="宋体" w:hAnsi="宋体" w:eastAsia="宋体" w:cs="宋体"/>
          <w:bCs/>
          <w:sz w:val="24"/>
          <w:szCs w:val="24"/>
          <w:lang w:eastAsia="zh-CN"/>
        </w:rPr>
        <w:t>设计</w:t>
      </w:r>
      <w:r>
        <w:rPr>
          <w:rFonts w:hint="eastAsia" w:ascii="宋体" w:hAnsi="宋体" w:eastAsia="宋体" w:cs="宋体"/>
          <w:bCs/>
          <w:sz w:val="24"/>
          <w:szCs w:val="24"/>
        </w:rPr>
        <w:t>成果</w:t>
      </w:r>
      <w:r>
        <w:rPr>
          <w:rFonts w:hint="eastAsia" w:ascii="宋体" w:hAnsi="宋体" w:eastAsia="宋体" w:cs="宋体"/>
          <w:bCs/>
          <w:sz w:val="24"/>
          <w:szCs w:val="24"/>
          <w:lang w:eastAsia="zh-CN"/>
        </w:rPr>
        <w:t>须</w:t>
      </w:r>
      <w:r>
        <w:rPr>
          <w:rFonts w:hint="eastAsia" w:ascii="宋体" w:hAnsi="宋体" w:eastAsia="宋体" w:cs="宋体"/>
          <w:bCs/>
          <w:sz w:val="24"/>
          <w:szCs w:val="24"/>
        </w:rPr>
        <w:t>满足建筑工程设计深度要求。</w:t>
      </w:r>
    </w:p>
    <w:p>
      <w:pPr>
        <w:spacing w:line="360" w:lineRule="auto"/>
        <w:ind w:firstLine="480"/>
        <w:rPr>
          <w:rFonts w:hint="eastAsia" w:ascii="宋体" w:hAnsi="宋体" w:eastAsia="宋体" w:cs="宋体"/>
          <w:b/>
          <w:sz w:val="24"/>
          <w:szCs w:val="24"/>
        </w:rPr>
      </w:pPr>
      <w:r>
        <w:rPr>
          <w:rFonts w:hint="eastAsia" w:ascii="宋体" w:hAnsi="宋体" w:eastAsia="宋体" w:cs="宋体"/>
          <w:b/>
          <w:sz w:val="24"/>
          <w:szCs w:val="24"/>
        </w:rPr>
        <w:t>·设计范围</w:t>
      </w:r>
    </w:p>
    <w:p>
      <w:pPr>
        <w:spacing w:line="360" w:lineRule="auto"/>
        <w:ind w:firstLine="480"/>
        <w:rPr>
          <w:rFonts w:hint="eastAsia" w:ascii="宋体" w:hAnsi="宋体" w:eastAsia="宋体" w:cs="宋体"/>
          <w:bCs/>
          <w:color w:val="auto"/>
          <w:sz w:val="24"/>
          <w:szCs w:val="24"/>
        </w:rPr>
      </w:pPr>
      <w:r>
        <w:rPr>
          <w:rFonts w:hint="eastAsia" w:ascii="宋体" w:hAnsi="宋体" w:eastAsia="宋体" w:cs="宋体"/>
          <w:bCs/>
          <w:color w:val="auto"/>
          <w:sz w:val="24"/>
          <w:szCs w:val="24"/>
        </w:rPr>
        <w:t>西起德源</w:t>
      </w:r>
      <w:r>
        <w:rPr>
          <w:rFonts w:hint="eastAsia" w:ascii="宋体" w:hAnsi="宋体" w:eastAsia="宋体" w:cs="宋体"/>
          <w:bCs/>
          <w:color w:val="auto"/>
          <w:sz w:val="24"/>
          <w:szCs w:val="24"/>
          <w:lang w:eastAsia="zh-CN"/>
        </w:rPr>
        <w:t>街道禹庙村</w:t>
      </w:r>
      <w:r>
        <w:rPr>
          <w:rFonts w:hint="eastAsia" w:ascii="宋体" w:hAnsi="宋体" w:eastAsia="宋体" w:cs="宋体"/>
          <w:bCs/>
          <w:color w:val="auto"/>
          <w:sz w:val="24"/>
          <w:szCs w:val="24"/>
        </w:rPr>
        <w:t>，东至桤木河与康强一路交汇处。</w:t>
      </w:r>
    </w:p>
    <w:p>
      <w:pPr>
        <w:spacing w:line="360" w:lineRule="auto"/>
        <w:ind w:firstLine="240" w:firstLineChars="100"/>
        <w:rPr>
          <w:rFonts w:hint="eastAsia" w:ascii="宋体" w:hAnsi="宋体" w:eastAsia="宋体" w:cs="宋体"/>
          <w:b/>
          <w:sz w:val="24"/>
          <w:szCs w:val="24"/>
          <w:lang w:eastAsia="zh-CN"/>
        </w:rPr>
      </w:pPr>
      <w:r>
        <w:rPr>
          <w:rFonts w:hint="eastAsia" w:ascii="宋体" w:hAnsi="宋体" w:eastAsia="宋体" w:cs="宋体"/>
          <w:bCs/>
          <w:sz w:val="24"/>
          <w:szCs w:val="24"/>
        </w:rPr>
        <w:t xml:space="preserve"> </w:t>
      </w:r>
      <w:r>
        <w:rPr>
          <w:rFonts w:hint="eastAsia" w:ascii="华文宋体" w:hAnsi="华文宋体" w:eastAsia="华文宋体" w:cs="华文宋体"/>
          <w:b/>
          <w:color w:val="000000"/>
          <w:sz w:val="24"/>
          <w:szCs w:val="22"/>
          <w:highlight w:val="none"/>
          <w:lang w:val="en-US" w:eastAsia="zh-CN"/>
        </w:rPr>
        <w:t>★</w:t>
      </w:r>
      <w:r>
        <w:rPr>
          <w:rFonts w:hint="eastAsia" w:ascii="宋体" w:hAnsi="宋体" w:eastAsia="宋体" w:cs="宋体"/>
          <w:bCs/>
          <w:sz w:val="24"/>
          <w:szCs w:val="24"/>
        </w:rPr>
        <w:t>·</w:t>
      </w:r>
      <w:r>
        <w:rPr>
          <w:rFonts w:hint="eastAsia" w:ascii="宋体" w:hAnsi="宋体" w:eastAsia="宋体" w:cs="宋体"/>
          <w:b/>
          <w:sz w:val="24"/>
          <w:szCs w:val="24"/>
        </w:rPr>
        <w:t>设计原则</w:t>
      </w:r>
    </w:p>
    <w:p>
      <w:pPr>
        <w:spacing w:line="360" w:lineRule="auto"/>
        <w:ind w:firstLine="480"/>
        <w:rPr>
          <w:rFonts w:hint="eastAsia" w:ascii="宋体" w:hAnsi="宋体" w:eastAsia="宋体" w:cs="宋体"/>
          <w:bCs/>
          <w:sz w:val="24"/>
          <w:szCs w:val="24"/>
          <w:lang w:eastAsia="zh-CN"/>
        </w:rPr>
      </w:pPr>
      <w:r>
        <w:rPr>
          <w:rFonts w:hint="eastAsia" w:ascii="宋体" w:hAnsi="宋体" w:eastAsia="宋体" w:cs="宋体"/>
          <w:bCs/>
          <w:sz w:val="24"/>
          <w:szCs w:val="24"/>
        </w:rPr>
        <w:t xml:space="preserve">   （一）瞄准城市定位，适应发展需求准确把握郫都区城市定位和电子信息产业功能区建设，按照公园城市建设理念，结合现状建成情况，提出桤木河城市更新段的设计定位和目标。</w:t>
      </w:r>
    </w:p>
    <w:p>
      <w:pPr>
        <w:spacing w:line="360" w:lineRule="auto"/>
        <w:ind w:firstLine="480"/>
        <w:rPr>
          <w:rFonts w:hint="eastAsia" w:ascii="宋体" w:hAnsi="宋体" w:eastAsia="宋体" w:cs="宋体"/>
          <w:bCs/>
          <w:sz w:val="24"/>
          <w:szCs w:val="24"/>
          <w:lang w:eastAsia="zh-CN"/>
        </w:rPr>
      </w:pPr>
      <w:r>
        <w:rPr>
          <w:rFonts w:hint="eastAsia" w:ascii="宋体" w:hAnsi="宋体" w:eastAsia="宋体" w:cs="宋体"/>
          <w:bCs/>
          <w:sz w:val="24"/>
          <w:szCs w:val="24"/>
        </w:rPr>
        <w:t xml:space="preserve">   （二）注重创新引领，按照公园城市场景营造的理念，践行人城境业融合之理念，在空间营造、设计元素等注重创新，引领德源未来街区提升。</w:t>
      </w:r>
    </w:p>
    <w:p>
      <w:pPr>
        <w:spacing w:line="360" w:lineRule="auto"/>
        <w:ind w:firstLine="480"/>
        <w:rPr>
          <w:rFonts w:hint="eastAsia" w:ascii="宋体" w:hAnsi="宋体" w:eastAsia="宋体" w:cs="宋体"/>
          <w:bCs/>
          <w:sz w:val="24"/>
          <w:szCs w:val="24"/>
          <w:lang w:eastAsia="zh-CN"/>
        </w:rPr>
      </w:pPr>
      <w:r>
        <w:rPr>
          <w:rFonts w:hint="eastAsia" w:ascii="宋体" w:hAnsi="宋体" w:eastAsia="宋体" w:cs="宋体"/>
          <w:bCs/>
          <w:sz w:val="24"/>
          <w:szCs w:val="24"/>
        </w:rPr>
        <w:t xml:space="preserve">   （三）  坚持因地制宜，按照建设部不大拆大建的总体要求，充分结合河流两岸现有城市建设现状，以远期发展目标为指导，远近期结合，保障项目可操作性。</w:t>
      </w:r>
    </w:p>
    <w:p>
      <w:pPr>
        <w:spacing w:line="360" w:lineRule="auto"/>
        <w:ind w:firstLine="480"/>
        <w:rPr>
          <w:rFonts w:hint="eastAsia" w:ascii="宋体" w:hAnsi="宋体" w:eastAsia="宋体" w:cs="宋体"/>
          <w:bCs/>
          <w:sz w:val="24"/>
          <w:szCs w:val="24"/>
          <w:lang w:eastAsia="zh-CN"/>
        </w:rPr>
      </w:pPr>
      <w:r>
        <w:rPr>
          <w:rFonts w:hint="eastAsia" w:ascii="宋体" w:hAnsi="宋体" w:eastAsia="宋体" w:cs="宋体"/>
          <w:bCs/>
          <w:sz w:val="24"/>
          <w:szCs w:val="24"/>
        </w:rPr>
        <w:t xml:space="preserve">   （四）注重协调发展，设计加强衔接配套与改造街区相关区域的设计及实施项目的衔接，保障协调一致。</w:t>
      </w:r>
    </w:p>
    <w:p>
      <w:pPr>
        <w:spacing w:line="360" w:lineRule="auto"/>
        <w:ind w:firstLine="480"/>
        <w:rPr>
          <w:rFonts w:hint="eastAsia" w:ascii="宋体" w:hAnsi="宋体" w:eastAsia="宋体" w:cs="宋体"/>
          <w:b/>
          <w:sz w:val="24"/>
          <w:szCs w:val="24"/>
          <w:lang w:eastAsia="zh-CN"/>
        </w:rPr>
      </w:pPr>
      <w:r>
        <w:rPr>
          <w:rFonts w:hint="eastAsia" w:ascii="宋体" w:hAnsi="宋体" w:eastAsia="宋体" w:cs="宋体"/>
          <w:bCs/>
          <w:sz w:val="24"/>
          <w:szCs w:val="24"/>
        </w:rPr>
        <w:t xml:space="preserve">    </w:t>
      </w:r>
      <w:r>
        <w:rPr>
          <w:rFonts w:hint="eastAsia" w:ascii="华文宋体" w:hAnsi="华文宋体" w:eastAsia="华文宋体" w:cs="华文宋体"/>
          <w:b/>
          <w:color w:val="000000"/>
          <w:sz w:val="24"/>
          <w:szCs w:val="22"/>
          <w:highlight w:val="none"/>
          <w:lang w:val="en-US" w:eastAsia="zh-CN"/>
        </w:rPr>
        <w:t>★</w:t>
      </w:r>
      <w:r>
        <w:rPr>
          <w:rFonts w:hint="eastAsia" w:ascii="宋体" w:hAnsi="宋体" w:eastAsia="宋体" w:cs="宋体"/>
          <w:bCs/>
          <w:sz w:val="24"/>
          <w:szCs w:val="24"/>
        </w:rPr>
        <w:t>·</w:t>
      </w:r>
      <w:r>
        <w:rPr>
          <w:rFonts w:hint="eastAsia" w:ascii="宋体" w:hAnsi="宋体" w:eastAsia="宋体" w:cs="宋体"/>
          <w:b/>
          <w:sz w:val="24"/>
          <w:szCs w:val="24"/>
        </w:rPr>
        <w:t>设计服务内容</w:t>
      </w:r>
    </w:p>
    <w:p>
      <w:pPr>
        <w:spacing w:line="360" w:lineRule="auto"/>
        <w:ind w:firstLine="480"/>
        <w:rPr>
          <w:rFonts w:hint="eastAsia" w:ascii="宋体" w:hAnsi="宋体" w:eastAsia="宋体" w:cs="宋体"/>
          <w:bCs/>
          <w:sz w:val="24"/>
          <w:szCs w:val="24"/>
        </w:rPr>
      </w:pPr>
      <w:r>
        <w:rPr>
          <w:rFonts w:hint="eastAsia" w:ascii="宋体" w:hAnsi="宋体" w:eastAsia="宋体" w:cs="宋体"/>
          <w:bCs/>
          <w:sz w:val="24"/>
          <w:szCs w:val="24"/>
        </w:rPr>
        <w:t xml:space="preserve">    包含</w:t>
      </w:r>
      <w:r>
        <w:rPr>
          <w:rFonts w:hint="eastAsia" w:ascii="宋体" w:hAnsi="宋体" w:eastAsia="宋体" w:cs="宋体"/>
          <w:bCs/>
          <w:sz w:val="24"/>
          <w:szCs w:val="24"/>
          <w:lang w:eastAsia="zh-CN"/>
        </w:rPr>
        <w:t>测绘、</w:t>
      </w:r>
      <w:r>
        <w:rPr>
          <w:rFonts w:hint="eastAsia" w:ascii="宋体" w:hAnsi="宋体" w:eastAsia="宋体" w:cs="宋体"/>
          <w:bCs/>
          <w:sz w:val="24"/>
          <w:szCs w:val="24"/>
        </w:rPr>
        <w:t>方案</w:t>
      </w:r>
      <w:r>
        <w:rPr>
          <w:rFonts w:hint="eastAsia" w:ascii="宋体" w:hAnsi="宋体" w:eastAsia="宋体" w:cs="宋体"/>
          <w:bCs/>
          <w:sz w:val="24"/>
          <w:szCs w:val="24"/>
          <w:lang w:eastAsia="zh-CN"/>
        </w:rPr>
        <w:t>规划</w:t>
      </w:r>
      <w:r>
        <w:rPr>
          <w:rFonts w:hint="eastAsia" w:ascii="宋体" w:hAnsi="宋体" w:eastAsia="宋体" w:cs="宋体"/>
          <w:bCs/>
          <w:sz w:val="24"/>
          <w:szCs w:val="24"/>
        </w:rPr>
        <w:t>设计、施工图设计及建设期间的设计服务。</w:t>
      </w:r>
    </w:p>
    <w:p>
      <w:pPr>
        <w:spacing w:line="576" w:lineRule="exact"/>
        <w:rPr>
          <w:rFonts w:hint="eastAsia" w:ascii="宋体" w:hAnsi="宋体" w:eastAsia="宋体" w:cs="宋体"/>
          <w:bCs/>
          <w:sz w:val="24"/>
          <w:szCs w:val="24"/>
        </w:rPr>
      </w:pPr>
      <w:r>
        <w:rPr>
          <w:rFonts w:hint="eastAsia" w:ascii="宋体" w:hAnsi="宋体" w:eastAsia="宋体" w:cs="宋体"/>
          <w:b/>
          <w:sz w:val="24"/>
          <w:szCs w:val="24"/>
        </w:rPr>
        <w:t>三、成果要求</w:t>
      </w:r>
    </w:p>
    <w:p>
      <w:pPr>
        <w:spacing w:line="360" w:lineRule="auto"/>
        <w:ind w:firstLine="560"/>
        <w:rPr>
          <w:rFonts w:hint="eastAsia" w:ascii="宋体" w:hAnsi="宋体" w:eastAsia="宋体" w:cs="宋体"/>
          <w:bCs/>
          <w:sz w:val="24"/>
          <w:szCs w:val="24"/>
        </w:rPr>
      </w:pPr>
      <w:r>
        <w:rPr>
          <w:rFonts w:hint="eastAsia" w:ascii="宋体" w:hAnsi="宋体" w:eastAsia="宋体" w:cs="宋体"/>
          <w:bCs/>
          <w:sz w:val="24"/>
          <w:szCs w:val="24"/>
        </w:rPr>
        <w:t>全部成果应提供电子文件和纸质文件，纸质文件不少于四份，文图表的内容应保持一致；成果要求应符合国家规范。</w:t>
      </w:r>
    </w:p>
    <w:p>
      <w:pPr>
        <w:spacing w:line="576" w:lineRule="exact"/>
        <w:rPr>
          <w:rFonts w:hint="eastAsia" w:ascii="宋体" w:hAnsi="宋体" w:eastAsia="宋体" w:cs="宋体"/>
          <w:b/>
          <w:sz w:val="24"/>
          <w:szCs w:val="24"/>
        </w:rPr>
      </w:pPr>
      <w:r>
        <w:rPr>
          <w:rFonts w:hint="eastAsia" w:ascii="华文宋体" w:hAnsi="华文宋体" w:eastAsia="华文宋体" w:cs="华文宋体"/>
          <w:b/>
          <w:color w:val="000000"/>
          <w:sz w:val="24"/>
          <w:szCs w:val="22"/>
          <w:highlight w:val="none"/>
          <w:lang w:val="en-US" w:eastAsia="zh-CN"/>
        </w:rPr>
        <w:t>★</w:t>
      </w:r>
      <w:r>
        <w:rPr>
          <w:rFonts w:hint="eastAsia" w:ascii="宋体" w:hAnsi="宋体" w:eastAsia="宋体" w:cs="宋体"/>
          <w:b/>
          <w:sz w:val="24"/>
          <w:szCs w:val="24"/>
        </w:rPr>
        <w:t>四、商务要求</w:t>
      </w:r>
    </w:p>
    <w:p>
      <w:pPr>
        <w:spacing w:line="480" w:lineRule="auto"/>
        <w:ind w:firstLine="560"/>
        <w:rPr>
          <w:rFonts w:hint="eastAsia" w:ascii="宋体" w:hAnsi="宋体" w:eastAsia="宋体" w:cs="宋体"/>
          <w:bCs/>
          <w:sz w:val="24"/>
          <w:szCs w:val="24"/>
        </w:rPr>
      </w:pPr>
      <w:r>
        <w:rPr>
          <w:rFonts w:hint="eastAsia" w:ascii="宋体" w:hAnsi="宋体" w:eastAsia="宋体" w:cs="宋体"/>
          <w:bCs/>
          <w:sz w:val="24"/>
          <w:szCs w:val="24"/>
        </w:rPr>
        <w:t>1．完成时间及地点</w:t>
      </w:r>
    </w:p>
    <w:p>
      <w:pPr>
        <w:spacing w:line="480" w:lineRule="auto"/>
        <w:ind w:firstLine="560"/>
        <w:rPr>
          <w:rFonts w:hint="eastAsia" w:ascii="宋体" w:hAnsi="宋体" w:eastAsia="宋体" w:cs="宋体"/>
          <w:bCs/>
          <w:sz w:val="24"/>
          <w:szCs w:val="24"/>
        </w:rPr>
      </w:pPr>
      <w:r>
        <w:rPr>
          <w:rFonts w:hint="eastAsia" w:ascii="宋体" w:hAnsi="宋体" w:eastAsia="宋体" w:cs="宋体"/>
          <w:bCs/>
          <w:sz w:val="24"/>
          <w:szCs w:val="24"/>
        </w:rPr>
        <w:t>完成时间：</w:t>
      </w:r>
      <w:bookmarkStart w:id="83" w:name="_Hlk76042631"/>
      <w:r>
        <w:rPr>
          <w:rFonts w:hint="eastAsia" w:ascii="宋体" w:hAnsi="宋体" w:eastAsia="宋体" w:cs="宋体"/>
          <w:bCs/>
          <w:sz w:val="24"/>
          <w:szCs w:val="24"/>
        </w:rPr>
        <w:t>合同签订生效后90天内完成</w:t>
      </w:r>
      <w:bookmarkEnd w:id="83"/>
      <w:r>
        <w:rPr>
          <w:rFonts w:hint="eastAsia" w:ascii="宋体" w:hAnsi="宋体" w:eastAsia="宋体" w:cs="宋体"/>
          <w:bCs/>
          <w:sz w:val="24"/>
          <w:szCs w:val="24"/>
        </w:rPr>
        <w:t>。</w:t>
      </w:r>
    </w:p>
    <w:p>
      <w:pPr>
        <w:spacing w:line="480" w:lineRule="auto"/>
        <w:ind w:firstLine="560"/>
        <w:rPr>
          <w:rFonts w:hint="eastAsia" w:ascii="宋体" w:hAnsi="宋体" w:eastAsia="宋体" w:cs="宋体"/>
          <w:bCs/>
          <w:sz w:val="24"/>
          <w:szCs w:val="24"/>
          <w:lang w:eastAsia="zh-CN"/>
        </w:rPr>
      </w:pPr>
      <w:r>
        <w:rPr>
          <w:rFonts w:hint="eastAsia" w:ascii="宋体" w:hAnsi="宋体" w:eastAsia="宋体" w:cs="宋体"/>
          <w:bCs/>
          <w:sz w:val="24"/>
          <w:szCs w:val="24"/>
        </w:rPr>
        <w:t>实施范围:采购人指定地点</w:t>
      </w:r>
      <w:r>
        <w:rPr>
          <w:rFonts w:hint="eastAsia" w:ascii="宋体" w:hAnsi="宋体" w:eastAsia="宋体" w:cs="宋体"/>
          <w:bCs/>
          <w:sz w:val="24"/>
          <w:szCs w:val="24"/>
          <w:lang w:eastAsia="zh-CN"/>
        </w:rPr>
        <w:t>。</w:t>
      </w:r>
    </w:p>
    <w:p>
      <w:pPr>
        <w:numPr>
          <w:ilvl w:val="0"/>
          <w:numId w:val="3"/>
        </w:numPr>
        <w:spacing w:line="480" w:lineRule="auto"/>
        <w:ind w:firstLine="560"/>
        <w:rPr>
          <w:rFonts w:hint="eastAsia" w:ascii="宋体" w:hAnsi="宋体" w:eastAsia="宋体" w:cs="宋体"/>
          <w:sz w:val="24"/>
          <w:szCs w:val="24"/>
          <w:lang w:val="en-US" w:eastAsia="zh-CN"/>
        </w:rPr>
      </w:pPr>
      <w:r>
        <w:rPr>
          <w:rFonts w:hint="eastAsia" w:ascii="宋体" w:hAnsi="宋体" w:eastAsia="宋体" w:cs="宋体"/>
          <w:bCs/>
          <w:sz w:val="24"/>
          <w:szCs w:val="24"/>
        </w:rPr>
        <w:t>提交成果要求:中标单位完成本项目的</w:t>
      </w:r>
      <w:r>
        <w:rPr>
          <w:rFonts w:hint="eastAsia" w:ascii="宋体" w:hAnsi="宋体" w:eastAsia="宋体" w:cs="宋体"/>
          <w:bCs/>
          <w:sz w:val="24"/>
          <w:szCs w:val="24"/>
          <w:lang w:eastAsia="zh-CN"/>
        </w:rPr>
        <w:t>各项</w:t>
      </w:r>
      <w:r>
        <w:rPr>
          <w:rFonts w:hint="eastAsia" w:ascii="宋体" w:hAnsi="宋体" w:eastAsia="宋体" w:cs="宋体"/>
          <w:bCs/>
          <w:sz w:val="24"/>
          <w:szCs w:val="24"/>
        </w:rPr>
        <w:t>成果</w:t>
      </w:r>
      <w:r>
        <w:rPr>
          <w:rFonts w:hint="eastAsia" w:ascii="宋体" w:hAnsi="宋体" w:eastAsia="宋体" w:cs="宋体"/>
          <w:bCs/>
          <w:sz w:val="24"/>
          <w:szCs w:val="24"/>
          <w:lang w:eastAsia="zh-CN"/>
        </w:rPr>
        <w:t>（方案规划设计、实地测绘、施工图设计）</w:t>
      </w:r>
      <w:r>
        <w:rPr>
          <w:rFonts w:hint="eastAsia" w:ascii="宋体" w:hAnsi="宋体" w:eastAsia="宋体" w:cs="宋体"/>
          <w:bCs/>
          <w:sz w:val="24"/>
          <w:szCs w:val="24"/>
        </w:rPr>
        <w:t>须通过甲方组织的项目验收。</w:t>
      </w:r>
    </w:p>
    <w:p>
      <w:pPr>
        <w:numPr>
          <w:ilvl w:val="0"/>
          <w:numId w:val="3"/>
        </w:numPr>
        <w:spacing w:line="480" w:lineRule="auto"/>
        <w:ind w:firstLine="560"/>
        <w:rPr>
          <w:rFonts w:hint="eastAsia" w:ascii="宋体" w:hAnsi="宋体" w:eastAsia="宋体" w:cs="宋体"/>
          <w:sz w:val="24"/>
          <w:szCs w:val="24"/>
          <w:lang w:val="en-US" w:eastAsia="zh-CN"/>
        </w:rPr>
      </w:pPr>
      <w:r>
        <w:rPr>
          <w:rFonts w:hint="eastAsia" w:hAnsi="宋体" w:cs="宋体"/>
          <w:sz w:val="24"/>
          <w:szCs w:val="24"/>
          <w:lang w:val="en-US" w:eastAsia="zh-CN"/>
        </w:rPr>
        <w:t>最高限价（资金分配）</w:t>
      </w:r>
      <w:r>
        <w:rPr>
          <w:rFonts w:hint="eastAsia" w:ascii="宋体" w:hAnsi="宋体" w:eastAsia="宋体" w:cs="宋体"/>
          <w:sz w:val="24"/>
          <w:szCs w:val="24"/>
          <w:lang w:val="en-US" w:eastAsia="zh-CN"/>
        </w:rPr>
        <w:t>：方案规划设计费850000.00元、测绘费300000.00元、施工图设计850000.00元。</w:t>
      </w:r>
    </w:p>
    <w:p>
      <w:pPr>
        <w:spacing w:line="480" w:lineRule="auto"/>
        <w:ind w:firstLine="560"/>
        <w:rPr>
          <w:rFonts w:hint="eastAsia" w:ascii="宋体" w:hAnsi="宋体" w:eastAsia="宋体" w:cs="宋体"/>
          <w:bCs/>
          <w:sz w:val="24"/>
          <w:szCs w:val="24"/>
        </w:rPr>
      </w:pPr>
      <w:r>
        <w:rPr>
          <w:rFonts w:hint="eastAsia" w:ascii="宋体" w:hAnsi="宋体" w:eastAsia="宋体" w:cs="宋体"/>
          <w:bCs/>
          <w:sz w:val="24"/>
          <w:szCs w:val="24"/>
          <w:lang w:val="en-US" w:eastAsia="zh-CN"/>
        </w:rPr>
        <w:t>4</w:t>
      </w:r>
      <w:r>
        <w:rPr>
          <w:rFonts w:hint="eastAsia" w:ascii="宋体" w:hAnsi="宋体" w:eastAsia="宋体" w:cs="宋体"/>
          <w:bCs/>
          <w:sz w:val="24"/>
          <w:szCs w:val="24"/>
        </w:rPr>
        <w:t>．付款方式：</w:t>
      </w:r>
    </w:p>
    <w:p>
      <w:pPr>
        <w:spacing w:line="480" w:lineRule="auto"/>
        <w:ind w:firstLine="560"/>
        <w:rPr>
          <w:rFonts w:hint="eastAsia" w:ascii="宋体" w:hAnsi="宋体" w:eastAsia="宋体" w:cs="宋体"/>
          <w:bCs/>
          <w:sz w:val="24"/>
          <w:szCs w:val="24"/>
        </w:rPr>
      </w:pPr>
      <w:r>
        <w:rPr>
          <w:rFonts w:hint="eastAsia" w:ascii="宋体" w:hAnsi="宋体" w:eastAsia="宋体" w:cs="宋体"/>
          <w:bCs/>
          <w:sz w:val="24"/>
          <w:szCs w:val="24"/>
        </w:rPr>
        <w:t>采用分段付款方式支付</w:t>
      </w:r>
      <w:r>
        <w:rPr>
          <w:rFonts w:hint="eastAsia" w:ascii="宋体" w:hAnsi="宋体" w:eastAsia="宋体" w:cs="宋体"/>
          <w:bCs/>
          <w:sz w:val="24"/>
          <w:szCs w:val="24"/>
          <w:lang w:eastAsia="zh-CN"/>
        </w:rPr>
        <w:t>设计</w:t>
      </w:r>
      <w:r>
        <w:rPr>
          <w:rFonts w:hint="eastAsia" w:ascii="宋体" w:hAnsi="宋体" w:eastAsia="宋体" w:cs="宋体"/>
          <w:bCs/>
          <w:sz w:val="24"/>
          <w:szCs w:val="24"/>
        </w:rPr>
        <w:t>务单位</w:t>
      </w:r>
      <w:r>
        <w:rPr>
          <w:rFonts w:hint="eastAsia" w:ascii="宋体" w:hAnsi="宋体" w:eastAsia="宋体" w:cs="宋体"/>
          <w:bCs/>
          <w:sz w:val="24"/>
          <w:szCs w:val="24"/>
          <w:lang w:eastAsia="zh-CN"/>
        </w:rPr>
        <w:t>设计</w:t>
      </w:r>
      <w:r>
        <w:rPr>
          <w:rFonts w:hint="eastAsia" w:ascii="宋体" w:hAnsi="宋体" w:eastAsia="宋体" w:cs="宋体"/>
          <w:bCs/>
          <w:sz w:val="24"/>
          <w:szCs w:val="24"/>
        </w:rPr>
        <w:t>费：</w:t>
      </w:r>
    </w:p>
    <w:p>
      <w:pPr>
        <w:spacing w:line="480" w:lineRule="auto"/>
        <w:jc w:val="left"/>
        <w:rPr>
          <w:rFonts w:hint="eastAsia" w:ascii="宋体" w:hAnsi="宋体" w:eastAsia="宋体" w:cs="宋体"/>
          <w:b/>
          <w:bCs w:val="0"/>
          <w:sz w:val="24"/>
          <w:szCs w:val="24"/>
          <w:lang w:eastAsia="zh-CN"/>
        </w:rPr>
      </w:pPr>
      <w:r>
        <w:rPr>
          <w:rFonts w:hint="eastAsia" w:ascii="宋体" w:hAnsi="宋体" w:eastAsia="宋体" w:cs="宋体"/>
          <w:b/>
          <w:bCs w:val="0"/>
          <w:sz w:val="24"/>
          <w:szCs w:val="24"/>
          <w:lang w:eastAsia="zh-CN"/>
        </w:rPr>
        <w:t>（</w:t>
      </w:r>
      <w:r>
        <w:rPr>
          <w:rFonts w:hint="eastAsia" w:hAnsi="宋体" w:cs="宋体"/>
          <w:b/>
          <w:bCs w:val="0"/>
          <w:sz w:val="24"/>
          <w:szCs w:val="24"/>
          <w:lang w:eastAsia="zh-CN"/>
        </w:rPr>
        <w:t>一</w:t>
      </w:r>
      <w:r>
        <w:rPr>
          <w:rFonts w:hint="eastAsia" w:ascii="宋体" w:hAnsi="宋体" w:eastAsia="宋体" w:cs="宋体"/>
          <w:b/>
          <w:bCs w:val="0"/>
          <w:sz w:val="24"/>
          <w:szCs w:val="24"/>
          <w:lang w:eastAsia="zh-CN"/>
        </w:rPr>
        <w:t>）测绘阶段付款方式：</w:t>
      </w:r>
    </w:p>
    <w:p>
      <w:pPr>
        <w:spacing w:line="480" w:lineRule="auto"/>
        <w:ind w:firstLine="480" w:firstLineChars="200"/>
        <w:jc w:val="left"/>
        <w:rPr>
          <w:rFonts w:hint="eastAsia" w:ascii="宋体" w:hAnsi="宋体" w:eastAsia="宋体" w:cs="宋体"/>
          <w:bCs/>
          <w:sz w:val="24"/>
          <w:szCs w:val="24"/>
          <w:lang w:val="en-US" w:eastAsia="zh-CN"/>
        </w:rPr>
      </w:pP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1</w:t>
      </w: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甲方通知乙方启动测绘工作并进场开始实施，</w:t>
      </w:r>
      <w:r>
        <w:rPr>
          <w:rFonts w:hint="eastAsia" w:ascii="宋体" w:hAnsi="宋体" w:eastAsia="宋体" w:cs="宋体"/>
          <w:bCs/>
          <w:sz w:val="24"/>
          <w:szCs w:val="24"/>
          <w:lang w:eastAsia="zh-CN"/>
        </w:rPr>
        <w:t>乙方提出申请并出具相应正式发票后的10个工作日内，甲方向乙方支付</w:t>
      </w:r>
      <w:r>
        <w:rPr>
          <w:rFonts w:hint="eastAsia" w:ascii="宋体" w:hAnsi="宋体" w:eastAsia="宋体" w:cs="宋体"/>
          <w:bCs/>
          <w:sz w:val="24"/>
          <w:szCs w:val="24"/>
          <w:lang w:val="en-US" w:eastAsia="zh-CN"/>
        </w:rPr>
        <w:t>测绘费</w:t>
      </w:r>
      <w:r>
        <w:rPr>
          <w:rFonts w:hint="eastAsia" w:ascii="宋体" w:hAnsi="宋体" w:eastAsia="宋体" w:cs="宋体"/>
          <w:bCs/>
          <w:sz w:val="24"/>
          <w:szCs w:val="24"/>
          <w:lang w:eastAsia="zh-CN"/>
        </w:rPr>
        <w:t>合同金额的</w:t>
      </w:r>
      <w:r>
        <w:rPr>
          <w:rFonts w:hint="eastAsia" w:ascii="宋体" w:hAnsi="宋体" w:eastAsia="宋体" w:cs="宋体"/>
          <w:bCs/>
          <w:sz w:val="24"/>
          <w:szCs w:val="24"/>
          <w:lang w:val="en-US" w:eastAsia="zh-CN"/>
        </w:rPr>
        <w:t>3</w:t>
      </w:r>
      <w:r>
        <w:rPr>
          <w:rFonts w:hint="eastAsia" w:ascii="宋体" w:hAnsi="宋体" w:eastAsia="宋体" w:cs="宋体"/>
          <w:bCs/>
          <w:sz w:val="24"/>
          <w:szCs w:val="24"/>
          <w:lang w:eastAsia="zh-CN"/>
        </w:rPr>
        <w:t>0%；</w:t>
      </w:r>
    </w:p>
    <w:p>
      <w:pPr>
        <w:numPr>
          <w:ilvl w:val="0"/>
          <w:numId w:val="0"/>
        </w:numPr>
        <w:spacing w:line="480" w:lineRule="auto"/>
        <w:ind w:firstLine="480" w:firstLineChars="200"/>
        <w:rPr>
          <w:rFonts w:hint="eastAsia" w:ascii="宋体" w:hAnsi="宋体" w:eastAsia="宋体" w:cs="宋体"/>
          <w:bCs/>
          <w:color w:val="auto"/>
          <w:sz w:val="24"/>
          <w:szCs w:val="24"/>
          <w:highlight w:val="none"/>
          <w:lang w:eastAsia="zh-CN"/>
        </w:rPr>
      </w:pP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2</w:t>
      </w:r>
      <w:r>
        <w:rPr>
          <w:rFonts w:hint="eastAsia" w:ascii="宋体" w:hAnsi="宋体" w:eastAsia="宋体" w:cs="宋体"/>
          <w:bCs/>
          <w:sz w:val="24"/>
          <w:szCs w:val="24"/>
          <w:lang w:eastAsia="zh-CN"/>
        </w:rPr>
        <w:t>）测绘工作完成，经甲方确认并按要求提供完整的测绘成果，乙方提出申请并出具相应正式发票后的20个工作日内，甲方向乙方支付测绘</w:t>
      </w:r>
      <w:r>
        <w:rPr>
          <w:rFonts w:hint="eastAsia" w:ascii="宋体" w:hAnsi="宋体" w:eastAsia="宋体" w:cs="宋体"/>
          <w:bCs/>
          <w:sz w:val="24"/>
          <w:szCs w:val="24"/>
          <w:lang w:val="en-US" w:eastAsia="zh-CN"/>
        </w:rPr>
        <w:t>费</w:t>
      </w:r>
      <w:r>
        <w:rPr>
          <w:rFonts w:hint="eastAsia" w:ascii="宋体" w:hAnsi="宋体" w:eastAsia="宋体" w:cs="宋体"/>
          <w:bCs/>
          <w:sz w:val="24"/>
          <w:szCs w:val="24"/>
          <w:lang w:eastAsia="zh-CN"/>
        </w:rPr>
        <w:t>合同金额的</w:t>
      </w:r>
      <w:r>
        <w:rPr>
          <w:rFonts w:hint="eastAsia" w:ascii="宋体" w:hAnsi="宋体" w:eastAsia="宋体" w:cs="宋体"/>
          <w:bCs/>
          <w:sz w:val="24"/>
          <w:szCs w:val="24"/>
          <w:lang w:val="en-US" w:eastAsia="zh-CN"/>
        </w:rPr>
        <w:t>7</w:t>
      </w:r>
      <w:r>
        <w:rPr>
          <w:rFonts w:hint="eastAsia" w:ascii="宋体" w:hAnsi="宋体" w:eastAsia="宋体" w:cs="宋体"/>
          <w:bCs/>
          <w:sz w:val="24"/>
          <w:szCs w:val="24"/>
          <w:lang w:eastAsia="zh-CN"/>
        </w:rPr>
        <w:t>0%。</w:t>
      </w:r>
    </w:p>
    <w:p>
      <w:pPr>
        <w:spacing w:line="480" w:lineRule="auto"/>
        <w:jc w:val="left"/>
        <w:rPr>
          <w:rFonts w:hint="eastAsia" w:ascii="宋体" w:hAnsi="宋体" w:eastAsia="宋体" w:cs="宋体"/>
          <w:b/>
          <w:bCs w:val="0"/>
          <w:color w:val="auto"/>
          <w:sz w:val="24"/>
          <w:szCs w:val="24"/>
          <w:lang w:eastAsia="zh-CN"/>
        </w:rPr>
      </w:pPr>
      <w:r>
        <w:rPr>
          <w:rFonts w:hint="eastAsia" w:ascii="宋体" w:hAnsi="宋体" w:eastAsia="宋体" w:cs="宋体"/>
          <w:b/>
          <w:bCs w:val="0"/>
          <w:color w:val="auto"/>
          <w:sz w:val="24"/>
          <w:szCs w:val="24"/>
          <w:lang w:eastAsia="zh-CN"/>
        </w:rPr>
        <w:t>（</w:t>
      </w:r>
      <w:r>
        <w:rPr>
          <w:rFonts w:hint="eastAsia" w:ascii="宋体" w:hAnsi="宋体" w:eastAsia="宋体" w:cs="宋体"/>
          <w:b/>
          <w:bCs w:val="0"/>
          <w:color w:val="auto"/>
          <w:sz w:val="24"/>
          <w:szCs w:val="24"/>
          <w:lang w:val="en-US" w:eastAsia="zh-CN"/>
        </w:rPr>
        <w:t>二</w:t>
      </w:r>
      <w:r>
        <w:rPr>
          <w:rFonts w:hint="eastAsia" w:ascii="宋体" w:hAnsi="宋体" w:eastAsia="宋体" w:cs="宋体"/>
          <w:b/>
          <w:bCs w:val="0"/>
          <w:color w:val="auto"/>
          <w:sz w:val="24"/>
          <w:szCs w:val="24"/>
          <w:lang w:eastAsia="zh-CN"/>
        </w:rPr>
        <w:t>）</w:t>
      </w:r>
      <w:r>
        <w:rPr>
          <w:rFonts w:hint="eastAsia" w:ascii="宋体" w:hAnsi="宋体" w:eastAsia="宋体" w:cs="宋体"/>
          <w:b/>
          <w:bCs w:val="0"/>
          <w:color w:val="auto"/>
          <w:sz w:val="24"/>
          <w:szCs w:val="24"/>
          <w:highlight w:val="none"/>
          <w:lang w:val="en-US" w:eastAsia="zh-CN"/>
        </w:rPr>
        <w:t>方案规划设计阶段付款方式：</w:t>
      </w:r>
    </w:p>
    <w:p>
      <w:pPr>
        <w:numPr>
          <w:ilvl w:val="0"/>
          <w:numId w:val="0"/>
        </w:numPr>
        <w:spacing w:line="48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合同签订并进场开展工作后10个工作日后，乙方提出申请并出具相应正式发票后的10个工作日内，甲方向乙方支付</w:t>
      </w:r>
      <w:r>
        <w:rPr>
          <w:rFonts w:hint="eastAsia" w:ascii="宋体" w:hAnsi="宋体" w:eastAsia="宋体" w:cs="宋体"/>
          <w:bCs/>
          <w:color w:val="auto"/>
          <w:sz w:val="24"/>
          <w:szCs w:val="24"/>
          <w:highlight w:val="none"/>
          <w:lang w:val="en-US" w:eastAsia="zh-CN"/>
        </w:rPr>
        <w:t>方案阶段设计费用</w:t>
      </w:r>
      <w:r>
        <w:rPr>
          <w:rFonts w:ascii="宋体" w:hAnsi="宋体" w:cs="宋体"/>
          <w:bCs/>
          <w:color w:val="auto"/>
          <w:sz w:val="24"/>
          <w:szCs w:val="24"/>
          <w:highlight w:val="none"/>
        </w:rPr>
        <w:t>总金额</w:t>
      </w:r>
      <w:r>
        <w:rPr>
          <w:rFonts w:hint="eastAsia" w:ascii="宋体" w:hAnsi="宋体" w:eastAsia="宋体" w:cs="宋体"/>
          <w:bCs/>
          <w:color w:val="auto"/>
          <w:sz w:val="24"/>
          <w:szCs w:val="24"/>
          <w:highlight w:val="none"/>
          <w:lang w:eastAsia="zh-CN"/>
        </w:rPr>
        <w:t>的</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0%；</w:t>
      </w:r>
    </w:p>
    <w:p>
      <w:pPr>
        <w:numPr>
          <w:ilvl w:val="0"/>
          <w:numId w:val="0"/>
        </w:numPr>
        <w:spacing w:line="48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（2）方案规划设计概念成果</w:t>
      </w:r>
      <w:r>
        <w:rPr>
          <w:rFonts w:hint="eastAsia" w:ascii="宋体" w:hAnsi="宋体" w:eastAsia="宋体" w:cs="宋体"/>
          <w:bCs/>
          <w:color w:val="auto"/>
          <w:sz w:val="24"/>
          <w:szCs w:val="24"/>
          <w:highlight w:val="none"/>
        </w:rPr>
        <w:t>经甲方审核确认之后，乙方提出申请并出具相应正式发票后的20个工作日内，甲方向乙方支付</w:t>
      </w:r>
      <w:r>
        <w:rPr>
          <w:rFonts w:hint="eastAsia" w:ascii="宋体" w:hAnsi="宋体" w:eastAsia="宋体" w:cs="宋体"/>
          <w:bCs/>
          <w:color w:val="auto"/>
          <w:sz w:val="24"/>
          <w:szCs w:val="24"/>
          <w:highlight w:val="none"/>
          <w:lang w:val="en-US" w:eastAsia="zh-CN"/>
        </w:rPr>
        <w:t>方案阶段设计费用</w:t>
      </w:r>
      <w:r>
        <w:rPr>
          <w:rFonts w:ascii="宋体" w:hAnsi="宋体" w:cs="宋体"/>
          <w:bCs/>
          <w:color w:val="auto"/>
          <w:sz w:val="24"/>
          <w:szCs w:val="24"/>
          <w:highlight w:val="none"/>
        </w:rPr>
        <w:t>总金额</w:t>
      </w:r>
      <w:r>
        <w:rPr>
          <w:rFonts w:hint="eastAsia" w:ascii="宋体" w:hAnsi="宋体" w:eastAsia="宋体" w:cs="宋体"/>
          <w:bCs/>
          <w:color w:val="auto"/>
          <w:sz w:val="24"/>
          <w:szCs w:val="24"/>
          <w:highlight w:val="none"/>
          <w:lang w:eastAsia="zh-CN"/>
        </w:rPr>
        <w:t>的</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0%；</w:t>
      </w:r>
    </w:p>
    <w:p>
      <w:pPr>
        <w:numPr>
          <w:ilvl w:val="0"/>
          <w:numId w:val="0"/>
        </w:numPr>
        <w:spacing w:line="480" w:lineRule="auto"/>
        <w:ind w:firstLine="480" w:firstLineChars="20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lang w:eastAsia="zh-CN"/>
        </w:rPr>
        <w:t>）方案规划设计完成，经甲方确认并按要求提供完整的方案规划设计成果，乙方提出申请并出具相应正式发票后的20个工作日内，甲方向乙方支付</w:t>
      </w:r>
      <w:r>
        <w:rPr>
          <w:rFonts w:hint="eastAsia" w:ascii="宋体" w:hAnsi="宋体" w:eastAsia="宋体" w:cs="宋体"/>
          <w:bCs/>
          <w:color w:val="auto"/>
          <w:sz w:val="24"/>
          <w:szCs w:val="24"/>
          <w:highlight w:val="none"/>
          <w:lang w:val="en-US" w:eastAsia="zh-CN"/>
        </w:rPr>
        <w:t>方案阶段设计费用</w:t>
      </w:r>
      <w:r>
        <w:rPr>
          <w:rFonts w:ascii="宋体" w:hAnsi="宋体" w:cs="宋体"/>
          <w:bCs/>
          <w:color w:val="auto"/>
          <w:sz w:val="24"/>
          <w:szCs w:val="24"/>
          <w:highlight w:val="none"/>
        </w:rPr>
        <w:t>总金额</w:t>
      </w:r>
      <w:r>
        <w:rPr>
          <w:rFonts w:hint="eastAsia" w:ascii="宋体" w:hAnsi="宋体" w:eastAsia="宋体" w:cs="宋体"/>
          <w:bCs/>
          <w:color w:val="auto"/>
          <w:sz w:val="24"/>
          <w:szCs w:val="24"/>
          <w:highlight w:val="none"/>
          <w:lang w:eastAsia="zh-CN"/>
        </w:rPr>
        <w:t>的</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lang w:eastAsia="zh-CN"/>
        </w:rPr>
        <w:t>0%。</w:t>
      </w:r>
    </w:p>
    <w:p>
      <w:pPr>
        <w:pStyle w:val="24"/>
        <w:numPr>
          <w:ilvl w:val="0"/>
          <w:numId w:val="0"/>
        </w:numPr>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（三）施工图设计阶段付款方式</w:t>
      </w:r>
    </w:p>
    <w:p>
      <w:pPr>
        <w:spacing w:line="480" w:lineRule="auto"/>
        <w:ind w:firstLine="560"/>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1</w:t>
      </w: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甲方通知乙方启动施工图设计工作，</w:t>
      </w:r>
      <w:r>
        <w:rPr>
          <w:rFonts w:hint="eastAsia" w:ascii="宋体" w:hAnsi="宋体" w:eastAsia="宋体" w:cs="宋体"/>
          <w:bCs/>
          <w:sz w:val="24"/>
          <w:szCs w:val="24"/>
          <w:highlight w:val="none"/>
        </w:rPr>
        <w:t>乙方提出申请并出具相应正式发票后的10个工作日内，甲方向乙方支付</w:t>
      </w:r>
      <w:r>
        <w:rPr>
          <w:rFonts w:hint="eastAsia" w:ascii="宋体" w:hAnsi="宋体" w:eastAsia="宋体" w:cs="宋体"/>
          <w:bCs/>
          <w:sz w:val="24"/>
          <w:szCs w:val="24"/>
          <w:highlight w:val="none"/>
          <w:lang w:val="en-US" w:eastAsia="zh-CN"/>
        </w:rPr>
        <w:t>施工图阶段设计费</w:t>
      </w:r>
      <w:r>
        <w:rPr>
          <w:rFonts w:hint="eastAsia" w:ascii="宋体" w:hAnsi="宋体" w:eastAsia="宋体" w:cs="宋体"/>
          <w:bCs/>
          <w:sz w:val="24"/>
          <w:szCs w:val="24"/>
          <w:highlight w:val="none"/>
          <w:lang w:eastAsia="zh-CN"/>
        </w:rPr>
        <w:t>合同</w:t>
      </w:r>
      <w:r>
        <w:rPr>
          <w:rFonts w:hint="eastAsia" w:ascii="宋体" w:hAnsi="宋体" w:eastAsia="宋体" w:cs="宋体"/>
          <w:bCs/>
          <w:sz w:val="24"/>
          <w:szCs w:val="24"/>
          <w:highlight w:val="none"/>
        </w:rPr>
        <w:t>金额</w:t>
      </w:r>
      <w:r>
        <w:rPr>
          <w:rFonts w:hint="eastAsia" w:ascii="宋体" w:hAnsi="宋体" w:eastAsia="宋体" w:cs="宋体"/>
          <w:bCs/>
          <w:sz w:val="24"/>
          <w:szCs w:val="24"/>
          <w:highlight w:val="none"/>
          <w:lang w:eastAsia="zh-CN"/>
        </w:rPr>
        <w:t>的</w:t>
      </w:r>
      <w:r>
        <w:rPr>
          <w:rFonts w:hint="eastAsia" w:ascii="宋体" w:hAnsi="宋体" w:eastAsia="宋体" w:cs="宋体"/>
          <w:bCs/>
          <w:sz w:val="24"/>
          <w:szCs w:val="24"/>
          <w:highlight w:val="none"/>
          <w:lang w:val="en-US" w:eastAsia="zh-CN"/>
        </w:rPr>
        <w:t>2</w:t>
      </w:r>
      <w:r>
        <w:rPr>
          <w:rFonts w:hint="eastAsia" w:ascii="宋体" w:hAnsi="宋体" w:eastAsia="宋体" w:cs="宋体"/>
          <w:bCs/>
          <w:sz w:val="24"/>
          <w:szCs w:val="24"/>
          <w:highlight w:val="none"/>
        </w:rPr>
        <w:t>0%</w:t>
      </w:r>
      <w:r>
        <w:rPr>
          <w:rFonts w:hint="eastAsia" w:ascii="宋体" w:hAnsi="宋体" w:eastAsia="宋体" w:cs="宋体"/>
          <w:bCs/>
          <w:sz w:val="24"/>
          <w:szCs w:val="24"/>
          <w:highlight w:val="none"/>
          <w:lang w:eastAsia="zh-CN"/>
        </w:rPr>
        <w:t>；</w:t>
      </w:r>
    </w:p>
    <w:p>
      <w:pPr>
        <w:spacing w:line="480" w:lineRule="auto"/>
        <w:ind w:firstLine="560"/>
        <w:rPr>
          <w:rFonts w:hint="eastAsia" w:ascii="宋体" w:hAnsi="宋体" w:eastAsia="宋体" w:cs="宋体"/>
          <w:bCs/>
          <w:sz w:val="24"/>
          <w:szCs w:val="24"/>
          <w:highlight w:val="none"/>
        </w:rPr>
      </w:pP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lang w:val="en-US" w:eastAsia="zh-CN"/>
        </w:rPr>
        <w:t>2</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乙方完成施工图经甲方审核确认之后，乙方提出申请并出具相应正式发票后的20个工作日内，甲方向乙方支付</w:t>
      </w:r>
      <w:r>
        <w:rPr>
          <w:rFonts w:hint="eastAsia" w:ascii="宋体" w:hAnsi="宋体" w:eastAsia="宋体" w:cs="宋体"/>
          <w:bCs/>
          <w:sz w:val="24"/>
          <w:szCs w:val="24"/>
          <w:highlight w:val="none"/>
          <w:lang w:val="en-US" w:eastAsia="zh-CN"/>
        </w:rPr>
        <w:t>施工图阶段设计费</w:t>
      </w:r>
      <w:r>
        <w:rPr>
          <w:rFonts w:hint="eastAsia" w:ascii="宋体" w:hAnsi="宋体" w:eastAsia="宋体" w:cs="宋体"/>
          <w:bCs/>
          <w:sz w:val="24"/>
          <w:szCs w:val="24"/>
          <w:highlight w:val="none"/>
          <w:lang w:eastAsia="zh-CN"/>
        </w:rPr>
        <w:t>合同</w:t>
      </w:r>
      <w:r>
        <w:rPr>
          <w:rFonts w:hint="eastAsia" w:ascii="宋体" w:hAnsi="宋体" w:eastAsia="宋体" w:cs="宋体"/>
          <w:bCs/>
          <w:sz w:val="24"/>
          <w:szCs w:val="24"/>
          <w:highlight w:val="none"/>
        </w:rPr>
        <w:t>金额</w:t>
      </w:r>
      <w:r>
        <w:rPr>
          <w:rFonts w:hint="eastAsia" w:ascii="宋体" w:hAnsi="宋体" w:eastAsia="宋体" w:cs="宋体"/>
          <w:bCs/>
          <w:sz w:val="24"/>
          <w:szCs w:val="24"/>
          <w:highlight w:val="none"/>
          <w:lang w:eastAsia="zh-CN"/>
        </w:rPr>
        <w:t>的</w:t>
      </w:r>
      <w:r>
        <w:rPr>
          <w:rFonts w:hint="eastAsia" w:ascii="宋体" w:hAnsi="宋体" w:eastAsia="宋体" w:cs="宋体"/>
          <w:bCs/>
          <w:sz w:val="24"/>
          <w:szCs w:val="24"/>
          <w:highlight w:val="none"/>
          <w:lang w:val="en-US" w:eastAsia="zh-CN"/>
        </w:rPr>
        <w:t>60</w:t>
      </w:r>
      <w:r>
        <w:rPr>
          <w:rFonts w:hint="eastAsia" w:ascii="宋体" w:hAnsi="宋体" w:eastAsia="宋体" w:cs="宋体"/>
          <w:bCs/>
          <w:sz w:val="24"/>
          <w:szCs w:val="24"/>
          <w:highlight w:val="none"/>
        </w:rPr>
        <w:t>%；</w:t>
      </w:r>
    </w:p>
    <w:p>
      <w:pPr>
        <w:spacing w:line="480" w:lineRule="auto"/>
        <w:ind w:firstLine="560"/>
        <w:rPr>
          <w:rFonts w:hint="eastAsia" w:ascii="宋体" w:hAnsi="宋体" w:eastAsia="宋体" w:cs="宋体"/>
          <w:bCs/>
          <w:color w:val="auto"/>
          <w:sz w:val="24"/>
          <w:szCs w:val="24"/>
          <w:lang w:eastAsia="zh-CN"/>
        </w:rPr>
      </w:pP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3</w:t>
      </w:r>
      <w:r>
        <w:rPr>
          <w:rFonts w:hint="eastAsia" w:ascii="宋体" w:hAnsi="宋体" w:eastAsia="宋体" w:cs="宋体"/>
          <w:bCs/>
          <w:sz w:val="24"/>
          <w:szCs w:val="24"/>
          <w:highlight w:val="none"/>
        </w:rPr>
        <w:t>）项目</w:t>
      </w:r>
      <w:r>
        <w:rPr>
          <w:rFonts w:hint="eastAsia" w:ascii="宋体" w:hAnsi="宋体" w:eastAsia="宋体" w:cs="宋体"/>
          <w:bCs/>
          <w:sz w:val="24"/>
          <w:szCs w:val="24"/>
          <w:highlight w:val="none"/>
          <w:lang w:eastAsia="zh-CN"/>
        </w:rPr>
        <w:t>施工整体竣工验收合格后，</w:t>
      </w:r>
      <w:r>
        <w:rPr>
          <w:rFonts w:hint="eastAsia" w:ascii="宋体" w:hAnsi="宋体" w:eastAsia="宋体" w:cs="宋体"/>
          <w:bCs/>
          <w:sz w:val="24"/>
          <w:szCs w:val="24"/>
          <w:highlight w:val="none"/>
        </w:rPr>
        <w:t>在乙方提出申请并出具相应正式发票后的10个工作日内，甲方向乙方支付</w:t>
      </w:r>
      <w:r>
        <w:rPr>
          <w:rFonts w:hint="eastAsia" w:ascii="宋体" w:hAnsi="宋体" w:eastAsia="宋体" w:cs="宋体"/>
          <w:bCs/>
          <w:sz w:val="24"/>
          <w:szCs w:val="24"/>
          <w:highlight w:val="none"/>
          <w:lang w:val="en-US" w:eastAsia="zh-CN"/>
        </w:rPr>
        <w:t>施工图阶段设计费</w:t>
      </w:r>
      <w:r>
        <w:rPr>
          <w:rFonts w:hint="eastAsia" w:ascii="宋体" w:hAnsi="宋体" w:eastAsia="宋体" w:cs="宋体"/>
          <w:bCs/>
          <w:sz w:val="24"/>
          <w:szCs w:val="24"/>
          <w:highlight w:val="none"/>
          <w:lang w:eastAsia="zh-CN"/>
        </w:rPr>
        <w:t>合同</w:t>
      </w:r>
      <w:r>
        <w:rPr>
          <w:rFonts w:hint="eastAsia" w:ascii="宋体" w:hAnsi="宋体" w:eastAsia="宋体" w:cs="宋体"/>
          <w:bCs/>
          <w:sz w:val="24"/>
          <w:szCs w:val="24"/>
          <w:highlight w:val="none"/>
        </w:rPr>
        <w:t>金额的</w:t>
      </w:r>
      <w:r>
        <w:rPr>
          <w:rFonts w:hint="eastAsia" w:ascii="宋体" w:hAnsi="宋体" w:eastAsia="宋体" w:cs="宋体"/>
          <w:bCs/>
          <w:sz w:val="24"/>
          <w:szCs w:val="24"/>
          <w:highlight w:val="none"/>
          <w:lang w:val="en-US" w:eastAsia="zh-CN"/>
        </w:rPr>
        <w:t>20</w:t>
      </w:r>
      <w:r>
        <w:rPr>
          <w:rFonts w:hint="eastAsia" w:ascii="宋体" w:hAnsi="宋体" w:eastAsia="宋体" w:cs="宋体"/>
          <w:bCs/>
          <w:sz w:val="24"/>
          <w:szCs w:val="24"/>
          <w:highlight w:val="none"/>
        </w:rPr>
        <w:t>%。</w:t>
      </w:r>
    </w:p>
    <w:bookmarkEnd w:id="78"/>
    <w:p>
      <w:pPr>
        <w:pStyle w:val="3"/>
        <w:tabs>
          <w:tab w:val="left" w:pos="9639"/>
        </w:tabs>
        <w:jc w:val="center"/>
        <w:rPr>
          <w:rFonts w:hint="eastAsia"/>
        </w:rPr>
      </w:pPr>
      <w:r>
        <w:rPr>
          <w:rFonts w:hint="eastAsia" w:ascii="华文宋体" w:hAnsi="华文宋体" w:eastAsia="华文宋体" w:cs="华文宋体"/>
          <w:b/>
          <w:bCs/>
          <w:color w:val="000000"/>
          <w:kern w:val="44"/>
          <w:sz w:val="24"/>
          <w:highlight w:val="none"/>
        </w:rPr>
        <w:t>注：</w:t>
      </w:r>
      <w:r>
        <w:rPr>
          <w:rFonts w:hint="eastAsia" w:ascii="华文宋体" w:hAnsi="华文宋体" w:eastAsia="华文宋体" w:cs="华文宋体"/>
          <w:b/>
          <w:bCs/>
          <w:color w:val="000000"/>
          <w:kern w:val="44"/>
          <w:sz w:val="24"/>
          <w:highlight w:val="none"/>
          <w:lang w:val="en-US" w:eastAsia="zh-CN"/>
        </w:rPr>
        <w:t>本章中</w:t>
      </w:r>
      <w:r>
        <w:rPr>
          <w:rFonts w:hint="eastAsia" w:ascii="华文宋体" w:hAnsi="华文宋体" w:eastAsia="华文宋体" w:cs="华文宋体"/>
          <w:b/>
          <w:color w:val="000000"/>
          <w:sz w:val="24"/>
          <w:szCs w:val="22"/>
          <w:highlight w:val="none"/>
          <w:lang w:val="en-US" w:eastAsia="zh-CN"/>
        </w:rPr>
        <w:t>带“★”项为本项目</w:t>
      </w:r>
      <w:r>
        <w:rPr>
          <w:rFonts w:hint="eastAsia" w:ascii="华文宋体" w:hAnsi="华文宋体" w:eastAsia="华文宋体" w:cs="华文宋体"/>
          <w:b/>
          <w:color w:val="000000"/>
          <w:sz w:val="24"/>
          <w:szCs w:val="22"/>
          <w:highlight w:val="none"/>
        </w:rPr>
        <w:t>实质性要求，</w:t>
      </w:r>
      <w:r>
        <w:rPr>
          <w:rFonts w:hint="eastAsia" w:ascii="华文宋体" w:hAnsi="华文宋体" w:eastAsia="华文宋体" w:cs="华文宋体"/>
          <w:b/>
          <w:color w:val="000000"/>
          <w:sz w:val="24"/>
          <w:szCs w:val="22"/>
          <w:highlight w:val="none"/>
          <w:lang w:val="en-US" w:eastAsia="zh-CN"/>
        </w:rPr>
        <w:t>未响应或有负偏离</w:t>
      </w:r>
      <w:r>
        <w:rPr>
          <w:rFonts w:hint="eastAsia" w:ascii="华文宋体" w:hAnsi="华文宋体" w:eastAsia="华文宋体" w:cs="华文宋体"/>
          <w:b/>
          <w:color w:val="000000"/>
          <w:sz w:val="24"/>
          <w:szCs w:val="22"/>
          <w:highlight w:val="none"/>
          <w:lang w:eastAsia="zh-CN"/>
        </w:rPr>
        <w:t>，</w:t>
      </w:r>
      <w:r>
        <w:rPr>
          <w:rFonts w:hint="eastAsia" w:ascii="华文宋体" w:hAnsi="华文宋体" w:eastAsia="华文宋体" w:cs="华文宋体"/>
          <w:b/>
          <w:color w:val="000000"/>
          <w:sz w:val="24"/>
          <w:szCs w:val="22"/>
          <w:highlight w:val="none"/>
          <w:lang w:val="en-US" w:eastAsia="zh-CN"/>
        </w:rPr>
        <w:t>按无效响应处理</w:t>
      </w:r>
      <w:bookmarkEnd w:id="157"/>
      <w:r>
        <w:rPr>
          <w:rFonts w:hint="eastAsia" w:hAnsi="宋体" w:cs="宋体"/>
          <w:sz w:val="24"/>
          <w:szCs w:val="24"/>
        </w:rPr>
        <w:br w:type="page"/>
      </w:r>
      <w:bookmarkStart w:id="84" w:name="_Toc509823116"/>
      <w:bookmarkStart w:id="85" w:name="_Toc511386825"/>
      <w:r>
        <w:rPr>
          <w:rFonts w:hint="eastAsia"/>
        </w:rPr>
        <w:t>第六章  采购项目实质性要求</w:t>
      </w:r>
      <w:bookmarkEnd w:id="84"/>
      <w:bookmarkEnd w:id="85"/>
    </w:p>
    <w:p>
      <w:pPr>
        <w:widowControl/>
        <w:tabs>
          <w:tab w:val="left" w:pos="9639"/>
        </w:tabs>
        <w:spacing w:line="360" w:lineRule="auto"/>
        <w:ind w:firstLine="480" w:firstLineChars="200"/>
        <w:jc w:val="left"/>
        <w:rPr>
          <w:rFonts w:hint="eastAsia" w:hAnsi="宋体" w:cs="仿宋_GB2312"/>
          <w:sz w:val="24"/>
        </w:rPr>
      </w:pPr>
      <w:r>
        <w:rPr>
          <w:rFonts w:hint="eastAsia" w:hAnsi="宋体" w:cs="仿宋_GB2312"/>
          <w:sz w:val="24"/>
        </w:rPr>
        <w:t>一.服务要求：</w:t>
      </w:r>
    </w:p>
    <w:p>
      <w:pPr>
        <w:widowControl/>
        <w:tabs>
          <w:tab w:val="left" w:pos="9639"/>
        </w:tabs>
        <w:spacing w:line="360" w:lineRule="auto"/>
        <w:ind w:firstLine="480" w:firstLineChars="200"/>
        <w:jc w:val="left"/>
        <w:rPr>
          <w:rFonts w:hint="eastAsia" w:hAnsi="宋体" w:cs="仿宋_GB2312"/>
          <w:sz w:val="24"/>
        </w:rPr>
      </w:pPr>
      <w:r>
        <w:rPr>
          <w:rFonts w:hint="eastAsia" w:hAnsi="宋体" w:cs="仿宋_GB2312"/>
          <w:sz w:val="24"/>
        </w:rPr>
        <w:t>1、供应商资格必须符合国家有关规定和采购文件资格性要求；若磋商结果无实质性变动，供应商必须满足采购文件规定的所有实质性要求，并且响应文件中不能附有采购人不能接受的条件。否则将视作无效文件处理。</w:t>
      </w:r>
    </w:p>
    <w:p>
      <w:pPr>
        <w:tabs>
          <w:tab w:val="left" w:pos="9639"/>
        </w:tabs>
        <w:spacing w:line="360" w:lineRule="auto"/>
        <w:ind w:firstLine="480" w:firstLineChars="200"/>
        <w:rPr>
          <w:rFonts w:hint="eastAsia" w:hAnsi="宋体" w:cs="仿宋_GB2312"/>
          <w:sz w:val="24"/>
        </w:rPr>
      </w:pPr>
      <w:r>
        <w:rPr>
          <w:rFonts w:hint="eastAsia" w:hAnsi="宋体" w:cs="仿宋_GB2312"/>
          <w:sz w:val="24"/>
        </w:rPr>
        <w:t>二.政府采购政策要求：</w:t>
      </w:r>
    </w:p>
    <w:p>
      <w:pPr>
        <w:tabs>
          <w:tab w:val="left" w:pos="9639"/>
        </w:tabs>
        <w:spacing w:line="360" w:lineRule="auto"/>
        <w:ind w:firstLine="480" w:firstLineChars="200"/>
        <w:rPr>
          <w:rFonts w:hint="eastAsia" w:hAnsi="宋体" w:cs="仿宋_GB2312"/>
          <w:sz w:val="24"/>
        </w:rPr>
      </w:pPr>
      <w:r>
        <w:rPr>
          <w:rFonts w:hint="eastAsia" w:hAnsi="宋体" w:cs="仿宋_GB2312"/>
          <w:sz w:val="24"/>
        </w:rPr>
        <w:t>失信企业报价加成或者扣分：</w:t>
      </w:r>
    </w:p>
    <w:p>
      <w:pPr>
        <w:tabs>
          <w:tab w:val="left" w:pos="9639"/>
        </w:tabs>
        <w:spacing w:line="360" w:lineRule="auto"/>
        <w:ind w:firstLine="480" w:firstLineChars="200"/>
        <w:rPr>
          <w:rFonts w:hint="eastAsia" w:hAnsi="宋体" w:cs="仿宋_GB2312"/>
          <w:sz w:val="24"/>
        </w:rPr>
      </w:pPr>
      <w:r>
        <w:rPr>
          <w:rFonts w:hint="eastAsia" w:hAnsi="宋体" w:cs="仿宋_GB2312"/>
          <w:sz w:val="24"/>
        </w:rPr>
        <w:t>1.对记入诚信档案且在有效期内的失信供应商，参加政府采购活动按照10%/次的报价加成，以加成后报价作为该供应商报价参与评审。供应商失信行为惩戒实行无限制累加制，因其失信行为进行报价加成惩戒后报价超过政府采购预算的，其响应文件按照无效处理。</w:t>
      </w:r>
    </w:p>
    <w:p>
      <w:pPr>
        <w:tabs>
          <w:tab w:val="left" w:pos="9639"/>
        </w:tabs>
        <w:spacing w:line="360" w:lineRule="auto"/>
        <w:ind w:firstLine="480" w:firstLineChars="200"/>
        <w:rPr>
          <w:rFonts w:hint="eastAsia" w:hAnsi="宋体"/>
          <w:bCs/>
          <w:sz w:val="24"/>
        </w:rPr>
      </w:pPr>
      <w:r>
        <w:rPr>
          <w:rFonts w:hint="eastAsia" w:hAnsi="宋体" w:cs="仿宋_GB2312"/>
          <w:sz w:val="24"/>
        </w:rPr>
        <w:t>2.供应商参加政府采购活动时，应当就自己的诚信情况在响应文件中进行承诺。</w:t>
      </w:r>
    </w:p>
    <w:p>
      <w:pPr>
        <w:pStyle w:val="11"/>
        <w:tabs>
          <w:tab w:val="left" w:pos="9639"/>
        </w:tabs>
        <w:rPr>
          <w:rFonts w:hint="eastAsia" w:hAnsi="宋体"/>
          <w:bCs/>
          <w:sz w:val="24"/>
        </w:rPr>
      </w:pPr>
    </w:p>
    <w:p>
      <w:pPr>
        <w:pStyle w:val="11"/>
        <w:tabs>
          <w:tab w:val="left" w:pos="9639"/>
        </w:tabs>
        <w:rPr>
          <w:rFonts w:hint="eastAsia" w:hAnsi="宋体"/>
          <w:bCs/>
          <w:sz w:val="24"/>
        </w:rPr>
      </w:pPr>
    </w:p>
    <w:p>
      <w:pPr>
        <w:pStyle w:val="3"/>
        <w:tabs>
          <w:tab w:val="left" w:pos="9639"/>
        </w:tabs>
        <w:jc w:val="center"/>
        <w:rPr>
          <w:rFonts w:hint="eastAsia"/>
        </w:rPr>
      </w:pPr>
      <w:r>
        <w:br w:type="page"/>
      </w:r>
      <w:bookmarkStart w:id="86" w:name="_Toc509823117"/>
      <w:bookmarkStart w:id="87" w:name="_Toc511386826"/>
      <w:r>
        <w:rPr>
          <w:rFonts w:hint="eastAsia"/>
        </w:rPr>
        <w:t>第七章  磋商内容、磋商过程中可实质性变动的内容</w:t>
      </w:r>
      <w:bookmarkEnd w:id="86"/>
      <w:bookmarkEnd w:id="87"/>
    </w:p>
    <w:p>
      <w:pPr>
        <w:tabs>
          <w:tab w:val="left" w:pos="9639"/>
        </w:tabs>
        <w:spacing w:before="312" w:beforeLines="100" w:after="46" w:afterLines="15" w:line="360" w:lineRule="auto"/>
        <w:outlineLvl w:val="1"/>
        <w:rPr>
          <w:rFonts w:hint="eastAsia" w:hAnsi="宋体" w:cs="仿宋_GB2312"/>
          <w:b/>
          <w:bCs/>
          <w:sz w:val="30"/>
          <w:szCs w:val="30"/>
        </w:rPr>
      </w:pPr>
      <w:bookmarkStart w:id="88" w:name="_Toc1110"/>
      <w:r>
        <w:rPr>
          <w:rFonts w:hint="eastAsia" w:hAnsi="宋体" w:cs="仿宋_GB2312"/>
          <w:b/>
          <w:bCs/>
          <w:sz w:val="30"/>
          <w:szCs w:val="30"/>
        </w:rPr>
        <w:t>（一）磋商内容</w:t>
      </w:r>
      <w:bookmarkEnd w:id="88"/>
    </w:p>
    <w:p>
      <w:pPr>
        <w:widowControl/>
        <w:tabs>
          <w:tab w:val="left" w:pos="9639"/>
        </w:tabs>
        <w:spacing w:line="360" w:lineRule="auto"/>
        <w:ind w:firstLine="480" w:firstLineChars="200"/>
        <w:jc w:val="left"/>
        <w:rPr>
          <w:rFonts w:hint="eastAsia" w:hAnsi="宋体" w:cs="仿宋_GB2312"/>
          <w:sz w:val="24"/>
        </w:rPr>
      </w:pPr>
      <w:r>
        <w:rPr>
          <w:rFonts w:hint="eastAsia" w:hAnsi="宋体" w:cs="仿宋_GB2312"/>
          <w:sz w:val="24"/>
        </w:rPr>
        <w:t>1.1 供应商提供的采购标的成本。</w:t>
      </w:r>
    </w:p>
    <w:p>
      <w:pPr>
        <w:widowControl/>
        <w:tabs>
          <w:tab w:val="left" w:pos="9639"/>
        </w:tabs>
        <w:spacing w:line="360" w:lineRule="auto"/>
        <w:ind w:firstLine="480" w:firstLineChars="200"/>
        <w:jc w:val="left"/>
        <w:rPr>
          <w:rFonts w:hint="eastAsia" w:hAnsi="宋体" w:cs="仿宋_GB2312"/>
          <w:sz w:val="24"/>
        </w:rPr>
      </w:pPr>
      <w:r>
        <w:rPr>
          <w:rFonts w:hint="eastAsia" w:hAnsi="宋体" w:cs="仿宋_GB2312"/>
          <w:sz w:val="24"/>
        </w:rPr>
        <w:t>1.2 同类项目合同价格。</w:t>
      </w:r>
    </w:p>
    <w:p>
      <w:pPr>
        <w:widowControl/>
        <w:tabs>
          <w:tab w:val="left" w:pos="9639"/>
        </w:tabs>
        <w:spacing w:line="360" w:lineRule="auto"/>
        <w:ind w:firstLine="480" w:firstLineChars="200"/>
        <w:jc w:val="left"/>
        <w:rPr>
          <w:rFonts w:hint="eastAsia" w:hAnsi="宋体" w:cs="仿宋_GB2312"/>
          <w:sz w:val="24"/>
        </w:rPr>
      </w:pPr>
      <w:r>
        <w:rPr>
          <w:rFonts w:hint="eastAsia" w:hAnsi="宋体" w:cs="仿宋_GB2312"/>
          <w:sz w:val="24"/>
        </w:rPr>
        <w:t>1.3 相关专利、专有技术等情况说明。</w:t>
      </w:r>
    </w:p>
    <w:p>
      <w:pPr>
        <w:widowControl/>
        <w:tabs>
          <w:tab w:val="left" w:pos="9639"/>
        </w:tabs>
        <w:spacing w:line="360" w:lineRule="auto"/>
        <w:ind w:firstLine="480" w:firstLineChars="200"/>
        <w:jc w:val="left"/>
        <w:rPr>
          <w:rFonts w:hint="eastAsia" w:hAnsi="宋体" w:cs="仿宋_GB2312"/>
          <w:sz w:val="24"/>
        </w:rPr>
      </w:pPr>
      <w:r>
        <w:rPr>
          <w:rFonts w:hint="eastAsia" w:hAnsi="宋体" w:cs="仿宋_GB2312"/>
          <w:sz w:val="24"/>
        </w:rPr>
        <w:t>1.4 合同主要条款及价格商定情况。</w:t>
      </w:r>
    </w:p>
    <w:p>
      <w:pPr>
        <w:tabs>
          <w:tab w:val="left" w:pos="9639"/>
        </w:tabs>
        <w:spacing w:before="46" w:beforeLines="15" w:after="46" w:afterLines="15" w:line="360" w:lineRule="auto"/>
        <w:outlineLvl w:val="1"/>
        <w:rPr>
          <w:rFonts w:hint="eastAsia" w:hAnsi="宋体" w:cs="仿宋_GB2312"/>
          <w:b/>
          <w:bCs/>
          <w:sz w:val="30"/>
          <w:szCs w:val="30"/>
        </w:rPr>
      </w:pPr>
      <w:bookmarkStart w:id="89" w:name="_Toc7922"/>
      <w:r>
        <w:rPr>
          <w:rFonts w:hint="eastAsia" w:hAnsi="宋体" w:cs="仿宋_GB2312"/>
          <w:b/>
          <w:bCs/>
          <w:sz w:val="30"/>
          <w:szCs w:val="30"/>
        </w:rPr>
        <w:t>（二）磋商过程中可能实质性变动的内容</w:t>
      </w:r>
      <w:bookmarkEnd w:id="89"/>
    </w:p>
    <w:p>
      <w:pPr>
        <w:widowControl/>
        <w:tabs>
          <w:tab w:val="left" w:pos="9639"/>
        </w:tabs>
        <w:spacing w:line="360" w:lineRule="auto"/>
        <w:ind w:firstLine="480" w:firstLineChars="200"/>
        <w:jc w:val="left"/>
        <w:rPr>
          <w:rFonts w:hint="eastAsia" w:hAnsi="宋体" w:cs="仿宋_GB2312"/>
          <w:sz w:val="24"/>
        </w:rPr>
      </w:pPr>
      <w:r>
        <w:rPr>
          <w:rFonts w:hint="eastAsia" w:hAnsi="宋体" w:cs="仿宋_GB2312"/>
          <w:sz w:val="24"/>
        </w:rPr>
        <w:t>2.1 供应商报价。</w:t>
      </w:r>
    </w:p>
    <w:p>
      <w:pPr>
        <w:widowControl/>
        <w:tabs>
          <w:tab w:val="left" w:pos="9639"/>
        </w:tabs>
        <w:spacing w:line="360" w:lineRule="auto"/>
        <w:ind w:firstLine="480" w:firstLineChars="200"/>
        <w:jc w:val="left"/>
        <w:rPr>
          <w:rFonts w:hint="eastAsia" w:hAnsi="宋体" w:cs="仿宋_GB2312"/>
          <w:sz w:val="24"/>
        </w:rPr>
      </w:pPr>
      <w:r>
        <w:rPr>
          <w:rFonts w:hint="eastAsia" w:hAnsi="宋体" w:cs="仿宋_GB2312"/>
          <w:sz w:val="24"/>
        </w:rPr>
        <w:t>2.2 采购项目的一般技术和商务要求。</w:t>
      </w:r>
    </w:p>
    <w:p>
      <w:pPr>
        <w:widowControl/>
        <w:tabs>
          <w:tab w:val="left" w:pos="9639"/>
        </w:tabs>
        <w:spacing w:line="360" w:lineRule="auto"/>
        <w:ind w:firstLine="480" w:firstLineChars="200"/>
        <w:jc w:val="left"/>
        <w:rPr>
          <w:rFonts w:hint="eastAsia" w:hAnsi="宋体" w:cs="仿宋_GB2312"/>
          <w:sz w:val="24"/>
        </w:rPr>
      </w:pPr>
      <w:r>
        <w:rPr>
          <w:rFonts w:hint="eastAsia" w:hAnsi="宋体" w:cs="仿宋_GB2312"/>
          <w:sz w:val="24"/>
        </w:rPr>
        <w:t>2.3 合同草案条款。</w:t>
      </w:r>
    </w:p>
    <w:p>
      <w:pPr>
        <w:pStyle w:val="11"/>
        <w:tabs>
          <w:tab w:val="left" w:pos="9639"/>
        </w:tabs>
        <w:ind w:firstLine="480" w:firstLineChars="200"/>
        <w:rPr>
          <w:rFonts w:hint="eastAsia" w:hAnsi="宋体" w:cs="宋体"/>
          <w:sz w:val="24"/>
          <w:szCs w:val="24"/>
        </w:rPr>
      </w:pPr>
      <w:r>
        <w:rPr>
          <w:rFonts w:hint="eastAsia" w:hAnsi="宋体" w:cs="宋体"/>
          <w:sz w:val="24"/>
          <w:szCs w:val="24"/>
        </w:rPr>
        <w:t xml:space="preserve">2.4 </w:t>
      </w:r>
      <w:r>
        <w:rPr>
          <w:rFonts w:hint="eastAsia" w:hAnsi="宋体" w:cs="宋体"/>
          <w:sz w:val="24"/>
          <w:szCs w:val="24"/>
          <w:lang w:val="zh-TW" w:eastAsia="zh-TW"/>
        </w:rPr>
        <w:t>实质性变动的内容，须经磋商小组中的采购人代表确认</w:t>
      </w:r>
    </w:p>
    <w:p>
      <w:pPr>
        <w:tabs>
          <w:tab w:val="left" w:pos="7665"/>
          <w:tab w:val="left" w:pos="9639"/>
        </w:tabs>
        <w:spacing w:line="400" w:lineRule="exact"/>
        <w:ind w:firstLine="480"/>
        <w:rPr>
          <w:rFonts w:hint="eastAsia" w:ascii="黑体" w:hAnsi="宋体" w:eastAsia="黑体"/>
          <w:b/>
          <w:bCs/>
          <w:sz w:val="32"/>
          <w:szCs w:val="32"/>
        </w:rPr>
      </w:pPr>
    </w:p>
    <w:p>
      <w:pPr>
        <w:pStyle w:val="3"/>
        <w:tabs>
          <w:tab w:val="left" w:pos="9639"/>
        </w:tabs>
        <w:rPr>
          <w:rFonts w:hint="eastAsia"/>
        </w:rPr>
      </w:pPr>
      <w:bookmarkStart w:id="90" w:name="_Toc509823118"/>
      <w:bookmarkStart w:id="91" w:name="_Toc511386827"/>
      <w:r>
        <w:rPr>
          <w:rFonts w:hint="eastAsia"/>
        </w:rPr>
        <w:br w:type="page"/>
      </w:r>
      <w:r>
        <w:rPr>
          <w:rFonts w:hint="eastAsia"/>
        </w:rPr>
        <w:t>第八章  响应文件格式</w:t>
      </w:r>
      <w:bookmarkEnd w:id="90"/>
      <w:bookmarkEnd w:id="91"/>
    </w:p>
    <w:p>
      <w:pPr>
        <w:tabs>
          <w:tab w:val="left" w:pos="9639"/>
        </w:tabs>
        <w:jc w:val="left"/>
        <w:rPr>
          <w:rFonts w:hint="eastAsia"/>
          <w:b/>
          <w:sz w:val="32"/>
          <w:szCs w:val="32"/>
        </w:rPr>
      </w:pPr>
    </w:p>
    <w:p>
      <w:pPr>
        <w:tabs>
          <w:tab w:val="left" w:pos="9639"/>
        </w:tabs>
        <w:spacing w:line="360" w:lineRule="auto"/>
        <w:rPr>
          <w:rFonts w:hint="eastAsia"/>
          <w:sz w:val="24"/>
        </w:rPr>
      </w:pPr>
      <w:r>
        <w:rPr>
          <w:rFonts w:hint="eastAsia"/>
          <w:sz w:val="24"/>
        </w:rPr>
        <w:t xml:space="preserve">    一、本章所制响应文件格式，除格式中明确将该格式作为实质性要求的，一律不具有强制性，但是，供应商响应文件相关资料和本章所制格式不一致的，磋商小组将在评分时以响应文件不规范予以扣分处理。</w:t>
      </w:r>
    </w:p>
    <w:p>
      <w:pPr>
        <w:tabs>
          <w:tab w:val="left" w:pos="9639"/>
        </w:tabs>
        <w:spacing w:line="360" w:lineRule="auto"/>
        <w:ind w:firstLine="480" w:firstLineChars="200"/>
        <w:rPr>
          <w:rFonts w:hint="eastAsia"/>
          <w:sz w:val="24"/>
        </w:rPr>
      </w:pPr>
      <w:r>
        <w:rPr>
          <w:rFonts w:hint="eastAsia"/>
          <w:sz w:val="24"/>
        </w:rPr>
        <w:t>二、本章所制响应文件格式有关表格中的备注栏，由供应商根据自身响应情况作解</w:t>
      </w:r>
    </w:p>
    <w:p>
      <w:pPr>
        <w:tabs>
          <w:tab w:val="left" w:pos="9639"/>
        </w:tabs>
        <w:spacing w:line="360" w:lineRule="auto"/>
        <w:rPr>
          <w:rFonts w:hint="eastAsia"/>
          <w:sz w:val="24"/>
        </w:rPr>
      </w:pPr>
      <w:r>
        <w:rPr>
          <w:rFonts w:hint="eastAsia"/>
          <w:sz w:val="24"/>
        </w:rPr>
        <w:t>释性说明，不作为必填项。</w:t>
      </w:r>
    </w:p>
    <w:p>
      <w:pPr>
        <w:tabs>
          <w:tab w:val="left" w:pos="9639"/>
        </w:tabs>
        <w:spacing w:line="360" w:lineRule="auto"/>
        <w:ind w:firstLine="480" w:firstLineChars="200"/>
        <w:rPr>
          <w:rFonts w:hint="eastAsia"/>
          <w:sz w:val="24"/>
        </w:rPr>
      </w:pPr>
      <w:r>
        <w:rPr>
          <w:rFonts w:hint="eastAsia"/>
          <w:sz w:val="24"/>
        </w:rPr>
        <w:t>三、本章所制响应文件格式中需要填写的相关内容事项，可能会与本采购项目无关，在不改变响应文件原义、不影响本项目采购需求的情况下，供应商可以不予填写，但应当注明。</w:t>
      </w:r>
    </w:p>
    <w:p>
      <w:pPr>
        <w:pStyle w:val="2"/>
        <w:tabs>
          <w:tab w:val="left" w:pos="9639"/>
        </w:tabs>
        <w:jc w:val="center"/>
      </w:pPr>
      <w:r>
        <w:br w:type="page"/>
      </w:r>
      <w:r>
        <w:rPr>
          <w:rFonts w:hint="eastAsia"/>
        </w:rPr>
        <w:t>第一部分：资格性响应文件部分</w:t>
      </w:r>
    </w:p>
    <w:p>
      <w:pPr>
        <w:pStyle w:val="2"/>
        <w:tabs>
          <w:tab w:val="left" w:pos="9639"/>
        </w:tabs>
        <w:jc w:val="center"/>
        <w:rPr>
          <w:rFonts w:hint="eastAsia"/>
        </w:rPr>
      </w:pPr>
      <w:r>
        <w:rPr>
          <w:rFonts w:hint="eastAsia"/>
        </w:rPr>
        <w:t>一、法定代表人授权书</w:t>
      </w:r>
    </w:p>
    <w:p>
      <w:pPr>
        <w:tabs>
          <w:tab w:val="left" w:pos="9639"/>
        </w:tabs>
        <w:jc w:val="center"/>
        <w:rPr>
          <w:rFonts w:hint="eastAsia"/>
          <w:b/>
          <w:sz w:val="44"/>
        </w:rPr>
      </w:pPr>
    </w:p>
    <w:p>
      <w:pPr>
        <w:tabs>
          <w:tab w:val="left" w:pos="9639"/>
        </w:tabs>
        <w:spacing w:line="400" w:lineRule="exact"/>
        <w:rPr>
          <w:rFonts w:hint="eastAsia" w:hAnsi="宋体"/>
          <w:sz w:val="24"/>
        </w:rPr>
      </w:pPr>
      <w:r>
        <w:rPr>
          <w:rFonts w:hint="eastAsia" w:hAnsi="宋体"/>
          <w:sz w:val="24"/>
          <w:u w:val="single"/>
        </w:rPr>
        <w:t xml:space="preserve">            </w:t>
      </w:r>
      <w:r>
        <w:rPr>
          <w:rFonts w:hint="eastAsia" w:hAnsi="宋体"/>
          <w:sz w:val="24"/>
        </w:rPr>
        <w:t>（采购代理机构名称）：</w:t>
      </w:r>
    </w:p>
    <w:p>
      <w:pPr>
        <w:tabs>
          <w:tab w:val="left" w:pos="9639"/>
        </w:tabs>
        <w:spacing w:line="400" w:lineRule="exact"/>
        <w:ind w:firstLine="480" w:firstLineChars="200"/>
        <w:rPr>
          <w:rFonts w:hint="eastAsia" w:hAnsi="宋体"/>
          <w:sz w:val="24"/>
        </w:rPr>
      </w:pPr>
      <w:r>
        <w:rPr>
          <w:rFonts w:hint="eastAsia" w:hAnsi="宋体"/>
          <w:sz w:val="24"/>
        </w:rPr>
        <w:t>本授权声明：</w:t>
      </w:r>
      <w:r>
        <w:rPr>
          <w:rFonts w:hint="eastAsia" w:hAnsi="宋体"/>
          <w:sz w:val="24"/>
          <w:u w:val="single"/>
        </w:rPr>
        <w:t xml:space="preserve">             </w:t>
      </w:r>
      <w:r>
        <w:rPr>
          <w:rFonts w:hint="eastAsia" w:hAnsi="宋体"/>
          <w:sz w:val="24"/>
        </w:rPr>
        <w:t>（单位名称）,</w:t>
      </w:r>
      <w:r>
        <w:rPr>
          <w:rFonts w:hint="eastAsia" w:hAnsi="宋体"/>
          <w:sz w:val="24"/>
          <w:u w:val="single"/>
        </w:rPr>
        <w:t xml:space="preserve">           </w:t>
      </w:r>
      <w:r>
        <w:rPr>
          <w:rFonts w:hint="eastAsia" w:hAnsi="宋体"/>
          <w:sz w:val="24"/>
        </w:rPr>
        <w:t>（法定代表人姓名、职务）授权XXX</w:t>
      </w:r>
      <w:r>
        <w:rPr>
          <w:rFonts w:hint="eastAsia" w:hAnsi="宋体"/>
          <w:sz w:val="24"/>
          <w:u w:val="single"/>
        </w:rPr>
        <w:t xml:space="preserve">                   </w:t>
      </w:r>
      <w:r>
        <w:rPr>
          <w:rFonts w:hint="eastAsia" w:hAnsi="宋体"/>
          <w:sz w:val="24"/>
        </w:rPr>
        <w:t>（被授权人姓名、职务）为我方参加</w:t>
      </w:r>
      <w:r>
        <w:rPr>
          <w:rFonts w:hint="eastAsia" w:hAnsi="宋体"/>
          <w:sz w:val="24"/>
          <w:u w:val="single"/>
        </w:rPr>
        <w:t xml:space="preserve">        </w:t>
      </w:r>
      <w:r>
        <w:rPr>
          <w:rFonts w:hint="eastAsia" w:hAnsi="宋体"/>
          <w:sz w:val="24"/>
        </w:rPr>
        <w:t>项目（采购编号：</w:t>
      </w:r>
      <w:r>
        <w:rPr>
          <w:rFonts w:hint="eastAsia" w:hAnsi="宋体"/>
          <w:sz w:val="24"/>
          <w:u w:val="single"/>
        </w:rPr>
        <w:t xml:space="preserve">    </w:t>
      </w:r>
      <w:r>
        <w:rPr>
          <w:rFonts w:hint="eastAsia" w:hAnsi="宋体"/>
          <w:sz w:val="24"/>
        </w:rPr>
        <w:t>）磋商采购活动的合法代表，以我方名义全权处理该项目有关磋商、报价、签订合同以及执行合同等一切事宜。</w:t>
      </w:r>
    </w:p>
    <w:p>
      <w:pPr>
        <w:tabs>
          <w:tab w:val="left" w:pos="9639"/>
        </w:tabs>
        <w:spacing w:line="400" w:lineRule="exact"/>
        <w:ind w:firstLine="480" w:firstLineChars="200"/>
        <w:rPr>
          <w:rFonts w:hint="eastAsia" w:hAnsi="宋体"/>
          <w:sz w:val="24"/>
        </w:rPr>
      </w:pPr>
      <w:r>
        <w:rPr>
          <w:rFonts w:hint="eastAsia" w:hAnsi="宋体"/>
          <w:sz w:val="24"/>
        </w:rPr>
        <w:t>特此声明。</w:t>
      </w:r>
    </w:p>
    <w:p>
      <w:pPr>
        <w:tabs>
          <w:tab w:val="left" w:pos="9639"/>
        </w:tabs>
        <w:spacing w:line="400" w:lineRule="exact"/>
        <w:ind w:firstLine="480" w:firstLineChars="200"/>
        <w:rPr>
          <w:rFonts w:hint="eastAsia" w:hAnsi="宋体"/>
          <w:sz w:val="24"/>
        </w:rPr>
      </w:pPr>
    </w:p>
    <w:p>
      <w:pPr>
        <w:tabs>
          <w:tab w:val="left" w:pos="9639"/>
        </w:tabs>
        <w:spacing w:line="400" w:lineRule="exact"/>
        <w:ind w:firstLine="480" w:firstLineChars="200"/>
        <w:rPr>
          <w:rFonts w:hint="eastAsia" w:hAnsi="宋体"/>
          <w:sz w:val="24"/>
        </w:rPr>
      </w:pPr>
    </w:p>
    <w:p>
      <w:pPr>
        <w:tabs>
          <w:tab w:val="left" w:pos="9639"/>
        </w:tabs>
        <w:spacing w:line="400" w:lineRule="exact"/>
        <w:ind w:firstLine="480" w:firstLineChars="200"/>
        <w:rPr>
          <w:rFonts w:hint="eastAsia" w:hAnsi="宋体"/>
          <w:sz w:val="24"/>
        </w:rPr>
      </w:pPr>
      <w:r>
        <w:rPr>
          <w:rFonts w:hint="eastAsia" w:hAnsi="宋体"/>
          <w:sz w:val="24"/>
        </w:rPr>
        <w:t>供应商名称：</w:t>
      </w:r>
      <w:r>
        <w:rPr>
          <w:rFonts w:hint="eastAsia" w:hAnsi="宋体"/>
          <w:sz w:val="24"/>
          <w:u w:val="single"/>
        </w:rPr>
        <w:t xml:space="preserve">          </w:t>
      </w:r>
      <w:r>
        <w:rPr>
          <w:rFonts w:hint="eastAsia" w:hAnsi="宋体"/>
          <w:sz w:val="24"/>
        </w:rPr>
        <w:t>（盖单位公章）</w:t>
      </w:r>
    </w:p>
    <w:p>
      <w:pPr>
        <w:tabs>
          <w:tab w:val="left" w:pos="9639"/>
        </w:tabs>
        <w:spacing w:line="400" w:lineRule="exact"/>
        <w:ind w:firstLine="480" w:firstLineChars="200"/>
        <w:rPr>
          <w:rFonts w:hint="eastAsia" w:hAnsi="宋体"/>
          <w:sz w:val="24"/>
          <w:u w:val="single"/>
        </w:rPr>
      </w:pPr>
      <w:r>
        <w:rPr>
          <w:rFonts w:hint="eastAsia" w:hAnsi="宋体"/>
          <w:sz w:val="24"/>
        </w:rPr>
        <w:t>法定代表人（签字或盖章）：</w:t>
      </w:r>
      <w:r>
        <w:rPr>
          <w:rFonts w:hint="eastAsia" w:hAnsi="宋体"/>
          <w:sz w:val="24"/>
          <w:u w:val="single"/>
        </w:rPr>
        <w:t xml:space="preserve">           </w:t>
      </w:r>
    </w:p>
    <w:p>
      <w:pPr>
        <w:tabs>
          <w:tab w:val="left" w:pos="9639"/>
        </w:tabs>
        <w:spacing w:line="400" w:lineRule="exact"/>
        <w:ind w:firstLine="480" w:firstLineChars="200"/>
        <w:rPr>
          <w:rFonts w:hint="eastAsia" w:hAnsi="宋体"/>
          <w:sz w:val="24"/>
          <w:u w:val="single"/>
        </w:rPr>
      </w:pPr>
      <w:r>
        <w:rPr>
          <w:rFonts w:hint="eastAsia" w:hAnsi="宋体"/>
          <w:sz w:val="24"/>
        </w:rPr>
        <w:t>职    务：</w:t>
      </w:r>
      <w:r>
        <w:rPr>
          <w:rFonts w:hint="eastAsia" w:hAnsi="宋体"/>
          <w:sz w:val="24"/>
          <w:u w:val="single"/>
        </w:rPr>
        <w:t xml:space="preserve">        </w:t>
      </w:r>
    </w:p>
    <w:p>
      <w:pPr>
        <w:tabs>
          <w:tab w:val="left" w:pos="9639"/>
        </w:tabs>
        <w:spacing w:line="400" w:lineRule="exact"/>
        <w:ind w:firstLine="480" w:firstLineChars="200"/>
        <w:rPr>
          <w:rFonts w:hint="eastAsia" w:hAnsi="宋体"/>
          <w:sz w:val="24"/>
        </w:rPr>
      </w:pPr>
      <w:r>
        <w:rPr>
          <w:rFonts w:hint="eastAsia" w:hAnsi="宋体"/>
          <w:sz w:val="24"/>
        </w:rPr>
        <w:t>被授权人签字：</w:t>
      </w:r>
      <w:r>
        <w:rPr>
          <w:rFonts w:hint="eastAsia" w:hAnsi="宋体"/>
          <w:sz w:val="24"/>
          <w:u w:val="single"/>
        </w:rPr>
        <w:t xml:space="preserve">          </w:t>
      </w:r>
    </w:p>
    <w:p>
      <w:pPr>
        <w:tabs>
          <w:tab w:val="left" w:pos="9639"/>
        </w:tabs>
        <w:spacing w:line="400" w:lineRule="exact"/>
        <w:ind w:firstLine="480" w:firstLineChars="200"/>
        <w:rPr>
          <w:rFonts w:hint="eastAsia" w:hAnsi="宋体"/>
          <w:sz w:val="24"/>
        </w:rPr>
      </w:pPr>
      <w:r>
        <w:rPr>
          <w:rFonts w:hint="eastAsia" w:hAnsi="宋体"/>
          <w:sz w:val="24"/>
        </w:rPr>
        <w:t>职    务：</w:t>
      </w:r>
      <w:r>
        <w:rPr>
          <w:rFonts w:hint="eastAsia" w:hAnsi="宋体"/>
          <w:sz w:val="24"/>
          <w:u w:val="single"/>
        </w:rPr>
        <w:t xml:space="preserve">              </w:t>
      </w:r>
    </w:p>
    <w:p>
      <w:pPr>
        <w:tabs>
          <w:tab w:val="left" w:pos="9639"/>
        </w:tabs>
        <w:spacing w:line="400" w:lineRule="exact"/>
        <w:ind w:firstLine="480" w:firstLineChars="200"/>
        <w:rPr>
          <w:rFonts w:hint="eastAsia" w:hAnsi="宋体"/>
          <w:sz w:val="24"/>
        </w:rPr>
      </w:pPr>
      <w:r>
        <w:rPr>
          <w:rFonts w:hint="eastAsia" w:hAnsi="宋体"/>
          <w:sz w:val="24"/>
        </w:rPr>
        <w:t>日    期：XXX年XXX月XXX日</w:t>
      </w:r>
    </w:p>
    <w:p>
      <w:pPr>
        <w:tabs>
          <w:tab w:val="left" w:pos="9639"/>
        </w:tabs>
        <w:spacing w:line="400" w:lineRule="exact"/>
        <w:rPr>
          <w:rFonts w:hint="eastAsia"/>
          <w:sz w:val="24"/>
        </w:rPr>
      </w:pPr>
    </w:p>
    <w:p>
      <w:pPr>
        <w:tabs>
          <w:tab w:val="left" w:pos="9639"/>
        </w:tabs>
        <w:spacing w:line="400" w:lineRule="exact"/>
        <w:rPr>
          <w:rFonts w:hint="eastAsia"/>
          <w:sz w:val="32"/>
        </w:rPr>
      </w:pPr>
    </w:p>
    <w:p>
      <w:pPr>
        <w:tabs>
          <w:tab w:val="left" w:pos="9639"/>
        </w:tabs>
        <w:spacing w:line="400" w:lineRule="exact"/>
        <w:rPr>
          <w:rFonts w:hint="eastAsia"/>
          <w:sz w:val="32"/>
        </w:rPr>
      </w:pPr>
    </w:p>
    <w:p>
      <w:pPr>
        <w:tabs>
          <w:tab w:val="left" w:pos="9639"/>
        </w:tabs>
        <w:spacing w:line="400" w:lineRule="exact"/>
        <w:rPr>
          <w:rFonts w:hint="eastAsia"/>
          <w:sz w:val="32"/>
        </w:rPr>
      </w:pPr>
    </w:p>
    <w:p>
      <w:pPr>
        <w:tabs>
          <w:tab w:val="left" w:pos="9639"/>
        </w:tabs>
        <w:spacing w:line="400" w:lineRule="exact"/>
        <w:rPr>
          <w:rFonts w:hint="eastAsia"/>
          <w:sz w:val="32"/>
        </w:rPr>
      </w:pPr>
    </w:p>
    <w:p>
      <w:pPr>
        <w:tabs>
          <w:tab w:val="left" w:pos="9639"/>
        </w:tabs>
        <w:spacing w:line="400" w:lineRule="exact"/>
        <w:rPr>
          <w:rFonts w:hint="eastAsia"/>
          <w:sz w:val="32"/>
        </w:rPr>
      </w:pPr>
    </w:p>
    <w:p>
      <w:pPr>
        <w:tabs>
          <w:tab w:val="left" w:pos="9639"/>
        </w:tabs>
        <w:jc w:val="center"/>
        <w:rPr>
          <w:rFonts w:hint="eastAsia"/>
          <w:b/>
          <w:sz w:val="32"/>
          <w:szCs w:val="32"/>
        </w:rPr>
      </w:pPr>
    </w:p>
    <w:p>
      <w:pPr>
        <w:pStyle w:val="2"/>
        <w:tabs>
          <w:tab w:val="left" w:pos="9639"/>
        </w:tabs>
        <w:jc w:val="center"/>
        <w:rPr>
          <w:rFonts w:hint="eastAsia"/>
        </w:rPr>
      </w:pPr>
      <w:r>
        <w:br w:type="page"/>
      </w:r>
      <w:r>
        <w:rPr>
          <w:rFonts w:hint="eastAsia"/>
        </w:rPr>
        <w:t>二、供应商基本情况表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noWrap w:val="0"/>
            <w:vAlign w:val="center"/>
          </w:tcPr>
          <w:p>
            <w:pPr>
              <w:tabs>
                <w:tab w:val="left" w:pos="9639"/>
              </w:tabs>
              <w:jc w:val="center"/>
              <w:rPr>
                <w:rFonts w:hint="eastAsia" w:hAnsi="宋体" w:cs="Arial"/>
                <w:bCs/>
                <w:sz w:val="24"/>
                <w:szCs w:val="24"/>
              </w:rPr>
            </w:pPr>
            <w:r>
              <w:rPr>
                <w:rFonts w:hint="eastAsia" w:hAnsi="宋体" w:cs="Arial"/>
                <w:bCs/>
                <w:sz w:val="24"/>
                <w:szCs w:val="24"/>
              </w:rPr>
              <w:t>供应商名称</w:t>
            </w:r>
          </w:p>
        </w:tc>
        <w:tc>
          <w:tcPr>
            <w:tcW w:w="7560" w:type="dxa"/>
            <w:gridSpan w:val="11"/>
            <w:noWrap w:val="0"/>
            <w:vAlign w:val="center"/>
          </w:tcPr>
          <w:p>
            <w:pPr>
              <w:tabs>
                <w:tab w:val="left" w:pos="9639"/>
              </w:tabs>
              <w:jc w:val="center"/>
              <w:rPr>
                <w:rFonts w:hint="eastAsia" w:hAnsi="宋体" w:cs="Arial"/>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noWrap w:val="0"/>
            <w:vAlign w:val="center"/>
          </w:tcPr>
          <w:p>
            <w:pPr>
              <w:tabs>
                <w:tab w:val="left" w:pos="9639"/>
              </w:tabs>
              <w:jc w:val="center"/>
              <w:rPr>
                <w:rFonts w:hint="eastAsia" w:hAnsi="宋体" w:cs="Arial"/>
                <w:bCs/>
                <w:sz w:val="24"/>
                <w:szCs w:val="24"/>
              </w:rPr>
            </w:pPr>
            <w:r>
              <w:rPr>
                <w:rFonts w:hint="eastAsia" w:hAnsi="宋体" w:cs="Arial"/>
                <w:bCs/>
                <w:sz w:val="24"/>
                <w:szCs w:val="24"/>
              </w:rPr>
              <w:t>注册地址</w:t>
            </w:r>
          </w:p>
        </w:tc>
        <w:tc>
          <w:tcPr>
            <w:tcW w:w="4680" w:type="dxa"/>
            <w:gridSpan w:val="6"/>
            <w:noWrap w:val="0"/>
            <w:vAlign w:val="center"/>
          </w:tcPr>
          <w:p>
            <w:pPr>
              <w:tabs>
                <w:tab w:val="left" w:pos="9639"/>
              </w:tabs>
              <w:jc w:val="center"/>
              <w:rPr>
                <w:rFonts w:hint="eastAsia" w:hAnsi="宋体" w:cs="Arial"/>
                <w:bCs/>
                <w:sz w:val="24"/>
                <w:szCs w:val="24"/>
              </w:rPr>
            </w:pPr>
          </w:p>
        </w:tc>
        <w:tc>
          <w:tcPr>
            <w:tcW w:w="1260" w:type="dxa"/>
            <w:gridSpan w:val="3"/>
            <w:noWrap w:val="0"/>
            <w:vAlign w:val="center"/>
          </w:tcPr>
          <w:p>
            <w:pPr>
              <w:tabs>
                <w:tab w:val="left" w:pos="9639"/>
              </w:tabs>
              <w:jc w:val="center"/>
              <w:rPr>
                <w:rFonts w:hint="eastAsia" w:hAnsi="宋体" w:cs="Arial"/>
                <w:bCs/>
                <w:sz w:val="24"/>
                <w:szCs w:val="24"/>
              </w:rPr>
            </w:pPr>
            <w:r>
              <w:rPr>
                <w:rFonts w:hint="eastAsia" w:hAnsi="宋体" w:cs="Arial"/>
                <w:bCs/>
                <w:sz w:val="24"/>
                <w:szCs w:val="24"/>
              </w:rPr>
              <w:t>邮政编码</w:t>
            </w:r>
          </w:p>
        </w:tc>
        <w:tc>
          <w:tcPr>
            <w:tcW w:w="1620" w:type="dxa"/>
            <w:gridSpan w:val="2"/>
            <w:noWrap w:val="0"/>
            <w:vAlign w:val="center"/>
          </w:tcPr>
          <w:p>
            <w:pPr>
              <w:tabs>
                <w:tab w:val="left" w:pos="9639"/>
              </w:tabs>
              <w:jc w:val="center"/>
              <w:rPr>
                <w:rFonts w:hint="eastAsia" w:hAnsi="宋体" w:cs="Arial"/>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noWrap w:val="0"/>
            <w:vAlign w:val="center"/>
          </w:tcPr>
          <w:p>
            <w:pPr>
              <w:tabs>
                <w:tab w:val="left" w:pos="9639"/>
              </w:tabs>
              <w:jc w:val="center"/>
              <w:rPr>
                <w:rFonts w:hint="eastAsia" w:hAnsi="宋体" w:cs="Arial"/>
                <w:bCs/>
                <w:sz w:val="24"/>
                <w:szCs w:val="24"/>
              </w:rPr>
            </w:pPr>
            <w:r>
              <w:rPr>
                <w:rFonts w:hint="eastAsia" w:hAnsi="宋体" w:cs="Arial"/>
                <w:bCs/>
                <w:sz w:val="24"/>
                <w:szCs w:val="24"/>
              </w:rPr>
              <w:t>联系方式</w:t>
            </w:r>
          </w:p>
        </w:tc>
        <w:tc>
          <w:tcPr>
            <w:tcW w:w="1080" w:type="dxa"/>
            <w:noWrap w:val="0"/>
            <w:vAlign w:val="center"/>
          </w:tcPr>
          <w:p>
            <w:pPr>
              <w:tabs>
                <w:tab w:val="left" w:pos="9639"/>
              </w:tabs>
              <w:jc w:val="center"/>
              <w:rPr>
                <w:rFonts w:hint="eastAsia" w:hAnsi="宋体" w:cs="Arial"/>
                <w:bCs/>
                <w:sz w:val="24"/>
                <w:szCs w:val="24"/>
              </w:rPr>
            </w:pPr>
            <w:r>
              <w:rPr>
                <w:rFonts w:hint="eastAsia" w:hAnsi="宋体" w:cs="Arial"/>
                <w:bCs/>
                <w:sz w:val="24"/>
                <w:szCs w:val="24"/>
              </w:rPr>
              <w:t>联系人</w:t>
            </w:r>
          </w:p>
        </w:tc>
        <w:tc>
          <w:tcPr>
            <w:tcW w:w="3600" w:type="dxa"/>
            <w:gridSpan w:val="5"/>
            <w:noWrap w:val="0"/>
            <w:vAlign w:val="center"/>
          </w:tcPr>
          <w:p>
            <w:pPr>
              <w:tabs>
                <w:tab w:val="left" w:pos="9639"/>
              </w:tabs>
              <w:jc w:val="center"/>
              <w:rPr>
                <w:rFonts w:hint="eastAsia" w:hAnsi="宋体" w:cs="Arial"/>
                <w:bCs/>
                <w:sz w:val="24"/>
                <w:szCs w:val="24"/>
              </w:rPr>
            </w:pPr>
          </w:p>
        </w:tc>
        <w:tc>
          <w:tcPr>
            <w:tcW w:w="1260" w:type="dxa"/>
            <w:gridSpan w:val="3"/>
            <w:noWrap w:val="0"/>
            <w:vAlign w:val="center"/>
          </w:tcPr>
          <w:p>
            <w:pPr>
              <w:tabs>
                <w:tab w:val="left" w:pos="9639"/>
              </w:tabs>
              <w:jc w:val="center"/>
              <w:rPr>
                <w:rFonts w:hint="eastAsia" w:hAnsi="宋体" w:cs="Arial"/>
                <w:bCs/>
                <w:sz w:val="24"/>
                <w:szCs w:val="24"/>
              </w:rPr>
            </w:pPr>
            <w:r>
              <w:rPr>
                <w:rFonts w:hint="eastAsia" w:hAnsi="宋体" w:cs="Arial"/>
                <w:bCs/>
                <w:sz w:val="24"/>
                <w:szCs w:val="24"/>
              </w:rPr>
              <w:t>联系电话</w:t>
            </w:r>
          </w:p>
        </w:tc>
        <w:tc>
          <w:tcPr>
            <w:tcW w:w="1620" w:type="dxa"/>
            <w:gridSpan w:val="2"/>
            <w:noWrap w:val="0"/>
            <w:vAlign w:val="center"/>
          </w:tcPr>
          <w:p>
            <w:pPr>
              <w:tabs>
                <w:tab w:val="left" w:pos="9639"/>
              </w:tabs>
              <w:jc w:val="center"/>
              <w:rPr>
                <w:rFonts w:hint="eastAsia" w:hAnsi="宋体" w:cs="Arial"/>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noWrap w:val="0"/>
            <w:vAlign w:val="center"/>
          </w:tcPr>
          <w:p>
            <w:pPr>
              <w:tabs>
                <w:tab w:val="left" w:pos="9639"/>
              </w:tabs>
              <w:jc w:val="center"/>
              <w:rPr>
                <w:rFonts w:hint="eastAsia" w:hAnsi="宋体" w:cs="Arial"/>
                <w:bCs/>
                <w:sz w:val="24"/>
                <w:szCs w:val="24"/>
              </w:rPr>
            </w:pPr>
          </w:p>
        </w:tc>
        <w:tc>
          <w:tcPr>
            <w:tcW w:w="1080" w:type="dxa"/>
            <w:noWrap w:val="0"/>
            <w:vAlign w:val="center"/>
          </w:tcPr>
          <w:p>
            <w:pPr>
              <w:tabs>
                <w:tab w:val="left" w:pos="9639"/>
              </w:tabs>
              <w:jc w:val="center"/>
              <w:rPr>
                <w:rFonts w:hint="eastAsia" w:hAnsi="宋体" w:cs="Arial"/>
                <w:bCs/>
                <w:sz w:val="24"/>
                <w:szCs w:val="24"/>
              </w:rPr>
            </w:pPr>
            <w:r>
              <w:rPr>
                <w:rFonts w:hint="eastAsia" w:hAnsi="宋体" w:cs="Arial"/>
                <w:bCs/>
                <w:sz w:val="24"/>
                <w:szCs w:val="24"/>
              </w:rPr>
              <w:t>传真</w:t>
            </w:r>
          </w:p>
        </w:tc>
        <w:tc>
          <w:tcPr>
            <w:tcW w:w="3600" w:type="dxa"/>
            <w:gridSpan w:val="5"/>
            <w:noWrap w:val="0"/>
            <w:vAlign w:val="center"/>
          </w:tcPr>
          <w:p>
            <w:pPr>
              <w:tabs>
                <w:tab w:val="left" w:pos="9639"/>
              </w:tabs>
              <w:jc w:val="center"/>
              <w:rPr>
                <w:rFonts w:hint="eastAsia" w:hAnsi="宋体" w:cs="Arial"/>
                <w:bCs/>
                <w:sz w:val="24"/>
                <w:szCs w:val="24"/>
              </w:rPr>
            </w:pPr>
          </w:p>
        </w:tc>
        <w:tc>
          <w:tcPr>
            <w:tcW w:w="1260" w:type="dxa"/>
            <w:gridSpan w:val="3"/>
            <w:noWrap w:val="0"/>
            <w:vAlign w:val="center"/>
          </w:tcPr>
          <w:p>
            <w:pPr>
              <w:tabs>
                <w:tab w:val="left" w:pos="9639"/>
              </w:tabs>
              <w:jc w:val="center"/>
              <w:rPr>
                <w:rFonts w:hint="eastAsia" w:hAnsi="宋体" w:cs="Arial"/>
                <w:bCs/>
                <w:sz w:val="24"/>
                <w:szCs w:val="24"/>
              </w:rPr>
            </w:pPr>
            <w:r>
              <w:rPr>
                <w:rFonts w:hint="eastAsia" w:hAnsi="宋体" w:cs="Arial"/>
                <w:bCs/>
                <w:sz w:val="24"/>
                <w:szCs w:val="24"/>
              </w:rPr>
              <w:t>网址</w:t>
            </w:r>
          </w:p>
        </w:tc>
        <w:tc>
          <w:tcPr>
            <w:tcW w:w="1620" w:type="dxa"/>
            <w:gridSpan w:val="2"/>
            <w:noWrap w:val="0"/>
            <w:vAlign w:val="center"/>
          </w:tcPr>
          <w:p>
            <w:pPr>
              <w:tabs>
                <w:tab w:val="left" w:pos="9639"/>
              </w:tabs>
              <w:jc w:val="center"/>
              <w:rPr>
                <w:rFonts w:hint="eastAsia" w:hAnsi="宋体" w:cs="Arial"/>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noWrap w:val="0"/>
            <w:vAlign w:val="center"/>
          </w:tcPr>
          <w:p>
            <w:pPr>
              <w:tabs>
                <w:tab w:val="left" w:pos="9639"/>
              </w:tabs>
              <w:jc w:val="center"/>
              <w:rPr>
                <w:rFonts w:hint="eastAsia" w:hAnsi="宋体" w:cs="Arial"/>
                <w:bCs/>
                <w:sz w:val="24"/>
                <w:szCs w:val="24"/>
              </w:rPr>
            </w:pPr>
            <w:r>
              <w:rPr>
                <w:rFonts w:hint="eastAsia" w:hAnsi="宋体" w:cs="Arial"/>
                <w:bCs/>
                <w:sz w:val="24"/>
                <w:szCs w:val="24"/>
              </w:rPr>
              <w:t>组织结构</w:t>
            </w:r>
          </w:p>
        </w:tc>
        <w:tc>
          <w:tcPr>
            <w:tcW w:w="7560" w:type="dxa"/>
            <w:gridSpan w:val="11"/>
            <w:noWrap w:val="0"/>
            <w:vAlign w:val="center"/>
          </w:tcPr>
          <w:p>
            <w:pPr>
              <w:tabs>
                <w:tab w:val="left" w:pos="9639"/>
              </w:tabs>
              <w:jc w:val="center"/>
              <w:rPr>
                <w:rFonts w:hint="eastAsia" w:hAnsi="宋体" w:cs="Arial"/>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noWrap w:val="0"/>
            <w:vAlign w:val="center"/>
          </w:tcPr>
          <w:p>
            <w:pPr>
              <w:tabs>
                <w:tab w:val="left" w:pos="9639"/>
              </w:tabs>
              <w:jc w:val="center"/>
              <w:rPr>
                <w:rFonts w:hint="eastAsia" w:hAnsi="宋体" w:cs="Arial"/>
                <w:bCs/>
                <w:sz w:val="24"/>
                <w:szCs w:val="24"/>
              </w:rPr>
            </w:pPr>
            <w:r>
              <w:rPr>
                <w:rFonts w:hint="eastAsia" w:hAnsi="宋体" w:cs="Arial"/>
                <w:bCs/>
                <w:sz w:val="24"/>
                <w:szCs w:val="24"/>
              </w:rPr>
              <w:t>法定代表人</w:t>
            </w:r>
          </w:p>
        </w:tc>
        <w:tc>
          <w:tcPr>
            <w:tcW w:w="1260" w:type="dxa"/>
            <w:gridSpan w:val="2"/>
            <w:noWrap w:val="0"/>
            <w:vAlign w:val="center"/>
          </w:tcPr>
          <w:p>
            <w:pPr>
              <w:tabs>
                <w:tab w:val="left" w:pos="9639"/>
              </w:tabs>
              <w:jc w:val="center"/>
              <w:rPr>
                <w:rFonts w:hint="eastAsia" w:hAnsi="宋体" w:cs="Arial"/>
                <w:bCs/>
                <w:sz w:val="24"/>
                <w:szCs w:val="24"/>
              </w:rPr>
            </w:pPr>
            <w:r>
              <w:rPr>
                <w:rFonts w:hint="eastAsia" w:hAnsi="宋体" w:cs="Arial"/>
                <w:bCs/>
                <w:sz w:val="24"/>
                <w:szCs w:val="24"/>
              </w:rPr>
              <w:t>姓名</w:t>
            </w:r>
          </w:p>
        </w:tc>
        <w:tc>
          <w:tcPr>
            <w:tcW w:w="1260" w:type="dxa"/>
            <w:noWrap w:val="0"/>
            <w:vAlign w:val="center"/>
          </w:tcPr>
          <w:p>
            <w:pPr>
              <w:tabs>
                <w:tab w:val="left" w:pos="9639"/>
              </w:tabs>
              <w:jc w:val="center"/>
              <w:rPr>
                <w:rFonts w:hint="eastAsia" w:hAnsi="宋体" w:cs="Arial"/>
                <w:bCs/>
                <w:sz w:val="24"/>
                <w:szCs w:val="24"/>
              </w:rPr>
            </w:pPr>
          </w:p>
        </w:tc>
        <w:tc>
          <w:tcPr>
            <w:tcW w:w="1260" w:type="dxa"/>
            <w:noWrap w:val="0"/>
            <w:vAlign w:val="center"/>
          </w:tcPr>
          <w:p>
            <w:pPr>
              <w:tabs>
                <w:tab w:val="left" w:pos="9639"/>
              </w:tabs>
              <w:jc w:val="center"/>
              <w:rPr>
                <w:rFonts w:hint="eastAsia" w:hAnsi="宋体" w:cs="Arial"/>
                <w:bCs/>
                <w:sz w:val="24"/>
                <w:szCs w:val="24"/>
              </w:rPr>
            </w:pPr>
            <w:r>
              <w:rPr>
                <w:rFonts w:hint="eastAsia" w:hAnsi="宋体" w:cs="Arial"/>
                <w:bCs/>
                <w:sz w:val="24"/>
                <w:szCs w:val="24"/>
              </w:rPr>
              <w:t>技术职称</w:t>
            </w:r>
          </w:p>
        </w:tc>
        <w:tc>
          <w:tcPr>
            <w:tcW w:w="1260" w:type="dxa"/>
            <w:gridSpan w:val="3"/>
            <w:noWrap w:val="0"/>
            <w:vAlign w:val="center"/>
          </w:tcPr>
          <w:p>
            <w:pPr>
              <w:tabs>
                <w:tab w:val="left" w:pos="9639"/>
              </w:tabs>
              <w:jc w:val="center"/>
              <w:rPr>
                <w:rFonts w:hint="eastAsia" w:hAnsi="宋体" w:cs="Arial"/>
                <w:bCs/>
                <w:sz w:val="24"/>
                <w:szCs w:val="24"/>
              </w:rPr>
            </w:pPr>
          </w:p>
        </w:tc>
        <w:tc>
          <w:tcPr>
            <w:tcW w:w="1260" w:type="dxa"/>
            <w:gridSpan w:val="3"/>
            <w:noWrap w:val="0"/>
            <w:vAlign w:val="center"/>
          </w:tcPr>
          <w:p>
            <w:pPr>
              <w:tabs>
                <w:tab w:val="left" w:pos="9639"/>
              </w:tabs>
              <w:jc w:val="center"/>
              <w:rPr>
                <w:rFonts w:hint="eastAsia" w:hAnsi="宋体" w:cs="Arial"/>
                <w:bCs/>
                <w:sz w:val="24"/>
                <w:szCs w:val="24"/>
              </w:rPr>
            </w:pPr>
            <w:r>
              <w:rPr>
                <w:rFonts w:hint="eastAsia" w:hAnsi="宋体" w:cs="Arial"/>
                <w:bCs/>
                <w:sz w:val="24"/>
                <w:szCs w:val="24"/>
              </w:rPr>
              <w:t>联系电话</w:t>
            </w:r>
          </w:p>
        </w:tc>
        <w:tc>
          <w:tcPr>
            <w:tcW w:w="1260" w:type="dxa"/>
            <w:noWrap w:val="0"/>
            <w:vAlign w:val="center"/>
          </w:tcPr>
          <w:p>
            <w:pPr>
              <w:tabs>
                <w:tab w:val="left" w:pos="9639"/>
              </w:tabs>
              <w:jc w:val="center"/>
              <w:rPr>
                <w:rFonts w:hint="eastAsia" w:hAnsi="宋体" w:cs="Arial"/>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noWrap w:val="0"/>
            <w:vAlign w:val="center"/>
          </w:tcPr>
          <w:p>
            <w:pPr>
              <w:tabs>
                <w:tab w:val="left" w:pos="9639"/>
              </w:tabs>
              <w:jc w:val="center"/>
              <w:rPr>
                <w:rFonts w:hint="eastAsia" w:hAnsi="宋体" w:cs="Arial"/>
                <w:bCs/>
                <w:sz w:val="24"/>
                <w:szCs w:val="24"/>
              </w:rPr>
            </w:pPr>
            <w:r>
              <w:rPr>
                <w:rFonts w:hint="eastAsia" w:hAnsi="宋体" w:cs="Arial"/>
                <w:bCs/>
                <w:sz w:val="24"/>
                <w:szCs w:val="24"/>
              </w:rPr>
              <w:t>技术负责人</w:t>
            </w:r>
          </w:p>
        </w:tc>
        <w:tc>
          <w:tcPr>
            <w:tcW w:w="1260" w:type="dxa"/>
            <w:gridSpan w:val="2"/>
            <w:noWrap w:val="0"/>
            <w:vAlign w:val="center"/>
          </w:tcPr>
          <w:p>
            <w:pPr>
              <w:tabs>
                <w:tab w:val="left" w:pos="9639"/>
              </w:tabs>
              <w:jc w:val="center"/>
              <w:rPr>
                <w:rFonts w:hint="eastAsia" w:hAnsi="宋体" w:cs="Arial"/>
                <w:bCs/>
                <w:sz w:val="24"/>
                <w:szCs w:val="24"/>
              </w:rPr>
            </w:pPr>
            <w:r>
              <w:rPr>
                <w:rFonts w:hint="eastAsia" w:hAnsi="宋体" w:cs="Arial"/>
                <w:bCs/>
                <w:sz w:val="24"/>
                <w:szCs w:val="24"/>
              </w:rPr>
              <w:t>姓名</w:t>
            </w:r>
          </w:p>
        </w:tc>
        <w:tc>
          <w:tcPr>
            <w:tcW w:w="1260" w:type="dxa"/>
            <w:noWrap w:val="0"/>
            <w:vAlign w:val="center"/>
          </w:tcPr>
          <w:p>
            <w:pPr>
              <w:tabs>
                <w:tab w:val="left" w:pos="9639"/>
              </w:tabs>
              <w:jc w:val="center"/>
              <w:rPr>
                <w:rFonts w:hint="eastAsia" w:hAnsi="宋体" w:cs="Arial"/>
                <w:bCs/>
                <w:sz w:val="24"/>
                <w:szCs w:val="24"/>
              </w:rPr>
            </w:pPr>
          </w:p>
        </w:tc>
        <w:tc>
          <w:tcPr>
            <w:tcW w:w="1260" w:type="dxa"/>
            <w:noWrap w:val="0"/>
            <w:vAlign w:val="center"/>
          </w:tcPr>
          <w:p>
            <w:pPr>
              <w:tabs>
                <w:tab w:val="left" w:pos="9639"/>
              </w:tabs>
              <w:jc w:val="center"/>
              <w:rPr>
                <w:rFonts w:hint="eastAsia" w:hAnsi="宋体" w:cs="Arial"/>
                <w:bCs/>
                <w:sz w:val="24"/>
                <w:szCs w:val="24"/>
              </w:rPr>
            </w:pPr>
            <w:r>
              <w:rPr>
                <w:rFonts w:hint="eastAsia" w:hAnsi="宋体" w:cs="Arial"/>
                <w:bCs/>
                <w:sz w:val="24"/>
                <w:szCs w:val="24"/>
              </w:rPr>
              <w:t>技术职称</w:t>
            </w:r>
          </w:p>
        </w:tc>
        <w:tc>
          <w:tcPr>
            <w:tcW w:w="1260" w:type="dxa"/>
            <w:gridSpan w:val="3"/>
            <w:noWrap w:val="0"/>
            <w:vAlign w:val="center"/>
          </w:tcPr>
          <w:p>
            <w:pPr>
              <w:tabs>
                <w:tab w:val="left" w:pos="9639"/>
              </w:tabs>
              <w:jc w:val="center"/>
              <w:rPr>
                <w:rFonts w:hint="eastAsia" w:hAnsi="宋体" w:cs="Arial"/>
                <w:bCs/>
                <w:sz w:val="24"/>
                <w:szCs w:val="24"/>
              </w:rPr>
            </w:pPr>
          </w:p>
        </w:tc>
        <w:tc>
          <w:tcPr>
            <w:tcW w:w="1260" w:type="dxa"/>
            <w:gridSpan w:val="3"/>
            <w:noWrap w:val="0"/>
            <w:vAlign w:val="center"/>
          </w:tcPr>
          <w:p>
            <w:pPr>
              <w:tabs>
                <w:tab w:val="left" w:pos="9639"/>
              </w:tabs>
              <w:jc w:val="center"/>
              <w:rPr>
                <w:rFonts w:hint="eastAsia" w:hAnsi="宋体" w:cs="Arial"/>
                <w:bCs/>
                <w:sz w:val="24"/>
                <w:szCs w:val="24"/>
              </w:rPr>
            </w:pPr>
            <w:r>
              <w:rPr>
                <w:rFonts w:hint="eastAsia" w:hAnsi="宋体" w:cs="Arial"/>
                <w:bCs/>
                <w:sz w:val="24"/>
                <w:szCs w:val="24"/>
              </w:rPr>
              <w:t>联系电话</w:t>
            </w:r>
          </w:p>
        </w:tc>
        <w:tc>
          <w:tcPr>
            <w:tcW w:w="1260" w:type="dxa"/>
            <w:noWrap w:val="0"/>
            <w:vAlign w:val="center"/>
          </w:tcPr>
          <w:p>
            <w:pPr>
              <w:tabs>
                <w:tab w:val="left" w:pos="9639"/>
              </w:tabs>
              <w:jc w:val="center"/>
              <w:rPr>
                <w:rFonts w:hint="eastAsia" w:hAnsi="宋体" w:cs="Arial"/>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noWrap w:val="0"/>
            <w:vAlign w:val="center"/>
          </w:tcPr>
          <w:p>
            <w:pPr>
              <w:tabs>
                <w:tab w:val="left" w:pos="9639"/>
              </w:tabs>
              <w:jc w:val="center"/>
              <w:rPr>
                <w:rFonts w:hint="eastAsia" w:hAnsi="宋体" w:cs="Arial"/>
                <w:bCs/>
                <w:sz w:val="24"/>
                <w:szCs w:val="24"/>
              </w:rPr>
            </w:pPr>
            <w:r>
              <w:rPr>
                <w:rFonts w:hint="eastAsia" w:hAnsi="宋体" w:cs="Arial"/>
                <w:bCs/>
                <w:sz w:val="24"/>
                <w:szCs w:val="24"/>
              </w:rPr>
              <w:t>成立时间</w:t>
            </w:r>
          </w:p>
        </w:tc>
        <w:tc>
          <w:tcPr>
            <w:tcW w:w="2520" w:type="dxa"/>
            <w:gridSpan w:val="3"/>
            <w:noWrap w:val="0"/>
            <w:vAlign w:val="center"/>
          </w:tcPr>
          <w:p>
            <w:pPr>
              <w:tabs>
                <w:tab w:val="left" w:pos="9639"/>
              </w:tabs>
              <w:jc w:val="center"/>
              <w:rPr>
                <w:rFonts w:hint="eastAsia" w:hAnsi="宋体" w:cs="Arial"/>
                <w:bCs/>
                <w:sz w:val="24"/>
                <w:szCs w:val="24"/>
              </w:rPr>
            </w:pPr>
          </w:p>
        </w:tc>
        <w:tc>
          <w:tcPr>
            <w:tcW w:w="5040" w:type="dxa"/>
            <w:gridSpan w:val="8"/>
            <w:noWrap w:val="0"/>
            <w:vAlign w:val="center"/>
          </w:tcPr>
          <w:p>
            <w:pPr>
              <w:tabs>
                <w:tab w:val="left" w:pos="9639"/>
              </w:tabs>
              <w:jc w:val="center"/>
              <w:rPr>
                <w:rFonts w:hint="eastAsia" w:hAnsi="宋体" w:cs="Arial"/>
                <w:bCs/>
                <w:sz w:val="24"/>
                <w:szCs w:val="24"/>
              </w:rPr>
            </w:pPr>
            <w:r>
              <w:rPr>
                <w:rFonts w:hint="eastAsia" w:hAnsi="宋体" w:cs="Arial"/>
                <w:bCs/>
                <w:sz w:val="24"/>
                <w:szCs w:val="24"/>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noWrap w:val="0"/>
            <w:vAlign w:val="center"/>
          </w:tcPr>
          <w:p>
            <w:pPr>
              <w:tabs>
                <w:tab w:val="left" w:pos="9639"/>
              </w:tabs>
              <w:jc w:val="center"/>
              <w:rPr>
                <w:rFonts w:hint="eastAsia" w:hAnsi="宋体" w:cs="Arial"/>
                <w:bCs/>
                <w:sz w:val="24"/>
                <w:szCs w:val="24"/>
              </w:rPr>
            </w:pPr>
            <w:r>
              <w:rPr>
                <w:rFonts w:hint="eastAsia" w:hAnsi="宋体" w:cs="Arial"/>
                <w:bCs/>
                <w:sz w:val="24"/>
                <w:szCs w:val="24"/>
              </w:rPr>
              <w:t>企业资质等级</w:t>
            </w:r>
          </w:p>
        </w:tc>
        <w:tc>
          <w:tcPr>
            <w:tcW w:w="2520" w:type="dxa"/>
            <w:gridSpan w:val="3"/>
            <w:noWrap w:val="0"/>
            <w:vAlign w:val="center"/>
          </w:tcPr>
          <w:p>
            <w:pPr>
              <w:tabs>
                <w:tab w:val="left" w:pos="9639"/>
              </w:tabs>
              <w:jc w:val="center"/>
              <w:rPr>
                <w:rFonts w:hint="eastAsia" w:hAnsi="宋体" w:cs="Arial"/>
                <w:bCs/>
                <w:sz w:val="24"/>
                <w:szCs w:val="24"/>
              </w:rPr>
            </w:pPr>
          </w:p>
        </w:tc>
        <w:tc>
          <w:tcPr>
            <w:tcW w:w="1680" w:type="dxa"/>
            <w:gridSpan w:val="2"/>
            <w:vMerge w:val="restart"/>
            <w:noWrap w:val="0"/>
            <w:vAlign w:val="center"/>
          </w:tcPr>
          <w:p>
            <w:pPr>
              <w:tabs>
                <w:tab w:val="left" w:pos="9639"/>
              </w:tabs>
              <w:jc w:val="center"/>
              <w:rPr>
                <w:rFonts w:hint="eastAsia" w:hAnsi="宋体" w:cs="Arial"/>
                <w:bCs/>
                <w:sz w:val="24"/>
                <w:szCs w:val="24"/>
              </w:rPr>
            </w:pPr>
            <w:r>
              <w:rPr>
                <w:rFonts w:hint="eastAsia" w:hAnsi="宋体" w:cs="Arial"/>
                <w:bCs/>
                <w:sz w:val="24"/>
                <w:szCs w:val="24"/>
              </w:rPr>
              <w:t>其中</w:t>
            </w:r>
          </w:p>
        </w:tc>
        <w:tc>
          <w:tcPr>
            <w:tcW w:w="1680" w:type="dxa"/>
            <w:gridSpan w:val="3"/>
            <w:noWrap w:val="0"/>
            <w:vAlign w:val="center"/>
          </w:tcPr>
          <w:p>
            <w:pPr>
              <w:tabs>
                <w:tab w:val="left" w:pos="9639"/>
              </w:tabs>
              <w:jc w:val="center"/>
              <w:rPr>
                <w:rFonts w:hint="eastAsia" w:hAnsi="宋体" w:cs="Arial"/>
                <w:bCs/>
                <w:sz w:val="24"/>
                <w:szCs w:val="24"/>
              </w:rPr>
            </w:pPr>
            <w:r>
              <w:rPr>
                <w:rFonts w:hint="eastAsia" w:hAnsi="宋体" w:cs="Arial"/>
                <w:bCs/>
                <w:sz w:val="24"/>
                <w:szCs w:val="24"/>
              </w:rPr>
              <w:t>项目经理</w:t>
            </w:r>
          </w:p>
        </w:tc>
        <w:tc>
          <w:tcPr>
            <w:tcW w:w="1680" w:type="dxa"/>
            <w:gridSpan w:val="3"/>
            <w:noWrap w:val="0"/>
            <w:vAlign w:val="center"/>
          </w:tcPr>
          <w:p>
            <w:pPr>
              <w:tabs>
                <w:tab w:val="left" w:pos="9639"/>
              </w:tabs>
              <w:jc w:val="center"/>
              <w:rPr>
                <w:rFonts w:hint="eastAsia" w:hAnsi="宋体" w:cs="Arial"/>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noWrap w:val="0"/>
            <w:vAlign w:val="center"/>
          </w:tcPr>
          <w:p>
            <w:pPr>
              <w:tabs>
                <w:tab w:val="left" w:pos="9639"/>
              </w:tabs>
              <w:jc w:val="center"/>
              <w:rPr>
                <w:rFonts w:hint="eastAsia" w:hAnsi="宋体" w:cs="Arial"/>
                <w:bCs/>
                <w:sz w:val="24"/>
                <w:szCs w:val="24"/>
              </w:rPr>
            </w:pPr>
            <w:r>
              <w:rPr>
                <w:rFonts w:hint="eastAsia" w:hAnsi="宋体" w:cs="Arial"/>
                <w:bCs/>
                <w:sz w:val="24"/>
                <w:szCs w:val="24"/>
              </w:rPr>
              <w:t>营业执照</w:t>
            </w:r>
            <w:r>
              <w:rPr>
                <w:rFonts w:hint="eastAsia"/>
                <w:sz w:val="24"/>
                <w:szCs w:val="24"/>
              </w:rPr>
              <w:t>号</w:t>
            </w:r>
          </w:p>
        </w:tc>
        <w:tc>
          <w:tcPr>
            <w:tcW w:w="2520" w:type="dxa"/>
            <w:gridSpan w:val="3"/>
            <w:noWrap w:val="0"/>
            <w:vAlign w:val="center"/>
          </w:tcPr>
          <w:p>
            <w:pPr>
              <w:tabs>
                <w:tab w:val="left" w:pos="9639"/>
              </w:tabs>
              <w:jc w:val="center"/>
              <w:rPr>
                <w:rFonts w:hint="eastAsia" w:hAnsi="宋体" w:cs="Arial"/>
                <w:bCs/>
                <w:sz w:val="24"/>
                <w:szCs w:val="24"/>
              </w:rPr>
            </w:pPr>
          </w:p>
        </w:tc>
        <w:tc>
          <w:tcPr>
            <w:tcW w:w="1680" w:type="dxa"/>
            <w:gridSpan w:val="2"/>
            <w:vMerge w:val="continue"/>
            <w:noWrap w:val="0"/>
            <w:vAlign w:val="center"/>
          </w:tcPr>
          <w:p>
            <w:pPr>
              <w:tabs>
                <w:tab w:val="left" w:pos="9639"/>
              </w:tabs>
              <w:jc w:val="center"/>
              <w:rPr>
                <w:rFonts w:hint="eastAsia" w:hAnsi="宋体" w:cs="Arial"/>
                <w:bCs/>
                <w:sz w:val="24"/>
                <w:szCs w:val="24"/>
              </w:rPr>
            </w:pPr>
          </w:p>
        </w:tc>
        <w:tc>
          <w:tcPr>
            <w:tcW w:w="1680" w:type="dxa"/>
            <w:gridSpan w:val="3"/>
            <w:noWrap w:val="0"/>
            <w:vAlign w:val="center"/>
          </w:tcPr>
          <w:p>
            <w:pPr>
              <w:tabs>
                <w:tab w:val="left" w:pos="9639"/>
              </w:tabs>
              <w:jc w:val="center"/>
              <w:rPr>
                <w:rFonts w:hint="eastAsia" w:hAnsi="宋体" w:cs="Arial"/>
                <w:bCs/>
                <w:sz w:val="24"/>
                <w:szCs w:val="24"/>
              </w:rPr>
            </w:pPr>
            <w:r>
              <w:rPr>
                <w:rFonts w:hint="eastAsia" w:hAnsi="宋体" w:cs="Arial"/>
                <w:bCs/>
                <w:sz w:val="24"/>
                <w:szCs w:val="24"/>
              </w:rPr>
              <w:t>高级职称人员</w:t>
            </w:r>
          </w:p>
        </w:tc>
        <w:tc>
          <w:tcPr>
            <w:tcW w:w="1680" w:type="dxa"/>
            <w:gridSpan w:val="3"/>
            <w:noWrap w:val="0"/>
            <w:vAlign w:val="center"/>
          </w:tcPr>
          <w:p>
            <w:pPr>
              <w:tabs>
                <w:tab w:val="left" w:pos="9639"/>
              </w:tabs>
              <w:jc w:val="center"/>
              <w:rPr>
                <w:rFonts w:hint="eastAsia" w:hAnsi="宋体" w:cs="Arial"/>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noWrap w:val="0"/>
            <w:vAlign w:val="center"/>
          </w:tcPr>
          <w:p>
            <w:pPr>
              <w:tabs>
                <w:tab w:val="left" w:pos="9639"/>
              </w:tabs>
              <w:jc w:val="center"/>
              <w:rPr>
                <w:rFonts w:hint="eastAsia" w:hAnsi="宋体" w:cs="Arial"/>
                <w:bCs/>
                <w:sz w:val="24"/>
                <w:szCs w:val="24"/>
              </w:rPr>
            </w:pPr>
            <w:r>
              <w:rPr>
                <w:rFonts w:hint="eastAsia" w:hAnsi="宋体" w:cs="Arial"/>
                <w:bCs/>
                <w:sz w:val="24"/>
                <w:szCs w:val="24"/>
              </w:rPr>
              <w:t>注册资金</w:t>
            </w:r>
          </w:p>
        </w:tc>
        <w:tc>
          <w:tcPr>
            <w:tcW w:w="2520" w:type="dxa"/>
            <w:gridSpan w:val="3"/>
            <w:noWrap w:val="0"/>
            <w:vAlign w:val="center"/>
          </w:tcPr>
          <w:p>
            <w:pPr>
              <w:tabs>
                <w:tab w:val="left" w:pos="9639"/>
              </w:tabs>
              <w:jc w:val="center"/>
              <w:rPr>
                <w:rFonts w:hint="eastAsia" w:hAnsi="宋体" w:cs="Arial"/>
                <w:bCs/>
                <w:sz w:val="24"/>
                <w:szCs w:val="24"/>
              </w:rPr>
            </w:pPr>
          </w:p>
        </w:tc>
        <w:tc>
          <w:tcPr>
            <w:tcW w:w="1680" w:type="dxa"/>
            <w:gridSpan w:val="2"/>
            <w:vMerge w:val="continue"/>
            <w:noWrap w:val="0"/>
            <w:vAlign w:val="center"/>
          </w:tcPr>
          <w:p>
            <w:pPr>
              <w:tabs>
                <w:tab w:val="left" w:pos="9639"/>
              </w:tabs>
              <w:jc w:val="center"/>
              <w:rPr>
                <w:rFonts w:hint="eastAsia" w:hAnsi="宋体" w:cs="Arial"/>
                <w:bCs/>
                <w:sz w:val="24"/>
                <w:szCs w:val="24"/>
              </w:rPr>
            </w:pPr>
          </w:p>
        </w:tc>
        <w:tc>
          <w:tcPr>
            <w:tcW w:w="1680" w:type="dxa"/>
            <w:gridSpan w:val="3"/>
            <w:noWrap w:val="0"/>
            <w:vAlign w:val="center"/>
          </w:tcPr>
          <w:p>
            <w:pPr>
              <w:tabs>
                <w:tab w:val="left" w:pos="9639"/>
              </w:tabs>
              <w:jc w:val="center"/>
              <w:rPr>
                <w:rFonts w:hint="eastAsia" w:hAnsi="宋体" w:cs="Arial"/>
                <w:bCs/>
                <w:sz w:val="24"/>
                <w:szCs w:val="24"/>
              </w:rPr>
            </w:pPr>
            <w:r>
              <w:rPr>
                <w:rFonts w:hint="eastAsia" w:hAnsi="宋体" w:cs="Arial"/>
                <w:bCs/>
                <w:sz w:val="24"/>
                <w:szCs w:val="24"/>
              </w:rPr>
              <w:t>中级职称人员</w:t>
            </w:r>
          </w:p>
        </w:tc>
        <w:tc>
          <w:tcPr>
            <w:tcW w:w="1680" w:type="dxa"/>
            <w:gridSpan w:val="3"/>
            <w:noWrap w:val="0"/>
            <w:vAlign w:val="center"/>
          </w:tcPr>
          <w:p>
            <w:pPr>
              <w:tabs>
                <w:tab w:val="left" w:pos="9639"/>
              </w:tabs>
              <w:jc w:val="center"/>
              <w:rPr>
                <w:rFonts w:hint="eastAsia" w:hAnsi="宋体" w:cs="Arial"/>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noWrap w:val="0"/>
            <w:vAlign w:val="center"/>
          </w:tcPr>
          <w:p>
            <w:pPr>
              <w:tabs>
                <w:tab w:val="left" w:pos="9639"/>
              </w:tabs>
              <w:jc w:val="center"/>
              <w:rPr>
                <w:rFonts w:hint="eastAsia" w:hAnsi="宋体" w:cs="Arial"/>
                <w:bCs/>
                <w:sz w:val="24"/>
                <w:szCs w:val="24"/>
              </w:rPr>
            </w:pPr>
            <w:r>
              <w:rPr>
                <w:rFonts w:hint="eastAsia" w:hAnsi="宋体" w:cs="Arial"/>
                <w:bCs/>
                <w:sz w:val="24"/>
                <w:szCs w:val="24"/>
              </w:rPr>
              <w:t>开户银行</w:t>
            </w:r>
          </w:p>
        </w:tc>
        <w:tc>
          <w:tcPr>
            <w:tcW w:w="2520" w:type="dxa"/>
            <w:gridSpan w:val="3"/>
            <w:noWrap w:val="0"/>
            <w:vAlign w:val="center"/>
          </w:tcPr>
          <w:p>
            <w:pPr>
              <w:tabs>
                <w:tab w:val="left" w:pos="9639"/>
              </w:tabs>
              <w:jc w:val="center"/>
              <w:rPr>
                <w:rFonts w:hint="eastAsia" w:hAnsi="宋体" w:cs="Arial"/>
                <w:bCs/>
                <w:sz w:val="24"/>
                <w:szCs w:val="24"/>
              </w:rPr>
            </w:pPr>
          </w:p>
        </w:tc>
        <w:tc>
          <w:tcPr>
            <w:tcW w:w="1680" w:type="dxa"/>
            <w:gridSpan w:val="2"/>
            <w:vMerge w:val="continue"/>
            <w:noWrap w:val="0"/>
            <w:vAlign w:val="center"/>
          </w:tcPr>
          <w:p>
            <w:pPr>
              <w:tabs>
                <w:tab w:val="left" w:pos="9639"/>
              </w:tabs>
              <w:jc w:val="center"/>
              <w:rPr>
                <w:rFonts w:hint="eastAsia" w:hAnsi="宋体" w:cs="Arial"/>
                <w:bCs/>
                <w:sz w:val="24"/>
                <w:szCs w:val="24"/>
              </w:rPr>
            </w:pPr>
          </w:p>
        </w:tc>
        <w:tc>
          <w:tcPr>
            <w:tcW w:w="1680" w:type="dxa"/>
            <w:gridSpan w:val="3"/>
            <w:noWrap w:val="0"/>
            <w:vAlign w:val="center"/>
          </w:tcPr>
          <w:p>
            <w:pPr>
              <w:tabs>
                <w:tab w:val="left" w:pos="9639"/>
              </w:tabs>
              <w:jc w:val="center"/>
              <w:rPr>
                <w:rFonts w:hint="eastAsia" w:hAnsi="宋体" w:cs="Arial"/>
                <w:bCs/>
                <w:sz w:val="24"/>
                <w:szCs w:val="24"/>
              </w:rPr>
            </w:pPr>
            <w:r>
              <w:rPr>
                <w:rFonts w:hint="eastAsia" w:hAnsi="宋体" w:cs="Arial"/>
                <w:bCs/>
                <w:sz w:val="24"/>
                <w:szCs w:val="24"/>
              </w:rPr>
              <w:t>初级职称人员</w:t>
            </w:r>
          </w:p>
        </w:tc>
        <w:tc>
          <w:tcPr>
            <w:tcW w:w="1680" w:type="dxa"/>
            <w:gridSpan w:val="3"/>
            <w:noWrap w:val="0"/>
            <w:vAlign w:val="center"/>
          </w:tcPr>
          <w:p>
            <w:pPr>
              <w:tabs>
                <w:tab w:val="left" w:pos="9639"/>
              </w:tabs>
              <w:jc w:val="center"/>
              <w:rPr>
                <w:rFonts w:hint="eastAsia" w:hAnsi="宋体" w:cs="Arial"/>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noWrap w:val="0"/>
            <w:vAlign w:val="center"/>
          </w:tcPr>
          <w:p>
            <w:pPr>
              <w:tabs>
                <w:tab w:val="left" w:pos="9639"/>
              </w:tabs>
              <w:jc w:val="center"/>
              <w:rPr>
                <w:rFonts w:hint="eastAsia" w:hAnsi="宋体" w:cs="Arial"/>
                <w:bCs/>
                <w:sz w:val="24"/>
                <w:szCs w:val="24"/>
              </w:rPr>
            </w:pPr>
            <w:r>
              <w:rPr>
                <w:rFonts w:hint="eastAsia" w:hAnsi="宋体" w:cs="Arial"/>
                <w:bCs/>
                <w:sz w:val="24"/>
                <w:szCs w:val="24"/>
              </w:rPr>
              <w:t>账号</w:t>
            </w:r>
          </w:p>
        </w:tc>
        <w:tc>
          <w:tcPr>
            <w:tcW w:w="2520" w:type="dxa"/>
            <w:gridSpan w:val="3"/>
            <w:noWrap w:val="0"/>
            <w:vAlign w:val="center"/>
          </w:tcPr>
          <w:p>
            <w:pPr>
              <w:tabs>
                <w:tab w:val="left" w:pos="9639"/>
              </w:tabs>
              <w:jc w:val="center"/>
              <w:rPr>
                <w:rFonts w:hint="eastAsia" w:hAnsi="宋体" w:cs="Arial"/>
                <w:bCs/>
                <w:sz w:val="24"/>
                <w:szCs w:val="24"/>
              </w:rPr>
            </w:pPr>
          </w:p>
        </w:tc>
        <w:tc>
          <w:tcPr>
            <w:tcW w:w="1680" w:type="dxa"/>
            <w:gridSpan w:val="2"/>
            <w:vMerge w:val="continue"/>
            <w:noWrap w:val="0"/>
            <w:vAlign w:val="center"/>
          </w:tcPr>
          <w:p>
            <w:pPr>
              <w:tabs>
                <w:tab w:val="left" w:pos="9639"/>
              </w:tabs>
              <w:jc w:val="center"/>
              <w:rPr>
                <w:rFonts w:hint="eastAsia" w:hAnsi="宋体" w:cs="Arial"/>
                <w:bCs/>
                <w:sz w:val="24"/>
                <w:szCs w:val="24"/>
              </w:rPr>
            </w:pPr>
          </w:p>
        </w:tc>
        <w:tc>
          <w:tcPr>
            <w:tcW w:w="1680" w:type="dxa"/>
            <w:gridSpan w:val="3"/>
            <w:noWrap w:val="0"/>
            <w:vAlign w:val="center"/>
          </w:tcPr>
          <w:p>
            <w:pPr>
              <w:tabs>
                <w:tab w:val="left" w:pos="9639"/>
              </w:tabs>
              <w:jc w:val="center"/>
              <w:rPr>
                <w:rFonts w:hint="eastAsia" w:hAnsi="宋体" w:cs="Arial"/>
                <w:bCs/>
                <w:sz w:val="24"/>
                <w:szCs w:val="24"/>
              </w:rPr>
            </w:pPr>
            <w:r>
              <w:rPr>
                <w:rFonts w:hint="eastAsia" w:hAnsi="宋体" w:cs="Arial"/>
                <w:bCs/>
                <w:sz w:val="24"/>
                <w:szCs w:val="24"/>
              </w:rPr>
              <w:t>技工</w:t>
            </w:r>
          </w:p>
        </w:tc>
        <w:tc>
          <w:tcPr>
            <w:tcW w:w="1680" w:type="dxa"/>
            <w:gridSpan w:val="3"/>
            <w:noWrap w:val="0"/>
            <w:vAlign w:val="center"/>
          </w:tcPr>
          <w:p>
            <w:pPr>
              <w:tabs>
                <w:tab w:val="left" w:pos="9639"/>
              </w:tabs>
              <w:jc w:val="center"/>
              <w:rPr>
                <w:rFonts w:hint="eastAsia" w:hAnsi="宋体" w:cs="Arial"/>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noWrap w:val="0"/>
            <w:vAlign w:val="center"/>
          </w:tcPr>
          <w:p>
            <w:pPr>
              <w:tabs>
                <w:tab w:val="left" w:pos="9639"/>
              </w:tabs>
              <w:jc w:val="center"/>
              <w:rPr>
                <w:rFonts w:hint="eastAsia" w:hAnsi="宋体" w:cs="Arial"/>
                <w:bCs/>
                <w:sz w:val="24"/>
                <w:szCs w:val="24"/>
              </w:rPr>
            </w:pPr>
            <w:r>
              <w:rPr>
                <w:rFonts w:hint="eastAsia" w:hAnsi="宋体" w:cs="Arial"/>
                <w:bCs/>
                <w:sz w:val="24"/>
                <w:szCs w:val="24"/>
              </w:rPr>
              <w:t>经营范围</w:t>
            </w:r>
          </w:p>
        </w:tc>
        <w:tc>
          <w:tcPr>
            <w:tcW w:w="7560" w:type="dxa"/>
            <w:gridSpan w:val="11"/>
            <w:noWrap w:val="0"/>
            <w:vAlign w:val="center"/>
          </w:tcPr>
          <w:p>
            <w:pPr>
              <w:tabs>
                <w:tab w:val="left" w:pos="9639"/>
              </w:tabs>
              <w:jc w:val="center"/>
              <w:rPr>
                <w:rFonts w:hint="eastAsia" w:hAnsi="宋体" w:cs="Arial"/>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noWrap w:val="0"/>
            <w:vAlign w:val="center"/>
          </w:tcPr>
          <w:p>
            <w:pPr>
              <w:tabs>
                <w:tab w:val="left" w:pos="9639"/>
              </w:tabs>
              <w:jc w:val="center"/>
              <w:rPr>
                <w:rFonts w:hint="eastAsia" w:hAnsi="宋体" w:cs="Arial"/>
                <w:bCs/>
                <w:sz w:val="24"/>
                <w:szCs w:val="24"/>
              </w:rPr>
            </w:pPr>
            <w:r>
              <w:rPr>
                <w:rFonts w:hint="eastAsia" w:hAnsi="宋体" w:cs="Arial"/>
                <w:bCs/>
                <w:sz w:val="24"/>
                <w:szCs w:val="24"/>
              </w:rPr>
              <w:t>备注</w:t>
            </w:r>
          </w:p>
        </w:tc>
        <w:tc>
          <w:tcPr>
            <w:tcW w:w="7560" w:type="dxa"/>
            <w:gridSpan w:val="11"/>
            <w:noWrap w:val="0"/>
            <w:vAlign w:val="center"/>
          </w:tcPr>
          <w:p>
            <w:pPr>
              <w:tabs>
                <w:tab w:val="left" w:pos="9639"/>
              </w:tabs>
              <w:jc w:val="center"/>
              <w:rPr>
                <w:rFonts w:hint="eastAsia" w:hAnsi="宋体" w:cs="Arial"/>
                <w:bCs/>
                <w:sz w:val="24"/>
                <w:szCs w:val="24"/>
              </w:rPr>
            </w:pPr>
          </w:p>
        </w:tc>
      </w:tr>
    </w:tbl>
    <w:p>
      <w:pPr>
        <w:tabs>
          <w:tab w:val="left" w:pos="9639"/>
        </w:tabs>
        <w:adjustRightInd w:val="0"/>
        <w:spacing w:line="400" w:lineRule="exact"/>
        <w:jc w:val="left"/>
        <w:rPr>
          <w:rFonts w:hint="eastAsia" w:hAnsi="宋体"/>
          <w:sz w:val="24"/>
        </w:rPr>
      </w:pPr>
    </w:p>
    <w:p>
      <w:pPr>
        <w:keepNext w:val="0"/>
        <w:keepLines w:val="0"/>
        <w:pageBreakBefore w:val="0"/>
        <w:widowControl w:val="0"/>
        <w:tabs>
          <w:tab w:val="left" w:pos="7665"/>
        </w:tabs>
        <w:kinsoku/>
        <w:wordWrap/>
        <w:overflowPunct/>
        <w:topLinePunct w:val="0"/>
        <w:autoSpaceDE/>
        <w:autoSpaceDN/>
        <w:bidi w:val="0"/>
        <w:adjustRightInd/>
        <w:snapToGrid w:val="0"/>
        <w:spacing w:line="360" w:lineRule="auto"/>
        <w:ind w:firstLine="480" w:firstLineChars="200"/>
        <w:textAlignment w:val="auto"/>
        <w:outlineLvl w:val="9"/>
        <w:rPr>
          <w:rFonts w:hint="eastAsia" w:ascii="华文宋体" w:hAnsi="华文宋体" w:eastAsia="华文宋体" w:cs="华文宋体"/>
          <w:color w:val="000000"/>
          <w:kern w:val="0"/>
          <w:sz w:val="24"/>
          <w:highlight w:val="none"/>
        </w:rPr>
      </w:pPr>
      <w:r>
        <w:rPr>
          <w:rFonts w:hint="eastAsia" w:ascii="华文宋体" w:hAnsi="华文宋体" w:eastAsia="华文宋体" w:cs="华文宋体"/>
          <w:color w:val="000000"/>
          <w:kern w:val="0"/>
          <w:sz w:val="24"/>
          <w:highlight w:val="none"/>
        </w:rPr>
        <w:t>供应商名称（</w:t>
      </w:r>
      <w:r>
        <w:rPr>
          <w:rFonts w:hint="eastAsia" w:ascii="华文宋体" w:hAnsi="华文宋体" w:eastAsia="华文宋体" w:cs="华文宋体"/>
          <w:color w:val="000000"/>
          <w:kern w:val="0"/>
          <w:sz w:val="24"/>
          <w:highlight w:val="none"/>
          <w:lang w:val="en-US" w:eastAsia="zh-CN"/>
        </w:rPr>
        <w:t>盖单位公章</w:t>
      </w:r>
      <w:r>
        <w:rPr>
          <w:rFonts w:hint="eastAsia" w:ascii="华文宋体" w:hAnsi="华文宋体" w:eastAsia="华文宋体" w:cs="华文宋体"/>
          <w:color w:val="000000"/>
          <w:kern w:val="0"/>
          <w:sz w:val="24"/>
          <w:highlight w:val="none"/>
        </w:rPr>
        <w:t xml:space="preserve">）：         </w:t>
      </w:r>
    </w:p>
    <w:p>
      <w:pPr>
        <w:keepNext w:val="0"/>
        <w:keepLines w:val="0"/>
        <w:pageBreakBefore w:val="0"/>
        <w:widowControl w:val="0"/>
        <w:tabs>
          <w:tab w:val="left" w:pos="7665"/>
        </w:tabs>
        <w:kinsoku/>
        <w:wordWrap/>
        <w:overflowPunct/>
        <w:topLinePunct w:val="0"/>
        <w:autoSpaceDE/>
        <w:autoSpaceDN/>
        <w:bidi w:val="0"/>
        <w:adjustRightInd/>
        <w:snapToGrid w:val="0"/>
        <w:spacing w:line="360" w:lineRule="auto"/>
        <w:ind w:firstLine="480" w:firstLineChars="200"/>
        <w:textAlignment w:val="auto"/>
        <w:outlineLvl w:val="9"/>
        <w:rPr>
          <w:rFonts w:hint="eastAsia" w:ascii="华文宋体" w:hAnsi="华文宋体" w:eastAsia="华文宋体" w:cs="华文宋体"/>
          <w:color w:val="000000"/>
          <w:kern w:val="0"/>
          <w:sz w:val="24"/>
          <w:highlight w:val="none"/>
        </w:rPr>
      </w:pPr>
      <w:r>
        <w:rPr>
          <w:rFonts w:hint="eastAsia" w:ascii="华文宋体" w:hAnsi="华文宋体" w:eastAsia="华文宋体" w:cs="华文宋体"/>
          <w:color w:val="000000"/>
          <w:kern w:val="0"/>
          <w:sz w:val="24"/>
          <w:highlight w:val="none"/>
        </w:rPr>
        <w:t>法定代表人</w:t>
      </w:r>
      <w:r>
        <w:rPr>
          <w:rFonts w:hint="eastAsia" w:ascii="华文宋体" w:hAnsi="华文宋体" w:eastAsia="华文宋体" w:cs="华文宋体"/>
          <w:color w:val="000000"/>
          <w:kern w:val="0"/>
          <w:sz w:val="24"/>
          <w:highlight w:val="none"/>
          <w:lang w:val="en-US" w:eastAsia="zh-CN"/>
        </w:rPr>
        <w:t>/单位负责人</w:t>
      </w:r>
      <w:r>
        <w:rPr>
          <w:rFonts w:hint="eastAsia" w:ascii="华文宋体" w:hAnsi="华文宋体" w:eastAsia="华文宋体" w:cs="华文宋体"/>
          <w:color w:val="000000"/>
          <w:kern w:val="0"/>
          <w:sz w:val="24"/>
          <w:highlight w:val="none"/>
        </w:rPr>
        <w:t>或授权代表（</w:t>
      </w:r>
      <w:r>
        <w:rPr>
          <w:rFonts w:hint="eastAsia" w:ascii="华文宋体" w:hAnsi="华文宋体" w:eastAsia="华文宋体" w:cs="华文宋体"/>
          <w:color w:val="000000"/>
          <w:kern w:val="0"/>
          <w:sz w:val="24"/>
          <w:highlight w:val="none"/>
          <w:lang w:eastAsia="zh-CN"/>
        </w:rPr>
        <w:t>签字或加盖个人印章</w:t>
      </w:r>
      <w:r>
        <w:rPr>
          <w:rFonts w:hint="eastAsia" w:ascii="华文宋体" w:hAnsi="华文宋体" w:eastAsia="华文宋体" w:cs="华文宋体"/>
          <w:color w:val="000000"/>
          <w:kern w:val="0"/>
          <w:sz w:val="24"/>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9"/>
        <w:rPr>
          <w:rStyle w:val="86"/>
          <w:rFonts w:hint="eastAsia" w:ascii="华文宋体" w:hAnsi="华文宋体" w:eastAsia="华文宋体" w:cs="华文宋体"/>
          <w:color w:val="000000"/>
          <w:highlight w:val="none"/>
          <w:lang w:eastAsia="zh-CN"/>
        </w:rPr>
      </w:pPr>
      <w:r>
        <w:rPr>
          <w:rFonts w:hint="eastAsia" w:ascii="华文宋体" w:hAnsi="华文宋体" w:eastAsia="华文宋体" w:cs="华文宋体"/>
          <w:color w:val="000000"/>
          <w:kern w:val="0"/>
          <w:sz w:val="24"/>
          <w:highlight w:val="none"/>
        </w:rPr>
        <w:t>日期</w:t>
      </w:r>
      <w:r>
        <w:rPr>
          <w:rFonts w:hint="eastAsia" w:ascii="华文宋体" w:hAnsi="华文宋体" w:eastAsia="华文宋体" w:cs="华文宋体"/>
          <w:color w:val="000000"/>
          <w:kern w:val="0"/>
          <w:sz w:val="24"/>
          <w:highlight w:val="none"/>
          <w:lang w:eastAsia="zh-CN"/>
        </w:rPr>
        <w:t>：</w:t>
      </w:r>
    </w:p>
    <w:p>
      <w:pPr>
        <w:tabs>
          <w:tab w:val="left" w:pos="9639"/>
        </w:tabs>
        <w:adjustRightInd w:val="0"/>
        <w:spacing w:line="400" w:lineRule="exact"/>
        <w:jc w:val="left"/>
        <w:rPr>
          <w:rFonts w:hint="eastAsia" w:hAnsi="宋体"/>
          <w:b/>
          <w:bCs/>
          <w:sz w:val="36"/>
        </w:rPr>
      </w:pPr>
    </w:p>
    <w:p>
      <w:pPr>
        <w:pStyle w:val="2"/>
        <w:tabs>
          <w:tab w:val="left" w:pos="9639"/>
        </w:tabs>
        <w:jc w:val="center"/>
        <w:rPr>
          <w:rFonts w:hint="eastAsia"/>
        </w:rPr>
      </w:pPr>
      <w:r>
        <w:br w:type="page"/>
      </w:r>
      <w:r>
        <w:rPr>
          <w:rFonts w:hint="eastAsia"/>
        </w:rPr>
        <w:t>三、承诺函</w:t>
      </w:r>
    </w:p>
    <w:p>
      <w:pPr>
        <w:tabs>
          <w:tab w:val="left" w:pos="9639"/>
        </w:tabs>
        <w:spacing w:line="400" w:lineRule="exact"/>
        <w:ind w:firstLine="560" w:firstLineChars="200"/>
        <w:jc w:val="center"/>
        <w:rPr>
          <w:rFonts w:hint="eastAsia" w:hAnsi="宋体" w:eastAsia="黑体"/>
          <w:b/>
          <w:sz w:val="28"/>
          <w:szCs w:val="28"/>
        </w:rPr>
      </w:pPr>
    </w:p>
    <w:p>
      <w:pPr>
        <w:tabs>
          <w:tab w:val="left" w:pos="9639"/>
        </w:tabs>
        <w:rPr>
          <w:rFonts w:hint="eastAsia" w:hAnsi="宋体"/>
          <w:sz w:val="24"/>
        </w:rPr>
      </w:pPr>
      <w:r>
        <w:rPr>
          <w:rFonts w:hint="eastAsia" w:hAnsi="宋体"/>
          <w:sz w:val="24"/>
          <w:u w:val="single"/>
        </w:rPr>
        <w:t xml:space="preserve">    </w:t>
      </w:r>
      <w:r>
        <w:rPr>
          <w:rFonts w:hAnsi="宋体"/>
          <w:sz w:val="24"/>
          <w:u w:val="single"/>
        </w:rPr>
        <w:t xml:space="preserve">    </w:t>
      </w:r>
      <w:r>
        <w:rPr>
          <w:rFonts w:hint="eastAsia" w:hAnsi="宋体"/>
          <w:sz w:val="24"/>
          <w:u w:val="single"/>
        </w:rPr>
        <w:t xml:space="preserve">  </w:t>
      </w:r>
      <w:r>
        <w:rPr>
          <w:rFonts w:hint="eastAsia" w:hAnsi="宋体"/>
          <w:sz w:val="24"/>
        </w:rPr>
        <w:t>（采购代理机构名称）：</w:t>
      </w:r>
    </w:p>
    <w:p>
      <w:pPr>
        <w:tabs>
          <w:tab w:val="left" w:pos="9639"/>
        </w:tabs>
        <w:ind w:firstLine="480" w:firstLineChars="200"/>
        <w:rPr>
          <w:rFonts w:hint="eastAsia" w:hAnsi="宋体"/>
          <w:sz w:val="24"/>
        </w:rPr>
      </w:pPr>
      <w:r>
        <w:rPr>
          <w:rFonts w:hint="eastAsia" w:hAnsi="宋体"/>
          <w:sz w:val="24"/>
        </w:rPr>
        <w:t>我公司作为本次采购项目的供应商，根据磋商文件要求，现郑重承诺如下：</w:t>
      </w:r>
    </w:p>
    <w:p>
      <w:pPr>
        <w:tabs>
          <w:tab w:val="left" w:pos="9639"/>
        </w:tabs>
        <w:ind w:firstLine="480" w:firstLineChars="200"/>
        <w:rPr>
          <w:rFonts w:hint="eastAsia" w:hAnsi="宋体"/>
          <w:sz w:val="24"/>
        </w:rPr>
      </w:pPr>
      <w:r>
        <w:rPr>
          <w:rFonts w:hint="eastAsia" w:hAnsi="宋体"/>
          <w:sz w:val="24"/>
        </w:rPr>
        <w:t>一、具备《中华人民共和国政府采购法》第二十二条第一款和本项目规定的条件：</w:t>
      </w:r>
    </w:p>
    <w:p>
      <w:pPr>
        <w:tabs>
          <w:tab w:val="left" w:pos="9639"/>
        </w:tabs>
        <w:ind w:firstLine="480" w:firstLineChars="200"/>
        <w:rPr>
          <w:rFonts w:hint="eastAsia" w:hAnsi="宋体"/>
          <w:sz w:val="24"/>
        </w:rPr>
      </w:pPr>
      <w:r>
        <w:rPr>
          <w:rFonts w:hint="eastAsia" w:hAnsi="宋体"/>
          <w:sz w:val="24"/>
        </w:rPr>
        <w:t>（一）具有独立承担民事责任的能力；</w:t>
      </w:r>
    </w:p>
    <w:p>
      <w:pPr>
        <w:tabs>
          <w:tab w:val="left" w:pos="9639"/>
        </w:tabs>
        <w:ind w:firstLine="480" w:firstLineChars="200"/>
        <w:rPr>
          <w:rFonts w:hint="eastAsia" w:hAnsi="宋体"/>
          <w:sz w:val="24"/>
        </w:rPr>
      </w:pPr>
      <w:r>
        <w:rPr>
          <w:rFonts w:hint="eastAsia" w:hAnsi="宋体"/>
          <w:sz w:val="24"/>
        </w:rPr>
        <w:t>（二）具有良好的商业信誉和健全的财务会计制度；</w:t>
      </w:r>
    </w:p>
    <w:p>
      <w:pPr>
        <w:tabs>
          <w:tab w:val="left" w:pos="9639"/>
        </w:tabs>
        <w:ind w:firstLine="480" w:firstLineChars="200"/>
        <w:rPr>
          <w:rFonts w:hint="eastAsia" w:hAnsi="宋体"/>
          <w:sz w:val="24"/>
        </w:rPr>
      </w:pPr>
      <w:r>
        <w:rPr>
          <w:rFonts w:hint="eastAsia" w:hAnsi="宋体"/>
          <w:sz w:val="24"/>
        </w:rPr>
        <w:t>（三）具有履行合同所必需的设备和专业技术能力；</w:t>
      </w:r>
    </w:p>
    <w:p>
      <w:pPr>
        <w:tabs>
          <w:tab w:val="left" w:pos="9639"/>
        </w:tabs>
        <w:ind w:firstLine="480" w:firstLineChars="200"/>
        <w:rPr>
          <w:rFonts w:hint="eastAsia" w:hAnsi="宋体"/>
          <w:sz w:val="24"/>
        </w:rPr>
      </w:pPr>
      <w:r>
        <w:rPr>
          <w:rFonts w:hint="eastAsia" w:hAnsi="宋体"/>
          <w:sz w:val="24"/>
        </w:rPr>
        <w:t>（四）有依法缴纳税收和社会保障资金的良好记录；</w:t>
      </w:r>
    </w:p>
    <w:p>
      <w:pPr>
        <w:tabs>
          <w:tab w:val="left" w:pos="9639"/>
        </w:tabs>
        <w:ind w:firstLine="480" w:firstLineChars="200"/>
        <w:rPr>
          <w:rFonts w:hint="eastAsia" w:hAnsi="宋体"/>
          <w:sz w:val="24"/>
        </w:rPr>
      </w:pPr>
      <w:r>
        <w:rPr>
          <w:rFonts w:hint="eastAsia" w:hAnsi="宋体"/>
          <w:sz w:val="24"/>
        </w:rPr>
        <w:t>（五）参加政府采购活动前三年内，在经营活动中没有重大违法记录；</w:t>
      </w:r>
    </w:p>
    <w:p>
      <w:pPr>
        <w:tabs>
          <w:tab w:val="left" w:pos="9639"/>
        </w:tabs>
        <w:ind w:firstLine="480" w:firstLineChars="200"/>
        <w:rPr>
          <w:rFonts w:hint="eastAsia" w:hAnsi="宋体"/>
          <w:sz w:val="24"/>
        </w:rPr>
      </w:pPr>
      <w:r>
        <w:rPr>
          <w:rFonts w:hint="eastAsia" w:hAnsi="宋体"/>
          <w:sz w:val="24"/>
        </w:rPr>
        <w:t>（六）法律、行政法规规定的其他条件；</w:t>
      </w:r>
    </w:p>
    <w:p>
      <w:pPr>
        <w:tabs>
          <w:tab w:val="left" w:pos="9639"/>
        </w:tabs>
        <w:ind w:firstLine="480" w:firstLineChars="200"/>
        <w:rPr>
          <w:rFonts w:hint="eastAsia" w:hAnsi="宋体"/>
          <w:sz w:val="24"/>
        </w:rPr>
      </w:pPr>
      <w:r>
        <w:rPr>
          <w:rFonts w:hint="eastAsia" w:hAnsi="宋体"/>
          <w:sz w:val="24"/>
        </w:rPr>
        <w:t>（七）根据采购项目提出的特殊条件。</w:t>
      </w:r>
    </w:p>
    <w:p>
      <w:pPr>
        <w:tabs>
          <w:tab w:val="left" w:pos="9639"/>
        </w:tabs>
        <w:ind w:firstLine="480" w:firstLineChars="200"/>
        <w:rPr>
          <w:rFonts w:hint="eastAsia" w:hAnsi="宋体"/>
          <w:sz w:val="24"/>
        </w:rPr>
      </w:pPr>
      <w:r>
        <w:rPr>
          <w:rFonts w:hint="eastAsia" w:hAnsi="宋体"/>
          <w:sz w:val="24"/>
        </w:rPr>
        <w:t>二、完全接受和满足本项目磋商文件中规定的实质性要求，如对磋商文件有异议，已经在递交响应文件截止时间届满前依法进行维权救济，不存在对磋商文件有异议的同时又参加磋商以求侥幸成交或者为实现其他非法目的的行为。</w:t>
      </w:r>
    </w:p>
    <w:p>
      <w:pPr>
        <w:tabs>
          <w:tab w:val="left" w:pos="9639"/>
        </w:tabs>
        <w:ind w:firstLine="480" w:firstLineChars="200"/>
        <w:rPr>
          <w:rFonts w:hint="eastAsia" w:hAnsi="宋体"/>
          <w:sz w:val="24"/>
        </w:rPr>
      </w:pPr>
      <w:r>
        <w:rPr>
          <w:rFonts w:hint="eastAsia" w:hAnsi="宋体"/>
          <w:sz w:val="24"/>
        </w:rPr>
        <w:t>三、在参加本次采购活动中，不存在与单位负责人为同一人或者存在直接控股、管理关系的其他供应商参与同一合同项下的政府采购活动的行为。</w:t>
      </w:r>
    </w:p>
    <w:p>
      <w:pPr>
        <w:tabs>
          <w:tab w:val="left" w:pos="9639"/>
        </w:tabs>
        <w:ind w:firstLine="480" w:firstLineChars="200"/>
        <w:rPr>
          <w:rFonts w:hint="eastAsia" w:hAnsi="宋体"/>
          <w:sz w:val="24"/>
        </w:rPr>
      </w:pPr>
      <w:r>
        <w:rPr>
          <w:rFonts w:hint="eastAsia" w:hAnsi="宋体"/>
          <w:sz w:val="24"/>
        </w:rPr>
        <w:t>四、在参加本次采购活动中，不存在和其他供应商在同一合同项下的采购项目中，同时委托同一个自然人、同一家庭的人员、同一单位的人员作为代理人的行为。</w:t>
      </w:r>
    </w:p>
    <w:p>
      <w:pPr>
        <w:tabs>
          <w:tab w:val="left" w:pos="9639"/>
        </w:tabs>
        <w:ind w:firstLine="480" w:firstLineChars="200"/>
        <w:rPr>
          <w:rFonts w:hint="eastAsia" w:hAnsi="宋体"/>
          <w:sz w:val="24"/>
        </w:rPr>
      </w:pPr>
      <w:r>
        <w:rPr>
          <w:rFonts w:hint="eastAsia" w:hAnsi="宋体"/>
          <w:sz w:val="24"/>
        </w:rPr>
        <w:t>五、响应文件中提供的任何资料和技术、服务、商务等响应承诺情况都是真实的、有效的、合法的。</w:t>
      </w:r>
    </w:p>
    <w:p>
      <w:pPr>
        <w:tabs>
          <w:tab w:val="left" w:pos="9639"/>
        </w:tabs>
        <w:ind w:firstLine="480" w:firstLineChars="200"/>
        <w:rPr>
          <w:rFonts w:hint="eastAsia" w:hAnsi="宋体"/>
          <w:sz w:val="24"/>
        </w:rPr>
      </w:pPr>
      <w:r>
        <w:rPr>
          <w:rFonts w:hint="eastAsia" w:hAnsi="宋体"/>
          <w:sz w:val="24"/>
        </w:rPr>
        <w:t>六、如本项目磋商采购过程中需要提供样品，则我公司提供的样品即为成交后将要提供的成交产品，我公司对提供样品的性能和质量负责，因样品存在缺陷或者不符合磋商文件要求导致未能成交的，我公司愿意承担相应不利后果。</w:t>
      </w:r>
    </w:p>
    <w:p>
      <w:pPr>
        <w:tabs>
          <w:tab w:val="left" w:pos="9639"/>
        </w:tabs>
        <w:ind w:firstLine="480" w:firstLineChars="200"/>
        <w:rPr>
          <w:rFonts w:hint="eastAsia" w:hAnsi="宋体"/>
          <w:sz w:val="24"/>
        </w:rPr>
      </w:pPr>
      <w:r>
        <w:rPr>
          <w:rFonts w:hint="eastAsia" w:hAnsi="宋体"/>
          <w:sz w:val="24"/>
        </w:rPr>
        <w:t>本公司对上述承诺的内容事项真实性负责。如经查实上述承诺的内容事项存在虚假，我公司愿意接受以提供虚假材料谋取成交的法律责任。</w:t>
      </w:r>
    </w:p>
    <w:p>
      <w:pPr>
        <w:tabs>
          <w:tab w:val="left" w:pos="9639"/>
        </w:tabs>
        <w:rPr>
          <w:rFonts w:hint="eastAsia" w:hAnsi="宋体"/>
          <w:sz w:val="24"/>
        </w:rPr>
      </w:pPr>
    </w:p>
    <w:p>
      <w:pPr>
        <w:tabs>
          <w:tab w:val="left" w:pos="9639"/>
        </w:tabs>
        <w:rPr>
          <w:rFonts w:hint="eastAsia" w:hAnsi="宋体"/>
          <w:sz w:val="24"/>
        </w:rPr>
      </w:pPr>
    </w:p>
    <w:p>
      <w:pPr>
        <w:keepNext w:val="0"/>
        <w:keepLines w:val="0"/>
        <w:pageBreakBefore w:val="0"/>
        <w:widowControl w:val="0"/>
        <w:tabs>
          <w:tab w:val="left" w:pos="7665"/>
        </w:tabs>
        <w:kinsoku/>
        <w:wordWrap/>
        <w:overflowPunct/>
        <w:topLinePunct w:val="0"/>
        <w:autoSpaceDE/>
        <w:autoSpaceDN/>
        <w:bidi w:val="0"/>
        <w:adjustRightInd/>
        <w:snapToGrid w:val="0"/>
        <w:spacing w:line="360" w:lineRule="auto"/>
        <w:ind w:firstLine="480" w:firstLineChars="200"/>
        <w:textAlignment w:val="auto"/>
        <w:outlineLvl w:val="9"/>
        <w:rPr>
          <w:rFonts w:hint="eastAsia" w:ascii="华文宋体" w:hAnsi="华文宋体" w:eastAsia="华文宋体" w:cs="华文宋体"/>
          <w:color w:val="000000"/>
          <w:kern w:val="0"/>
          <w:sz w:val="24"/>
          <w:highlight w:val="none"/>
        </w:rPr>
      </w:pPr>
      <w:r>
        <w:rPr>
          <w:rFonts w:hint="eastAsia" w:ascii="华文宋体" w:hAnsi="华文宋体" w:eastAsia="华文宋体" w:cs="华文宋体"/>
          <w:color w:val="000000"/>
          <w:kern w:val="0"/>
          <w:sz w:val="24"/>
          <w:highlight w:val="none"/>
        </w:rPr>
        <w:t>供应商名称（</w:t>
      </w:r>
      <w:r>
        <w:rPr>
          <w:rFonts w:hint="eastAsia" w:ascii="华文宋体" w:hAnsi="华文宋体" w:eastAsia="华文宋体" w:cs="华文宋体"/>
          <w:color w:val="000000"/>
          <w:kern w:val="0"/>
          <w:sz w:val="24"/>
          <w:highlight w:val="none"/>
          <w:lang w:val="en-US" w:eastAsia="zh-CN"/>
        </w:rPr>
        <w:t>盖单位公章</w:t>
      </w:r>
      <w:r>
        <w:rPr>
          <w:rFonts w:hint="eastAsia" w:ascii="华文宋体" w:hAnsi="华文宋体" w:eastAsia="华文宋体" w:cs="华文宋体"/>
          <w:color w:val="000000"/>
          <w:kern w:val="0"/>
          <w:sz w:val="24"/>
          <w:highlight w:val="none"/>
        </w:rPr>
        <w:t xml:space="preserve">）：         </w:t>
      </w:r>
    </w:p>
    <w:p>
      <w:pPr>
        <w:keepNext w:val="0"/>
        <w:keepLines w:val="0"/>
        <w:pageBreakBefore w:val="0"/>
        <w:widowControl w:val="0"/>
        <w:tabs>
          <w:tab w:val="left" w:pos="7665"/>
        </w:tabs>
        <w:kinsoku/>
        <w:wordWrap/>
        <w:overflowPunct/>
        <w:topLinePunct w:val="0"/>
        <w:autoSpaceDE/>
        <w:autoSpaceDN/>
        <w:bidi w:val="0"/>
        <w:adjustRightInd/>
        <w:snapToGrid w:val="0"/>
        <w:spacing w:line="360" w:lineRule="auto"/>
        <w:ind w:firstLine="480" w:firstLineChars="200"/>
        <w:textAlignment w:val="auto"/>
        <w:outlineLvl w:val="9"/>
        <w:rPr>
          <w:rFonts w:hint="eastAsia" w:ascii="华文宋体" w:hAnsi="华文宋体" w:eastAsia="华文宋体" w:cs="华文宋体"/>
          <w:color w:val="000000"/>
          <w:kern w:val="0"/>
          <w:sz w:val="24"/>
          <w:highlight w:val="none"/>
        </w:rPr>
      </w:pPr>
      <w:r>
        <w:rPr>
          <w:rFonts w:hint="eastAsia" w:ascii="华文宋体" w:hAnsi="华文宋体" w:eastAsia="华文宋体" w:cs="华文宋体"/>
          <w:color w:val="000000"/>
          <w:kern w:val="0"/>
          <w:sz w:val="24"/>
          <w:highlight w:val="none"/>
        </w:rPr>
        <w:t>法定代表人</w:t>
      </w:r>
      <w:r>
        <w:rPr>
          <w:rFonts w:hint="eastAsia" w:ascii="华文宋体" w:hAnsi="华文宋体" w:eastAsia="华文宋体" w:cs="华文宋体"/>
          <w:color w:val="000000"/>
          <w:kern w:val="0"/>
          <w:sz w:val="24"/>
          <w:highlight w:val="none"/>
          <w:lang w:val="en-US" w:eastAsia="zh-CN"/>
        </w:rPr>
        <w:t>/单位负责人</w:t>
      </w:r>
      <w:r>
        <w:rPr>
          <w:rFonts w:hint="eastAsia" w:ascii="华文宋体" w:hAnsi="华文宋体" w:eastAsia="华文宋体" w:cs="华文宋体"/>
          <w:color w:val="000000"/>
          <w:kern w:val="0"/>
          <w:sz w:val="24"/>
          <w:highlight w:val="none"/>
        </w:rPr>
        <w:t>或授权代表（</w:t>
      </w:r>
      <w:r>
        <w:rPr>
          <w:rFonts w:hint="eastAsia" w:ascii="华文宋体" w:hAnsi="华文宋体" w:eastAsia="华文宋体" w:cs="华文宋体"/>
          <w:color w:val="000000"/>
          <w:kern w:val="0"/>
          <w:sz w:val="24"/>
          <w:highlight w:val="none"/>
          <w:lang w:eastAsia="zh-CN"/>
        </w:rPr>
        <w:t>签字或加盖个人印章</w:t>
      </w:r>
      <w:r>
        <w:rPr>
          <w:rFonts w:hint="eastAsia" w:ascii="华文宋体" w:hAnsi="华文宋体" w:eastAsia="华文宋体" w:cs="华文宋体"/>
          <w:color w:val="000000"/>
          <w:kern w:val="0"/>
          <w:sz w:val="24"/>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9"/>
        <w:rPr>
          <w:rStyle w:val="86"/>
          <w:rFonts w:hint="eastAsia" w:ascii="华文宋体" w:hAnsi="华文宋体" w:eastAsia="华文宋体" w:cs="华文宋体"/>
          <w:color w:val="000000"/>
          <w:highlight w:val="none"/>
          <w:lang w:eastAsia="zh-CN"/>
        </w:rPr>
      </w:pPr>
      <w:r>
        <w:rPr>
          <w:rFonts w:hint="eastAsia" w:ascii="华文宋体" w:hAnsi="华文宋体" w:eastAsia="华文宋体" w:cs="华文宋体"/>
          <w:color w:val="000000"/>
          <w:kern w:val="0"/>
          <w:sz w:val="24"/>
          <w:highlight w:val="none"/>
        </w:rPr>
        <w:t>日期</w:t>
      </w:r>
      <w:r>
        <w:rPr>
          <w:rFonts w:hint="eastAsia" w:ascii="华文宋体" w:hAnsi="华文宋体" w:eastAsia="华文宋体" w:cs="华文宋体"/>
          <w:color w:val="000000"/>
          <w:kern w:val="0"/>
          <w:sz w:val="24"/>
          <w:highlight w:val="none"/>
          <w:lang w:eastAsia="zh-CN"/>
        </w:rPr>
        <w:t>：</w:t>
      </w:r>
    </w:p>
    <w:p>
      <w:pPr>
        <w:jc w:val="center"/>
        <w:rPr>
          <w:rFonts w:hint="eastAsia"/>
        </w:rPr>
      </w:pPr>
      <w:r>
        <w:br w:type="page"/>
      </w:r>
      <w:r>
        <w:rPr>
          <w:rFonts w:hint="eastAsia"/>
          <w:b/>
          <w:bCs/>
        </w:rPr>
        <w:t>四、报价函</w:t>
      </w:r>
    </w:p>
    <w:p>
      <w:pPr>
        <w:tabs>
          <w:tab w:val="left" w:pos="9639"/>
        </w:tabs>
        <w:spacing w:line="360" w:lineRule="auto"/>
        <w:rPr>
          <w:rFonts w:hint="eastAsia" w:hAnsi="宋体"/>
          <w:sz w:val="24"/>
        </w:rPr>
      </w:pPr>
    </w:p>
    <w:p>
      <w:pPr>
        <w:tabs>
          <w:tab w:val="left" w:pos="9639"/>
        </w:tabs>
        <w:spacing w:line="360" w:lineRule="auto"/>
        <w:rPr>
          <w:rFonts w:hint="eastAsia" w:hAnsi="宋体"/>
          <w:sz w:val="24"/>
        </w:rPr>
      </w:pPr>
      <w:r>
        <w:rPr>
          <w:rFonts w:hint="eastAsia" w:hAnsi="宋体"/>
          <w:sz w:val="24"/>
          <w:u w:val="single"/>
        </w:rPr>
        <w:t xml:space="preserve">        </w:t>
      </w:r>
      <w:r>
        <w:rPr>
          <w:rFonts w:hint="eastAsia" w:hAnsi="宋体"/>
          <w:sz w:val="24"/>
        </w:rPr>
        <w:t>（采购代理机构名称）：</w:t>
      </w:r>
    </w:p>
    <w:p>
      <w:pPr>
        <w:tabs>
          <w:tab w:val="left" w:pos="9639"/>
        </w:tabs>
        <w:spacing w:line="360" w:lineRule="auto"/>
        <w:ind w:firstLine="480" w:firstLineChars="200"/>
        <w:jc w:val="left"/>
        <w:rPr>
          <w:rFonts w:hint="eastAsia" w:hAnsi="宋体"/>
          <w:sz w:val="24"/>
        </w:rPr>
      </w:pPr>
      <w:r>
        <w:rPr>
          <w:rFonts w:hint="eastAsia" w:hAnsi="宋体"/>
          <w:sz w:val="24"/>
        </w:rPr>
        <w:t>1.我方全面研究了“</w:t>
      </w:r>
      <w:r>
        <w:rPr>
          <w:rFonts w:hint="eastAsia" w:hAnsi="宋体"/>
          <w:sz w:val="24"/>
          <w:u w:val="single"/>
        </w:rPr>
        <w:t xml:space="preserve">       </w:t>
      </w:r>
      <w:r>
        <w:rPr>
          <w:rFonts w:hint="eastAsia" w:hAnsi="宋体"/>
          <w:sz w:val="24"/>
        </w:rPr>
        <w:t>”项目磋商文件（采购项目编号：</w:t>
      </w:r>
      <w:r>
        <w:rPr>
          <w:rFonts w:hint="eastAsia" w:hAnsi="宋体"/>
          <w:sz w:val="24"/>
          <w:u w:val="single"/>
        </w:rPr>
        <w:t xml:space="preserve">       </w:t>
      </w:r>
      <w:r>
        <w:rPr>
          <w:rFonts w:hint="eastAsia" w:hAnsi="宋体"/>
          <w:sz w:val="24"/>
        </w:rPr>
        <w:t>），决定参加贵单位组织的本项目磋商采购。</w:t>
      </w:r>
    </w:p>
    <w:p>
      <w:pPr>
        <w:tabs>
          <w:tab w:val="left" w:pos="9639"/>
        </w:tabs>
        <w:spacing w:line="360" w:lineRule="auto"/>
        <w:ind w:firstLine="480" w:firstLineChars="200"/>
        <w:jc w:val="left"/>
        <w:rPr>
          <w:rFonts w:hint="eastAsia" w:hAnsi="宋体"/>
          <w:sz w:val="24"/>
        </w:rPr>
      </w:pPr>
      <w:r>
        <w:rPr>
          <w:rFonts w:hint="eastAsia" w:hAnsi="宋体"/>
          <w:sz w:val="24"/>
        </w:rPr>
        <w:t>2.我方满足本项目磋商文件中规定的实质性要求，自愿按照磋商文件规定的各项要求向采购人提供所需服务</w:t>
      </w:r>
      <w:r>
        <w:rPr>
          <w:rFonts w:hint="eastAsia" w:hAnsi="宋体"/>
          <w:sz w:val="24"/>
          <w:lang w:val="en-US" w:eastAsia="zh-CN"/>
        </w:rPr>
        <w:t xml:space="preserve"> </w:t>
      </w:r>
      <w:r>
        <w:rPr>
          <w:rFonts w:hint="eastAsia" w:hAnsi="宋体"/>
          <w:sz w:val="24"/>
        </w:rPr>
        <w:t>，报价合计金额为人民币</w:t>
      </w:r>
      <w:r>
        <w:rPr>
          <w:rFonts w:hint="eastAsia" w:hAnsi="宋体"/>
          <w:sz w:val="24"/>
          <w:lang w:eastAsia="zh-CN"/>
        </w:rPr>
        <w:t>：</w:t>
      </w:r>
      <w:r>
        <w:rPr>
          <w:rFonts w:hint="eastAsia" w:hAnsi="宋体"/>
          <w:sz w:val="24"/>
          <w:u w:val="single"/>
          <w:lang w:val="en-US" w:eastAsia="zh-CN"/>
        </w:rPr>
        <w:t xml:space="preserve">     </w:t>
      </w:r>
      <w:r>
        <w:rPr>
          <w:rFonts w:hint="eastAsia" w:hAnsi="宋体"/>
          <w:sz w:val="24"/>
          <w:lang w:val="en-US" w:eastAsia="zh-CN"/>
        </w:rPr>
        <w:t>万</w:t>
      </w:r>
      <w:r>
        <w:rPr>
          <w:rFonts w:hint="eastAsia" w:hAnsi="宋体"/>
          <w:sz w:val="24"/>
        </w:rPr>
        <w:t>元（大写：</w:t>
      </w:r>
      <w:r>
        <w:rPr>
          <w:rFonts w:hint="eastAsia" w:hAnsi="宋体"/>
          <w:sz w:val="24"/>
          <w:u w:val="single"/>
          <w:lang w:val="en-US" w:eastAsia="zh-CN"/>
        </w:rPr>
        <w:t xml:space="preserve">    </w:t>
      </w:r>
      <w:r>
        <w:rPr>
          <w:rFonts w:hint="eastAsia" w:hAnsi="宋体"/>
          <w:sz w:val="24"/>
        </w:rPr>
        <w:t>）。</w:t>
      </w:r>
    </w:p>
    <w:p>
      <w:pPr>
        <w:tabs>
          <w:tab w:val="left" w:pos="9639"/>
        </w:tabs>
        <w:spacing w:line="360" w:lineRule="auto"/>
        <w:ind w:firstLine="480" w:firstLineChars="200"/>
        <w:jc w:val="left"/>
        <w:rPr>
          <w:rFonts w:hint="eastAsia" w:hAnsi="宋体"/>
          <w:sz w:val="24"/>
        </w:rPr>
      </w:pPr>
      <w:r>
        <w:rPr>
          <w:rFonts w:hint="eastAsia" w:hAnsi="宋体"/>
          <w:sz w:val="24"/>
        </w:rPr>
        <w:t>3.一旦我方成交，我方将严格履行政府采购合同规定的责任和义务。</w:t>
      </w:r>
    </w:p>
    <w:p>
      <w:pPr>
        <w:tabs>
          <w:tab w:val="left" w:pos="9639"/>
        </w:tabs>
        <w:spacing w:line="360" w:lineRule="auto"/>
        <w:ind w:firstLine="480" w:firstLineChars="200"/>
        <w:jc w:val="left"/>
        <w:rPr>
          <w:rFonts w:hint="eastAsia" w:hAnsi="宋体"/>
          <w:sz w:val="24"/>
        </w:rPr>
      </w:pPr>
      <w:r>
        <w:rPr>
          <w:rFonts w:hint="eastAsia" w:hAnsi="宋体"/>
          <w:sz w:val="24"/>
        </w:rPr>
        <w:t>4.我方为本项目提交的响应文件正本1份，副本两份，用于磋商报价。</w:t>
      </w:r>
    </w:p>
    <w:p>
      <w:pPr>
        <w:tabs>
          <w:tab w:val="left" w:pos="9639"/>
        </w:tabs>
        <w:spacing w:line="360" w:lineRule="auto"/>
        <w:ind w:firstLine="480" w:firstLineChars="200"/>
        <w:jc w:val="left"/>
        <w:rPr>
          <w:rFonts w:hint="eastAsia" w:hAnsi="宋体"/>
          <w:sz w:val="24"/>
        </w:rPr>
      </w:pPr>
      <w:r>
        <w:rPr>
          <w:rFonts w:hint="eastAsia" w:hAnsi="宋体"/>
          <w:sz w:val="24"/>
        </w:rPr>
        <w:t>5.我方愿意提供贵单位可能另外要求的，与磋商报价有关的文件资料，并保证我方已提供和将要提供的文件资料是真实、准确的。</w:t>
      </w:r>
    </w:p>
    <w:p>
      <w:pPr>
        <w:tabs>
          <w:tab w:val="left" w:pos="9639"/>
        </w:tabs>
        <w:spacing w:line="360" w:lineRule="auto"/>
        <w:ind w:firstLine="480" w:firstLineChars="200"/>
        <w:jc w:val="left"/>
        <w:rPr>
          <w:rFonts w:hint="eastAsia"/>
          <w:sz w:val="24"/>
        </w:rPr>
      </w:pPr>
      <w:r>
        <w:rPr>
          <w:rFonts w:hint="eastAsia" w:hAnsi="宋体"/>
          <w:sz w:val="24"/>
        </w:rPr>
        <w:t>6.本次磋商，我方递交的响应文件有效期为</w:t>
      </w:r>
      <w:r>
        <w:rPr>
          <w:rFonts w:hint="eastAsia"/>
          <w:sz w:val="24"/>
        </w:rPr>
        <w:t>磋商文件规定起算之日起</w:t>
      </w:r>
      <w:r>
        <w:rPr>
          <w:rFonts w:hint="eastAsia" w:hAnsi="宋体"/>
          <w:sz w:val="24"/>
          <w:u w:val="single"/>
          <w:lang w:val="en-US" w:eastAsia="zh-CN"/>
        </w:rPr>
        <w:t xml:space="preserve">     </w:t>
      </w:r>
      <w:r>
        <w:rPr>
          <w:rFonts w:hint="eastAsia"/>
          <w:sz w:val="24"/>
        </w:rPr>
        <w:t>天。</w:t>
      </w:r>
    </w:p>
    <w:p>
      <w:pPr>
        <w:tabs>
          <w:tab w:val="left" w:pos="9639"/>
        </w:tabs>
        <w:adjustRightInd w:val="0"/>
        <w:spacing w:line="400" w:lineRule="exact"/>
        <w:ind w:firstLine="480" w:firstLineChars="200"/>
        <w:jc w:val="left"/>
        <w:rPr>
          <w:rFonts w:hint="eastAsia" w:hAnsi="宋体"/>
          <w:sz w:val="24"/>
        </w:rPr>
      </w:pPr>
    </w:p>
    <w:p>
      <w:pPr>
        <w:tabs>
          <w:tab w:val="left" w:pos="9639"/>
        </w:tabs>
        <w:adjustRightInd w:val="0"/>
        <w:spacing w:line="400" w:lineRule="exact"/>
        <w:ind w:firstLine="480" w:firstLineChars="200"/>
        <w:jc w:val="left"/>
        <w:rPr>
          <w:rFonts w:hint="eastAsia" w:hAnsi="宋体"/>
          <w:sz w:val="24"/>
        </w:rPr>
      </w:pPr>
    </w:p>
    <w:p>
      <w:pPr>
        <w:adjustRightInd w:val="0"/>
        <w:snapToGrid w:val="0"/>
        <w:spacing w:line="276" w:lineRule="auto"/>
        <w:ind w:firstLine="480" w:firstLineChars="200"/>
        <w:rPr>
          <w:rFonts w:hint="eastAsia" w:ascii="华文宋体" w:hAnsi="华文宋体" w:eastAsia="华文宋体" w:cs="华文宋体"/>
          <w:color w:val="000000"/>
          <w:sz w:val="24"/>
          <w:highlight w:val="none"/>
        </w:rPr>
      </w:pPr>
      <w:r>
        <w:rPr>
          <w:rFonts w:hint="eastAsia" w:ascii="华文宋体" w:hAnsi="华文宋体" w:eastAsia="华文宋体" w:cs="华文宋体"/>
          <w:color w:val="000000"/>
          <w:sz w:val="24"/>
          <w:highlight w:val="none"/>
        </w:rPr>
        <w:t>供应商名称：（盖单位公章）</w:t>
      </w:r>
    </w:p>
    <w:p>
      <w:pPr>
        <w:snapToGrid w:val="0"/>
        <w:spacing w:line="276" w:lineRule="auto"/>
        <w:ind w:firstLine="470" w:firstLineChars="196"/>
        <w:rPr>
          <w:rFonts w:hint="eastAsia" w:ascii="华文宋体" w:hAnsi="华文宋体" w:eastAsia="华文宋体" w:cs="华文宋体"/>
          <w:color w:val="000000"/>
          <w:sz w:val="24"/>
          <w:highlight w:val="none"/>
        </w:rPr>
      </w:pPr>
      <w:r>
        <w:rPr>
          <w:rFonts w:hint="eastAsia" w:ascii="华文宋体" w:hAnsi="华文宋体" w:eastAsia="华文宋体" w:cs="华文宋体"/>
          <w:color w:val="000000"/>
          <w:sz w:val="24"/>
          <w:highlight w:val="none"/>
        </w:rPr>
        <w:t>法定代表人</w:t>
      </w:r>
      <w:r>
        <w:rPr>
          <w:rFonts w:hint="eastAsia" w:ascii="华文宋体" w:hAnsi="华文宋体" w:eastAsia="华文宋体" w:cs="华文宋体"/>
          <w:color w:val="000000"/>
          <w:kern w:val="0"/>
          <w:sz w:val="24"/>
          <w:highlight w:val="none"/>
        </w:rPr>
        <w:t>/单位负责人</w:t>
      </w:r>
      <w:r>
        <w:rPr>
          <w:rFonts w:hint="eastAsia" w:ascii="华文宋体" w:hAnsi="华文宋体" w:eastAsia="华文宋体" w:cs="华文宋体"/>
          <w:color w:val="000000"/>
          <w:sz w:val="24"/>
          <w:highlight w:val="none"/>
        </w:rPr>
        <w:t>或授权代表（签字或加盖个人名章）：</w:t>
      </w:r>
    </w:p>
    <w:p>
      <w:pPr>
        <w:snapToGrid w:val="0"/>
        <w:spacing w:line="276" w:lineRule="auto"/>
        <w:ind w:firstLine="470" w:firstLineChars="196"/>
        <w:rPr>
          <w:rFonts w:hint="eastAsia" w:ascii="华文宋体" w:hAnsi="华文宋体" w:eastAsia="华文宋体" w:cs="华文宋体"/>
          <w:color w:val="000000"/>
          <w:sz w:val="24"/>
          <w:highlight w:val="none"/>
        </w:rPr>
      </w:pPr>
      <w:r>
        <w:rPr>
          <w:rFonts w:hint="eastAsia" w:ascii="华文宋体" w:hAnsi="华文宋体" w:eastAsia="华文宋体" w:cs="华文宋体"/>
          <w:color w:val="000000"/>
          <w:sz w:val="24"/>
          <w:highlight w:val="none"/>
        </w:rPr>
        <w:t>通讯地址：</w:t>
      </w:r>
    </w:p>
    <w:p>
      <w:pPr>
        <w:snapToGrid w:val="0"/>
        <w:spacing w:line="276" w:lineRule="auto"/>
        <w:ind w:firstLine="470" w:firstLineChars="196"/>
        <w:rPr>
          <w:rFonts w:hint="eastAsia" w:ascii="华文宋体" w:hAnsi="华文宋体" w:eastAsia="华文宋体" w:cs="华文宋体"/>
          <w:color w:val="000000"/>
          <w:sz w:val="24"/>
          <w:highlight w:val="none"/>
        </w:rPr>
      </w:pPr>
      <w:r>
        <w:rPr>
          <w:rFonts w:hint="eastAsia" w:ascii="华文宋体" w:hAnsi="华文宋体" w:eastAsia="华文宋体" w:cs="华文宋体"/>
          <w:color w:val="000000"/>
          <w:sz w:val="24"/>
          <w:highlight w:val="none"/>
        </w:rPr>
        <w:t>邮政编码：</w:t>
      </w:r>
    </w:p>
    <w:p>
      <w:pPr>
        <w:snapToGrid w:val="0"/>
        <w:spacing w:line="276" w:lineRule="auto"/>
        <w:ind w:firstLine="470" w:firstLineChars="196"/>
        <w:rPr>
          <w:rFonts w:hint="eastAsia" w:ascii="华文宋体" w:hAnsi="华文宋体" w:eastAsia="华文宋体" w:cs="华文宋体"/>
          <w:color w:val="000000"/>
          <w:sz w:val="24"/>
          <w:highlight w:val="none"/>
        </w:rPr>
      </w:pPr>
      <w:r>
        <w:rPr>
          <w:rFonts w:hint="eastAsia" w:ascii="华文宋体" w:hAnsi="华文宋体" w:eastAsia="华文宋体" w:cs="华文宋体"/>
          <w:color w:val="000000"/>
          <w:sz w:val="24"/>
          <w:highlight w:val="none"/>
        </w:rPr>
        <w:t>联系电话：</w:t>
      </w:r>
    </w:p>
    <w:p>
      <w:pPr>
        <w:snapToGrid w:val="0"/>
        <w:spacing w:line="276" w:lineRule="auto"/>
        <w:ind w:firstLine="470" w:firstLineChars="196"/>
        <w:rPr>
          <w:rFonts w:hint="eastAsia" w:ascii="华文宋体" w:hAnsi="华文宋体" w:eastAsia="华文宋体" w:cs="华文宋体"/>
          <w:color w:val="000000"/>
          <w:sz w:val="24"/>
          <w:highlight w:val="none"/>
        </w:rPr>
      </w:pPr>
      <w:r>
        <w:rPr>
          <w:rFonts w:hint="eastAsia" w:ascii="华文宋体" w:hAnsi="华文宋体" w:eastAsia="华文宋体" w:cs="华文宋体"/>
          <w:color w:val="000000"/>
          <w:sz w:val="24"/>
          <w:highlight w:val="none"/>
        </w:rPr>
        <w:t>传真：</w:t>
      </w:r>
    </w:p>
    <w:p>
      <w:pPr>
        <w:snapToGrid w:val="0"/>
        <w:spacing w:line="276" w:lineRule="auto"/>
        <w:ind w:firstLine="470" w:firstLineChars="196"/>
        <w:rPr>
          <w:rFonts w:hint="eastAsia" w:ascii="华文宋体" w:hAnsi="华文宋体" w:eastAsia="华文宋体" w:cs="华文宋体"/>
          <w:b/>
          <w:color w:val="000000"/>
          <w:sz w:val="32"/>
          <w:szCs w:val="32"/>
          <w:highlight w:val="none"/>
        </w:rPr>
      </w:pPr>
      <w:r>
        <w:rPr>
          <w:rFonts w:hint="eastAsia" w:ascii="华文宋体" w:hAnsi="华文宋体" w:eastAsia="华文宋体" w:cs="华文宋体"/>
          <w:color w:val="000000"/>
          <w:sz w:val="24"/>
          <w:highlight w:val="none"/>
        </w:rPr>
        <w:t>日期：</w:t>
      </w:r>
    </w:p>
    <w:p>
      <w:pPr>
        <w:tabs>
          <w:tab w:val="left" w:pos="9639"/>
        </w:tabs>
        <w:jc w:val="center"/>
        <w:rPr>
          <w:rFonts w:hint="eastAsia" w:hAnsi="宋体"/>
          <w:sz w:val="24"/>
        </w:rPr>
      </w:pPr>
    </w:p>
    <w:p>
      <w:pPr>
        <w:tabs>
          <w:tab w:val="left" w:pos="9639"/>
        </w:tabs>
        <w:rPr>
          <w:rFonts w:hint="eastAsia"/>
          <w:b/>
          <w:sz w:val="32"/>
          <w:szCs w:val="32"/>
        </w:rPr>
      </w:pPr>
    </w:p>
    <w:p>
      <w:pPr>
        <w:tabs>
          <w:tab w:val="left" w:pos="9639"/>
        </w:tabs>
        <w:rPr>
          <w:rFonts w:hint="eastAsia"/>
          <w:sz w:val="36"/>
          <w:szCs w:val="36"/>
        </w:rPr>
      </w:pPr>
    </w:p>
    <w:p>
      <w:pPr>
        <w:pStyle w:val="11"/>
        <w:tabs>
          <w:tab w:val="left" w:pos="9639"/>
        </w:tabs>
        <w:rPr>
          <w:rFonts w:hint="eastAsia"/>
          <w:sz w:val="36"/>
          <w:szCs w:val="36"/>
        </w:rPr>
      </w:pPr>
    </w:p>
    <w:p>
      <w:pPr>
        <w:pStyle w:val="11"/>
        <w:tabs>
          <w:tab w:val="left" w:pos="9639"/>
        </w:tabs>
        <w:rPr>
          <w:rFonts w:hint="eastAsia"/>
          <w:sz w:val="36"/>
          <w:szCs w:val="36"/>
        </w:rPr>
      </w:pPr>
    </w:p>
    <w:p>
      <w:pPr>
        <w:pStyle w:val="11"/>
        <w:tabs>
          <w:tab w:val="left" w:pos="9639"/>
        </w:tabs>
        <w:rPr>
          <w:rFonts w:hint="eastAsia"/>
          <w:sz w:val="36"/>
          <w:szCs w:val="36"/>
        </w:rPr>
        <w:sectPr>
          <w:headerReference r:id="rId5" w:type="first"/>
          <w:footerReference r:id="rId7" w:type="first"/>
          <w:headerReference r:id="rId4" w:type="default"/>
          <w:footerReference r:id="rId6" w:type="default"/>
          <w:pgSz w:w="11907" w:h="16840"/>
          <w:pgMar w:top="1418" w:right="1418" w:bottom="1418" w:left="1418" w:header="1191" w:footer="1191" w:gutter="0"/>
          <w:pgNumType w:fmt="decimal"/>
          <w:cols w:space="720" w:num="1"/>
          <w:titlePg/>
          <w:docGrid w:type="linesAndChars" w:linePitch="312" w:charSpace="0"/>
        </w:sectPr>
      </w:pPr>
    </w:p>
    <w:p>
      <w:pPr>
        <w:pStyle w:val="2"/>
        <w:numPr>
          <w:ilvl w:val="0"/>
          <w:numId w:val="4"/>
        </w:numPr>
        <w:tabs>
          <w:tab w:val="left" w:pos="9639"/>
        </w:tabs>
        <w:jc w:val="center"/>
        <w:rPr>
          <w:rFonts w:hint="eastAsia"/>
        </w:rPr>
      </w:pPr>
      <w:r>
        <w:rPr>
          <w:rFonts w:hint="eastAsia"/>
        </w:rPr>
        <w:t>报价一览表</w:t>
      </w:r>
    </w:p>
    <w:tbl>
      <w:tblPr>
        <w:tblStyle w:val="34"/>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3250"/>
        <w:gridCol w:w="584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1216" w:hRule="atLeast"/>
          <w:jc w:val="center"/>
        </w:trPr>
        <w:tc>
          <w:tcPr>
            <w:tcW w:w="3250" w:type="dxa"/>
            <w:noWrap w:val="0"/>
            <w:vAlign w:val="center"/>
          </w:tcPr>
          <w:p>
            <w:pPr>
              <w:rPr>
                <w:rFonts w:hint="eastAsia" w:ascii="宋体" w:hAnsi="宋体" w:cs="宋体"/>
                <w:color w:val="auto"/>
                <w:kern w:val="2"/>
                <w:sz w:val="24"/>
                <w:szCs w:val="24"/>
              </w:rPr>
            </w:pPr>
            <w:r>
              <w:rPr>
                <w:rFonts w:hint="eastAsia" w:ascii="宋体" w:hAnsi="宋体" w:cs="宋体"/>
                <w:color w:val="auto"/>
                <w:kern w:val="2"/>
                <w:sz w:val="24"/>
                <w:szCs w:val="24"/>
                <w:lang w:val="en-US" w:eastAsia="zh-CN"/>
              </w:rPr>
              <w:t>采购</w:t>
            </w:r>
            <w:r>
              <w:rPr>
                <w:rFonts w:hint="eastAsia" w:ascii="宋体" w:hAnsi="宋体" w:cs="宋体"/>
                <w:color w:val="auto"/>
                <w:kern w:val="2"/>
                <w:sz w:val="24"/>
                <w:szCs w:val="24"/>
              </w:rPr>
              <w:t>项目名称</w:t>
            </w:r>
          </w:p>
        </w:tc>
        <w:tc>
          <w:tcPr>
            <w:tcW w:w="5849" w:type="dxa"/>
            <w:noWrap w:val="0"/>
            <w:vAlign w:val="center"/>
          </w:tcPr>
          <w:p>
            <w:pPr>
              <w:jc w:val="center"/>
              <w:rPr>
                <w:rFonts w:hint="eastAsia" w:ascii="宋体" w:hAnsi="宋体" w:cs="宋体"/>
                <w:color w:val="auto"/>
                <w:kern w:val="2"/>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94" w:hRule="atLeast"/>
          <w:jc w:val="center"/>
        </w:trPr>
        <w:tc>
          <w:tcPr>
            <w:tcW w:w="3250" w:type="dxa"/>
            <w:tcBorders>
              <w:bottom w:val="single" w:color="auto" w:sz="4" w:space="0"/>
            </w:tcBorders>
            <w:noWrap w:val="0"/>
            <w:vAlign w:val="center"/>
          </w:tcPr>
          <w:p>
            <w:pPr>
              <w:rPr>
                <w:rFonts w:hint="eastAsia" w:ascii="宋体" w:hAnsi="宋体" w:cs="宋体"/>
                <w:color w:val="auto"/>
                <w:kern w:val="2"/>
                <w:sz w:val="24"/>
                <w:szCs w:val="24"/>
              </w:rPr>
            </w:pPr>
            <w:r>
              <w:rPr>
                <w:rFonts w:hint="eastAsia" w:ascii="宋体" w:hAnsi="宋体" w:cs="宋体"/>
                <w:color w:val="auto"/>
                <w:kern w:val="2"/>
                <w:sz w:val="24"/>
                <w:szCs w:val="24"/>
              </w:rPr>
              <w:t>采购项目编号</w:t>
            </w:r>
          </w:p>
        </w:tc>
        <w:tc>
          <w:tcPr>
            <w:tcW w:w="5849" w:type="dxa"/>
            <w:tcBorders>
              <w:bottom w:val="single" w:color="auto" w:sz="4" w:space="0"/>
            </w:tcBorders>
            <w:noWrap w:val="0"/>
            <w:vAlign w:val="center"/>
          </w:tcPr>
          <w:p>
            <w:pPr>
              <w:rPr>
                <w:rFonts w:hint="eastAsia" w:ascii="宋体" w:hAnsi="宋体" w:cs="宋体"/>
                <w:color w:val="auto"/>
                <w:kern w:val="2"/>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94" w:hRule="atLeast"/>
          <w:jc w:val="center"/>
        </w:trPr>
        <w:tc>
          <w:tcPr>
            <w:tcW w:w="3250" w:type="dxa"/>
            <w:tcBorders>
              <w:bottom w:val="single" w:color="auto" w:sz="4" w:space="0"/>
            </w:tcBorders>
            <w:noWrap w:val="0"/>
            <w:vAlign w:val="center"/>
          </w:tcPr>
          <w:p>
            <w:pPr>
              <w:rPr>
                <w:rFonts w:hint="eastAsia" w:ascii="宋体" w:hAnsi="宋体" w:cs="宋体"/>
                <w:color w:val="auto"/>
                <w:kern w:val="2"/>
                <w:sz w:val="24"/>
                <w:szCs w:val="24"/>
              </w:rPr>
            </w:pPr>
            <w:r>
              <w:rPr>
                <w:rFonts w:hint="eastAsia" w:ascii="宋体" w:hAnsi="宋体" w:cs="宋体"/>
                <w:color w:val="auto"/>
                <w:kern w:val="2"/>
                <w:sz w:val="24"/>
                <w:szCs w:val="24"/>
              </w:rPr>
              <w:t>服务期限</w:t>
            </w:r>
          </w:p>
        </w:tc>
        <w:tc>
          <w:tcPr>
            <w:tcW w:w="5849" w:type="dxa"/>
            <w:tcBorders>
              <w:bottom w:val="single" w:color="auto" w:sz="4" w:space="0"/>
            </w:tcBorders>
            <w:noWrap w:val="0"/>
            <w:vAlign w:val="center"/>
          </w:tcPr>
          <w:p>
            <w:pPr>
              <w:rPr>
                <w:rFonts w:hint="eastAsia" w:ascii="宋体" w:hAnsi="宋体" w:cs="宋体"/>
                <w:color w:val="auto"/>
                <w:kern w:val="2"/>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1832" w:hRule="atLeast"/>
          <w:jc w:val="center"/>
        </w:trPr>
        <w:tc>
          <w:tcPr>
            <w:tcW w:w="3250" w:type="dxa"/>
            <w:tcBorders>
              <w:top w:val="single" w:color="auto" w:sz="4" w:space="0"/>
            </w:tcBorders>
            <w:noWrap w:val="0"/>
            <w:vAlign w:val="center"/>
          </w:tcPr>
          <w:p>
            <w:pPr>
              <w:rPr>
                <w:rFonts w:hint="eastAsia" w:ascii="宋体" w:hAnsi="宋体" w:cs="宋体"/>
                <w:color w:val="auto"/>
                <w:kern w:val="2"/>
                <w:sz w:val="24"/>
                <w:szCs w:val="24"/>
              </w:rPr>
            </w:pPr>
            <w:r>
              <w:rPr>
                <w:rFonts w:hint="eastAsia" w:ascii="宋体" w:hAnsi="宋体" w:cs="宋体"/>
                <w:color w:val="auto"/>
                <w:kern w:val="2"/>
                <w:sz w:val="24"/>
                <w:szCs w:val="24"/>
              </w:rPr>
              <w:t>报价（元）</w:t>
            </w:r>
          </w:p>
        </w:tc>
        <w:tc>
          <w:tcPr>
            <w:tcW w:w="5849" w:type="dxa"/>
            <w:tcBorders>
              <w:top w:val="single" w:color="auto" w:sz="4" w:space="0"/>
            </w:tcBorders>
            <w:noWrap w:val="0"/>
            <w:vAlign w:val="center"/>
          </w:tcPr>
          <w:p>
            <w:pPr>
              <w:numPr>
                <w:ilvl w:val="0"/>
                <w:numId w:val="0"/>
              </w:numPr>
              <w:spacing w:line="480" w:lineRule="auto"/>
              <w:rPr>
                <w:rFonts w:hint="eastAsia" w:ascii="宋体" w:hAnsi="宋体" w:eastAsia="宋体" w:cs="宋体"/>
                <w:sz w:val="24"/>
                <w:szCs w:val="24"/>
                <w:lang w:val="en-US" w:eastAsia="zh-CN"/>
              </w:rPr>
            </w:pPr>
            <w:r>
              <w:rPr>
                <w:rFonts w:hint="eastAsia" w:hAnsi="宋体" w:cs="宋体"/>
                <w:color w:val="auto"/>
                <w:kern w:val="2"/>
                <w:sz w:val="24"/>
                <w:szCs w:val="24"/>
                <w:lang w:val="en-US" w:eastAsia="zh-CN"/>
              </w:rPr>
              <w:t>1、</w:t>
            </w:r>
            <w:r>
              <w:rPr>
                <w:rFonts w:hint="eastAsia" w:ascii="宋体" w:hAnsi="宋体" w:eastAsia="宋体" w:cs="宋体"/>
                <w:sz w:val="24"/>
                <w:szCs w:val="24"/>
                <w:lang w:val="en-US" w:eastAsia="zh-CN"/>
              </w:rPr>
              <w:t>方案规划设计费</w:t>
            </w:r>
            <w:r>
              <w:rPr>
                <w:rFonts w:hint="eastAsia" w:hAnsi="宋体" w:cs="宋体"/>
                <w:sz w:val="24"/>
                <w:szCs w:val="24"/>
                <w:lang w:val="en-US" w:eastAsia="zh-CN"/>
              </w:rPr>
              <w:t>：</w:t>
            </w:r>
            <w:r>
              <w:rPr>
                <w:rFonts w:hint="eastAsia" w:hAnsi="宋体" w:cs="宋体"/>
                <w:sz w:val="24"/>
                <w:szCs w:val="24"/>
                <w:u w:val="single"/>
                <w:lang w:val="en-US" w:eastAsia="zh-CN"/>
              </w:rPr>
              <w:t xml:space="preserve">         </w:t>
            </w:r>
            <w:r>
              <w:rPr>
                <w:rFonts w:hint="eastAsia" w:hAnsi="宋体" w:cs="宋体"/>
                <w:sz w:val="24"/>
                <w:szCs w:val="24"/>
                <w:lang w:val="en-US" w:eastAsia="zh-CN"/>
              </w:rPr>
              <w:t>元</w:t>
            </w:r>
          </w:p>
          <w:p>
            <w:pPr>
              <w:spacing w:line="360" w:lineRule="auto"/>
              <w:rPr>
                <w:rFonts w:hint="eastAsia" w:hAnsi="宋体" w:cs="宋体"/>
                <w:color w:val="auto"/>
                <w:kern w:val="2"/>
                <w:sz w:val="24"/>
                <w:szCs w:val="24"/>
                <w:lang w:val="en-US" w:eastAsia="zh-CN"/>
              </w:rPr>
            </w:pPr>
            <w:r>
              <w:rPr>
                <w:rFonts w:hint="eastAsia" w:hAnsi="宋体" w:cs="宋体"/>
                <w:color w:val="auto"/>
                <w:kern w:val="2"/>
                <w:sz w:val="24"/>
                <w:szCs w:val="24"/>
                <w:lang w:val="en-US" w:eastAsia="zh-CN"/>
              </w:rPr>
              <w:t>2、</w:t>
            </w:r>
            <w:r>
              <w:rPr>
                <w:rFonts w:hint="eastAsia" w:ascii="宋体" w:hAnsi="宋体" w:eastAsia="宋体" w:cs="宋体"/>
                <w:sz w:val="24"/>
                <w:szCs w:val="24"/>
                <w:lang w:val="en-US" w:eastAsia="zh-CN"/>
              </w:rPr>
              <w:t>测</w:t>
            </w:r>
            <w:r>
              <w:rPr>
                <w:rFonts w:hint="eastAsia" w:hAnsi="宋体" w:cs="宋体"/>
                <w:sz w:val="24"/>
                <w:szCs w:val="24"/>
                <w:lang w:val="en-US" w:eastAsia="zh-CN"/>
              </w:rPr>
              <w:t xml:space="preserve"> </w:t>
            </w:r>
            <w:r>
              <w:rPr>
                <w:rFonts w:hint="eastAsia" w:ascii="宋体" w:hAnsi="宋体" w:eastAsia="宋体" w:cs="宋体"/>
                <w:sz w:val="24"/>
                <w:szCs w:val="24"/>
                <w:lang w:val="en-US" w:eastAsia="zh-CN"/>
              </w:rPr>
              <w:t>绘</w:t>
            </w:r>
            <w:r>
              <w:rPr>
                <w:rFonts w:hint="eastAsia" w:hAnsi="宋体" w:cs="宋体"/>
                <w:sz w:val="24"/>
                <w:szCs w:val="24"/>
                <w:lang w:val="en-US" w:eastAsia="zh-CN"/>
              </w:rPr>
              <w:t xml:space="preserve"> </w:t>
            </w:r>
            <w:r>
              <w:rPr>
                <w:rFonts w:hint="eastAsia" w:ascii="宋体" w:hAnsi="宋体" w:eastAsia="宋体" w:cs="宋体"/>
                <w:sz w:val="24"/>
                <w:szCs w:val="24"/>
                <w:lang w:val="en-US" w:eastAsia="zh-CN"/>
              </w:rPr>
              <w:t>费</w:t>
            </w:r>
            <w:r>
              <w:rPr>
                <w:rFonts w:hint="eastAsia" w:hAnsi="宋体" w:cs="宋体"/>
                <w:sz w:val="24"/>
                <w:szCs w:val="24"/>
                <w:lang w:val="en-US" w:eastAsia="zh-CN"/>
              </w:rPr>
              <w:t xml:space="preserve">： </w:t>
            </w:r>
            <w:r>
              <w:rPr>
                <w:rFonts w:hint="eastAsia" w:hAnsi="宋体" w:cs="宋体"/>
                <w:sz w:val="24"/>
                <w:szCs w:val="24"/>
                <w:u w:val="single"/>
                <w:lang w:val="en-US" w:eastAsia="zh-CN"/>
              </w:rPr>
              <w:t xml:space="preserve">              </w:t>
            </w:r>
            <w:r>
              <w:rPr>
                <w:rFonts w:hint="eastAsia" w:ascii="宋体" w:hAnsi="宋体" w:eastAsia="宋体" w:cs="宋体"/>
                <w:sz w:val="24"/>
                <w:szCs w:val="24"/>
                <w:lang w:val="en-US" w:eastAsia="zh-CN"/>
              </w:rPr>
              <w:t>元</w:t>
            </w:r>
          </w:p>
          <w:p>
            <w:pPr>
              <w:spacing w:line="360" w:lineRule="auto"/>
              <w:rPr>
                <w:rFonts w:hint="default" w:hAnsi="宋体" w:cs="宋体"/>
                <w:color w:val="auto"/>
                <w:kern w:val="2"/>
                <w:sz w:val="24"/>
                <w:szCs w:val="24"/>
                <w:lang w:val="en-US" w:eastAsia="zh-CN"/>
              </w:rPr>
            </w:pPr>
            <w:r>
              <w:rPr>
                <w:rFonts w:hint="eastAsia" w:hAnsi="宋体" w:cs="宋体"/>
                <w:color w:val="auto"/>
                <w:kern w:val="2"/>
                <w:sz w:val="24"/>
                <w:szCs w:val="24"/>
                <w:lang w:val="en-US" w:eastAsia="zh-CN"/>
              </w:rPr>
              <w:t>3、</w:t>
            </w:r>
            <w:r>
              <w:rPr>
                <w:rFonts w:hint="eastAsia" w:ascii="宋体" w:hAnsi="宋体" w:eastAsia="宋体" w:cs="宋体"/>
                <w:sz w:val="24"/>
                <w:szCs w:val="24"/>
                <w:lang w:val="en-US" w:eastAsia="zh-CN"/>
              </w:rPr>
              <w:t>施工图设计</w:t>
            </w:r>
            <w:r>
              <w:rPr>
                <w:rFonts w:hint="eastAsia" w:hAnsi="宋体" w:cs="宋体"/>
                <w:sz w:val="24"/>
                <w:szCs w:val="24"/>
                <w:lang w:val="en-US" w:eastAsia="zh-CN"/>
              </w:rPr>
              <w:t>：</w:t>
            </w:r>
            <w:r>
              <w:rPr>
                <w:rFonts w:hint="eastAsia" w:hAnsi="宋体" w:cs="宋体"/>
                <w:sz w:val="24"/>
                <w:szCs w:val="24"/>
                <w:u w:val="single"/>
                <w:lang w:val="en-US" w:eastAsia="zh-CN"/>
              </w:rPr>
              <w:t xml:space="preserve">             </w:t>
            </w:r>
            <w:r>
              <w:rPr>
                <w:rFonts w:hint="eastAsia" w:hAnsi="宋体" w:cs="宋体"/>
                <w:sz w:val="24"/>
                <w:szCs w:val="24"/>
                <w:lang w:val="en-US" w:eastAsia="zh-CN"/>
              </w:rPr>
              <w:t>元</w:t>
            </w:r>
          </w:p>
          <w:p>
            <w:pPr>
              <w:spacing w:line="360" w:lineRule="auto"/>
              <w:rPr>
                <w:rFonts w:hint="eastAsia" w:hAnsi="宋体" w:cs="宋体"/>
                <w:color w:val="auto"/>
                <w:kern w:val="2"/>
                <w:sz w:val="24"/>
                <w:szCs w:val="24"/>
                <w:u w:val="single"/>
                <w:lang w:val="en-US" w:eastAsia="zh-CN"/>
              </w:rPr>
            </w:pPr>
            <w:r>
              <w:rPr>
                <w:rFonts w:hint="eastAsia" w:hAnsi="宋体" w:cs="宋体"/>
                <w:color w:val="auto"/>
                <w:kern w:val="2"/>
                <w:sz w:val="24"/>
                <w:szCs w:val="24"/>
                <w:lang w:val="en-US" w:eastAsia="zh-CN"/>
              </w:rPr>
              <w:t>总计：</w:t>
            </w:r>
            <w:r>
              <w:rPr>
                <w:rFonts w:hint="eastAsia" w:ascii="宋体" w:hAnsi="宋体" w:cs="宋体"/>
                <w:color w:val="auto"/>
                <w:kern w:val="2"/>
                <w:sz w:val="24"/>
                <w:szCs w:val="24"/>
              </w:rPr>
              <w:t>小写：</w:t>
            </w:r>
            <w:r>
              <w:rPr>
                <w:rFonts w:hint="eastAsia" w:hAnsi="宋体" w:cs="宋体"/>
                <w:color w:val="auto"/>
                <w:kern w:val="2"/>
                <w:sz w:val="24"/>
                <w:szCs w:val="24"/>
                <w:u w:val="single"/>
                <w:lang w:val="en-US" w:eastAsia="zh-CN"/>
              </w:rPr>
              <w:t xml:space="preserve">             </w:t>
            </w:r>
          </w:p>
          <w:p>
            <w:pPr>
              <w:spacing w:line="360" w:lineRule="auto"/>
              <w:ind w:firstLine="720" w:firstLineChars="300"/>
              <w:rPr>
                <w:rFonts w:hint="default" w:ascii="宋体" w:hAnsi="宋体" w:eastAsia="宋体" w:cs="宋体"/>
                <w:color w:val="auto"/>
                <w:kern w:val="2"/>
                <w:sz w:val="24"/>
                <w:szCs w:val="24"/>
                <w:u w:val="single"/>
                <w:lang w:val="en-US" w:eastAsia="zh-CN"/>
              </w:rPr>
            </w:pPr>
            <w:r>
              <w:rPr>
                <w:rFonts w:hint="eastAsia" w:ascii="宋体" w:hAnsi="宋体" w:cs="宋体"/>
                <w:color w:val="auto"/>
                <w:kern w:val="2"/>
                <w:sz w:val="24"/>
                <w:szCs w:val="24"/>
              </w:rPr>
              <w:t>大写：</w:t>
            </w:r>
            <w:r>
              <w:rPr>
                <w:rFonts w:hint="eastAsia" w:hAnsi="宋体" w:cs="宋体"/>
                <w:color w:val="auto"/>
                <w:kern w:val="2"/>
                <w:sz w:val="24"/>
                <w:szCs w:val="24"/>
                <w:u w:val="single"/>
                <w:lang w:val="en-US" w:eastAsia="zh-CN"/>
              </w:rPr>
              <w:t xml:space="preserve">              </w:t>
            </w:r>
          </w:p>
        </w:tc>
      </w:tr>
    </w:tbl>
    <w:p>
      <w:pPr>
        <w:rPr>
          <w:rFonts w:hint="eastAsia"/>
        </w:rPr>
      </w:pPr>
    </w:p>
    <w:p>
      <w:pPr>
        <w:numPr>
          <w:ilvl w:val="0"/>
          <w:numId w:val="0"/>
        </w:numPr>
      </w:pPr>
    </w:p>
    <w:p>
      <w:pPr>
        <w:snapToGrid w:val="0"/>
        <w:spacing w:line="276" w:lineRule="auto"/>
        <w:ind w:firstLine="480" w:firstLineChars="200"/>
        <w:rPr>
          <w:rFonts w:hint="eastAsia" w:ascii="华文宋体" w:hAnsi="华文宋体" w:eastAsia="华文宋体" w:cs="华文宋体"/>
          <w:b w:val="0"/>
          <w:bCs w:val="0"/>
          <w:color w:val="000000"/>
          <w:kern w:val="0"/>
          <w:sz w:val="24"/>
          <w:highlight w:val="none"/>
        </w:rPr>
      </w:pPr>
      <w:r>
        <w:rPr>
          <w:rFonts w:hint="eastAsia" w:ascii="华文宋体" w:hAnsi="华文宋体" w:eastAsia="华文宋体" w:cs="华文宋体"/>
          <w:b w:val="0"/>
          <w:bCs w:val="0"/>
          <w:color w:val="000000"/>
          <w:kern w:val="0"/>
          <w:sz w:val="24"/>
          <w:highlight w:val="none"/>
          <w:lang w:val="en-US" w:eastAsia="zh-CN"/>
        </w:rPr>
        <w:t>供应商</w:t>
      </w:r>
      <w:r>
        <w:rPr>
          <w:rFonts w:hint="eastAsia" w:ascii="华文宋体" w:hAnsi="华文宋体" w:eastAsia="华文宋体" w:cs="华文宋体"/>
          <w:b w:val="0"/>
          <w:bCs w:val="0"/>
          <w:color w:val="000000"/>
          <w:kern w:val="0"/>
          <w:sz w:val="24"/>
          <w:highlight w:val="none"/>
        </w:rPr>
        <w:t>所有报价均用人民币表示，</w:t>
      </w:r>
      <w:r>
        <w:rPr>
          <w:rFonts w:hint="eastAsia" w:ascii="华文宋体" w:hAnsi="华文宋体" w:eastAsia="华文宋体" w:cs="华文宋体"/>
          <w:b w:val="0"/>
          <w:bCs w:val="0"/>
          <w:color w:val="000000"/>
          <w:kern w:val="0"/>
          <w:sz w:val="24"/>
          <w:highlight w:val="none"/>
          <w:lang w:val="en-US" w:eastAsia="zh-CN"/>
        </w:rPr>
        <w:t>供应商</w:t>
      </w:r>
      <w:r>
        <w:rPr>
          <w:rFonts w:hint="eastAsia" w:ascii="华文宋体" w:hAnsi="华文宋体" w:eastAsia="华文宋体" w:cs="华文宋体"/>
          <w:b w:val="0"/>
          <w:bCs w:val="0"/>
          <w:color w:val="000000"/>
          <w:kern w:val="0"/>
          <w:sz w:val="24"/>
          <w:highlight w:val="none"/>
        </w:rPr>
        <w:t>的报价应为完成本项目采购内容及服务的全部费用。</w:t>
      </w:r>
    </w:p>
    <w:p>
      <w:pPr>
        <w:pStyle w:val="11"/>
        <w:tabs>
          <w:tab w:val="left" w:pos="9639"/>
        </w:tabs>
        <w:rPr>
          <w:rFonts w:hAnsi="宋体" w:cs="宋体"/>
          <w:szCs w:val="21"/>
        </w:rPr>
      </w:pPr>
    </w:p>
    <w:p>
      <w:pPr>
        <w:snapToGrid w:val="0"/>
        <w:spacing w:line="276" w:lineRule="auto"/>
        <w:ind w:firstLine="480" w:firstLineChars="200"/>
        <w:rPr>
          <w:rFonts w:hint="eastAsia" w:ascii="华文宋体" w:hAnsi="华文宋体" w:eastAsia="华文宋体" w:cs="华文宋体"/>
          <w:color w:val="000000"/>
          <w:kern w:val="0"/>
          <w:sz w:val="24"/>
          <w:highlight w:val="none"/>
        </w:rPr>
      </w:pPr>
      <w:r>
        <w:rPr>
          <w:rFonts w:hint="eastAsia" w:ascii="华文宋体" w:hAnsi="华文宋体" w:eastAsia="华文宋体" w:cs="华文宋体"/>
          <w:color w:val="000000"/>
          <w:kern w:val="0"/>
          <w:sz w:val="24"/>
          <w:highlight w:val="none"/>
        </w:rPr>
        <w:t>供应商名称：</w:t>
      </w:r>
    </w:p>
    <w:p>
      <w:pPr>
        <w:pStyle w:val="85"/>
        <w:snapToGrid w:val="0"/>
        <w:spacing w:line="276" w:lineRule="auto"/>
        <w:rPr>
          <w:rFonts w:hint="eastAsia" w:ascii="华文宋体" w:hAnsi="华文宋体" w:eastAsia="华文宋体" w:cs="华文宋体"/>
          <w:color w:val="000000"/>
          <w:kern w:val="0"/>
          <w:sz w:val="24"/>
          <w:szCs w:val="24"/>
          <w:highlight w:val="none"/>
          <w:u w:val="single"/>
        </w:rPr>
      </w:pPr>
      <w:r>
        <w:rPr>
          <w:rFonts w:hint="eastAsia" w:ascii="华文宋体" w:hAnsi="华文宋体" w:eastAsia="华文宋体" w:cs="华文宋体"/>
          <w:color w:val="000000"/>
          <w:sz w:val="24"/>
          <w:highlight w:val="none"/>
        </w:rPr>
        <w:t>法定代表人</w:t>
      </w:r>
      <w:r>
        <w:rPr>
          <w:rFonts w:hint="eastAsia" w:ascii="华文宋体" w:hAnsi="华文宋体" w:eastAsia="华文宋体" w:cs="华文宋体"/>
          <w:color w:val="000000"/>
          <w:kern w:val="0"/>
          <w:sz w:val="24"/>
          <w:highlight w:val="none"/>
        </w:rPr>
        <w:t>/单位负责人</w:t>
      </w:r>
      <w:r>
        <w:rPr>
          <w:rFonts w:hint="eastAsia" w:ascii="华文宋体" w:hAnsi="华文宋体" w:eastAsia="华文宋体" w:cs="华文宋体"/>
          <w:color w:val="000000"/>
          <w:sz w:val="24"/>
          <w:highlight w:val="none"/>
        </w:rPr>
        <w:t>或授权代表（签字或加盖个人名章）</w:t>
      </w:r>
      <w:r>
        <w:rPr>
          <w:rFonts w:hint="eastAsia" w:ascii="华文宋体" w:hAnsi="华文宋体" w:eastAsia="华文宋体" w:cs="华文宋体"/>
          <w:color w:val="000000"/>
          <w:kern w:val="0"/>
          <w:sz w:val="24"/>
          <w:szCs w:val="24"/>
          <w:highlight w:val="none"/>
        </w:rPr>
        <w:t>：</w:t>
      </w:r>
    </w:p>
    <w:p>
      <w:pPr>
        <w:pStyle w:val="85"/>
        <w:snapToGrid w:val="0"/>
        <w:spacing w:line="276" w:lineRule="auto"/>
        <w:rPr>
          <w:rFonts w:hint="eastAsia" w:ascii="华文宋体" w:hAnsi="华文宋体" w:eastAsia="华文宋体" w:cs="华文宋体"/>
          <w:color w:val="000000"/>
          <w:kern w:val="0"/>
          <w:sz w:val="24"/>
          <w:szCs w:val="24"/>
          <w:highlight w:val="none"/>
        </w:rPr>
      </w:pPr>
      <w:r>
        <w:rPr>
          <w:rFonts w:hint="eastAsia" w:ascii="华文宋体" w:hAnsi="华文宋体" w:eastAsia="华文宋体" w:cs="华文宋体"/>
          <w:color w:val="000000"/>
          <w:kern w:val="0"/>
          <w:sz w:val="24"/>
          <w:szCs w:val="24"/>
          <w:highlight w:val="none"/>
        </w:rPr>
        <w:t>日期：</w:t>
      </w:r>
    </w:p>
    <w:p>
      <w:pPr>
        <w:tabs>
          <w:tab w:val="left" w:pos="9639"/>
        </w:tabs>
        <w:spacing w:line="360" w:lineRule="exact"/>
        <w:rPr>
          <w:rFonts w:hAnsi="宋体" w:cs="宋体"/>
          <w:sz w:val="24"/>
          <w:szCs w:val="24"/>
        </w:rPr>
      </w:pPr>
      <w:r>
        <w:rPr>
          <w:rFonts w:hint="eastAsia" w:hAnsi="宋体" w:cs="宋体"/>
          <w:sz w:val="24"/>
          <w:szCs w:val="24"/>
        </w:rPr>
        <w:t xml:space="preserve">             </w:t>
      </w:r>
    </w:p>
    <w:p>
      <w:pPr>
        <w:tabs>
          <w:tab w:val="left" w:pos="9639"/>
        </w:tabs>
        <w:spacing w:line="360" w:lineRule="exact"/>
        <w:ind w:firstLine="437"/>
        <w:rPr>
          <w:rFonts w:hAnsi="宋体" w:cs="宋体"/>
          <w:sz w:val="24"/>
          <w:szCs w:val="24"/>
        </w:rPr>
      </w:pPr>
      <w:r>
        <w:rPr>
          <w:rFonts w:hint="eastAsia" w:hAnsi="宋体" w:cs="宋体"/>
          <w:sz w:val="24"/>
          <w:szCs w:val="24"/>
        </w:rPr>
        <w:t xml:space="preserve">                                        </w:t>
      </w:r>
    </w:p>
    <w:p>
      <w:pPr>
        <w:tabs>
          <w:tab w:val="left" w:pos="9639"/>
        </w:tabs>
        <w:spacing w:line="360" w:lineRule="exact"/>
        <w:ind w:firstLine="5760" w:firstLineChars="2400"/>
        <w:rPr>
          <w:rFonts w:hAnsi="宋体" w:cs="宋体"/>
          <w:sz w:val="24"/>
          <w:szCs w:val="24"/>
        </w:rPr>
      </w:pPr>
      <w:r>
        <w:rPr>
          <w:rFonts w:hint="eastAsia" w:hAnsi="宋体" w:cs="宋体"/>
          <w:sz w:val="24"/>
          <w:szCs w:val="24"/>
        </w:rPr>
        <w:t xml:space="preserve"> 日期：      年   月   日</w:t>
      </w:r>
    </w:p>
    <w:p>
      <w:pPr>
        <w:tabs>
          <w:tab w:val="left" w:pos="9639"/>
        </w:tabs>
        <w:spacing w:line="360" w:lineRule="exact"/>
        <w:ind w:firstLine="437"/>
        <w:rPr>
          <w:rFonts w:hAnsi="宋体" w:cs="宋体"/>
          <w:sz w:val="24"/>
          <w:szCs w:val="24"/>
        </w:rPr>
      </w:pPr>
    </w:p>
    <w:p>
      <w:pPr>
        <w:pStyle w:val="11"/>
        <w:tabs>
          <w:tab w:val="left" w:pos="9639"/>
        </w:tabs>
        <w:rPr>
          <w:rFonts w:hAnsi="宋体" w:cs="宋体"/>
          <w:sz w:val="24"/>
          <w:szCs w:val="24"/>
        </w:rPr>
      </w:pPr>
    </w:p>
    <w:p>
      <w:pPr>
        <w:tabs>
          <w:tab w:val="left" w:pos="9639"/>
        </w:tabs>
        <w:spacing w:line="360" w:lineRule="exact"/>
        <w:ind w:firstLine="437"/>
        <w:rPr>
          <w:rFonts w:hint="eastAsia" w:hAnsi="宋体" w:cs="宋体"/>
          <w:sz w:val="24"/>
          <w:szCs w:val="24"/>
        </w:rPr>
      </w:pPr>
    </w:p>
    <w:p>
      <w:pPr>
        <w:tabs>
          <w:tab w:val="left" w:pos="9639"/>
        </w:tabs>
        <w:spacing w:line="360" w:lineRule="exact"/>
        <w:ind w:firstLine="437"/>
        <w:rPr>
          <w:rFonts w:hint="eastAsia" w:hAnsi="宋体" w:cs="宋体"/>
          <w:sz w:val="24"/>
          <w:szCs w:val="24"/>
        </w:rPr>
      </w:pPr>
    </w:p>
    <w:p>
      <w:pPr>
        <w:pageBreakBefore/>
        <w:numPr>
          <w:numId w:val="0"/>
        </w:numPr>
        <w:snapToGrid w:val="0"/>
        <w:spacing w:line="276" w:lineRule="auto"/>
        <w:ind w:leftChars="0" w:right="482" w:rightChars="0"/>
        <w:jc w:val="center"/>
        <w:outlineLvl w:val="1"/>
        <w:rPr>
          <w:rFonts w:hint="eastAsia" w:ascii="华文宋体" w:hAnsi="华文宋体" w:eastAsia="华文宋体" w:cs="华文宋体"/>
          <w:b/>
          <w:color w:val="000000"/>
          <w:sz w:val="32"/>
          <w:szCs w:val="32"/>
          <w:highlight w:val="none"/>
        </w:rPr>
      </w:pPr>
      <w:r>
        <w:rPr>
          <w:rFonts w:hint="eastAsia" w:ascii="华文宋体" w:hAnsi="华文宋体" w:eastAsia="华文宋体" w:cs="华文宋体"/>
          <w:b/>
          <w:color w:val="000000"/>
          <w:sz w:val="32"/>
          <w:szCs w:val="32"/>
          <w:highlight w:val="none"/>
          <w:lang w:eastAsia="zh-CN"/>
        </w:rPr>
        <w:t>六、</w:t>
      </w:r>
      <w:r>
        <w:rPr>
          <w:rFonts w:hint="eastAsia" w:ascii="华文宋体" w:hAnsi="华文宋体" w:eastAsia="华文宋体" w:cs="华文宋体"/>
          <w:b/>
          <w:color w:val="000000"/>
          <w:sz w:val="32"/>
          <w:szCs w:val="32"/>
          <w:highlight w:val="none"/>
        </w:rPr>
        <w:t>最</w:t>
      </w:r>
      <w:r>
        <w:rPr>
          <w:rFonts w:hint="eastAsia" w:ascii="华文宋体" w:hAnsi="华文宋体" w:eastAsia="华文宋体" w:cs="华文宋体"/>
          <w:b/>
          <w:color w:val="000000"/>
          <w:sz w:val="32"/>
          <w:szCs w:val="32"/>
          <w:highlight w:val="none"/>
          <w:lang w:val="en-US" w:eastAsia="zh-CN"/>
        </w:rPr>
        <w:t>终</w:t>
      </w:r>
      <w:r>
        <w:rPr>
          <w:rFonts w:hint="eastAsia" w:ascii="华文宋体" w:hAnsi="华文宋体" w:eastAsia="华文宋体" w:cs="华文宋体"/>
          <w:b/>
          <w:color w:val="000000"/>
          <w:sz w:val="32"/>
          <w:szCs w:val="32"/>
          <w:highlight w:val="none"/>
        </w:rPr>
        <w:t>报价表</w:t>
      </w:r>
    </w:p>
    <w:tbl>
      <w:tblPr>
        <w:tblStyle w:val="34"/>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3250"/>
        <w:gridCol w:w="584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1216" w:hRule="atLeast"/>
          <w:jc w:val="center"/>
        </w:trPr>
        <w:tc>
          <w:tcPr>
            <w:tcW w:w="3250" w:type="dxa"/>
            <w:noWrap w:val="0"/>
            <w:vAlign w:val="center"/>
          </w:tcPr>
          <w:p>
            <w:pPr>
              <w:rPr>
                <w:rFonts w:hint="eastAsia" w:ascii="宋体" w:hAnsi="宋体" w:cs="宋体"/>
                <w:color w:val="auto"/>
                <w:kern w:val="2"/>
                <w:sz w:val="24"/>
                <w:szCs w:val="24"/>
              </w:rPr>
            </w:pPr>
            <w:r>
              <w:rPr>
                <w:rFonts w:hint="eastAsia" w:ascii="宋体" w:hAnsi="宋体" w:cs="宋体"/>
                <w:color w:val="auto"/>
                <w:kern w:val="2"/>
                <w:sz w:val="24"/>
                <w:szCs w:val="24"/>
                <w:lang w:val="en-US" w:eastAsia="zh-CN"/>
              </w:rPr>
              <w:t>采购</w:t>
            </w:r>
            <w:r>
              <w:rPr>
                <w:rFonts w:hint="eastAsia" w:ascii="宋体" w:hAnsi="宋体" w:cs="宋体"/>
                <w:color w:val="auto"/>
                <w:kern w:val="2"/>
                <w:sz w:val="24"/>
                <w:szCs w:val="24"/>
              </w:rPr>
              <w:t>项目名称</w:t>
            </w:r>
          </w:p>
        </w:tc>
        <w:tc>
          <w:tcPr>
            <w:tcW w:w="5849" w:type="dxa"/>
            <w:noWrap w:val="0"/>
            <w:vAlign w:val="center"/>
          </w:tcPr>
          <w:p>
            <w:pPr>
              <w:jc w:val="center"/>
              <w:rPr>
                <w:rFonts w:hint="eastAsia" w:ascii="宋体" w:hAnsi="宋体" w:cs="宋体"/>
                <w:color w:val="auto"/>
                <w:kern w:val="2"/>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94" w:hRule="atLeast"/>
          <w:jc w:val="center"/>
        </w:trPr>
        <w:tc>
          <w:tcPr>
            <w:tcW w:w="3250" w:type="dxa"/>
            <w:tcBorders>
              <w:bottom w:val="single" w:color="auto" w:sz="4" w:space="0"/>
            </w:tcBorders>
            <w:noWrap w:val="0"/>
            <w:vAlign w:val="center"/>
          </w:tcPr>
          <w:p>
            <w:pPr>
              <w:rPr>
                <w:rFonts w:hint="eastAsia" w:ascii="宋体" w:hAnsi="宋体" w:cs="宋体"/>
                <w:color w:val="auto"/>
                <w:kern w:val="2"/>
                <w:sz w:val="24"/>
                <w:szCs w:val="24"/>
              </w:rPr>
            </w:pPr>
            <w:r>
              <w:rPr>
                <w:rFonts w:hint="eastAsia" w:ascii="宋体" w:hAnsi="宋体" w:cs="宋体"/>
                <w:color w:val="auto"/>
                <w:kern w:val="2"/>
                <w:sz w:val="24"/>
                <w:szCs w:val="24"/>
              </w:rPr>
              <w:t>采购项目编号</w:t>
            </w:r>
          </w:p>
        </w:tc>
        <w:tc>
          <w:tcPr>
            <w:tcW w:w="5849" w:type="dxa"/>
            <w:tcBorders>
              <w:bottom w:val="single" w:color="auto" w:sz="4" w:space="0"/>
            </w:tcBorders>
            <w:noWrap w:val="0"/>
            <w:vAlign w:val="center"/>
          </w:tcPr>
          <w:p>
            <w:pPr>
              <w:rPr>
                <w:rFonts w:hint="eastAsia" w:ascii="宋体" w:hAnsi="宋体" w:cs="宋体"/>
                <w:color w:val="auto"/>
                <w:kern w:val="2"/>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94" w:hRule="atLeast"/>
          <w:jc w:val="center"/>
        </w:trPr>
        <w:tc>
          <w:tcPr>
            <w:tcW w:w="3250" w:type="dxa"/>
            <w:tcBorders>
              <w:bottom w:val="single" w:color="auto" w:sz="4" w:space="0"/>
            </w:tcBorders>
            <w:noWrap w:val="0"/>
            <w:vAlign w:val="center"/>
          </w:tcPr>
          <w:p>
            <w:pPr>
              <w:rPr>
                <w:rFonts w:hint="eastAsia" w:ascii="宋体" w:hAnsi="宋体" w:cs="宋体"/>
                <w:color w:val="auto"/>
                <w:kern w:val="2"/>
                <w:sz w:val="24"/>
                <w:szCs w:val="24"/>
              </w:rPr>
            </w:pPr>
            <w:r>
              <w:rPr>
                <w:rFonts w:hint="eastAsia" w:ascii="宋体" w:hAnsi="宋体" w:cs="宋体"/>
                <w:color w:val="auto"/>
                <w:kern w:val="2"/>
                <w:sz w:val="24"/>
                <w:szCs w:val="24"/>
              </w:rPr>
              <w:t>服务期限</w:t>
            </w:r>
          </w:p>
        </w:tc>
        <w:tc>
          <w:tcPr>
            <w:tcW w:w="5849" w:type="dxa"/>
            <w:tcBorders>
              <w:bottom w:val="single" w:color="auto" w:sz="4" w:space="0"/>
            </w:tcBorders>
            <w:noWrap w:val="0"/>
            <w:vAlign w:val="center"/>
          </w:tcPr>
          <w:p>
            <w:pPr>
              <w:rPr>
                <w:rFonts w:hint="eastAsia" w:ascii="宋体" w:hAnsi="宋体" w:cs="宋体"/>
                <w:color w:val="auto"/>
                <w:kern w:val="2"/>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1832" w:hRule="atLeast"/>
          <w:jc w:val="center"/>
        </w:trPr>
        <w:tc>
          <w:tcPr>
            <w:tcW w:w="3250" w:type="dxa"/>
            <w:tcBorders>
              <w:top w:val="single" w:color="auto" w:sz="4" w:space="0"/>
            </w:tcBorders>
            <w:noWrap w:val="0"/>
            <w:vAlign w:val="center"/>
          </w:tcPr>
          <w:p>
            <w:pPr>
              <w:rPr>
                <w:rFonts w:hint="eastAsia" w:ascii="宋体" w:hAnsi="宋体" w:cs="宋体"/>
                <w:color w:val="auto"/>
                <w:kern w:val="2"/>
                <w:sz w:val="24"/>
                <w:szCs w:val="24"/>
              </w:rPr>
            </w:pPr>
            <w:r>
              <w:rPr>
                <w:rFonts w:hint="eastAsia" w:ascii="宋体" w:hAnsi="宋体" w:cs="宋体"/>
                <w:color w:val="auto"/>
                <w:kern w:val="2"/>
                <w:sz w:val="24"/>
                <w:szCs w:val="24"/>
              </w:rPr>
              <w:t>报价（元）</w:t>
            </w:r>
          </w:p>
        </w:tc>
        <w:tc>
          <w:tcPr>
            <w:tcW w:w="5849" w:type="dxa"/>
            <w:tcBorders>
              <w:top w:val="single" w:color="auto" w:sz="4" w:space="0"/>
            </w:tcBorders>
            <w:noWrap w:val="0"/>
            <w:vAlign w:val="center"/>
          </w:tcPr>
          <w:p>
            <w:pPr>
              <w:numPr>
                <w:ilvl w:val="0"/>
                <w:numId w:val="0"/>
              </w:numPr>
              <w:spacing w:line="480" w:lineRule="auto"/>
              <w:rPr>
                <w:rFonts w:hint="eastAsia" w:ascii="宋体" w:hAnsi="宋体" w:eastAsia="宋体" w:cs="宋体"/>
                <w:sz w:val="24"/>
                <w:szCs w:val="24"/>
                <w:lang w:val="en-US" w:eastAsia="zh-CN"/>
              </w:rPr>
            </w:pPr>
            <w:r>
              <w:rPr>
                <w:rFonts w:hint="eastAsia" w:hAnsi="宋体" w:cs="宋体"/>
                <w:color w:val="auto"/>
                <w:kern w:val="2"/>
                <w:sz w:val="24"/>
                <w:szCs w:val="24"/>
                <w:lang w:val="en-US" w:eastAsia="zh-CN"/>
              </w:rPr>
              <w:t>1、</w:t>
            </w:r>
            <w:r>
              <w:rPr>
                <w:rFonts w:hint="eastAsia" w:ascii="宋体" w:hAnsi="宋体" w:eastAsia="宋体" w:cs="宋体"/>
                <w:sz w:val="24"/>
                <w:szCs w:val="24"/>
                <w:lang w:val="en-US" w:eastAsia="zh-CN"/>
              </w:rPr>
              <w:t>方案规划设计费</w:t>
            </w:r>
            <w:r>
              <w:rPr>
                <w:rFonts w:hint="eastAsia" w:hAnsi="宋体" w:cs="宋体"/>
                <w:sz w:val="24"/>
                <w:szCs w:val="24"/>
                <w:lang w:val="en-US" w:eastAsia="zh-CN"/>
              </w:rPr>
              <w:t>：</w:t>
            </w:r>
            <w:r>
              <w:rPr>
                <w:rFonts w:hint="eastAsia" w:hAnsi="宋体" w:cs="宋体"/>
                <w:sz w:val="24"/>
                <w:szCs w:val="24"/>
                <w:u w:val="single"/>
                <w:lang w:val="en-US" w:eastAsia="zh-CN"/>
              </w:rPr>
              <w:t xml:space="preserve">         </w:t>
            </w:r>
            <w:r>
              <w:rPr>
                <w:rFonts w:hint="eastAsia" w:hAnsi="宋体" w:cs="宋体"/>
                <w:sz w:val="24"/>
                <w:szCs w:val="24"/>
                <w:lang w:val="en-US" w:eastAsia="zh-CN"/>
              </w:rPr>
              <w:t>元</w:t>
            </w:r>
          </w:p>
          <w:p>
            <w:pPr>
              <w:spacing w:line="360" w:lineRule="auto"/>
              <w:rPr>
                <w:rFonts w:hint="eastAsia" w:hAnsi="宋体" w:cs="宋体"/>
                <w:color w:val="auto"/>
                <w:kern w:val="2"/>
                <w:sz w:val="24"/>
                <w:szCs w:val="24"/>
                <w:lang w:val="en-US" w:eastAsia="zh-CN"/>
              </w:rPr>
            </w:pPr>
            <w:r>
              <w:rPr>
                <w:rFonts w:hint="eastAsia" w:hAnsi="宋体" w:cs="宋体"/>
                <w:color w:val="auto"/>
                <w:kern w:val="2"/>
                <w:sz w:val="24"/>
                <w:szCs w:val="24"/>
                <w:lang w:val="en-US" w:eastAsia="zh-CN"/>
              </w:rPr>
              <w:t>2、</w:t>
            </w:r>
            <w:r>
              <w:rPr>
                <w:rFonts w:hint="eastAsia" w:ascii="宋体" w:hAnsi="宋体" w:eastAsia="宋体" w:cs="宋体"/>
                <w:sz w:val="24"/>
                <w:szCs w:val="24"/>
                <w:lang w:val="en-US" w:eastAsia="zh-CN"/>
              </w:rPr>
              <w:t>测</w:t>
            </w:r>
            <w:r>
              <w:rPr>
                <w:rFonts w:hint="eastAsia" w:hAnsi="宋体" w:cs="宋体"/>
                <w:sz w:val="24"/>
                <w:szCs w:val="24"/>
                <w:lang w:val="en-US" w:eastAsia="zh-CN"/>
              </w:rPr>
              <w:t xml:space="preserve"> </w:t>
            </w:r>
            <w:r>
              <w:rPr>
                <w:rFonts w:hint="eastAsia" w:ascii="宋体" w:hAnsi="宋体" w:eastAsia="宋体" w:cs="宋体"/>
                <w:sz w:val="24"/>
                <w:szCs w:val="24"/>
                <w:lang w:val="en-US" w:eastAsia="zh-CN"/>
              </w:rPr>
              <w:t>绘</w:t>
            </w:r>
            <w:r>
              <w:rPr>
                <w:rFonts w:hint="eastAsia" w:hAnsi="宋体" w:cs="宋体"/>
                <w:sz w:val="24"/>
                <w:szCs w:val="24"/>
                <w:lang w:val="en-US" w:eastAsia="zh-CN"/>
              </w:rPr>
              <w:t xml:space="preserve"> </w:t>
            </w:r>
            <w:r>
              <w:rPr>
                <w:rFonts w:hint="eastAsia" w:ascii="宋体" w:hAnsi="宋体" w:eastAsia="宋体" w:cs="宋体"/>
                <w:sz w:val="24"/>
                <w:szCs w:val="24"/>
                <w:lang w:val="en-US" w:eastAsia="zh-CN"/>
              </w:rPr>
              <w:t>费</w:t>
            </w:r>
            <w:r>
              <w:rPr>
                <w:rFonts w:hint="eastAsia" w:hAnsi="宋体" w:cs="宋体"/>
                <w:sz w:val="24"/>
                <w:szCs w:val="24"/>
                <w:lang w:val="en-US" w:eastAsia="zh-CN"/>
              </w:rPr>
              <w:t xml:space="preserve">： </w:t>
            </w:r>
            <w:r>
              <w:rPr>
                <w:rFonts w:hint="eastAsia" w:hAnsi="宋体" w:cs="宋体"/>
                <w:sz w:val="24"/>
                <w:szCs w:val="24"/>
                <w:u w:val="single"/>
                <w:lang w:val="en-US" w:eastAsia="zh-CN"/>
              </w:rPr>
              <w:t xml:space="preserve">              </w:t>
            </w:r>
            <w:r>
              <w:rPr>
                <w:rFonts w:hint="eastAsia" w:ascii="宋体" w:hAnsi="宋体" w:eastAsia="宋体" w:cs="宋体"/>
                <w:sz w:val="24"/>
                <w:szCs w:val="24"/>
                <w:lang w:val="en-US" w:eastAsia="zh-CN"/>
              </w:rPr>
              <w:t>元</w:t>
            </w:r>
          </w:p>
          <w:p>
            <w:pPr>
              <w:spacing w:line="360" w:lineRule="auto"/>
              <w:rPr>
                <w:rFonts w:hint="default" w:hAnsi="宋体" w:cs="宋体"/>
                <w:color w:val="auto"/>
                <w:kern w:val="2"/>
                <w:sz w:val="24"/>
                <w:szCs w:val="24"/>
                <w:lang w:val="en-US" w:eastAsia="zh-CN"/>
              </w:rPr>
            </w:pPr>
            <w:r>
              <w:rPr>
                <w:rFonts w:hint="eastAsia" w:hAnsi="宋体" w:cs="宋体"/>
                <w:color w:val="auto"/>
                <w:kern w:val="2"/>
                <w:sz w:val="24"/>
                <w:szCs w:val="24"/>
                <w:lang w:val="en-US" w:eastAsia="zh-CN"/>
              </w:rPr>
              <w:t>3、</w:t>
            </w:r>
            <w:r>
              <w:rPr>
                <w:rFonts w:hint="eastAsia" w:ascii="宋体" w:hAnsi="宋体" w:eastAsia="宋体" w:cs="宋体"/>
                <w:sz w:val="24"/>
                <w:szCs w:val="24"/>
                <w:lang w:val="en-US" w:eastAsia="zh-CN"/>
              </w:rPr>
              <w:t>施工图设计</w:t>
            </w:r>
            <w:r>
              <w:rPr>
                <w:rFonts w:hint="eastAsia" w:hAnsi="宋体" w:cs="宋体"/>
                <w:sz w:val="24"/>
                <w:szCs w:val="24"/>
                <w:lang w:val="en-US" w:eastAsia="zh-CN"/>
              </w:rPr>
              <w:t>：</w:t>
            </w:r>
            <w:r>
              <w:rPr>
                <w:rFonts w:hint="eastAsia" w:hAnsi="宋体" w:cs="宋体"/>
                <w:sz w:val="24"/>
                <w:szCs w:val="24"/>
                <w:u w:val="single"/>
                <w:lang w:val="en-US" w:eastAsia="zh-CN"/>
              </w:rPr>
              <w:t xml:space="preserve">             </w:t>
            </w:r>
            <w:r>
              <w:rPr>
                <w:rFonts w:hint="eastAsia" w:hAnsi="宋体" w:cs="宋体"/>
                <w:sz w:val="24"/>
                <w:szCs w:val="24"/>
                <w:lang w:val="en-US" w:eastAsia="zh-CN"/>
              </w:rPr>
              <w:t>元</w:t>
            </w:r>
          </w:p>
          <w:p>
            <w:pPr>
              <w:spacing w:line="360" w:lineRule="auto"/>
              <w:rPr>
                <w:rFonts w:hint="eastAsia" w:hAnsi="宋体" w:cs="宋体"/>
                <w:color w:val="auto"/>
                <w:kern w:val="2"/>
                <w:sz w:val="24"/>
                <w:szCs w:val="24"/>
                <w:u w:val="single"/>
                <w:lang w:val="en-US" w:eastAsia="zh-CN"/>
              </w:rPr>
            </w:pPr>
            <w:r>
              <w:rPr>
                <w:rFonts w:hint="eastAsia" w:hAnsi="宋体" w:cs="宋体"/>
                <w:color w:val="auto"/>
                <w:kern w:val="2"/>
                <w:sz w:val="24"/>
                <w:szCs w:val="24"/>
                <w:lang w:val="en-US" w:eastAsia="zh-CN"/>
              </w:rPr>
              <w:t>总计：</w:t>
            </w:r>
            <w:r>
              <w:rPr>
                <w:rFonts w:hint="eastAsia" w:ascii="宋体" w:hAnsi="宋体" w:cs="宋体"/>
                <w:color w:val="auto"/>
                <w:kern w:val="2"/>
                <w:sz w:val="24"/>
                <w:szCs w:val="24"/>
              </w:rPr>
              <w:t>小写：</w:t>
            </w:r>
            <w:r>
              <w:rPr>
                <w:rFonts w:hint="eastAsia" w:hAnsi="宋体" w:cs="宋体"/>
                <w:color w:val="auto"/>
                <w:kern w:val="2"/>
                <w:sz w:val="24"/>
                <w:szCs w:val="24"/>
                <w:u w:val="single"/>
                <w:lang w:val="en-US" w:eastAsia="zh-CN"/>
              </w:rPr>
              <w:t xml:space="preserve">             </w:t>
            </w:r>
          </w:p>
          <w:p>
            <w:pPr>
              <w:spacing w:line="360" w:lineRule="auto"/>
              <w:ind w:firstLine="720" w:firstLineChars="300"/>
              <w:rPr>
                <w:rFonts w:hint="default" w:ascii="宋体" w:hAnsi="宋体" w:eastAsia="宋体" w:cs="宋体"/>
                <w:color w:val="auto"/>
                <w:kern w:val="2"/>
                <w:sz w:val="24"/>
                <w:szCs w:val="24"/>
                <w:u w:val="single"/>
                <w:lang w:val="en-US" w:eastAsia="zh-CN"/>
              </w:rPr>
            </w:pPr>
            <w:r>
              <w:rPr>
                <w:rFonts w:hint="eastAsia" w:ascii="宋体" w:hAnsi="宋体" w:cs="宋体"/>
                <w:color w:val="auto"/>
                <w:kern w:val="2"/>
                <w:sz w:val="24"/>
                <w:szCs w:val="24"/>
              </w:rPr>
              <w:t>大写：</w:t>
            </w:r>
            <w:r>
              <w:rPr>
                <w:rFonts w:hint="eastAsia" w:hAnsi="宋体" w:cs="宋体"/>
                <w:color w:val="auto"/>
                <w:kern w:val="2"/>
                <w:sz w:val="24"/>
                <w:szCs w:val="24"/>
                <w:u w:val="single"/>
                <w:lang w:val="en-US" w:eastAsia="zh-CN"/>
              </w:rPr>
              <w:t xml:space="preserve">              </w:t>
            </w:r>
          </w:p>
        </w:tc>
      </w:tr>
    </w:tbl>
    <w:p>
      <w:pPr>
        <w:pStyle w:val="2"/>
        <w:numPr>
          <w:numId w:val="0"/>
        </w:numPr>
        <w:ind w:leftChars="0"/>
        <w:rPr>
          <w:rFonts w:hint="eastAsia"/>
          <w:lang w:eastAsia="zh-CN"/>
        </w:rPr>
      </w:pPr>
    </w:p>
    <w:p>
      <w:pPr>
        <w:snapToGrid w:val="0"/>
        <w:spacing w:line="276" w:lineRule="auto"/>
        <w:ind w:firstLine="480" w:firstLineChars="200"/>
        <w:rPr>
          <w:rFonts w:hint="eastAsia" w:ascii="华文宋体" w:hAnsi="华文宋体" w:eastAsia="华文宋体" w:cs="华文宋体"/>
          <w:color w:val="000000"/>
          <w:kern w:val="0"/>
          <w:sz w:val="24"/>
          <w:highlight w:val="none"/>
        </w:rPr>
      </w:pPr>
      <w:r>
        <w:rPr>
          <w:rFonts w:hint="eastAsia" w:ascii="华文宋体" w:hAnsi="华文宋体" w:eastAsia="华文宋体" w:cs="华文宋体"/>
          <w:color w:val="000000"/>
          <w:kern w:val="0"/>
          <w:sz w:val="24"/>
          <w:highlight w:val="none"/>
        </w:rPr>
        <w:t>供应商名称：</w:t>
      </w:r>
    </w:p>
    <w:p>
      <w:pPr>
        <w:pStyle w:val="85"/>
        <w:snapToGrid w:val="0"/>
        <w:spacing w:line="276" w:lineRule="auto"/>
        <w:rPr>
          <w:rFonts w:hint="eastAsia" w:ascii="华文宋体" w:hAnsi="华文宋体" w:eastAsia="华文宋体" w:cs="华文宋体"/>
          <w:color w:val="000000"/>
          <w:kern w:val="0"/>
          <w:sz w:val="24"/>
          <w:szCs w:val="24"/>
          <w:highlight w:val="none"/>
          <w:u w:val="single"/>
        </w:rPr>
      </w:pPr>
      <w:r>
        <w:rPr>
          <w:rFonts w:hint="eastAsia" w:ascii="华文宋体" w:hAnsi="华文宋体" w:eastAsia="华文宋体" w:cs="华文宋体"/>
          <w:color w:val="000000"/>
          <w:sz w:val="24"/>
          <w:highlight w:val="none"/>
        </w:rPr>
        <w:t>法定代表人</w:t>
      </w:r>
      <w:r>
        <w:rPr>
          <w:rFonts w:hint="eastAsia" w:ascii="华文宋体" w:hAnsi="华文宋体" w:eastAsia="华文宋体" w:cs="华文宋体"/>
          <w:color w:val="000000"/>
          <w:kern w:val="0"/>
          <w:sz w:val="24"/>
          <w:highlight w:val="none"/>
        </w:rPr>
        <w:t>/单位负责人</w:t>
      </w:r>
      <w:r>
        <w:rPr>
          <w:rFonts w:hint="eastAsia" w:ascii="华文宋体" w:hAnsi="华文宋体" w:eastAsia="华文宋体" w:cs="华文宋体"/>
          <w:color w:val="000000"/>
          <w:sz w:val="24"/>
          <w:highlight w:val="none"/>
        </w:rPr>
        <w:t>或授权代表（签字或加盖个人名章）</w:t>
      </w:r>
      <w:r>
        <w:rPr>
          <w:rFonts w:hint="eastAsia" w:ascii="华文宋体" w:hAnsi="华文宋体" w:eastAsia="华文宋体" w:cs="华文宋体"/>
          <w:color w:val="000000"/>
          <w:kern w:val="0"/>
          <w:sz w:val="24"/>
          <w:szCs w:val="24"/>
          <w:highlight w:val="none"/>
        </w:rPr>
        <w:t>：</w:t>
      </w:r>
    </w:p>
    <w:p>
      <w:pPr>
        <w:pStyle w:val="85"/>
        <w:snapToGrid w:val="0"/>
        <w:spacing w:line="276" w:lineRule="auto"/>
        <w:rPr>
          <w:rFonts w:hint="eastAsia" w:ascii="华文宋体" w:hAnsi="华文宋体" w:eastAsia="华文宋体" w:cs="华文宋体"/>
          <w:color w:val="000000"/>
          <w:kern w:val="0"/>
          <w:sz w:val="24"/>
          <w:szCs w:val="24"/>
          <w:highlight w:val="none"/>
        </w:rPr>
      </w:pPr>
      <w:r>
        <w:rPr>
          <w:rFonts w:hint="eastAsia" w:ascii="华文宋体" w:hAnsi="华文宋体" w:eastAsia="华文宋体" w:cs="华文宋体"/>
          <w:color w:val="000000"/>
          <w:kern w:val="0"/>
          <w:sz w:val="24"/>
          <w:szCs w:val="24"/>
          <w:highlight w:val="none"/>
        </w:rPr>
        <w:t>日期：</w:t>
      </w:r>
    </w:p>
    <w:p>
      <w:pPr>
        <w:snapToGrid w:val="0"/>
        <w:spacing w:line="276" w:lineRule="auto"/>
        <w:rPr>
          <w:rFonts w:hint="eastAsia" w:ascii="华文宋体" w:hAnsi="华文宋体" w:eastAsia="华文宋体" w:cs="华文宋体"/>
          <w:b/>
          <w:color w:val="000000"/>
          <w:sz w:val="32"/>
          <w:szCs w:val="32"/>
          <w:highlight w:val="none"/>
        </w:rPr>
      </w:pPr>
    </w:p>
    <w:p>
      <w:pPr>
        <w:tabs>
          <w:tab w:val="left" w:pos="9639"/>
        </w:tabs>
        <w:spacing w:line="360" w:lineRule="exact"/>
        <w:ind w:firstLine="437"/>
        <w:rPr>
          <w:rFonts w:hAnsi="宋体" w:cs="宋体"/>
          <w:sz w:val="24"/>
          <w:szCs w:val="24"/>
        </w:rPr>
      </w:pPr>
      <w:r>
        <w:rPr>
          <w:rFonts w:hint="eastAsia" w:hAnsi="宋体" w:cs="宋体"/>
          <w:sz w:val="24"/>
          <w:szCs w:val="24"/>
        </w:rPr>
        <w:t>注：1、本表除在响应文件中填报以外，还请供应商单独准备一份，加盖公章在磋商现场最终报价使用。</w:t>
      </w:r>
    </w:p>
    <w:p>
      <w:pPr>
        <w:tabs>
          <w:tab w:val="left" w:pos="9639"/>
        </w:tabs>
        <w:spacing w:line="360" w:lineRule="exact"/>
        <w:ind w:firstLine="914" w:firstLineChars="381"/>
        <w:rPr>
          <w:rFonts w:hAnsi="宋体" w:cs="宋体"/>
          <w:sz w:val="24"/>
          <w:szCs w:val="24"/>
        </w:rPr>
      </w:pPr>
      <w:r>
        <w:rPr>
          <w:rFonts w:hint="eastAsia" w:hAnsi="宋体" w:cs="宋体"/>
          <w:sz w:val="24"/>
          <w:szCs w:val="24"/>
        </w:rPr>
        <w:t>2、第一轮报价为响应文件中报价明细表的合计总价，磋商前在响应文件中填报；经磋商小组对通过资格性审查和符合性审查的供应商，按磋商文件要求进入磋商程序，在最终报价时现场填写。磋商小组在与进入磋商的供应商逐一谈判后，在规定的时间内同时递交最终报价。</w:t>
      </w:r>
    </w:p>
    <w:p>
      <w:pPr>
        <w:tabs>
          <w:tab w:val="left" w:pos="9639"/>
        </w:tabs>
        <w:ind w:firstLine="960" w:firstLineChars="400"/>
        <w:rPr>
          <w:rFonts w:hint="eastAsia"/>
          <w:sz w:val="24"/>
          <w:szCs w:val="24"/>
        </w:rPr>
      </w:pPr>
      <w:r>
        <w:rPr>
          <w:rFonts w:hint="eastAsia"/>
          <w:sz w:val="24"/>
          <w:szCs w:val="24"/>
          <w:lang w:val="en-US" w:eastAsia="zh-CN"/>
        </w:rPr>
        <w:t>3、</w:t>
      </w:r>
      <w:r>
        <w:rPr>
          <w:rFonts w:hint="eastAsia"/>
          <w:sz w:val="24"/>
          <w:szCs w:val="24"/>
        </w:rPr>
        <w:t>最终报价为我方完成本项目所有采购内容所需的全部费用的固定不变价格，我方承诺不再要求调整合同价格</w:t>
      </w:r>
    </w:p>
    <w:p>
      <w:pPr>
        <w:pStyle w:val="11"/>
        <w:tabs>
          <w:tab w:val="left" w:pos="9639"/>
        </w:tabs>
        <w:jc w:val="center"/>
        <w:rPr>
          <w:sz w:val="24"/>
          <w:szCs w:val="24"/>
        </w:rPr>
      </w:pPr>
    </w:p>
    <w:p>
      <w:pPr>
        <w:pStyle w:val="11"/>
        <w:tabs>
          <w:tab w:val="left" w:pos="9639"/>
        </w:tabs>
        <w:jc w:val="center"/>
        <w:rPr>
          <w:sz w:val="24"/>
          <w:szCs w:val="24"/>
        </w:rPr>
      </w:pPr>
    </w:p>
    <w:p>
      <w:pPr>
        <w:pStyle w:val="11"/>
      </w:pPr>
    </w:p>
    <w:p>
      <w:pPr>
        <w:pStyle w:val="2"/>
        <w:tabs>
          <w:tab w:val="left" w:pos="9639"/>
        </w:tabs>
        <w:jc w:val="center"/>
      </w:pPr>
      <w:r>
        <w:rPr>
          <w:rFonts w:hint="eastAsia"/>
          <w:lang w:val="en-US" w:eastAsia="zh-CN"/>
        </w:rPr>
        <w:t>七</w:t>
      </w:r>
      <w:r>
        <w:rPr>
          <w:rFonts w:hint="eastAsia"/>
        </w:rPr>
        <w:t>、供应商认为需要提供的其它资料</w:t>
      </w:r>
    </w:p>
    <w:p/>
    <w:p>
      <w:pPr>
        <w:pStyle w:val="2"/>
        <w:tabs>
          <w:tab w:val="left" w:pos="9639"/>
        </w:tabs>
        <w:jc w:val="center"/>
        <w:rPr>
          <w:rFonts w:hint="eastAsia"/>
        </w:rPr>
      </w:pPr>
    </w:p>
    <w:p>
      <w:pPr>
        <w:rPr>
          <w:rFonts w:hint="eastAsia"/>
        </w:rPr>
      </w:pPr>
    </w:p>
    <w:p>
      <w:pPr>
        <w:pStyle w:val="8"/>
        <w:rPr>
          <w:rFonts w:hint="eastAsia"/>
        </w:rPr>
      </w:pPr>
    </w:p>
    <w:p>
      <w:pPr>
        <w:rPr>
          <w:rFonts w:hint="eastAsia"/>
        </w:rPr>
      </w:pPr>
    </w:p>
    <w:p>
      <w:pPr>
        <w:pStyle w:val="8"/>
        <w:rPr>
          <w:rFonts w:hint="eastAsia"/>
        </w:rPr>
      </w:pPr>
    </w:p>
    <w:p>
      <w:pPr>
        <w:rPr>
          <w:rFonts w:hint="eastAsia"/>
        </w:rPr>
      </w:pPr>
    </w:p>
    <w:p>
      <w:pPr>
        <w:pStyle w:val="8"/>
        <w:rPr>
          <w:rFonts w:hint="eastAsia"/>
        </w:rPr>
      </w:pPr>
    </w:p>
    <w:p>
      <w:pPr>
        <w:rPr>
          <w:rFonts w:hint="eastAsia"/>
        </w:rPr>
      </w:pPr>
    </w:p>
    <w:p>
      <w:pPr>
        <w:pStyle w:val="8"/>
        <w:rPr>
          <w:rFonts w:hint="eastAsia"/>
        </w:rPr>
      </w:pPr>
    </w:p>
    <w:p>
      <w:pPr>
        <w:rPr>
          <w:rFonts w:hint="eastAsia"/>
        </w:rPr>
      </w:pPr>
    </w:p>
    <w:p>
      <w:pPr>
        <w:pStyle w:val="8"/>
        <w:rPr>
          <w:rFonts w:hint="eastAsia"/>
        </w:rPr>
      </w:pPr>
    </w:p>
    <w:p>
      <w:pPr>
        <w:rPr>
          <w:rFonts w:hint="eastAsia"/>
        </w:rPr>
      </w:pPr>
    </w:p>
    <w:p>
      <w:pPr>
        <w:pStyle w:val="8"/>
        <w:rPr>
          <w:rFonts w:hint="eastAsia"/>
        </w:rPr>
      </w:pPr>
    </w:p>
    <w:p>
      <w:pPr>
        <w:rPr>
          <w:rFonts w:hint="eastAsia"/>
        </w:rPr>
      </w:pPr>
    </w:p>
    <w:p>
      <w:pPr>
        <w:pStyle w:val="8"/>
        <w:rPr>
          <w:rFonts w:hint="eastAsia"/>
        </w:rPr>
      </w:pPr>
    </w:p>
    <w:p>
      <w:pPr>
        <w:rPr>
          <w:rFonts w:hint="eastAsia"/>
        </w:rPr>
      </w:pPr>
    </w:p>
    <w:p>
      <w:pPr>
        <w:pStyle w:val="8"/>
        <w:rPr>
          <w:rFonts w:hint="eastAsia"/>
        </w:rPr>
      </w:pPr>
    </w:p>
    <w:p>
      <w:pPr>
        <w:rPr>
          <w:rFonts w:hint="eastAsia"/>
        </w:rPr>
      </w:pPr>
    </w:p>
    <w:p>
      <w:pPr>
        <w:pStyle w:val="8"/>
        <w:rPr>
          <w:rFonts w:hint="eastAsia"/>
        </w:rPr>
      </w:pPr>
    </w:p>
    <w:p>
      <w:pPr>
        <w:rPr>
          <w:rFonts w:hint="eastAsia"/>
        </w:rPr>
      </w:pPr>
    </w:p>
    <w:p>
      <w:pPr>
        <w:pStyle w:val="8"/>
        <w:rPr>
          <w:rFonts w:hint="eastAsia"/>
        </w:rPr>
      </w:pPr>
    </w:p>
    <w:p>
      <w:pPr>
        <w:rPr>
          <w:rFonts w:hint="eastAsia"/>
        </w:rPr>
      </w:pPr>
    </w:p>
    <w:p>
      <w:pPr>
        <w:pStyle w:val="8"/>
        <w:rPr>
          <w:rFonts w:hint="eastAsia"/>
        </w:rPr>
      </w:pPr>
    </w:p>
    <w:p>
      <w:pPr>
        <w:pStyle w:val="2"/>
        <w:tabs>
          <w:tab w:val="left" w:pos="9639"/>
        </w:tabs>
        <w:jc w:val="center"/>
      </w:pPr>
      <w:r>
        <w:rPr>
          <w:rFonts w:hint="eastAsia"/>
        </w:rPr>
        <w:t>第二部分：其他响应文件部分</w:t>
      </w:r>
    </w:p>
    <w:p>
      <w:pPr>
        <w:pStyle w:val="2"/>
        <w:numPr>
          <w:ilvl w:val="0"/>
          <w:numId w:val="5"/>
        </w:numPr>
        <w:tabs>
          <w:tab w:val="left" w:pos="9639"/>
        </w:tabs>
        <w:jc w:val="center"/>
        <w:rPr>
          <w:rFonts w:hint="eastAsia"/>
        </w:rPr>
      </w:pPr>
      <w:r>
        <w:rPr>
          <w:rFonts w:hint="eastAsia"/>
        </w:rPr>
        <w:t>中小企业声明函</w:t>
      </w:r>
    </w:p>
    <w:p>
      <w:pPr>
        <w:tabs>
          <w:tab w:val="left" w:pos="9639"/>
        </w:tabs>
      </w:pPr>
    </w:p>
    <w:p>
      <w:pPr>
        <w:spacing w:line="360" w:lineRule="auto"/>
        <w:ind w:firstLine="480" w:firstLineChars="200"/>
        <w:rPr>
          <w:rFonts w:hint="eastAsia" w:ascii="宋体" w:hAnsi="宋体" w:eastAsia="宋体" w:cs="宋体"/>
          <w:color w:val="auto"/>
          <w:spacing w:val="6"/>
          <w:sz w:val="24"/>
          <w:highlight w:val="none"/>
          <w:u w:val="none"/>
          <w:lang w:val="en-US" w:eastAsia="zh-CN"/>
        </w:rPr>
      </w:pPr>
      <w:r>
        <w:rPr>
          <w:rFonts w:hint="eastAsia" w:ascii="华文楷体" w:hAnsi="华文楷体" w:eastAsia="华文楷体" w:cs="华文楷体"/>
          <w:sz w:val="24"/>
          <w:szCs w:val="24"/>
        </w:rPr>
        <w:t xml:space="preserve">    </w:t>
      </w:r>
      <w:r>
        <w:rPr>
          <w:rFonts w:hint="eastAsia" w:ascii="宋体" w:hAnsi="宋体" w:eastAsia="宋体" w:cs="宋体"/>
          <w:color w:val="auto"/>
          <w:spacing w:val="6"/>
          <w:sz w:val="24"/>
          <w:highlight w:val="none"/>
        </w:rPr>
        <w:t>本公司郑重声明，根据《政府采购促进中小企业发展暂行办法》（财库[201</w:t>
      </w:r>
      <w:r>
        <w:rPr>
          <w:rFonts w:hint="eastAsia" w:ascii="宋体" w:hAnsi="宋体" w:eastAsia="宋体" w:cs="宋体"/>
          <w:color w:val="auto"/>
          <w:spacing w:val="6"/>
          <w:sz w:val="24"/>
          <w:highlight w:val="none"/>
          <w:lang w:val="en-US" w:eastAsia="zh-CN"/>
        </w:rPr>
        <w:t>0</w:t>
      </w:r>
      <w:r>
        <w:rPr>
          <w:rFonts w:hint="eastAsia" w:ascii="宋体" w:hAnsi="宋体" w:eastAsia="宋体" w:cs="宋体"/>
          <w:color w:val="auto"/>
          <w:spacing w:val="6"/>
          <w:sz w:val="24"/>
          <w:highlight w:val="none"/>
        </w:rPr>
        <w:t>]</w:t>
      </w:r>
      <w:r>
        <w:rPr>
          <w:rFonts w:hint="eastAsia" w:ascii="宋体" w:hAnsi="宋体" w:eastAsia="宋体" w:cs="宋体"/>
          <w:color w:val="auto"/>
          <w:spacing w:val="6"/>
          <w:sz w:val="24"/>
          <w:highlight w:val="none"/>
          <w:lang w:val="en-US" w:eastAsia="zh-CN"/>
        </w:rPr>
        <w:t>46</w:t>
      </w:r>
      <w:r>
        <w:rPr>
          <w:rFonts w:hint="eastAsia" w:ascii="宋体" w:hAnsi="宋体" w:eastAsia="宋体" w:cs="宋体"/>
          <w:color w:val="auto"/>
          <w:spacing w:val="6"/>
          <w:sz w:val="24"/>
          <w:highlight w:val="none"/>
        </w:rPr>
        <w:t>号）的规定，本公司</w:t>
      </w:r>
      <w:r>
        <w:rPr>
          <w:rFonts w:hint="eastAsia" w:ascii="宋体" w:hAnsi="宋体" w:eastAsia="宋体" w:cs="宋体"/>
          <w:color w:val="auto"/>
          <w:spacing w:val="6"/>
          <w:sz w:val="24"/>
          <w:highlight w:val="none"/>
          <w:lang w:eastAsia="zh-CN"/>
        </w:rPr>
        <w:t>参加</w:t>
      </w:r>
      <w:r>
        <w:rPr>
          <w:rFonts w:hint="eastAsia" w:ascii="宋体" w:hAnsi="宋体" w:eastAsia="宋体" w:cs="宋体"/>
          <w:color w:val="auto"/>
          <w:spacing w:val="6"/>
          <w:sz w:val="24"/>
          <w:highlight w:val="none"/>
          <w:u w:val="single"/>
          <w:lang w:val="en-US" w:eastAsia="zh-CN"/>
        </w:rPr>
        <w:t xml:space="preserve">   （单位名称）  </w:t>
      </w:r>
      <w:r>
        <w:rPr>
          <w:rFonts w:hint="eastAsia" w:ascii="宋体" w:hAnsi="宋体" w:eastAsia="宋体" w:cs="宋体"/>
          <w:color w:val="auto"/>
          <w:spacing w:val="6"/>
          <w:sz w:val="24"/>
          <w:highlight w:val="none"/>
          <w:u w:val="none"/>
          <w:lang w:val="en-US" w:eastAsia="zh-CN"/>
        </w:rPr>
        <w:t>的</w:t>
      </w:r>
      <w:r>
        <w:rPr>
          <w:rFonts w:hint="eastAsia" w:ascii="宋体" w:hAnsi="宋体" w:eastAsia="宋体" w:cs="宋体"/>
          <w:color w:val="auto"/>
          <w:spacing w:val="6"/>
          <w:sz w:val="24"/>
          <w:highlight w:val="none"/>
          <w:u w:val="single"/>
          <w:lang w:val="en-US" w:eastAsia="zh-CN"/>
        </w:rPr>
        <w:t xml:space="preserve">   （项目名称）  </w:t>
      </w:r>
      <w:r>
        <w:rPr>
          <w:rFonts w:hint="eastAsia" w:ascii="宋体" w:hAnsi="宋体" w:eastAsia="宋体" w:cs="宋体"/>
          <w:color w:val="auto"/>
          <w:spacing w:val="6"/>
          <w:sz w:val="24"/>
          <w:highlight w:val="none"/>
          <w:u w:val="none"/>
          <w:lang w:val="en-US" w:eastAsia="zh-CN"/>
        </w:rPr>
        <w:t>采购活动，服务全部由符合政策要求的中小企业承接。项目企业的具体情况如下：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04" w:firstLineChars="200"/>
        <w:textAlignment w:val="auto"/>
        <w:rPr>
          <w:rFonts w:hint="eastAsia" w:ascii="宋体" w:hAnsi="宋体" w:eastAsia="宋体" w:cs="宋体"/>
          <w:color w:val="auto"/>
          <w:spacing w:val="6"/>
          <w:sz w:val="24"/>
          <w:szCs w:val="22"/>
          <w:highlight w:val="none"/>
          <w:u w:val="single"/>
          <w:lang w:val="en-US" w:eastAsia="zh-CN" w:bidi="ar-SA"/>
        </w:rPr>
      </w:pPr>
      <w:r>
        <w:rPr>
          <w:rFonts w:hint="eastAsia" w:ascii="宋体" w:hAnsi="宋体" w:eastAsia="宋体" w:cs="宋体"/>
          <w:color w:val="auto"/>
          <w:spacing w:val="6"/>
          <w:sz w:val="24"/>
          <w:szCs w:val="22"/>
          <w:highlight w:val="none"/>
          <w:u w:val="none"/>
          <w:lang w:val="en-US" w:eastAsia="zh-CN" w:bidi="ar-SA"/>
        </w:rPr>
        <w:t>1、</w:t>
      </w:r>
      <w:r>
        <w:rPr>
          <w:rFonts w:hint="eastAsia" w:ascii="宋体" w:hAnsi="宋体" w:eastAsia="宋体" w:cs="宋体"/>
          <w:color w:val="auto"/>
          <w:spacing w:val="6"/>
          <w:sz w:val="24"/>
          <w:szCs w:val="22"/>
          <w:highlight w:val="none"/>
          <w:u w:val="single"/>
          <w:lang w:val="en-US" w:eastAsia="zh-CN" w:bidi="ar-SA"/>
        </w:rPr>
        <w:t>（标的名称）</w:t>
      </w:r>
      <w:r>
        <w:rPr>
          <w:rFonts w:hint="eastAsia" w:ascii="宋体" w:hAnsi="宋体" w:eastAsia="宋体" w:cs="宋体"/>
          <w:color w:val="auto"/>
          <w:spacing w:val="6"/>
          <w:sz w:val="24"/>
          <w:szCs w:val="22"/>
          <w:highlight w:val="none"/>
          <w:u w:val="none"/>
          <w:lang w:val="en-US" w:eastAsia="zh-CN" w:bidi="ar-SA"/>
        </w:rPr>
        <w:t>，属于</w:t>
      </w:r>
      <w:r>
        <w:rPr>
          <w:rFonts w:hint="eastAsia" w:ascii="宋体" w:hAnsi="宋体" w:eastAsia="宋体" w:cs="宋体"/>
          <w:color w:val="auto"/>
          <w:spacing w:val="6"/>
          <w:sz w:val="24"/>
          <w:szCs w:val="22"/>
          <w:highlight w:val="none"/>
          <w:u w:val="single"/>
          <w:lang w:val="en-US" w:eastAsia="zh-CN" w:bidi="ar-SA"/>
        </w:rPr>
        <w:t>（采购文件中明确的所属行业）；</w:t>
      </w:r>
      <w:r>
        <w:rPr>
          <w:rFonts w:hint="eastAsia" w:ascii="宋体" w:hAnsi="宋体" w:eastAsia="宋体" w:cs="宋体"/>
          <w:color w:val="auto"/>
          <w:spacing w:val="6"/>
          <w:sz w:val="24"/>
          <w:szCs w:val="22"/>
          <w:highlight w:val="none"/>
          <w:u w:val="none"/>
          <w:lang w:val="en-US" w:eastAsia="zh-CN" w:bidi="ar-SA"/>
        </w:rPr>
        <w:t>承接企业为</w:t>
      </w:r>
      <w:r>
        <w:rPr>
          <w:rFonts w:hint="eastAsia" w:ascii="宋体" w:hAnsi="宋体" w:eastAsia="宋体" w:cs="宋体"/>
          <w:color w:val="auto"/>
          <w:spacing w:val="6"/>
          <w:sz w:val="24"/>
          <w:szCs w:val="22"/>
          <w:highlight w:val="none"/>
          <w:u w:val="single"/>
          <w:lang w:val="en-US" w:eastAsia="zh-CN" w:bidi="ar-SA"/>
        </w:rPr>
        <w:t>（企业名称）</w:t>
      </w:r>
      <w:r>
        <w:rPr>
          <w:rFonts w:hint="eastAsia" w:ascii="宋体" w:hAnsi="宋体" w:eastAsia="宋体" w:cs="宋体"/>
          <w:color w:val="auto"/>
          <w:spacing w:val="6"/>
          <w:sz w:val="24"/>
          <w:szCs w:val="22"/>
          <w:highlight w:val="none"/>
          <w:u w:val="none"/>
          <w:lang w:val="en-US" w:eastAsia="zh-CN" w:bidi="ar-SA"/>
        </w:rPr>
        <w:t>，从业人员</w:t>
      </w:r>
      <w:r>
        <w:rPr>
          <w:rFonts w:hint="eastAsia" w:ascii="宋体" w:hAnsi="宋体" w:eastAsia="宋体" w:cs="宋体"/>
          <w:color w:val="auto"/>
          <w:spacing w:val="6"/>
          <w:sz w:val="24"/>
          <w:szCs w:val="22"/>
          <w:highlight w:val="none"/>
          <w:u w:val="single"/>
          <w:lang w:val="en-US" w:eastAsia="zh-CN" w:bidi="ar-SA"/>
        </w:rPr>
        <w:t xml:space="preserve">     </w:t>
      </w:r>
      <w:r>
        <w:rPr>
          <w:rFonts w:hint="eastAsia" w:ascii="宋体" w:hAnsi="宋体" w:eastAsia="宋体" w:cs="宋体"/>
          <w:color w:val="auto"/>
          <w:spacing w:val="6"/>
          <w:sz w:val="24"/>
          <w:szCs w:val="22"/>
          <w:highlight w:val="none"/>
          <w:u w:val="none"/>
          <w:lang w:val="en-US" w:eastAsia="zh-CN" w:bidi="ar-SA"/>
        </w:rPr>
        <w:t>人，营业收入为</w:t>
      </w:r>
      <w:r>
        <w:rPr>
          <w:rFonts w:hint="eastAsia" w:ascii="宋体" w:hAnsi="宋体" w:eastAsia="宋体" w:cs="宋体"/>
          <w:color w:val="auto"/>
          <w:spacing w:val="6"/>
          <w:sz w:val="24"/>
          <w:szCs w:val="22"/>
          <w:highlight w:val="none"/>
          <w:u w:val="single"/>
          <w:lang w:val="en-US" w:eastAsia="zh-CN" w:bidi="ar-SA"/>
        </w:rPr>
        <w:t xml:space="preserve">         </w:t>
      </w:r>
      <w:r>
        <w:rPr>
          <w:rFonts w:hint="eastAsia" w:ascii="宋体" w:hAnsi="宋体" w:eastAsia="宋体" w:cs="宋体"/>
          <w:color w:val="auto"/>
          <w:spacing w:val="6"/>
          <w:sz w:val="24"/>
          <w:szCs w:val="22"/>
          <w:highlight w:val="none"/>
          <w:u w:val="none"/>
          <w:lang w:val="en-US" w:eastAsia="zh-CN" w:bidi="ar-SA"/>
        </w:rPr>
        <w:t>万元，资产总额为</w:t>
      </w:r>
      <w:r>
        <w:rPr>
          <w:rFonts w:hint="eastAsia" w:ascii="宋体" w:hAnsi="宋体" w:eastAsia="宋体" w:cs="宋体"/>
          <w:color w:val="auto"/>
          <w:spacing w:val="6"/>
          <w:sz w:val="24"/>
          <w:szCs w:val="22"/>
          <w:highlight w:val="none"/>
          <w:u w:val="single"/>
          <w:lang w:val="en-US" w:eastAsia="zh-CN" w:bidi="ar-SA"/>
        </w:rPr>
        <w:t xml:space="preserve">      </w:t>
      </w:r>
      <w:r>
        <w:rPr>
          <w:rFonts w:hint="eastAsia" w:ascii="宋体" w:hAnsi="宋体" w:eastAsia="宋体" w:cs="宋体"/>
          <w:color w:val="auto"/>
          <w:spacing w:val="6"/>
          <w:sz w:val="24"/>
          <w:szCs w:val="22"/>
          <w:highlight w:val="none"/>
          <w:u w:val="none"/>
          <w:lang w:val="en-US" w:eastAsia="zh-CN" w:bidi="ar-SA"/>
        </w:rPr>
        <w:t>万元，属于</w:t>
      </w:r>
      <w:r>
        <w:rPr>
          <w:rFonts w:hint="eastAsia" w:ascii="宋体" w:hAnsi="宋体" w:eastAsia="宋体" w:cs="宋体"/>
          <w:color w:val="auto"/>
          <w:spacing w:val="6"/>
          <w:sz w:val="24"/>
          <w:szCs w:val="22"/>
          <w:highlight w:val="none"/>
          <w:u w:val="single"/>
          <w:lang w:val="en-US" w:eastAsia="zh-CN" w:bidi="ar-SA"/>
        </w:rPr>
        <w:t>（中型企业、小型企业、微型企业）</w:t>
      </w:r>
      <w:r>
        <w:rPr>
          <w:rFonts w:hint="eastAsia" w:ascii="宋体" w:hAnsi="宋体" w:eastAsia="宋体" w:cs="宋体"/>
          <w:color w:val="auto"/>
          <w:spacing w:val="6"/>
          <w:sz w:val="24"/>
          <w:szCs w:val="22"/>
          <w:highlight w:val="none"/>
          <w:u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504" w:firstLineChars="200"/>
        <w:textAlignment w:val="auto"/>
        <w:rPr>
          <w:rFonts w:hint="eastAsia" w:ascii="宋体" w:hAnsi="宋体" w:eastAsia="宋体" w:cs="宋体"/>
          <w:color w:val="auto"/>
          <w:spacing w:val="6"/>
          <w:sz w:val="24"/>
          <w:szCs w:val="22"/>
          <w:highlight w:val="none"/>
          <w:u w:val="none"/>
          <w:lang w:val="en-US" w:eastAsia="zh-CN" w:bidi="ar-SA"/>
        </w:rPr>
      </w:pPr>
      <w:r>
        <w:rPr>
          <w:rFonts w:hint="eastAsia" w:ascii="宋体" w:hAnsi="宋体" w:eastAsia="宋体" w:cs="宋体"/>
          <w:color w:val="auto"/>
          <w:spacing w:val="6"/>
          <w:sz w:val="24"/>
          <w:szCs w:val="22"/>
          <w:highlight w:val="none"/>
          <w:u w:val="none"/>
          <w:lang w:val="en-US" w:eastAsia="zh-CN" w:bidi="ar-SA"/>
        </w:rPr>
        <w:t>2、</w:t>
      </w:r>
      <w:r>
        <w:rPr>
          <w:rFonts w:hint="eastAsia" w:ascii="宋体" w:hAnsi="宋体" w:eastAsia="宋体" w:cs="宋体"/>
          <w:color w:val="auto"/>
          <w:spacing w:val="6"/>
          <w:sz w:val="24"/>
          <w:szCs w:val="22"/>
          <w:highlight w:val="none"/>
          <w:u w:val="single"/>
          <w:lang w:val="en-US" w:eastAsia="zh-CN" w:bidi="ar-SA"/>
        </w:rPr>
        <w:t>（标的名称）</w:t>
      </w:r>
      <w:r>
        <w:rPr>
          <w:rFonts w:hint="eastAsia" w:ascii="宋体" w:hAnsi="宋体" w:eastAsia="宋体" w:cs="宋体"/>
          <w:color w:val="auto"/>
          <w:spacing w:val="6"/>
          <w:sz w:val="24"/>
          <w:szCs w:val="22"/>
          <w:highlight w:val="none"/>
          <w:u w:val="none"/>
          <w:lang w:val="en-US" w:eastAsia="zh-CN" w:bidi="ar-SA"/>
        </w:rPr>
        <w:t>，属于</w:t>
      </w:r>
      <w:r>
        <w:rPr>
          <w:rFonts w:hint="eastAsia" w:ascii="宋体" w:hAnsi="宋体" w:eastAsia="宋体" w:cs="宋体"/>
          <w:color w:val="auto"/>
          <w:spacing w:val="6"/>
          <w:sz w:val="24"/>
          <w:szCs w:val="22"/>
          <w:highlight w:val="none"/>
          <w:u w:val="single"/>
          <w:lang w:val="en-US" w:eastAsia="zh-CN" w:bidi="ar-SA"/>
        </w:rPr>
        <w:t>（采购文件中明确的所属行业）；</w:t>
      </w:r>
      <w:r>
        <w:rPr>
          <w:rFonts w:hint="eastAsia" w:ascii="宋体" w:hAnsi="宋体" w:eastAsia="宋体" w:cs="宋体"/>
          <w:color w:val="auto"/>
          <w:spacing w:val="6"/>
          <w:sz w:val="24"/>
          <w:szCs w:val="22"/>
          <w:highlight w:val="none"/>
          <w:u w:val="none"/>
          <w:lang w:val="en-US" w:eastAsia="zh-CN" w:bidi="ar-SA"/>
        </w:rPr>
        <w:t>承接企业为</w:t>
      </w:r>
      <w:r>
        <w:rPr>
          <w:rFonts w:hint="eastAsia" w:ascii="宋体" w:hAnsi="宋体" w:eastAsia="宋体" w:cs="宋体"/>
          <w:color w:val="auto"/>
          <w:spacing w:val="6"/>
          <w:sz w:val="24"/>
          <w:szCs w:val="22"/>
          <w:highlight w:val="none"/>
          <w:u w:val="single"/>
          <w:lang w:val="en-US" w:eastAsia="zh-CN" w:bidi="ar-SA"/>
        </w:rPr>
        <w:t>（企业名称）</w:t>
      </w:r>
      <w:r>
        <w:rPr>
          <w:rFonts w:hint="eastAsia" w:ascii="宋体" w:hAnsi="宋体" w:eastAsia="宋体" w:cs="宋体"/>
          <w:color w:val="auto"/>
          <w:spacing w:val="6"/>
          <w:sz w:val="24"/>
          <w:szCs w:val="22"/>
          <w:highlight w:val="none"/>
          <w:u w:val="none"/>
          <w:lang w:val="en-US" w:eastAsia="zh-CN" w:bidi="ar-SA"/>
        </w:rPr>
        <w:t>，从业人员</w:t>
      </w:r>
      <w:r>
        <w:rPr>
          <w:rFonts w:hint="eastAsia" w:ascii="宋体" w:hAnsi="宋体" w:eastAsia="宋体" w:cs="宋体"/>
          <w:color w:val="auto"/>
          <w:spacing w:val="6"/>
          <w:sz w:val="24"/>
          <w:szCs w:val="22"/>
          <w:highlight w:val="none"/>
          <w:u w:val="single"/>
          <w:lang w:val="en-US" w:eastAsia="zh-CN" w:bidi="ar-SA"/>
        </w:rPr>
        <w:t xml:space="preserve">     </w:t>
      </w:r>
      <w:r>
        <w:rPr>
          <w:rFonts w:hint="eastAsia" w:ascii="宋体" w:hAnsi="宋体" w:eastAsia="宋体" w:cs="宋体"/>
          <w:color w:val="auto"/>
          <w:spacing w:val="6"/>
          <w:sz w:val="24"/>
          <w:szCs w:val="22"/>
          <w:highlight w:val="none"/>
          <w:u w:val="none"/>
          <w:lang w:val="en-US" w:eastAsia="zh-CN" w:bidi="ar-SA"/>
        </w:rPr>
        <w:t>人，营业收入为</w:t>
      </w:r>
      <w:r>
        <w:rPr>
          <w:rFonts w:hint="eastAsia" w:ascii="宋体" w:hAnsi="宋体" w:eastAsia="宋体" w:cs="宋体"/>
          <w:color w:val="auto"/>
          <w:spacing w:val="6"/>
          <w:sz w:val="24"/>
          <w:szCs w:val="22"/>
          <w:highlight w:val="none"/>
          <w:u w:val="single"/>
          <w:lang w:val="en-US" w:eastAsia="zh-CN" w:bidi="ar-SA"/>
        </w:rPr>
        <w:t xml:space="preserve">         </w:t>
      </w:r>
      <w:r>
        <w:rPr>
          <w:rFonts w:hint="eastAsia" w:ascii="宋体" w:hAnsi="宋体" w:eastAsia="宋体" w:cs="宋体"/>
          <w:color w:val="auto"/>
          <w:spacing w:val="6"/>
          <w:sz w:val="24"/>
          <w:szCs w:val="22"/>
          <w:highlight w:val="none"/>
          <w:u w:val="none"/>
          <w:lang w:val="en-US" w:eastAsia="zh-CN" w:bidi="ar-SA"/>
        </w:rPr>
        <w:t>万元，资产总额为</w:t>
      </w:r>
      <w:r>
        <w:rPr>
          <w:rFonts w:hint="eastAsia" w:ascii="宋体" w:hAnsi="宋体" w:eastAsia="宋体" w:cs="宋体"/>
          <w:color w:val="auto"/>
          <w:spacing w:val="6"/>
          <w:sz w:val="24"/>
          <w:szCs w:val="22"/>
          <w:highlight w:val="none"/>
          <w:u w:val="single"/>
          <w:lang w:val="en-US" w:eastAsia="zh-CN" w:bidi="ar-SA"/>
        </w:rPr>
        <w:t xml:space="preserve">      </w:t>
      </w:r>
      <w:r>
        <w:rPr>
          <w:rFonts w:hint="eastAsia" w:ascii="宋体" w:hAnsi="宋体" w:eastAsia="宋体" w:cs="宋体"/>
          <w:color w:val="auto"/>
          <w:spacing w:val="6"/>
          <w:sz w:val="24"/>
          <w:szCs w:val="22"/>
          <w:highlight w:val="none"/>
          <w:u w:val="none"/>
          <w:lang w:val="en-US" w:eastAsia="zh-CN" w:bidi="ar-SA"/>
        </w:rPr>
        <w:t>万元，属于</w:t>
      </w:r>
      <w:r>
        <w:rPr>
          <w:rFonts w:hint="eastAsia" w:ascii="宋体" w:hAnsi="宋体" w:eastAsia="宋体" w:cs="宋体"/>
          <w:color w:val="auto"/>
          <w:spacing w:val="6"/>
          <w:sz w:val="24"/>
          <w:szCs w:val="22"/>
          <w:highlight w:val="none"/>
          <w:u w:val="single"/>
          <w:lang w:val="en-US" w:eastAsia="zh-CN" w:bidi="ar-SA"/>
        </w:rPr>
        <w:t>（中型企业、小型企业、微型企业）</w:t>
      </w:r>
      <w:r>
        <w:rPr>
          <w:rFonts w:hint="eastAsia" w:ascii="宋体" w:hAnsi="宋体" w:eastAsia="宋体" w:cs="宋体"/>
          <w:color w:val="auto"/>
          <w:spacing w:val="6"/>
          <w:sz w:val="24"/>
          <w:szCs w:val="22"/>
          <w:highlight w:val="none"/>
          <w:u w:val="none"/>
          <w:lang w:val="en-US" w:eastAsia="zh-CN" w:bidi="ar-SA"/>
        </w:rPr>
        <w:t>；</w:t>
      </w:r>
    </w:p>
    <w:p>
      <w:pPr>
        <w:spacing w:line="360" w:lineRule="auto"/>
        <w:rPr>
          <w:rFonts w:hint="eastAsia"/>
          <w:sz w:val="24"/>
          <w:szCs w:val="24"/>
        </w:rPr>
      </w:pPr>
    </w:p>
    <w:p>
      <w:pPr>
        <w:tabs>
          <w:tab w:val="left" w:pos="5835"/>
        </w:tabs>
        <w:spacing w:line="360" w:lineRule="auto"/>
        <w:ind w:firstLine="600" w:firstLineChars="250"/>
        <w:jc w:val="left"/>
        <w:rPr>
          <w:rFonts w:hint="eastAsia" w:hAnsi="宋体" w:eastAsia="宋体" w:cs="宋体"/>
          <w:sz w:val="24"/>
          <w:szCs w:val="24"/>
          <w:lang w:eastAsia="zh-CN"/>
        </w:rPr>
      </w:pPr>
      <w:r>
        <w:rPr>
          <w:rFonts w:hint="eastAsia" w:hAnsi="宋体" w:cs="宋体"/>
          <w:sz w:val="24"/>
          <w:szCs w:val="24"/>
        </w:rPr>
        <w:t>……</w:t>
      </w:r>
      <w:r>
        <w:rPr>
          <w:rFonts w:hint="eastAsia" w:hAnsi="宋体" w:cs="宋体"/>
          <w:sz w:val="24"/>
          <w:szCs w:val="24"/>
          <w:lang w:eastAsia="zh-CN"/>
        </w:rPr>
        <w:tab/>
      </w:r>
    </w:p>
    <w:p>
      <w:pPr>
        <w:tabs>
          <w:tab w:val="left" w:pos="9639"/>
        </w:tabs>
        <w:spacing w:line="360" w:lineRule="auto"/>
        <w:ind w:firstLine="600" w:firstLineChars="250"/>
        <w:jc w:val="left"/>
        <w:rPr>
          <w:rFonts w:hint="eastAsia" w:hAnsi="宋体" w:cs="宋体"/>
          <w:sz w:val="24"/>
        </w:rPr>
      </w:pPr>
      <w:r>
        <w:rPr>
          <w:rFonts w:hint="eastAsia" w:hAnsi="宋体" w:cs="宋体"/>
          <w:sz w:val="24"/>
        </w:rPr>
        <w:t>以上企业，不属于大企业的分支机构，不存在控股股东为大企业的情形，也不存在与大企业的负责人为同一人的情形。</w:t>
      </w:r>
    </w:p>
    <w:p>
      <w:pPr>
        <w:tabs>
          <w:tab w:val="left" w:pos="9639"/>
        </w:tabs>
        <w:spacing w:line="360" w:lineRule="auto"/>
        <w:ind w:firstLine="600" w:firstLineChars="250"/>
        <w:jc w:val="left"/>
        <w:rPr>
          <w:rFonts w:hint="eastAsia" w:hAnsi="宋体" w:cs="宋体"/>
          <w:sz w:val="24"/>
        </w:rPr>
      </w:pPr>
      <w:r>
        <w:rPr>
          <w:rFonts w:hint="eastAsia" w:hAnsi="宋体" w:cs="宋体"/>
          <w:sz w:val="24"/>
        </w:rPr>
        <w:t>本企业对上述声明内容的真实性负责。如有虚假，将依法承担相应责任。</w:t>
      </w:r>
    </w:p>
    <w:p>
      <w:pPr>
        <w:tabs>
          <w:tab w:val="left" w:pos="9639"/>
        </w:tabs>
        <w:spacing w:line="360" w:lineRule="auto"/>
        <w:jc w:val="center"/>
        <w:rPr>
          <w:rFonts w:hint="eastAsia" w:hAnsi="宋体" w:cs="宋体"/>
          <w:sz w:val="24"/>
        </w:rPr>
      </w:pPr>
      <w:r>
        <w:rPr>
          <w:rFonts w:hint="eastAsia" w:hAnsi="宋体" w:cs="宋体"/>
          <w:sz w:val="24"/>
        </w:rPr>
        <w:t xml:space="preserve">                                 企业名称（盖章）：</w:t>
      </w:r>
    </w:p>
    <w:p>
      <w:pPr>
        <w:tabs>
          <w:tab w:val="left" w:pos="9639"/>
        </w:tabs>
        <w:spacing w:line="360" w:lineRule="auto"/>
        <w:jc w:val="center"/>
        <w:rPr>
          <w:rFonts w:hint="eastAsia" w:hAnsi="宋体" w:cs="宋体"/>
          <w:sz w:val="24"/>
        </w:rPr>
      </w:pPr>
      <w:r>
        <w:rPr>
          <w:rFonts w:hint="eastAsia" w:hAnsi="宋体" w:cs="宋体"/>
          <w:sz w:val="24"/>
        </w:rPr>
        <w:t xml:space="preserve">                        日 期：</w:t>
      </w:r>
    </w:p>
    <w:p>
      <w:pPr>
        <w:tabs>
          <w:tab w:val="left" w:pos="9639"/>
        </w:tabs>
        <w:spacing w:line="360" w:lineRule="auto"/>
        <w:ind w:firstLine="480" w:firstLineChars="200"/>
        <w:jc w:val="left"/>
        <w:rPr>
          <w:rFonts w:hint="eastAsia" w:hAnsi="宋体" w:cs="宋体"/>
          <w:sz w:val="24"/>
        </w:rPr>
      </w:pPr>
      <w:r>
        <w:rPr>
          <w:rFonts w:hint="eastAsia" w:hAnsi="宋体" w:cs="宋体"/>
          <w:sz w:val="24"/>
        </w:rPr>
        <w:t>注：</w:t>
      </w:r>
    </w:p>
    <w:p>
      <w:pPr>
        <w:tabs>
          <w:tab w:val="left" w:pos="9639"/>
        </w:tabs>
        <w:spacing w:line="360" w:lineRule="auto"/>
        <w:ind w:firstLine="480" w:firstLineChars="200"/>
        <w:rPr>
          <w:rFonts w:hint="eastAsia" w:hAnsi="宋体" w:cs="宋体"/>
          <w:sz w:val="24"/>
        </w:rPr>
      </w:pPr>
      <w:r>
        <w:rPr>
          <w:rFonts w:hint="eastAsia" w:hAnsi="宋体" w:cs="宋体"/>
          <w:sz w:val="24"/>
        </w:rPr>
        <w:t>1、投标人符合《工业和信息化部、国家统计局、国家发展和改革委员会、财政部关于印发中小企业划型标准规定的通知》（工信部联企业〔2011〕300号）或《政府采购支持监狱企业发展有关问题的通知》（财库〔2014〕68号）规定的划分标准为中小型企业或监狱企业适用。</w:t>
      </w:r>
    </w:p>
    <w:p>
      <w:pPr>
        <w:tabs>
          <w:tab w:val="left" w:pos="9639"/>
        </w:tabs>
        <w:spacing w:line="360" w:lineRule="auto"/>
        <w:ind w:firstLine="480" w:firstLineChars="200"/>
        <w:rPr>
          <w:rFonts w:hint="eastAsia" w:hAnsi="宋体" w:cs="宋体"/>
          <w:sz w:val="24"/>
        </w:rPr>
      </w:pPr>
      <w:r>
        <w:rPr>
          <w:rFonts w:hint="eastAsia" w:hAnsi="宋体" w:cs="宋体"/>
          <w:sz w:val="24"/>
        </w:rPr>
        <w:t>2、在政府采购活动中，监狱企业视同小型、微型企业，享受预留份额、评审中价格扣除等政府采购促进中小企业发展的政府采购政策。（监狱企业参加政府采购活动时，还应当提供由省级以上监狱管理局、戒毒管理局(含新疆生产建设兵团)出具的属于监狱企业的证明文件。）</w:t>
      </w:r>
    </w:p>
    <w:p>
      <w:pPr>
        <w:tabs>
          <w:tab w:val="left" w:pos="9639"/>
        </w:tabs>
        <w:spacing w:line="360" w:lineRule="auto"/>
        <w:ind w:firstLine="480" w:firstLineChars="200"/>
        <w:rPr>
          <w:rFonts w:hint="eastAsia" w:hAnsi="宋体" w:cs="宋体"/>
          <w:sz w:val="24"/>
        </w:rPr>
      </w:pPr>
      <w:r>
        <w:rPr>
          <w:rFonts w:hint="eastAsia" w:hAnsi="宋体" w:cs="宋体"/>
          <w:sz w:val="24"/>
        </w:rPr>
        <w:t>3、从业人员、营业收入、资产总额填报上一年度数据，无上一年度数据的新成立企业及监狱企业可不填报。</w:t>
      </w:r>
    </w:p>
    <w:p>
      <w:pPr>
        <w:tabs>
          <w:tab w:val="left" w:pos="9639"/>
        </w:tabs>
        <w:spacing w:line="360" w:lineRule="auto"/>
        <w:rPr>
          <w:rFonts w:hint="eastAsia"/>
        </w:rPr>
      </w:pPr>
    </w:p>
    <w:p>
      <w:pPr>
        <w:tabs>
          <w:tab w:val="left" w:pos="9639"/>
        </w:tabs>
        <w:rPr>
          <w:rFonts w:hint="eastAsia"/>
          <w:sz w:val="32"/>
          <w:szCs w:val="32"/>
        </w:rPr>
      </w:pPr>
    </w:p>
    <w:p>
      <w:pPr>
        <w:pStyle w:val="2"/>
        <w:tabs>
          <w:tab w:val="left" w:pos="9639"/>
        </w:tabs>
        <w:jc w:val="center"/>
      </w:pPr>
      <w:r>
        <w:br w:type="page"/>
      </w:r>
      <w:r>
        <w:rPr>
          <w:rFonts w:hint="eastAsia"/>
        </w:rPr>
        <w:t>二、残疾人福利性单位声明函</w:t>
      </w:r>
    </w:p>
    <w:p>
      <w:pPr>
        <w:tabs>
          <w:tab w:val="left" w:pos="9639"/>
        </w:tabs>
        <w:spacing w:line="588" w:lineRule="exact"/>
        <w:rPr>
          <w:rFonts w:ascii="仿宋_GB2312" w:eastAsia="仿宋_GB2312"/>
          <w:b/>
          <w:spacing w:val="6"/>
          <w:sz w:val="30"/>
          <w:szCs w:val="30"/>
        </w:rPr>
      </w:pPr>
    </w:p>
    <w:p>
      <w:pPr>
        <w:tabs>
          <w:tab w:val="left" w:pos="9639"/>
        </w:tabs>
        <w:spacing w:line="400" w:lineRule="exact"/>
        <w:ind w:firstLine="504" w:firstLineChars="200"/>
        <w:rPr>
          <w:rFonts w:hAnsi="宋体"/>
          <w:spacing w:val="6"/>
          <w:sz w:val="24"/>
        </w:rPr>
      </w:pPr>
      <w:r>
        <w:rPr>
          <w:rFonts w:hint="eastAsia" w:hAnsi="宋体"/>
          <w:spacing w:val="6"/>
          <w:sz w:val="24"/>
        </w:rPr>
        <w:t>本单位郑重声明，根据《财政部</w:t>
      </w:r>
      <w:r>
        <w:rPr>
          <w:rFonts w:hAnsi="宋体"/>
          <w:spacing w:val="6"/>
          <w:sz w:val="24"/>
        </w:rPr>
        <w:t xml:space="preserve"> </w:t>
      </w:r>
      <w:r>
        <w:rPr>
          <w:rFonts w:hint="eastAsia" w:hAnsi="宋体"/>
          <w:spacing w:val="6"/>
          <w:sz w:val="24"/>
        </w:rPr>
        <w:t>民政部</w:t>
      </w:r>
      <w:r>
        <w:rPr>
          <w:rFonts w:hAnsi="宋体"/>
          <w:spacing w:val="6"/>
          <w:sz w:val="24"/>
        </w:rPr>
        <w:t xml:space="preserve"> </w:t>
      </w:r>
      <w:r>
        <w:rPr>
          <w:rFonts w:hint="eastAsia" w:hAnsi="宋体"/>
          <w:spacing w:val="6"/>
          <w:sz w:val="24"/>
        </w:rPr>
        <w:t>中国残疾人联合会关于促进残疾人就业政府采购政策的通知》（财库</w:t>
      </w:r>
      <w:r>
        <w:rPr>
          <w:rFonts w:hint="eastAsia" w:hAnsi="宋体"/>
          <w:sz w:val="24"/>
        </w:rPr>
        <w:t>〔</w:t>
      </w:r>
      <w:r>
        <w:rPr>
          <w:rFonts w:hAnsi="宋体"/>
          <w:sz w:val="24"/>
        </w:rPr>
        <w:t>2017</w:t>
      </w:r>
      <w:r>
        <w:rPr>
          <w:rFonts w:hint="eastAsia" w:hAnsi="宋体"/>
          <w:sz w:val="24"/>
        </w:rPr>
        <w:t>〕</w:t>
      </w:r>
      <w:r>
        <w:rPr>
          <w:rFonts w:hAnsi="宋体"/>
          <w:sz w:val="24"/>
        </w:rPr>
        <w:t xml:space="preserve"> 141</w:t>
      </w:r>
      <w:r>
        <w:rPr>
          <w:rFonts w:hint="eastAsia" w:hAnsi="宋体"/>
          <w:spacing w:val="6"/>
          <w:sz w:val="24"/>
        </w:rPr>
        <w:t>号）的规定，本单位为符合条件的残疾人福利性单位，且本单位参加</w:t>
      </w:r>
      <w:r>
        <w:rPr>
          <w:rFonts w:hAnsi="宋体"/>
          <w:spacing w:val="6"/>
          <w:sz w:val="24"/>
        </w:rPr>
        <w:t>______</w:t>
      </w:r>
      <w:r>
        <w:rPr>
          <w:rFonts w:hint="eastAsia" w:hAnsi="宋体"/>
          <w:spacing w:val="6"/>
          <w:sz w:val="24"/>
        </w:rPr>
        <w:t>单位的</w:t>
      </w:r>
      <w:r>
        <w:rPr>
          <w:rFonts w:hAnsi="宋体"/>
          <w:spacing w:val="6"/>
          <w:sz w:val="24"/>
        </w:rPr>
        <w:t>______</w:t>
      </w:r>
      <w:r>
        <w:rPr>
          <w:rFonts w:hint="eastAsia" w:hAnsi="宋体"/>
          <w:spacing w:val="6"/>
          <w:sz w:val="24"/>
        </w:rPr>
        <w:t>项目采购活动提供本单位制造的货物（由本单位承担工程</w:t>
      </w:r>
      <w:r>
        <w:rPr>
          <w:rFonts w:hAnsi="宋体"/>
          <w:spacing w:val="6"/>
          <w:sz w:val="24"/>
        </w:rPr>
        <w:t>/</w:t>
      </w:r>
      <w:r>
        <w:rPr>
          <w:rFonts w:hint="eastAsia" w:hAnsi="宋体"/>
          <w:spacing w:val="6"/>
          <w:sz w:val="24"/>
        </w:rPr>
        <w:t>提供服务），或者提供其他残疾人福利性单位制造的货物（不包括使用非残疾人福利性单位注册商标的货物）。</w:t>
      </w:r>
    </w:p>
    <w:p>
      <w:pPr>
        <w:tabs>
          <w:tab w:val="left" w:pos="9639"/>
        </w:tabs>
        <w:spacing w:line="400" w:lineRule="exact"/>
        <w:ind w:firstLine="504" w:firstLineChars="200"/>
        <w:rPr>
          <w:rFonts w:hAnsi="宋体"/>
          <w:spacing w:val="6"/>
          <w:sz w:val="24"/>
        </w:rPr>
      </w:pPr>
      <w:r>
        <w:rPr>
          <w:rFonts w:hint="eastAsia" w:hAnsi="宋体"/>
          <w:spacing w:val="6"/>
          <w:sz w:val="24"/>
        </w:rPr>
        <w:t>本单位对上述声明的真实性负责。如有虚假，将依法承担相应责任。</w:t>
      </w:r>
    </w:p>
    <w:p>
      <w:pPr>
        <w:widowControl/>
        <w:tabs>
          <w:tab w:val="left" w:pos="9639"/>
        </w:tabs>
        <w:spacing w:line="400" w:lineRule="exact"/>
        <w:jc w:val="left"/>
        <w:rPr>
          <w:rFonts w:hint="eastAsia" w:ascii="ˎ̥" w:hAnsi="ˎ̥" w:cs="宋体"/>
          <w:sz w:val="24"/>
        </w:rPr>
      </w:pPr>
      <w:r>
        <w:rPr>
          <w:rFonts w:hint="eastAsia" w:ascii="ˎ̥" w:hAnsi="ˎ̥" w:cs="宋体"/>
          <w:sz w:val="24"/>
        </w:rPr>
        <w:t>　　</w:t>
      </w:r>
    </w:p>
    <w:p>
      <w:pPr>
        <w:spacing w:line="360" w:lineRule="auto"/>
        <w:jc w:val="left"/>
        <w:rPr>
          <w:rFonts w:hint="eastAsia" w:ascii="宋体" w:hAnsi="宋体" w:cs="宋体"/>
          <w:color w:val="auto"/>
          <w:sz w:val="24"/>
        </w:rPr>
      </w:pPr>
      <w:r>
        <w:rPr>
          <w:rFonts w:hint="eastAsia" w:ascii="宋体" w:hAnsi="宋体" w:cs="宋体"/>
          <w:color w:val="auto"/>
          <w:sz w:val="24"/>
        </w:rPr>
        <w:t>法定代表人/单位负责人或授权代表：</w:t>
      </w:r>
      <w:r>
        <w:rPr>
          <w:rFonts w:hint="eastAsia" w:ascii="宋体" w:hAnsi="宋体" w:cs="宋体"/>
          <w:color w:val="auto"/>
          <w:sz w:val="24"/>
          <w:u w:val="single"/>
        </w:rPr>
        <w:t xml:space="preserve">                 </w:t>
      </w:r>
      <w:r>
        <w:rPr>
          <w:rFonts w:hint="eastAsia" w:ascii="宋体" w:hAnsi="宋体" w:cs="宋体"/>
          <w:color w:val="auto"/>
          <w:sz w:val="24"/>
        </w:rPr>
        <w:t>（签字或加盖个人名章）</w:t>
      </w:r>
    </w:p>
    <w:p>
      <w:pPr>
        <w:spacing w:line="360" w:lineRule="auto"/>
        <w:jc w:val="left"/>
        <w:rPr>
          <w:rFonts w:hint="eastAsia" w:ascii="宋体" w:hAnsi="宋体" w:cs="宋体"/>
          <w:color w:val="auto"/>
          <w:sz w:val="24"/>
        </w:rPr>
      </w:pPr>
      <w:r>
        <w:rPr>
          <w:rFonts w:hint="eastAsia" w:ascii="宋体" w:hAnsi="宋体" w:cs="宋体"/>
          <w:color w:val="auto"/>
          <w:sz w:val="24"/>
        </w:rPr>
        <w:t>供应商名称：</w:t>
      </w:r>
      <w:r>
        <w:rPr>
          <w:rFonts w:hint="eastAsia" w:ascii="宋体" w:hAnsi="宋体" w:cs="宋体"/>
          <w:color w:val="auto"/>
          <w:sz w:val="24"/>
          <w:u w:val="single"/>
        </w:rPr>
        <w:t xml:space="preserve">                      </w:t>
      </w:r>
      <w:r>
        <w:rPr>
          <w:rFonts w:hint="eastAsia" w:ascii="宋体" w:hAnsi="宋体" w:cs="宋体"/>
          <w:color w:val="auto"/>
          <w:sz w:val="24"/>
        </w:rPr>
        <w:t>（单位盖章）</w:t>
      </w:r>
    </w:p>
    <w:p>
      <w:pPr>
        <w:spacing w:line="360" w:lineRule="auto"/>
        <w:rPr>
          <w:rFonts w:hint="eastAsia" w:ascii="宋体" w:hAnsi="宋体" w:cs="宋体"/>
          <w:color w:val="auto"/>
          <w:sz w:val="24"/>
        </w:rPr>
      </w:pPr>
      <w:r>
        <w:rPr>
          <w:rFonts w:hint="eastAsia" w:ascii="宋体" w:hAnsi="宋体" w:cs="宋体"/>
          <w:color w:val="auto"/>
          <w:sz w:val="24"/>
        </w:rPr>
        <w:t>日期：</w:t>
      </w:r>
    </w:p>
    <w:p>
      <w:pPr>
        <w:pStyle w:val="11"/>
        <w:rPr>
          <w:rFonts w:hint="eastAsia" w:hAnsi="宋体"/>
          <w:sz w:val="24"/>
          <w:u w:val="single"/>
        </w:rPr>
      </w:pPr>
    </w:p>
    <w:p>
      <w:pPr>
        <w:rPr>
          <w:rFonts w:hint="eastAsia" w:hAnsi="宋体"/>
          <w:sz w:val="24"/>
          <w:u w:val="single"/>
        </w:rPr>
      </w:pPr>
    </w:p>
    <w:p>
      <w:pPr>
        <w:pStyle w:val="71"/>
        <w:rPr>
          <w:rFonts w:hint="eastAsia" w:hAnsi="宋体"/>
          <w:sz w:val="24"/>
          <w:u w:val="single"/>
        </w:rPr>
      </w:pPr>
    </w:p>
    <w:p>
      <w:pPr>
        <w:pStyle w:val="71"/>
        <w:rPr>
          <w:rFonts w:hint="eastAsia" w:hAnsi="宋体"/>
          <w:sz w:val="24"/>
          <w:u w:val="single"/>
        </w:rPr>
      </w:pPr>
    </w:p>
    <w:p>
      <w:pPr>
        <w:pStyle w:val="71"/>
        <w:rPr>
          <w:rFonts w:hint="eastAsia" w:hAnsi="宋体"/>
          <w:sz w:val="24"/>
          <w:u w:val="single"/>
        </w:rPr>
      </w:pPr>
    </w:p>
    <w:p>
      <w:pPr>
        <w:pStyle w:val="71"/>
        <w:rPr>
          <w:rFonts w:hint="eastAsia" w:hAnsi="宋体"/>
          <w:sz w:val="24"/>
          <w:u w:val="single"/>
        </w:rPr>
      </w:pPr>
    </w:p>
    <w:p>
      <w:pPr>
        <w:pStyle w:val="71"/>
        <w:rPr>
          <w:rFonts w:hint="eastAsia" w:hAnsi="宋体"/>
          <w:sz w:val="24"/>
          <w:u w:val="single"/>
        </w:rPr>
      </w:pPr>
    </w:p>
    <w:p>
      <w:pPr>
        <w:pStyle w:val="71"/>
        <w:rPr>
          <w:rFonts w:hint="eastAsia" w:hAnsi="宋体"/>
          <w:sz w:val="24"/>
          <w:u w:val="single"/>
        </w:rPr>
      </w:pPr>
    </w:p>
    <w:p>
      <w:pPr>
        <w:pStyle w:val="71"/>
        <w:rPr>
          <w:rFonts w:hint="eastAsia" w:hAnsi="宋体"/>
          <w:sz w:val="24"/>
          <w:u w:val="single"/>
        </w:rPr>
      </w:pPr>
    </w:p>
    <w:p>
      <w:pPr>
        <w:pStyle w:val="71"/>
        <w:rPr>
          <w:rFonts w:hint="eastAsia" w:hAnsi="宋体"/>
          <w:sz w:val="24"/>
          <w:u w:val="single"/>
        </w:rPr>
      </w:pPr>
    </w:p>
    <w:p>
      <w:pPr>
        <w:pStyle w:val="71"/>
        <w:rPr>
          <w:rFonts w:hint="eastAsia" w:hAnsi="宋体"/>
          <w:sz w:val="24"/>
          <w:u w:val="single"/>
        </w:rPr>
      </w:pPr>
    </w:p>
    <w:p>
      <w:pPr>
        <w:pStyle w:val="71"/>
        <w:rPr>
          <w:rFonts w:hint="eastAsia" w:hAnsi="宋体"/>
          <w:sz w:val="24"/>
          <w:u w:val="single"/>
        </w:rPr>
      </w:pPr>
    </w:p>
    <w:p>
      <w:pPr>
        <w:pStyle w:val="71"/>
        <w:rPr>
          <w:rFonts w:hint="eastAsia" w:hAnsi="宋体"/>
          <w:sz w:val="24"/>
          <w:u w:val="single"/>
        </w:rPr>
      </w:pPr>
    </w:p>
    <w:p>
      <w:pPr>
        <w:rPr>
          <w:rFonts w:hint="eastAsia" w:hAnsi="宋体"/>
          <w:sz w:val="24"/>
          <w:u w:val="single"/>
        </w:rPr>
      </w:pPr>
    </w:p>
    <w:p>
      <w:pPr>
        <w:pStyle w:val="11"/>
        <w:rPr>
          <w:rFonts w:hint="eastAsia"/>
        </w:rPr>
      </w:pPr>
    </w:p>
    <w:p>
      <w:pPr>
        <w:pStyle w:val="11"/>
        <w:tabs>
          <w:tab w:val="left" w:pos="9639"/>
        </w:tabs>
      </w:pPr>
    </w:p>
    <w:p>
      <w:pPr>
        <w:pStyle w:val="2"/>
        <w:tabs>
          <w:tab w:val="left" w:pos="9639"/>
        </w:tabs>
        <w:jc w:val="center"/>
      </w:pPr>
      <w:bookmarkStart w:id="92" w:name="_Toc508615397"/>
      <w:bookmarkStart w:id="93" w:name="_Toc4639"/>
      <w:r>
        <w:rPr>
          <w:rFonts w:hint="eastAsia"/>
        </w:rPr>
        <w:t>三、监狱企业相关证明材料（如涉及）</w:t>
      </w:r>
      <w:bookmarkEnd w:id="92"/>
      <w:bookmarkEnd w:id="93"/>
    </w:p>
    <w:p>
      <w:pPr>
        <w:tabs>
          <w:tab w:val="left" w:pos="9639"/>
        </w:tabs>
        <w:spacing w:line="400" w:lineRule="exact"/>
        <w:ind w:firstLine="482" w:firstLineChars="200"/>
        <w:rPr>
          <w:rFonts w:hAnsi="宋体" w:cs="宋体"/>
          <w:b/>
          <w:bCs/>
          <w:sz w:val="24"/>
        </w:rPr>
      </w:pPr>
      <w:r>
        <w:rPr>
          <w:rFonts w:hint="eastAsia" w:hAnsi="宋体" w:cs="宋体"/>
          <w:b/>
          <w:bCs/>
          <w:sz w:val="24"/>
        </w:rPr>
        <w:t>说明：</w:t>
      </w:r>
    </w:p>
    <w:p>
      <w:pPr>
        <w:tabs>
          <w:tab w:val="left" w:pos="9639"/>
        </w:tabs>
        <w:spacing w:line="400" w:lineRule="exact"/>
        <w:ind w:firstLine="482" w:firstLineChars="200"/>
        <w:rPr>
          <w:rFonts w:hAnsi="宋体" w:cs="宋体"/>
          <w:b/>
          <w:bCs/>
          <w:sz w:val="24"/>
        </w:rPr>
      </w:pPr>
      <w:r>
        <w:rPr>
          <w:rFonts w:hint="eastAsia" w:hAnsi="宋体" w:cs="宋体"/>
          <w:b/>
          <w:bCs/>
          <w:sz w:val="24"/>
        </w:rPr>
        <w:t>①监狱企业参加政府采购活动时，应当提供由省级以上监狱管理局、戒毒管理局(含新疆生产建设兵团)出具的属于监狱企业的证明文件。</w:t>
      </w:r>
    </w:p>
    <w:p>
      <w:pPr>
        <w:tabs>
          <w:tab w:val="left" w:pos="9639"/>
        </w:tabs>
        <w:spacing w:line="400" w:lineRule="exact"/>
        <w:ind w:firstLine="482" w:firstLineChars="200"/>
        <w:rPr>
          <w:rFonts w:hAnsi="宋体" w:cs="宋体"/>
          <w:b/>
          <w:bCs/>
          <w:sz w:val="24"/>
        </w:rPr>
      </w:pPr>
      <w:r>
        <w:rPr>
          <w:rFonts w:hint="eastAsia" w:hAnsi="宋体" w:cs="宋体"/>
          <w:b/>
          <w:bCs/>
          <w:sz w:val="24"/>
        </w:rPr>
        <w:t>②如未提供监狱企业相关证明材料的，则其磋商中的监狱企业不能享受招标文件规定的价格扣除，但不影响供应商响应文件的有效性。</w:t>
      </w:r>
    </w:p>
    <w:p>
      <w:pPr>
        <w:tabs>
          <w:tab w:val="left" w:pos="9639"/>
        </w:tabs>
        <w:spacing w:line="400" w:lineRule="exact"/>
        <w:ind w:firstLine="482" w:firstLineChars="200"/>
        <w:rPr>
          <w:rFonts w:hint="eastAsia" w:hAnsi="宋体" w:cs="宋体"/>
          <w:b/>
          <w:bCs/>
          <w:sz w:val="24"/>
        </w:rPr>
      </w:pPr>
      <w:r>
        <w:rPr>
          <w:rFonts w:hint="eastAsia" w:hAnsi="宋体" w:cs="宋体"/>
          <w:b/>
          <w:bCs/>
          <w:sz w:val="24"/>
        </w:rPr>
        <w:t>③非监狱企业无需提供证明材料。</w:t>
      </w:r>
    </w:p>
    <w:p>
      <w:pPr>
        <w:tabs>
          <w:tab w:val="left" w:pos="9639"/>
        </w:tabs>
        <w:spacing w:line="400" w:lineRule="exact"/>
        <w:ind w:firstLine="683" w:firstLineChars="200"/>
        <w:rPr>
          <w:rFonts w:hint="eastAsia" w:hAnsi="宋体" w:cs="宋体"/>
          <w:b/>
          <w:bCs/>
        </w:rPr>
      </w:pPr>
    </w:p>
    <w:p>
      <w:pPr>
        <w:spacing w:line="360" w:lineRule="auto"/>
        <w:jc w:val="left"/>
        <w:rPr>
          <w:rFonts w:hint="eastAsia" w:ascii="宋体" w:hAnsi="宋体" w:cs="宋体"/>
          <w:color w:val="auto"/>
          <w:sz w:val="24"/>
        </w:rPr>
      </w:pPr>
      <w:r>
        <w:rPr>
          <w:rFonts w:hint="eastAsia" w:ascii="宋体" w:hAnsi="宋体" w:cs="宋体"/>
          <w:color w:val="auto"/>
          <w:sz w:val="24"/>
        </w:rPr>
        <w:t>法定代表人/单位负责人或授权代表：</w:t>
      </w:r>
      <w:r>
        <w:rPr>
          <w:rFonts w:hint="eastAsia" w:ascii="宋体" w:hAnsi="宋体" w:cs="宋体"/>
          <w:color w:val="auto"/>
          <w:sz w:val="24"/>
          <w:u w:val="single"/>
        </w:rPr>
        <w:t xml:space="preserve">                 </w:t>
      </w:r>
      <w:r>
        <w:rPr>
          <w:rFonts w:hint="eastAsia" w:ascii="宋体" w:hAnsi="宋体" w:cs="宋体"/>
          <w:color w:val="auto"/>
          <w:sz w:val="24"/>
        </w:rPr>
        <w:t>（签字或加盖个人名章）</w:t>
      </w:r>
    </w:p>
    <w:p>
      <w:pPr>
        <w:spacing w:line="360" w:lineRule="auto"/>
        <w:jc w:val="left"/>
        <w:rPr>
          <w:rFonts w:hint="eastAsia" w:ascii="宋体" w:hAnsi="宋体" w:cs="宋体"/>
          <w:color w:val="auto"/>
          <w:sz w:val="24"/>
        </w:rPr>
      </w:pPr>
      <w:r>
        <w:rPr>
          <w:rFonts w:hint="eastAsia" w:ascii="宋体" w:hAnsi="宋体" w:cs="宋体"/>
          <w:color w:val="auto"/>
          <w:sz w:val="24"/>
        </w:rPr>
        <w:t>供应商名称：</w:t>
      </w:r>
      <w:r>
        <w:rPr>
          <w:rFonts w:hint="eastAsia" w:ascii="宋体" w:hAnsi="宋体" w:cs="宋体"/>
          <w:color w:val="auto"/>
          <w:sz w:val="24"/>
          <w:u w:val="single"/>
        </w:rPr>
        <w:t xml:space="preserve">                      </w:t>
      </w:r>
      <w:r>
        <w:rPr>
          <w:rFonts w:hint="eastAsia" w:ascii="宋体" w:hAnsi="宋体" w:cs="宋体"/>
          <w:color w:val="auto"/>
          <w:sz w:val="24"/>
        </w:rPr>
        <w:t>（单位盖章）</w:t>
      </w:r>
    </w:p>
    <w:p>
      <w:pPr>
        <w:spacing w:line="360" w:lineRule="auto"/>
        <w:rPr>
          <w:rFonts w:hint="eastAsia" w:ascii="宋体" w:hAnsi="宋体" w:cs="宋体"/>
          <w:color w:val="auto"/>
          <w:sz w:val="24"/>
        </w:rPr>
      </w:pPr>
      <w:r>
        <w:rPr>
          <w:rFonts w:hint="eastAsia" w:ascii="宋体" w:hAnsi="宋体" w:cs="宋体"/>
          <w:color w:val="auto"/>
          <w:sz w:val="24"/>
        </w:rPr>
        <w:t>日期：</w:t>
      </w:r>
    </w:p>
    <w:p>
      <w:pPr>
        <w:pStyle w:val="11"/>
        <w:tabs>
          <w:tab w:val="left" w:pos="9639"/>
        </w:tabs>
        <w:rPr>
          <w:rFonts w:hint="eastAsia"/>
        </w:rPr>
      </w:pPr>
    </w:p>
    <w:p>
      <w:pPr>
        <w:pStyle w:val="2"/>
        <w:tabs>
          <w:tab w:val="left" w:pos="9639"/>
        </w:tabs>
        <w:jc w:val="center"/>
        <w:rPr>
          <w:rFonts w:hint="eastAsia"/>
        </w:rPr>
      </w:pPr>
      <w:r>
        <w:rPr>
          <w:kern w:val="44"/>
        </w:rPr>
        <w:br w:type="page"/>
      </w:r>
      <w:r>
        <w:rPr>
          <w:rFonts w:hint="eastAsia"/>
        </w:rPr>
        <w:t>四、技术、服务要求应答表</w:t>
      </w:r>
    </w:p>
    <w:p>
      <w:pPr>
        <w:pStyle w:val="21"/>
        <w:pBdr>
          <w:bottom w:val="none" w:color="auto" w:sz="0" w:space="0"/>
        </w:pBdr>
        <w:tabs>
          <w:tab w:val="left" w:pos="9639"/>
          <w:tab w:val="clear" w:pos="4153"/>
          <w:tab w:val="clear" w:pos="8306"/>
        </w:tabs>
        <w:snapToGrid/>
        <w:jc w:val="both"/>
        <w:rPr>
          <w:rFonts w:hint="eastAsia" w:hAnsi="宋体"/>
          <w:sz w:val="24"/>
          <w:szCs w:val="24"/>
        </w:rPr>
      </w:pP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noWrap w:val="0"/>
            <w:vAlign w:val="center"/>
          </w:tcPr>
          <w:p>
            <w:pPr>
              <w:tabs>
                <w:tab w:val="left" w:pos="9639"/>
              </w:tabs>
              <w:jc w:val="center"/>
              <w:rPr>
                <w:rFonts w:hint="eastAsia" w:hAnsi="宋体"/>
                <w:sz w:val="24"/>
              </w:rPr>
            </w:pPr>
            <w:r>
              <w:rPr>
                <w:rFonts w:hint="eastAsia" w:hAnsi="宋体"/>
                <w:sz w:val="24"/>
              </w:rPr>
              <w:t>序号</w:t>
            </w:r>
          </w:p>
        </w:tc>
        <w:tc>
          <w:tcPr>
            <w:tcW w:w="2795" w:type="dxa"/>
            <w:noWrap w:val="0"/>
            <w:vAlign w:val="center"/>
          </w:tcPr>
          <w:p>
            <w:pPr>
              <w:tabs>
                <w:tab w:val="left" w:pos="9639"/>
              </w:tabs>
              <w:jc w:val="center"/>
              <w:rPr>
                <w:rFonts w:hint="eastAsia" w:hAnsi="宋体"/>
                <w:sz w:val="24"/>
              </w:rPr>
            </w:pPr>
            <w:r>
              <w:rPr>
                <w:rFonts w:hint="eastAsia" w:hAnsi="宋体"/>
                <w:sz w:val="24"/>
              </w:rPr>
              <w:t>包号</w:t>
            </w:r>
          </w:p>
        </w:tc>
        <w:tc>
          <w:tcPr>
            <w:tcW w:w="2795" w:type="dxa"/>
            <w:noWrap w:val="0"/>
            <w:vAlign w:val="center"/>
          </w:tcPr>
          <w:p>
            <w:pPr>
              <w:tabs>
                <w:tab w:val="left" w:pos="9639"/>
              </w:tabs>
              <w:jc w:val="center"/>
              <w:rPr>
                <w:rFonts w:hint="eastAsia" w:hAnsi="宋体"/>
                <w:sz w:val="24"/>
              </w:rPr>
            </w:pPr>
            <w:r>
              <w:rPr>
                <w:rFonts w:hint="eastAsia" w:hAnsi="宋体"/>
                <w:sz w:val="24"/>
              </w:rPr>
              <w:t>采购文件要求</w:t>
            </w:r>
          </w:p>
        </w:tc>
        <w:tc>
          <w:tcPr>
            <w:tcW w:w="2795" w:type="dxa"/>
            <w:noWrap w:val="0"/>
            <w:vAlign w:val="center"/>
          </w:tcPr>
          <w:p>
            <w:pPr>
              <w:tabs>
                <w:tab w:val="left" w:pos="9639"/>
              </w:tabs>
              <w:jc w:val="center"/>
              <w:rPr>
                <w:rFonts w:hint="eastAsia" w:hAnsi="宋体"/>
                <w:sz w:val="24"/>
              </w:rPr>
            </w:pPr>
            <w:r>
              <w:rPr>
                <w:rFonts w:hint="eastAsia" w:hAnsi="宋体"/>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noWrap w:val="0"/>
            <w:vAlign w:val="top"/>
          </w:tcPr>
          <w:p>
            <w:pPr>
              <w:tabs>
                <w:tab w:val="left" w:pos="9639"/>
              </w:tabs>
              <w:jc w:val="center"/>
              <w:rPr>
                <w:rFonts w:hint="eastAsia" w:hAnsi="宋体"/>
                <w:sz w:val="24"/>
              </w:rPr>
            </w:pPr>
          </w:p>
        </w:tc>
        <w:tc>
          <w:tcPr>
            <w:tcW w:w="2795" w:type="dxa"/>
            <w:noWrap w:val="0"/>
            <w:vAlign w:val="top"/>
          </w:tcPr>
          <w:p>
            <w:pPr>
              <w:tabs>
                <w:tab w:val="left" w:pos="9639"/>
              </w:tabs>
              <w:jc w:val="center"/>
              <w:rPr>
                <w:rFonts w:hint="eastAsia" w:hAnsi="宋体"/>
                <w:sz w:val="24"/>
              </w:rPr>
            </w:pPr>
          </w:p>
        </w:tc>
        <w:tc>
          <w:tcPr>
            <w:tcW w:w="2795" w:type="dxa"/>
            <w:noWrap w:val="0"/>
            <w:vAlign w:val="top"/>
          </w:tcPr>
          <w:p>
            <w:pPr>
              <w:tabs>
                <w:tab w:val="left" w:pos="9639"/>
              </w:tabs>
              <w:jc w:val="center"/>
              <w:rPr>
                <w:rFonts w:hint="eastAsia" w:hAnsi="宋体"/>
                <w:sz w:val="24"/>
              </w:rPr>
            </w:pPr>
          </w:p>
        </w:tc>
        <w:tc>
          <w:tcPr>
            <w:tcW w:w="2795" w:type="dxa"/>
            <w:noWrap w:val="0"/>
            <w:vAlign w:val="top"/>
          </w:tcPr>
          <w:p>
            <w:pPr>
              <w:tabs>
                <w:tab w:val="left" w:pos="9639"/>
              </w:tabs>
              <w:jc w:val="center"/>
              <w:rPr>
                <w:rFonts w:hint="eastAsia"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noWrap w:val="0"/>
            <w:vAlign w:val="top"/>
          </w:tcPr>
          <w:p>
            <w:pPr>
              <w:tabs>
                <w:tab w:val="left" w:pos="9639"/>
              </w:tabs>
              <w:jc w:val="center"/>
              <w:rPr>
                <w:rFonts w:hint="eastAsia" w:hAnsi="宋体"/>
                <w:sz w:val="24"/>
              </w:rPr>
            </w:pPr>
          </w:p>
        </w:tc>
        <w:tc>
          <w:tcPr>
            <w:tcW w:w="2795" w:type="dxa"/>
            <w:noWrap w:val="0"/>
            <w:vAlign w:val="top"/>
          </w:tcPr>
          <w:p>
            <w:pPr>
              <w:tabs>
                <w:tab w:val="left" w:pos="9639"/>
              </w:tabs>
              <w:jc w:val="center"/>
              <w:rPr>
                <w:rFonts w:hint="eastAsia" w:hAnsi="宋体"/>
                <w:sz w:val="24"/>
              </w:rPr>
            </w:pPr>
          </w:p>
        </w:tc>
        <w:tc>
          <w:tcPr>
            <w:tcW w:w="2795" w:type="dxa"/>
            <w:noWrap w:val="0"/>
            <w:vAlign w:val="top"/>
          </w:tcPr>
          <w:p>
            <w:pPr>
              <w:tabs>
                <w:tab w:val="left" w:pos="9639"/>
              </w:tabs>
              <w:jc w:val="center"/>
              <w:rPr>
                <w:rFonts w:hint="eastAsia" w:hAnsi="宋体"/>
                <w:sz w:val="24"/>
              </w:rPr>
            </w:pPr>
          </w:p>
        </w:tc>
        <w:tc>
          <w:tcPr>
            <w:tcW w:w="2795" w:type="dxa"/>
            <w:noWrap w:val="0"/>
            <w:vAlign w:val="top"/>
          </w:tcPr>
          <w:p>
            <w:pPr>
              <w:tabs>
                <w:tab w:val="left" w:pos="9639"/>
              </w:tabs>
              <w:jc w:val="center"/>
              <w:rPr>
                <w:rFonts w:hint="eastAsia"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noWrap w:val="0"/>
            <w:vAlign w:val="top"/>
          </w:tcPr>
          <w:p>
            <w:pPr>
              <w:tabs>
                <w:tab w:val="left" w:pos="9639"/>
              </w:tabs>
              <w:jc w:val="center"/>
              <w:rPr>
                <w:rFonts w:hint="eastAsia" w:hAnsi="宋体"/>
                <w:sz w:val="24"/>
              </w:rPr>
            </w:pPr>
          </w:p>
        </w:tc>
        <w:tc>
          <w:tcPr>
            <w:tcW w:w="2795" w:type="dxa"/>
            <w:noWrap w:val="0"/>
            <w:vAlign w:val="top"/>
          </w:tcPr>
          <w:p>
            <w:pPr>
              <w:tabs>
                <w:tab w:val="left" w:pos="9639"/>
              </w:tabs>
              <w:jc w:val="center"/>
              <w:rPr>
                <w:rFonts w:hint="eastAsia" w:hAnsi="宋体"/>
                <w:sz w:val="24"/>
              </w:rPr>
            </w:pPr>
          </w:p>
        </w:tc>
        <w:tc>
          <w:tcPr>
            <w:tcW w:w="2795" w:type="dxa"/>
            <w:noWrap w:val="0"/>
            <w:vAlign w:val="top"/>
          </w:tcPr>
          <w:p>
            <w:pPr>
              <w:tabs>
                <w:tab w:val="left" w:pos="9639"/>
              </w:tabs>
              <w:jc w:val="center"/>
              <w:rPr>
                <w:rFonts w:hint="eastAsia" w:hAnsi="宋体"/>
                <w:sz w:val="24"/>
              </w:rPr>
            </w:pPr>
          </w:p>
        </w:tc>
        <w:tc>
          <w:tcPr>
            <w:tcW w:w="2795" w:type="dxa"/>
            <w:noWrap w:val="0"/>
            <w:vAlign w:val="top"/>
          </w:tcPr>
          <w:p>
            <w:pPr>
              <w:tabs>
                <w:tab w:val="left" w:pos="9639"/>
              </w:tabs>
              <w:jc w:val="center"/>
              <w:rPr>
                <w:rFonts w:hint="eastAsia"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noWrap w:val="0"/>
            <w:vAlign w:val="top"/>
          </w:tcPr>
          <w:p>
            <w:pPr>
              <w:tabs>
                <w:tab w:val="left" w:pos="9639"/>
              </w:tabs>
              <w:jc w:val="center"/>
              <w:rPr>
                <w:rFonts w:hint="eastAsia" w:hAnsi="宋体"/>
                <w:sz w:val="24"/>
              </w:rPr>
            </w:pPr>
          </w:p>
        </w:tc>
        <w:tc>
          <w:tcPr>
            <w:tcW w:w="2795" w:type="dxa"/>
            <w:noWrap w:val="0"/>
            <w:vAlign w:val="top"/>
          </w:tcPr>
          <w:p>
            <w:pPr>
              <w:tabs>
                <w:tab w:val="left" w:pos="9639"/>
              </w:tabs>
              <w:jc w:val="center"/>
              <w:rPr>
                <w:rFonts w:hint="eastAsia" w:hAnsi="宋体"/>
                <w:sz w:val="24"/>
              </w:rPr>
            </w:pPr>
          </w:p>
        </w:tc>
        <w:tc>
          <w:tcPr>
            <w:tcW w:w="2795" w:type="dxa"/>
            <w:noWrap w:val="0"/>
            <w:vAlign w:val="top"/>
          </w:tcPr>
          <w:p>
            <w:pPr>
              <w:tabs>
                <w:tab w:val="left" w:pos="9639"/>
              </w:tabs>
              <w:jc w:val="center"/>
              <w:rPr>
                <w:rFonts w:hint="eastAsia" w:hAnsi="宋体"/>
                <w:sz w:val="24"/>
              </w:rPr>
            </w:pPr>
          </w:p>
        </w:tc>
        <w:tc>
          <w:tcPr>
            <w:tcW w:w="2795" w:type="dxa"/>
            <w:noWrap w:val="0"/>
            <w:vAlign w:val="top"/>
          </w:tcPr>
          <w:p>
            <w:pPr>
              <w:tabs>
                <w:tab w:val="left" w:pos="9639"/>
              </w:tabs>
              <w:jc w:val="center"/>
              <w:rPr>
                <w:rFonts w:hint="eastAsia" w:hAnsi="宋体"/>
                <w:sz w:val="24"/>
              </w:rPr>
            </w:pPr>
          </w:p>
        </w:tc>
      </w:tr>
    </w:tbl>
    <w:p>
      <w:pPr>
        <w:tabs>
          <w:tab w:val="left" w:pos="9639"/>
        </w:tabs>
        <w:ind w:firstLine="482" w:firstLineChars="200"/>
        <w:rPr>
          <w:rFonts w:hint="eastAsia" w:hAnsi="宋体"/>
          <w:b/>
          <w:sz w:val="24"/>
        </w:rPr>
      </w:pPr>
    </w:p>
    <w:p>
      <w:pPr>
        <w:tabs>
          <w:tab w:val="left" w:pos="9639"/>
        </w:tabs>
        <w:spacing w:line="360" w:lineRule="auto"/>
        <w:ind w:firstLine="480" w:firstLineChars="200"/>
        <w:rPr>
          <w:rFonts w:hint="eastAsia" w:hAnsi="宋体" w:cs="宋体"/>
          <w:sz w:val="24"/>
        </w:rPr>
      </w:pPr>
      <w:r>
        <w:rPr>
          <w:rFonts w:hint="eastAsia" w:hAnsi="宋体" w:cs="宋体"/>
          <w:sz w:val="24"/>
        </w:rPr>
        <w:t>注：</w:t>
      </w:r>
      <w:r>
        <w:rPr>
          <w:rFonts w:hint="eastAsia" w:hAnsi="宋体" w:cs="宋体"/>
          <w:sz w:val="23"/>
          <w:szCs w:val="23"/>
        </w:rPr>
        <w:t>供应商必须据实填写，不得虚假应答，否则将取消其成交资格。如与采购文件所列商务要求相关条款无偏离，则无须逐条应答。如有偏离条款(包括正偏离和负偏离)，请将偏离条款逐条应答。未明确偏离的条款，视为默认接受，供应商不得以未作应答而拒不接受。</w:t>
      </w:r>
    </w:p>
    <w:p>
      <w:pPr>
        <w:tabs>
          <w:tab w:val="left" w:pos="9639"/>
        </w:tabs>
        <w:adjustRightInd w:val="0"/>
        <w:spacing w:line="400" w:lineRule="exact"/>
        <w:ind w:firstLine="480" w:firstLineChars="200"/>
        <w:jc w:val="left"/>
        <w:rPr>
          <w:rFonts w:hint="eastAsia" w:hAnsi="宋体"/>
          <w:sz w:val="24"/>
        </w:rPr>
      </w:pPr>
    </w:p>
    <w:p>
      <w:pPr>
        <w:spacing w:line="360" w:lineRule="auto"/>
        <w:jc w:val="left"/>
        <w:rPr>
          <w:rFonts w:hint="eastAsia" w:ascii="宋体" w:hAnsi="宋体" w:cs="宋体"/>
          <w:color w:val="auto"/>
          <w:sz w:val="24"/>
        </w:rPr>
      </w:pPr>
      <w:r>
        <w:rPr>
          <w:rFonts w:hint="eastAsia" w:ascii="宋体" w:hAnsi="宋体" w:cs="宋体"/>
          <w:color w:val="auto"/>
          <w:sz w:val="24"/>
        </w:rPr>
        <w:t>法定代表人/单位负责人或授权代表：</w:t>
      </w:r>
      <w:r>
        <w:rPr>
          <w:rFonts w:hint="eastAsia" w:ascii="宋体" w:hAnsi="宋体" w:cs="宋体"/>
          <w:color w:val="auto"/>
          <w:sz w:val="24"/>
          <w:u w:val="single"/>
        </w:rPr>
        <w:t xml:space="preserve">                 </w:t>
      </w:r>
      <w:r>
        <w:rPr>
          <w:rFonts w:hint="eastAsia" w:ascii="宋体" w:hAnsi="宋体" w:cs="宋体"/>
          <w:color w:val="auto"/>
          <w:sz w:val="24"/>
        </w:rPr>
        <w:t>（签字或加盖个人名章）</w:t>
      </w:r>
    </w:p>
    <w:p>
      <w:pPr>
        <w:spacing w:line="360" w:lineRule="auto"/>
        <w:jc w:val="left"/>
        <w:rPr>
          <w:rFonts w:hint="eastAsia" w:ascii="宋体" w:hAnsi="宋体" w:cs="宋体"/>
          <w:color w:val="auto"/>
          <w:sz w:val="24"/>
        </w:rPr>
      </w:pPr>
      <w:r>
        <w:rPr>
          <w:rFonts w:hint="eastAsia" w:ascii="宋体" w:hAnsi="宋体" w:cs="宋体"/>
          <w:color w:val="auto"/>
          <w:sz w:val="24"/>
        </w:rPr>
        <w:t>供应商名称：</w:t>
      </w:r>
      <w:r>
        <w:rPr>
          <w:rFonts w:hint="eastAsia" w:ascii="宋体" w:hAnsi="宋体" w:cs="宋体"/>
          <w:color w:val="auto"/>
          <w:sz w:val="24"/>
          <w:u w:val="single"/>
        </w:rPr>
        <w:t xml:space="preserve">                      </w:t>
      </w:r>
      <w:r>
        <w:rPr>
          <w:rFonts w:hint="eastAsia" w:ascii="宋体" w:hAnsi="宋体" w:cs="宋体"/>
          <w:color w:val="auto"/>
          <w:sz w:val="24"/>
        </w:rPr>
        <w:t>（单位盖章）</w:t>
      </w:r>
    </w:p>
    <w:p>
      <w:pPr>
        <w:spacing w:line="360" w:lineRule="auto"/>
        <w:rPr>
          <w:rFonts w:hint="eastAsia" w:ascii="宋体" w:hAnsi="宋体" w:cs="宋体"/>
          <w:color w:val="auto"/>
          <w:sz w:val="24"/>
        </w:rPr>
      </w:pPr>
      <w:r>
        <w:rPr>
          <w:rFonts w:hint="eastAsia" w:ascii="宋体" w:hAnsi="宋体" w:cs="宋体"/>
          <w:color w:val="auto"/>
          <w:sz w:val="24"/>
        </w:rPr>
        <w:t>日期：</w:t>
      </w:r>
    </w:p>
    <w:p>
      <w:pPr>
        <w:tabs>
          <w:tab w:val="left" w:pos="9639"/>
        </w:tabs>
        <w:spacing w:line="400" w:lineRule="exact"/>
        <w:rPr>
          <w:rFonts w:hint="eastAsia" w:hAnsi="宋体"/>
        </w:rPr>
      </w:pPr>
    </w:p>
    <w:p>
      <w:pPr>
        <w:tabs>
          <w:tab w:val="left" w:pos="9639"/>
        </w:tabs>
        <w:spacing w:line="400" w:lineRule="exact"/>
        <w:rPr>
          <w:rFonts w:hint="eastAsia" w:hAnsi="宋体"/>
        </w:rPr>
      </w:pPr>
    </w:p>
    <w:p>
      <w:pPr>
        <w:tabs>
          <w:tab w:val="left" w:pos="9639"/>
        </w:tabs>
        <w:spacing w:line="400" w:lineRule="exact"/>
        <w:rPr>
          <w:rFonts w:hint="eastAsia" w:hAnsi="宋体"/>
        </w:rPr>
      </w:pPr>
    </w:p>
    <w:p>
      <w:pPr>
        <w:pStyle w:val="18"/>
        <w:tabs>
          <w:tab w:val="left" w:pos="0"/>
          <w:tab w:val="left" w:pos="9639"/>
        </w:tabs>
        <w:spacing w:after="0" w:line="400" w:lineRule="exact"/>
        <w:ind w:left="680"/>
        <w:rPr>
          <w:rFonts w:hint="eastAsia"/>
        </w:rPr>
      </w:pPr>
    </w:p>
    <w:p>
      <w:pPr>
        <w:pStyle w:val="18"/>
        <w:tabs>
          <w:tab w:val="left" w:pos="0"/>
          <w:tab w:val="left" w:pos="9639"/>
        </w:tabs>
        <w:ind w:left="680"/>
        <w:rPr>
          <w:rFonts w:hint="eastAsia"/>
        </w:rPr>
      </w:pPr>
    </w:p>
    <w:p>
      <w:pPr>
        <w:pStyle w:val="18"/>
        <w:tabs>
          <w:tab w:val="left" w:pos="0"/>
          <w:tab w:val="left" w:pos="9639"/>
        </w:tabs>
        <w:ind w:left="680"/>
        <w:rPr>
          <w:rFonts w:hint="eastAsia"/>
        </w:rPr>
      </w:pPr>
    </w:p>
    <w:p>
      <w:pPr>
        <w:pStyle w:val="2"/>
        <w:tabs>
          <w:tab w:val="left" w:pos="9639"/>
        </w:tabs>
        <w:jc w:val="center"/>
        <w:rPr>
          <w:rFonts w:hint="eastAsia"/>
        </w:rPr>
      </w:pPr>
      <w:r>
        <w:rPr>
          <w:rFonts w:hint="eastAsia"/>
        </w:rPr>
        <w:t>五、商务应答表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noWrap w:val="0"/>
            <w:vAlign w:val="center"/>
          </w:tcPr>
          <w:p>
            <w:pPr>
              <w:tabs>
                <w:tab w:val="left" w:pos="9639"/>
              </w:tabs>
              <w:jc w:val="center"/>
              <w:rPr>
                <w:rFonts w:hint="eastAsia" w:hAnsi="宋体"/>
                <w:sz w:val="24"/>
              </w:rPr>
            </w:pPr>
            <w:r>
              <w:rPr>
                <w:rFonts w:hint="eastAsia" w:hAnsi="宋体"/>
                <w:sz w:val="24"/>
              </w:rPr>
              <w:t xml:space="preserve"> 序号</w:t>
            </w:r>
          </w:p>
        </w:tc>
        <w:tc>
          <w:tcPr>
            <w:tcW w:w="2795" w:type="dxa"/>
            <w:noWrap w:val="0"/>
            <w:vAlign w:val="center"/>
          </w:tcPr>
          <w:p>
            <w:pPr>
              <w:tabs>
                <w:tab w:val="left" w:pos="9639"/>
              </w:tabs>
              <w:jc w:val="center"/>
              <w:rPr>
                <w:rFonts w:hint="eastAsia" w:hAnsi="宋体"/>
                <w:sz w:val="24"/>
              </w:rPr>
            </w:pPr>
            <w:r>
              <w:rPr>
                <w:rFonts w:hint="eastAsia" w:hAnsi="宋体"/>
                <w:sz w:val="24"/>
              </w:rPr>
              <w:t>包号</w:t>
            </w:r>
          </w:p>
        </w:tc>
        <w:tc>
          <w:tcPr>
            <w:tcW w:w="2795" w:type="dxa"/>
            <w:noWrap w:val="0"/>
            <w:vAlign w:val="center"/>
          </w:tcPr>
          <w:p>
            <w:pPr>
              <w:tabs>
                <w:tab w:val="left" w:pos="9639"/>
              </w:tabs>
              <w:jc w:val="center"/>
              <w:rPr>
                <w:rFonts w:hint="eastAsia" w:hAnsi="宋体"/>
                <w:sz w:val="24"/>
              </w:rPr>
            </w:pPr>
            <w:r>
              <w:rPr>
                <w:rFonts w:hint="eastAsia" w:hAnsi="宋体"/>
                <w:sz w:val="24"/>
              </w:rPr>
              <w:t>采购文件要求</w:t>
            </w:r>
          </w:p>
        </w:tc>
        <w:tc>
          <w:tcPr>
            <w:tcW w:w="2795" w:type="dxa"/>
            <w:noWrap w:val="0"/>
            <w:vAlign w:val="center"/>
          </w:tcPr>
          <w:p>
            <w:pPr>
              <w:tabs>
                <w:tab w:val="left" w:pos="9639"/>
              </w:tabs>
              <w:jc w:val="center"/>
              <w:rPr>
                <w:rFonts w:hint="eastAsia" w:hAnsi="宋体"/>
                <w:sz w:val="24"/>
              </w:rPr>
            </w:pPr>
            <w:r>
              <w:rPr>
                <w:rFonts w:hint="eastAsia" w:hAnsi="宋体"/>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noWrap w:val="0"/>
            <w:vAlign w:val="top"/>
          </w:tcPr>
          <w:p>
            <w:pPr>
              <w:tabs>
                <w:tab w:val="left" w:pos="9639"/>
              </w:tabs>
              <w:jc w:val="center"/>
              <w:rPr>
                <w:rFonts w:hint="eastAsia" w:hAnsi="宋体"/>
                <w:sz w:val="24"/>
              </w:rPr>
            </w:pPr>
          </w:p>
        </w:tc>
        <w:tc>
          <w:tcPr>
            <w:tcW w:w="2795" w:type="dxa"/>
            <w:noWrap w:val="0"/>
            <w:vAlign w:val="top"/>
          </w:tcPr>
          <w:p>
            <w:pPr>
              <w:tabs>
                <w:tab w:val="left" w:pos="9639"/>
              </w:tabs>
              <w:jc w:val="center"/>
              <w:rPr>
                <w:rFonts w:hint="eastAsia" w:hAnsi="宋体"/>
                <w:sz w:val="24"/>
              </w:rPr>
            </w:pPr>
          </w:p>
        </w:tc>
        <w:tc>
          <w:tcPr>
            <w:tcW w:w="2795" w:type="dxa"/>
            <w:noWrap w:val="0"/>
            <w:vAlign w:val="top"/>
          </w:tcPr>
          <w:p>
            <w:pPr>
              <w:tabs>
                <w:tab w:val="left" w:pos="9639"/>
              </w:tabs>
              <w:jc w:val="center"/>
              <w:rPr>
                <w:rFonts w:hint="eastAsia" w:hAnsi="宋体"/>
                <w:sz w:val="24"/>
              </w:rPr>
            </w:pPr>
          </w:p>
        </w:tc>
        <w:tc>
          <w:tcPr>
            <w:tcW w:w="2795" w:type="dxa"/>
            <w:noWrap w:val="0"/>
            <w:vAlign w:val="top"/>
          </w:tcPr>
          <w:p>
            <w:pPr>
              <w:tabs>
                <w:tab w:val="left" w:pos="9639"/>
              </w:tabs>
              <w:jc w:val="center"/>
              <w:rPr>
                <w:rFonts w:hint="eastAsia"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noWrap w:val="0"/>
            <w:vAlign w:val="top"/>
          </w:tcPr>
          <w:p>
            <w:pPr>
              <w:tabs>
                <w:tab w:val="left" w:pos="9639"/>
              </w:tabs>
              <w:jc w:val="center"/>
              <w:rPr>
                <w:rFonts w:hint="eastAsia" w:hAnsi="宋体"/>
                <w:sz w:val="24"/>
              </w:rPr>
            </w:pPr>
          </w:p>
        </w:tc>
        <w:tc>
          <w:tcPr>
            <w:tcW w:w="2795" w:type="dxa"/>
            <w:noWrap w:val="0"/>
            <w:vAlign w:val="top"/>
          </w:tcPr>
          <w:p>
            <w:pPr>
              <w:tabs>
                <w:tab w:val="left" w:pos="9639"/>
              </w:tabs>
              <w:jc w:val="center"/>
              <w:rPr>
                <w:rFonts w:hint="eastAsia" w:hAnsi="宋体"/>
                <w:sz w:val="24"/>
              </w:rPr>
            </w:pPr>
          </w:p>
        </w:tc>
        <w:tc>
          <w:tcPr>
            <w:tcW w:w="2795" w:type="dxa"/>
            <w:noWrap w:val="0"/>
            <w:vAlign w:val="top"/>
          </w:tcPr>
          <w:p>
            <w:pPr>
              <w:tabs>
                <w:tab w:val="left" w:pos="9639"/>
              </w:tabs>
              <w:jc w:val="center"/>
              <w:rPr>
                <w:rFonts w:hint="eastAsia" w:hAnsi="宋体"/>
                <w:sz w:val="24"/>
              </w:rPr>
            </w:pPr>
          </w:p>
        </w:tc>
        <w:tc>
          <w:tcPr>
            <w:tcW w:w="2795" w:type="dxa"/>
            <w:noWrap w:val="0"/>
            <w:vAlign w:val="top"/>
          </w:tcPr>
          <w:p>
            <w:pPr>
              <w:tabs>
                <w:tab w:val="left" w:pos="9639"/>
              </w:tabs>
              <w:jc w:val="center"/>
              <w:rPr>
                <w:rFonts w:hint="eastAsia"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noWrap w:val="0"/>
            <w:vAlign w:val="top"/>
          </w:tcPr>
          <w:p>
            <w:pPr>
              <w:tabs>
                <w:tab w:val="left" w:pos="9639"/>
              </w:tabs>
              <w:jc w:val="center"/>
              <w:rPr>
                <w:rFonts w:hint="eastAsia" w:hAnsi="宋体"/>
                <w:sz w:val="24"/>
              </w:rPr>
            </w:pPr>
          </w:p>
        </w:tc>
        <w:tc>
          <w:tcPr>
            <w:tcW w:w="2795" w:type="dxa"/>
            <w:noWrap w:val="0"/>
            <w:vAlign w:val="top"/>
          </w:tcPr>
          <w:p>
            <w:pPr>
              <w:tabs>
                <w:tab w:val="left" w:pos="9639"/>
              </w:tabs>
              <w:jc w:val="center"/>
              <w:rPr>
                <w:rFonts w:hint="eastAsia" w:hAnsi="宋体"/>
                <w:sz w:val="24"/>
              </w:rPr>
            </w:pPr>
          </w:p>
        </w:tc>
        <w:tc>
          <w:tcPr>
            <w:tcW w:w="2795" w:type="dxa"/>
            <w:noWrap w:val="0"/>
            <w:vAlign w:val="top"/>
          </w:tcPr>
          <w:p>
            <w:pPr>
              <w:tabs>
                <w:tab w:val="left" w:pos="9639"/>
              </w:tabs>
              <w:jc w:val="center"/>
              <w:rPr>
                <w:rFonts w:hint="eastAsia" w:hAnsi="宋体"/>
                <w:sz w:val="24"/>
              </w:rPr>
            </w:pPr>
          </w:p>
        </w:tc>
        <w:tc>
          <w:tcPr>
            <w:tcW w:w="2795" w:type="dxa"/>
            <w:noWrap w:val="0"/>
            <w:vAlign w:val="top"/>
          </w:tcPr>
          <w:p>
            <w:pPr>
              <w:tabs>
                <w:tab w:val="left" w:pos="9639"/>
              </w:tabs>
              <w:jc w:val="center"/>
              <w:rPr>
                <w:rFonts w:hint="eastAsia"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noWrap w:val="0"/>
            <w:vAlign w:val="top"/>
          </w:tcPr>
          <w:p>
            <w:pPr>
              <w:tabs>
                <w:tab w:val="left" w:pos="9639"/>
              </w:tabs>
              <w:jc w:val="center"/>
              <w:rPr>
                <w:rFonts w:hint="eastAsia" w:hAnsi="宋体"/>
                <w:sz w:val="24"/>
              </w:rPr>
            </w:pPr>
          </w:p>
        </w:tc>
        <w:tc>
          <w:tcPr>
            <w:tcW w:w="2795" w:type="dxa"/>
            <w:noWrap w:val="0"/>
            <w:vAlign w:val="top"/>
          </w:tcPr>
          <w:p>
            <w:pPr>
              <w:tabs>
                <w:tab w:val="left" w:pos="9639"/>
              </w:tabs>
              <w:jc w:val="center"/>
              <w:rPr>
                <w:rFonts w:hint="eastAsia" w:hAnsi="宋体"/>
                <w:sz w:val="24"/>
              </w:rPr>
            </w:pPr>
          </w:p>
        </w:tc>
        <w:tc>
          <w:tcPr>
            <w:tcW w:w="2795" w:type="dxa"/>
            <w:noWrap w:val="0"/>
            <w:vAlign w:val="top"/>
          </w:tcPr>
          <w:p>
            <w:pPr>
              <w:tabs>
                <w:tab w:val="left" w:pos="9639"/>
              </w:tabs>
              <w:jc w:val="center"/>
              <w:rPr>
                <w:rFonts w:hint="eastAsia" w:hAnsi="宋体"/>
                <w:sz w:val="24"/>
              </w:rPr>
            </w:pPr>
          </w:p>
        </w:tc>
        <w:tc>
          <w:tcPr>
            <w:tcW w:w="2795" w:type="dxa"/>
            <w:noWrap w:val="0"/>
            <w:vAlign w:val="top"/>
          </w:tcPr>
          <w:p>
            <w:pPr>
              <w:tabs>
                <w:tab w:val="left" w:pos="9639"/>
              </w:tabs>
              <w:jc w:val="center"/>
              <w:rPr>
                <w:rFonts w:hint="eastAsia" w:hAnsi="宋体"/>
                <w:sz w:val="24"/>
              </w:rPr>
            </w:pPr>
          </w:p>
        </w:tc>
      </w:tr>
    </w:tbl>
    <w:p>
      <w:pPr>
        <w:tabs>
          <w:tab w:val="left" w:pos="9639"/>
        </w:tabs>
        <w:ind w:firstLine="482" w:firstLineChars="200"/>
        <w:rPr>
          <w:rFonts w:hint="eastAsia" w:hAnsi="宋体"/>
          <w:b/>
          <w:sz w:val="24"/>
        </w:rPr>
      </w:pPr>
    </w:p>
    <w:p>
      <w:pPr>
        <w:tabs>
          <w:tab w:val="left" w:pos="9639"/>
        </w:tabs>
        <w:spacing w:line="360" w:lineRule="auto"/>
        <w:ind w:firstLine="480" w:firstLineChars="200"/>
        <w:rPr>
          <w:rFonts w:hint="eastAsia" w:hAnsi="宋体" w:cs="宋体"/>
          <w:sz w:val="24"/>
        </w:rPr>
      </w:pPr>
      <w:r>
        <w:rPr>
          <w:rFonts w:hint="eastAsia" w:hAnsi="宋体" w:cs="宋体"/>
          <w:sz w:val="24"/>
        </w:rPr>
        <w:t>注：</w:t>
      </w:r>
      <w:r>
        <w:rPr>
          <w:rFonts w:hint="eastAsia" w:hAnsi="宋体" w:cs="宋体"/>
          <w:sz w:val="23"/>
          <w:szCs w:val="23"/>
        </w:rPr>
        <w:t>供应商必须据实填写，不得虚假应答，否则将取消其成交资格。如与采购文件所列商务要求相关条款无偏离，则无须逐条应答。如有偏离条款(包括正偏离和负偏离)，请将偏离条款逐条应答。未明确偏离的条款，视为默认接受，供应商不得以未作应答而拒不接受。</w:t>
      </w:r>
    </w:p>
    <w:p>
      <w:pPr>
        <w:tabs>
          <w:tab w:val="left" w:pos="9639"/>
        </w:tabs>
        <w:adjustRightInd w:val="0"/>
        <w:spacing w:line="400" w:lineRule="exact"/>
        <w:ind w:firstLine="480" w:firstLineChars="200"/>
        <w:jc w:val="left"/>
        <w:rPr>
          <w:rFonts w:hint="eastAsia" w:hAnsi="宋体"/>
          <w:sz w:val="24"/>
        </w:rPr>
      </w:pPr>
    </w:p>
    <w:p>
      <w:pPr>
        <w:spacing w:line="360" w:lineRule="auto"/>
        <w:jc w:val="left"/>
        <w:rPr>
          <w:rFonts w:hint="eastAsia" w:ascii="宋体" w:hAnsi="宋体" w:cs="宋体"/>
          <w:color w:val="auto"/>
          <w:sz w:val="24"/>
        </w:rPr>
      </w:pPr>
      <w:r>
        <w:rPr>
          <w:rFonts w:hint="eastAsia" w:ascii="宋体" w:hAnsi="宋体" w:cs="宋体"/>
          <w:color w:val="auto"/>
          <w:sz w:val="24"/>
        </w:rPr>
        <w:t>法定代表人/单位负责人或授权代表：</w:t>
      </w:r>
      <w:r>
        <w:rPr>
          <w:rFonts w:hint="eastAsia" w:ascii="宋体" w:hAnsi="宋体" w:cs="宋体"/>
          <w:color w:val="auto"/>
          <w:sz w:val="24"/>
          <w:u w:val="single"/>
        </w:rPr>
        <w:t xml:space="preserve">                 </w:t>
      </w:r>
      <w:r>
        <w:rPr>
          <w:rFonts w:hint="eastAsia" w:ascii="宋体" w:hAnsi="宋体" w:cs="宋体"/>
          <w:color w:val="auto"/>
          <w:sz w:val="24"/>
        </w:rPr>
        <w:t>（签字或加盖个人名章）</w:t>
      </w:r>
    </w:p>
    <w:p>
      <w:pPr>
        <w:spacing w:line="360" w:lineRule="auto"/>
        <w:jc w:val="left"/>
        <w:rPr>
          <w:rFonts w:hint="eastAsia" w:ascii="宋体" w:hAnsi="宋体" w:cs="宋体"/>
          <w:color w:val="auto"/>
          <w:sz w:val="24"/>
        </w:rPr>
      </w:pPr>
      <w:r>
        <w:rPr>
          <w:rFonts w:hint="eastAsia" w:ascii="宋体" w:hAnsi="宋体" w:cs="宋体"/>
          <w:color w:val="auto"/>
          <w:sz w:val="24"/>
        </w:rPr>
        <w:t>供应商名称：</w:t>
      </w:r>
      <w:r>
        <w:rPr>
          <w:rFonts w:hint="eastAsia" w:ascii="宋体" w:hAnsi="宋体" w:cs="宋体"/>
          <w:color w:val="auto"/>
          <w:sz w:val="24"/>
          <w:u w:val="single"/>
        </w:rPr>
        <w:t xml:space="preserve">                      </w:t>
      </w:r>
      <w:r>
        <w:rPr>
          <w:rFonts w:hint="eastAsia" w:ascii="宋体" w:hAnsi="宋体" w:cs="宋体"/>
          <w:color w:val="auto"/>
          <w:sz w:val="24"/>
        </w:rPr>
        <w:t>（单位盖章）</w:t>
      </w:r>
    </w:p>
    <w:p>
      <w:pPr>
        <w:spacing w:line="360" w:lineRule="auto"/>
        <w:rPr>
          <w:rFonts w:hint="eastAsia" w:ascii="宋体" w:hAnsi="宋体" w:cs="宋体"/>
          <w:color w:val="auto"/>
          <w:sz w:val="24"/>
        </w:rPr>
      </w:pPr>
      <w:r>
        <w:rPr>
          <w:rFonts w:hint="eastAsia" w:ascii="宋体" w:hAnsi="宋体" w:cs="宋体"/>
          <w:color w:val="auto"/>
          <w:sz w:val="24"/>
        </w:rPr>
        <w:t>日期：</w:t>
      </w:r>
    </w:p>
    <w:p>
      <w:pPr>
        <w:pStyle w:val="2"/>
        <w:tabs>
          <w:tab w:val="left" w:pos="9639"/>
        </w:tabs>
        <w:jc w:val="center"/>
        <w:rPr>
          <w:rFonts w:hint="eastAsia"/>
        </w:rPr>
      </w:pPr>
      <w:r>
        <w:br w:type="page"/>
      </w:r>
      <w:r>
        <w:rPr>
          <w:rFonts w:hint="eastAsia"/>
        </w:rPr>
        <w:t>六、供应商类似项目业绩一览表</w:t>
      </w:r>
    </w:p>
    <w:p>
      <w:pPr>
        <w:tabs>
          <w:tab w:val="left" w:pos="9639"/>
        </w:tabs>
        <w:spacing w:line="400" w:lineRule="exact"/>
        <w:rPr>
          <w:rFonts w:hint="eastAsia" w:hAnsi="宋体" w:cs="Arial"/>
          <w:sz w:val="24"/>
        </w:rPr>
      </w:pP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900"/>
        <w:gridCol w:w="1650"/>
        <w:gridCol w:w="862"/>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noWrap w:val="0"/>
            <w:vAlign w:val="center"/>
          </w:tcPr>
          <w:p>
            <w:pPr>
              <w:tabs>
                <w:tab w:val="left" w:pos="9639"/>
              </w:tabs>
              <w:spacing w:line="400" w:lineRule="exact"/>
              <w:ind w:firstLine="120" w:firstLineChars="50"/>
              <w:jc w:val="center"/>
              <w:rPr>
                <w:rFonts w:hint="eastAsia" w:hAnsi="宋体" w:cs="Arial"/>
                <w:b/>
                <w:sz w:val="24"/>
                <w:szCs w:val="24"/>
              </w:rPr>
            </w:pPr>
            <w:r>
              <w:rPr>
                <w:rFonts w:hint="eastAsia" w:hAnsi="宋体" w:cs="Arial"/>
                <w:b/>
                <w:sz w:val="24"/>
                <w:szCs w:val="24"/>
              </w:rPr>
              <w:t>年份</w:t>
            </w:r>
          </w:p>
        </w:tc>
        <w:tc>
          <w:tcPr>
            <w:tcW w:w="1439" w:type="dxa"/>
            <w:noWrap w:val="0"/>
            <w:vAlign w:val="center"/>
          </w:tcPr>
          <w:p>
            <w:pPr>
              <w:tabs>
                <w:tab w:val="left" w:pos="9639"/>
              </w:tabs>
              <w:spacing w:line="400" w:lineRule="exact"/>
              <w:jc w:val="center"/>
              <w:rPr>
                <w:rFonts w:hint="eastAsia" w:hAnsi="宋体" w:cs="Arial"/>
                <w:b/>
                <w:sz w:val="24"/>
                <w:szCs w:val="24"/>
              </w:rPr>
            </w:pPr>
            <w:r>
              <w:rPr>
                <w:rFonts w:hint="eastAsia" w:hAnsi="宋体" w:cs="Arial"/>
                <w:b/>
                <w:sz w:val="24"/>
                <w:szCs w:val="24"/>
              </w:rPr>
              <w:t>用户名称</w:t>
            </w:r>
          </w:p>
        </w:tc>
        <w:tc>
          <w:tcPr>
            <w:tcW w:w="1319" w:type="dxa"/>
            <w:noWrap w:val="0"/>
            <w:vAlign w:val="center"/>
          </w:tcPr>
          <w:p>
            <w:pPr>
              <w:tabs>
                <w:tab w:val="left" w:pos="9639"/>
              </w:tabs>
              <w:spacing w:line="400" w:lineRule="exact"/>
              <w:jc w:val="center"/>
              <w:rPr>
                <w:rFonts w:hAnsi="宋体" w:cs="Arial"/>
                <w:b/>
                <w:sz w:val="24"/>
                <w:szCs w:val="24"/>
              </w:rPr>
            </w:pPr>
            <w:r>
              <w:rPr>
                <w:rFonts w:hAnsi="宋体" w:cs="Arial"/>
                <w:b/>
                <w:sz w:val="24"/>
                <w:szCs w:val="24"/>
              </w:rPr>
              <w:t>项目名称</w:t>
            </w:r>
          </w:p>
        </w:tc>
        <w:tc>
          <w:tcPr>
            <w:tcW w:w="1160" w:type="dxa"/>
            <w:noWrap w:val="0"/>
            <w:vAlign w:val="center"/>
          </w:tcPr>
          <w:p>
            <w:pPr>
              <w:tabs>
                <w:tab w:val="left" w:pos="9639"/>
              </w:tabs>
              <w:spacing w:line="400" w:lineRule="exact"/>
              <w:jc w:val="center"/>
              <w:rPr>
                <w:rFonts w:hint="eastAsia" w:hAnsi="宋体" w:cs="Arial"/>
                <w:b/>
                <w:sz w:val="24"/>
                <w:szCs w:val="24"/>
              </w:rPr>
            </w:pPr>
            <w:r>
              <w:rPr>
                <w:rFonts w:hint="eastAsia" w:hAnsi="宋体" w:cs="Arial"/>
                <w:b/>
                <w:sz w:val="24"/>
                <w:szCs w:val="24"/>
              </w:rPr>
              <w:t>合同签订时间</w:t>
            </w:r>
          </w:p>
        </w:tc>
        <w:tc>
          <w:tcPr>
            <w:tcW w:w="1900" w:type="dxa"/>
            <w:noWrap w:val="0"/>
            <w:vAlign w:val="center"/>
          </w:tcPr>
          <w:p>
            <w:pPr>
              <w:tabs>
                <w:tab w:val="left" w:pos="9639"/>
              </w:tabs>
              <w:spacing w:line="400" w:lineRule="exact"/>
              <w:ind w:firstLine="120" w:firstLineChars="50"/>
              <w:jc w:val="center"/>
              <w:rPr>
                <w:rFonts w:hint="eastAsia" w:hAnsi="宋体" w:cs="Arial"/>
                <w:b/>
                <w:sz w:val="24"/>
                <w:szCs w:val="24"/>
              </w:rPr>
            </w:pPr>
            <w:r>
              <w:rPr>
                <w:rFonts w:hAnsi="宋体" w:cs="Arial"/>
                <w:b/>
                <w:sz w:val="24"/>
                <w:szCs w:val="24"/>
              </w:rPr>
              <w:t>合同金额</w:t>
            </w:r>
          </w:p>
        </w:tc>
        <w:tc>
          <w:tcPr>
            <w:tcW w:w="1650" w:type="dxa"/>
            <w:tcBorders>
              <w:right w:val="single" w:color="auto" w:sz="4" w:space="0"/>
            </w:tcBorders>
            <w:noWrap w:val="0"/>
            <w:vAlign w:val="center"/>
          </w:tcPr>
          <w:p>
            <w:pPr>
              <w:tabs>
                <w:tab w:val="left" w:pos="9639"/>
              </w:tabs>
              <w:spacing w:line="400" w:lineRule="exact"/>
              <w:jc w:val="center"/>
              <w:rPr>
                <w:rFonts w:hint="eastAsia" w:hAnsi="宋体" w:cs="Arial"/>
                <w:b/>
                <w:sz w:val="24"/>
                <w:szCs w:val="24"/>
              </w:rPr>
            </w:pPr>
            <w:r>
              <w:rPr>
                <w:rFonts w:hint="eastAsia" w:hAnsi="宋体" w:cs="Arial"/>
                <w:b/>
                <w:sz w:val="24"/>
                <w:szCs w:val="24"/>
              </w:rPr>
              <w:t>履约情况</w:t>
            </w:r>
          </w:p>
        </w:tc>
        <w:tc>
          <w:tcPr>
            <w:tcW w:w="872" w:type="dxa"/>
            <w:gridSpan w:val="2"/>
            <w:tcBorders>
              <w:left w:val="single" w:color="auto" w:sz="4" w:space="0"/>
            </w:tcBorders>
            <w:noWrap w:val="0"/>
            <w:vAlign w:val="center"/>
          </w:tcPr>
          <w:p>
            <w:pPr>
              <w:tabs>
                <w:tab w:val="left" w:pos="9639"/>
              </w:tabs>
              <w:spacing w:line="400" w:lineRule="exact"/>
              <w:jc w:val="center"/>
              <w:rPr>
                <w:rFonts w:hint="eastAsia" w:hAnsi="宋体" w:cs="Arial"/>
                <w:b/>
                <w:sz w:val="24"/>
                <w:szCs w:val="24"/>
              </w:rPr>
            </w:pPr>
            <w:r>
              <w:rPr>
                <w:rFonts w:hint="eastAsia" w:hAnsi="宋体" w:cs="Arial"/>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noWrap w:val="0"/>
            <w:vAlign w:val="center"/>
          </w:tcPr>
          <w:p>
            <w:pPr>
              <w:tabs>
                <w:tab w:val="left" w:pos="9639"/>
              </w:tabs>
              <w:spacing w:line="400" w:lineRule="exact"/>
              <w:jc w:val="center"/>
              <w:rPr>
                <w:rFonts w:hAnsi="宋体" w:cs="Arial"/>
                <w:sz w:val="24"/>
                <w:szCs w:val="24"/>
              </w:rPr>
            </w:pPr>
          </w:p>
        </w:tc>
        <w:tc>
          <w:tcPr>
            <w:tcW w:w="1439" w:type="dxa"/>
            <w:noWrap w:val="0"/>
            <w:vAlign w:val="center"/>
          </w:tcPr>
          <w:p>
            <w:pPr>
              <w:tabs>
                <w:tab w:val="left" w:pos="9639"/>
              </w:tabs>
              <w:spacing w:line="400" w:lineRule="exact"/>
              <w:jc w:val="center"/>
              <w:rPr>
                <w:rFonts w:hAnsi="宋体" w:cs="Arial"/>
                <w:sz w:val="24"/>
                <w:szCs w:val="24"/>
              </w:rPr>
            </w:pPr>
          </w:p>
        </w:tc>
        <w:tc>
          <w:tcPr>
            <w:tcW w:w="1319" w:type="dxa"/>
            <w:noWrap w:val="0"/>
            <w:vAlign w:val="center"/>
          </w:tcPr>
          <w:p>
            <w:pPr>
              <w:tabs>
                <w:tab w:val="left" w:pos="9639"/>
              </w:tabs>
              <w:spacing w:line="400" w:lineRule="exact"/>
              <w:jc w:val="center"/>
              <w:rPr>
                <w:rFonts w:hAnsi="宋体" w:cs="Arial"/>
                <w:sz w:val="24"/>
                <w:szCs w:val="24"/>
              </w:rPr>
            </w:pPr>
          </w:p>
        </w:tc>
        <w:tc>
          <w:tcPr>
            <w:tcW w:w="1160" w:type="dxa"/>
            <w:noWrap w:val="0"/>
            <w:vAlign w:val="center"/>
          </w:tcPr>
          <w:p>
            <w:pPr>
              <w:tabs>
                <w:tab w:val="left" w:pos="9639"/>
              </w:tabs>
              <w:spacing w:line="400" w:lineRule="exact"/>
              <w:jc w:val="center"/>
              <w:rPr>
                <w:rFonts w:hAnsi="宋体" w:cs="Arial"/>
                <w:sz w:val="24"/>
                <w:szCs w:val="24"/>
              </w:rPr>
            </w:pPr>
          </w:p>
        </w:tc>
        <w:tc>
          <w:tcPr>
            <w:tcW w:w="1900" w:type="dxa"/>
            <w:noWrap w:val="0"/>
            <w:vAlign w:val="center"/>
          </w:tcPr>
          <w:p>
            <w:pPr>
              <w:tabs>
                <w:tab w:val="left" w:pos="9639"/>
              </w:tabs>
              <w:spacing w:line="400" w:lineRule="exact"/>
              <w:jc w:val="center"/>
              <w:rPr>
                <w:rFonts w:hAnsi="宋体" w:cs="Arial"/>
                <w:sz w:val="24"/>
                <w:szCs w:val="24"/>
              </w:rPr>
            </w:pPr>
          </w:p>
        </w:tc>
        <w:tc>
          <w:tcPr>
            <w:tcW w:w="1650" w:type="dxa"/>
            <w:tcBorders>
              <w:right w:val="single" w:color="auto" w:sz="4" w:space="0"/>
            </w:tcBorders>
            <w:noWrap w:val="0"/>
            <w:vAlign w:val="center"/>
          </w:tcPr>
          <w:p>
            <w:pPr>
              <w:tabs>
                <w:tab w:val="left" w:pos="9639"/>
              </w:tabs>
              <w:spacing w:line="400" w:lineRule="exact"/>
              <w:jc w:val="center"/>
              <w:rPr>
                <w:rFonts w:hAnsi="宋体" w:cs="Arial"/>
                <w:sz w:val="24"/>
                <w:szCs w:val="24"/>
              </w:rPr>
            </w:pPr>
          </w:p>
        </w:tc>
        <w:tc>
          <w:tcPr>
            <w:tcW w:w="872" w:type="dxa"/>
            <w:gridSpan w:val="2"/>
            <w:tcBorders>
              <w:left w:val="single" w:color="auto" w:sz="4" w:space="0"/>
            </w:tcBorders>
            <w:noWrap w:val="0"/>
            <w:vAlign w:val="center"/>
          </w:tcPr>
          <w:p>
            <w:pPr>
              <w:tabs>
                <w:tab w:val="left" w:pos="9639"/>
              </w:tabs>
              <w:spacing w:line="400" w:lineRule="exact"/>
              <w:jc w:val="center"/>
              <w:rPr>
                <w:rFonts w:hAnsi="宋体"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noWrap w:val="0"/>
            <w:vAlign w:val="center"/>
          </w:tcPr>
          <w:p>
            <w:pPr>
              <w:tabs>
                <w:tab w:val="left" w:pos="9639"/>
              </w:tabs>
              <w:spacing w:line="400" w:lineRule="exact"/>
              <w:jc w:val="center"/>
              <w:rPr>
                <w:rFonts w:hAnsi="宋体" w:cs="Arial"/>
                <w:sz w:val="24"/>
                <w:szCs w:val="24"/>
              </w:rPr>
            </w:pPr>
          </w:p>
        </w:tc>
        <w:tc>
          <w:tcPr>
            <w:tcW w:w="1439" w:type="dxa"/>
            <w:noWrap w:val="0"/>
            <w:vAlign w:val="center"/>
          </w:tcPr>
          <w:p>
            <w:pPr>
              <w:tabs>
                <w:tab w:val="left" w:pos="9639"/>
              </w:tabs>
              <w:spacing w:line="400" w:lineRule="exact"/>
              <w:jc w:val="center"/>
              <w:rPr>
                <w:rFonts w:hAnsi="宋体" w:cs="Arial"/>
                <w:sz w:val="24"/>
                <w:szCs w:val="24"/>
              </w:rPr>
            </w:pPr>
          </w:p>
        </w:tc>
        <w:tc>
          <w:tcPr>
            <w:tcW w:w="1319" w:type="dxa"/>
            <w:noWrap w:val="0"/>
            <w:vAlign w:val="center"/>
          </w:tcPr>
          <w:p>
            <w:pPr>
              <w:tabs>
                <w:tab w:val="left" w:pos="9639"/>
              </w:tabs>
              <w:spacing w:line="400" w:lineRule="exact"/>
              <w:jc w:val="center"/>
              <w:rPr>
                <w:rFonts w:hAnsi="宋体" w:cs="Arial"/>
                <w:sz w:val="24"/>
                <w:szCs w:val="24"/>
              </w:rPr>
            </w:pPr>
          </w:p>
        </w:tc>
        <w:tc>
          <w:tcPr>
            <w:tcW w:w="1160" w:type="dxa"/>
            <w:noWrap w:val="0"/>
            <w:vAlign w:val="center"/>
          </w:tcPr>
          <w:p>
            <w:pPr>
              <w:tabs>
                <w:tab w:val="left" w:pos="9639"/>
              </w:tabs>
              <w:spacing w:line="400" w:lineRule="exact"/>
              <w:jc w:val="center"/>
              <w:rPr>
                <w:rFonts w:hAnsi="宋体" w:cs="Arial"/>
                <w:sz w:val="24"/>
                <w:szCs w:val="24"/>
              </w:rPr>
            </w:pPr>
          </w:p>
        </w:tc>
        <w:tc>
          <w:tcPr>
            <w:tcW w:w="1900" w:type="dxa"/>
            <w:noWrap w:val="0"/>
            <w:vAlign w:val="center"/>
          </w:tcPr>
          <w:p>
            <w:pPr>
              <w:tabs>
                <w:tab w:val="left" w:pos="9639"/>
              </w:tabs>
              <w:spacing w:line="400" w:lineRule="exact"/>
              <w:jc w:val="center"/>
              <w:rPr>
                <w:rFonts w:hAnsi="宋体" w:cs="Arial"/>
                <w:sz w:val="24"/>
                <w:szCs w:val="24"/>
              </w:rPr>
            </w:pPr>
          </w:p>
        </w:tc>
        <w:tc>
          <w:tcPr>
            <w:tcW w:w="1650" w:type="dxa"/>
            <w:tcBorders>
              <w:right w:val="single" w:color="auto" w:sz="4" w:space="0"/>
            </w:tcBorders>
            <w:noWrap w:val="0"/>
            <w:vAlign w:val="center"/>
          </w:tcPr>
          <w:p>
            <w:pPr>
              <w:tabs>
                <w:tab w:val="left" w:pos="9639"/>
              </w:tabs>
              <w:spacing w:line="400" w:lineRule="exact"/>
              <w:jc w:val="center"/>
              <w:rPr>
                <w:rFonts w:hAnsi="宋体" w:cs="Arial"/>
                <w:sz w:val="24"/>
                <w:szCs w:val="24"/>
              </w:rPr>
            </w:pPr>
          </w:p>
        </w:tc>
        <w:tc>
          <w:tcPr>
            <w:tcW w:w="872" w:type="dxa"/>
            <w:gridSpan w:val="2"/>
            <w:tcBorders>
              <w:left w:val="single" w:color="auto" w:sz="4" w:space="0"/>
            </w:tcBorders>
            <w:noWrap w:val="0"/>
            <w:vAlign w:val="center"/>
          </w:tcPr>
          <w:p>
            <w:pPr>
              <w:tabs>
                <w:tab w:val="left" w:pos="9639"/>
              </w:tabs>
              <w:spacing w:line="400" w:lineRule="exact"/>
              <w:jc w:val="center"/>
              <w:rPr>
                <w:rFonts w:hAnsi="宋体"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noWrap w:val="0"/>
            <w:vAlign w:val="center"/>
          </w:tcPr>
          <w:p>
            <w:pPr>
              <w:tabs>
                <w:tab w:val="left" w:pos="9639"/>
              </w:tabs>
              <w:spacing w:line="400" w:lineRule="exact"/>
              <w:jc w:val="center"/>
              <w:rPr>
                <w:rFonts w:hAnsi="宋体" w:cs="Arial"/>
                <w:sz w:val="24"/>
                <w:szCs w:val="24"/>
              </w:rPr>
            </w:pPr>
          </w:p>
        </w:tc>
        <w:tc>
          <w:tcPr>
            <w:tcW w:w="1439" w:type="dxa"/>
            <w:noWrap w:val="0"/>
            <w:vAlign w:val="center"/>
          </w:tcPr>
          <w:p>
            <w:pPr>
              <w:tabs>
                <w:tab w:val="left" w:pos="9639"/>
              </w:tabs>
              <w:spacing w:line="400" w:lineRule="exact"/>
              <w:jc w:val="center"/>
              <w:rPr>
                <w:rFonts w:hAnsi="宋体" w:cs="Arial"/>
                <w:sz w:val="24"/>
                <w:szCs w:val="24"/>
              </w:rPr>
            </w:pPr>
          </w:p>
        </w:tc>
        <w:tc>
          <w:tcPr>
            <w:tcW w:w="1319" w:type="dxa"/>
            <w:noWrap w:val="0"/>
            <w:vAlign w:val="center"/>
          </w:tcPr>
          <w:p>
            <w:pPr>
              <w:tabs>
                <w:tab w:val="left" w:pos="9639"/>
              </w:tabs>
              <w:spacing w:line="400" w:lineRule="exact"/>
              <w:jc w:val="center"/>
              <w:rPr>
                <w:rFonts w:hAnsi="宋体" w:cs="Arial"/>
                <w:sz w:val="24"/>
                <w:szCs w:val="24"/>
              </w:rPr>
            </w:pPr>
          </w:p>
        </w:tc>
        <w:tc>
          <w:tcPr>
            <w:tcW w:w="1160" w:type="dxa"/>
            <w:noWrap w:val="0"/>
            <w:vAlign w:val="center"/>
          </w:tcPr>
          <w:p>
            <w:pPr>
              <w:tabs>
                <w:tab w:val="left" w:pos="9639"/>
              </w:tabs>
              <w:spacing w:line="400" w:lineRule="exact"/>
              <w:jc w:val="center"/>
              <w:rPr>
                <w:rFonts w:hAnsi="宋体" w:cs="Arial"/>
                <w:sz w:val="24"/>
                <w:szCs w:val="24"/>
              </w:rPr>
            </w:pPr>
          </w:p>
        </w:tc>
        <w:tc>
          <w:tcPr>
            <w:tcW w:w="1900" w:type="dxa"/>
            <w:noWrap w:val="0"/>
            <w:vAlign w:val="center"/>
          </w:tcPr>
          <w:p>
            <w:pPr>
              <w:tabs>
                <w:tab w:val="left" w:pos="9639"/>
              </w:tabs>
              <w:spacing w:line="400" w:lineRule="exact"/>
              <w:jc w:val="center"/>
              <w:rPr>
                <w:rFonts w:hAnsi="宋体" w:cs="Arial"/>
                <w:sz w:val="24"/>
                <w:szCs w:val="24"/>
              </w:rPr>
            </w:pPr>
          </w:p>
        </w:tc>
        <w:tc>
          <w:tcPr>
            <w:tcW w:w="1650" w:type="dxa"/>
            <w:tcBorders>
              <w:right w:val="single" w:color="auto" w:sz="4" w:space="0"/>
            </w:tcBorders>
            <w:noWrap w:val="0"/>
            <w:vAlign w:val="center"/>
          </w:tcPr>
          <w:p>
            <w:pPr>
              <w:tabs>
                <w:tab w:val="left" w:pos="9639"/>
              </w:tabs>
              <w:spacing w:line="400" w:lineRule="exact"/>
              <w:jc w:val="center"/>
              <w:rPr>
                <w:rFonts w:hAnsi="宋体" w:cs="Arial"/>
                <w:sz w:val="24"/>
                <w:szCs w:val="24"/>
              </w:rPr>
            </w:pPr>
          </w:p>
        </w:tc>
        <w:tc>
          <w:tcPr>
            <w:tcW w:w="872" w:type="dxa"/>
            <w:gridSpan w:val="2"/>
            <w:tcBorders>
              <w:left w:val="single" w:color="auto" w:sz="4" w:space="0"/>
            </w:tcBorders>
            <w:noWrap w:val="0"/>
            <w:vAlign w:val="center"/>
          </w:tcPr>
          <w:p>
            <w:pPr>
              <w:tabs>
                <w:tab w:val="left" w:pos="9639"/>
              </w:tabs>
              <w:spacing w:line="400" w:lineRule="exact"/>
              <w:jc w:val="center"/>
              <w:rPr>
                <w:rFonts w:hAnsi="宋体"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noWrap w:val="0"/>
            <w:vAlign w:val="center"/>
          </w:tcPr>
          <w:p>
            <w:pPr>
              <w:tabs>
                <w:tab w:val="left" w:pos="9639"/>
              </w:tabs>
              <w:spacing w:line="400" w:lineRule="exact"/>
              <w:jc w:val="center"/>
              <w:rPr>
                <w:rFonts w:hAnsi="宋体" w:cs="Arial"/>
                <w:sz w:val="24"/>
                <w:szCs w:val="24"/>
              </w:rPr>
            </w:pPr>
          </w:p>
        </w:tc>
        <w:tc>
          <w:tcPr>
            <w:tcW w:w="1439" w:type="dxa"/>
            <w:tcBorders>
              <w:right w:val="single" w:color="auto" w:sz="4" w:space="0"/>
            </w:tcBorders>
            <w:noWrap w:val="0"/>
            <w:vAlign w:val="center"/>
          </w:tcPr>
          <w:p>
            <w:pPr>
              <w:tabs>
                <w:tab w:val="left" w:pos="9639"/>
              </w:tabs>
              <w:spacing w:line="400" w:lineRule="exact"/>
              <w:jc w:val="center"/>
              <w:rPr>
                <w:rFonts w:hAnsi="宋体" w:cs="Arial"/>
                <w:sz w:val="24"/>
                <w:szCs w:val="24"/>
              </w:rPr>
            </w:pPr>
          </w:p>
        </w:tc>
        <w:tc>
          <w:tcPr>
            <w:tcW w:w="1319" w:type="dxa"/>
            <w:tcBorders>
              <w:left w:val="single" w:color="auto" w:sz="4" w:space="0"/>
            </w:tcBorders>
            <w:noWrap w:val="0"/>
            <w:vAlign w:val="center"/>
          </w:tcPr>
          <w:p>
            <w:pPr>
              <w:tabs>
                <w:tab w:val="left" w:pos="9639"/>
              </w:tabs>
              <w:spacing w:line="400" w:lineRule="exact"/>
              <w:jc w:val="center"/>
              <w:rPr>
                <w:rFonts w:hAnsi="宋体" w:cs="Arial"/>
                <w:sz w:val="24"/>
                <w:szCs w:val="24"/>
              </w:rPr>
            </w:pPr>
          </w:p>
        </w:tc>
        <w:tc>
          <w:tcPr>
            <w:tcW w:w="1160" w:type="dxa"/>
            <w:noWrap w:val="0"/>
            <w:vAlign w:val="center"/>
          </w:tcPr>
          <w:p>
            <w:pPr>
              <w:tabs>
                <w:tab w:val="left" w:pos="9639"/>
              </w:tabs>
              <w:spacing w:line="400" w:lineRule="exact"/>
              <w:jc w:val="center"/>
              <w:rPr>
                <w:rFonts w:hAnsi="宋体" w:cs="Arial"/>
                <w:sz w:val="24"/>
                <w:szCs w:val="24"/>
              </w:rPr>
            </w:pPr>
          </w:p>
        </w:tc>
        <w:tc>
          <w:tcPr>
            <w:tcW w:w="1900" w:type="dxa"/>
            <w:noWrap w:val="0"/>
            <w:vAlign w:val="center"/>
          </w:tcPr>
          <w:p>
            <w:pPr>
              <w:tabs>
                <w:tab w:val="left" w:pos="9639"/>
              </w:tabs>
              <w:spacing w:line="400" w:lineRule="exact"/>
              <w:jc w:val="center"/>
              <w:rPr>
                <w:rFonts w:hAnsi="宋体" w:cs="Arial"/>
                <w:sz w:val="24"/>
                <w:szCs w:val="24"/>
              </w:rPr>
            </w:pPr>
          </w:p>
        </w:tc>
        <w:tc>
          <w:tcPr>
            <w:tcW w:w="1650" w:type="dxa"/>
            <w:tcBorders>
              <w:right w:val="single" w:color="auto" w:sz="4" w:space="0"/>
            </w:tcBorders>
            <w:noWrap w:val="0"/>
            <w:vAlign w:val="center"/>
          </w:tcPr>
          <w:p>
            <w:pPr>
              <w:tabs>
                <w:tab w:val="left" w:pos="9639"/>
              </w:tabs>
              <w:spacing w:line="400" w:lineRule="exact"/>
              <w:jc w:val="center"/>
              <w:rPr>
                <w:rFonts w:hAnsi="宋体" w:cs="Arial"/>
                <w:sz w:val="24"/>
                <w:szCs w:val="24"/>
              </w:rPr>
            </w:pPr>
          </w:p>
        </w:tc>
        <w:tc>
          <w:tcPr>
            <w:tcW w:w="872" w:type="dxa"/>
            <w:gridSpan w:val="2"/>
            <w:tcBorders>
              <w:left w:val="single" w:color="auto" w:sz="4" w:space="0"/>
            </w:tcBorders>
            <w:noWrap w:val="0"/>
            <w:vAlign w:val="center"/>
          </w:tcPr>
          <w:p>
            <w:pPr>
              <w:tabs>
                <w:tab w:val="left" w:pos="9639"/>
              </w:tabs>
              <w:spacing w:line="400" w:lineRule="exact"/>
              <w:jc w:val="center"/>
              <w:rPr>
                <w:rFonts w:hAnsi="宋体"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718" w:type="dxa"/>
            <w:tcBorders>
              <w:right w:val="single" w:color="auto" w:sz="4" w:space="0"/>
            </w:tcBorders>
            <w:noWrap w:val="0"/>
            <w:vAlign w:val="center"/>
          </w:tcPr>
          <w:p>
            <w:pPr>
              <w:tabs>
                <w:tab w:val="left" w:pos="9639"/>
              </w:tabs>
              <w:spacing w:line="400" w:lineRule="exact"/>
              <w:rPr>
                <w:rFonts w:hint="eastAsia" w:hAnsi="宋体" w:cs="Arial"/>
                <w:sz w:val="24"/>
                <w:szCs w:val="24"/>
              </w:rPr>
            </w:pPr>
          </w:p>
        </w:tc>
        <w:tc>
          <w:tcPr>
            <w:tcW w:w="1439" w:type="dxa"/>
            <w:tcBorders>
              <w:left w:val="single" w:color="auto" w:sz="4" w:space="0"/>
              <w:right w:val="single" w:color="auto" w:sz="4" w:space="0"/>
            </w:tcBorders>
            <w:noWrap w:val="0"/>
            <w:vAlign w:val="center"/>
          </w:tcPr>
          <w:p>
            <w:pPr>
              <w:tabs>
                <w:tab w:val="left" w:pos="9639"/>
              </w:tabs>
              <w:spacing w:line="400" w:lineRule="exact"/>
              <w:rPr>
                <w:rFonts w:hint="eastAsia" w:hAnsi="宋体" w:cs="Arial"/>
                <w:sz w:val="24"/>
                <w:szCs w:val="24"/>
              </w:rPr>
            </w:pPr>
          </w:p>
        </w:tc>
        <w:tc>
          <w:tcPr>
            <w:tcW w:w="1319" w:type="dxa"/>
            <w:tcBorders>
              <w:left w:val="single" w:color="auto" w:sz="4" w:space="0"/>
              <w:right w:val="single" w:color="auto" w:sz="4" w:space="0"/>
            </w:tcBorders>
            <w:noWrap w:val="0"/>
            <w:vAlign w:val="center"/>
          </w:tcPr>
          <w:p>
            <w:pPr>
              <w:tabs>
                <w:tab w:val="left" w:pos="9639"/>
              </w:tabs>
              <w:spacing w:line="400" w:lineRule="exact"/>
              <w:rPr>
                <w:rFonts w:hint="eastAsia" w:hAnsi="宋体" w:cs="Arial"/>
                <w:sz w:val="24"/>
                <w:szCs w:val="24"/>
              </w:rPr>
            </w:pPr>
          </w:p>
        </w:tc>
        <w:tc>
          <w:tcPr>
            <w:tcW w:w="1160" w:type="dxa"/>
            <w:tcBorders>
              <w:left w:val="single" w:color="auto" w:sz="4" w:space="0"/>
              <w:right w:val="single" w:color="auto" w:sz="4" w:space="0"/>
            </w:tcBorders>
            <w:noWrap w:val="0"/>
            <w:vAlign w:val="center"/>
          </w:tcPr>
          <w:p>
            <w:pPr>
              <w:tabs>
                <w:tab w:val="left" w:pos="9639"/>
              </w:tabs>
              <w:spacing w:line="400" w:lineRule="exact"/>
              <w:rPr>
                <w:rFonts w:hint="eastAsia" w:hAnsi="宋体" w:cs="Arial"/>
                <w:sz w:val="24"/>
                <w:szCs w:val="24"/>
              </w:rPr>
            </w:pPr>
          </w:p>
        </w:tc>
        <w:tc>
          <w:tcPr>
            <w:tcW w:w="1900" w:type="dxa"/>
            <w:tcBorders>
              <w:left w:val="single" w:color="auto" w:sz="4" w:space="0"/>
              <w:right w:val="single" w:color="auto" w:sz="4" w:space="0"/>
            </w:tcBorders>
            <w:noWrap w:val="0"/>
            <w:vAlign w:val="center"/>
          </w:tcPr>
          <w:p>
            <w:pPr>
              <w:tabs>
                <w:tab w:val="left" w:pos="9639"/>
              </w:tabs>
              <w:spacing w:line="400" w:lineRule="exact"/>
              <w:rPr>
                <w:rFonts w:hint="eastAsia" w:hAnsi="宋体" w:cs="Arial"/>
                <w:sz w:val="24"/>
                <w:szCs w:val="24"/>
              </w:rPr>
            </w:pPr>
          </w:p>
        </w:tc>
        <w:tc>
          <w:tcPr>
            <w:tcW w:w="1650" w:type="dxa"/>
            <w:tcBorders>
              <w:left w:val="single" w:color="auto" w:sz="4" w:space="0"/>
              <w:right w:val="single" w:color="auto" w:sz="4" w:space="0"/>
            </w:tcBorders>
            <w:noWrap w:val="0"/>
            <w:vAlign w:val="center"/>
          </w:tcPr>
          <w:p>
            <w:pPr>
              <w:tabs>
                <w:tab w:val="left" w:pos="9639"/>
              </w:tabs>
              <w:spacing w:line="400" w:lineRule="exact"/>
              <w:rPr>
                <w:rFonts w:hint="eastAsia" w:hAnsi="宋体" w:cs="Arial"/>
                <w:sz w:val="24"/>
                <w:szCs w:val="24"/>
              </w:rPr>
            </w:pPr>
          </w:p>
        </w:tc>
        <w:tc>
          <w:tcPr>
            <w:tcW w:w="862" w:type="dxa"/>
            <w:tcBorders>
              <w:left w:val="single" w:color="auto" w:sz="4" w:space="0"/>
            </w:tcBorders>
            <w:noWrap w:val="0"/>
            <w:vAlign w:val="center"/>
          </w:tcPr>
          <w:p>
            <w:pPr>
              <w:tabs>
                <w:tab w:val="left" w:pos="9639"/>
              </w:tabs>
              <w:spacing w:line="400" w:lineRule="exact"/>
              <w:rPr>
                <w:rFonts w:hint="eastAsia" w:hAnsi="宋体"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noWrap w:val="0"/>
            <w:vAlign w:val="center"/>
          </w:tcPr>
          <w:p>
            <w:pPr>
              <w:tabs>
                <w:tab w:val="left" w:pos="9639"/>
              </w:tabs>
              <w:spacing w:line="400" w:lineRule="exact"/>
              <w:rPr>
                <w:rFonts w:hint="eastAsia" w:hAnsi="宋体" w:cs="Arial"/>
                <w:sz w:val="24"/>
                <w:szCs w:val="24"/>
              </w:rPr>
            </w:pPr>
          </w:p>
        </w:tc>
        <w:tc>
          <w:tcPr>
            <w:tcW w:w="1439" w:type="dxa"/>
            <w:noWrap w:val="0"/>
            <w:vAlign w:val="center"/>
          </w:tcPr>
          <w:p>
            <w:pPr>
              <w:tabs>
                <w:tab w:val="left" w:pos="9639"/>
              </w:tabs>
              <w:spacing w:line="400" w:lineRule="exact"/>
              <w:rPr>
                <w:rFonts w:hint="eastAsia" w:hAnsi="宋体" w:cs="Arial"/>
                <w:sz w:val="24"/>
                <w:szCs w:val="24"/>
              </w:rPr>
            </w:pPr>
          </w:p>
        </w:tc>
        <w:tc>
          <w:tcPr>
            <w:tcW w:w="1319" w:type="dxa"/>
            <w:noWrap w:val="0"/>
            <w:vAlign w:val="center"/>
          </w:tcPr>
          <w:p>
            <w:pPr>
              <w:tabs>
                <w:tab w:val="left" w:pos="9639"/>
              </w:tabs>
              <w:spacing w:line="400" w:lineRule="exact"/>
              <w:rPr>
                <w:rFonts w:hint="eastAsia" w:hAnsi="宋体" w:cs="Arial"/>
                <w:sz w:val="24"/>
                <w:szCs w:val="24"/>
              </w:rPr>
            </w:pPr>
          </w:p>
        </w:tc>
        <w:tc>
          <w:tcPr>
            <w:tcW w:w="1160" w:type="dxa"/>
            <w:noWrap w:val="0"/>
            <w:vAlign w:val="center"/>
          </w:tcPr>
          <w:p>
            <w:pPr>
              <w:tabs>
                <w:tab w:val="left" w:pos="9639"/>
              </w:tabs>
              <w:spacing w:line="400" w:lineRule="exact"/>
              <w:rPr>
                <w:rFonts w:hint="eastAsia" w:hAnsi="宋体" w:cs="Arial"/>
                <w:sz w:val="24"/>
                <w:szCs w:val="24"/>
              </w:rPr>
            </w:pPr>
          </w:p>
        </w:tc>
        <w:tc>
          <w:tcPr>
            <w:tcW w:w="1900" w:type="dxa"/>
            <w:tcBorders>
              <w:right w:val="single" w:color="auto" w:sz="4" w:space="0"/>
            </w:tcBorders>
            <w:noWrap w:val="0"/>
            <w:vAlign w:val="center"/>
          </w:tcPr>
          <w:p>
            <w:pPr>
              <w:tabs>
                <w:tab w:val="left" w:pos="9639"/>
              </w:tabs>
              <w:spacing w:line="400" w:lineRule="exact"/>
              <w:rPr>
                <w:rFonts w:hint="eastAsia" w:hAnsi="宋体" w:cs="Arial"/>
                <w:sz w:val="24"/>
                <w:szCs w:val="24"/>
              </w:rPr>
            </w:pPr>
          </w:p>
        </w:tc>
        <w:tc>
          <w:tcPr>
            <w:tcW w:w="1650" w:type="dxa"/>
            <w:tcBorders>
              <w:left w:val="single" w:color="auto" w:sz="4" w:space="0"/>
              <w:right w:val="single" w:color="auto" w:sz="4" w:space="0"/>
            </w:tcBorders>
            <w:noWrap w:val="0"/>
            <w:vAlign w:val="center"/>
          </w:tcPr>
          <w:p>
            <w:pPr>
              <w:tabs>
                <w:tab w:val="left" w:pos="9639"/>
              </w:tabs>
              <w:spacing w:line="400" w:lineRule="exact"/>
              <w:rPr>
                <w:rFonts w:hint="eastAsia" w:hAnsi="宋体" w:cs="Arial"/>
                <w:sz w:val="24"/>
                <w:szCs w:val="24"/>
              </w:rPr>
            </w:pPr>
          </w:p>
        </w:tc>
        <w:tc>
          <w:tcPr>
            <w:tcW w:w="872" w:type="dxa"/>
            <w:gridSpan w:val="2"/>
            <w:tcBorders>
              <w:left w:val="single" w:color="auto" w:sz="4" w:space="0"/>
            </w:tcBorders>
            <w:noWrap w:val="0"/>
            <w:vAlign w:val="center"/>
          </w:tcPr>
          <w:p>
            <w:pPr>
              <w:tabs>
                <w:tab w:val="left" w:pos="9639"/>
              </w:tabs>
              <w:spacing w:line="400" w:lineRule="exact"/>
              <w:rPr>
                <w:rFonts w:hint="eastAsia" w:hAnsi="宋体"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noWrap w:val="0"/>
            <w:vAlign w:val="center"/>
          </w:tcPr>
          <w:p>
            <w:pPr>
              <w:tabs>
                <w:tab w:val="left" w:pos="9639"/>
              </w:tabs>
              <w:spacing w:line="400" w:lineRule="exact"/>
              <w:jc w:val="center"/>
              <w:rPr>
                <w:rFonts w:hAnsi="宋体" w:cs="Arial"/>
                <w:sz w:val="24"/>
                <w:szCs w:val="24"/>
              </w:rPr>
            </w:pPr>
          </w:p>
        </w:tc>
        <w:tc>
          <w:tcPr>
            <w:tcW w:w="1439" w:type="dxa"/>
            <w:noWrap w:val="0"/>
            <w:vAlign w:val="center"/>
          </w:tcPr>
          <w:p>
            <w:pPr>
              <w:tabs>
                <w:tab w:val="left" w:pos="9639"/>
              </w:tabs>
              <w:spacing w:line="400" w:lineRule="exact"/>
              <w:jc w:val="center"/>
              <w:rPr>
                <w:rFonts w:hAnsi="宋体" w:cs="Arial"/>
                <w:sz w:val="24"/>
                <w:szCs w:val="24"/>
              </w:rPr>
            </w:pPr>
          </w:p>
        </w:tc>
        <w:tc>
          <w:tcPr>
            <w:tcW w:w="1319" w:type="dxa"/>
            <w:noWrap w:val="0"/>
            <w:vAlign w:val="center"/>
          </w:tcPr>
          <w:p>
            <w:pPr>
              <w:tabs>
                <w:tab w:val="left" w:pos="9639"/>
              </w:tabs>
              <w:spacing w:line="400" w:lineRule="exact"/>
              <w:jc w:val="center"/>
              <w:rPr>
                <w:rFonts w:hAnsi="宋体" w:cs="Arial"/>
                <w:sz w:val="24"/>
                <w:szCs w:val="24"/>
              </w:rPr>
            </w:pPr>
          </w:p>
        </w:tc>
        <w:tc>
          <w:tcPr>
            <w:tcW w:w="1160" w:type="dxa"/>
            <w:noWrap w:val="0"/>
            <w:vAlign w:val="center"/>
          </w:tcPr>
          <w:p>
            <w:pPr>
              <w:tabs>
                <w:tab w:val="left" w:pos="9639"/>
              </w:tabs>
              <w:spacing w:line="400" w:lineRule="exact"/>
              <w:jc w:val="center"/>
              <w:rPr>
                <w:rFonts w:hAnsi="宋体" w:cs="Arial"/>
                <w:sz w:val="24"/>
                <w:szCs w:val="24"/>
              </w:rPr>
            </w:pPr>
          </w:p>
        </w:tc>
        <w:tc>
          <w:tcPr>
            <w:tcW w:w="1900" w:type="dxa"/>
            <w:tcBorders>
              <w:right w:val="single" w:color="auto" w:sz="4" w:space="0"/>
            </w:tcBorders>
            <w:noWrap w:val="0"/>
            <w:vAlign w:val="center"/>
          </w:tcPr>
          <w:p>
            <w:pPr>
              <w:tabs>
                <w:tab w:val="left" w:pos="9639"/>
              </w:tabs>
              <w:spacing w:line="400" w:lineRule="exact"/>
              <w:jc w:val="center"/>
              <w:rPr>
                <w:rFonts w:hAnsi="宋体" w:cs="Arial"/>
                <w:sz w:val="24"/>
                <w:szCs w:val="24"/>
              </w:rPr>
            </w:pPr>
          </w:p>
        </w:tc>
        <w:tc>
          <w:tcPr>
            <w:tcW w:w="1650" w:type="dxa"/>
            <w:tcBorders>
              <w:left w:val="single" w:color="auto" w:sz="4" w:space="0"/>
              <w:right w:val="single" w:color="auto" w:sz="4" w:space="0"/>
            </w:tcBorders>
            <w:noWrap w:val="0"/>
            <w:vAlign w:val="center"/>
          </w:tcPr>
          <w:p>
            <w:pPr>
              <w:tabs>
                <w:tab w:val="left" w:pos="9639"/>
              </w:tabs>
              <w:spacing w:line="400" w:lineRule="exact"/>
              <w:jc w:val="center"/>
              <w:rPr>
                <w:rFonts w:hAnsi="宋体" w:cs="Arial"/>
                <w:sz w:val="24"/>
                <w:szCs w:val="24"/>
              </w:rPr>
            </w:pPr>
          </w:p>
        </w:tc>
        <w:tc>
          <w:tcPr>
            <w:tcW w:w="872" w:type="dxa"/>
            <w:gridSpan w:val="2"/>
            <w:tcBorders>
              <w:left w:val="single" w:color="auto" w:sz="4" w:space="0"/>
            </w:tcBorders>
            <w:noWrap w:val="0"/>
            <w:vAlign w:val="center"/>
          </w:tcPr>
          <w:p>
            <w:pPr>
              <w:tabs>
                <w:tab w:val="left" w:pos="9639"/>
              </w:tabs>
              <w:spacing w:line="400" w:lineRule="exact"/>
              <w:jc w:val="center"/>
              <w:rPr>
                <w:rFonts w:hAnsi="宋体"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noWrap w:val="0"/>
            <w:vAlign w:val="center"/>
          </w:tcPr>
          <w:p>
            <w:pPr>
              <w:tabs>
                <w:tab w:val="left" w:pos="9639"/>
              </w:tabs>
              <w:spacing w:line="400" w:lineRule="exact"/>
              <w:jc w:val="center"/>
              <w:rPr>
                <w:rFonts w:hAnsi="宋体" w:cs="Arial"/>
                <w:sz w:val="24"/>
                <w:szCs w:val="24"/>
              </w:rPr>
            </w:pPr>
          </w:p>
        </w:tc>
        <w:tc>
          <w:tcPr>
            <w:tcW w:w="1439" w:type="dxa"/>
            <w:noWrap w:val="0"/>
            <w:vAlign w:val="center"/>
          </w:tcPr>
          <w:p>
            <w:pPr>
              <w:tabs>
                <w:tab w:val="left" w:pos="9639"/>
              </w:tabs>
              <w:spacing w:line="400" w:lineRule="exact"/>
              <w:jc w:val="center"/>
              <w:rPr>
                <w:rFonts w:hAnsi="宋体" w:cs="Arial"/>
                <w:sz w:val="24"/>
                <w:szCs w:val="24"/>
              </w:rPr>
            </w:pPr>
          </w:p>
        </w:tc>
        <w:tc>
          <w:tcPr>
            <w:tcW w:w="1319" w:type="dxa"/>
            <w:noWrap w:val="0"/>
            <w:vAlign w:val="center"/>
          </w:tcPr>
          <w:p>
            <w:pPr>
              <w:tabs>
                <w:tab w:val="left" w:pos="9639"/>
              </w:tabs>
              <w:spacing w:line="400" w:lineRule="exact"/>
              <w:jc w:val="center"/>
              <w:rPr>
                <w:rFonts w:hAnsi="宋体" w:cs="Arial"/>
                <w:sz w:val="24"/>
                <w:szCs w:val="24"/>
              </w:rPr>
            </w:pPr>
          </w:p>
        </w:tc>
        <w:tc>
          <w:tcPr>
            <w:tcW w:w="1160" w:type="dxa"/>
            <w:noWrap w:val="0"/>
            <w:vAlign w:val="center"/>
          </w:tcPr>
          <w:p>
            <w:pPr>
              <w:tabs>
                <w:tab w:val="left" w:pos="9639"/>
              </w:tabs>
              <w:spacing w:line="400" w:lineRule="exact"/>
              <w:jc w:val="center"/>
              <w:rPr>
                <w:rFonts w:hAnsi="宋体" w:cs="Arial"/>
                <w:sz w:val="24"/>
                <w:szCs w:val="24"/>
              </w:rPr>
            </w:pPr>
          </w:p>
        </w:tc>
        <w:tc>
          <w:tcPr>
            <w:tcW w:w="1900" w:type="dxa"/>
            <w:tcBorders>
              <w:right w:val="single" w:color="auto" w:sz="4" w:space="0"/>
            </w:tcBorders>
            <w:noWrap w:val="0"/>
            <w:vAlign w:val="center"/>
          </w:tcPr>
          <w:p>
            <w:pPr>
              <w:tabs>
                <w:tab w:val="left" w:pos="9639"/>
              </w:tabs>
              <w:spacing w:line="400" w:lineRule="exact"/>
              <w:jc w:val="center"/>
              <w:rPr>
                <w:rFonts w:hAnsi="宋体" w:cs="Arial"/>
                <w:sz w:val="24"/>
                <w:szCs w:val="24"/>
              </w:rPr>
            </w:pPr>
          </w:p>
        </w:tc>
        <w:tc>
          <w:tcPr>
            <w:tcW w:w="1650" w:type="dxa"/>
            <w:tcBorders>
              <w:left w:val="single" w:color="auto" w:sz="4" w:space="0"/>
              <w:right w:val="single" w:color="auto" w:sz="4" w:space="0"/>
            </w:tcBorders>
            <w:noWrap w:val="0"/>
            <w:vAlign w:val="center"/>
          </w:tcPr>
          <w:p>
            <w:pPr>
              <w:tabs>
                <w:tab w:val="left" w:pos="9639"/>
              </w:tabs>
              <w:spacing w:line="400" w:lineRule="exact"/>
              <w:jc w:val="center"/>
              <w:rPr>
                <w:rFonts w:hAnsi="宋体" w:cs="Arial"/>
                <w:sz w:val="24"/>
                <w:szCs w:val="24"/>
              </w:rPr>
            </w:pPr>
          </w:p>
        </w:tc>
        <w:tc>
          <w:tcPr>
            <w:tcW w:w="872" w:type="dxa"/>
            <w:gridSpan w:val="2"/>
            <w:tcBorders>
              <w:left w:val="single" w:color="auto" w:sz="4" w:space="0"/>
            </w:tcBorders>
            <w:noWrap w:val="0"/>
            <w:vAlign w:val="center"/>
          </w:tcPr>
          <w:p>
            <w:pPr>
              <w:tabs>
                <w:tab w:val="left" w:pos="9639"/>
              </w:tabs>
              <w:spacing w:line="400" w:lineRule="exact"/>
              <w:jc w:val="center"/>
              <w:rPr>
                <w:rFonts w:hAnsi="宋体"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noWrap w:val="0"/>
            <w:vAlign w:val="center"/>
          </w:tcPr>
          <w:p>
            <w:pPr>
              <w:tabs>
                <w:tab w:val="left" w:pos="9639"/>
              </w:tabs>
              <w:spacing w:line="400" w:lineRule="exact"/>
              <w:jc w:val="center"/>
              <w:rPr>
                <w:rFonts w:hAnsi="宋体" w:cs="Arial"/>
                <w:sz w:val="24"/>
                <w:szCs w:val="24"/>
              </w:rPr>
            </w:pPr>
          </w:p>
        </w:tc>
        <w:tc>
          <w:tcPr>
            <w:tcW w:w="1439" w:type="dxa"/>
            <w:tcBorders>
              <w:bottom w:val="single" w:color="auto" w:sz="4" w:space="0"/>
            </w:tcBorders>
            <w:noWrap w:val="0"/>
            <w:vAlign w:val="center"/>
          </w:tcPr>
          <w:p>
            <w:pPr>
              <w:tabs>
                <w:tab w:val="left" w:pos="9639"/>
              </w:tabs>
              <w:spacing w:line="400" w:lineRule="exact"/>
              <w:jc w:val="center"/>
              <w:rPr>
                <w:rFonts w:hAnsi="宋体" w:cs="Arial"/>
                <w:sz w:val="24"/>
                <w:szCs w:val="24"/>
              </w:rPr>
            </w:pPr>
          </w:p>
        </w:tc>
        <w:tc>
          <w:tcPr>
            <w:tcW w:w="1319" w:type="dxa"/>
            <w:tcBorders>
              <w:bottom w:val="single" w:color="auto" w:sz="4" w:space="0"/>
            </w:tcBorders>
            <w:noWrap w:val="0"/>
            <w:vAlign w:val="center"/>
          </w:tcPr>
          <w:p>
            <w:pPr>
              <w:tabs>
                <w:tab w:val="left" w:pos="9639"/>
              </w:tabs>
              <w:spacing w:line="400" w:lineRule="exact"/>
              <w:jc w:val="center"/>
              <w:rPr>
                <w:rFonts w:hAnsi="宋体" w:cs="Arial"/>
                <w:sz w:val="24"/>
                <w:szCs w:val="24"/>
              </w:rPr>
            </w:pPr>
          </w:p>
        </w:tc>
        <w:tc>
          <w:tcPr>
            <w:tcW w:w="1160" w:type="dxa"/>
            <w:tcBorders>
              <w:bottom w:val="single" w:color="auto" w:sz="4" w:space="0"/>
            </w:tcBorders>
            <w:noWrap w:val="0"/>
            <w:vAlign w:val="center"/>
          </w:tcPr>
          <w:p>
            <w:pPr>
              <w:tabs>
                <w:tab w:val="left" w:pos="9639"/>
              </w:tabs>
              <w:spacing w:line="400" w:lineRule="exact"/>
              <w:jc w:val="center"/>
              <w:rPr>
                <w:rFonts w:hAnsi="宋体" w:cs="Arial"/>
                <w:sz w:val="24"/>
                <w:szCs w:val="24"/>
              </w:rPr>
            </w:pPr>
          </w:p>
        </w:tc>
        <w:tc>
          <w:tcPr>
            <w:tcW w:w="1900" w:type="dxa"/>
            <w:tcBorders>
              <w:bottom w:val="single" w:color="auto" w:sz="4" w:space="0"/>
              <w:right w:val="single" w:color="auto" w:sz="4" w:space="0"/>
            </w:tcBorders>
            <w:noWrap w:val="0"/>
            <w:vAlign w:val="center"/>
          </w:tcPr>
          <w:p>
            <w:pPr>
              <w:tabs>
                <w:tab w:val="left" w:pos="9639"/>
              </w:tabs>
              <w:spacing w:line="400" w:lineRule="exact"/>
              <w:jc w:val="center"/>
              <w:rPr>
                <w:rFonts w:hAnsi="宋体" w:cs="Arial"/>
                <w:sz w:val="24"/>
                <w:szCs w:val="24"/>
              </w:rPr>
            </w:pPr>
          </w:p>
        </w:tc>
        <w:tc>
          <w:tcPr>
            <w:tcW w:w="1650" w:type="dxa"/>
            <w:tcBorders>
              <w:left w:val="single" w:color="auto" w:sz="4" w:space="0"/>
              <w:bottom w:val="single" w:color="auto" w:sz="4" w:space="0"/>
              <w:right w:val="single" w:color="auto" w:sz="4" w:space="0"/>
            </w:tcBorders>
            <w:noWrap w:val="0"/>
            <w:vAlign w:val="center"/>
          </w:tcPr>
          <w:p>
            <w:pPr>
              <w:tabs>
                <w:tab w:val="left" w:pos="9639"/>
              </w:tabs>
              <w:spacing w:line="400" w:lineRule="exact"/>
              <w:jc w:val="center"/>
              <w:rPr>
                <w:rFonts w:hAnsi="宋体" w:cs="Arial"/>
                <w:sz w:val="24"/>
                <w:szCs w:val="24"/>
              </w:rPr>
            </w:pPr>
          </w:p>
        </w:tc>
        <w:tc>
          <w:tcPr>
            <w:tcW w:w="872" w:type="dxa"/>
            <w:gridSpan w:val="2"/>
            <w:tcBorders>
              <w:left w:val="single" w:color="auto" w:sz="4" w:space="0"/>
              <w:bottom w:val="single" w:color="auto" w:sz="4" w:space="0"/>
            </w:tcBorders>
            <w:noWrap w:val="0"/>
            <w:vAlign w:val="center"/>
          </w:tcPr>
          <w:p>
            <w:pPr>
              <w:tabs>
                <w:tab w:val="left" w:pos="9639"/>
              </w:tabs>
              <w:spacing w:line="400" w:lineRule="exact"/>
              <w:jc w:val="center"/>
              <w:rPr>
                <w:rFonts w:hAnsi="宋体"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noWrap w:val="0"/>
            <w:vAlign w:val="center"/>
          </w:tcPr>
          <w:p>
            <w:pPr>
              <w:tabs>
                <w:tab w:val="left" w:pos="9639"/>
              </w:tabs>
              <w:spacing w:line="400" w:lineRule="exact"/>
              <w:jc w:val="center"/>
              <w:rPr>
                <w:rFonts w:hAnsi="宋体" w:cs="Arial"/>
                <w:sz w:val="24"/>
                <w:szCs w:val="24"/>
              </w:rPr>
            </w:pPr>
          </w:p>
        </w:tc>
        <w:tc>
          <w:tcPr>
            <w:tcW w:w="1439" w:type="dxa"/>
            <w:tcBorders>
              <w:top w:val="single" w:color="auto" w:sz="4" w:space="0"/>
              <w:bottom w:val="single" w:color="auto" w:sz="4" w:space="0"/>
            </w:tcBorders>
            <w:noWrap w:val="0"/>
            <w:vAlign w:val="center"/>
          </w:tcPr>
          <w:p>
            <w:pPr>
              <w:tabs>
                <w:tab w:val="left" w:pos="9639"/>
              </w:tabs>
              <w:spacing w:line="400" w:lineRule="exact"/>
              <w:jc w:val="center"/>
              <w:rPr>
                <w:rFonts w:hAnsi="宋体" w:cs="Arial"/>
                <w:sz w:val="24"/>
                <w:szCs w:val="24"/>
              </w:rPr>
            </w:pPr>
          </w:p>
        </w:tc>
        <w:tc>
          <w:tcPr>
            <w:tcW w:w="1319" w:type="dxa"/>
            <w:tcBorders>
              <w:top w:val="single" w:color="auto" w:sz="4" w:space="0"/>
              <w:bottom w:val="single" w:color="auto" w:sz="4" w:space="0"/>
            </w:tcBorders>
            <w:noWrap w:val="0"/>
            <w:vAlign w:val="center"/>
          </w:tcPr>
          <w:p>
            <w:pPr>
              <w:tabs>
                <w:tab w:val="left" w:pos="9639"/>
              </w:tabs>
              <w:spacing w:line="400" w:lineRule="exact"/>
              <w:jc w:val="center"/>
              <w:rPr>
                <w:rFonts w:hAnsi="宋体" w:cs="Arial"/>
                <w:sz w:val="24"/>
                <w:szCs w:val="24"/>
              </w:rPr>
            </w:pPr>
          </w:p>
        </w:tc>
        <w:tc>
          <w:tcPr>
            <w:tcW w:w="1160" w:type="dxa"/>
            <w:tcBorders>
              <w:top w:val="single" w:color="auto" w:sz="4" w:space="0"/>
              <w:bottom w:val="single" w:color="auto" w:sz="4" w:space="0"/>
            </w:tcBorders>
            <w:noWrap w:val="0"/>
            <w:vAlign w:val="center"/>
          </w:tcPr>
          <w:p>
            <w:pPr>
              <w:tabs>
                <w:tab w:val="left" w:pos="9639"/>
              </w:tabs>
              <w:spacing w:line="400" w:lineRule="exact"/>
              <w:jc w:val="center"/>
              <w:rPr>
                <w:rFonts w:hAnsi="宋体" w:cs="Arial"/>
                <w:sz w:val="24"/>
                <w:szCs w:val="24"/>
              </w:rPr>
            </w:pPr>
          </w:p>
        </w:tc>
        <w:tc>
          <w:tcPr>
            <w:tcW w:w="1900" w:type="dxa"/>
            <w:tcBorders>
              <w:top w:val="single" w:color="auto" w:sz="4" w:space="0"/>
              <w:bottom w:val="single" w:color="auto" w:sz="4" w:space="0"/>
              <w:right w:val="single" w:color="auto" w:sz="4" w:space="0"/>
            </w:tcBorders>
            <w:noWrap w:val="0"/>
            <w:vAlign w:val="center"/>
          </w:tcPr>
          <w:p>
            <w:pPr>
              <w:tabs>
                <w:tab w:val="left" w:pos="9639"/>
              </w:tabs>
              <w:spacing w:line="400" w:lineRule="exact"/>
              <w:jc w:val="center"/>
              <w:rPr>
                <w:rFonts w:hAnsi="宋体" w:cs="Arial"/>
                <w:sz w:val="24"/>
                <w:szCs w:val="24"/>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pPr>
              <w:tabs>
                <w:tab w:val="left" w:pos="9639"/>
              </w:tabs>
              <w:spacing w:line="400" w:lineRule="exact"/>
              <w:jc w:val="center"/>
              <w:rPr>
                <w:rFonts w:hAnsi="宋体" w:cs="Arial"/>
                <w:sz w:val="24"/>
                <w:szCs w:val="24"/>
              </w:rPr>
            </w:pPr>
          </w:p>
        </w:tc>
        <w:tc>
          <w:tcPr>
            <w:tcW w:w="872" w:type="dxa"/>
            <w:gridSpan w:val="2"/>
            <w:tcBorders>
              <w:top w:val="single" w:color="auto" w:sz="4" w:space="0"/>
              <w:left w:val="single" w:color="auto" w:sz="4" w:space="0"/>
              <w:bottom w:val="single" w:color="auto" w:sz="4" w:space="0"/>
            </w:tcBorders>
            <w:noWrap w:val="0"/>
            <w:vAlign w:val="center"/>
          </w:tcPr>
          <w:p>
            <w:pPr>
              <w:tabs>
                <w:tab w:val="left" w:pos="9639"/>
              </w:tabs>
              <w:spacing w:line="400" w:lineRule="exact"/>
              <w:jc w:val="center"/>
              <w:rPr>
                <w:rFonts w:hAnsi="宋体"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noWrap w:val="0"/>
            <w:vAlign w:val="center"/>
          </w:tcPr>
          <w:p>
            <w:pPr>
              <w:tabs>
                <w:tab w:val="left" w:pos="9639"/>
              </w:tabs>
              <w:spacing w:line="400" w:lineRule="exact"/>
              <w:jc w:val="center"/>
              <w:rPr>
                <w:rFonts w:hAnsi="宋体" w:cs="Arial"/>
                <w:sz w:val="24"/>
                <w:szCs w:val="24"/>
              </w:rPr>
            </w:pPr>
          </w:p>
        </w:tc>
        <w:tc>
          <w:tcPr>
            <w:tcW w:w="1439" w:type="dxa"/>
            <w:tcBorders>
              <w:top w:val="single" w:color="auto" w:sz="4" w:space="0"/>
              <w:bottom w:val="single" w:color="auto" w:sz="4" w:space="0"/>
            </w:tcBorders>
            <w:noWrap w:val="0"/>
            <w:vAlign w:val="center"/>
          </w:tcPr>
          <w:p>
            <w:pPr>
              <w:tabs>
                <w:tab w:val="left" w:pos="9639"/>
              </w:tabs>
              <w:spacing w:line="400" w:lineRule="exact"/>
              <w:jc w:val="center"/>
              <w:rPr>
                <w:rFonts w:hAnsi="宋体" w:cs="Arial"/>
                <w:sz w:val="24"/>
                <w:szCs w:val="24"/>
              </w:rPr>
            </w:pPr>
          </w:p>
        </w:tc>
        <w:tc>
          <w:tcPr>
            <w:tcW w:w="1319" w:type="dxa"/>
            <w:tcBorders>
              <w:top w:val="single" w:color="auto" w:sz="4" w:space="0"/>
              <w:bottom w:val="single" w:color="auto" w:sz="4" w:space="0"/>
            </w:tcBorders>
            <w:noWrap w:val="0"/>
            <w:vAlign w:val="center"/>
          </w:tcPr>
          <w:p>
            <w:pPr>
              <w:tabs>
                <w:tab w:val="left" w:pos="9639"/>
              </w:tabs>
              <w:spacing w:line="400" w:lineRule="exact"/>
              <w:jc w:val="center"/>
              <w:rPr>
                <w:rFonts w:hAnsi="宋体" w:cs="Arial"/>
                <w:sz w:val="24"/>
                <w:szCs w:val="24"/>
              </w:rPr>
            </w:pPr>
          </w:p>
        </w:tc>
        <w:tc>
          <w:tcPr>
            <w:tcW w:w="1160" w:type="dxa"/>
            <w:tcBorders>
              <w:top w:val="single" w:color="auto" w:sz="4" w:space="0"/>
              <w:bottom w:val="single" w:color="auto" w:sz="4" w:space="0"/>
            </w:tcBorders>
            <w:noWrap w:val="0"/>
            <w:vAlign w:val="center"/>
          </w:tcPr>
          <w:p>
            <w:pPr>
              <w:tabs>
                <w:tab w:val="left" w:pos="9639"/>
              </w:tabs>
              <w:spacing w:line="400" w:lineRule="exact"/>
              <w:jc w:val="center"/>
              <w:rPr>
                <w:rFonts w:hAnsi="宋体" w:cs="Arial"/>
                <w:sz w:val="24"/>
                <w:szCs w:val="24"/>
              </w:rPr>
            </w:pPr>
          </w:p>
        </w:tc>
        <w:tc>
          <w:tcPr>
            <w:tcW w:w="1900" w:type="dxa"/>
            <w:tcBorders>
              <w:top w:val="single" w:color="auto" w:sz="4" w:space="0"/>
              <w:bottom w:val="single" w:color="auto" w:sz="4" w:space="0"/>
              <w:right w:val="single" w:color="auto" w:sz="4" w:space="0"/>
            </w:tcBorders>
            <w:noWrap w:val="0"/>
            <w:vAlign w:val="center"/>
          </w:tcPr>
          <w:p>
            <w:pPr>
              <w:tabs>
                <w:tab w:val="left" w:pos="9639"/>
              </w:tabs>
              <w:spacing w:line="400" w:lineRule="exact"/>
              <w:jc w:val="center"/>
              <w:rPr>
                <w:rFonts w:hAnsi="宋体" w:cs="Arial"/>
                <w:sz w:val="24"/>
                <w:szCs w:val="24"/>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pPr>
              <w:tabs>
                <w:tab w:val="left" w:pos="9639"/>
              </w:tabs>
              <w:spacing w:line="400" w:lineRule="exact"/>
              <w:jc w:val="center"/>
              <w:rPr>
                <w:rFonts w:hAnsi="宋体" w:cs="Arial"/>
                <w:sz w:val="24"/>
                <w:szCs w:val="24"/>
              </w:rPr>
            </w:pPr>
          </w:p>
        </w:tc>
        <w:tc>
          <w:tcPr>
            <w:tcW w:w="872" w:type="dxa"/>
            <w:gridSpan w:val="2"/>
            <w:tcBorders>
              <w:top w:val="single" w:color="auto" w:sz="4" w:space="0"/>
              <w:left w:val="single" w:color="auto" w:sz="4" w:space="0"/>
              <w:bottom w:val="single" w:color="auto" w:sz="4" w:space="0"/>
            </w:tcBorders>
            <w:noWrap w:val="0"/>
            <w:vAlign w:val="center"/>
          </w:tcPr>
          <w:p>
            <w:pPr>
              <w:tabs>
                <w:tab w:val="left" w:pos="9639"/>
              </w:tabs>
              <w:spacing w:line="400" w:lineRule="exact"/>
              <w:jc w:val="center"/>
              <w:rPr>
                <w:rFonts w:hAnsi="宋体"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noWrap w:val="0"/>
            <w:vAlign w:val="center"/>
          </w:tcPr>
          <w:p>
            <w:pPr>
              <w:tabs>
                <w:tab w:val="left" w:pos="9639"/>
              </w:tabs>
              <w:spacing w:line="400" w:lineRule="exact"/>
              <w:jc w:val="center"/>
              <w:rPr>
                <w:rFonts w:hAnsi="宋体" w:cs="Arial"/>
                <w:sz w:val="24"/>
                <w:szCs w:val="24"/>
              </w:rPr>
            </w:pPr>
          </w:p>
        </w:tc>
        <w:tc>
          <w:tcPr>
            <w:tcW w:w="1439" w:type="dxa"/>
            <w:tcBorders>
              <w:top w:val="single" w:color="auto" w:sz="4" w:space="0"/>
              <w:bottom w:val="single" w:color="auto" w:sz="4" w:space="0"/>
            </w:tcBorders>
            <w:noWrap w:val="0"/>
            <w:vAlign w:val="center"/>
          </w:tcPr>
          <w:p>
            <w:pPr>
              <w:tabs>
                <w:tab w:val="left" w:pos="9639"/>
              </w:tabs>
              <w:spacing w:line="400" w:lineRule="exact"/>
              <w:jc w:val="center"/>
              <w:rPr>
                <w:rFonts w:hAnsi="宋体" w:cs="Arial"/>
                <w:sz w:val="24"/>
                <w:szCs w:val="24"/>
              </w:rPr>
            </w:pPr>
          </w:p>
        </w:tc>
        <w:tc>
          <w:tcPr>
            <w:tcW w:w="1319" w:type="dxa"/>
            <w:tcBorders>
              <w:top w:val="single" w:color="auto" w:sz="4" w:space="0"/>
              <w:bottom w:val="single" w:color="auto" w:sz="4" w:space="0"/>
            </w:tcBorders>
            <w:noWrap w:val="0"/>
            <w:vAlign w:val="center"/>
          </w:tcPr>
          <w:p>
            <w:pPr>
              <w:tabs>
                <w:tab w:val="left" w:pos="9639"/>
              </w:tabs>
              <w:spacing w:line="400" w:lineRule="exact"/>
              <w:jc w:val="center"/>
              <w:rPr>
                <w:rFonts w:hAnsi="宋体" w:cs="Arial"/>
                <w:sz w:val="24"/>
                <w:szCs w:val="24"/>
              </w:rPr>
            </w:pPr>
          </w:p>
        </w:tc>
        <w:tc>
          <w:tcPr>
            <w:tcW w:w="1160" w:type="dxa"/>
            <w:tcBorders>
              <w:top w:val="single" w:color="auto" w:sz="4" w:space="0"/>
              <w:bottom w:val="single" w:color="auto" w:sz="4" w:space="0"/>
            </w:tcBorders>
            <w:noWrap w:val="0"/>
            <w:vAlign w:val="center"/>
          </w:tcPr>
          <w:p>
            <w:pPr>
              <w:tabs>
                <w:tab w:val="left" w:pos="9639"/>
              </w:tabs>
              <w:spacing w:line="400" w:lineRule="exact"/>
              <w:jc w:val="center"/>
              <w:rPr>
                <w:rFonts w:hAnsi="宋体" w:cs="Arial"/>
                <w:sz w:val="24"/>
                <w:szCs w:val="24"/>
              </w:rPr>
            </w:pPr>
          </w:p>
        </w:tc>
        <w:tc>
          <w:tcPr>
            <w:tcW w:w="1900" w:type="dxa"/>
            <w:tcBorders>
              <w:top w:val="single" w:color="auto" w:sz="4" w:space="0"/>
              <w:bottom w:val="single" w:color="auto" w:sz="4" w:space="0"/>
              <w:right w:val="single" w:color="auto" w:sz="4" w:space="0"/>
            </w:tcBorders>
            <w:noWrap w:val="0"/>
            <w:vAlign w:val="center"/>
          </w:tcPr>
          <w:p>
            <w:pPr>
              <w:tabs>
                <w:tab w:val="left" w:pos="9639"/>
              </w:tabs>
              <w:spacing w:line="400" w:lineRule="exact"/>
              <w:jc w:val="center"/>
              <w:rPr>
                <w:rFonts w:hAnsi="宋体" w:cs="Arial"/>
                <w:sz w:val="24"/>
                <w:szCs w:val="24"/>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pPr>
              <w:tabs>
                <w:tab w:val="left" w:pos="9639"/>
              </w:tabs>
              <w:spacing w:line="400" w:lineRule="exact"/>
              <w:jc w:val="center"/>
              <w:rPr>
                <w:rFonts w:hAnsi="宋体" w:cs="Arial"/>
                <w:sz w:val="24"/>
                <w:szCs w:val="24"/>
              </w:rPr>
            </w:pPr>
          </w:p>
        </w:tc>
        <w:tc>
          <w:tcPr>
            <w:tcW w:w="872" w:type="dxa"/>
            <w:gridSpan w:val="2"/>
            <w:tcBorders>
              <w:top w:val="single" w:color="auto" w:sz="4" w:space="0"/>
              <w:left w:val="single" w:color="auto" w:sz="4" w:space="0"/>
              <w:bottom w:val="single" w:color="auto" w:sz="4" w:space="0"/>
            </w:tcBorders>
            <w:noWrap w:val="0"/>
            <w:vAlign w:val="center"/>
          </w:tcPr>
          <w:p>
            <w:pPr>
              <w:tabs>
                <w:tab w:val="left" w:pos="9639"/>
              </w:tabs>
              <w:spacing w:line="400" w:lineRule="exact"/>
              <w:jc w:val="center"/>
              <w:rPr>
                <w:rFonts w:hAnsi="宋体"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noWrap w:val="0"/>
            <w:vAlign w:val="center"/>
          </w:tcPr>
          <w:p>
            <w:pPr>
              <w:tabs>
                <w:tab w:val="left" w:pos="9639"/>
              </w:tabs>
              <w:spacing w:line="400" w:lineRule="exact"/>
              <w:jc w:val="center"/>
              <w:rPr>
                <w:rFonts w:hAnsi="宋体" w:cs="Arial"/>
                <w:sz w:val="24"/>
                <w:szCs w:val="24"/>
              </w:rPr>
            </w:pPr>
          </w:p>
        </w:tc>
        <w:tc>
          <w:tcPr>
            <w:tcW w:w="1439" w:type="dxa"/>
            <w:tcBorders>
              <w:top w:val="single" w:color="auto" w:sz="4" w:space="0"/>
            </w:tcBorders>
            <w:noWrap w:val="0"/>
            <w:vAlign w:val="center"/>
          </w:tcPr>
          <w:p>
            <w:pPr>
              <w:tabs>
                <w:tab w:val="left" w:pos="9639"/>
              </w:tabs>
              <w:spacing w:line="400" w:lineRule="exact"/>
              <w:jc w:val="center"/>
              <w:rPr>
                <w:rFonts w:hAnsi="宋体" w:cs="Arial"/>
                <w:sz w:val="24"/>
                <w:szCs w:val="24"/>
              </w:rPr>
            </w:pPr>
          </w:p>
        </w:tc>
        <w:tc>
          <w:tcPr>
            <w:tcW w:w="1319" w:type="dxa"/>
            <w:tcBorders>
              <w:top w:val="single" w:color="auto" w:sz="4" w:space="0"/>
            </w:tcBorders>
            <w:noWrap w:val="0"/>
            <w:vAlign w:val="center"/>
          </w:tcPr>
          <w:p>
            <w:pPr>
              <w:tabs>
                <w:tab w:val="left" w:pos="9639"/>
              </w:tabs>
              <w:spacing w:line="400" w:lineRule="exact"/>
              <w:jc w:val="center"/>
              <w:rPr>
                <w:rFonts w:hAnsi="宋体" w:cs="Arial"/>
                <w:sz w:val="24"/>
                <w:szCs w:val="24"/>
              </w:rPr>
            </w:pPr>
          </w:p>
        </w:tc>
        <w:tc>
          <w:tcPr>
            <w:tcW w:w="1160" w:type="dxa"/>
            <w:tcBorders>
              <w:top w:val="single" w:color="auto" w:sz="4" w:space="0"/>
            </w:tcBorders>
            <w:noWrap w:val="0"/>
            <w:vAlign w:val="center"/>
          </w:tcPr>
          <w:p>
            <w:pPr>
              <w:tabs>
                <w:tab w:val="left" w:pos="9639"/>
              </w:tabs>
              <w:spacing w:line="400" w:lineRule="exact"/>
              <w:jc w:val="center"/>
              <w:rPr>
                <w:rFonts w:hAnsi="宋体" w:cs="Arial"/>
                <w:sz w:val="24"/>
                <w:szCs w:val="24"/>
              </w:rPr>
            </w:pPr>
          </w:p>
        </w:tc>
        <w:tc>
          <w:tcPr>
            <w:tcW w:w="1900" w:type="dxa"/>
            <w:tcBorders>
              <w:top w:val="single" w:color="auto" w:sz="4" w:space="0"/>
              <w:right w:val="single" w:color="auto" w:sz="4" w:space="0"/>
            </w:tcBorders>
            <w:noWrap w:val="0"/>
            <w:vAlign w:val="center"/>
          </w:tcPr>
          <w:p>
            <w:pPr>
              <w:tabs>
                <w:tab w:val="left" w:pos="9639"/>
              </w:tabs>
              <w:spacing w:line="400" w:lineRule="exact"/>
              <w:jc w:val="center"/>
              <w:rPr>
                <w:rFonts w:hAnsi="宋体" w:cs="Arial"/>
                <w:sz w:val="24"/>
                <w:szCs w:val="24"/>
              </w:rPr>
            </w:pPr>
          </w:p>
        </w:tc>
        <w:tc>
          <w:tcPr>
            <w:tcW w:w="1650" w:type="dxa"/>
            <w:tcBorders>
              <w:top w:val="single" w:color="auto" w:sz="4" w:space="0"/>
              <w:left w:val="single" w:color="auto" w:sz="4" w:space="0"/>
              <w:right w:val="single" w:color="auto" w:sz="4" w:space="0"/>
            </w:tcBorders>
            <w:noWrap w:val="0"/>
            <w:vAlign w:val="center"/>
          </w:tcPr>
          <w:p>
            <w:pPr>
              <w:tabs>
                <w:tab w:val="left" w:pos="9639"/>
              </w:tabs>
              <w:spacing w:line="400" w:lineRule="exact"/>
              <w:jc w:val="center"/>
              <w:rPr>
                <w:rFonts w:hAnsi="宋体" w:cs="Arial"/>
                <w:sz w:val="24"/>
                <w:szCs w:val="24"/>
              </w:rPr>
            </w:pPr>
          </w:p>
        </w:tc>
        <w:tc>
          <w:tcPr>
            <w:tcW w:w="872" w:type="dxa"/>
            <w:gridSpan w:val="2"/>
            <w:tcBorders>
              <w:top w:val="single" w:color="auto" w:sz="4" w:space="0"/>
              <w:left w:val="single" w:color="auto" w:sz="4" w:space="0"/>
            </w:tcBorders>
            <w:noWrap w:val="0"/>
            <w:vAlign w:val="center"/>
          </w:tcPr>
          <w:p>
            <w:pPr>
              <w:tabs>
                <w:tab w:val="left" w:pos="9639"/>
              </w:tabs>
              <w:spacing w:line="400" w:lineRule="exact"/>
              <w:jc w:val="center"/>
              <w:rPr>
                <w:rFonts w:hAnsi="宋体" w:cs="Arial"/>
                <w:sz w:val="24"/>
                <w:szCs w:val="24"/>
              </w:rPr>
            </w:pPr>
          </w:p>
        </w:tc>
      </w:tr>
    </w:tbl>
    <w:p>
      <w:pPr>
        <w:tabs>
          <w:tab w:val="left" w:pos="555"/>
          <w:tab w:val="left" w:pos="2214"/>
          <w:tab w:val="left" w:pos="3774"/>
          <w:tab w:val="left" w:pos="4854"/>
          <w:tab w:val="left" w:pos="5934"/>
          <w:tab w:val="left" w:pos="7014"/>
          <w:tab w:val="left" w:pos="8214"/>
          <w:tab w:val="left" w:pos="9639"/>
          <w:tab w:val="left" w:pos="10134"/>
          <w:tab w:val="left" w:pos="11124"/>
        </w:tabs>
        <w:spacing w:line="400" w:lineRule="exact"/>
        <w:ind w:firstLine="480" w:firstLineChars="200"/>
        <w:rPr>
          <w:rFonts w:hint="eastAsia" w:hAnsi="宋体" w:cs="Arial"/>
          <w:sz w:val="24"/>
        </w:rPr>
      </w:pPr>
    </w:p>
    <w:p>
      <w:pPr>
        <w:tabs>
          <w:tab w:val="left" w:pos="555"/>
          <w:tab w:val="left" w:pos="2214"/>
          <w:tab w:val="left" w:pos="3774"/>
          <w:tab w:val="left" w:pos="4854"/>
          <w:tab w:val="left" w:pos="5934"/>
          <w:tab w:val="left" w:pos="7014"/>
          <w:tab w:val="left" w:pos="8214"/>
          <w:tab w:val="left" w:pos="9639"/>
          <w:tab w:val="left" w:pos="10134"/>
          <w:tab w:val="left" w:pos="11124"/>
        </w:tabs>
        <w:spacing w:line="400" w:lineRule="exact"/>
        <w:ind w:firstLine="480" w:firstLineChars="200"/>
        <w:rPr>
          <w:rFonts w:hint="eastAsia" w:hAnsi="宋体" w:cs="Arial"/>
          <w:sz w:val="24"/>
        </w:rPr>
      </w:pPr>
      <w:r>
        <w:rPr>
          <w:rFonts w:hint="eastAsia" w:hAnsi="宋体" w:cs="Arial"/>
          <w:sz w:val="24"/>
        </w:rPr>
        <w:t>注：1、</w:t>
      </w:r>
      <w:r>
        <w:rPr>
          <w:rFonts w:hint="eastAsia" w:ascii="宋体" w:hAnsi="宋体" w:eastAsia="宋体" w:cs="宋体"/>
          <w:color w:val="auto"/>
          <w:sz w:val="24"/>
          <w:szCs w:val="24"/>
          <w:lang w:eastAsia="zh-CN"/>
        </w:rPr>
        <w:t>提供中标（成交）通知书或合同复印件加盖供应商鲜章。</w:t>
      </w:r>
    </w:p>
    <w:p>
      <w:pPr>
        <w:pStyle w:val="11"/>
        <w:tabs>
          <w:tab w:val="left" w:pos="9639"/>
        </w:tabs>
        <w:ind w:firstLine="960" w:firstLineChars="400"/>
        <w:rPr>
          <w:rFonts w:hint="eastAsia"/>
        </w:rPr>
      </w:pPr>
      <w:r>
        <w:rPr>
          <w:rFonts w:hint="eastAsia" w:hAnsi="宋体" w:cs="Arial"/>
          <w:sz w:val="24"/>
        </w:rPr>
        <w:t>2、“履约情况”一栏中请根据实际情况填写：完成履约或履约中。</w:t>
      </w:r>
    </w:p>
    <w:p>
      <w:pPr>
        <w:tabs>
          <w:tab w:val="left" w:pos="9639"/>
        </w:tabs>
        <w:spacing w:line="400" w:lineRule="exact"/>
        <w:ind w:left="360"/>
        <w:jc w:val="center"/>
        <w:rPr>
          <w:rFonts w:hint="eastAsia" w:hAnsi="宋体" w:cs="Arial"/>
          <w:sz w:val="24"/>
        </w:rPr>
      </w:pPr>
    </w:p>
    <w:p>
      <w:pPr>
        <w:tabs>
          <w:tab w:val="left" w:pos="9639"/>
        </w:tabs>
        <w:jc w:val="left"/>
        <w:rPr>
          <w:rFonts w:hint="eastAsia" w:hAnsi="宋体" w:cs="Arial"/>
        </w:rPr>
      </w:pPr>
    </w:p>
    <w:p>
      <w:pPr>
        <w:spacing w:line="360" w:lineRule="auto"/>
        <w:jc w:val="left"/>
        <w:rPr>
          <w:rFonts w:hint="eastAsia" w:ascii="宋体" w:hAnsi="宋体" w:cs="宋体"/>
          <w:color w:val="auto"/>
          <w:sz w:val="24"/>
        </w:rPr>
      </w:pPr>
      <w:r>
        <w:rPr>
          <w:rFonts w:hint="eastAsia" w:ascii="宋体" w:hAnsi="宋体" w:cs="宋体"/>
          <w:color w:val="auto"/>
          <w:sz w:val="24"/>
        </w:rPr>
        <w:t>法定代表人/单位负责人或授权代表：</w:t>
      </w:r>
      <w:r>
        <w:rPr>
          <w:rFonts w:hint="eastAsia" w:ascii="宋体" w:hAnsi="宋体" w:cs="宋体"/>
          <w:color w:val="auto"/>
          <w:sz w:val="24"/>
          <w:u w:val="single"/>
        </w:rPr>
        <w:t xml:space="preserve">                 </w:t>
      </w:r>
      <w:r>
        <w:rPr>
          <w:rFonts w:hint="eastAsia" w:ascii="宋体" w:hAnsi="宋体" w:cs="宋体"/>
          <w:color w:val="auto"/>
          <w:sz w:val="24"/>
        </w:rPr>
        <w:t>（签字或加盖个人名章）</w:t>
      </w:r>
    </w:p>
    <w:p>
      <w:pPr>
        <w:spacing w:line="360" w:lineRule="auto"/>
        <w:jc w:val="left"/>
        <w:rPr>
          <w:rFonts w:hint="eastAsia" w:ascii="宋体" w:hAnsi="宋体" w:cs="宋体"/>
          <w:color w:val="auto"/>
          <w:sz w:val="24"/>
        </w:rPr>
      </w:pPr>
      <w:r>
        <w:rPr>
          <w:rFonts w:hint="eastAsia" w:ascii="宋体" w:hAnsi="宋体" w:cs="宋体"/>
          <w:color w:val="auto"/>
          <w:sz w:val="24"/>
        </w:rPr>
        <w:t>供应商名称：</w:t>
      </w:r>
      <w:r>
        <w:rPr>
          <w:rFonts w:hint="eastAsia" w:ascii="宋体" w:hAnsi="宋体" w:cs="宋体"/>
          <w:color w:val="auto"/>
          <w:sz w:val="24"/>
          <w:u w:val="single"/>
        </w:rPr>
        <w:t xml:space="preserve">                      </w:t>
      </w:r>
      <w:r>
        <w:rPr>
          <w:rFonts w:hint="eastAsia" w:ascii="宋体" w:hAnsi="宋体" w:cs="宋体"/>
          <w:color w:val="auto"/>
          <w:sz w:val="24"/>
        </w:rPr>
        <w:t>（单位盖章）</w:t>
      </w:r>
    </w:p>
    <w:p>
      <w:pPr>
        <w:spacing w:line="360" w:lineRule="auto"/>
        <w:rPr>
          <w:rFonts w:hint="eastAsia" w:ascii="宋体" w:hAnsi="宋体" w:cs="宋体"/>
          <w:color w:val="auto"/>
          <w:sz w:val="24"/>
        </w:rPr>
      </w:pPr>
      <w:r>
        <w:rPr>
          <w:rFonts w:hint="eastAsia" w:ascii="宋体" w:hAnsi="宋体" w:cs="宋体"/>
          <w:color w:val="auto"/>
          <w:sz w:val="24"/>
        </w:rPr>
        <w:t>日期：</w:t>
      </w:r>
    </w:p>
    <w:p>
      <w:pPr>
        <w:tabs>
          <w:tab w:val="left" w:pos="9639"/>
        </w:tabs>
        <w:jc w:val="center"/>
        <w:rPr>
          <w:rFonts w:hint="eastAsia"/>
          <w:b/>
          <w:sz w:val="32"/>
          <w:szCs w:val="32"/>
        </w:rPr>
      </w:pPr>
    </w:p>
    <w:p>
      <w:pPr>
        <w:pStyle w:val="2"/>
        <w:tabs>
          <w:tab w:val="left" w:pos="9639"/>
        </w:tabs>
        <w:jc w:val="center"/>
        <w:rPr>
          <w:rFonts w:hint="eastAsia"/>
        </w:rPr>
      </w:pPr>
      <w:r>
        <w:rPr>
          <w:rFonts w:hint="eastAsia"/>
        </w:rPr>
        <w:t>七、供应商本项目管理、技术、服务人员情况表</w:t>
      </w:r>
    </w:p>
    <w:p>
      <w:pPr>
        <w:tabs>
          <w:tab w:val="left" w:pos="9639"/>
        </w:tabs>
        <w:rPr>
          <w:rFonts w:hint="eastAsia"/>
          <w:sz w:val="32"/>
          <w:szCs w:val="32"/>
        </w:rPr>
      </w:pPr>
    </w:p>
    <w:p>
      <w:pPr>
        <w:tabs>
          <w:tab w:val="left" w:pos="9639"/>
        </w:tabs>
        <w:rPr>
          <w:rFonts w:hint="eastAsia"/>
          <w:sz w:val="24"/>
        </w:rPr>
      </w:pPr>
      <w:r>
        <w:rPr>
          <w:rFonts w:hint="eastAsia"/>
          <w:sz w:val="24"/>
        </w:rPr>
        <w:t>采购项目编号：</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987"/>
        <w:gridCol w:w="986"/>
        <w:gridCol w:w="987"/>
        <w:gridCol w:w="987"/>
        <w:gridCol w:w="987"/>
        <w:gridCol w:w="987"/>
        <w:gridCol w:w="986"/>
        <w:gridCol w:w="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986" w:type="dxa"/>
            <w:vMerge w:val="restart"/>
            <w:noWrap w:val="0"/>
            <w:vAlign w:val="center"/>
          </w:tcPr>
          <w:p>
            <w:pPr>
              <w:snapToGrid w:val="0"/>
              <w:spacing w:line="276" w:lineRule="auto"/>
              <w:jc w:val="center"/>
              <w:rPr>
                <w:rFonts w:hint="eastAsia" w:ascii="华文宋体" w:hAnsi="华文宋体" w:eastAsia="华文宋体" w:cs="华文宋体"/>
                <w:color w:val="000000"/>
                <w:sz w:val="24"/>
                <w:highlight w:val="none"/>
              </w:rPr>
            </w:pPr>
            <w:r>
              <w:rPr>
                <w:rFonts w:hint="eastAsia" w:ascii="华文宋体" w:hAnsi="华文宋体" w:eastAsia="华文宋体" w:cs="华文宋体"/>
                <w:color w:val="000000"/>
                <w:sz w:val="24"/>
                <w:highlight w:val="none"/>
              </w:rPr>
              <w:t>类别</w:t>
            </w:r>
          </w:p>
        </w:tc>
        <w:tc>
          <w:tcPr>
            <w:tcW w:w="987" w:type="dxa"/>
            <w:vMerge w:val="restart"/>
            <w:noWrap w:val="0"/>
            <w:vAlign w:val="center"/>
          </w:tcPr>
          <w:p>
            <w:pPr>
              <w:snapToGrid w:val="0"/>
              <w:spacing w:line="276" w:lineRule="auto"/>
              <w:jc w:val="center"/>
              <w:rPr>
                <w:rFonts w:hint="eastAsia" w:ascii="华文宋体" w:hAnsi="华文宋体" w:eastAsia="华文宋体" w:cs="华文宋体"/>
                <w:color w:val="000000"/>
                <w:sz w:val="24"/>
                <w:highlight w:val="none"/>
              </w:rPr>
            </w:pPr>
            <w:r>
              <w:rPr>
                <w:rFonts w:hint="eastAsia" w:ascii="华文宋体" w:hAnsi="华文宋体" w:eastAsia="华文宋体" w:cs="华文宋体"/>
                <w:color w:val="000000"/>
                <w:sz w:val="24"/>
                <w:highlight w:val="none"/>
              </w:rPr>
              <w:t>职务</w:t>
            </w:r>
          </w:p>
        </w:tc>
        <w:tc>
          <w:tcPr>
            <w:tcW w:w="986" w:type="dxa"/>
            <w:vMerge w:val="restart"/>
            <w:noWrap w:val="0"/>
            <w:vAlign w:val="center"/>
          </w:tcPr>
          <w:p>
            <w:pPr>
              <w:snapToGrid w:val="0"/>
              <w:spacing w:line="276" w:lineRule="auto"/>
              <w:jc w:val="center"/>
              <w:rPr>
                <w:rFonts w:hint="eastAsia" w:ascii="华文宋体" w:hAnsi="华文宋体" w:eastAsia="华文宋体" w:cs="华文宋体"/>
                <w:color w:val="000000"/>
                <w:sz w:val="24"/>
                <w:highlight w:val="none"/>
              </w:rPr>
            </w:pPr>
            <w:r>
              <w:rPr>
                <w:rFonts w:hint="eastAsia" w:ascii="华文宋体" w:hAnsi="华文宋体" w:eastAsia="华文宋体" w:cs="华文宋体"/>
                <w:color w:val="000000"/>
                <w:sz w:val="24"/>
                <w:highlight w:val="none"/>
              </w:rPr>
              <w:t>姓名</w:t>
            </w:r>
          </w:p>
        </w:tc>
        <w:tc>
          <w:tcPr>
            <w:tcW w:w="987" w:type="dxa"/>
            <w:vMerge w:val="restart"/>
            <w:noWrap w:val="0"/>
            <w:vAlign w:val="center"/>
          </w:tcPr>
          <w:p>
            <w:pPr>
              <w:snapToGrid w:val="0"/>
              <w:spacing w:line="276" w:lineRule="auto"/>
              <w:jc w:val="center"/>
              <w:rPr>
                <w:rFonts w:hint="eastAsia" w:ascii="华文宋体" w:hAnsi="华文宋体" w:eastAsia="华文宋体" w:cs="华文宋体"/>
                <w:color w:val="000000"/>
                <w:sz w:val="24"/>
                <w:highlight w:val="none"/>
              </w:rPr>
            </w:pPr>
            <w:r>
              <w:rPr>
                <w:rFonts w:hint="eastAsia" w:ascii="华文宋体" w:hAnsi="华文宋体" w:eastAsia="华文宋体" w:cs="华文宋体"/>
                <w:color w:val="000000"/>
                <w:sz w:val="24"/>
                <w:highlight w:val="none"/>
              </w:rPr>
              <w:t>职称</w:t>
            </w:r>
          </w:p>
        </w:tc>
        <w:tc>
          <w:tcPr>
            <w:tcW w:w="987" w:type="dxa"/>
            <w:vMerge w:val="restart"/>
            <w:noWrap w:val="0"/>
            <w:vAlign w:val="center"/>
          </w:tcPr>
          <w:p>
            <w:pPr>
              <w:snapToGrid w:val="0"/>
              <w:spacing w:line="276" w:lineRule="auto"/>
              <w:jc w:val="center"/>
              <w:rPr>
                <w:rFonts w:hint="eastAsia" w:ascii="华文宋体" w:hAnsi="华文宋体" w:eastAsia="华文宋体" w:cs="华文宋体"/>
                <w:color w:val="000000"/>
                <w:sz w:val="24"/>
                <w:highlight w:val="none"/>
              </w:rPr>
            </w:pPr>
            <w:r>
              <w:rPr>
                <w:rFonts w:hint="eastAsia" w:ascii="华文宋体" w:hAnsi="华文宋体" w:eastAsia="华文宋体" w:cs="华文宋体"/>
                <w:color w:val="000000"/>
                <w:sz w:val="24"/>
                <w:highlight w:val="none"/>
              </w:rPr>
              <w:t>常住地</w:t>
            </w:r>
          </w:p>
        </w:tc>
        <w:tc>
          <w:tcPr>
            <w:tcW w:w="3947" w:type="dxa"/>
            <w:gridSpan w:val="4"/>
            <w:noWrap w:val="0"/>
            <w:vAlign w:val="center"/>
          </w:tcPr>
          <w:p>
            <w:pPr>
              <w:snapToGrid w:val="0"/>
              <w:spacing w:line="276" w:lineRule="auto"/>
              <w:jc w:val="center"/>
              <w:rPr>
                <w:rFonts w:hint="eastAsia" w:ascii="华文宋体" w:hAnsi="华文宋体" w:eastAsia="华文宋体" w:cs="华文宋体"/>
                <w:color w:val="000000"/>
                <w:sz w:val="24"/>
                <w:highlight w:val="none"/>
              </w:rPr>
            </w:pPr>
            <w:r>
              <w:rPr>
                <w:rFonts w:hint="eastAsia" w:ascii="华文宋体" w:hAnsi="华文宋体" w:eastAsia="华文宋体" w:cs="华文宋体"/>
                <w:color w:val="000000"/>
                <w:sz w:val="24"/>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986" w:type="dxa"/>
            <w:vMerge w:val="continue"/>
            <w:noWrap w:val="0"/>
            <w:vAlign w:val="center"/>
          </w:tcPr>
          <w:p>
            <w:pPr>
              <w:snapToGrid w:val="0"/>
              <w:spacing w:line="276" w:lineRule="auto"/>
              <w:jc w:val="center"/>
              <w:rPr>
                <w:rFonts w:hint="eastAsia" w:ascii="华文宋体" w:hAnsi="华文宋体" w:eastAsia="华文宋体" w:cs="华文宋体"/>
                <w:color w:val="000000"/>
                <w:sz w:val="24"/>
                <w:highlight w:val="none"/>
              </w:rPr>
            </w:pPr>
          </w:p>
        </w:tc>
        <w:tc>
          <w:tcPr>
            <w:tcW w:w="987" w:type="dxa"/>
            <w:vMerge w:val="continue"/>
            <w:noWrap w:val="0"/>
            <w:vAlign w:val="center"/>
          </w:tcPr>
          <w:p>
            <w:pPr>
              <w:snapToGrid w:val="0"/>
              <w:spacing w:line="276" w:lineRule="auto"/>
              <w:jc w:val="center"/>
              <w:rPr>
                <w:rFonts w:hint="eastAsia" w:ascii="华文宋体" w:hAnsi="华文宋体" w:eastAsia="华文宋体" w:cs="华文宋体"/>
                <w:color w:val="000000"/>
                <w:sz w:val="24"/>
                <w:highlight w:val="none"/>
              </w:rPr>
            </w:pPr>
          </w:p>
        </w:tc>
        <w:tc>
          <w:tcPr>
            <w:tcW w:w="986" w:type="dxa"/>
            <w:vMerge w:val="continue"/>
            <w:noWrap w:val="0"/>
            <w:vAlign w:val="center"/>
          </w:tcPr>
          <w:p>
            <w:pPr>
              <w:snapToGrid w:val="0"/>
              <w:spacing w:line="276" w:lineRule="auto"/>
              <w:jc w:val="center"/>
              <w:rPr>
                <w:rFonts w:hint="eastAsia" w:ascii="华文宋体" w:hAnsi="华文宋体" w:eastAsia="华文宋体" w:cs="华文宋体"/>
                <w:color w:val="000000"/>
                <w:sz w:val="24"/>
                <w:highlight w:val="none"/>
              </w:rPr>
            </w:pPr>
          </w:p>
        </w:tc>
        <w:tc>
          <w:tcPr>
            <w:tcW w:w="987" w:type="dxa"/>
            <w:vMerge w:val="continue"/>
            <w:noWrap w:val="0"/>
            <w:vAlign w:val="center"/>
          </w:tcPr>
          <w:p>
            <w:pPr>
              <w:snapToGrid w:val="0"/>
              <w:spacing w:line="276" w:lineRule="auto"/>
              <w:jc w:val="center"/>
              <w:rPr>
                <w:rFonts w:hint="eastAsia" w:ascii="华文宋体" w:hAnsi="华文宋体" w:eastAsia="华文宋体" w:cs="华文宋体"/>
                <w:color w:val="000000"/>
                <w:sz w:val="24"/>
                <w:highlight w:val="none"/>
              </w:rPr>
            </w:pPr>
          </w:p>
        </w:tc>
        <w:tc>
          <w:tcPr>
            <w:tcW w:w="987" w:type="dxa"/>
            <w:vMerge w:val="continue"/>
            <w:noWrap w:val="0"/>
            <w:vAlign w:val="center"/>
          </w:tcPr>
          <w:p>
            <w:pPr>
              <w:snapToGrid w:val="0"/>
              <w:spacing w:line="276" w:lineRule="auto"/>
              <w:jc w:val="center"/>
              <w:rPr>
                <w:rFonts w:hint="eastAsia" w:ascii="华文宋体" w:hAnsi="华文宋体" w:eastAsia="华文宋体" w:cs="华文宋体"/>
                <w:color w:val="000000"/>
                <w:sz w:val="24"/>
                <w:highlight w:val="none"/>
              </w:rPr>
            </w:pPr>
          </w:p>
        </w:tc>
        <w:tc>
          <w:tcPr>
            <w:tcW w:w="987" w:type="dxa"/>
            <w:noWrap w:val="0"/>
            <w:vAlign w:val="center"/>
          </w:tcPr>
          <w:p>
            <w:pPr>
              <w:snapToGrid w:val="0"/>
              <w:spacing w:line="276" w:lineRule="auto"/>
              <w:jc w:val="center"/>
              <w:rPr>
                <w:rFonts w:hint="eastAsia" w:ascii="华文宋体" w:hAnsi="华文宋体" w:eastAsia="华文宋体" w:cs="华文宋体"/>
                <w:color w:val="000000"/>
                <w:sz w:val="24"/>
                <w:highlight w:val="none"/>
              </w:rPr>
            </w:pPr>
            <w:r>
              <w:rPr>
                <w:rFonts w:hint="eastAsia" w:ascii="华文宋体" w:hAnsi="华文宋体" w:eastAsia="华文宋体" w:cs="华文宋体"/>
                <w:color w:val="000000"/>
                <w:sz w:val="24"/>
                <w:highlight w:val="none"/>
              </w:rPr>
              <w:t>证书</w:t>
            </w:r>
          </w:p>
          <w:p>
            <w:pPr>
              <w:snapToGrid w:val="0"/>
              <w:spacing w:line="276" w:lineRule="auto"/>
              <w:jc w:val="center"/>
              <w:rPr>
                <w:rFonts w:hint="eastAsia" w:ascii="华文宋体" w:hAnsi="华文宋体" w:eastAsia="华文宋体" w:cs="华文宋体"/>
                <w:color w:val="000000"/>
                <w:sz w:val="24"/>
                <w:highlight w:val="none"/>
              </w:rPr>
            </w:pPr>
            <w:r>
              <w:rPr>
                <w:rFonts w:hint="eastAsia" w:ascii="华文宋体" w:hAnsi="华文宋体" w:eastAsia="华文宋体" w:cs="华文宋体"/>
                <w:color w:val="000000"/>
                <w:sz w:val="24"/>
                <w:highlight w:val="none"/>
              </w:rPr>
              <w:t>名称</w:t>
            </w:r>
          </w:p>
        </w:tc>
        <w:tc>
          <w:tcPr>
            <w:tcW w:w="987" w:type="dxa"/>
            <w:noWrap w:val="0"/>
            <w:vAlign w:val="center"/>
          </w:tcPr>
          <w:p>
            <w:pPr>
              <w:snapToGrid w:val="0"/>
              <w:spacing w:line="276" w:lineRule="auto"/>
              <w:jc w:val="center"/>
              <w:rPr>
                <w:rFonts w:hint="eastAsia" w:ascii="华文宋体" w:hAnsi="华文宋体" w:eastAsia="华文宋体" w:cs="华文宋体"/>
                <w:color w:val="000000"/>
                <w:sz w:val="24"/>
                <w:highlight w:val="none"/>
              </w:rPr>
            </w:pPr>
            <w:r>
              <w:rPr>
                <w:rFonts w:hint="eastAsia" w:ascii="华文宋体" w:hAnsi="华文宋体" w:eastAsia="华文宋体" w:cs="华文宋体"/>
                <w:color w:val="000000"/>
                <w:sz w:val="24"/>
                <w:highlight w:val="none"/>
              </w:rPr>
              <w:t>级别</w:t>
            </w:r>
          </w:p>
        </w:tc>
        <w:tc>
          <w:tcPr>
            <w:tcW w:w="986" w:type="dxa"/>
            <w:noWrap w:val="0"/>
            <w:vAlign w:val="center"/>
          </w:tcPr>
          <w:p>
            <w:pPr>
              <w:snapToGrid w:val="0"/>
              <w:spacing w:line="276" w:lineRule="auto"/>
              <w:jc w:val="center"/>
              <w:rPr>
                <w:rFonts w:hint="eastAsia" w:ascii="华文宋体" w:hAnsi="华文宋体" w:eastAsia="华文宋体" w:cs="华文宋体"/>
                <w:color w:val="000000"/>
                <w:sz w:val="24"/>
                <w:highlight w:val="none"/>
              </w:rPr>
            </w:pPr>
            <w:r>
              <w:rPr>
                <w:rFonts w:hint="eastAsia" w:ascii="华文宋体" w:hAnsi="华文宋体" w:eastAsia="华文宋体" w:cs="华文宋体"/>
                <w:color w:val="000000"/>
                <w:sz w:val="24"/>
                <w:highlight w:val="none"/>
              </w:rPr>
              <w:t>证号</w:t>
            </w:r>
          </w:p>
        </w:tc>
        <w:tc>
          <w:tcPr>
            <w:tcW w:w="987" w:type="dxa"/>
            <w:noWrap w:val="0"/>
            <w:vAlign w:val="center"/>
          </w:tcPr>
          <w:p>
            <w:pPr>
              <w:snapToGrid w:val="0"/>
              <w:spacing w:line="276" w:lineRule="auto"/>
              <w:jc w:val="center"/>
              <w:rPr>
                <w:rFonts w:hint="eastAsia" w:ascii="华文宋体" w:hAnsi="华文宋体" w:eastAsia="华文宋体" w:cs="华文宋体"/>
                <w:color w:val="000000"/>
                <w:sz w:val="24"/>
                <w:highlight w:val="none"/>
              </w:rPr>
            </w:pPr>
            <w:r>
              <w:rPr>
                <w:rFonts w:hint="eastAsia" w:ascii="华文宋体" w:hAnsi="华文宋体" w:eastAsia="华文宋体" w:cs="华文宋体"/>
                <w:color w:val="000000"/>
                <w:sz w:val="24"/>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986" w:type="dxa"/>
            <w:vMerge w:val="restart"/>
            <w:noWrap w:val="0"/>
            <w:vAlign w:val="center"/>
          </w:tcPr>
          <w:p>
            <w:pPr>
              <w:snapToGrid w:val="0"/>
              <w:spacing w:line="276" w:lineRule="auto"/>
              <w:jc w:val="center"/>
              <w:rPr>
                <w:rFonts w:hint="eastAsia" w:ascii="华文宋体" w:hAnsi="华文宋体" w:eastAsia="华文宋体" w:cs="华文宋体"/>
                <w:color w:val="000000"/>
                <w:sz w:val="24"/>
                <w:highlight w:val="none"/>
              </w:rPr>
            </w:pPr>
            <w:r>
              <w:rPr>
                <w:rFonts w:hint="eastAsia" w:ascii="华文宋体" w:hAnsi="华文宋体" w:eastAsia="华文宋体" w:cs="华文宋体"/>
                <w:color w:val="000000"/>
                <w:sz w:val="24"/>
                <w:highlight w:val="none"/>
              </w:rPr>
              <w:t>管理</w:t>
            </w:r>
          </w:p>
          <w:p>
            <w:pPr>
              <w:snapToGrid w:val="0"/>
              <w:spacing w:line="276" w:lineRule="auto"/>
              <w:jc w:val="center"/>
              <w:rPr>
                <w:rFonts w:hint="eastAsia" w:ascii="华文宋体" w:hAnsi="华文宋体" w:eastAsia="华文宋体" w:cs="华文宋体"/>
                <w:color w:val="000000"/>
                <w:sz w:val="24"/>
                <w:highlight w:val="none"/>
              </w:rPr>
            </w:pPr>
            <w:r>
              <w:rPr>
                <w:rFonts w:hint="eastAsia" w:ascii="华文宋体" w:hAnsi="华文宋体" w:eastAsia="华文宋体" w:cs="华文宋体"/>
                <w:color w:val="000000"/>
                <w:sz w:val="24"/>
                <w:highlight w:val="none"/>
              </w:rPr>
              <w:t>人员</w:t>
            </w: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6"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6"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986" w:type="dxa"/>
            <w:vMerge w:val="continue"/>
            <w:noWrap w:val="0"/>
            <w:vAlign w:val="center"/>
          </w:tcPr>
          <w:p>
            <w:pPr>
              <w:snapToGrid w:val="0"/>
              <w:spacing w:line="276" w:lineRule="auto"/>
              <w:jc w:val="center"/>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6"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6"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986" w:type="dxa"/>
            <w:vMerge w:val="continue"/>
            <w:noWrap w:val="0"/>
            <w:vAlign w:val="center"/>
          </w:tcPr>
          <w:p>
            <w:pPr>
              <w:snapToGrid w:val="0"/>
              <w:spacing w:line="276" w:lineRule="auto"/>
              <w:jc w:val="center"/>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6"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6"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986" w:type="dxa"/>
            <w:vMerge w:val="restart"/>
            <w:noWrap w:val="0"/>
            <w:vAlign w:val="center"/>
          </w:tcPr>
          <w:p>
            <w:pPr>
              <w:snapToGrid w:val="0"/>
              <w:spacing w:line="276" w:lineRule="auto"/>
              <w:jc w:val="center"/>
              <w:rPr>
                <w:rFonts w:hint="eastAsia" w:ascii="华文宋体" w:hAnsi="华文宋体" w:eastAsia="华文宋体" w:cs="华文宋体"/>
                <w:color w:val="000000"/>
                <w:sz w:val="24"/>
                <w:highlight w:val="none"/>
              </w:rPr>
            </w:pPr>
            <w:r>
              <w:rPr>
                <w:rFonts w:hint="eastAsia" w:ascii="华文宋体" w:hAnsi="华文宋体" w:eastAsia="华文宋体" w:cs="华文宋体"/>
                <w:color w:val="000000"/>
                <w:sz w:val="24"/>
                <w:highlight w:val="none"/>
              </w:rPr>
              <w:t>技术</w:t>
            </w:r>
          </w:p>
          <w:p>
            <w:pPr>
              <w:snapToGrid w:val="0"/>
              <w:spacing w:line="276" w:lineRule="auto"/>
              <w:jc w:val="center"/>
              <w:rPr>
                <w:rFonts w:hint="eastAsia" w:ascii="华文宋体" w:hAnsi="华文宋体" w:eastAsia="华文宋体" w:cs="华文宋体"/>
                <w:color w:val="000000"/>
                <w:sz w:val="24"/>
                <w:highlight w:val="none"/>
              </w:rPr>
            </w:pPr>
            <w:r>
              <w:rPr>
                <w:rFonts w:hint="eastAsia" w:ascii="华文宋体" w:hAnsi="华文宋体" w:eastAsia="华文宋体" w:cs="华文宋体"/>
                <w:color w:val="000000"/>
                <w:sz w:val="24"/>
                <w:highlight w:val="none"/>
              </w:rPr>
              <w:t>人员</w:t>
            </w: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6"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6"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986" w:type="dxa"/>
            <w:vMerge w:val="continue"/>
            <w:noWrap w:val="0"/>
            <w:vAlign w:val="center"/>
          </w:tcPr>
          <w:p>
            <w:pPr>
              <w:snapToGrid w:val="0"/>
              <w:spacing w:line="276" w:lineRule="auto"/>
              <w:jc w:val="center"/>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6"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6"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986" w:type="dxa"/>
            <w:vMerge w:val="continue"/>
            <w:noWrap w:val="0"/>
            <w:vAlign w:val="center"/>
          </w:tcPr>
          <w:p>
            <w:pPr>
              <w:snapToGrid w:val="0"/>
              <w:spacing w:line="276" w:lineRule="auto"/>
              <w:jc w:val="center"/>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6"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6"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986" w:type="dxa"/>
            <w:vMerge w:val="restart"/>
            <w:noWrap w:val="0"/>
            <w:vAlign w:val="center"/>
          </w:tcPr>
          <w:p>
            <w:pPr>
              <w:snapToGrid w:val="0"/>
              <w:spacing w:line="276" w:lineRule="auto"/>
              <w:jc w:val="center"/>
              <w:rPr>
                <w:rFonts w:hint="eastAsia" w:ascii="华文宋体" w:hAnsi="华文宋体" w:eastAsia="华文宋体" w:cs="华文宋体"/>
                <w:color w:val="000000"/>
                <w:sz w:val="24"/>
                <w:highlight w:val="none"/>
              </w:rPr>
            </w:pPr>
            <w:r>
              <w:rPr>
                <w:rFonts w:hint="eastAsia" w:ascii="华文宋体" w:hAnsi="华文宋体" w:eastAsia="华文宋体" w:cs="华文宋体"/>
                <w:color w:val="000000"/>
                <w:sz w:val="24"/>
                <w:highlight w:val="none"/>
              </w:rPr>
              <w:t>售后服务人员</w:t>
            </w: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6"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6"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986" w:type="dxa"/>
            <w:vMerge w:val="continue"/>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6"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6"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86" w:type="dxa"/>
            <w:vMerge w:val="continue"/>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6"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6" w:type="dxa"/>
            <w:noWrap w:val="0"/>
            <w:vAlign w:val="top"/>
          </w:tcPr>
          <w:p>
            <w:pPr>
              <w:snapToGrid w:val="0"/>
              <w:spacing w:line="276" w:lineRule="auto"/>
              <w:rPr>
                <w:rFonts w:hint="eastAsia" w:ascii="华文宋体" w:hAnsi="华文宋体" w:eastAsia="华文宋体" w:cs="华文宋体"/>
                <w:color w:val="000000"/>
                <w:sz w:val="24"/>
                <w:highlight w:val="none"/>
              </w:rPr>
            </w:pPr>
          </w:p>
        </w:tc>
        <w:tc>
          <w:tcPr>
            <w:tcW w:w="987" w:type="dxa"/>
            <w:noWrap w:val="0"/>
            <w:vAlign w:val="top"/>
          </w:tcPr>
          <w:p>
            <w:pPr>
              <w:snapToGrid w:val="0"/>
              <w:spacing w:line="276" w:lineRule="auto"/>
              <w:rPr>
                <w:rFonts w:hint="eastAsia" w:ascii="华文宋体" w:hAnsi="华文宋体" w:eastAsia="华文宋体" w:cs="华文宋体"/>
                <w:color w:val="000000"/>
                <w:sz w:val="24"/>
                <w:highlight w:val="none"/>
              </w:rPr>
            </w:pPr>
          </w:p>
        </w:tc>
      </w:tr>
    </w:tbl>
    <w:p>
      <w:pPr>
        <w:tabs>
          <w:tab w:val="left" w:pos="9639"/>
        </w:tabs>
        <w:ind w:left="480" w:hanging="480" w:hangingChars="200"/>
        <w:rPr>
          <w:rFonts w:hint="eastAsia" w:hAnsi="宋体"/>
          <w:sz w:val="24"/>
        </w:rPr>
      </w:pPr>
      <w:r>
        <w:rPr>
          <w:rFonts w:hint="eastAsia" w:hAnsi="宋体"/>
          <w:sz w:val="24"/>
          <w:lang w:val="en-US" w:eastAsia="zh-CN"/>
        </w:rPr>
        <w:t>注</w:t>
      </w:r>
      <w:r>
        <w:rPr>
          <w:rFonts w:hint="eastAsia" w:hAnsi="宋体"/>
          <w:sz w:val="24"/>
          <w:lang w:eastAsia="zh-CN"/>
        </w:rPr>
        <w:t>；</w:t>
      </w:r>
      <w:r>
        <w:rPr>
          <w:rFonts w:hint="eastAsia" w:hAnsi="宋体"/>
          <w:sz w:val="24"/>
          <w:lang w:val="en-US" w:eastAsia="zh-CN"/>
        </w:rPr>
        <w:t>1、</w:t>
      </w:r>
      <w:r>
        <w:rPr>
          <w:rFonts w:hint="eastAsia" w:hAnsi="宋体"/>
          <w:sz w:val="24"/>
          <w:lang w:eastAsia="zh-CN"/>
        </w:rPr>
        <w:t>上述人员须提供在职证明（提供近</w:t>
      </w:r>
      <w:r>
        <w:rPr>
          <w:rFonts w:hint="eastAsia" w:hAnsi="宋体"/>
          <w:sz w:val="24"/>
          <w:lang w:val="en-US" w:eastAsia="zh-CN"/>
        </w:rPr>
        <w:t>6个月的社保缴纳证明或劳动合同复印件）；2、上述人员须</w:t>
      </w:r>
      <w:r>
        <w:rPr>
          <w:rFonts w:hint="eastAsia" w:hAnsi="宋体"/>
          <w:sz w:val="24"/>
        </w:rPr>
        <w:t>提供</w:t>
      </w:r>
      <w:r>
        <w:rPr>
          <w:rFonts w:hint="eastAsia" w:hAnsi="宋体"/>
          <w:sz w:val="24"/>
          <w:lang w:eastAsia="zh-CN"/>
        </w:rPr>
        <w:t>有效的</w:t>
      </w:r>
      <w:r>
        <w:rPr>
          <w:rFonts w:hint="eastAsia" w:hAnsi="宋体"/>
          <w:sz w:val="24"/>
        </w:rPr>
        <w:t>证书</w:t>
      </w:r>
      <w:r>
        <w:rPr>
          <w:rFonts w:hint="eastAsia" w:hAnsi="宋体"/>
          <w:sz w:val="24"/>
          <w:lang w:eastAsia="zh-CN"/>
        </w:rPr>
        <w:t>证件</w:t>
      </w:r>
      <w:r>
        <w:rPr>
          <w:rFonts w:hint="eastAsia" w:hAnsi="宋体"/>
          <w:sz w:val="24"/>
        </w:rPr>
        <w:t>复印件并加盖供应商公章。</w:t>
      </w:r>
    </w:p>
    <w:p>
      <w:pPr>
        <w:spacing w:line="360" w:lineRule="auto"/>
        <w:jc w:val="left"/>
        <w:rPr>
          <w:rFonts w:hint="eastAsia" w:ascii="宋体" w:hAnsi="宋体" w:cs="宋体"/>
          <w:color w:val="auto"/>
          <w:sz w:val="24"/>
        </w:rPr>
      </w:pPr>
      <w:r>
        <w:rPr>
          <w:rFonts w:hint="eastAsia" w:ascii="宋体" w:hAnsi="宋体" w:cs="宋体"/>
          <w:color w:val="auto"/>
          <w:sz w:val="24"/>
        </w:rPr>
        <w:t>法定代表人/单位负责人或授权代表：</w:t>
      </w:r>
      <w:r>
        <w:rPr>
          <w:rFonts w:hint="eastAsia" w:ascii="宋体" w:hAnsi="宋体" w:cs="宋体"/>
          <w:color w:val="auto"/>
          <w:sz w:val="24"/>
          <w:u w:val="single"/>
        </w:rPr>
        <w:t xml:space="preserve">                 </w:t>
      </w:r>
      <w:r>
        <w:rPr>
          <w:rFonts w:hint="eastAsia" w:ascii="宋体" w:hAnsi="宋体" w:cs="宋体"/>
          <w:color w:val="auto"/>
          <w:sz w:val="24"/>
        </w:rPr>
        <w:t>（签字或加盖个人名章）</w:t>
      </w:r>
    </w:p>
    <w:p>
      <w:pPr>
        <w:spacing w:line="360" w:lineRule="auto"/>
        <w:jc w:val="left"/>
        <w:rPr>
          <w:rFonts w:hint="eastAsia" w:ascii="宋体" w:hAnsi="宋体" w:cs="宋体"/>
          <w:color w:val="auto"/>
          <w:sz w:val="24"/>
        </w:rPr>
      </w:pPr>
      <w:r>
        <w:rPr>
          <w:rFonts w:hint="eastAsia" w:ascii="宋体" w:hAnsi="宋体" w:cs="宋体"/>
          <w:color w:val="auto"/>
          <w:sz w:val="24"/>
        </w:rPr>
        <w:t>供应商名称：</w:t>
      </w:r>
      <w:r>
        <w:rPr>
          <w:rFonts w:hint="eastAsia" w:ascii="宋体" w:hAnsi="宋体" w:cs="宋体"/>
          <w:color w:val="auto"/>
          <w:sz w:val="24"/>
          <w:u w:val="single"/>
        </w:rPr>
        <w:t xml:space="preserve">                      </w:t>
      </w:r>
      <w:r>
        <w:rPr>
          <w:rFonts w:hint="eastAsia" w:ascii="宋体" w:hAnsi="宋体" w:cs="宋体"/>
          <w:color w:val="auto"/>
          <w:sz w:val="24"/>
        </w:rPr>
        <w:t>（单位盖章）</w:t>
      </w:r>
    </w:p>
    <w:p>
      <w:pPr>
        <w:spacing w:line="360" w:lineRule="auto"/>
        <w:rPr>
          <w:rFonts w:hint="eastAsia" w:ascii="宋体" w:hAnsi="宋体" w:cs="宋体"/>
          <w:color w:val="auto"/>
          <w:sz w:val="24"/>
        </w:rPr>
      </w:pPr>
      <w:r>
        <w:rPr>
          <w:rFonts w:hint="eastAsia" w:ascii="宋体" w:hAnsi="宋体" w:cs="宋体"/>
          <w:color w:val="auto"/>
          <w:sz w:val="24"/>
        </w:rPr>
        <w:t>日期：</w:t>
      </w:r>
    </w:p>
    <w:p>
      <w:pPr>
        <w:tabs>
          <w:tab w:val="left" w:pos="9639"/>
        </w:tabs>
        <w:spacing w:line="360" w:lineRule="auto"/>
        <w:rPr>
          <w:rFonts w:hint="eastAsia"/>
          <w:sz w:val="32"/>
          <w:szCs w:val="32"/>
        </w:rPr>
      </w:pPr>
    </w:p>
    <w:p>
      <w:pPr>
        <w:pStyle w:val="11"/>
        <w:tabs>
          <w:tab w:val="left" w:pos="9639"/>
        </w:tabs>
        <w:rPr>
          <w:rFonts w:hint="eastAsia"/>
          <w:sz w:val="32"/>
          <w:szCs w:val="32"/>
        </w:rPr>
      </w:pPr>
    </w:p>
    <w:p>
      <w:pPr>
        <w:pStyle w:val="11"/>
        <w:tabs>
          <w:tab w:val="left" w:pos="9639"/>
        </w:tabs>
        <w:rPr>
          <w:rFonts w:hint="eastAsia"/>
          <w:sz w:val="32"/>
          <w:szCs w:val="32"/>
        </w:rPr>
      </w:pPr>
    </w:p>
    <w:p>
      <w:pPr>
        <w:pStyle w:val="11"/>
        <w:tabs>
          <w:tab w:val="left" w:pos="9639"/>
        </w:tabs>
        <w:rPr>
          <w:rFonts w:hint="eastAsia"/>
          <w:sz w:val="32"/>
          <w:szCs w:val="32"/>
        </w:rPr>
      </w:pPr>
    </w:p>
    <w:p>
      <w:pPr>
        <w:tabs>
          <w:tab w:val="left" w:pos="9639"/>
        </w:tabs>
        <w:rPr>
          <w:rFonts w:hint="eastAsia"/>
        </w:rPr>
      </w:pPr>
      <w:r>
        <w:br w:type="page"/>
      </w:r>
    </w:p>
    <w:p>
      <w:pPr>
        <w:pStyle w:val="2"/>
        <w:numPr>
          <w:ilvl w:val="0"/>
          <w:numId w:val="6"/>
        </w:numPr>
        <w:tabs>
          <w:tab w:val="left" w:pos="9639"/>
        </w:tabs>
        <w:jc w:val="center"/>
        <w:rPr>
          <w:rFonts w:hint="eastAsia"/>
        </w:rPr>
      </w:pPr>
      <w:bookmarkStart w:id="94" w:name="_Toc511386828"/>
      <w:bookmarkStart w:id="95" w:name="_Toc509823119"/>
      <w:r>
        <w:rPr>
          <w:rFonts w:hint="eastAsia"/>
        </w:rPr>
        <w:t>项目</w:t>
      </w:r>
      <w:r>
        <w:rPr>
          <w:rFonts w:hint="eastAsia"/>
          <w:lang w:eastAsia="zh-CN"/>
        </w:rPr>
        <w:t>服务方案</w:t>
      </w:r>
    </w:p>
    <w:p>
      <w:pPr>
        <w:pStyle w:val="11"/>
        <w:tabs>
          <w:tab w:val="left" w:pos="9639"/>
        </w:tabs>
        <w:rPr>
          <w:rFonts w:hint="eastAsia"/>
          <w:sz w:val="24"/>
          <w:szCs w:val="24"/>
        </w:rPr>
      </w:pPr>
    </w:p>
    <w:p>
      <w:pPr>
        <w:tabs>
          <w:tab w:val="left" w:pos="9639"/>
        </w:tabs>
        <w:rPr>
          <w:rFonts w:hint="eastAsia"/>
          <w:sz w:val="24"/>
          <w:szCs w:val="24"/>
        </w:rPr>
      </w:pPr>
      <w:r>
        <w:rPr>
          <w:rFonts w:hint="eastAsia"/>
          <w:sz w:val="24"/>
          <w:szCs w:val="24"/>
        </w:rPr>
        <w:t>供应商根据本项目特点和具体情况，自行编写。</w:t>
      </w:r>
    </w:p>
    <w:p/>
    <w:p/>
    <w:p/>
    <w:p/>
    <w:p/>
    <w:p/>
    <w:p/>
    <w:p/>
    <w:p/>
    <w:p>
      <w:pPr>
        <w:pStyle w:val="11"/>
        <w:tabs>
          <w:tab w:val="left" w:pos="9639"/>
        </w:tabs>
        <w:rPr>
          <w:b/>
          <w:bCs/>
          <w:szCs w:val="32"/>
        </w:rPr>
      </w:pPr>
    </w:p>
    <w:p>
      <w:pPr>
        <w:pStyle w:val="11"/>
        <w:tabs>
          <w:tab w:val="left" w:pos="9639"/>
        </w:tabs>
        <w:rPr>
          <w:b/>
          <w:bCs/>
          <w:szCs w:val="32"/>
        </w:rPr>
      </w:pPr>
      <w:r>
        <w:rPr>
          <w:b/>
          <w:bCs/>
          <w:szCs w:val="32"/>
        </w:rPr>
        <w:br w:type="page"/>
      </w:r>
    </w:p>
    <w:p>
      <w:pPr>
        <w:pStyle w:val="3"/>
        <w:tabs>
          <w:tab w:val="left" w:pos="9639"/>
        </w:tabs>
        <w:rPr>
          <w:rFonts w:hint="eastAsia"/>
        </w:rPr>
      </w:pPr>
      <w:r>
        <w:rPr>
          <w:rFonts w:hint="eastAsia"/>
        </w:rPr>
        <w:t>九、供应商认为需要提供的其它资料</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3"/>
        <w:tabs>
          <w:tab w:val="left" w:pos="9639"/>
        </w:tabs>
        <w:rPr>
          <w:rFonts w:hint="eastAsia"/>
        </w:rPr>
      </w:pPr>
      <w:r>
        <w:rPr>
          <w:rFonts w:hint="eastAsia"/>
        </w:rPr>
        <w:br w:type="page"/>
      </w:r>
      <w:r>
        <w:rPr>
          <w:rFonts w:hint="eastAsia"/>
        </w:rPr>
        <w:t>第九章  评审方法</w:t>
      </w:r>
      <w:bookmarkEnd w:id="94"/>
      <w:bookmarkEnd w:id="95"/>
    </w:p>
    <w:p>
      <w:pPr>
        <w:pStyle w:val="2"/>
        <w:keepNext w:val="0"/>
        <w:keepLines w:val="0"/>
        <w:tabs>
          <w:tab w:val="left" w:pos="9639"/>
        </w:tabs>
        <w:spacing w:before="0" w:after="0" w:line="400" w:lineRule="exact"/>
        <w:ind w:firstLine="472" w:firstLineChars="196"/>
        <w:rPr>
          <w:rFonts w:hint="eastAsia" w:ascii="宋体" w:hAnsi="宋体" w:eastAsia="宋体"/>
          <w:sz w:val="24"/>
          <w:szCs w:val="24"/>
        </w:rPr>
      </w:pPr>
      <w:bookmarkStart w:id="96" w:name="_Toc101250640"/>
      <w:bookmarkStart w:id="97" w:name="_Toc101338358"/>
      <w:bookmarkStart w:id="98" w:name="_Toc209847065"/>
      <w:bookmarkStart w:id="99" w:name="_Toc101174146"/>
      <w:bookmarkStart w:id="100" w:name="_Toc430773924"/>
      <w:r>
        <w:rPr>
          <w:rFonts w:hint="eastAsia" w:ascii="宋体" w:hAnsi="宋体" w:eastAsia="宋体"/>
          <w:sz w:val="24"/>
          <w:szCs w:val="24"/>
        </w:rPr>
        <w:t>1.总则</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1.1 根据《中华人民共和国政府采购法》、《中华人民共和国政府采购法实施条例》、《政府采购竞争性磋商采购方式管理暂行办法》等法律制度，结合本采购项目特点制定本磋商方法。</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1.2 磋商工作由采购代理机构负责组织，具体磋商由采购代理机构依法组建的磋商小组负责。</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1.3 磋商工作应遵循公平、公正、科学及择优的原则，并以相同的磋商程序和标准对待所有的供应商。</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1.4 磋商小组按照磋商文件规定的磋商程序、评分方法和标准进行评审，并独立履行下列职责：</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（一）熟悉和理解磋商文件，确定磋商文件内容是否违反国家有关强制性规定或者磋商文件存在歧义、重大缺陷，根据需要书面要求采购人、采购代理机构对磋商文件作出解释；</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（二）审查供应商响应文件是否满足磋商文件要求，并作出公正评价；</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（三）根据需要要求供应商对响应文件中含义不明确、同类问题表述不一致或者有明显文字和计算错误的内容等作出必要的澄清、说明或者更正；</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（四）推荐成交供应商，或者受采购人委托确定成交供应商；</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（五）起草评审报告并进行签署；</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（六）向采购人/采购代理机构、财政部门或者其他监督部门报告非法干预评审工作的行为；</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（七）法律、法规和规章规定的其他职责。</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1.5 （实质性要求）磋商过程独立、保密。供应商非法干预磋商过程的，其响应文件作无效处理。</w:t>
      </w:r>
    </w:p>
    <w:p>
      <w:pPr>
        <w:pStyle w:val="2"/>
        <w:keepNext w:val="0"/>
        <w:keepLines w:val="0"/>
        <w:tabs>
          <w:tab w:val="left" w:pos="9639"/>
        </w:tabs>
        <w:spacing w:before="0" w:after="0" w:line="400" w:lineRule="exact"/>
        <w:ind w:firstLine="470" w:firstLineChars="196"/>
        <w:rPr>
          <w:rFonts w:ascii="宋体" w:hAnsi="宋体" w:eastAsia="宋体"/>
          <w:b w:val="0"/>
          <w:sz w:val="24"/>
          <w:szCs w:val="24"/>
        </w:rPr>
      </w:pPr>
      <w:r>
        <w:rPr>
          <w:rFonts w:hint="eastAsia" w:ascii="宋体" w:hAnsi="宋体" w:eastAsia="宋体"/>
          <w:b w:val="0"/>
          <w:sz w:val="24"/>
          <w:szCs w:val="24"/>
        </w:rPr>
        <w:t xml:space="preserve">1.6 </w:t>
      </w:r>
      <w:r>
        <w:rPr>
          <w:rFonts w:ascii="宋体" w:hAnsi="宋体" w:eastAsia="宋体"/>
          <w:b w:val="0"/>
          <w:sz w:val="24"/>
          <w:szCs w:val="24"/>
        </w:rPr>
        <w:t>根据《财政部关于政府采购竞争性磋商采购方式管理暂行办法有关问题的补充通知》财库[2015]124号的要求：</w:t>
      </w:r>
      <w:r>
        <w:rPr>
          <w:rFonts w:hint="eastAsia" w:ascii="宋体" w:hAnsi="宋体" w:eastAsia="宋体"/>
          <w:b w:val="0"/>
          <w:sz w:val="24"/>
          <w:szCs w:val="24"/>
        </w:rPr>
        <w:t>采用竞争性磋商采购方式采购的政府购买服务项目（含政府和社会资本合作项目），在采购过程中符合要求的供应商（社会资本）只有</w:t>
      </w:r>
      <w:r>
        <w:rPr>
          <w:rFonts w:ascii="宋体" w:hAnsi="宋体" w:eastAsia="宋体"/>
          <w:b w:val="0"/>
          <w:sz w:val="24"/>
          <w:szCs w:val="24"/>
        </w:rPr>
        <w:t>2</w:t>
      </w:r>
      <w:r>
        <w:rPr>
          <w:rFonts w:hint="eastAsia" w:ascii="宋体" w:hAnsi="宋体" w:eastAsia="宋体"/>
          <w:b w:val="0"/>
          <w:sz w:val="24"/>
          <w:szCs w:val="24"/>
        </w:rPr>
        <w:t>家的，竞争性磋商采购活动可以继续进行。</w:t>
      </w:r>
      <w:r>
        <w:rPr>
          <w:rFonts w:ascii="宋体" w:hAnsi="宋体" w:eastAsia="宋体"/>
          <w:b w:val="0"/>
          <w:sz w:val="24"/>
          <w:szCs w:val="24"/>
        </w:rPr>
        <w:t>若采购过程中符合要求的供应商（社会资本）只有2家，且采购人要求继续进行的，评审委员会应当遵照相关要求进行评审。</w:t>
      </w:r>
    </w:p>
    <w:p>
      <w:pPr>
        <w:pStyle w:val="2"/>
        <w:keepNext w:val="0"/>
        <w:keepLines w:val="0"/>
        <w:tabs>
          <w:tab w:val="left" w:pos="9639"/>
        </w:tabs>
        <w:spacing w:before="0" w:after="0" w:line="400" w:lineRule="exact"/>
        <w:ind w:firstLine="472" w:firstLineChars="196"/>
        <w:rPr>
          <w:rFonts w:hint="eastAsia" w:ascii="宋体" w:hAnsi="宋体" w:eastAsia="宋体"/>
          <w:sz w:val="24"/>
          <w:szCs w:val="24"/>
        </w:rPr>
      </w:pPr>
      <w:r>
        <w:rPr>
          <w:rFonts w:hint="eastAsia" w:ascii="宋体" w:hAnsi="宋体" w:eastAsia="宋体"/>
          <w:sz w:val="24"/>
          <w:szCs w:val="24"/>
        </w:rPr>
        <w:t>2.磋商程序</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2.1审查磋商文件和停止评审。</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2.1.2 本磋商文件有下列情形之一的，磋商小组应当停止评审：</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（1）磋商文件的规定存在歧义、重大缺陷的；</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（2）磋商文件明显以不合理条件对供应商实行差别待遇或者歧视待遇的；</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（3）采购项目属于国家规定的优先、强制采购范围，但是磋商文件未依法体现优先、强制采购相关规定的；</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（4）采购项目属于政府采购促进中小企业发展的范围，但是磋商文件未依法体现促进中小企业发展相关规定的；</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（5）磋商文件将供应商的资格条件列为评分因素的；</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（6）磋商文件载明的成交原则不合法的；</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（7）磋商文件有违反国家其他有关强制性规定的情形。</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2.1.3 出现本条2.1.2规定应当停止评审情形的，磋商小组应当向采购人书面说明情况。除本条规定的情形外，磋商小组不得以任何方式和理由停止评审。</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2.2资格性审查。</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2.2.1本项目需要磋商小组进行资格性检查。 磋商小组应依据法律法规和磋商文件的规定，对响应文件是否按照规定要求提供资格性证明材料、是否属于禁止参加磋商的供应商等进行审查，以确定供应商是否具备磋商资格。</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2.2.2资格性审查结束后，磋商小组应当出具资格性审查报告，没有通过资格审查的供应商，磋商小组应当在资格审查报告中说明原因。</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2.2.3磋商小组应依据磋商文件规定的实质性要求，对符合资格的响应文件进行有效性、完整性和响应程度审查，以确定参加磋商的供应商名单。</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2.2.4采购人或者采购代理机构宣布未通过资格性审查的供应商名单时，应当告知供应商未通过审查的原因。</w:t>
      </w:r>
    </w:p>
    <w:p>
      <w:pPr>
        <w:pStyle w:val="2"/>
        <w:keepNext w:val="0"/>
        <w:keepLines w:val="0"/>
        <w:tabs>
          <w:tab w:val="left" w:pos="9639"/>
        </w:tabs>
        <w:spacing w:before="0" w:after="0" w:line="400" w:lineRule="exact"/>
        <w:ind w:firstLine="470" w:firstLineChars="196"/>
        <w:rPr>
          <w:rFonts w:hint="eastAsia"/>
        </w:rPr>
      </w:pPr>
      <w:r>
        <w:rPr>
          <w:rFonts w:hint="eastAsia" w:ascii="宋体" w:hAnsi="宋体" w:eastAsia="宋体"/>
          <w:b w:val="0"/>
          <w:sz w:val="24"/>
          <w:szCs w:val="24"/>
        </w:rPr>
        <w:t>2.3 通过资格性审查的供应商不足3家的（满足本章1.6规定的除外），终止本次采购活动，并发布终止采购活动公告。</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2.4磋商。</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2.4.2每轮磋商开始前，磋商小组应根据磋商文件的规定，并结合各供应商的响应文件拟定磋商内容。</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2.4.4对磋商文件作出的实质性变动是磋商文件的有效组成部分，磋商小组应当及时以书面形式同时通知所有参加磋商的供应商。</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2.4.5磋商过程中，磋商文件变动的，供应商应当按照磋商文件的变动情况和磋商小组的要求重新提交响应文件，并由其法定代表人/主要负责人/本人或其授权代表签字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2.4.6磋商过程中，磋商的任何一方不得透露与磋商有关的其他供应商的技术资料、价格和其他信息。</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2.4.7磋商过程中，磋商小组发现或者知晓供应商存在违法、违纪行为的，磋商小组应当将该供应商响应文件作无效处理，不允许其提交最后报价。</w:t>
      </w:r>
    </w:p>
    <w:p>
      <w:pPr>
        <w:pStyle w:val="2"/>
        <w:keepNext w:val="0"/>
        <w:keepLines w:val="0"/>
        <w:tabs>
          <w:tab w:val="left" w:pos="9639"/>
        </w:tabs>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 xml:space="preserve">2.4.8磋商完成后，磋商小组应出具磋商情况记录表，磋商情况记录表需包含磋商内容、磋商意见、实质性变动内容等。   </w:t>
      </w:r>
    </w:p>
    <w:p>
      <w:pPr>
        <w:tabs>
          <w:tab w:val="left" w:pos="9639"/>
        </w:tabs>
        <w:spacing w:line="400" w:lineRule="exact"/>
        <w:ind w:firstLine="480" w:firstLineChars="200"/>
        <w:rPr>
          <w:rFonts w:hint="eastAsia" w:hAnsi="宋体"/>
          <w:sz w:val="24"/>
        </w:rPr>
      </w:pPr>
      <w:r>
        <w:rPr>
          <w:rFonts w:hint="eastAsia" w:hAnsi="宋体"/>
          <w:sz w:val="24"/>
        </w:rPr>
        <w:t>2.5最后报价。</w:t>
      </w:r>
    </w:p>
    <w:p>
      <w:pPr>
        <w:tabs>
          <w:tab w:val="left" w:pos="9639"/>
        </w:tabs>
        <w:spacing w:line="400" w:lineRule="exact"/>
        <w:ind w:firstLine="480" w:firstLineChars="200"/>
        <w:rPr>
          <w:rFonts w:hint="eastAsia" w:hAnsi="宋体"/>
          <w:sz w:val="24"/>
        </w:rPr>
      </w:pPr>
      <w:r>
        <w:rPr>
          <w:rFonts w:hint="eastAsia" w:hAnsi="宋体"/>
          <w:sz w:val="24"/>
        </w:rPr>
        <w:t>2.5.1磋商文件能够详细列明采购标的的技术、服务要求的，磋商结束后，磋商小组应当要求所有实质性响应的供应商在规定时间内提交最后报价，提交最后报价的供应商不得少于3家。但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符合政府采购竞争性磋商采购方式管理暂行办法</w:t>
      </w:r>
      <w:bookmarkStart w:id="101" w:name="_Toc499291088"/>
      <w:r>
        <w:rPr>
          <w:rFonts w:hint="eastAsia" w:hAnsi="宋体"/>
          <w:sz w:val="24"/>
        </w:rPr>
        <w:t>（财库[</w:t>
      </w:r>
      <w:r>
        <w:rPr>
          <w:rFonts w:hAnsi="宋体"/>
          <w:sz w:val="24"/>
        </w:rPr>
        <w:t>2014</w:t>
      </w:r>
      <w:r>
        <w:rPr>
          <w:rFonts w:hint="eastAsia" w:hAnsi="宋体"/>
          <w:sz w:val="24"/>
        </w:rPr>
        <w:t>]</w:t>
      </w:r>
      <w:r>
        <w:rPr>
          <w:rFonts w:hAnsi="宋体"/>
          <w:sz w:val="24"/>
        </w:rPr>
        <w:t>214</w:t>
      </w:r>
      <w:r>
        <w:rPr>
          <w:rFonts w:hint="eastAsia" w:hAnsi="宋体"/>
          <w:sz w:val="24"/>
        </w:rPr>
        <w:t>号）</w:t>
      </w:r>
      <w:bookmarkEnd w:id="101"/>
      <w:r>
        <w:rPr>
          <w:rFonts w:hint="eastAsia" w:hAnsi="宋体"/>
          <w:sz w:val="24"/>
        </w:rPr>
        <w:t>第三条第四项情形的及</w:t>
      </w:r>
      <w:bookmarkStart w:id="102" w:name="_Toc499291089"/>
      <w:r>
        <w:rPr>
          <w:rFonts w:hint="eastAsia" w:hAnsi="宋体"/>
          <w:sz w:val="24"/>
        </w:rPr>
        <w:t>财政部关于政府采购竞争性磋商采购方式管理暂行办法有关问题的补充通知</w:t>
      </w:r>
      <w:bookmarkEnd w:id="102"/>
      <w:bookmarkStart w:id="103" w:name="_Toc499291090"/>
      <w:r>
        <w:rPr>
          <w:rFonts w:hint="eastAsia" w:hAnsi="宋体"/>
          <w:sz w:val="24"/>
        </w:rPr>
        <w:t>（财库[</w:t>
      </w:r>
      <w:r>
        <w:rPr>
          <w:rFonts w:hAnsi="宋体"/>
          <w:sz w:val="24"/>
        </w:rPr>
        <w:t>2015</w:t>
      </w:r>
      <w:r>
        <w:rPr>
          <w:rFonts w:hint="eastAsia" w:hAnsi="宋体"/>
          <w:sz w:val="24"/>
        </w:rPr>
        <w:t>]</w:t>
      </w:r>
      <w:r>
        <w:rPr>
          <w:rFonts w:hAnsi="宋体"/>
          <w:sz w:val="24"/>
        </w:rPr>
        <w:t>124</w:t>
      </w:r>
      <w:r>
        <w:rPr>
          <w:rFonts w:hint="eastAsia" w:hAnsi="宋体"/>
          <w:sz w:val="24"/>
        </w:rPr>
        <w:t>号）</w:t>
      </w:r>
      <w:bookmarkEnd w:id="103"/>
      <w:r>
        <w:rPr>
          <w:rFonts w:hint="eastAsia" w:hAnsi="宋体"/>
          <w:sz w:val="24"/>
        </w:rPr>
        <w:t>规定情形提交最后报价的供应商可以为</w:t>
      </w:r>
      <w:r>
        <w:rPr>
          <w:rFonts w:hAnsi="宋体"/>
          <w:sz w:val="24"/>
        </w:rPr>
        <w:t>2</w:t>
      </w:r>
      <w:r>
        <w:rPr>
          <w:rFonts w:hint="eastAsia" w:hAnsi="宋体"/>
          <w:sz w:val="24"/>
        </w:rPr>
        <w:t>家。</w:t>
      </w:r>
    </w:p>
    <w:p>
      <w:pPr>
        <w:tabs>
          <w:tab w:val="left" w:pos="9639"/>
        </w:tabs>
        <w:spacing w:line="400" w:lineRule="exact"/>
        <w:ind w:firstLine="480" w:firstLineChars="200"/>
        <w:rPr>
          <w:rFonts w:hint="eastAsia" w:hAnsi="宋体"/>
          <w:sz w:val="24"/>
        </w:rPr>
      </w:pPr>
      <w:r>
        <w:rPr>
          <w:rFonts w:hint="eastAsia" w:hAnsi="宋体"/>
          <w:sz w:val="24"/>
        </w:rPr>
        <w:t>2.5.2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p>
    <w:p>
      <w:pPr>
        <w:tabs>
          <w:tab w:val="left" w:pos="9639"/>
        </w:tabs>
        <w:spacing w:line="400" w:lineRule="exact"/>
        <w:ind w:firstLine="480" w:firstLineChars="200"/>
        <w:rPr>
          <w:rFonts w:hint="eastAsia" w:hAnsi="宋体"/>
          <w:sz w:val="24"/>
        </w:rPr>
      </w:pPr>
      <w:r>
        <w:rPr>
          <w:rFonts w:hint="eastAsia" w:hAnsi="宋体"/>
          <w:sz w:val="24"/>
        </w:rPr>
        <w:t>2.5.3供应商最后报价应当由法定代表人/主要负责人/本人或其授权代表签字确认或加盖公章。最后报价是供应商响应文件的有效组成部分。</w:t>
      </w:r>
    </w:p>
    <w:p>
      <w:pPr>
        <w:tabs>
          <w:tab w:val="left" w:pos="9639"/>
        </w:tabs>
        <w:spacing w:line="400" w:lineRule="exact"/>
        <w:ind w:firstLine="480" w:firstLineChars="200"/>
        <w:rPr>
          <w:rFonts w:hint="eastAsia" w:hAnsi="宋体"/>
          <w:sz w:val="24"/>
        </w:rPr>
      </w:pPr>
      <w:r>
        <w:rPr>
          <w:rFonts w:hint="eastAsia" w:hAnsi="宋体"/>
          <w:sz w:val="24"/>
        </w:rPr>
        <w:t>2.5.4最后报价中的算术错误将按以下方法修正：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pPr>
        <w:tabs>
          <w:tab w:val="left" w:pos="9639"/>
        </w:tabs>
        <w:spacing w:line="400" w:lineRule="exact"/>
        <w:ind w:firstLine="480" w:firstLineChars="200"/>
        <w:rPr>
          <w:rFonts w:hint="eastAsia" w:hAnsi="宋体"/>
          <w:sz w:val="24"/>
        </w:rPr>
      </w:pPr>
      <w:r>
        <w:rPr>
          <w:rFonts w:hint="eastAsia" w:hAnsi="宋体"/>
          <w:sz w:val="24"/>
        </w:rPr>
        <w:t>2.6比较与评价。由磋商小组采用综合评分法对提交最后报价的供应商的响应文件和最后报价进行综合评分，具体要求详见本章综合评分部分。</w:t>
      </w:r>
    </w:p>
    <w:p>
      <w:pPr>
        <w:tabs>
          <w:tab w:val="left" w:pos="9639"/>
        </w:tabs>
        <w:spacing w:line="400" w:lineRule="exact"/>
        <w:ind w:firstLine="480" w:firstLineChars="200"/>
        <w:rPr>
          <w:rFonts w:hint="eastAsia" w:hAnsi="宋体"/>
          <w:sz w:val="24"/>
        </w:rPr>
      </w:pPr>
      <w:r>
        <w:rPr>
          <w:rFonts w:hint="eastAsia" w:hAnsi="宋体"/>
          <w:sz w:val="24"/>
        </w:rPr>
        <w:t>2.7推荐成交候选供应商。磋商小组应当根据综合评分情况，按照评审得分由高到低顺序推荐3家以上成交候选供应商，并编写磋商报告。评审得分相同的，按照最后报价由低到高的顺序推荐。评审得分且最后报价相同的，按照技术指标优劣顺序推荐。评审得分且最后报价且技术指标分项得分均相同的，成交候选供应商并列。</w:t>
      </w:r>
    </w:p>
    <w:p>
      <w:pPr>
        <w:tabs>
          <w:tab w:val="left" w:pos="9639"/>
        </w:tabs>
        <w:spacing w:line="400" w:lineRule="exact"/>
        <w:ind w:firstLine="480" w:firstLineChars="200"/>
        <w:rPr>
          <w:rFonts w:hint="eastAsia" w:hAnsi="宋体"/>
          <w:sz w:val="24"/>
        </w:rPr>
      </w:pPr>
      <w:r>
        <w:rPr>
          <w:rFonts w:hint="eastAsia" w:hAnsi="宋体"/>
          <w:sz w:val="24"/>
        </w:rPr>
        <w:t>2.8磋商小组复核。磋商小组评分汇总结束后，磋商小组应当进行评审复核，对拟推荐为成交候选供应商的、报价最低的、供应商资格审查未通过的、供应商响应文件作无效处理的重点复核。</w:t>
      </w:r>
    </w:p>
    <w:p>
      <w:pPr>
        <w:tabs>
          <w:tab w:val="left" w:pos="9639"/>
        </w:tabs>
        <w:spacing w:line="400" w:lineRule="exact"/>
        <w:ind w:firstLine="480" w:firstLineChars="200"/>
        <w:rPr>
          <w:rFonts w:hint="eastAsia" w:hAnsi="宋体"/>
          <w:sz w:val="24"/>
        </w:rPr>
      </w:pPr>
      <w:r>
        <w:rPr>
          <w:rFonts w:hint="eastAsia" w:hAnsi="宋体"/>
          <w:sz w:val="24"/>
        </w:rPr>
        <w:t>2.9采购组织单位现场复核评审结果。</w:t>
      </w:r>
    </w:p>
    <w:p>
      <w:pPr>
        <w:tabs>
          <w:tab w:val="left" w:pos="9639"/>
        </w:tabs>
        <w:spacing w:line="400" w:lineRule="exact"/>
        <w:ind w:firstLine="480" w:firstLineChars="200"/>
        <w:rPr>
          <w:rFonts w:hint="eastAsia" w:hAnsi="宋体"/>
          <w:sz w:val="24"/>
        </w:rPr>
      </w:pPr>
      <w:r>
        <w:rPr>
          <w:rFonts w:hint="eastAsia" w:hAnsi="宋体"/>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tabs>
          <w:tab w:val="left" w:pos="9639"/>
        </w:tabs>
        <w:spacing w:line="400" w:lineRule="exact"/>
        <w:ind w:firstLine="480" w:firstLineChars="200"/>
        <w:rPr>
          <w:rFonts w:hint="eastAsia" w:hAnsi="宋体"/>
          <w:sz w:val="24"/>
        </w:rPr>
      </w:pPr>
      <w:r>
        <w:rPr>
          <w:rFonts w:hint="eastAsia" w:hAnsi="宋体"/>
          <w:sz w:val="24"/>
        </w:rPr>
        <w:t>（1）资格性审查认定错误的；</w:t>
      </w:r>
    </w:p>
    <w:p>
      <w:pPr>
        <w:tabs>
          <w:tab w:val="left" w:pos="9639"/>
        </w:tabs>
        <w:spacing w:line="400" w:lineRule="exact"/>
        <w:ind w:firstLine="480" w:firstLineChars="200"/>
        <w:rPr>
          <w:rFonts w:hint="eastAsia" w:hAnsi="宋体"/>
          <w:sz w:val="24"/>
        </w:rPr>
      </w:pPr>
      <w:r>
        <w:rPr>
          <w:rFonts w:hint="eastAsia" w:hAnsi="宋体"/>
          <w:sz w:val="24"/>
        </w:rPr>
        <w:t>（2）分值汇总计算错误的；</w:t>
      </w:r>
    </w:p>
    <w:p>
      <w:pPr>
        <w:tabs>
          <w:tab w:val="left" w:pos="9639"/>
        </w:tabs>
        <w:spacing w:line="400" w:lineRule="exact"/>
        <w:ind w:firstLine="480" w:firstLineChars="200"/>
        <w:rPr>
          <w:rFonts w:hint="eastAsia" w:hAnsi="宋体"/>
          <w:sz w:val="24"/>
        </w:rPr>
      </w:pPr>
      <w:r>
        <w:rPr>
          <w:rFonts w:hint="eastAsia" w:hAnsi="宋体"/>
          <w:sz w:val="24"/>
        </w:rPr>
        <w:t>（3）分项评分超出评分标准范围的；</w:t>
      </w:r>
    </w:p>
    <w:p>
      <w:pPr>
        <w:tabs>
          <w:tab w:val="left" w:pos="9639"/>
        </w:tabs>
        <w:spacing w:line="400" w:lineRule="exact"/>
        <w:ind w:firstLine="480" w:firstLineChars="200"/>
        <w:rPr>
          <w:rFonts w:hint="eastAsia" w:hAnsi="宋体"/>
          <w:sz w:val="24"/>
        </w:rPr>
      </w:pPr>
      <w:r>
        <w:rPr>
          <w:rFonts w:hint="eastAsia" w:hAnsi="宋体"/>
          <w:sz w:val="24"/>
        </w:rPr>
        <w:t>（4）客观评分不一致的。</w:t>
      </w:r>
    </w:p>
    <w:p>
      <w:pPr>
        <w:tabs>
          <w:tab w:val="left" w:pos="9639"/>
        </w:tabs>
        <w:spacing w:line="400" w:lineRule="exact"/>
        <w:ind w:firstLine="480" w:firstLineChars="200"/>
        <w:rPr>
          <w:rFonts w:hint="eastAsia" w:hAnsi="宋体"/>
          <w:sz w:val="24"/>
        </w:rPr>
      </w:pPr>
      <w:r>
        <w:rPr>
          <w:rFonts w:hint="eastAsia" w:hAnsi="宋体"/>
          <w:sz w:val="24"/>
        </w:rPr>
        <w:t>存在本条上述情形的，由磋商小组自主决定是否采纳采购人/采购代理机构的书面建议，并承担独立评审责任。磋商小组采纳采购人/采购代理机构书面建议的，应当按照规定现场修改评审结果或者重新评审，并在磋商报告中详细记载有关事宜；不采纳采购人/采购代理机构书面建议的，应当书面说明理由。采购人/采购代理机构书面建议未被磋商小组采纳的，应当接照规定程序要求继续组织实施采购活动，不得擅自中止采购活动。采购人/采购代理机构认为磋商小组评审结果不合法的，应当书面报告采购项目同级财政部门。</w:t>
      </w:r>
    </w:p>
    <w:p>
      <w:pPr>
        <w:tabs>
          <w:tab w:val="left" w:pos="9639"/>
        </w:tabs>
        <w:spacing w:line="400" w:lineRule="exact"/>
        <w:ind w:firstLine="480" w:firstLineChars="200"/>
        <w:rPr>
          <w:rFonts w:hint="eastAsia" w:hAnsi="宋体"/>
          <w:sz w:val="24"/>
        </w:rPr>
      </w:pPr>
      <w:r>
        <w:rPr>
          <w:rFonts w:hint="eastAsia" w:hAnsi="宋体"/>
          <w:sz w:val="24"/>
        </w:rPr>
        <w:t>采购人/采购代理机构复核过程中，磋商小组成员不得离开评审现场。</w:t>
      </w:r>
    </w:p>
    <w:p>
      <w:pPr>
        <w:tabs>
          <w:tab w:val="left" w:pos="9639"/>
        </w:tabs>
        <w:spacing w:line="400" w:lineRule="exact"/>
        <w:ind w:firstLine="480" w:firstLineChars="200"/>
        <w:rPr>
          <w:rFonts w:hint="eastAsia" w:hAnsi="宋体"/>
          <w:sz w:val="24"/>
        </w:rPr>
      </w:pPr>
      <w:r>
        <w:rPr>
          <w:rFonts w:hint="eastAsia" w:hAnsi="宋体"/>
          <w:sz w:val="24"/>
        </w:rPr>
        <w:t>2.9.2有下列情形之一的，不得现场修改评审结果：</w:t>
      </w:r>
    </w:p>
    <w:p>
      <w:pPr>
        <w:tabs>
          <w:tab w:val="left" w:pos="9639"/>
        </w:tabs>
        <w:spacing w:line="400" w:lineRule="exact"/>
        <w:ind w:firstLine="480" w:firstLineChars="200"/>
        <w:rPr>
          <w:rFonts w:hint="eastAsia" w:hAnsi="宋体"/>
          <w:sz w:val="24"/>
        </w:rPr>
      </w:pPr>
      <w:r>
        <w:rPr>
          <w:rFonts w:hint="eastAsia" w:hAnsi="宋体"/>
          <w:sz w:val="24"/>
        </w:rPr>
        <w:t>（1）磋商小组已经出具磋商报告并且离开评审现场的；</w:t>
      </w:r>
    </w:p>
    <w:p>
      <w:pPr>
        <w:tabs>
          <w:tab w:val="left" w:pos="9639"/>
        </w:tabs>
        <w:spacing w:line="400" w:lineRule="exact"/>
        <w:ind w:firstLine="480" w:firstLineChars="200"/>
        <w:rPr>
          <w:rFonts w:hint="eastAsia" w:hAnsi="宋体"/>
          <w:sz w:val="24"/>
        </w:rPr>
      </w:pPr>
      <w:r>
        <w:rPr>
          <w:rFonts w:hint="eastAsia" w:hAnsi="宋体"/>
          <w:sz w:val="24"/>
        </w:rPr>
        <w:t>（2）采购人/采购代理机构现场复核时，复核工作人员数量不足的；</w:t>
      </w:r>
    </w:p>
    <w:p>
      <w:pPr>
        <w:tabs>
          <w:tab w:val="left" w:pos="9639"/>
        </w:tabs>
        <w:spacing w:line="400" w:lineRule="exact"/>
        <w:ind w:firstLine="480" w:firstLineChars="200"/>
        <w:rPr>
          <w:rFonts w:hint="eastAsia" w:hAnsi="宋体"/>
          <w:sz w:val="24"/>
        </w:rPr>
      </w:pPr>
      <w:r>
        <w:rPr>
          <w:rFonts w:hint="eastAsia" w:hAnsi="宋体"/>
          <w:sz w:val="24"/>
        </w:rPr>
        <w:t>（3）采购人/采购代理机构现场复核时，没有采购监督人员现场监督的；</w:t>
      </w:r>
    </w:p>
    <w:p>
      <w:pPr>
        <w:tabs>
          <w:tab w:val="left" w:pos="9639"/>
        </w:tabs>
        <w:spacing w:line="400" w:lineRule="exact"/>
        <w:ind w:firstLine="480" w:firstLineChars="200"/>
        <w:rPr>
          <w:rFonts w:hint="eastAsia" w:hAnsi="宋体"/>
          <w:sz w:val="24"/>
        </w:rPr>
      </w:pPr>
      <w:r>
        <w:rPr>
          <w:rFonts w:hint="eastAsia" w:hAnsi="宋体"/>
          <w:sz w:val="24"/>
        </w:rPr>
        <w:t>（4）采购人/采购代理机构现场复核内容超出规定范围的；</w:t>
      </w:r>
    </w:p>
    <w:p>
      <w:pPr>
        <w:tabs>
          <w:tab w:val="left" w:pos="9639"/>
        </w:tabs>
        <w:spacing w:line="400" w:lineRule="exact"/>
        <w:ind w:firstLine="480" w:firstLineChars="200"/>
        <w:rPr>
          <w:rFonts w:hint="eastAsia" w:hAnsi="宋体"/>
          <w:sz w:val="24"/>
        </w:rPr>
      </w:pPr>
      <w:r>
        <w:rPr>
          <w:rFonts w:hint="eastAsia" w:hAnsi="宋体"/>
          <w:sz w:val="24"/>
        </w:rPr>
        <w:t>（5）采购人/采购代理机构未提供书面建议的。</w:t>
      </w:r>
    </w:p>
    <w:p>
      <w:pPr>
        <w:tabs>
          <w:tab w:val="left" w:pos="9639"/>
        </w:tabs>
        <w:spacing w:line="400" w:lineRule="exact"/>
        <w:ind w:firstLine="480" w:firstLineChars="200"/>
        <w:rPr>
          <w:rFonts w:hint="eastAsia" w:hAnsi="宋体"/>
          <w:sz w:val="24"/>
        </w:rPr>
      </w:pPr>
      <w:r>
        <w:rPr>
          <w:rFonts w:hint="eastAsia" w:hAnsi="宋体"/>
          <w:sz w:val="24"/>
        </w:rPr>
        <w:t>2.10编写磋商报告。磋商小组推荐成交候选供应商后，应向采购人/采购代理机构出具磋商报告。磋商报告应当包括以下主要内容：</w:t>
      </w:r>
    </w:p>
    <w:p>
      <w:pPr>
        <w:tabs>
          <w:tab w:val="left" w:pos="9639"/>
        </w:tabs>
        <w:spacing w:line="400" w:lineRule="exact"/>
        <w:ind w:firstLine="480" w:firstLineChars="200"/>
        <w:rPr>
          <w:rFonts w:hint="eastAsia" w:hAnsi="宋体"/>
          <w:sz w:val="24"/>
        </w:rPr>
      </w:pPr>
      <w:r>
        <w:rPr>
          <w:rFonts w:hint="eastAsia" w:hAnsi="宋体"/>
          <w:sz w:val="24"/>
        </w:rPr>
        <w:t>（1）邀请供应商参加采购活动的具体方式和相关情况；</w:t>
      </w:r>
    </w:p>
    <w:p>
      <w:pPr>
        <w:tabs>
          <w:tab w:val="left" w:pos="9639"/>
        </w:tabs>
        <w:spacing w:line="400" w:lineRule="exact"/>
        <w:ind w:firstLine="480" w:firstLineChars="200"/>
        <w:rPr>
          <w:rFonts w:hint="eastAsia" w:hAnsi="宋体"/>
          <w:sz w:val="24"/>
        </w:rPr>
      </w:pPr>
      <w:r>
        <w:rPr>
          <w:rFonts w:hint="eastAsia" w:hAnsi="宋体"/>
          <w:sz w:val="24"/>
        </w:rPr>
        <w:t>（2）响应文件开启日期和地点；</w:t>
      </w:r>
    </w:p>
    <w:p>
      <w:pPr>
        <w:tabs>
          <w:tab w:val="left" w:pos="9639"/>
        </w:tabs>
        <w:spacing w:line="400" w:lineRule="exact"/>
        <w:ind w:firstLine="480" w:firstLineChars="200"/>
        <w:rPr>
          <w:rFonts w:hint="eastAsia" w:hAnsi="宋体"/>
          <w:sz w:val="24"/>
        </w:rPr>
      </w:pPr>
      <w:r>
        <w:rPr>
          <w:rFonts w:hint="eastAsia" w:hAnsi="宋体"/>
          <w:sz w:val="24"/>
        </w:rPr>
        <w:t>（3）获取磋商文件的供应商名单和磋商小组成员名单；</w:t>
      </w:r>
    </w:p>
    <w:p>
      <w:pPr>
        <w:tabs>
          <w:tab w:val="left" w:pos="9639"/>
        </w:tabs>
        <w:spacing w:line="400" w:lineRule="exact"/>
        <w:ind w:firstLine="480" w:firstLineChars="200"/>
        <w:rPr>
          <w:rFonts w:hint="eastAsia" w:hAnsi="宋体"/>
          <w:sz w:val="24"/>
        </w:rPr>
      </w:pPr>
      <w:r>
        <w:rPr>
          <w:rFonts w:hint="eastAsia" w:hAnsi="宋体"/>
          <w:sz w:val="24"/>
        </w:rPr>
        <w:t>（4）评审情况记录和说明，包括对供应商的资格审查情况、供应商响应文件审查情况、磋商情况、报价情况等；</w:t>
      </w:r>
    </w:p>
    <w:p>
      <w:pPr>
        <w:tabs>
          <w:tab w:val="left" w:pos="9639"/>
        </w:tabs>
        <w:spacing w:line="400" w:lineRule="exact"/>
        <w:ind w:firstLine="480" w:firstLineChars="200"/>
        <w:rPr>
          <w:rFonts w:hint="eastAsia" w:hAnsi="宋体"/>
          <w:sz w:val="24"/>
        </w:rPr>
      </w:pPr>
      <w:r>
        <w:rPr>
          <w:rFonts w:hint="eastAsia" w:hAnsi="宋体"/>
          <w:sz w:val="24"/>
        </w:rPr>
        <w:t>（5）提出的成交候选供应商的排序名单及理由。</w:t>
      </w:r>
    </w:p>
    <w:p>
      <w:pPr>
        <w:tabs>
          <w:tab w:val="left" w:pos="9639"/>
        </w:tabs>
        <w:spacing w:line="400" w:lineRule="exact"/>
        <w:ind w:firstLine="480" w:firstLineChars="200"/>
        <w:rPr>
          <w:rFonts w:hint="eastAsia" w:hAnsi="宋体"/>
          <w:sz w:val="24"/>
        </w:rPr>
      </w:pPr>
      <w:r>
        <w:rPr>
          <w:rFonts w:hint="eastAsia" w:hAnsi="宋体"/>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tabs>
          <w:tab w:val="left" w:pos="9639"/>
        </w:tabs>
        <w:spacing w:line="400" w:lineRule="exact"/>
        <w:ind w:firstLine="480" w:firstLineChars="200"/>
        <w:rPr>
          <w:rFonts w:hint="eastAsia" w:hAnsi="宋体"/>
          <w:sz w:val="24"/>
        </w:rPr>
      </w:pPr>
      <w:r>
        <w:rPr>
          <w:rFonts w:hint="eastAsia" w:hAnsi="宋体"/>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tabs>
          <w:tab w:val="left" w:pos="9639"/>
        </w:tabs>
        <w:spacing w:line="400" w:lineRule="exact"/>
        <w:ind w:firstLine="480" w:firstLineChars="200"/>
        <w:rPr>
          <w:rFonts w:hint="eastAsia" w:hAnsi="宋体"/>
          <w:sz w:val="24"/>
        </w:rPr>
      </w:pPr>
      <w:r>
        <w:rPr>
          <w:rFonts w:hint="eastAsia" w:hAnsi="宋体"/>
          <w:sz w:val="24"/>
        </w:rPr>
        <w:t>2.12供应商澄清、说明</w:t>
      </w:r>
    </w:p>
    <w:p>
      <w:pPr>
        <w:tabs>
          <w:tab w:val="left" w:pos="9639"/>
        </w:tabs>
        <w:spacing w:line="400" w:lineRule="exact"/>
        <w:ind w:firstLine="480" w:firstLineChars="200"/>
        <w:rPr>
          <w:rFonts w:hint="eastAsia" w:hAnsi="宋体"/>
          <w:sz w:val="24"/>
        </w:rPr>
      </w:pPr>
      <w:r>
        <w:rPr>
          <w:rFonts w:hint="eastAsia" w:hAnsi="宋体"/>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9639"/>
        </w:tabs>
        <w:spacing w:line="400" w:lineRule="exact"/>
        <w:ind w:firstLine="480" w:firstLineChars="200"/>
        <w:rPr>
          <w:rFonts w:hint="eastAsia" w:hAnsi="宋体"/>
          <w:sz w:val="24"/>
        </w:rPr>
      </w:pPr>
      <w:r>
        <w:rPr>
          <w:rFonts w:hint="eastAsia" w:hAnsi="宋体"/>
          <w:sz w:val="24"/>
        </w:rPr>
        <w:t>2.12.2磋商小组要求供应商澄清、说明或者更正响应文件应当以书面形式作出。供应商的澄清、说明或者更正应当由法定代表人/主要负责人/本人或其授权代表签字或者加盖公章。</w:t>
      </w:r>
    </w:p>
    <w:p>
      <w:pPr>
        <w:tabs>
          <w:tab w:val="left" w:pos="9639"/>
        </w:tabs>
        <w:spacing w:line="400" w:lineRule="exact"/>
        <w:ind w:firstLine="480" w:firstLineChars="200"/>
        <w:rPr>
          <w:rFonts w:hint="eastAsia" w:hAnsi="宋体"/>
          <w:sz w:val="24"/>
        </w:rPr>
      </w:pPr>
      <w:r>
        <w:rPr>
          <w:rFonts w:hint="eastAsia" w:hAnsi="宋体"/>
          <w:sz w:val="24"/>
        </w:rPr>
        <w:t>2.13终止磋商采购活动。</w:t>
      </w:r>
    </w:p>
    <w:p>
      <w:pPr>
        <w:tabs>
          <w:tab w:val="left" w:pos="9639"/>
        </w:tabs>
        <w:spacing w:line="400" w:lineRule="exact"/>
        <w:ind w:firstLine="480" w:firstLineChars="200"/>
        <w:rPr>
          <w:rFonts w:hint="eastAsia" w:hAnsi="宋体"/>
          <w:sz w:val="24"/>
        </w:rPr>
      </w:pPr>
      <w:r>
        <w:rPr>
          <w:rFonts w:hint="eastAsia" w:hAnsi="宋体"/>
          <w:sz w:val="24"/>
        </w:rPr>
        <w:t>出现下列情形之一的，采购人或者采购代理机构应当终止竞争性磋商采购活动，发布项目终止公告并说明原因，重新开展采购活动：</w:t>
      </w:r>
    </w:p>
    <w:p>
      <w:pPr>
        <w:tabs>
          <w:tab w:val="left" w:pos="9639"/>
        </w:tabs>
        <w:spacing w:line="400" w:lineRule="exact"/>
        <w:ind w:firstLine="480" w:firstLineChars="200"/>
        <w:rPr>
          <w:rFonts w:hint="eastAsia" w:hAnsi="宋体"/>
          <w:sz w:val="24"/>
        </w:rPr>
      </w:pPr>
      <w:r>
        <w:rPr>
          <w:rFonts w:hint="eastAsia" w:hAnsi="宋体"/>
          <w:sz w:val="24"/>
        </w:rPr>
        <w:t>（1）因情况变化，不再符合规定的竞争性磋商采购方式适用情形的；</w:t>
      </w:r>
    </w:p>
    <w:p>
      <w:pPr>
        <w:tabs>
          <w:tab w:val="left" w:pos="9639"/>
        </w:tabs>
        <w:spacing w:line="400" w:lineRule="exact"/>
        <w:ind w:firstLine="480" w:firstLineChars="200"/>
        <w:rPr>
          <w:rFonts w:hint="eastAsia" w:hAnsi="宋体"/>
          <w:sz w:val="24"/>
        </w:rPr>
      </w:pPr>
      <w:r>
        <w:rPr>
          <w:rFonts w:hint="eastAsia" w:hAnsi="宋体"/>
          <w:sz w:val="24"/>
        </w:rPr>
        <w:t>（2）出现影响采购公正的违法、违规行为的；</w:t>
      </w:r>
    </w:p>
    <w:p>
      <w:pPr>
        <w:tabs>
          <w:tab w:val="left" w:pos="9639"/>
        </w:tabs>
        <w:spacing w:line="400" w:lineRule="exact"/>
        <w:ind w:firstLine="480" w:firstLineChars="200"/>
        <w:rPr>
          <w:rFonts w:hint="eastAsia" w:hAnsi="宋体"/>
          <w:sz w:val="24"/>
        </w:rPr>
      </w:pPr>
      <w:r>
        <w:rPr>
          <w:rFonts w:hint="eastAsia" w:hAnsi="宋体"/>
          <w:sz w:val="24"/>
        </w:rPr>
        <w:t>（3）在采购过程中符合要求的供应商或者报价未超过采购预算的供应商不足3家的。</w:t>
      </w:r>
    </w:p>
    <w:p>
      <w:pPr>
        <w:tabs>
          <w:tab w:val="left" w:pos="9639"/>
        </w:tabs>
        <w:spacing w:line="400" w:lineRule="exact"/>
        <w:ind w:firstLine="482" w:firstLineChars="200"/>
        <w:rPr>
          <w:rFonts w:hint="eastAsia"/>
          <w:b/>
          <w:sz w:val="24"/>
        </w:rPr>
      </w:pPr>
      <w:r>
        <w:rPr>
          <w:rFonts w:hint="eastAsia"/>
          <w:b/>
          <w:sz w:val="24"/>
        </w:rPr>
        <w:t>3.综合评分</w:t>
      </w:r>
    </w:p>
    <w:p>
      <w:pPr>
        <w:tabs>
          <w:tab w:val="left" w:pos="9639"/>
        </w:tabs>
        <w:spacing w:line="400" w:lineRule="exact"/>
        <w:ind w:firstLine="480" w:firstLineChars="200"/>
        <w:rPr>
          <w:rFonts w:hint="eastAsia"/>
          <w:sz w:val="24"/>
        </w:rPr>
      </w:pPr>
      <w:r>
        <w:rPr>
          <w:rFonts w:hint="eastAsia"/>
          <w:sz w:val="24"/>
        </w:rPr>
        <w:t>3.1本次综合评分的因素详见综合评分明细表。</w:t>
      </w:r>
    </w:p>
    <w:p>
      <w:pPr>
        <w:tabs>
          <w:tab w:val="left" w:pos="9639"/>
        </w:tabs>
        <w:spacing w:line="400" w:lineRule="exact"/>
        <w:ind w:firstLine="480" w:firstLineChars="200"/>
        <w:rPr>
          <w:rFonts w:hint="eastAsia"/>
          <w:sz w:val="24"/>
        </w:rPr>
      </w:pPr>
      <w:r>
        <w:rPr>
          <w:rFonts w:hint="eastAsia"/>
          <w:sz w:val="24"/>
        </w:rPr>
        <w:t>3.2 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对技术、与技术有关的服务及其他技术类评分因素独立评分。价格及其他不能明确区分的评分因素由磋商小组成员共同评分。</w:t>
      </w:r>
    </w:p>
    <w:p>
      <w:pPr>
        <w:pStyle w:val="12"/>
        <w:tabs>
          <w:tab w:val="left" w:pos="600"/>
          <w:tab w:val="left" w:pos="9639"/>
        </w:tabs>
        <w:spacing w:line="400" w:lineRule="exact"/>
        <w:ind w:firstLine="480" w:firstLineChars="200"/>
        <w:rPr>
          <w:rFonts w:hint="eastAsia"/>
          <w:sz w:val="24"/>
          <w:szCs w:val="24"/>
        </w:rPr>
      </w:pPr>
      <w:r>
        <w:rPr>
          <w:rFonts w:hint="eastAsia"/>
          <w:sz w:val="24"/>
          <w:szCs w:val="24"/>
        </w:rPr>
        <w:t>3.3综合评分明细表</w:t>
      </w:r>
    </w:p>
    <w:p>
      <w:pPr>
        <w:pStyle w:val="12"/>
        <w:tabs>
          <w:tab w:val="left" w:pos="600"/>
          <w:tab w:val="left" w:pos="9639"/>
        </w:tabs>
        <w:spacing w:line="400" w:lineRule="exact"/>
        <w:ind w:firstLine="480" w:firstLineChars="200"/>
        <w:rPr>
          <w:rFonts w:hint="eastAsia"/>
          <w:sz w:val="24"/>
          <w:szCs w:val="24"/>
        </w:rPr>
      </w:pPr>
      <w:r>
        <w:rPr>
          <w:rFonts w:hint="eastAsia"/>
          <w:sz w:val="24"/>
          <w:szCs w:val="24"/>
        </w:rPr>
        <w:t>3.3.1综合评分明细表</w:t>
      </w:r>
    </w:p>
    <w:p>
      <w:pPr>
        <w:pStyle w:val="12"/>
        <w:tabs>
          <w:tab w:val="left" w:pos="600"/>
          <w:tab w:val="left" w:pos="9639"/>
        </w:tabs>
        <w:spacing w:line="400" w:lineRule="exact"/>
        <w:ind w:firstLine="480" w:firstLineChars="200"/>
        <w:jc w:val="center"/>
        <w:rPr>
          <w:rFonts w:hint="eastAsia"/>
          <w:sz w:val="24"/>
        </w:rPr>
      </w:pPr>
      <w:r>
        <w:rPr>
          <w:rFonts w:hint="eastAsia"/>
          <w:sz w:val="24"/>
          <w:szCs w:val="24"/>
        </w:rPr>
        <w:t>评分明细表</w:t>
      </w:r>
    </w:p>
    <w:tbl>
      <w:tblPr>
        <w:tblStyle w:val="34"/>
        <w:tblW w:w="10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115"/>
        <w:gridCol w:w="1027"/>
        <w:gridCol w:w="933"/>
        <w:gridCol w:w="5847"/>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9" w:hRule="atLeast"/>
          <w:jc w:val="center"/>
        </w:trPr>
        <w:tc>
          <w:tcPr>
            <w:tcW w:w="714"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115"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评分因素及权重</w:t>
            </w:r>
          </w:p>
        </w:tc>
        <w:tc>
          <w:tcPr>
            <w:tcW w:w="1960" w:type="dxa"/>
            <w:gridSpan w:val="2"/>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分值</w:t>
            </w:r>
          </w:p>
        </w:tc>
        <w:tc>
          <w:tcPr>
            <w:tcW w:w="5847"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评分标准</w:t>
            </w:r>
          </w:p>
        </w:tc>
        <w:tc>
          <w:tcPr>
            <w:tcW w:w="995"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14"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115"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报价</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lang w:eastAsia="zh-CN"/>
              </w:rPr>
              <w:t>%</w:t>
            </w:r>
          </w:p>
        </w:tc>
        <w:tc>
          <w:tcPr>
            <w:tcW w:w="1960" w:type="dxa"/>
            <w:gridSpan w:val="2"/>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rPr>
              <w:t>分</w:t>
            </w:r>
          </w:p>
        </w:tc>
        <w:tc>
          <w:tcPr>
            <w:tcW w:w="5847" w:type="dxa"/>
            <w:tcBorders>
              <w:top w:val="single" w:color="auto" w:sz="4" w:space="0"/>
              <w:left w:val="nil"/>
              <w:bottom w:val="single" w:color="auto" w:sz="4" w:space="0"/>
              <w:right w:val="single" w:color="auto" w:sz="4" w:space="0"/>
            </w:tcBorders>
            <w:noWrap w:val="0"/>
            <w:vAlign w:val="center"/>
          </w:tcPr>
          <w:p>
            <w:pPr>
              <w:spacing w:line="240" w:lineRule="auto"/>
              <w:rPr>
                <w:rFonts w:hint="default"/>
                <w:sz w:val="21"/>
                <w:szCs w:val="21"/>
                <w:lang w:eastAsia="zh-CN"/>
              </w:rPr>
            </w:pPr>
            <w:r>
              <w:rPr>
                <w:rFonts w:hint="eastAsia"/>
                <w:sz w:val="21"/>
                <w:szCs w:val="21"/>
                <w:lang w:eastAsia="zh-CN"/>
              </w:rPr>
              <w:t xml:space="preserve">满足磋商文件要求且最终报价最低的投标报价为基准价，其报价得分为满分。其他供应商的报价得分统一按照下列公式计算：报价得分=(基准价／最终报价)* </w:t>
            </w:r>
            <w:r>
              <w:rPr>
                <w:rFonts w:hint="eastAsia"/>
                <w:sz w:val="21"/>
                <w:szCs w:val="21"/>
                <w:lang w:val="en-US" w:eastAsia="zh-CN"/>
              </w:rPr>
              <w:t>15</w:t>
            </w:r>
            <w:r>
              <w:rPr>
                <w:rFonts w:hint="eastAsia"/>
                <w:sz w:val="21"/>
                <w:szCs w:val="21"/>
                <w:lang w:eastAsia="zh-CN"/>
              </w:rPr>
              <w:t>分。</w:t>
            </w:r>
          </w:p>
          <w:p>
            <w:pPr>
              <w:spacing w:line="240" w:lineRule="auto"/>
              <w:rPr>
                <w:rFonts w:hint="default"/>
                <w:lang w:eastAsia="zh-CN"/>
              </w:rPr>
            </w:pPr>
            <w:r>
              <w:rPr>
                <w:rFonts w:hint="eastAsia"/>
                <w:sz w:val="21"/>
                <w:szCs w:val="21"/>
                <w:lang w:eastAsia="zh-CN"/>
              </w:rPr>
              <w:t>（注：得分采取四舍五入法，保留两位小数）。</w:t>
            </w:r>
          </w:p>
        </w:tc>
        <w:tc>
          <w:tcPr>
            <w:tcW w:w="995"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714" w:type="dxa"/>
            <w:vMerge w:val="restart"/>
            <w:tcBorders>
              <w:top w:val="single" w:color="auto" w:sz="4" w:space="0"/>
              <w:left w:val="single" w:color="auto" w:sz="4" w:space="0"/>
              <w:right w:val="single" w:color="auto" w:sz="4" w:space="0"/>
            </w:tcBorders>
            <w:noWrap w:val="0"/>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115" w:type="dxa"/>
            <w:vMerge w:val="restart"/>
            <w:tcBorders>
              <w:top w:val="single" w:color="auto" w:sz="4" w:space="0"/>
              <w:left w:val="nil"/>
              <w:right w:val="single" w:color="auto" w:sz="4" w:space="0"/>
            </w:tcBorders>
            <w:noWrap w:val="0"/>
            <w:vAlign w:val="center"/>
          </w:tcPr>
          <w:p>
            <w:pPr>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履约能力</w:t>
            </w:r>
            <w:r>
              <w:rPr>
                <w:rFonts w:hint="eastAsia" w:ascii="宋体" w:hAnsi="宋体" w:eastAsia="宋体" w:cs="宋体"/>
                <w:color w:val="auto"/>
                <w:sz w:val="21"/>
                <w:szCs w:val="21"/>
                <w:lang w:val="en-US" w:eastAsia="zh-CN"/>
              </w:rPr>
              <w:t>30%</w:t>
            </w:r>
          </w:p>
        </w:tc>
        <w:tc>
          <w:tcPr>
            <w:tcW w:w="1027"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企业业绩10%</w:t>
            </w:r>
          </w:p>
        </w:tc>
        <w:tc>
          <w:tcPr>
            <w:tcW w:w="93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10</w:t>
            </w:r>
            <w:r>
              <w:rPr>
                <w:rFonts w:hint="eastAsia" w:ascii="宋体" w:hAnsi="宋体" w:eastAsia="宋体" w:cs="宋体"/>
                <w:color w:val="auto"/>
                <w:sz w:val="21"/>
                <w:szCs w:val="21"/>
              </w:rPr>
              <w:t>分</w:t>
            </w:r>
          </w:p>
        </w:tc>
        <w:tc>
          <w:tcPr>
            <w:tcW w:w="5847" w:type="dxa"/>
            <w:tcBorders>
              <w:top w:val="single" w:color="auto" w:sz="4" w:space="0"/>
              <w:left w:val="nil"/>
              <w:bottom w:val="single" w:color="auto" w:sz="4" w:space="0"/>
              <w:right w:val="single" w:color="auto" w:sz="4" w:space="0"/>
            </w:tcBorders>
            <w:noWrap w:val="0"/>
            <w:vAlign w:val="center"/>
          </w:tcPr>
          <w:p>
            <w:pPr>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2017年</w:t>
            </w:r>
            <w:r>
              <w:rPr>
                <w:rFonts w:hint="eastAsia" w:ascii="宋体" w:hAnsi="宋体" w:eastAsia="宋体" w:cs="宋体"/>
                <w:color w:val="auto"/>
                <w:sz w:val="21"/>
                <w:szCs w:val="21"/>
                <w:lang w:val="en-US" w:eastAsia="zh-CN"/>
              </w:rPr>
              <w:t>1月1日</w:t>
            </w:r>
            <w:r>
              <w:rPr>
                <w:rFonts w:hint="eastAsia" w:ascii="宋体" w:hAnsi="宋体" w:eastAsia="宋体" w:cs="宋体"/>
                <w:color w:val="auto"/>
                <w:sz w:val="21"/>
                <w:szCs w:val="21"/>
                <w:lang w:eastAsia="zh-CN"/>
              </w:rPr>
              <w:t>以来独立承担过类似业绩，每提供1个得2分；最多得10分。</w:t>
            </w:r>
          </w:p>
          <w:p>
            <w:pPr>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类似业绩指的是：城市街道</w:t>
            </w:r>
            <w:r>
              <w:rPr>
                <w:rFonts w:hint="eastAsia" w:hAnsi="宋体" w:cs="宋体"/>
                <w:color w:val="auto"/>
                <w:sz w:val="21"/>
                <w:szCs w:val="21"/>
                <w:lang w:eastAsia="zh-CN"/>
              </w:rPr>
              <w:t>或</w:t>
            </w:r>
            <w:r>
              <w:rPr>
                <w:rFonts w:hint="eastAsia" w:ascii="宋体" w:hAnsi="宋体" w:eastAsia="宋体" w:cs="宋体"/>
                <w:color w:val="auto"/>
                <w:sz w:val="21"/>
                <w:szCs w:val="21"/>
                <w:lang w:eastAsia="zh-CN"/>
              </w:rPr>
              <w:t>公园</w:t>
            </w:r>
            <w:r>
              <w:rPr>
                <w:rFonts w:hint="eastAsia" w:hAnsi="宋体" w:cs="宋体"/>
                <w:color w:val="auto"/>
                <w:sz w:val="21"/>
                <w:szCs w:val="21"/>
                <w:lang w:eastAsia="zh-CN"/>
              </w:rPr>
              <w:t>或</w:t>
            </w:r>
            <w:r>
              <w:rPr>
                <w:rFonts w:hint="eastAsia" w:ascii="宋体" w:hAnsi="宋体" w:eastAsia="宋体" w:cs="宋体"/>
                <w:color w:val="auto"/>
                <w:sz w:val="21"/>
                <w:szCs w:val="21"/>
                <w:lang w:eastAsia="zh-CN"/>
              </w:rPr>
              <w:t>旅游区</w:t>
            </w:r>
            <w:r>
              <w:rPr>
                <w:rFonts w:hint="eastAsia" w:hAnsi="宋体" w:cs="宋体"/>
                <w:color w:val="auto"/>
                <w:sz w:val="21"/>
                <w:szCs w:val="21"/>
                <w:lang w:eastAsia="zh-CN"/>
              </w:rPr>
              <w:t>或</w:t>
            </w:r>
            <w:r>
              <w:rPr>
                <w:rFonts w:hint="eastAsia" w:ascii="宋体" w:hAnsi="宋体" w:eastAsia="宋体" w:cs="宋体"/>
                <w:color w:val="auto"/>
                <w:sz w:val="21"/>
                <w:szCs w:val="21"/>
                <w:lang w:eastAsia="zh-CN"/>
              </w:rPr>
              <w:t>风景名胜区等类似项目的景观设计。</w:t>
            </w:r>
          </w:p>
          <w:p>
            <w:pPr>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注：①以投标人提供的“供应商类似项目业绩一览表”结合下述佐证材料要求为评定依据；</w:t>
            </w:r>
          </w:p>
          <w:p>
            <w:pPr>
              <w:spacing w:line="24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②佐证材料要求：提供中标（成交）通知书或合同复印件加盖供应商鲜章。</w:t>
            </w:r>
          </w:p>
        </w:tc>
        <w:tc>
          <w:tcPr>
            <w:tcW w:w="995" w:type="dxa"/>
            <w:tcBorders>
              <w:top w:val="single" w:color="auto" w:sz="4" w:space="0"/>
              <w:left w:val="nil"/>
              <w:right w:val="single" w:color="auto" w:sz="4" w:space="0"/>
            </w:tcBorders>
            <w:noWrap w:val="0"/>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vMerge w:val="continue"/>
            <w:tcBorders>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color w:val="auto"/>
                <w:sz w:val="21"/>
                <w:szCs w:val="21"/>
              </w:rPr>
            </w:pPr>
          </w:p>
        </w:tc>
        <w:tc>
          <w:tcPr>
            <w:tcW w:w="1115" w:type="dxa"/>
            <w:vMerge w:val="continue"/>
            <w:tcBorders>
              <w:left w:val="nil"/>
              <w:bottom w:val="single" w:color="auto" w:sz="4" w:space="0"/>
              <w:right w:val="single" w:color="auto" w:sz="4" w:space="0"/>
            </w:tcBorders>
            <w:noWrap w:val="0"/>
            <w:vAlign w:val="center"/>
          </w:tcPr>
          <w:p>
            <w:pPr>
              <w:spacing w:line="240" w:lineRule="auto"/>
              <w:jc w:val="center"/>
              <w:rPr>
                <w:rFonts w:hint="eastAsia" w:ascii="宋体" w:hAnsi="宋体" w:eastAsia="宋体" w:cs="宋体"/>
                <w:color w:val="auto"/>
                <w:sz w:val="21"/>
                <w:szCs w:val="21"/>
                <w:lang w:eastAsia="zh-CN"/>
              </w:rPr>
            </w:pPr>
          </w:p>
        </w:tc>
        <w:tc>
          <w:tcPr>
            <w:tcW w:w="1027"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项目人员配置20%</w:t>
            </w:r>
          </w:p>
        </w:tc>
        <w:tc>
          <w:tcPr>
            <w:tcW w:w="93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20分</w:t>
            </w:r>
          </w:p>
        </w:tc>
        <w:tc>
          <w:tcPr>
            <w:tcW w:w="5847" w:type="dxa"/>
            <w:tcBorders>
              <w:top w:val="single" w:color="auto" w:sz="4" w:space="0"/>
              <w:left w:val="nil"/>
              <w:bottom w:val="single" w:color="auto" w:sz="4" w:space="0"/>
              <w:right w:val="single" w:color="auto" w:sz="4" w:space="0"/>
            </w:tcBorders>
            <w:noWrap w:val="0"/>
            <w:vAlign w:val="center"/>
          </w:tcPr>
          <w:p>
            <w:pPr>
              <w:spacing w:line="240" w:lineRule="auto"/>
              <w:rPr>
                <w:rFonts w:hint="eastAsia" w:ascii="宋体" w:hAnsi="宋体" w:eastAsia="宋体" w:cs="宋体"/>
                <w:sz w:val="21"/>
                <w:szCs w:val="21"/>
              </w:rPr>
            </w:pPr>
            <w:r>
              <w:rPr>
                <w:rFonts w:hint="eastAsia" w:ascii="宋体" w:hAnsi="宋体" w:eastAsia="宋体" w:cs="宋体"/>
                <w:sz w:val="21"/>
                <w:szCs w:val="21"/>
              </w:rPr>
              <w:t>1.项目总负责人：具备注册城乡规划师的得2分；同时具备园林专业中级职称的加3分，具备园林专业高级职称的加4分；本项最高得6分。</w:t>
            </w:r>
          </w:p>
          <w:p>
            <w:pPr>
              <w:spacing w:line="240" w:lineRule="auto"/>
              <w:rPr>
                <w:rFonts w:hint="eastAsia" w:ascii="宋体" w:hAnsi="宋体" w:eastAsia="宋体" w:cs="宋体"/>
                <w:sz w:val="21"/>
                <w:szCs w:val="21"/>
              </w:rPr>
            </w:pPr>
            <w:r>
              <w:rPr>
                <w:rFonts w:hint="eastAsia" w:ascii="宋体" w:hAnsi="宋体" w:eastAsia="宋体" w:cs="宋体"/>
                <w:sz w:val="21"/>
                <w:szCs w:val="21"/>
              </w:rPr>
              <w:t>2.规划专业负责人：具备注册城乡规划师的得2分；同时具备城市规划专业中级职称的得</w:t>
            </w:r>
            <w:r>
              <w:rPr>
                <w:rFonts w:hint="eastAsia" w:ascii="宋体" w:hAnsi="宋体" w:eastAsia="宋体" w:cs="宋体"/>
                <w:sz w:val="21"/>
                <w:szCs w:val="21"/>
                <w:lang w:eastAsia="zh-CN"/>
              </w:rPr>
              <w:t>1</w:t>
            </w:r>
            <w:r>
              <w:rPr>
                <w:rFonts w:hint="eastAsia" w:ascii="宋体" w:hAnsi="宋体" w:eastAsia="宋体" w:cs="宋体"/>
                <w:sz w:val="21"/>
                <w:szCs w:val="21"/>
              </w:rPr>
              <w:t>分，具备城市规划专业高级职称的得</w:t>
            </w:r>
            <w:r>
              <w:rPr>
                <w:rFonts w:hint="eastAsia" w:ascii="宋体" w:hAnsi="宋体" w:eastAsia="宋体" w:cs="宋体"/>
                <w:sz w:val="21"/>
                <w:szCs w:val="21"/>
                <w:lang w:eastAsia="zh-CN"/>
              </w:rPr>
              <w:t>2</w:t>
            </w:r>
            <w:r>
              <w:rPr>
                <w:rFonts w:hint="eastAsia" w:ascii="宋体" w:hAnsi="宋体" w:eastAsia="宋体" w:cs="宋体"/>
                <w:sz w:val="21"/>
                <w:szCs w:val="21"/>
              </w:rPr>
              <w:t>分；本项最高得</w:t>
            </w:r>
            <w:r>
              <w:rPr>
                <w:rFonts w:hint="eastAsia" w:ascii="宋体" w:hAnsi="宋体" w:eastAsia="宋体" w:cs="宋体"/>
                <w:sz w:val="21"/>
                <w:szCs w:val="21"/>
                <w:lang w:eastAsia="zh-CN"/>
              </w:rPr>
              <w:t>4</w:t>
            </w:r>
            <w:r>
              <w:rPr>
                <w:rFonts w:hint="eastAsia" w:ascii="宋体" w:hAnsi="宋体" w:eastAsia="宋体" w:cs="宋体"/>
                <w:sz w:val="21"/>
                <w:szCs w:val="21"/>
              </w:rPr>
              <w:t>分。</w:t>
            </w:r>
          </w:p>
          <w:p>
            <w:pPr>
              <w:spacing w:line="240" w:lineRule="auto"/>
              <w:rPr>
                <w:rFonts w:hint="eastAsia" w:ascii="宋体" w:hAnsi="宋体" w:eastAsia="宋体" w:cs="宋体"/>
                <w:sz w:val="21"/>
                <w:szCs w:val="21"/>
              </w:rPr>
            </w:pPr>
            <w:r>
              <w:rPr>
                <w:rFonts w:hint="eastAsia" w:ascii="宋体" w:hAnsi="宋体" w:eastAsia="宋体" w:cs="宋体"/>
                <w:sz w:val="21"/>
                <w:szCs w:val="21"/>
              </w:rPr>
              <w:t>3.景观专业负责人：具备园林类相关专业中级职称的得</w:t>
            </w:r>
            <w:r>
              <w:rPr>
                <w:rFonts w:hint="eastAsia" w:ascii="宋体" w:hAnsi="宋体" w:eastAsia="宋体" w:cs="宋体"/>
                <w:sz w:val="21"/>
                <w:szCs w:val="21"/>
                <w:lang w:eastAsia="zh-CN"/>
              </w:rPr>
              <w:t>1</w:t>
            </w:r>
            <w:r>
              <w:rPr>
                <w:rFonts w:hint="eastAsia" w:ascii="宋体" w:hAnsi="宋体" w:eastAsia="宋体" w:cs="宋体"/>
                <w:sz w:val="21"/>
                <w:szCs w:val="21"/>
              </w:rPr>
              <w:t>分，具备园林类相关专业高级职称的得</w:t>
            </w:r>
            <w:r>
              <w:rPr>
                <w:rFonts w:hint="eastAsia" w:ascii="宋体" w:hAnsi="宋体" w:eastAsia="宋体" w:cs="宋体"/>
                <w:sz w:val="21"/>
                <w:szCs w:val="21"/>
                <w:lang w:eastAsia="zh-CN"/>
              </w:rPr>
              <w:t>2</w:t>
            </w:r>
            <w:r>
              <w:rPr>
                <w:rFonts w:hint="eastAsia" w:ascii="宋体" w:hAnsi="宋体" w:eastAsia="宋体" w:cs="宋体"/>
                <w:sz w:val="21"/>
                <w:szCs w:val="21"/>
              </w:rPr>
              <w:t>分；本项最高</w:t>
            </w:r>
            <w:r>
              <w:rPr>
                <w:rFonts w:hint="eastAsia" w:ascii="宋体" w:hAnsi="宋体" w:eastAsia="宋体" w:cs="宋体"/>
                <w:sz w:val="21"/>
                <w:szCs w:val="21"/>
                <w:lang w:eastAsia="zh-CN"/>
              </w:rPr>
              <w:t>2</w:t>
            </w:r>
            <w:r>
              <w:rPr>
                <w:rFonts w:hint="eastAsia" w:ascii="宋体" w:hAnsi="宋体" w:eastAsia="宋体" w:cs="宋体"/>
                <w:sz w:val="21"/>
                <w:szCs w:val="21"/>
              </w:rPr>
              <w:t xml:space="preserve">分。 </w:t>
            </w:r>
          </w:p>
          <w:p>
            <w:pPr>
              <w:spacing w:line="240" w:lineRule="auto"/>
              <w:rPr>
                <w:rFonts w:hint="eastAsia" w:ascii="宋体" w:hAnsi="宋体" w:eastAsia="宋体" w:cs="宋体"/>
                <w:sz w:val="21"/>
                <w:szCs w:val="21"/>
              </w:rPr>
            </w:pPr>
            <w:r>
              <w:rPr>
                <w:rFonts w:hint="eastAsia" w:ascii="宋体" w:hAnsi="宋体" w:eastAsia="宋体" w:cs="宋体"/>
                <w:sz w:val="21"/>
                <w:szCs w:val="21"/>
              </w:rPr>
              <w:t>4.建筑专业负责人：具备二级注册建筑师的得</w:t>
            </w:r>
            <w:r>
              <w:rPr>
                <w:rFonts w:hint="eastAsia" w:ascii="宋体" w:hAnsi="宋体" w:eastAsia="宋体" w:cs="宋体"/>
                <w:sz w:val="21"/>
                <w:szCs w:val="21"/>
                <w:lang w:eastAsia="zh-CN"/>
              </w:rPr>
              <w:t>1</w:t>
            </w:r>
            <w:r>
              <w:rPr>
                <w:rFonts w:hint="eastAsia" w:ascii="宋体" w:hAnsi="宋体" w:eastAsia="宋体" w:cs="宋体"/>
                <w:sz w:val="21"/>
                <w:szCs w:val="21"/>
              </w:rPr>
              <w:t>分，一级注册建筑师的得</w:t>
            </w:r>
            <w:r>
              <w:rPr>
                <w:rFonts w:hint="eastAsia" w:ascii="宋体" w:hAnsi="宋体" w:eastAsia="宋体" w:cs="宋体"/>
                <w:sz w:val="21"/>
                <w:szCs w:val="21"/>
                <w:lang w:eastAsia="zh-CN"/>
              </w:rPr>
              <w:t>2</w:t>
            </w:r>
            <w:r>
              <w:rPr>
                <w:rFonts w:hint="eastAsia" w:ascii="宋体" w:hAnsi="宋体" w:eastAsia="宋体" w:cs="宋体"/>
                <w:sz w:val="21"/>
                <w:szCs w:val="21"/>
              </w:rPr>
              <w:t>分；同时具备建筑类专业中级职称的加</w:t>
            </w:r>
            <w:r>
              <w:rPr>
                <w:rFonts w:hint="eastAsia" w:ascii="宋体" w:hAnsi="宋体" w:eastAsia="宋体" w:cs="宋体"/>
                <w:sz w:val="21"/>
                <w:szCs w:val="21"/>
                <w:lang w:eastAsia="zh-CN"/>
              </w:rPr>
              <w:t>1</w:t>
            </w:r>
            <w:r>
              <w:rPr>
                <w:rFonts w:hint="eastAsia" w:ascii="宋体" w:hAnsi="宋体" w:eastAsia="宋体" w:cs="宋体"/>
                <w:sz w:val="21"/>
                <w:szCs w:val="21"/>
              </w:rPr>
              <w:t>分，具备建筑类专业高级职称的加</w:t>
            </w:r>
            <w:r>
              <w:rPr>
                <w:rFonts w:hint="eastAsia" w:ascii="宋体" w:hAnsi="宋体" w:eastAsia="宋体" w:cs="宋体"/>
                <w:sz w:val="21"/>
                <w:szCs w:val="21"/>
                <w:lang w:eastAsia="zh-CN"/>
              </w:rPr>
              <w:t>2</w:t>
            </w:r>
            <w:r>
              <w:rPr>
                <w:rFonts w:hint="eastAsia" w:ascii="宋体" w:hAnsi="宋体" w:eastAsia="宋体" w:cs="宋体"/>
                <w:sz w:val="21"/>
                <w:szCs w:val="21"/>
              </w:rPr>
              <w:t>分；本项最高得</w:t>
            </w:r>
            <w:r>
              <w:rPr>
                <w:rFonts w:hint="eastAsia" w:ascii="宋体" w:hAnsi="宋体" w:eastAsia="宋体" w:cs="宋体"/>
                <w:sz w:val="21"/>
                <w:szCs w:val="21"/>
                <w:lang w:eastAsia="zh-CN"/>
              </w:rPr>
              <w:t>4</w:t>
            </w:r>
            <w:r>
              <w:rPr>
                <w:rFonts w:hint="eastAsia" w:ascii="宋体" w:hAnsi="宋体" w:eastAsia="宋体" w:cs="宋体"/>
                <w:sz w:val="21"/>
                <w:szCs w:val="21"/>
              </w:rPr>
              <w:t>分。</w:t>
            </w:r>
          </w:p>
          <w:p>
            <w:pPr>
              <w:spacing w:line="240" w:lineRule="auto"/>
              <w:rPr>
                <w:rFonts w:hint="eastAsia" w:ascii="宋体" w:hAnsi="宋体" w:eastAsia="宋体" w:cs="宋体"/>
                <w:sz w:val="21"/>
                <w:szCs w:val="21"/>
              </w:rPr>
            </w:pPr>
            <w:r>
              <w:rPr>
                <w:rFonts w:hint="eastAsia" w:ascii="宋体" w:hAnsi="宋体" w:eastAsia="宋体" w:cs="宋体"/>
                <w:sz w:val="21"/>
                <w:szCs w:val="21"/>
              </w:rPr>
              <w:t>5.造价专业负责人：具备注册造价工程师的得2分；同时具备中级及以上职称的加</w:t>
            </w:r>
            <w:r>
              <w:rPr>
                <w:rFonts w:hint="eastAsia" w:ascii="宋体" w:hAnsi="宋体" w:eastAsia="宋体" w:cs="宋体"/>
                <w:sz w:val="21"/>
                <w:szCs w:val="21"/>
                <w:lang w:eastAsia="zh-CN"/>
              </w:rPr>
              <w:t>2</w:t>
            </w:r>
            <w:r>
              <w:rPr>
                <w:rFonts w:hint="eastAsia" w:ascii="宋体" w:hAnsi="宋体" w:eastAsia="宋体" w:cs="宋体"/>
                <w:sz w:val="21"/>
                <w:szCs w:val="21"/>
              </w:rPr>
              <w:t>分；本项最高得</w:t>
            </w:r>
            <w:r>
              <w:rPr>
                <w:rFonts w:hint="eastAsia" w:ascii="宋体" w:hAnsi="宋体" w:eastAsia="宋体" w:cs="宋体"/>
                <w:sz w:val="21"/>
                <w:szCs w:val="21"/>
                <w:lang w:eastAsia="zh-CN"/>
              </w:rPr>
              <w:t>4</w:t>
            </w:r>
            <w:r>
              <w:rPr>
                <w:rFonts w:hint="eastAsia" w:ascii="宋体" w:hAnsi="宋体" w:eastAsia="宋体" w:cs="宋体"/>
                <w:sz w:val="21"/>
                <w:szCs w:val="21"/>
              </w:rPr>
              <w:t>分。</w:t>
            </w:r>
          </w:p>
          <w:p>
            <w:pPr>
              <w:spacing w:line="240" w:lineRule="auto"/>
              <w:rPr>
                <w:rFonts w:hint="eastAsia" w:ascii="宋体" w:hAnsi="宋体" w:eastAsia="宋体" w:cs="宋体"/>
                <w:color w:val="auto"/>
                <w:sz w:val="21"/>
                <w:szCs w:val="21"/>
                <w:lang w:eastAsia="zh-CN"/>
              </w:rPr>
            </w:pPr>
            <w:r>
              <w:rPr>
                <w:rFonts w:hint="eastAsia" w:ascii="宋体" w:hAnsi="宋体" w:eastAsia="宋体" w:cs="宋体"/>
                <w:sz w:val="21"/>
                <w:szCs w:val="21"/>
              </w:rPr>
              <w:t>注：①</w:t>
            </w:r>
            <w:r>
              <w:rPr>
                <w:rFonts w:hint="eastAsia" w:ascii="宋体" w:hAnsi="宋体" w:eastAsia="宋体" w:cs="宋体"/>
                <w:sz w:val="21"/>
                <w:szCs w:val="21"/>
                <w:lang w:eastAsia="zh-CN"/>
              </w:rPr>
              <w:t>上述</w:t>
            </w:r>
            <w:r>
              <w:rPr>
                <w:rFonts w:hint="eastAsia" w:ascii="宋体" w:hAnsi="宋体" w:eastAsia="宋体" w:cs="宋体"/>
                <w:sz w:val="21"/>
                <w:szCs w:val="21"/>
              </w:rPr>
              <w:t>人员不重复计分</w:t>
            </w:r>
            <w:r>
              <w:rPr>
                <w:rFonts w:hint="eastAsia" w:ascii="宋体" w:hAnsi="宋体" w:eastAsia="宋体" w:cs="宋体"/>
                <w:sz w:val="21"/>
                <w:szCs w:val="21"/>
                <w:lang w:eastAsia="zh-CN"/>
              </w:rPr>
              <w:t>；②上述人员须提供在职证明（提供近</w:t>
            </w:r>
            <w:r>
              <w:rPr>
                <w:rFonts w:hint="eastAsia" w:ascii="宋体" w:hAnsi="宋体" w:eastAsia="宋体" w:cs="宋体"/>
                <w:sz w:val="21"/>
                <w:szCs w:val="21"/>
                <w:lang w:val="en-US" w:eastAsia="zh-CN"/>
              </w:rPr>
              <w:t>6个月的社保缴纳证明或劳动合同复印件</w:t>
            </w:r>
            <w:r>
              <w:rPr>
                <w:rFonts w:hint="eastAsia" w:hAnsi="宋体" w:cs="宋体"/>
                <w:sz w:val="21"/>
                <w:szCs w:val="21"/>
                <w:lang w:val="en-US" w:eastAsia="zh-CN"/>
              </w:rPr>
              <w:t>或其他能证明的相关材料</w:t>
            </w:r>
            <w:r>
              <w:rPr>
                <w:rFonts w:hint="eastAsia" w:ascii="宋体" w:hAnsi="宋体" w:eastAsia="宋体" w:cs="宋体"/>
                <w:sz w:val="21"/>
                <w:szCs w:val="21"/>
              </w:rPr>
              <w:t>复印件并加盖供应商公章。</w:t>
            </w:r>
            <w:r>
              <w:rPr>
                <w:rFonts w:hint="eastAsia" w:ascii="宋体" w:hAnsi="宋体" w:eastAsia="宋体" w:cs="宋体"/>
                <w:sz w:val="21"/>
                <w:szCs w:val="21"/>
                <w:lang w:val="en-US" w:eastAsia="zh-CN"/>
              </w:rPr>
              <w:t>）；③上述人员须</w:t>
            </w:r>
            <w:r>
              <w:rPr>
                <w:rFonts w:hint="eastAsia" w:ascii="宋体" w:hAnsi="宋体" w:eastAsia="宋体" w:cs="宋体"/>
                <w:sz w:val="21"/>
                <w:szCs w:val="21"/>
              </w:rPr>
              <w:t>提供</w:t>
            </w:r>
            <w:r>
              <w:rPr>
                <w:rFonts w:hint="eastAsia" w:ascii="宋体" w:hAnsi="宋体" w:eastAsia="宋体" w:cs="宋体"/>
                <w:sz w:val="21"/>
                <w:szCs w:val="21"/>
                <w:lang w:eastAsia="zh-CN"/>
              </w:rPr>
              <w:t>有效的</w:t>
            </w:r>
            <w:r>
              <w:rPr>
                <w:rFonts w:hint="eastAsia" w:ascii="宋体" w:hAnsi="宋体" w:eastAsia="宋体" w:cs="宋体"/>
                <w:sz w:val="21"/>
                <w:szCs w:val="21"/>
              </w:rPr>
              <w:t>证书</w:t>
            </w:r>
            <w:r>
              <w:rPr>
                <w:rFonts w:hint="eastAsia" w:ascii="宋体" w:hAnsi="宋体" w:eastAsia="宋体" w:cs="宋体"/>
                <w:sz w:val="21"/>
                <w:szCs w:val="21"/>
                <w:lang w:eastAsia="zh-CN"/>
              </w:rPr>
              <w:t>证件</w:t>
            </w:r>
            <w:r>
              <w:rPr>
                <w:rFonts w:hint="eastAsia" w:ascii="宋体" w:hAnsi="宋体" w:eastAsia="宋体" w:cs="宋体"/>
                <w:sz w:val="21"/>
                <w:szCs w:val="21"/>
              </w:rPr>
              <w:t>复印件并加盖供应商公章。</w:t>
            </w:r>
          </w:p>
        </w:tc>
        <w:tc>
          <w:tcPr>
            <w:tcW w:w="995" w:type="dxa"/>
            <w:tcBorders>
              <w:left w:val="nil"/>
              <w:bottom w:val="single" w:color="auto" w:sz="4" w:space="0"/>
              <w:right w:val="single" w:color="auto" w:sz="4" w:space="0"/>
            </w:tcBorders>
            <w:noWrap w:val="0"/>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0" w:hRule="atLeast"/>
          <w:jc w:val="center"/>
        </w:trPr>
        <w:tc>
          <w:tcPr>
            <w:tcW w:w="714" w:type="dxa"/>
            <w:tcBorders>
              <w:top w:val="single" w:color="auto" w:sz="4" w:space="0"/>
              <w:left w:val="single" w:color="auto" w:sz="4" w:space="0"/>
              <w:right w:val="single" w:color="auto" w:sz="4" w:space="0"/>
            </w:tcBorders>
            <w:noWrap w:val="0"/>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115" w:type="dxa"/>
            <w:tcBorders>
              <w:top w:val="single" w:color="auto" w:sz="4" w:space="0"/>
              <w:left w:val="nil"/>
              <w:right w:val="single" w:color="auto" w:sz="4" w:space="0"/>
            </w:tcBorders>
            <w:noWrap w:val="0"/>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服务方案</w:t>
            </w:r>
            <w:r>
              <w:rPr>
                <w:rFonts w:hint="eastAsia" w:ascii="宋体" w:hAnsi="宋体" w:eastAsia="宋体" w:cs="宋体"/>
                <w:color w:val="auto"/>
                <w:sz w:val="21"/>
                <w:szCs w:val="21"/>
                <w:lang w:val="en-US" w:eastAsia="zh-CN"/>
              </w:rPr>
              <w:t>49</w:t>
            </w:r>
            <w:r>
              <w:rPr>
                <w:rFonts w:hint="eastAsia" w:ascii="宋体" w:hAnsi="宋体" w:eastAsia="宋体" w:cs="宋体"/>
                <w:color w:val="auto"/>
                <w:sz w:val="21"/>
                <w:szCs w:val="21"/>
                <w:lang w:eastAsia="zh-CN"/>
              </w:rPr>
              <w:t>%</w:t>
            </w:r>
          </w:p>
        </w:tc>
        <w:tc>
          <w:tcPr>
            <w:tcW w:w="1960" w:type="dxa"/>
            <w:gridSpan w:val="2"/>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49</w:t>
            </w:r>
            <w:r>
              <w:rPr>
                <w:rFonts w:hint="eastAsia" w:ascii="宋体" w:hAnsi="宋体" w:eastAsia="宋体" w:cs="宋体"/>
                <w:color w:val="auto"/>
                <w:sz w:val="21"/>
                <w:szCs w:val="21"/>
                <w:lang w:eastAsia="zh-CN"/>
              </w:rPr>
              <w:t>分</w:t>
            </w:r>
          </w:p>
        </w:tc>
        <w:tc>
          <w:tcPr>
            <w:tcW w:w="5847" w:type="dxa"/>
            <w:tcBorders>
              <w:top w:val="single" w:color="auto" w:sz="4" w:space="0"/>
              <w:left w:val="nil"/>
              <w:right w:val="single" w:color="auto" w:sz="4" w:space="0"/>
            </w:tcBorders>
            <w:noWrap w:val="0"/>
            <w:vAlign w:val="center"/>
          </w:tcPr>
          <w:p>
            <w:pPr>
              <w:pStyle w:val="71"/>
              <w:spacing w:line="240" w:lineRule="auto"/>
              <w:rPr>
                <w:rFonts w:hint="eastAsia" w:ascii="宋体" w:hAnsi="宋体" w:eastAsia="宋体" w:cs="宋体"/>
                <w:color w:val="auto"/>
                <w:sz w:val="21"/>
                <w:szCs w:val="21"/>
                <w:lang w:eastAsia="zh-CN" w:bidi="en-US"/>
              </w:rPr>
            </w:pPr>
            <w:r>
              <w:rPr>
                <w:rFonts w:hint="eastAsia" w:ascii="宋体" w:hAnsi="宋体" w:eastAsia="宋体" w:cs="宋体"/>
                <w:b/>
                <w:bCs/>
                <w:color w:val="auto"/>
                <w:sz w:val="21"/>
                <w:szCs w:val="21"/>
                <w:lang w:bidi="en-US"/>
              </w:rPr>
              <w:t>项目理解分析：</w:t>
            </w:r>
            <w:r>
              <w:rPr>
                <w:rFonts w:hint="eastAsia" w:ascii="宋体" w:hAnsi="宋体" w:eastAsia="宋体" w:cs="宋体"/>
                <w:color w:val="auto"/>
                <w:sz w:val="21"/>
                <w:szCs w:val="21"/>
                <w:lang w:bidi="en-US"/>
              </w:rPr>
              <w:t>对德源桤木河城市段城市更新设计项目进行分析总结，并选取节点对其及其周边现状进行科学分析与解读（应针对各段现状进行照片分析并予以文字说明，分析点位不少于3个）</w:t>
            </w:r>
            <w:r>
              <w:rPr>
                <w:rFonts w:hint="eastAsia" w:ascii="宋体" w:hAnsi="宋体" w:eastAsia="宋体" w:cs="宋体"/>
                <w:color w:val="auto"/>
                <w:sz w:val="21"/>
                <w:szCs w:val="21"/>
                <w:lang w:eastAsia="zh-CN" w:bidi="en-US"/>
              </w:rPr>
              <w:t>，应</w:t>
            </w:r>
            <w:r>
              <w:rPr>
                <w:rFonts w:hint="eastAsia" w:ascii="宋体" w:hAnsi="宋体" w:eastAsia="宋体" w:cs="宋体"/>
                <w:color w:val="auto"/>
                <w:sz w:val="21"/>
                <w:szCs w:val="21"/>
                <w:lang w:bidi="en-US"/>
              </w:rPr>
              <w:t>包括区位分析、环境风貌特点分析、文化资源分析、交通现状分析等。</w:t>
            </w:r>
          </w:p>
          <w:p>
            <w:pPr>
              <w:pStyle w:val="71"/>
              <w:spacing w:line="240" w:lineRule="auto"/>
              <w:rPr>
                <w:rFonts w:hint="eastAsia" w:ascii="宋体" w:hAnsi="宋体" w:eastAsia="宋体" w:cs="宋体"/>
                <w:color w:val="auto"/>
                <w:sz w:val="21"/>
                <w:szCs w:val="21"/>
                <w:lang w:bidi="en-US"/>
              </w:rPr>
            </w:pPr>
            <w:r>
              <w:rPr>
                <w:rFonts w:hint="eastAsia" w:ascii="宋体" w:hAnsi="宋体" w:eastAsia="宋体" w:cs="宋体"/>
                <w:color w:val="auto"/>
                <w:sz w:val="21"/>
                <w:szCs w:val="21"/>
                <w:lang w:eastAsia="zh-CN" w:bidi="en-US"/>
              </w:rPr>
              <w:t>上述内容清晰、完整</w:t>
            </w:r>
            <w:r>
              <w:rPr>
                <w:rFonts w:hint="eastAsia" w:ascii="宋体" w:hAnsi="宋体" w:eastAsia="宋体" w:cs="宋体"/>
                <w:color w:val="auto"/>
                <w:sz w:val="21"/>
                <w:szCs w:val="21"/>
                <w:lang w:bidi="en-US"/>
              </w:rPr>
              <w:t>得</w:t>
            </w:r>
            <w:r>
              <w:rPr>
                <w:rFonts w:hint="eastAsia" w:ascii="宋体" w:hAnsi="宋体" w:eastAsia="宋体" w:cs="宋体"/>
                <w:color w:val="auto"/>
                <w:sz w:val="21"/>
                <w:szCs w:val="21"/>
                <w:lang w:val="en-US" w:eastAsia="zh-CN" w:bidi="en-US"/>
              </w:rPr>
              <w:t>20</w:t>
            </w:r>
            <w:r>
              <w:rPr>
                <w:rFonts w:hint="eastAsia" w:ascii="宋体" w:hAnsi="宋体" w:eastAsia="宋体" w:cs="宋体"/>
                <w:color w:val="auto"/>
                <w:sz w:val="21"/>
                <w:szCs w:val="21"/>
                <w:lang w:bidi="en-US"/>
              </w:rPr>
              <w:t>分</w:t>
            </w:r>
            <w:r>
              <w:rPr>
                <w:rFonts w:hint="eastAsia" w:ascii="宋体" w:hAnsi="宋体" w:eastAsia="宋体" w:cs="宋体"/>
                <w:color w:val="auto"/>
                <w:sz w:val="21"/>
                <w:szCs w:val="21"/>
                <w:lang w:eastAsia="zh-CN" w:bidi="en-US"/>
              </w:rPr>
              <w:t>；</w:t>
            </w:r>
            <w:r>
              <w:rPr>
                <w:rFonts w:hint="eastAsia" w:ascii="宋体" w:hAnsi="宋体" w:eastAsia="宋体" w:cs="宋体"/>
                <w:color w:val="auto"/>
                <w:sz w:val="21"/>
                <w:szCs w:val="21"/>
                <w:lang w:bidi="en-US"/>
              </w:rPr>
              <w:t>内容</w:t>
            </w:r>
            <w:r>
              <w:rPr>
                <w:rFonts w:hint="eastAsia" w:ascii="宋体" w:hAnsi="宋体" w:eastAsia="宋体" w:cs="宋体"/>
                <w:color w:val="auto"/>
                <w:sz w:val="21"/>
                <w:szCs w:val="21"/>
                <w:lang w:eastAsia="zh-CN" w:bidi="en-US"/>
              </w:rPr>
              <w:t>每</w:t>
            </w:r>
            <w:r>
              <w:rPr>
                <w:rFonts w:hint="eastAsia" w:ascii="宋体" w:hAnsi="宋体" w:eastAsia="宋体" w:cs="宋体"/>
                <w:color w:val="auto"/>
                <w:sz w:val="21"/>
                <w:szCs w:val="21"/>
                <w:lang w:bidi="en-US"/>
              </w:rPr>
              <w:t>缺</w:t>
            </w:r>
            <w:r>
              <w:rPr>
                <w:rFonts w:hint="eastAsia" w:ascii="宋体" w:hAnsi="宋体" w:eastAsia="宋体" w:cs="宋体"/>
                <w:color w:val="auto"/>
                <w:sz w:val="21"/>
                <w:szCs w:val="21"/>
                <w:lang w:eastAsia="zh-CN" w:bidi="en-US"/>
              </w:rPr>
              <w:t>一</w:t>
            </w:r>
            <w:r>
              <w:rPr>
                <w:rFonts w:hint="eastAsia" w:ascii="宋体" w:hAnsi="宋体" w:eastAsia="宋体" w:cs="宋体"/>
                <w:color w:val="auto"/>
                <w:sz w:val="21"/>
                <w:szCs w:val="21"/>
                <w:lang w:bidi="en-US"/>
              </w:rPr>
              <w:t>项</w:t>
            </w:r>
            <w:r>
              <w:rPr>
                <w:rFonts w:hint="eastAsia" w:ascii="宋体" w:hAnsi="宋体" w:eastAsia="宋体" w:cs="宋体"/>
                <w:color w:val="auto"/>
                <w:sz w:val="21"/>
                <w:szCs w:val="21"/>
                <w:lang w:eastAsia="zh-CN" w:bidi="en-US"/>
              </w:rPr>
              <w:t>扣</w:t>
            </w:r>
            <w:r>
              <w:rPr>
                <w:rFonts w:hint="eastAsia" w:ascii="宋体" w:hAnsi="宋体" w:eastAsia="宋体" w:cs="宋体"/>
                <w:color w:val="auto"/>
                <w:sz w:val="21"/>
                <w:szCs w:val="21"/>
                <w:lang w:val="en-US" w:eastAsia="zh-CN" w:bidi="en-US"/>
              </w:rPr>
              <w:t>5分；</w:t>
            </w:r>
            <w:r>
              <w:rPr>
                <w:rFonts w:hint="eastAsia" w:ascii="宋体" w:hAnsi="宋体" w:eastAsia="宋体" w:cs="宋体"/>
                <w:color w:val="auto"/>
                <w:sz w:val="21"/>
                <w:szCs w:val="21"/>
                <w:lang w:bidi="en-US"/>
              </w:rPr>
              <w:t>或分析缺少依据</w:t>
            </w:r>
            <w:r>
              <w:rPr>
                <w:rFonts w:hint="eastAsia" w:ascii="宋体" w:hAnsi="宋体" w:eastAsia="宋体" w:cs="宋体"/>
                <w:color w:val="auto"/>
                <w:sz w:val="21"/>
                <w:szCs w:val="21"/>
                <w:lang w:eastAsia="zh-CN" w:bidi="en-US"/>
              </w:rPr>
              <w:t>等</w:t>
            </w:r>
            <w:r>
              <w:rPr>
                <w:rFonts w:hint="eastAsia" w:ascii="宋体" w:hAnsi="宋体" w:eastAsia="宋体" w:cs="宋体"/>
                <w:color w:val="auto"/>
                <w:sz w:val="21"/>
                <w:szCs w:val="21"/>
                <w:lang w:bidi="en-US"/>
              </w:rPr>
              <w:t>的</w:t>
            </w:r>
            <w:r>
              <w:rPr>
                <w:rFonts w:hint="eastAsia" w:ascii="宋体" w:hAnsi="宋体" w:eastAsia="宋体" w:cs="宋体"/>
                <w:color w:val="auto"/>
                <w:sz w:val="21"/>
                <w:szCs w:val="21"/>
                <w:lang w:eastAsia="zh-CN" w:bidi="en-US"/>
              </w:rPr>
              <w:t>，</w:t>
            </w:r>
            <w:r>
              <w:rPr>
                <w:rFonts w:hint="eastAsia" w:ascii="宋体" w:hAnsi="宋体" w:eastAsia="宋体" w:cs="宋体"/>
                <w:color w:val="auto"/>
                <w:sz w:val="21"/>
                <w:szCs w:val="21"/>
                <w:lang w:bidi="en-US"/>
              </w:rPr>
              <w:t>每项扣</w:t>
            </w:r>
            <w:r>
              <w:rPr>
                <w:rFonts w:hint="eastAsia" w:ascii="宋体" w:hAnsi="宋体" w:eastAsia="宋体" w:cs="宋体"/>
                <w:color w:val="auto"/>
                <w:sz w:val="21"/>
                <w:szCs w:val="21"/>
                <w:lang w:val="en-US" w:eastAsia="zh-CN" w:bidi="en-US"/>
              </w:rPr>
              <w:t>2.5</w:t>
            </w:r>
            <w:r>
              <w:rPr>
                <w:rFonts w:hint="eastAsia" w:ascii="宋体" w:hAnsi="宋体" w:eastAsia="宋体" w:cs="宋体"/>
                <w:color w:val="auto"/>
                <w:sz w:val="21"/>
                <w:szCs w:val="21"/>
                <w:lang w:bidi="en-US"/>
              </w:rPr>
              <w:t>分，扣完为止</w:t>
            </w:r>
            <w:r>
              <w:rPr>
                <w:rFonts w:hint="eastAsia" w:ascii="宋体" w:hAnsi="宋体" w:eastAsia="宋体" w:cs="宋体"/>
                <w:color w:val="auto"/>
                <w:sz w:val="21"/>
                <w:szCs w:val="21"/>
                <w:lang w:eastAsia="zh-CN" w:bidi="en-US"/>
              </w:rPr>
              <w:t>；</w:t>
            </w:r>
            <w:r>
              <w:rPr>
                <w:rFonts w:hint="eastAsia" w:ascii="宋体" w:hAnsi="宋体" w:eastAsia="宋体" w:cs="宋体"/>
                <w:color w:val="auto"/>
                <w:sz w:val="21"/>
                <w:szCs w:val="21"/>
                <w:lang w:bidi="en-US"/>
              </w:rPr>
              <w:t>未提供不得分。</w:t>
            </w:r>
          </w:p>
          <w:p>
            <w:pPr>
              <w:pStyle w:val="71"/>
              <w:spacing w:line="240" w:lineRule="auto"/>
              <w:rPr>
                <w:rFonts w:hint="eastAsia" w:ascii="宋体" w:hAnsi="宋体" w:eastAsia="宋体" w:cs="宋体"/>
                <w:color w:val="auto"/>
                <w:sz w:val="21"/>
                <w:szCs w:val="21"/>
                <w:lang w:eastAsia="zh-CN" w:bidi="en-US"/>
              </w:rPr>
            </w:pPr>
            <w:r>
              <w:rPr>
                <w:rFonts w:hint="eastAsia" w:ascii="宋体" w:hAnsi="宋体" w:eastAsia="宋体" w:cs="宋体"/>
                <w:b/>
                <w:bCs/>
                <w:color w:val="auto"/>
                <w:sz w:val="21"/>
                <w:szCs w:val="21"/>
                <w:lang w:bidi="en-US"/>
              </w:rPr>
              <w:t>项目设计策略与建议：</w:t>
            </w:r>
            <w:r>
              <w:rPr>
                <w:rFonts w:hint="eastAsia" w:ascii="宋体" w:hAnsi="宋体" w:eastAsia="宋体" w:cs="宋体"/>
                <w:color w:val="auto"/>
                <w:sz w:val="21"/>
                <w:szCs w:val="21"/>
                <w:lang w:bidi="en-US"/>
              </w:rPr>
              <w:t>针对现状分析阶段选取的节点，结合场地的实际情况与特点，提出实施建议与景观策略</w:t>
            </w:r>
            <w:r>
              <w:rPr>
                <w:rFonts w:hint="eastAsia" w:ascii="宋体" w:hAnsi="宋体" w:eastAsia="宋体" w:cs="宋体"/>
                <w:color w:val="auto"/>
                <w:sz w:val="21"/>
                <w:szCs w:val="21"/>
                <w:lang w:eastAsia="zh-CN" w:bidi="en-US"/>
              </w:rPr>
              <w:t>，实施建议与</w:t>
            </w:r>
            <w:r>
              <w:rPr>
                <w:rFonts w:hint="eastAsia" w:ascii="宋体" w:hAnsi="宋体" w:eastAsia="宋体" w:cs="宋体"/>
                <w:color w:val="auto"/>
                <w:sz w:val="21"/>
                <w:szCs w:val="21"/>
                <w:lang w:bidi="en-US"/>
              </w:rPr>
              <w:t>策略针对性强</w:t>
            </w:r>
            <w:r>
              <w:rPr>
                <w:rFonts w:hint="eastAsia" w:ascii="宋体" w:hAnsi="宋体" w:eastAsia="宋体" w:cs="宋体"/>
                <w:color w:val="auto"/>
                <w:sz w:val="21"/>
                <w:szCs w:val="21"/>
                <w:lang w:eastAsia="zh-CN" w:bidi="en-US"/>
              </w:rPr>
              <w:t>、</w:t>
            </w:r>
            <w:r>
              <w:rPr>
                <w:rFonts w:hint="eastAsia" w:ascii="宋体" w:hAnsi="宋体" w:eastAsia="宋体" w:cs="宋体"/>
                <w:color w:val="auto"/>
                <w:sz w:val="21"/>
                <w:szCs w:val="21"/>
                <w:lang w:bidi="en-US"/>
              </w:rPr>
              <w:t>落地性好</w:t>
            </w:r>
            <w:r>
              <w:rPr>
                <w:rFonts w:hint="eastAsia" w:ascii="宋体" w:hAnsi="宋体" w:eastAsia="宋体" w:cs="宋体"/>
                <w:color w:val="auto"/>
                <w:sz w:val="21"/>
                <w:szCs w:val="21"/>
                <w:lang w:eastAsia="zh-CN" w:bidi="en-US"/>
              </w:rPr>
              <w:t>、</w:t>
            </w:r>
            <w:r>
              <w:rPr>
                <w:rFonts w:hint="eastAsia" w:ascii="宋体" w:hAnsi="宋体" w:eastAsia="宋体" w:cs="宋体"/>
                <w:color w:val="auto"/>
                <w:sz w:val="21"/>
                <w:szCs w:val="21"/>
                <w:lang w:bidi="en-US"/>
              </w:rPr>
              <w:t>重点难点明确</w:t>
            </w:r>
            <w:r>
              <w:rPr>
                <w:rFonts w:hint="eastAsia" w:ascii="宋体" w:hAnsi="宋体" w:eastAsia="宋体" w:cs="宋体"/>
                <w:color w:val="auto"/>
                <w:sz w:val="21"/>
                <w:szCs w:val="21"/>
                <w:lang w:eastAsia="zh-CN" w:bidi="en-US"/>
              </w:rPr>
              <w:t>、</w:t>
            </w:r>
            <w:r>
              <w:rPr>
                <w:rFonts w:hint="eastAsia" w:ascii="宋体" w:hAnsi="宋体" w:eastAsia="宋体" w:cs="宋体"/>
                <w:color w:val="auto"/>
                <w:sz w:val="21"/>
                <w:szCs w:val="21"/>
                <w:lang w:bidi="en-US"/>
              </w:rPr>
              <w:t>特色突出</w:t>
            </w:r>
            <w:r>
              <w:rPr>
                <w:rFonts w:hint="eastAsia" w:ascii="宋体" w:hAnsi="宋体" w:eastAsia="宋体" w:cs="宋体"/>
                <w:color w:val="auto"/>
                <w:sz w:val="21"/>
                <w:szCs w:val="21"/>
                <w:lang w:eastAsia="zh-CN" w:bidi="en-US"/>
              </w:rPr>
              <w:t>。</w:t>
            </w:r>
          </w:p>
          <w:p>
            <w:pPr>
              <w:pStyle w:val="71"/>
              <w:spacing w:line="240" w:lineRule="auto"/>
              <w:rPr>
                <w:rFonts w:hint="eastAsia" w:ascii="宋体" w:hAnsi="宋体" w:eastAsia="宋体" w:cs="宋体"/>
                <w:color w:val="auto"/>
                <w:sz w:val="21"/>
                <w:szCs w:val="21"/>
                <w:lang w:bidi="en-US"/>
              </w:rPr>
            </w:pPr>
            <w:r>
              <w:rPr>
                <w:rFonts w:hint="eastAsia" w:ascii="宋体" w:hAnsi="宋体" w:eastAsia="宋体" w:cs="宋体"/>
                <w:color w:val="auto"/>
                <w:sz w:val="21"/>
                <w:szCs w:val="21"/>
                <w:lang w:eastAsia="zh-CN" w:bidi="en-US"/>
              </w:rPr>
              <w:t>上述内容清晰、完整</w:t>
            </w:r>
            <w:r>
              <w:rPr>
                <w:rFonts w:hint="eastAsia" w:ascii="宋体" w:hAnsi="宋体" w:eastAsia="宋体" w:cs="宋体"/>
                <w:color w:val="auto"/>
                <w:sz w:val="21"/>
                <w:szCs w:val="21"/>
                <w:lang w:bidi="en-US"/>
              </w:rPr>
              <w:t>得</w:t>
            </w:r>
            <w:r>
              <w:rPr>
                <w:rFonts w:hint="eastAsia" w:ascii="宋体" w:hAnsi="宋体" w:eastAsia="宋体" w:cs="宋体"/>
                <w:color w:val="auto"/>
                <w:sz w:val="21"/>
                <w:szCs w:val="21"/>
                <w:lang w:val="en-US" w:eastAsia="zh-CN" w:bidi="en-US"/>
              </w:rPr>
              <w:t>20</w:t>
            </w:r>
            <w:r>
              <w:rPr>
                <w:rFonts w:hint="eastAsia" w:ascii="宋体" w:hAnsi="宋体" w:eastAsia="宋体" w:cs="宋体"/>
                <w:color w:val="auto"/>
                <w:sz w:val="21"/>
                <w:szCs w:val="21"/>
                <w:lang w:bidi="en-US"/>
              </w:rPr>
              <w:t>分</w:t>
            </w:r>
            <w:r>
              <w:rPr>
                <w:rFonts w:hint="eastAsia" w:ascii="宋体" w:hAnsi="宋体" w:eastAsia="宋体" w:cs="宋体"/>
                <w:color w:val="auto"/>
                <w:sz w:val="21"/>
                <w:szCs w:val="21"/>
                <w:lang w:eastAsia="zh-CN" w:bidi="en-US"/>
              </w:rPr>
              <w:t>；</w:t>
            </w:r>
            <w:r>
              <w:rPr>
                <w:rFonts w:hint="eastAsia" w:ascii="宋体" w:hAnsi="宋体" w:eastAsia="宋体" w:cs="宋体"/>
                <w:color w:val="auto"/>
                <w:sz w:val="21"/>
                <w:szCs w:val="21"/>
                <w:lang w:bidi="en-US"/>
              </w:rPr>
              <w:t>内容</w:t>
            </w:r>
            <w:r>
              <w:rPr>
                <w:rFonts w:hint="eastAsia" w:ascii="宋体" w:hAnsi="宋体" w:eastAsia="宋体" w:cs="宋体"/>
                <w:color w:val="auto"/>
                <w:sz w:val="21"/>
                <w:szCs w:val="21"/>
                <w:lang w:eastAsia="zh-CN" w:bidi="en-US"/>
              </w:rPr>
              <w:t>每</w:t>
            </w:r>
            <w:r>
              <w:rPr>
                <w:rFonts w:hint="eastAsia" w:ascii="宋体" w:hAnsi="宋体" w:eastAsia="宋体" w:cs="宋体"/>
                <w:color w:val="auto"/>
                <w:sz w:val="21"/>
                <w:szCs w:val="21"/>
                <w:lang w:bidi="en-US"/>
              </w:rPr>
              <w:t>缺</w:t>
            </w:r>
            <w:r>
              <w:rPr>
                <w:rFonts w:hint="eastAsia" w:ascii="宋体" w:hAnsi="宋体" w:eastAsia="宋体" w:cs="宋体"/>
                <w:color w:val="auto"/>
                <w:sz w:val="21"/>
                <w:szCs w:val="21"/>
                <w:lang w:eastAsia="zh-CN" w:bidi="en-US"/>
              </w:rPr>
              <w:t>一</w:t>
            </w:r>
            <w:r>
              <w:rPr>
                <w:rFonts w:hint="eastAsia" w:ascii="宋体" w:hAnsi="宋体" w:eastAsia="宋体" w:cs="宋体"/>
                <w:color w:val="auto"/>
                <w:sz w:val="21"/>
                <w:szCs w:val="21"/>
                <w:lang w:bidi="en-US"/>
              </w:rPr>
              <w:t>项</w:t>
            </w:r>
            <w:r>
              <w:rPr>
                <w:rFonts w:hint="eastAsia" w:ascii="宋体" w:hAnsi="宋体" w:eastAsia="宋体" w:cs="宋体"/>
                <w:color w:val="auto"/>
                <w:sz w:val="21"/>
                <w:szCs w:val="21"/>
                <w:lang w:eastAsia="zh-CN" w:bidi="en-US"/>
              </w:rPr>
              <w:t>扣</w:t>
            </w:r>
            <w:r>
              <w:rPr>
                <w:rFonts w:hint="eastAsia" w:ascii="宋体" w:hAnsi="宋体" w:eastAsia="宋体" w:cs="宋体"/>
                <w:color w:val="auto"/>
                <w:sz w:val="21"/>
                <w:szCs w:val="21"/>
                <w:lang w:val="en-US" w:eastAsia="zh-CN" w:bidi="en-US"/>
              </w:rPr>
              <w:t>5分；</w:t>
            </w:r>
            <w:r>
              <w:rPr>
                <w:rFonts w:hint="eastAsia" w:ascii="宋体" w:hAnsi="宋体" w:eastAsia="宋体" w:cs="宋体"/>
                <w:color w:val="auto"/>
                <w:sz w:val="21"/>
                <w:szCs w:val="21"/>
                <w:lang w:bidi="en-US"/>
              </w:rPr>
              <w:t>或</w:t>
            </w:r>
            <w:r>
              <w:rPr>
                <w:rFonts w:hint="eastAsia" w:ascii="宋体" w:hAnsi="宋体" w:eastAsia="宋体" w:cs="宋体"/>
                <w:color w:val="auto"/>
                <w:sz w:val="21"/>
                <w:szCs w:val="21"/>
                <w:lang w:eastAsia="zh-CN" w:bidi="en-US"/>
              </w:rPr>
              <w:t>建议与策略</w:t>
            </w:r>
            <w:r>
              <w:rPr>
                <w:rFonts w:hint="eastAsia" w:ascii="宋体" w:hAnsi="宋体" w:eastAsia="宋体" w:cs="宋体"/>
                <w:color w:val="auto"/>
                <w:sz w:val="21"/>
                <w:szCs w:val="21"/>
                <w:lang w:bidi="en-US"/>
              </w:rPr>
              <w:t>缺少依据</w:t>
            </w:r>
            <w:r>
              <w:rPr>
                <w:rFonts w:hint="eastAsia" w:ascii="宋体" w:hAnsi="宋体" w:eastAsia="宋体" w:cs="宋体"/>
                <w:color w:val="auto"/>
                <w:sz w:val="21"/>
                <w:szCs w:val="21"/>
                <w:lang w:eastAsia="zh-CN" w:bidi="en-US"/>
              </w:rPr>
              <w:t>等</w:t>
            </w:r>
            <w:r>
              <w:rPr>
                <w:rFonts w:hint="eastAsia" w:ascii="宋体" w:hAnsi="宋体" w:eastAsia="宋体" w:cs="宋体"/>
                <w:color w:val="auto"/>
                <w:sz w:val="21"/>
                <w:szCs w:val="21"/>
                <w:lang w:bidi="en-US"/>
              </w:rPr>
              <w:t>的</w:t>
            </w:r>
            <w:r>
              <w:rPr>
                <w:rFonts w:hint="eastAsia" w:ascii="宋体" w:hAnsi="宋体" w:eastAsia="宋体" w:cs="宋体"/>
                <w:color w:val="auto"/>
                <w:sz w:val="21"/>
                <w:szCs w:val="21"/>
                <w:lang w:eastAsia="zh-CN" w:bidi="en-US"/>
              </w:rPr>
              <w:t>，</w:t>
            </w:r>
            <w:r>
              <w:rPr>
                <w:rFonts w:hint="eastAsia" w:ascii="宋体" w:hAnsi="宋体" w:eastAsia="宋体" w:cs="宋体"/>
                <w:color w:val="auto"/>
                <w:sz w:val="21"/>
                <w:szCs w:val="21"/>
                <w:lang w:bidi="en-US"/>
              </w:rPr>
              <w:t>每项扣</w:t>
            </w:r>
            <w:r>
              <w:rPr>
                <w:rFonts w:hint="eastAsia" w:ascii="宋体" w:hAnsi="宋体" w:eastAsia="宋体" w:cs="宋体"/>
                <w:color w:val="auto"/>
                <w:sz w:val="21"/>
                <w:szCs w:val="21"/>
                <w:lang w:val="en-US" w:eastAsia="zh-CN" w:bidi="en-US"/>
              </w:rPr>
              <w:t>2.5</w:t>
            </w:r>
            <w:r>
              <w:rPr>
                <w:rFonts w:hint="eastAsia" w:ascii="宋体" w:hAnsi="宋体" w:eastAsia="宋体" w:cs="宋体"/>
                <w:color w:val="auto"/>
                <w:sz w:val="21"/>
                <w:szCs w:val="21"/>
                <w:lang w:bidi="en-US"/>
              </w:rPr>
              <w:t>分，扣完为止</w:t>
            </w:r>
            <w:r>
              <w:rPr>
                <w:rFonts w:hint="eastAsia" w:ascii="宋体" w:hAnsi="宋体" w:eastAsia="宋体" w:cs="宋体"/>
                <w:color w:val="auto"/>
                <w:sz w:val="21"/>
                <w:szCs w:val="21"/>
                <w:lang w:eastAsia="zh-CN" w:bidi="en-US"/>
              </w:rPr>
              <w:t>；</w:t>
            </w:r>
            <w:r>
              <w:rPr>
                <w:rFonts w:hint="eastAsia" w:ascii="宋体" w:hAnsi="宋体" w:eastAsia="宋体" w:cs="宋体"/>
                <w:color w:val="auto"/>
                <w:sz w:val="21"/>
                <w:szCs w:val="21"/>
                <w:lang w:bidi="en-US"/>
              </w:rPr>
              <w:t>未提供不得分。</w:t>
            </w:r>
          </w:p>
          <w:p>
            <w:pPr>
              <w:pStyle w:val="71"/>
              <w:spacing w:line="240" w:lineRule="auto"/>
              <w:rPr>
                <w:rFonts w:hint="eastAsia" w:ascii="宋体" w:hAnsi="宋体" w:eastAsia="宋体" w:cs="宋体"/>
                <w:color w:val="auto"/>
                <w:sz w:val="21"/>
                <w:szCs w:val="21"/>
                <w:lang w:eastAsia="zh-CN" w:bidi="en-US"/>
              </w:rPr>
            </w:pPr>
            <w:r>
              <w:rPr>
                <w:rFonts w:hint="eastAsia" w:ascii="宋体" w:hAnsi="宋体" w:eastAsia="宋体" w:cs="宋体"/>
                <w:b/>
                <w:bCs/>
                <w:color w:val="auto"/>
                <w:sz w:val="21"/>
                <w:szCs w:val="21"/>
              </w:rPr>
              <w:t>设计理念：</w:t>
            </w:r>
            <w:r>
              <w:rPr>
                <w:rFonts w:hint="eastAsia" w:ascii="宋体" w:hAnsi="宋体" w:eastAsia="宋体" w:cs="宋体"/>
                <w:color w:val="auto"/>
                <w:sz w:val="21"/>
                <w:szCs w:val="21"/>
                <w:lang w:bidi="en-US"/>
              </w:rPr>
              <w:t>针对项目提出符合总体景观主题概念（需提交彩色平面图和方案平面CAD图，效果图展示不少于4张，A3 版式图纸）</w:t>
            </w:r>
            <w:r>
              <w:rPr>
                <w:rFonts w:hint="eastAsia" w:ascii="宋体" w:hAnsi="宋体" w:eastAsia="宋体" w:cs="宋体"/>
                <w:color w:val="auto"/>
                <w:sz w:val="21"/>
                <w:szCs w:val="21"/>
                <w:lang w:eastAsia="zh-CN" w:bidi="en-US"/>
              </w:rPr>
              <w:t>，</w:t>
            </w:r>
            <w:r>
              <w:rPr>
                <w:rFonts w:hint="eastAsia" w:ascii="宋体" w:hAnsi="宋体" w:eastAsia="宋体" w:cs="宋体"/>
                <w:color w:val="auto"/>
                <w:sz w:val="21"/>
                <w:szCs w:val="21"/>
                <w:lang w:bidi="en-US"/>
              </w:rPr>
              <w:t>总体景观主题概念思路清晰、内容丰富</w:t>
            </w:r>
            <w:r>
              <w:rPr>
                <w:rFonts w:hint="eastAsia" w:ascii="宋体" w:hAnsi="宋体" w:eastAsia="宋体" w:cs="宋体"/>
                <w:color w:val="auto"/>
                <w:sz w:val="21"/>
                <w:szCs w:val="21"/>
                <w:lang w:eastAsia="zh-CN" w:bidi="en-US"/>
              </w:rPr>
              <w:t>、</w:t>
            </w:r>
            <w:r>
              <w:rPr>
                <w:rFonts w:hint="eastAsia" w:ascii="宋体" w:hAnsi="宋体" w:eastAsia="宋体" w:cs="宋体"/>
                <w:color w:val="auto"/>
                <w:sz w:val="21"/>
                <w:szCs w:val="21"/>
                <w:lang w:bidi="en-US"/>
              </w:rPr>
              <w:t>立意构思新颖</w:t>
            </w:r>
            <w:r>
              <w:rPr>
                <w:rFonts w:hint="eastAsia" w:ascii="宋体" w:hAnsi="宋体" w:eastAsia="宋体" w:cs="宋体"/>
                <w:color w:val="auto"/>
                <w:sz w:val="21"/>
                <w:szCs w:val="21"/>
                <w:lang w:eastAsia="zh-CN" w:bidi="en-US"/>
              </w:rPr>
              <w:t>。</w:t>
            </w:r>
          </w:p>
          <w:p>
            <w:pPr>
              <w:pStyle w:val="71"/>
              <w:spacing w:line="240" w:lineRule="auto"/>
              <w:rPr>
                <w:rFonts w:hint="eastAsia" w:ascii="宋体" w:hAnsi="宋体" w:eastAsia="宋体" w:cs="宋体"/>
                <w:color w:val="FF0000"/>
                <w:sz w:val="21"/>
                <w:szCs w:val="21"/>
              </w:rPr>
            </w:pPr>
            <w:r>
              <w:rPr>
                <w:rFonts w:hint="eastAsia" w:ascii="宋体" w:hAnsi="宋体" w:eastAsia="宋体" w:cs="宋体"/>
                <w:color w:val="auto"/>
                <w:sz w:val="21"/>
                <w:szCs w:val="21"/>
                <w:lang w:eastAsia="zh-CN" w:bidi="en-US"/>
              </w:rPr>
              <w:t>上述内容清晰、完整</w:t>
            </w:r>
            <w:r>
              <w:rPr>
                <w:rFonts w:hint="eastAsia" w:ascii="宋体" w:hAnsi="宋体" w:eastAsia="宋体" w:cs="宋体"/>
                <w:color w:val="auto"/>
                <w:sz w:val="21"/>
                <w:szCs w:val="21"/>
                <w:lang w:bidi="en-US"/>
              </w:rPr>
              <w:t>得</w:t>
            </w:r>
            <w:r>
              <w:rPr>
                <w:rFonts w:hint="eastAsia" w:ascii="宋体" w:hAnsi="宋体" w:eastAsia="宋体" w:cs="宋体"/>
                <w:color w:val="auto"/>
                <w:sz w:val="21"/>
                <w:szCs w:val="21"/>
                <w:lang w:val="en-US" w:eastAsia="zh-CN" w:bidi="en-US"/>
              </w:rPr>
              <w:t>9</w:t>
            </w:r>
            <w:r>
              <w:rPr>
                <w:rFonts w:hint="eastAsia" w:ascii="宋体" w:hAnsi="宋体" w:eastAsia="宋体" w:cs="宋体"/>
                <w:color w:val="auto"/>
                <w:sz w:val="21"/>
                <w:szCs w:val="21"/>
                <w:lang w:bidi="en-US"/>
              </w:rPr>
              <w:t>分</w:t>
            </w:r>
            <w:r>
              <w:rPr>
                <w:rFonts w:hint="eastAsia" w:ascii="宋体" w:hAnsi="宋体" w:eastAsia="宋体" w:cs="宋体"/>
                <w:color w:val="auto"/>
                <w:sz w:val="21"/>
                <w:szCs w:val="21"/>
                <w:lang w:eastAsia="zh-CN" w:bidi="en-US"/>
              </w:rPr>
              <w:t>；</w:t>
            </w:r>
            <w:r>
              <w:rPr>
                <w:rFonts w:hint="eastAsia" w:ascii="宋体" w:hAnsi="宋体" w:eastAsia="宋体" w:cs="宋体"/>
                <w:color w:val="auto"/>
                <w:sz w:val="21"/>
                <w:szCs w:val="21"/>
                <w:lang w:bidi="en-US"/>
              </w:rPr>
              <w:t>内容</w:t>
            </w:r>
            <w:r>
              <w:rPr>
                <w:rFonts w:hint="eastAsia" w:ascii="宋体" w:hAnsi="宋体" w:eastAsia="宋体" w:cs="宋体"/>
                <w:color w:val="auto"/>
                <w:sz w:val="21"/>
                <w:szCs w:val="21"/>
                <w:lang w:eastAsia="zh-CN" w:bidi="en-US"/>
              </w:rPr>
              <w:t>每</w:t>
            </w:r>
            <w:r>
              <w:rPr>
                <w:rFonts w:hint="eastAsia" w:ascii="宋体" w:hAnsi="宋体" w:eastAsia="宋体" w:cs="宋体"/>
                <w:color w:val="auto"/>
                <w:sz w:val="21"/>
                <w:szCs w:val="21"/>
                <w:lang w:bidi="en-US"/>
              </w:rPr>
              <w:t>缺</w:t>
            </w:r>
            <w:r>
              <w:rPr>
                <w:rFonts w:hint="eastAsia" w:ascii="宋体" w:hAnsi="宋体" w:eastAsia="宋体" w:cs="宋体"/>
                <w:color w:val="auto"/>
                <w:sz w:val="21"/>
                <w:szCs w:val="21"/>
                <w:lang w:eastAsia="zh-CN" w:bidi="en-US"/>
              </w:rPr>
              <w:t>一</w:t>
            </w:r>
            <w:r>
              <w:rPr>
                <w:rFonts w:hint="eastAsia" w:ascii="宋体" w:hAnsi="宋体" w:eastAsia="宋体" w:cs="宋体"/>
                <w:color w:val="auto"/>
                <w:sz w:val="21"/>
                <w:szCs w:val="21"/>
                <w:lang w:bidi="en-US"/>
              </w:rPr>
              <w:t>项</w:t>
            </w:r>
            <w:r>
              <w:rPr>
                <w:rFonts w:hint="eastAsia" w:ascii="宋体" w:hAnsi="宋体" w:eastAsia="宋体" w:cs="宋体"/>
                <w:color w:val="auto"/>
                <w:sz w:val="21"/>
                <w:szCs w:val="21"/>
                <w:lang w:eastAsia="zh-CN" w:bidi="en-US"/>
              </w:rPr>
              <w:t>扣</w:t>
            </w:r>
            <w:r>
              <w:rPr>
                <w:rFonts w:hint="eastAsia" w:ascii="宋体" w:hAnsi="宋体" w:eastAsia="宋体" w:cs="宋体"/>
                <w:color w:val="auto"/>
                <w:sz w:val="21"/>
                <w:szCs w:val="21"/>
                <w:lang w:val="en-US" w:eastAsia="zh-CN" w:bidi="en-US"/>
              </w:rPr>
              <w:t>3分；</w:t>
            </w:r>
            <w:r>
              <w:rPr>
                <w:rFonts w:hint="eastAsia" w:ascii="宋体" w:hAnsi="宋体" w:eastAsia="宋体" w:cs="宋体"/>
                <w:color w:val="auto"/>
                <w:sz w:val="21"/>
                <w:szCs w:val="21"/>
                <w:lang w:bidi="en-US"/>
              </w:rPr>
              <w:t>或</w:t>
            </w:r>
            <w:r>
              <w:rPr>
                <w:rFonts w:hint="eastAsia" w:ascii="宋体" w:hAnsi="宋体" w:eastAsia="宋体" w:cs="宋体"/>
                <w:color w:val="auto"/>
                <w:sz w:val="21"/>
                <w:szCs w:val="21"/>
                <w:lang w:eastAsia="zh-CN" w:bidi="en-US"/>
              </w:rPr>
              <w:t>提出的主题概念</w:t>
            </w:r>
            <w:r>
              <w:rPr>
                <w:rFonts w:hint="eastAsia" w:ascii="宋体" w:hAnsi="宋体" w:eastAsia="宋体" w:cs="宋体"/>
                <w:color w:val="auto"/>
                <w:sz w:val="21"/>
                <w:szCs w:val="21"/>
                <w:lang w:bidi="en-US"/>
              </w:rPr>
              <w:t>缺少依据</w:t>
            </w:r>
            <w:r>
              <w:rPr>
                <w:rFonts w:hint="eastAsia" w:ascii="宋体" w:hAnsi="宋体" w:eastAsia="宋体" w:cs="宋体"/>
                <w:color w:val="auto"/>
                <w:sz w:val="21"/>
                <w:szCs w:val="21"/>
                <w:lang w:eastAsia="zh-CN" w:bidi="en-US"/>
              </w:rPr>
              <w:t>等</w:t>
            </w:r>
            <w:r>
              <w:rPr>
                <w:rFonts w:hint="eastAsia" w:ascii="宋体" w:hAnsi="宋体" w:eastAsia="宋体" w:cs="宋体"/>
                <w:color w:val="auto"/>
                <w:sz w:val="21"/>
                <w:szCs w:val="21"/>
                <w:lang w:bidi="en-US"/>
              </w:rPr>
              <w:t>的</w:t>
            </w:r>
            <w:r>
              <w:rPr>
                <w:rFonts w:hint="eastAsia" w:ascii="宋体" w:hAnsi="宋体" w:eastAsia="宋体" w:cs="宋体"/>
                <w:color w:val="auto"/>
                <w:sz w:val="21"/>
                <w:szCs w:val="21"/>
                <w:lang w:eastAsia="zh-CN" w:bidi="en-US"/>
              </w:rPr>
              <w:t>，</w:t>
            </w:r>
            <w:r>
              <w:rPr>
                <w:rFonts w:hint="eastAsia" w:ascii="宋体" w:hAnsi="宋体" w:eastAsia="宋体" w:cs="宋体"/>
                <w:color w:val="auto"/>
                <w:sz w:val="21"/>
                <w:szCs w:val="21"/>
                <w:lang w:bidi="en-US"/>
              </w:rPr>
              <w:t>每项扣</w:t>
            </w:r>
            <w:r>
              <w:rPr>
                <w:rFonts w:hint="eastAsia" w:ascii="宋体" w:hAnsi="宋体" w:eastAsia="宋体" w:cs="宋体"/>
                <w:color w:val="auto"/>
                <w:sz w:val="21"/>
                <w:szCs w:val="21"/>
                <w:lang w:val="en-US" w:eastAsia="zh-CN" w:bidi="en-US"/>
              </w:rPr>
              <w:t>1.5</w:t>
            </w:r>
            <w:r>
              <w:rPr>
                <w:rFonts w:hint="eastAsia" w:ascii="宋体" w:hAnsi="宋体" w:eastAsia="宋体" w:cs="宋体"/>
                <w:color w:val="auto"/>
                <w:sz w:val="21"/>
                <w:szCs w:val="21"/>
                <w:lang w:bidi="en-US"/>
              </w:rPr>
              <w:t>分，扣完为止</w:t>
            </w:r>
            <w:r>
              <w:rPr>
                <w:rFonts w:hint="eastAsia" w:ascii="宋体" w:hAnsi="宋体" w:eastAsia="宋体" w:cs="宋体"/>
                <w:color w:val="auto"/>
                <w:sz w:val="21"/>
                <w:szCs w:val="21"/>
                <w:lang w:eastAsia="zh-CN" w:bidi="en-US"/>
              </w:rPr>
              <w:t>；</w:t>
            </w:r>
            <w:r>
              <w:rPr>
                <w:rFonts w:hint="eastAsia" w:ascii="宋体" w:hAnsi="宋体" w:eastAsia="宋体" w:cs="宋体"/>
                <w:color w:val="auto"/>
                <w:sz w:val="21"/>
                <w:szCs w:val="21"/>
                <w:lang w:bidi="en-US"/>
              </w:rPr>
              <w:t>未提供不得分。</w:t>
            </w:r>
          </w:p>
        </w:tc>
        <w:tc>
          <w:tcPr>
            <w:tcW w:w="995" w:type="dxa"/>
            <w:tcBorders>
              <w:top w:val="single" w:color="auto" w:sz="4" w:space="0"/>
              <w:left w:val="nil"/>
              <w:right w:val="single" w:color="auto" w:sz="4" w:space="0"/>
            </w:tcBorders>
            <w:noWrap w:val="0"/>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714"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1115"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rPr>
              <w:t>工作计划</w:t>
            </w:r>
            <w:r>
              <w:rPr>
                <w:rFonts w:hint="eastAsia" w:ascii="宋体" w:hAnsi="宋体" w:eastAsia="宋体" w:cs="宋体"/>
                <w:color w:val="auto"/>
                <w:kern w:val="0"/>
                <w:sz w:val="21"/>
                <w:szCs w:val="21"/>
                <w:lang w:val="en-US" w:eastAsia="zh-CN"/>
              </w:rPr>
              <w:t>2%</w:t>
            </w:r>
          </w:p>
        </w:tc>
        <w:tc>
          <w:tcPr>
            <w:tcW w:w="1960" w:type="dxa"/>
            <w:gridSpan w:val="2"/>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2分</w:t>
            </w:r>
          </w:p>
        </w:tc>
        <w:tc>
          <w:tcPr>
            <w:tcW w:w="5847" w:type="dxa"/>
            <w:tcBorders>
              <w:top w:val="single" w:color="auto" w:sz="4" w:space="0"/>
              <w:left w:val="nil"/>
              <w:bottom w:val="single" w:color="auto" w:sz="4" w:space="0"/>
              <w:right w:val="single" w:color="auto" w:sz="4" w:space="0"/>
            </w:tcBorders>
            <w:noWrap w:val="0"/>
            <w:vAlign w:val="center"/>
          </w:tcPr>
          <w:p>
            <w:pPr>
              <w:pStyle w:val="11"/>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1、有针对本项目制定设计服务周期安排和工作任务完成的时限的得1分，设计服务周期安排合理且在要求期限内提前10天完成的加1分（须提供承诺函，格式自拟）。</w:t>
            </w:r>
          </w:p>
          <w:p>
            <w:pPr>
              <w:pStyle w:val="11"/>
              <w:spacing w:line="240" w:lineRule="auto"/>
              <w:rPr>
                <w:rFonts w:hint="eastAsia" w:ascii="宋体" w:hAnsi="宋体" w:eastAsia="宋体" w:cs="宋体"/>
                <w:sz w:val="21"/>
                <w:szCs w:val="21"/>
                <w:lang w:eastAsia="zh-CN"/>
              </w:rPr>
            </w:pPr>
            <w:r>
              <w:rPr>
                <w:rFonts w:hint="eastAsia" w:ascii="宋体" w:hAnsi="宋体" w:eastAsia="宋体" w:cs="宋体"/>
                <w:color w:val="auto"/>
                <w:kern w:val="2"/>
                <w:sz w:val="21"/>
                <w:szCs w:val="21"/>
                <w:lang w:val="en-US" w:eastAsia="zh-CN" w:bidi="ar-SA"/>
              </w:rPr>
              <w:t>2、没有对工作计划的相关文本描述，不得分。</w:t>
            </w:r>
          </w:p>
        </w:tc>
        <w:tc>
          <w:tcPr>
            <w:tcW w:w="995"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714"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p>
        </w:tc>
        <w:tc>
          <w:tcPr>
            <w:tcW w:w="1115"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rPr>
              <w:t>服务承诺</w:t>
            </w:r>
            <w:r>
              <w:rPr>
                <w:rFonts w:hint="eastAsia" w:ascii="宋体" w:hAnsi="宋体" w:eastAsia="宋体" w:cs="宋体"/>
                <w:color w:val="auto"/>
                <w:kern w:val="0"/>
                <w:sz w:val="21"/>
                <w:szCs w:val="21"/>
                <w:lang w:val="en-US" w:eastAsia="zh-CN"/>
              </w:rPr>
              <w:t>4%</w:t>
            </w:r>
          </w:p>
        </w:tc>
        <w:tc>
          <w:tcPr>
            <w:tcW w:w="1960" w:type="dxa"/>
            <w:gridSpan w:val="2"/>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4分</w:t>
            </w:r>
          </w:p>
        </w:tc>
        <w:tc>
          <w:tcPr>
            <w:tcW w:w="5847" w:type="dxa"/>
            <w:tcBorders>
              <w:top w:val="single" w:color="auto" w:sz="4" w:space="0"/>
              <w:left w:val="nil"/>
              <w:bottom w:val="single" w:color="auto" w:sz="4" w:space="0"/>
              <w:right w:val="single" w:color="auto" w:sz="4" w:space="0"/>
            </w:tcBorders>
            <w:noWrap w:val="0"/>
            <w:vAlign w:val="center"/>
          </w:tcPr>
          <w:p>
            <w:pPr>
              <w:pStyle w:val="11"/>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1、有对服务承诺（保证设计质量、配合项目实施、提供优质的服务的措施）的描述的得2分；服务承诺科学合理、符合实际情况的加2分；</w:t>
            </w:r>
          </w:p>
          <w:p>
            <w:pPr>
              <w:pStyle w:val="11"/>
              <w:spacing w:line="240" w:lineRule="auto"/>
              <w:rPr>
                <w:rFonts w:hint="eastAsia" w:ascii="宋体" w:hAnsi="宋体" w:eastAsia="宋体" w:cs="宋体"/>
                <w:sz w:val="21"/>
                <w:szCs w:val="21"/>
                <w:lang w:eastAsia="zh-CN"/>
              </w:rPr>
            </w:pPr>
            <w:r>
              <w:rPr>
                <w:rFonts w:hint="eastAsia" w:ascii="宋体" w:hAnsi="宋体" w:eastAsia="宋体" w:cs="宋体"/>
                <w:color w:val="auto"/>
                <w:kern w:val="2"/>
                <w:sz w:val="21"/>
                <w:szCs w:val="21"/>
                <w:lang w:val="en-US" w:eastAsia="zh-CN" w:bidi="ar-SA"/>
              </w:rPr>
              <w:t>2、没有对服务承诺的相关文本描述，不得分。</w:t>
            </w:r>
          </w:p>
        </w:tc>
        <w:tc>
          <w:tcPr>
            <w:tcW w:w="995" w:type="dxa"/>
            <w:tcBorders>
              <w:top w:val="single" w:color="auto" w:sz="4" w:space="0"/>
              <w:left w:val="nil"/>
              <w:bottom w:val="single" w:color="auto" w:sz="4" w:space="0"/>
              <w:right w:val="single" w:color="auto" w:sz="4" w:space="0"/>
            </w:tcBorders>
            <w:noWrap w:val="0"/>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共同评分因素</w:t>
            </w:r>
          </w:p>
        </w:tc>
      </w:tr>
    </w:tbl>
    <w:p>
      <w:pPr>
        <w:tabs>
          <w:tab w:val="left" w:pos="9639"/>
        </w:tabs>
        <w:ind w:firstLine="480" w:firstLineChars="200"/>
        <w:rPr>
          <w:rFonts w:hint="eastAsia"/>
          <w:sz w:val="24"/>
          <w:szCs w:val="24"/>
        </w:rPr>
      </w:pPr>
      <w:r>
        <w:rPr>
          <w:rFonts w:hint="eastAsia"/>
          <w:sz w:val="24"/>
          <w:szCs w:val="24"/>
        </w:rPr>
        <w:t>注：评分的取值按四舍五入法，保留小数点后两位。</w:t>
      </w:r>
    </w:p>
    <w:bookmarkEnd w:id="96"/>
    <w:bookmarkEnd w:id="97"/>
    <w:bookmarkEnd w:id="98"/>
    <w:bookmarkEnd w:id="99"/>
    <w:p>
      <w:pPr>
        <w:tabs>
          <w:tab w:val="left" w:pos="851"/>
          <w:tab w:val="left" w:pos="9639"/>
        </w:tabs>
        <w:spacing w:line="400" w:lineRule="exact"/>
        <w:ind w:firstLine="482" w:firstLineChars="200"/>
        <w:rPr>
          <w:rFonts w:hint="eastAsia" w:hAnsi="宋体"/>
          <w:b/>
          <w:sz w:val="24"/>
        </w:rPr>
      </w:pPr>
      <w:r>
        <w:rPr>
          <w:rFonts w:hint="eastAsia" w:hAnsi="宋体"/>
          <w:b/>
          <w:sz w:val="24"/>
        </w:rPr>
        <w:t>4.磋商纪律及注意事项</w:t>
      </w:r>
    </w:p>
    <w:p>
      <w:pPr>
        <w:tabs>
          <w:tab w:val="left" w:pos="851"/>
          <w:tab w:val="left" w:pos="9639"/>
        </w:tabs>
        <w:spacing w:line="400" w:lineRule="exact"/>
        <w:ind w:firstLine="480" w:firstLineChars="200"/>
        <w:rPr>
          <w:rFonts w:hint="eastAsia"/>
        </w:rPr>
      </w:pPr>
      <w:r>
        <w:rPr>
          <w:rFonts w:hint="eastAsia" w:hAnsi="宋体"/>
          <w:sz w:val="24"/>
        </w:rPr>
        <w:t>4.1磋商小组内部讨论的情 况和意见必须保密，任何人不得以任何形式透露给供应商或与供应商有关的单位或个人。</w:t>
      </w:r>
    </w:p>
    <w:p>
      <w:pPr>
        <w:tabs>
          <w:tab w:val="left" w:pos="851"/>
          <w:tab w:val="left" w:pos="9639"/>
        </w:tabs>
        <w:spacing w:line="400" w:lineRule="exact"/>
        <w:ind w:firstLine="480" w:firstLineChars="200"/>
        <w:rPr>
          <w:rFonts w:hint="eastAsia" w:hAnsi="宋体"/>
          <w:sz w:val="24"/>
        </w:rPr>
      </w:pPr>
      <w:r>
        <w:rPr>
          <w:rFonts w:hint="eastAsia" w:hAnsi="宋体"/>
          <w:sz w:val="24"/>
        </w:rPr>
        <w:t>4.2在磋商过程中，供应商不得以任何形式对磋商小组成员进行旨在影响谈判结果的私下接触，否则将取消其参与磋商的资格。</w:t>
      </w:r>
    </w:p>
    <w:p>
      <w:pPr>
        <w:tabs>
          <w:tab w:val="left" w:pos="851"/>
          <w:tab w:val="left" w:pos="9639"/>
        </w:tabs>
        <w:spacing w:line="400" w:lineRule="exact"/>
        <w:ind w:firstLine="480" w:firstLineChars="200"/>
        <w:rPr>
          <w:rFonts w:hint="eastAsia" w:hAnsi="宋体"/>
          <w:sz w:val="24"/>
        </w:rPr>
      </w:pPr>
      <w:r>
        <w:rPr>
          <w:rFonts w:hint="eastAsia" w:hAnsi="宋体"/>
          <w:sz w:val="24"/>
        </w:rPr>
        <w:t>4.3</w:t>
      </w:r>
      <w:r>
        <w:rPr>
          <w:rFonts w:hint="eastAsia"/>
          <w:sz w:val="24"/>
        </w:rPr>
        <w:t>对各供应商的商业秘密，磋商小组成员应予以保密，不得泄露给其他供应商。</w:t>
      </w:r>
    </w:p>
    <w:p>
      <w:pPr>
        <w:tabs>
          <w:tab w:val="left" w:pos="851"/>
          <w:tab w:val="left" w:pos="9639"/>
        </w:tabs>
        <w:spacing w:line="400" w:lineRule="exact"/>
        <w:ind w:firstLine="480" w:firstLineChars="200"/>
        <w:rPr>
          <w:rFonts w:hint="eastAsia" w:hAnsi="宋体"/>
          <w:sz w:val="24"/>
        </w:rPr>
      </w:pPr>
      <w:r>
        <w:rPr>
          <w:rFonts w:hint="eastAsia" w:hAnsi="宋体"/>
          <w:sz w:val="24"/>
        </w:rPr>
        <w:t>4.4 磋商小组独立评判，推荐成交候选人，并写出书面报告。</w:t>
      </w:r>
    </w:p>
    <w:p>
      <w:pPr>
        <w:tabs>
          <w:tab w:val="left" w:pos="851"/>
          <w:tab w:val="left" w:pos="9639"/>
        </w:tabs>
        <w:spacing w:line="400" w:lineRule="exact"/>
        <w:ind w:firstLine="480" w:firstLineChars="200"/>
        <w:rPr>
          <w:rFonts w:hint="eastAsia" w:hAnsi="宋体"/>
          <w:sz w:val="24"/>
        </w:rPr>
      </w:pPr>
      <w:r>
        <w:rPr>
          <w:rFonts w:hint="eastAsia" w:hAnsi="宋体"/>
          <w:sz w:val="24"/>
        </w:rPr>
        <w:t>4.5 磋商小组可根据需要对供应商进行实地考察。</w:t>
      </w:r>
    </w:p>
    <w:p>
      <w:pPr>
        <w:tabs>
          <w:tab w:val="left" w:pos="7665"/>
          <w:tab w:val="left" w:pos="9639"/>
        </w:tabs>
        <w:spacing w:line="400" w:lineRule="exact"/>
        <w:ind w:firstLine="480" w:firstLineChars="200"/>
        <w:rPr>
          <w:rFonts w:hint="eastAsia" w:hAnsi="宋体"/>
          <w:b/>
          <w:sz w:val="24"/>
        </w:rPr>
      </w:pPr>
      <w:r>
        <w:rPr>
          <w:rFonts w:hint="eastAsia" w:hAnsi="宋体"/>
          <w:sz w:val="24"/>
        </w:rPr>
        <w:t>5.</w:t>
      </w:r>
      <w:bookmarkEnd w:id="100"/>
      <w:r>
        <w:rPr>
          <w:rFonts w:hint="eastAsia" w:hAnsi="宋体"/>
          <w:b/>
          <w:sz w:val="24"/>
        </w:rPr>
        <w:t>磋商小组在政府采购活动中承担以下义务：</w:t>
      </w:r>
    </w:p>
    <w:p>
      <w:pPr>
        <w:tabs>
          <w:tab w:val="left" w:pos="7665"/>
          <w:tab w:val="left" w:pos="9639"/>
        </w:tabs>
        <w:spacing w:line="400" w:lineRule="exact"/>
        <w:ind w:firstLine="480" w:firstLineChars="200"/>
        <w:rPr>
          <w:rFonts w:hint="eastAsia" w:hAnsi="宋体"/>
          <w:sz w:val="24"/>
        </w:rPr>
      </w:pPr>
      <w:r>
        <w:rPr>
          <w:rFonts w:hint="eastAsia" w:hAnsi="宋体"/>
          <w:sz w:val="24"/>
        </w:rPr>
        <w:t>（一）遵守评审工作纪律；</w:t>
      </w:r>
    </w:p>
    <w:p>
      <w:pPr>
        <w:tabs>
          <w:tab w:val="left" w:pos="7665"/>
          <w:tab w:val="left" w:pos="9639"/>
        </w:tabs>
        <w:spacing w:line="400" w:lineRule="exact"/>
        <w:ind w:firstLine="480" w:firstLineChars="200"/>
        <w:rPr>
          <w:rFonts w:hint="eastAsia" w:hAnsi="宋体"/>
          <w:sz w:val="24"/>
        </w:rPr>
      </w:pPr>
      <w:r>
        <w:rPr>
          <w:rFonts w:hint="eastAsia" w:hAnsi="宋体"/>
          <w:sz w:val="24"/>
        </w:rPr>
        <w:t>（二）按照客观、公正、审慎的原则，根据磋商文件规定的评审程序、评审方法和评审标准进行独立评审；</w:t>
      </w:r>
    </w:p>
    <w:p>
      <w:pPr>
        <w:tabs>
          <w:tab w:val="left" w:pos="7665"/>
          <w:tab w:val="left" w:pos="9639"/>
        </w:tabs>
        <w:spacing w:line="400" w:lineRule="exact"/>
        <w:ind w:firstLine="480" w:firstLineChars="200"/>
        <w:rPr>
          <w:rFonts w:hint="eastAsia" w:hAnsi="宋体"/>
          <w:sz w:val="24"/>
        </w:rPr>
      </w:pPr>
      <w:r>
        <w:rPr>
          <w:rFonts w:hint="eastAsia" w:hAnsi="宋体"/>
          <w:sz w:val="24"/>
        </w:rPr>
        <w:t>（三）不得泄露评审文件、评审情况和在评审过程中获悉的商业秘密；</w:t>
      </w:r>
    </w:p>
    <w:p>
      <w:pPr>
        <w:tabs>
          <w:tab w:val="left" w:pos="7665"/>
          <w:tab w:val="left" w:pos="9639"/>
        </w:tabs>
        <w:spacing w:line="400" w:lineRule="exact"/>
        <w:ind w:firstLine="480" w:firstLineChars="200"/>
        <w:rPr>
          <w:rFonts w:hint="eastAsia" w:hAnsi="宋体"/>
          <w:sz w:val="24"/>
        </w:rPr>
      </w:pPr>
      <w:r>
        <w:rPr>
          <w:rFonts w:hint="eastAsia" w:hAnsi="宋体"/>
          <w:sz w:val="24"/>
        </w:rPr>
        <w:t>（四）及时向财政部门报告评审过程中发现的采购人、采购代理机构向评审专家做倾向性、误导性的解释或者说明，以及供应商行贿、提供虚假材料或者串通等违法行为；</w:t>
      </w:r>
    </w:p>
    <w:p>
      <w:pPr>
        <w:tabs>
          <w:tab w:val="left" w:pos="7665"/>
          <w:tab w:val="left" w:pos="9639"/>
        </w:tabs>
        <w:spacing w:line="400" w:lineRule="exact"/>
        <w:ind w:firstLine="480" w:firstLineChars="200"/>
        <w:rPr>
          <w:rFonts w:hint="eastAsia" w:hAnsi="宋体"/>
          <w:sz w:val="24"/>
        </w:rPr>
      </w:pPr>
      <w:r>
        <w:rPr>
          <w:rFonts w:hint="eastAsia" w:hAnsi="宋体"/>
          <w:sz w:val="24"/>
        </w:rPr>
        <w:t>（五）发现磋商文件内容违反国家有关强制性规定或者磋商文件存在歧义、重大缺陷导致评审工作无法进行时，停止评审并向采购人或者采购代理机构书面说明情况；</w:t>
      </w:r>
    </w:p>
    <w:p>
      <w:pPr>
        <w:tabs>
          <w:tab w:val="left" w:pos="7665"/>
          <w:tab w:val="left" w:pos="9639"/>
        </w:tabs>
        <w:spacing w:line="400" w:lineRule="exact"/>
        <w:ind w:firstLine="480" w:firstLineChars="200"/>
        <w:rPr>
          <w:rFonts w:hint="eastAsia" w:hAnsi="宋体"/>
          <w:sz w:val="24"/>
        </w:rPr>
      </w:pPr>
      <w:r>
        <w:rPr>
          <w:rFonts w:hint="eastAsia" w:hAnsi="宋体"/>
          <w:sz w:val="24"/>
        </w:rPr>
        <w:t>（六）及时向财政、监察等部门举报在评审过程中受到非法干预的情况；</w:t>
      </w:r>
    </w:p>
    <w:p>
      <w:pPr>
        <w:tabs>
          <w:tab w:val="left" w:pos="7665"/>
          <w:tab w:val="left" w:pos="9639"/>
        </w:tabs>
        <w:spacing w:line="400" w:lineRule="exact"/>
        <w:ind w:firstLine="480" w:firstLineChars="200"/>
        <w:rPr>
          <w:rFonts w:hint="eastAsia" w:hAnsi="宋体"/>
          <w:sz w:val="24"/>
        </w:rPr>
      </w:pPr>
      <w:r>
        <w:rPr>
          <w:rFonts w:hint="eastAsia" w:hAnsi="宋体"/>
          <w:sz w:val="24"/>
        </w:rPr>
        <w:t>（七）配合答复处理供应商的询问、质疑和投诉等事项；</w:t>
      </w:r>
    </w:p>
    <w:p>
      <w:pPr>
        <w:tabs>
          <w:tab w:val="left" w:pos="7665"/>
          <w:tab w:val="left" w:pos="9639"/>
        </w:tabs>
        <w:spacing w:line="400" w:lineRule="exact"/>
        <w:ind w:firstLine="480" w:firstLineChars="200"/>
        <w:rPr>
          <w:rFonts w:hint="eastAsia" w:hAnsi="宋体"/>
          <w:sz w:val="24"/>
        </w:rPr>
      </w:pPr>
      <w:r>
        <w:rPr>
          <w:rFonts w:hint="eastAsia" w:hAnsi="宋体"/>
          <w:sz w:val="24"/>
        </w:rPr>
        <w:t>（八）法律、法规和规章规定的其他义务。</w:t>
      </w:r>
    </w:p>
    <w:p>
      <w:pPr>
        <w:tabs>
          <w:tab w:val="left" w:pos="7665"/>
          <w:tab w:val="left" w:pos="9639"/>
        </w:tabs>
        <w:spacing w:line="400" w:lineRule="exact"/>
        <w:rPr>
          <w:rFonts w:hint="eastAsia" w:hAnsi="宋体"/>
          <w:sz w:val="24"/>
        </w:rPr>
      </w:pPr>
    </w:p>
    <w:p>
      <w:pPr>
        <w:tabs>
          <w:tab w:val="left" w:pos="7665"/>
          <w:tab w:val="left" w:pos="9639"/>
        </w:tabs>
        <w:spacing w:line="400" w:lineRule="exact"/>
        <w:ind w:firstLine="482" w:firstLineChars="200"/>
        <w:rPr>
          <w:rFonts w:hint="eastAsia" w:hAnsi="宋体"/>
          <w:b/>
          <w:sz w:val="24"/>
        </w:rPr>
      </w:pPr>
      <w:r>
        <w:rPr>
          <w:rFonts w:hint="eastAsia" w:hAnsi="宋体"/>
          <w:b/>
          <w:sz w:val="24"/>
        </w:rPr>
        <w:t>6.评审专家在政府采购活动中应当遵守以下工作纪律：</w:t>
      </w:r>
    </w:p>
    <w:p>
      <w:pPr>
        <w:tabs>
          <w:tab w:val="left" w:pos="7665"/>
          <w:tab w:val="left" w:pos="9639"/>
        </w:tabs>
        <w:spacing w:line="400" w:lineRule="exact"/>
        <w:ind w:firstLine="480" w:firstLineChars="200"/>
        <w:rPr>
          <w:rFonts w:hint="eastAsia" w:hAnsi="宋体"/>
          <w:sz w:val="24"/>
        </w:rPr>
      </w:pPr>
      <w:r>
        <w:rPr>
          <w:rFonts w:hint="eastAsia" w:hAnsi="宋体"/>
          <w:sz w:val="24"/>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 w:val="left" w:pos="9639"/>
        </w:tabs>
        <w:spacing w:line="400" w:lineRule="exact"/>
        <w:ind w:firstLine="480" w:firstLineChars="200"/>
        <w:rPr>
          <w:rFonts w:hint="eastAsia" w:hAnsi="宋体"/>
          <w:sz w:val="24"/>
        </w:rPr>
      </w:pPr>
      <w:r>
        <w:rPr>
          <w:rFonts w:hint="eastAsia" w:hAnsi="宋体"/>
          <w:sz w:val="24"/>
        </w:rPr>
        <w:t>（二）评审前，应当将通讯工具或者相关电子设备交由采购代理机构统一保管；</w:t>
      </w:r>
    </w:p>
    <w:p>
      <w:pPr>
        <w:tabs>
          <w:tab w:val="left" w:pos="7665"/>
          <w:tab w:val="left" w:pos="9639"/>
        </w:tabs>
        <w:spacing w:line="400" w:lineRule="exact"/>
        <w:ind w:firstLine="480" w:firstLineChars="200"/>
        <w:rPr>
          <w:rFonts w:hint="eastAsia" w:hAnsi="宋体"/>
          <w:sz w:val="24"/>
        </w:rPr>
      </w:pPr>
      <w:r>
        <w:rPr>
          <w:rFonts w:hint="eastAsia" w:hAnsi="宋体"/>
          <w:sz w:val="24"/>
        </w:rPr>
        <w:t>（三）评审过程中，不得与外界联系，因发生不可预见情况，确实需要与外界联系的，应当在监督人员监督之下办理；</w:t>
      </w:r>
    </w:p>
    <w:p>
      <w:pPr>
        <w:tabs>
          <w:tab w:val="left" w:pos="7665"/>
          <w:tab w:val="left" w:pos="9639"/>
        </w:tabs>
        <w:spacing w:line="400" w:lineRule="exact"/>
        <w:ind w:firstLine="480" w:firstLineChars="200"/>
        <w:rPr>
          <w:rFonts w:hint="eastAsia" w:hAnsi="宋体"/>
          <w:sz w:val="24"/>
        </w:rPr>
      </w:pPr>
      <w:r>
        <w:rPr>
          <w:rFonts w:hint="eastAsia" w:hAnsi="宋体"/>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 w:val="left" w:pos="9639"/>
        </w:tabs>
        <w:spacing w:line="400" w:lineRule="exact"/>
        <w:ind w:firstLine="480" w:firstLineChars="200"/>
        <w:rPr>
          <w:rFonts w:hint="eastAsia" w:hAnsi="宋体"/>
          <w:sz w:val="24"/>
        </w:rPr>
      </w:pPr>
      <w:r>
        <w:rPr>
          <w:rFonts w:hint="eastAsia" w:hAnsi="宋体"/>
          <w:sz w:val="24"/>
        </w:rPr>
        <w:t>（五）在评审过程中和评审结束后，不得记录、复制或带走任何评审资料，不得向外界透露评审内容；</w:t>
      </w:r>
    </w:p>
    <w:p>
      <w:pPr>
        <w:tabs>
          <w:tab w:val="left" w:pos="7665"/>
          <w:tab w:val="left" w:pos="9639"/>
        </w:tabs>
        <w:spacing w:line="400" w:lineRule="exact"/>
        <w:ind w:firstLine="480" w:firstLineChars="200"/>
        <w:rPr>
          <w:rFonts w:hint="eastAsia" w:hAnsi="宋体"/>
          <w:sz w:val="24"/>
        </w:rPr>
      </w:pPr>
      <w:r>
        <w:rPr>
          <w:rFonts w:hint="eastAsia" w:hAnsi="宋体"/>
          <w:sz w:val="24"/>
        </w:rPr>
        <w:t>（六）评审现场服从采购代理机构工作人员的管理，接受现场监督人员的合法监督；</w:t>
      </w:r>
    </w:p>
    <w:p>
      <w:pPr>
        <w:tabs>
          <w:tab w:val="left" w:pos="7665"/>
          <w:tab w:val="left" w:pos="9639"/>
        </w:tabs>
        <w:spacing w:line="400" w:lineRule="exact"/>
        <w:ind w:firstLine="480" w:firstLineChars="200"/>
        <w:rPr>
          <w:rFonts w:hint="eastAsia" w:hAnsi="宋体"/>
          <w:sz w:val="24"/>
        </w:rPr>
      </w:pPr>
      <w:r>
        <w:rPr>
          <w:rFonts w:hint="eastAsia" w:hAnsi="宋体"/>
          <w:sz w:val="24"/>
        </w:rPr>
        <w:t>（七）遵守有关廉洁自律规定，不得私下接触供应商，不得收受供应商及有关业务单位和个人的财物或好处，不得接受采购代理机构的请托。</w:t>
      </w:r>
    </w:p>
    <w:p>
      <w:pPr>
        <w:tabs>
          <w:tab w:val="left" w:pos="9639"/>
        </w:tabs>
        <w:adjustRightInd w:val="0"/>
        <w:snapToGrid w:val="0"/>
        <w:spacing w:line="400" w:lineRule="exact"/>
        <w:rPr>
          <w:rFonts w:hint="eastAsia" w:hAnsi="宋体"/>
          <w:b/>
          <w:bCs/>
          <w:sz w:val="24"/>
        </w:rPr>
      </w:pPr>
    </w:p>
    <w:p>
      <w:pPr>
        <w:tabs>
          <w:tab w:val="left" w:pos="7665"/>
          <w:tab w:val="left" w:pos="9639"/>
        </w:tabs>
        <w:spacing w:line="400" w:lineRule="exact"/>
        <w:jc w:val="center"/>
        <w:rPr>
          <w:rFonts w:hint="eastAsia" w:hAnsi="宋体"/>
          <w:b/>
          <w:sz w:val="32"/>
        </w:rPr>
      </w:pPr>
      <w:r>
        <w:rPr>
          <w:rFonts w:hAnsi="宋体"/>
          <w:b/>
          <w:sz w:val="32"/>
        </w:rPr>
        <w:br w:type="page"/>
      </w:r>
      <w:r>
        <w:rPr>
          <w:rFonts w:hint="eastAsia" w:hAnsi="宋体"/>
          <w:b/>
          <w:sz w:val="32"/>
        </w:rPr>
        <w:t>第十章  政府采购合同（草案）</w:t>
      </w:r>
    </w:p>
    <w:bookmarkEnd w:id="79"/>
    <w:bookmarkEnd w:id="80"/>
    <w:bookmarkEnd w:id="81"/>
    <w:p>
      <w:pPr>
        <w:widowControl/>
        <w:spacing w:line="480" w:lineRule="auto"/>
        <w:ind w:firstLine="480"/>
        <w:jc w:val="left"/>
        <w:rPr>
          <w:rFonts w:hint="eastAsia" w:ascii="宋体" w:hAnsi="宋体" w:cs="宋体"/>
        </w:rPr>
      </w:pPr>
      <w:bookmarkStart w:id="104" w:name="_Hlt101846155"/>
      <w:bookmarkEnd w:id="104"/>
      <w:r>
        <w:rPr>
          <w:rFonts w:hint="eastAsia" w:ascii="宋体" w:hAnsi="宋体" w:cs="宋体"/>
          <w:sz w:val="24"/>
          <w:szCs w:val="24"/>
        </w:rPr>
        <w:t>合同编号：*******（注：必须以成交通知书上的合同编号为准）。</w:t>
      </w:r>
    </w:p>
    <w:p>
      <w:pPr>
        <w:pStyle w:val="16"/>
        <w:snapToGrid w:val="0"/>
        <w:spacing w:line="480" w:lineRule="auto"/>
        <w:ind w:firstLine="480" w:firstLineChars="200"/>
        <w:rPr>
          <w:rFonts w:hint="eastAsia" w:hAnsi="宋体" w:cs="宋体"/>
          <w:sz w:val="24"/>
          <w:szCs w:val="24"/>
        </w:rPr>
      </w:pPr>
      <w:r>
        <w:rPr>
          <w:rFonts w:hint="eastAsia" w:hAnsi="宋体" w:cs="宋体"/>
          <w:sz w:val="24"/>
          <w:szCs w:val="24"/>
        </w:rPr>
        <w:t>签订地点：XXXX。</w:t>
      </w:r>
    </w:p>
    <w:p>
      <w:pPr>
        <w:pStyle w:val="16"/>
        <w:snapToGrid w:val="0"/>
        <w:spacing w:line="480" w:lineRule="auto"/>
        <w:ind w:firstLine="480" w:firstLineChars="200"/>
        <w:rPr>
          <w:rFonts w:hint="eastAsia" w:hAnsi="宋体" w:cs="宋体"/>
          <w:sz w:val="24"/>
          <w:szCs w:val="24"/>
        </w:rPr>
      </w:pPr>
      <w:r>
        <w:rPr>
          <w:rFonts w:hint="eastAsia" w:hAnsi="宋体" w:cs="宋体"/>
          <w:sz w:val="24"/>
          <w:szCs w:val="24"/>
        </w:rPr>
        <w:t>签订时间：XXXX年XX月XX日。</w:t>
      </w:r>
    </w:p>
    <w:p>
      <w:pPr>
        <w:pStyle w:val="16"/>
        <w:snapToGrid w:val="0"/>
        <w:spacing w:line="480" w:lineRule="auto"/>
        <w:ind w:firstLine="480" w:firstLineChars="200"/>
        <w:rPr>
          <w:rFonts w:hint="eastAsia" w:hAnsi="宋体" w:cs="宋体"/>
          <w:sz w:val="24"/>
          <w:szCs w:val="24"/>
        </w:rPr>
      </w:pPr>
      <w:r>
        <w:rPr>
          <w:rFonts w:hint="eastAsia" w:hAnsi="宋体" w:cs="宋体"/>
          <w:sz w:val="24"/>
          <w:szCs w:val="24"/>
        </w:rPr>
        <w:t xml:space="preserve">采购人（甲方）： </w:t>
      </w:r>
    </w:p>
    <w:p>
      <w:pPr>
        <w:pStyle w:val="16"/>
        <w:snapToGrid w:val="0"/>
        <w:spacing w:line="480" w:lineRule="auto"/>
        <w:ind w:firstLine="480" w:firstLineChars="200"/>
        <w:rPr>
          <w:rFonts w:hint="eastAsia" w:hAnsi="宋体" w:cs="宋体"/>
          <w:sz w:val="24"/>
          <w:szCs w:val="24"/>
        </w:rPr>
      </w:pPr>
      <w:r>
        <w:rPr>
          <w:rFonts w:hint="eastAsia" w:hAnsi="宋体" w:cs="宋体"/>
          <w:sz w:val="24"/>
          <w:szCs w:val="24"/>
        </w:rPr>
        <w:t xml:space="preserve">供应商（乙方）： </w:t>
      </w:r>
    </w:p>
    <w:p>
      <w:pPr>
        <w:pStyle w:val="16"/>
        <w:wordWrap w:val="0"/>
        <w:snapToGrid w:val="0"/>
        <w:spacing w:line="360" w:lineRule="auto"/>
        <w:ind w:firstLine="480" w:firstLineChars="200"/>
        <w:rPr>
          <w:rFonts w:hint="eastAsia" w:hAnsi="宋体" w:cs="宋体"/>
          <w:sz w:val="24"/>
          <w:szCs w:val="24"/>
        </w:rPr>
      </w:pPr>
      <w:r>
        <w:rPr>
          <w:rFonts w:hint="eastAsia" w:hAnsi="宋体" w:cs="宋体"/>
          <w:sz w:val="24"/>
          <w:szCs w:val="24"/>
        </w:rPr>
        <w:t>依据《中华人民共和国民法典》、《中华人民共和国政府采购法》与项目行业有关的法律法规，以及</w:t>
      </w:r>
      <w:r>
        <w:rPr>
          <w:rFonts w:hint="eastAsia" w:hAnsi="宋体" w:cs="宋体"/>
          <w:sz w:val="24"/>
        </w:rPr>
        <w:t>**********项目</w:t>
      </w:r>
      <w:r>
        <w:rPr>
          <w:rFonts w:hint="eastAsia" w:hAnsi="宋体" w:cs="宋体"/>
          <w:sz w:val="24"/>
          <w:szCs w:val="24"/>
        </w:rPr>
        <w:t xml:space="preserve">（采购项目编号：************* ）的《磋商文件》，乙方的《响应文件》及《成交通知书》，甲、乙双方同意签订本合同。详细技术说明及其他有关合同项目的特定信息由合同附件予以说明，合同附件及本项目的《磋商文件》、《响应文件》、《成交通知书》等均为本合同的组成部分。 </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项目基本情况</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合同期限：</w:t>
      </w:r>
    </w:p>
    <w:p>
      <w:pPr>
        <w:pStyle w:val="16"/>
        <w:snapToGrid w:val="0"/>
        <w:spacing w:line="360" w:lineRule="auto"/>
        <w:ind w:firstLine="480" w:firstLineChars="200"/>
        <w:rPr>
          <w:rFonts w:hint="eastAsia" w:hAnsi="宋体" w:cs="宋体"/>
          <w:sz w:val="24"/>
          <w:szCs w:val="24"/>
        </w:rPr>
      </w:pPr>
      <w:bookmarkStart w:id="105" w:name="_Toc282696226"/>
      <w:bookmarkStart w:id="106" w:name="_Toc238984975"/>
      <w:bookmarkStart w:id="107" w:name="_Toc212019594"/>
      <w:bookmarkStart w:id="108" w:name="_Toc239568418"/>
      <w:bookmarkStart w:id="109" w:name="_Toc232492928"/>
      <w:bookmarkStart w:id="110" w:name="_Toc239233914"/>
      <w:bookmarkStart w:id="111" w:name="_Toc211854449"/>
      <w:bookmarkStart w:id="112" w:name="_Toc283019214"/>
      <w:bookmarkStart w:id="113" w:name="_Toc225670751"/>
      <w:bookmarkStart w:id="114" w:name="_Toc251768862"/>
      <w:bookmarkStart w:id="115" w:name="_Toc247334841"/>
      <w:bookmarkStart w:id="116" w:name="_Toc237145406"/>
      <w:bookmarkStart w:id="117" w:name="_Toc225654644"/>
      <w:bookmarkStart w:id="118" w:name="_Toc185395249"/>
      <w:bookmarkStart w:id="119" w:name="_Toc241833903"/>
      <w:bookmarkStart w:id="120" w:name="_Toc211911348"/>
      <w:bookmarkStart w:id="121" w:name="_Toc225244852"/>
      <w:bookmarkStart w:id="122" w:name="_Toc286993786"/>
      <w:r>
        <w:rPr>
          <w:rFonts w:hint="eastAsia" w:hAnsi="宋体" w:cs="宋体"/>
          <w:sz w:val="24"/>
          <w:szCs w:val="24"/>
        </w:rPr>
        <w:t>内容与质量标准</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1、XXXX；</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2、XXXX；</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3、XXXX．</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费用及支付方式</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本项目费用由以下组成：</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1、XX万元；</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2、XX万元；</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3、XX万元。</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支付方式：</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知识产权</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甲方的权利和义务</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乙方的权利和义务</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违约责任</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不可抗力事件处理</w:t>
      </w:r>
    </w:p>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Pr>
        <w:pStyle w:val="16"/>
        <w:snapToGrid w:val="0"/>
        <w:spacing w:line="360" w:lineRule="auto"/>
        <w:ind w:firstLine="480" w:firstLineChars="200"/>
        <w:rPr>
          <w:rFonts w:hint="eastAsia" w:hAnsi="宋体" w:cs="宋体"/>
          <w:sz w:val="24"/>
          <w:szCs w:val="24"/>
        </w:rPr>
      </w:pPr>
      <w:bookmarkStart w:id="123" w:name="_Toc238984980"/>
      <w:bookmarkStart w:id="124" w:name="_Toc241833908"/>
      <w:bookmarkStart w:id="125" w:name="_Toc225244857"/>
      <w:bookmarkStart w:id="126" w:name="_Toc185395254"/>
      <w:bookmarkStart w:id="127" w:name="_Toc225654649"/>
      <w:bookmarkStart w:id="128" w:name="_Toc239568423"/>
      <w:bookmarkStart w:id="129" w:name="_Toc225670756"/>
      <w:bookmarkStart w:id="130" w:name="_Toc232492933"/>
      <w:bookmarkStart w:id="131" w:name="_Toc212019599"/>
      <w:bookmarkStart w:id="132" w:name="_Toc211911353"/>
      <w:bookmarkStart w:id="133" w:name="_Toc251768867"/>
      <w:bookmarkStart w:id="134" w:name="_Toc237145411"/>
      <w:bookmarkStart w:id="135" w:name="_Toc211854454"/>
      <w:bookmarkStart w:id="136" w:name="_Toc247334846"/>
      <w:bookmarkStart w:id="137" w:name="_Toc286993792"/>
      <w:bookmarkStart w:id="138" w:name="_Toc239233919"/>
      <w:r>
        <w:rPr>
          <w:rFonts w:hint="eastAsia" w:hAnsi="宋体" w:cs="宋体"/>
          <w:sz w:val="24"/>
          <w:szCs w:val="24"/>
        </w:rPr>
        <w:t>解决合同纠纷的方式</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pPr>
        <w:pStyle w:val="16"/>
        <w:snapToGrid w:val="0"/>
        <w:spacing w:line="360" w:lineRule="auto"/>
        <w:ind w:firstLine="480" w:firstLineChars="200"/>
        <w:rPr>
          <w:rFonts w:hint="eastAsia" w:hAnsi="宋体" w:cs="宋体"/>
          <w:sz w:val="24"/>
          <w:szCs w:val="24"/>
        </w:rPr>
      </w:pPr>
      <w:bookmarkStart w:id="139" w:name="_Toc241833909"/>
      <w:bookmarkStart w:id="140" w:name="_Toc225670757"/>
      <w:bookmarkStart w:id="141" w:name="_Toc225244858"/>
      <w:bookmarkStart w:id="142" w:name="_Toc211911354"/>
      <w:bookmarkStart w:id="143" w:name="_Toc232492934"/>
      <w:bookmarkStart w:id="144" w:name="_Toc283019219"/>
      <w:bookmarkStart w:id="145" w:name="_Toc225654650"/>
      <w:bookmarkStart w:id="146" w:name="_Toc282696231"/>
      <w:bookmarkStart w:id="147" w:name="_Toc211854455"/>
      <w:bookmarkStart w:id="148" w:name="_Toc237145412"/>
      <w:bookmarkStart w:id="149" w:name="_Toc238984981"/>
      <w:bookmarkStart w:id="150" w:name="_Toc239568424"/>
      <w:bookmarkStart w:id="151" w:name="_Toc286993793"/>
      <w:bookmarkStart w:id="152" w:name="_Toc212019600"/>
      <w:bookmarkStart w:id="153" w:name="_Toc185395255"/>
      <w:bookmarkStart w:id="154" w:name="_Toc247334847"/>
      <w:bookmarkStart w:id="155" w:name="_Toc251768868"/>
      <w:bookmarkStart w:id="156" w:name="_Toc239233920"/>
      <w:r>
        <w:rPr>
          <w:rFonts w:hint="eastAsia" w:hAnsi="宋体" w:cs="宋体"/>
          <w:sz w:val="24"/>
          <w:szCs w:val="24"/>
        </w:rPr>
        <w:t>合同</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Pr>
          <w:rFonts w:hint="eastAsia" w:hAnsi="宋体" w:cs="宋体"/>
          <w:sz w:val="24"/>
          <w:szCs w:val="24"/>
        </w:rPr>
        <w:t>生效及其他</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1、合同经双方法定代表人或授权委托授权代表签字并加盖单位公章后生效。</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2、合同执行中涉及采购资金和采购内容修改或补充的，须经政府采购监管部门审批，并签书面补充协议报政府采购监督管理部门备案，方可作为主合同不可分割的一部分。</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3、本合同一式XX份，自双方签章之日起起效。甲方XX份，乙方XX份，政府采购代理机构XX份，同级财政部门备案XX份，具有同等法律效力。</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附件</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1、项目磋商文件</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2、项目修改澄清文件</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3、项目响应文件</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4、成交通知书</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5、其他</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 xml:space="preserve">甲方：   （盖章）   </w:t>
      </w:r>
      <w:r>
        <w:rPr>
          <w:rFonts w:hint="eastAsia" w:hAnsi="宋体" w:cs="宋体"/>
          <w:sz w:val="24"/>
          <w:szCs w:val="24"/>
        </w:rPr>
        <w:tab/>
      </w:r>
      <w:r>
        <w:rPr>
          <w:rFonts w:hint="eastAsia" w:hAnsi="宋体" w:cs="宋体"/>
          <w:sz w:val="24"/>
          <w:szCs w:val="24"/>
        </w:rPr>
        <w:tab/>
      </w:r>
      <w:r>
        <w:rPr>
          <w:rFonts w:hint="eastAsia" w:hAnsi="宋体" w:cs="宋体"/>
          <w:sz w:val="24"/>
          <w:szCs w:val="24"/>
        </w:rPr>
        <w:tab/>
      </w:r>
      <w:r>
        <w:rPr>
          <w:rFonts w:hint="eastAsia" w:hAnsi="宋体" w:cs="宋体"/>
          <w:sz w:val="24"/>
          <w:szCs w:val="24"/>
        </w:rPr>
        <w:t xml:space="preserve">       乙方：   （盖章）</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法定代表人（授权代表）：            法定代表人（授权代表）：</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地    址：                         地    址：</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开户银行：                         开户银行：</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账号：                             账号：</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电    话：                         电    话：</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传    真：                         传    真：</w:t>
      </w:r>
    </w:p>
    <w:p>
      <w:pPr>
        <w:pStyle w:val="16"/>
        <w:snapToGrid w:val="0"/>
        <w:spacing w:line="360" w:lineRule="auto"/>
        <w:ind w:firstLine="480" w:firstLineChars="200"/>
        <w:rPr>
          <w:rFonts w:hint="eastAsia" w:hAnsi="宋体" w:cs="宋体"/>
          <w:sz w:val="24"/>
          <w:szCs w:val="24"/>
        </w:rPr>
      </w:pPr>
      <w:r>
        <w:rPr>
          <w:rFonts w:hint="eastAsia" w:hAnsi="宋体" w:cs="宋体"/>
          <w:sz w:val="24"/>
          <w:szCs w:val="24"/>
        </w:rPr>
        <w:t xml:space="preserve">签约日期：XX年XX月XX日 </w:t>
      </w:r>
      <w:r>
        <w:rPr>
          <w:rFonts w:hint="eastAsia" w:hAnsi="宋体" w:cs="宋体"/>
          <w:sz w:val="24"/>
          <w:szCs w:val="24"/>
        </w:rPr>
        <w:tab/>
      </w:r>
      <w:r>
        <w:rPr>
          <w:rFonts w:hint="eastAsia" w:hAnsi="宋体" w:cs="宋体"/>
          <w:sz w:val="24"/>
          <w:szCs w:val="24"/>
        </w:rPr>
        <w:tab/>
      </w:r>
      <w:r>
        <w:rPr>
          <w:rFonts w:hint="eastAsia" w:hAnsi="宋体" w:cs="宋体"/>
          <w:sz w:val="24"/>
          <w:szCs w:val="24"/>
        </w:rPr>
        <w:tab/>
      </w:r>
      <w:r>
        <w:rPr>
          <w:rFonts w:hint="eastAsia" w:hAnsi="宋体" w:cs="宋体"/>
          <w:sz w:val="24"/>
          <w:szCs w:val="24"/>
        </w:rPr>
        <w:t>签约日期：XX年XX月XX日</w:t>
      </w:r>
    </w:p>
    <w:p>
      <w:pPr>
        <w:spacing w:line="360" w:lineRule="auto"/>
        <w:ind w:firstLine="482" w:firstLineChars="200"/>
        <w:rPr>
          <w:rFonts w:hint="eastAsia" w:ascii="宋体" w:hAnsi="宋体" w:cs="宋体"/>
          <w:b/>
          <w:bCs/>
          <w:sz w:val="24"/>
          <w:szCs w:val="24"/>
        </w:rPr>
      </w:pPr>
    </w:p>
    <w:p>
      <w:pPr>
        <w:tabs>
          <w:tab w:val="left" w:pos="4253"/>
          <w:tab w:val="left" w:pos="4536"/>
        </w:tabs>
        <w:ind w:firstLine="480"/>
        <w:rPr>
          <w:rFonts w:hint="eastAsia" w:ascii="宋体" w:hAnsi="宋体" w:cs="宋体"/>
          <w:sz w:val="24"/>
        </w:rPr>
      </w:pPr>
      <w:r>
        <w:rPr>
          <w:rFonts w:hint="eastAsia" w:ascii="宋体" w:hAnsi="宋体" w:cs="宋体"/>
          <w:b/>
          <w:bCs/>
          <w:sz w:val="24"/>
          <w:szCs w:val="24"/>
        </w:rPr>
        <w:t>注：其他合同专用条款在合同签定时另行约定。</w:t>
      </w:r>
    </w:p>
    <w:p>
      <w:pPr>
        <w:tabs>
          <w:tab w:val="left" w:pos="9639"/>
        </w:tabs>
        <w:spacing w:line="480" w:lineRule="auto"/>
        <w:ind w:firstLine="680" w:firstLineChars="200"/>
      </w:pPr>
    </w:p>
    <w:p>
      <w:pPr>
        <w:pStyle w:val="8"/>
      </w:pPr>
    </w:p>
    <w:p/>
    <w:p>
      <w:pPr>
        <w:pStyle w:val="8"/>
      </w:pPr>
    </w:p>
    <w:p/>
    <w:p>
      <w:pPr>
        <w:pStyle w:val="8"/>
      </w:pPr>
    </w:p>
    <w:p>
      <w:r>
        <w:rPr>
          <w:rFonts w:hint="eastAsia"/>
          <w:lang w:val="en-US" w:eastAsia="zh-CN"/>
        </w:rPr>
        <w:t>政策宣传资料</w:t>
      </w:r>
    </w:p>
    <w:p>
      <w:r>
        <w:drawing>
          <wp:inline distT="0" distB="0" distL="114300" distR="114300">
            <wp:extent cx="5275580" cy="7463155"/>
            <wp:effectExtent l="0" t="0" r="12700" b="4445"/>
            <wp:docPr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pic:cNvPicPr>
                      <a:picLocks noChangeAspect="1"/>
                    </pic:cNvPicPr>
                  </pic:nvPicPr>
                  <pic:blipFill>
                    <a:blip r:embed="rId12"/>
                    <a:stretch>
                      <a:fillRect/>
                    </a:stretch>
                  </pic:blipFill>
                  <pic:spPr>
                    <a:xfrm>
                      <a:off x="0" y="0"/>
                      <a:ext cx="5275580" cy="7463155"/>
                    </a:xfrm>
                    <a:prstGeom prst="rect">
                      <a:avLst/>
                    </a:prstGeom>
                    <a:noFill/>
                    <a:ln>
                      <a:noFill/>
                    </a:ln>
                  </pic:spPr>
                </pic:pic>
              </a:graphicData>
            </a:graphic>
          </wp:inline>
        </w:drawing>
      </w:r>
    </w:p>
    <w:p/>
    <w:p>
      <w:r>
        <w:drawing>
          <wp:inline distT="0" distB="0" distL="114300" distR="114300">
            <wp:extent cx="5275580" cy="7463155"/>
            <wp:effectExtent l="0" t="0" r="12700" b="4445"/>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pic:cNvPicPr>
                      <a:picLocks noChangeAspect="1"/>
                    </pic:cNvPicPr>
                  </pic:nvPicPr>
                  <pic:blipFill>
                    <a:blip r:embed="rId13"/>
                    <a:stretch>
                      <a:fillRect/>
                    </a:stretch>
                  </pic:blipFill>
                  <pic:spPr>
                    <a:xfrm>
                      <a:off x="0" y="0"/>
                      <a:ext cx="5275580" cy="7463155"/>
                    </a:xfrm>
                    <a:prstGeom prst="rect">
                      <a:avLst/>
                    </a:prstGeom>
                    <a:noFill/>
                    <a:ln>
                      <a:noFill/>
                    </a:ln>
                  </pic:spPr>
                </pic:pic>
              </a:graphicData>
            </a:graphic>
          </wp:inline>
        </w:drawing>
      </w:r>
    </w:p>
    <w:p/>
    <w:p>
      <w:r>
        <w:drawing>
          <wp:inline distT="0" distB="0" distL="114300" distR="114300">
            <wp:extent cx="5275580" cy="7448550"/>
            <wp:effectExtent l="0" t="0" r="12700" b="3810"/>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pic:cNvPicPr>
                      <a:picLocks noChangeAspect="1"/>
                    </pic:cNvPicPr>
                  </pic:nvPicPr>
                  <pic:blipFill>
                    <a:blip r:embed="rId14"/>
                    <a:stretch>
                      <a:fillRect/>
                    </a:stretch>
                  </pic:blipFill>
                  <pic:spPr>
                    <a:xfrm>
                      <a:off x="0" y="0"/>
                      <a:ext cx="5275580" cy="7448550"/>
                    </a:xfrm>
                    <a:prstGeom prst="rect">
                      <a:avLst/>
                    </a:prstGeom>
                    <a:noFill/>
                    <a:ln>
                      <a:noFill/>
                    </a:ln>
                  </pic:spPr>
                </pic:pic>
              </a:graphicData>
            </a:graphic>
          </wp:inline>
        </w:drawing>
      </w:r>
    </w:p>
    <w:p/>
    <w:p>
      <w:r>
        <w:drawing>
          <wp:inline distT="0" distB="0" distL="114300" distR="114300">
            <wp:extent cx="5275580" cy="7463155"/>
            <wp:effectExtent l="0" t="0" r="12700" b="4445"/>
            <wp:docPr id="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pic:cNvPicPr>
                      <a:picLocks noChangeAspect="1"/>
                    </pic:cNvPicPr>
                  </pic:nvPicPr>
                  <pic:blipFill>
                    <a:blip r:embed="rId15"/>
                    <a:stretch>
                      <a:fillRect/>
                    </a:stretch>
                  </pic:blipFill>
                  <pic:spPr>
                    <a:xfrm>
                      <a:off x="0" y="0"/>
                      <a:ext cx="5275580" cy="7463155"/>
                    </a:xfrm>
                    <a:prstGeom prst="rect">
                      <a:avLst/>
                    </a:prstGeom>
                    <a:noFill/>
                    <a:ln>
                      <a:noFill/>
                    </a:ln>
                  </pic:spPr>
                </pic:pic>
              </a:graphicData>
            </a:graphic>
          </wp:inline>
        </w:drawing>
      </w:r>
    </w:p>
    <w:p/>
    <w:p>
      <w:r>
        <w:drawing>
          <wp:inline distT="0" distB="0" distL="114300" distR="114300">
            <wp:extent cx="5275580" cy="7463155"/>
            <wp:effectExtent l="0" t="0" r="12700" b="4445"/>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pic:cNvPicPr>
                      <a:picLocks noChangeAspect="1"/>
                    </pic:cNvPicPr>
                  </pic:nvPicPr>
                  <pic:blipFill>
                    <a:blip r:embed="rId16"/>
                    <a:stretch>
                      <a:fillRect/>
                    </a:stretch>
                  </pic:blipFill>
                  <pic:spPr>
                    <a:xfrm>
                      <a:off x="0" y="0"/>
                      <a:ext cx="5275580" cy="7463155"/>
                    </a:xfrm>
                    <a:prstGeom prst="rect">
                      <a:avLst/>
                    </a:prstGeom>
                    <a:noFill/>
                    <a:ln>
                      <a:noFill/>
                    </a:ln>
                  </pic:spPr>
                </pic:pic>
              </a:graphicData>
            </a:graphic>
          </wp:inline>
        </w:drawing>
      </w:r>
    </w:p>
    <w:p/>
    <w:p>
      <w:r>
        <w:drawing>
          <wp:inline distT="0" distB="0" distL="114300" distR="114300">
            <wp:extent cx="5275580" cy="7463155"/>
            <wp:effectExtent l="0" t="0" r="12700" b="4445"/>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pic:cNvPicPr>
                  </pic:nvPicPr>
                  <pic:blipFill>
                    <a:blip r:embed="rId17"/>
                    <a:stretch>
                      <a:fillRect/>
                    </a:stretch>
                  </pic:blipFill>
                  <pic:spPr>
                    <a:xfrm>
                      <a:off x="0" y="0"/>
                      <a:ext cx="5275580" cy="7463155"/>
                    </a:xfrm>
                    <a:prstGeom prst="rect">
                      <a:avLst/>
                    </a:prstGeom>
                    <a:noFill/>
                    <a:ln>
                      <a:noFill/>
                    </a:ln>
                  </pic:spPr>
                </pic:pic>
              </a:graphicData>
            </a:graphic>
          </wp:inline>
        </w:drawing>
      </w:r>
    </w:p>
    <w:p/>
    <w:p/>
    <w:p/>
    <w:p/>
    <w:p/>
    <w:p/>
    <w:p>
      <w:r>
        <w:drawing>
          <wp:inline distT="0" distB="0" distL="114300" distR="114300">
            <wp:extent cx="5275580" cy="7456170"/>
            <wp:effectExtent l="0" t="0" r="12700" b="11430"/>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pic:cNvPicPr>
                      <a:picLocks noChangeAspect="1"/>
                    </pic:cNvPicPr>
                  </pic:nvPicPr>
                  <pic:blipFill>
                    <a:blip r:embed="rId18"/>
                    <a:stretch>
                      <a:fillRect/>
                    </a:stretch>
                  </pic:blipFill>
                  <pic:spPr>
                    <a:xfrm>
                      <a:off x="0" y="0"/>
                      <a:ext cx="5275580" cy="7456170"/>
                    </a:xfrm>
                    <a:prstGeom prst="rect">
                      <a:avLst/>
                    </a:prstGeom>
                    <a:noFill/>
                    <a:ln>
                      <a:noFill/>
                    </a:ln>
                  </pic:spPr>
                </pic:pic>
              </a:graphicData>
            </a:graphic>
          </wp:inline>
        </w:drawing>
      </w:r>
    </w:p>
    <w:p>
      <w:pPr>
        <w:spacing w:line="400" w:lineRule="atLeast"/>
        <w:rPr>
          <w:rFonts w:hAnsi="宋体"/>
          <w:szCs w:val="28"/>
        </w:rPr>
      </w:pPr>
    </w:p>
    <w:p>
      <w:pPr>
        <w:spacing w:line="400" w:lineRule="atLeast"/>
        <w:rPr>
          <w:rFonts w:hAnsi="宋体"/>
          <w:szCs w:val="28"/>
        </w:rPr>
      </w:pPr>
    </w:p>
    <w:p>
      <w:pPr>
        <w:spacing w:line="400" w:lineRule="atLeast"/>
        <w:rPr>
          <w:rFonts w:hAnsi="宋体"/>
          <w:szCs w:val="28"/>
        </w:rPr>
      </w:pPr>
    </w:p>
    <w:p>
      <w:pPr>
        <w:spacing w:line="400" w:lineRule="atLeast"/>
        <w:rPr>
          <w:rFonts w:hAnsi="宋体"/>
          <w:szCs w:val="28"/>
        </w:rPr>
      </w:pPr>
    </w:p>
    <w:p>
      <w:r>
        <w:drawing>
          <wp:inline distT="0" distB="0" distL="114300" distR="114300">
            <wp:extent cx="5275580" cy="7463155"/>
            <wp:effectExtent l="0" t="0" r="12700" b="444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19"/>
                    <a:stretch>
                      <a:fillRect/>
                    </a:stretch>
                  </pic:blipFill>
                  <pic:spPr>
                    <a:xfrm>
                      <a:off x="0" y="0"/>
                      <a:ext cx="5275580" cy="7463155"/>
                    </a:xfrm>
                    <a:prstGeom prst="rect">
                      <a:avLst/>
                    </a:prstGeom>
                    <a:noFill/>
                    <a:ln>
                      <a:noFill/>
                    </a:ln>
                  </pic:spPr>
                </pic:pic>
              </a:graphicData>
            </a:graphic>
          </wp:inline>
        </w:drawing>
      </w:r>
    </w:p>
    <w:p>
      <w:pPr>
        <w:spacing w:line="400" w:lineRule="atLeast"/>
        <w:rPr>
          <w:rFonts w:hAnsi="宋体"/>
          <w:szCs w:val="28"/>
        </w:rPr>
      </w:pPr>
    </w:p>
    <w:p>
      <w:pPr>
        <w:spacing w:line="400" w:lineRule="atLeast"/>
        <w:rPr>
          <w:rFonts w:hAnsi="宋体"/>
          <w:szCs w:val="28"/>
        </w:rPr>
      </w:pPr>
    </w:p>
    <w:p>
      <w:pPr>
        <w:spacing w:line="400" w:lineRule="atLeast"/>
        <w:rPr>
          <w:rFonts w:hAnsi="宋体"/>
          <w:szCs w:val="28"/>
        </w:rPr>
      </w:pPr>
    </w:p>
    <w:p>
      <w:pPr>
        <w:spacing w:line="400" w:lineRule="atLeast"/>
        <w:rPr>
          <w:rFonts w:hAnsi="宋体"/>
          <w:szCs w:val="28"/>
        </w:rPr>
      </w:pPr>
    </w:p>
    <w:p>
      <w:pPr>
        <w:spacing w:line="400" w:lineRule="atLeast"/>
        <w:rPr>
          <w:rFonts w:hAnsi="宋体"/>
          <w:szCs w:val="28"/>
        </w:rPr>
      </w:pPr>
    </w:p>
    <w:p>
      <w:pPr>
        <w:spacing w:line="400" w:lineRule="atLeast"/>
      </w:pPr>
    </w:p>
    <w:p>
      <w:pPr>
        <w:spacing w:line="400" w:lineRule="atLeast"/>
      </w:pPr>
    </w:p>
    <w:p>
      <w:pPr>
        <w:spacing w:line="400" w:lineRule="atLeast"/>
        <w:rPr>
          <w:rFonts w:hAnsi="宋体"/>
          <w:szCs w:val="28"/>
        </w:rPr>
      </w:pPr>
      <w:r>
        <w:drawing>
          <wp:inline distT="0" distB="0" distL="114300" distR="114300">
            <wp:extent cx="5275580" cy="7463155"/>
            <wp:effectExtent l="0" t="0" r="1270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5275580" cy="7463155"/>
                    </a:xfrm>
                    <a:prstGeom prst="rect">
                      <a:avLst/>
                    </a:prstGeom>
                    <a:noFill/>
                    <a:ln>
                      <a:noFill/>
                    </a:ln>
                  </pic:spPr>
                </pic:pic>
              </a:graphicData>
            </a:graphic>
          </wp:inline>
        </w:drawing>
      </w:r>
    </w:p>
    <w:p>
      <w:pPr>
        <w:rPr>
          <w:rFonts w:hAnsi="宋体"/>
          <w:szCs w:val="28"/>
        </w:rPr>
      </w:pPr>
    </w:p>
    <w:p>
      <w:pPr>
        <w:rPr>
          <w:rFonts w:hAnsi="宋体"/>
          <w:szCs w:val="28"/>
        </w:rPr>
      </w:pPr>
    </w:p>
    <w:p>
      <w:pPr>
        <w:rPr>
          <w:rFonts w:hAnsi="宋体"/>
          <w:szCs w:val="28"/>
        </w:rPr>
      </w:pPr>
    </w:p>
    <w:p>
      <w:pPr>
        <w:rPr>
          <w:rFonts w:hAnsi="宋体"/>
          <w:szCs w:val="28"/>
        </w:rPr>
      </w:pPr>
      <w:r>
        <w:drawing>
          <wp:inline distT="0" distB="0" distL="114300" distR="114300">
            <wp:extent cx="5275580" cy="7463155"/>
            <wp:effectExtent l="0" t="0" r="12700" b="444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1"/>
                    <a:stretch>
                      <a:fillRect/>
                    </a:stretch>
                  </pic:blipFill>
                  <pic:spPr>
                    <a:xfrm>
                      <a:off x="0" y="0"/>
                      <a:ext cx="5275580" cy="7463155"/>
                    </a:xfrm>
                    <a:prstGeom prst="rect">
                      <a:avLst/>
                    </a:prstGeom>
                    <a:noFill/>
                    <a:ln>
                      <a:noFill/>
                    </a:ln>
                  </pic:spPr>
                </pic:pic>
              </a:graphicData>
            </a:graphic>
          </wp:inline>
        </w:drawing>
      </w:r>
    </w:p>
    <w:p>
      <w:pPr>
        <w:rPr>
          <w:rFonts w:hAnsi="宋体"/>
          <w:szCs w:val="28"/>
        </w:rPr>
      </w:pPr>
    </w:p>
    <w:p>
      <w:pPr>
        <w:rPr>
          <w:rFonts w:hAnsi="宋体"/>
          <w:szCs w:val="28"/>
        </w:rPr>
      </w:pPr>
    </w:p>
    <w:p>
      <w:pPr>
        <w:rPr>
          <w:rFonts w:hAnsi="宋体"/>
          <w:szCs w:val="28"/>
        </w:rPr>
      </w:pPr>
    </w:p>
    <w:p>
      <w:pPr>
        <w:rPr>
          <w:rFonts w:hAnsi="宋体"/>
          <w:szCs w:val="28"/>
        </w:rPr>
      </w:pPr>
    </w:p>
    <w:p>
      <w:pPr>
        <w:rPr>
          <w:rFonts w:hAnsi="宋体"/>
          <w:szCs w:val="28"/>
        </w:rPr>
      </w:pPr>
    </w:p>
    <w:p>
      <w:pPr>
        <w:rPr>
          <w:rFonts w:hAnsi="宋体"/>
          <w:szCs w:val="28"/>
        </w:rPr>
      </w:pPr>
    </w:p>
    <w:p>
      <w:pPr>
        <w:rPr>
          <w:rFonts w:hAnsi="宋体"/>
          <w:szCs w:val="28"/>
        </w:rPr>
      </w:pPr>
      <w:r>
        <w:drawing>
          <wp:inline distT="0" distB="0" distL="114300" distR="114300">
            <wp:extent cx="5275580" cy="7463155"/>
            <wp:effectExtent l="0" t="0" r="12700" b="444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2"/>
                    <a:stretch>
                      <a:fillRect/>
                    </a:stretch>
                  </pic:blipFill>
                  <pic:spPr>
                    <a:xfrm>
                      <a:off x="0" y="0"/>
                      <a:ext cx="5275580" cy="7463155"/>
                    </a:xfrm>
                    <a:prstGeom prst="rect">
                      <a:avLst/>
                    </a:prstGeom>
                    <a:noFill/>
                    <a:ln>
                      <a:noFill/>
                    </a:ln>
                  </pic:spPr>
                </pic:pic>
              </a:graphicData>
            </a:graphic>
          </wp:inline>
        </w:drawing>
      </w:r>
    </w:p>
    <w:p>
      <w:pPr>
        <w:rPr>
          <w:rFonts w:hAnsi="宋体"/>
          <w:szCs w:val="28"/>
        </w:rPr>
      </w:pPr>
    </w:p>
    <w:p>
      <w:pPr>
        <w:rPr>
          <w:rFonts w:hAnsi="宋体"/>
          <w:szCs w:val="28"/>
        </w:rPr>
      </w:pPr>
    </w:p>
    <w:p>
      <w:pPr>
        <w:rPr>
          <w:rFonts w:hAnsi="宋体"/>
          <w:szCs w:val="28"/>
        </w:rPr>
      </w:pPr>
    </w:p>
    <w:p>
      <w:pPr>
        <w:rPr>
          <w:rFonts w:hAnsi="宋体"/>
          <w:szCs w:val="28"/>
        </w:rPr>
      </w:pPr>
    </w:p>
    <w:p>
      <w:pPr>
        <w:rPr>
          <w:rFonts w:hAnsi="宋体"/>
          <w:szCs w:val="28"/>
        </w:rPr>
      </w:pPr>
    </w:p>
    <w:p>
      <w:pPr>
        <w:rPr>
          <w:rFonts w:hAnsi="宋体"/>
          <w:szCs w:val="28"/>
        </w:rPr>
      </w:pPr>
    </w:p>
    <w:p>
      <w:pPr>
        <w:rPr>
          <w:rFonts w:hAnsi="宋体"/>
          <w:szCs w:val="28"/>
        </w:rPr>
      </w:pPr>
      <w:r>
        <w:drawing>
          <wp:inline distT="0" distB="0" distL="114300" distR="114300">
            <wp:extent cx="5275580" cy="7463155"/>
            <wp:effectExtent l="0" t="0" r="12700" b="444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3"/>
                    <a:stretch>
                      <a:fillRect/>
                    </a:stretch>
                  </pic:blipFill>
                  <pic:spPr>
                    <a:xfrm>
                      <a:off x="0" y="0"/>
                      <a:ext cx="5275580" cy="7463155"/>
                    </a:xfrm>
                    <a:prstGeom prst="rect">
                      <a:avLst/>
                    </a:prstGeom>
                    <a:noFill/>
                    <a:ln>
                      <a:noFill/>
                    </a:ln>
                  </pic:spPr>
                </pic:pic>
              </a:graphicData>
            </a:graphic>
          </wp:inline>
        </w:drawing>
      </w:r>
    </w:p>
    <w:p>
      <w:pPr>
        <w:rPr>
          <w:rFonts w:hAnsi="宋体"/>
          <w:szCs w:val="28"/>
        </w:rPr>
      </w:pPr>
    </w:p>
    <w:p>
      <w:pPr>
        <w:rPr>
          <w:rFonts w:hAnsi="宋体"/>
          <w:szCs w:val="28"/>
        </w:rPr>
      </w:pPr>
    </w:p>
    <w:p>
      <w:pPr>
        <w:rPr>
          <w:rFonts w:hAnsi="宋体"/>
          <w:szCs w:val="28"/>
        </w:rPr>
      </w:pPr>
    </w:p>
    <w:p>
      <w:pPr>
        <w:rPr>
          <w:rFonts w:hAnsi="宋体"/>
          <w:szCs w:val="28"/>
        </w:rPr>
      </w:pPr>
    </w:p>
    <w:p>
      <w:pPr>
        <w:rPr>
          <w:rFonts w:hAnsi="宋体"/>
          <w:szCs w:val="28"/>
        </w:rPr>
      </w:pPr>
    </w:p>
    <w:p>
      <w:pPr>
        <w:rPr>
          <w:rFonts w:hAnsi="宋体"/>
          <w:szCs w:val="28"/>
        </w:rPr>
      </w:pPr>
    </w:p>
    <w:p>
      <w:pPr>
        <w:rPr>
          <w:rFonts w:hAnsi="宋体"/>
          <w:szCs w:val="28"/>
        </w:rPr>
      </w:pPr>
      <w:r>
        <w:drawing>
          <wp:inline distT="0" distB="0" distL="114300" distR="114300">
            <wp:extent cx="5275580" cy="7463155"/>
            <wp:effectExtent l="0" t="0" r="12700" b="444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4"/>
                    <a:stretch>
                      <a:fillRect/>
                    </a:stretch>
                  </pic:blipFill>
                  <pic:spPr>
                    <a:xfrm>
                      <a:off x="0" y="0"/>
                      <a:ext cx="5275580" cy="7463155"/>
                    </a:xfrm>
                    <a:prstGeom prst="rect">
                      <a:avLst/>
                    </a:prstGeom>
                    <a:noFill/>
                    <a:ln>
                      <a:noFill/>
                    </a:ln>
                  </pic:spPr>
                </pic:pic>
              </a:graphicData>
            </a:graphic>
          </wp:inline>
        </w:drawing>
      </w:r>
    </w:p>
    <w:p>
      <w:pPr>
        <w:rPr>
          <w:rFonts w:hAnsi="宋体"/>
          <w:szCs w:val="28"/>
        </w:rPr>
      </w:pPr>
    </w:p>
    <w:p>
      <w:pPr>
        <w:rPr>
          <w:rFonts w:hAnsi="宋体"/>
          <w:szCs w:val="28"/>
        </w:rPr>
      </w:pPr>
    </w:p>
    <w:p>
      <w:pPr>
        <w:rPr>
          <w:rFonts w:hAnsi="宋体"/>
          <w:szCs w:val="28"/>
        </w:rPr>
      </w:pPr>
    </w:p>
    <w:p>
      <w:pPr>
        <w:rPr>
          <w:rFonts w:hAnsi="宋体"/>
          <w:szCs w:val="28"/>
        </w:rPr>
      </w:pPr>
      <w:r>
        <w:drawing>
          <wp:inline distT="0" distB="0" distL="114300" distR="114300">
            <wp:extent cx="5275580" cy="7463155"/>
            <wp:effectExtent l="0" t="0" r="12700" b="444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5"/>
                    <a:stretch>
                      <a:fillRect/>
                    </a:stretch>
                  </pic:blipFill>
                  <pic:spPr>
                    <a:xfrm>
                      <a:off x="0" y="0"/>
                      <a:ext cx="5275580" cy="7463155"/>
                    </a:xfrm>
                    <a:prstGeom prst="rect">
                      <a:avLst/>
                    </a:prstGeom>
                    <a:noFill/>
                    <a:ln>
                      <a:noFill/>
                    </a:ln>
                  </pic:spPr>
                </pic:pic>
              </a:graphicData>
            </a:graphic>
          </wp:inline>
        </w:drawing>
      </w:r>
    </w:p>
    <w:p>
      <w:pPr>
        <w:rPr>
          <w:rFonts w:hAnsi="宋体"/>
          <w:szCs w:val="28"/>
        </w:rPr>
      </w:pPr>
      <w:r>
        <w:drawing>
          <wp:inline distT="0" distB="0" distL="114300" distR="114300">
            <wp:extent cx="5275580" cy="7463155"/>
            <wp:effectExtent l="0" t="0" r="12700" b="444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6"/>
                    <a:stretch>
                      <a:fillRect/>
                    </a:stretch>
                  </pic:blipFill>
                  <pic:spPr>
                    <a:xfrm>
                      <a:off x="0" y="0"/>
                      <a:ext cx="5275580" cy="7463155"/>
                    </a:xfrm>
                    <a:prstGeom prst="rect">
                      <a:avLst/>
                    </a:prstGeom>
                    <a:noFill/>
                    <a:ln>
                      <a:noFill/>
                    </a:ln>
                  </pic:spPr>
                </pic:pic>
              </a:graphicData>
            </a:graphic>
          </wp:inline>
        </w:drawing>
      </w:r>
    </w:p>
    <w:p>
      <w:pPr>
        <w:rPr>
          <w:rFonts w:hAnsi="宋体"/>
          <w:szCs w:val="28"/>
        </w:rPr>
      </w:pPr>
    </w:p>
    <w:p>
      <w:pPr>
        <w:rPr>
          <w:rFonts w:hAnsi="宋体"/>
          <w:szCs w:val="28"/>
        </w:rPr>
      </w:pPr>
    </w:p>
    <w:p>
      <w:pPr>
        <w:rPr>
          <w:rFonts w:hAnsi="宋体"/>
          <w:szCs w:val="28"/>
        </w:rPr>
      </w:pPr>
      <w:r>
        <w:drawing>
          <wp:inline distT="0" distB="0" distL="114300" distR="114300">
            <wp:extent cx="5535930" cy="8553450"/>
            <wp:effectExtent l="0" t="0" r="11430" b="11430"/>
            <wp:docPr id="17" name="图片 3" descr="说明: C:\Users\yzr\Desktop\QQ截图2020042417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说明: C:\Users\yzr\Desktop\QQ截图20200424174415.png"/>
                    <pic:cNvPicPr>
                      <a:picLocks noChangeAspect="1"/>
                    </pic:cNvPicPr>
                  </pic:nvPicPr>
                  <pic:blipFill>
                    <a:blip r:embed="rId27"/>
                    <a:stretch>
                      <a:fillRect/>
                    </a:stretch>
                  </pic:blipFill>
                  <pic:spPr>
                    <a:xfrm>
                      <a:off x="0" y="0"/>
                      <a:ext cx="5535930" cy="8553450"/>
                    </a:xfrm>
                    <a:prstGeom prst="rect">
                      <a:avLst/>
                    </a:prstGeom>
                    <a:noFill/>
                    <a:ln>
                      <a:noFill/>
                    </a:ln>
                  </pic:spPr>
                </pic:pic>
              </a:graphicData>
            </a:graphic>
          </wp:inline>
        </w:drawing>
      </w:r>
    </w:p>
    <w:p>
      <w:pPr>
        <w:rPr>
          <w:rFonts w:hAnsi="宋体"/>
          <w:szCs w:val="28"/>
        </w:rPr>
      </w:pPr>
      <w:r>
        <w:rPr>
          <w:rFonts w:hAnsi="宋体"/>
          <w:szCs w:val="28"/>
        </w:rPr>
        <w:drawing>
          <wp:inline distT="0" distB="0" distL="114300" distR="114300">
            <wp:extent cx="5273675" cy="8199755"/>
            <wp:effectExtent l="0" t="0" r="14605" b="14605"/>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pic:cNvPicPr>
                      <a:picLocks noChangeAspect="1"/>
                    </pic:cNvPicPr>
                  </pic:nvPicPr>
                  <pic:blipFill>
                    <a:blip r:embed="rId28"/>
                    <a:stretch>
                      <a:fillRect/>
                    </a:stretch>
                  </pic:blipFill>
                  <pic:spPr>
                    <a:xfrm>
                      <a:off x="0" y="0"/>
                      <a:ext cx="5273675" cy="8199755"/>
                    </a:xfrm>
                    <a:prstGeom prst="rect">
                      <a:avLst/>
                    </a:prstGeom>
                    <a:noFill/>
                    <a:ln>
                      <a:noFill/>
                    </a:ln>
                  </pic:spPr>
                </pic:pic>
              </a:graphicData>
            </a:graphic>
          </wp:inline>
        </w:drawing>
      </w:r>
    </w:p>
    <w:p>
      <w:pPr>
        <w:rPr>
          <w:rFonts w:hAnsi="宋体"/>
          <w:szCs w:val="28"/>
        </w:rPr>
      </w:pPr>
    </w:p>
    <w:p>
      <w:pPr>
        <w:rPr>
          <w:rFonts w:hAnsi="宋体"/>
          <w:szCs w:val="28"/>
        </w:rPr>
      </w:pPr>
    </w:p>
    <w:p>
      <w:pPr>
        <w:pStyle w:val="8"/>
        <w:rPr>
          <w:rFonts w:hAnsi="宋体"/>
          <w:szCs w:val="28"/>
        </w:rPr>
      </w:pPr>
    </w:p>
    <w:p/>
    <w:p>
      <w:pPr>
        <w:spacing w:line="400" w:lineRule="exact"/>
        <w:rPr>
          <w:sz w:val="28"/>
          <w:szCs w:val="28"/>
        </w:rPr>
      </w:pPr>
      <w:r>
        <w:drawing>
          <wp:anchor distT="0" distB="0" distL="114300" distR="114300" simplePos="0" relativeHeight="251660288" behindDoc="0" locked="0" layoutInCell="1" allowOverlap="1">
            <wp:simplePos x="0" y="0"/>
            <wp:positionH relativeFrom="column">
              <wp:posOffset>-6985</wp:posOffset>
            </wp:positionH>
            <wp:positionV relativeFrom="paragraph">
              <wp:posOffset>71120</wp:posOffset>
            </wp:positionV>
            <wp:extent cx="5190490" cy="7884160"/>
            <wp:effectExtent l="0" t="0" r="6350" b="10160"/>
            <wp:wrapNone/>
            <wp:docPr id="1" name="图片 1" descr="说明: C:\Users\yzr\Desktop\QQ截图2020042417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C:\Users\yzr\Desktop\QQ截图20200424174431.png"/>
                    <pic:cNvPicPr>
                      <a:picLocks noChangeAspect="1"/>
                    </pic:cNvPicPr>
                  </pic:nvPicPr>
                  <pic:blipFill>
                    <a:blip r:embed="rId29"/>
                    <a:stretch>
                      <a:fillRect/>
                    </a:stretch>
                  </pic:blipFill>
                  <pic:spPr>
                    <a:xfrm>
                      <a:off x="0" y="0"/>
                      <a:ext cx="5190490" cy="7884160"/>
                    </a:xfrm>
                    <a:prstGeom prst="rect">
                      <a:avLst/>
                    </a:prstGeom>
                    <a:noFill/>
                    <a:ln>
                      <a:noFill/>
                    </a:ln>
                  </pic:spPr>
                </pic:pic>
              </a:graphicData>
            </a:graphic>
          </wp:anchor>
        </w:drawing>
      </w:r>
    </w:p>
    <w:p/>
    <w:sectPr>
      <w:footerReference r:id="rId8" w:type="default"/>
      <w:pgSz w:w="11907" w:h="16840"/>
      <w:pgMar w:top="850" w:right="1417" w:bottom="850" w:left="1417" w:header="624" w:footer="510" w:gutter="0"/>
      <w:pgNumType w:fmt="decimal"/>
      <w:cols w:space="720" w:num="1"/>
      <w:rtlGutter w:val="0"/>
      <w:docGrid w:type="lines" w:linePitch="47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F3DC876-64E8-4F86-944C-3711C26903D8}"/>
  </w:font>
  <w:font w:name="黑体">
    <w:panose1 w:val="02010609060101010101"/>
    <w:charset w:val="86"/>
    <w:family w:val="auto"/>
    <w:pitch w:val="default"/>
    <w:sig w:usb0="800002BF" w:usb1="38CF7CFA" w:usb2="00000016" w:usb3="00000000" w:csb0="00040001" w:csb1="00000000"/>
    <w:embedRegular r:id="rId2" w:fontKey="{F6523E4B-EBBA-4EB8-8C70-85E1F4D2912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embedRegular r:id="rId3" w:fontKey="{932DB38D-21D9-44FB-B26E-BB87F23C833B}"/>
  </w:font>
  <w:font w:name="仿宋">
    <w:panose1 w:val="02010609060101010101"/>
    <w:charset w:val="86"/>
    <w:family w:val="auto"/>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embedRegular r:id="rId4" w:fontKey="{F5E9F0ED-9EB2-4D5C-8E2E-C29353C64757}"/>
  </w:font>
  <w:font w:name="华文宋体">
    <w:panose1 w:val="02010600040101010101"/>
    <w:charset w:val="86"/>
    <w:family w:val="auto"/>
    <w:pitch w:val="default"/>
    <w:sig w:usb0="00000287" w:usb1="080F0000" w:usb2="00000000" w:usb3="00000000" w:csb0="0004009F" w:csb1="DFD70000"/>
    <w:embedRegular r:id="rId5" w:fontKey="{CAEDCBD7-6D45-42FE-AE4B-DA3256B475DD}"/>
  </w:font>
  <w:font w:name="华文楷体">
    <w:panose1 w:val="02010600040101010101"/>
    <w:charset w:val="86"/>
    <w:family w:val="auto"/>
    <w:pitch w:val="default"/>
    <w:sig w:usb0="00000287" w:usb1="080F0000" w:usb2="00000000" w:usb3="00000000" w:csb0="0004009F" w:csb1="DFD70000"/>
    <w:embedRegular r:id="rId6" w:fontKey="{45172B55-2D7D-4D15-9DFC-57FE5F91D9E7}"/>
  </w:font>
  <w:font w:name="ˎ̥">
    <w:altName w:val="Times New Roman"/>
    <w:panose1 w:val="00000000000000000000"/>
    <w:charset w:val="00"/>
    <w:family w:val="auto"/>
    <w:pitch w:val="default"/>
    <w:sig w:usb0="00000000" w:usb1="00000000" w:usb2="00000000" w:usb3="00000000" w:csb0="00040001" w:csb1="00000000"/>
    <w:embedRegular r:id="rId7" w:fontKey="{FF6D4D29-EE3B-401A-A931-DBE304143C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both"/>
      <w:rPr>
        <w:rFonts w:hint="eastAsia"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hAnsi="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564C79"/>
    <w:multiLevelType w:val="singleLevel"/>
    <w:tmpl w:val="C9564C79"/>
    <w:lvl w:ilvl="0" w:tentative="0">
      <w:start w:val="5"/>
      <w:numFmt w:val="chineseCounting"/>
      <w:suff w:val="nothing"/>
      <w:lvlText w:val="%1、"/>
      <w:lvlJc w:val="left"/>
      <w:rPr>
        <w:rFonts w:hint="eastAsia"/>
      </w:rPr>
    </w:lvl>
  </w:abstractNum>
  <w:abstractNum w:abstractNumId="1">
    <w:nsid w:val="EEA4D073"/>
    <w:multiLevelType w:val="singleLevel"/>
    <w:tmpl w:val="EEA4D073"/>
    <w:lvl w:ilvl="0" w:tentative="0">
      <w:start w:val="1"/>
      <w:numFmt w:val="chineseCounting"/>
      <w:suff w:val="nothing"/>
      <w:lvlText w:val="%1、"/>
      <w:lvlJc w:val="left"/>
      <w:rPr>
        <w:rFonts w:hint="eastAsia"/>
      </w:rPr>
    </w:lvl>
  </w:abstractNum>
  <w:abstractNum w:abstractNumId="2">
    <w:nsid w:val="0E90C337"/>
    <w:multiLevelType w:val="singleLevel"/>
    <w:tmpl w:val="0E90C337"/>
    <w:lvl w:ilvl="0" w:tentative="0">
      <w:start w:val="1"/>
      <w:numFmt w:val="decimal"/>
      <w:suff w:val="nothing"/>
      <w:lvlText w:val="%1、"/>
      <w:lvlJc w:val="left"/>
    </w:lvl>
  </w:abstractNum>
  <w:abstractNum w:abstractNumId="3">
    <w:nsid w:val="15CCBBE9"/>
    <w:multiLevelType w:val="singleLevel"/>
    <w:tmpl w:val="15CCBBE9"/>
    <w:lvl w:ilvl="0" w:tentative="0">
      <w:start w:val="2"/>
      <w:numFmt w:val="decimal"/>
      <w:suff w:val="nothing"/>
      <w:lvlText w:val="（%1）"/>
      <w:lvlJc w:val="left"/>
    </w:lvl>
  </w:abstractNum>
  <w:abstractNum w:abstractNumId="4">
    <w:nsid w:val="3A88F3FC"/>
    <w:multiLevelType w:val="singleLevel"/>
    <w:tmpl w:val="3A88F3FC"/>
    <w:lvl w:ilvl="0" w:tentative="0">
      <w:start w:val="2"/>
      <w:numFmt w:val="decimal"/>
      <w:lvlText w:val="%1."/>
      <w:lvlJc w:val="left"/>
      <w:pPr>
        <w:tabs>
          <w:tab w:val="left" w:pos="312"/>
        </w:tabs>
      </w:pPr>
    </w:lvl>
  </w:abstractNum>
  <w:abstractNum w:abstractNumId="5">
    <w:nsid w:val="511716E2"/>
    <w:multiLevelType w:val="singleLevel"/>
    <w:tmpl w:val="511716E2"/>
    <w:lvl w:ilvl="0" w:tentative="0">
      <w:start w:val="8"/>
      <w:numFmt w:val="chineseCounting"/>
      <w:suff w:val="nothing"/>
      <w:lvlText w:val="%1、"/>
      <w:lvlJc w:val="left"/>
      <w:rPr>
        <w:rFonts w:hint="eastAsia"/>
      </w:rPr>
    </w:lvl>
  </w:abstractNum>
  <w:num w:numId="1">
    <w:abstractNumId w:val="2"/>
  </w:num>
  <w:num w:numId="2">
    <w:abstractNumId w:val="3"/>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23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660"/>
    <w:rsid w:val="00004B89"/>
    <w:rsid w:val="000120E6"/>
    <w:rsid w:val="00013385"/>
    <w:rsid w:val="0001393C"/>
    <w:rsid w:val="0001438F"/>
    <w:rsid w:val="00014483"/>
    <w:rsid w:val="00015AD4"/>
    <w:rsid w:val="000176E8"/>
    <w:rsid w:val="00021F2A"/>
    <w:rsid w:val="00022084"/>
    <w:rsid w:val="000222FA"/>
    <w:rsid w:val="0002293A"/>
    <w:rsid w:val="00023E17"/>
    <w:rsid w:val="000246A1"/>
    <w:rsid w:val="00024A16"/>
    <w:rsid w:val="00025740"/>
    <w:rsid w:val="00026E80"/>
    <w:rsid w:val="00030DE6"/>
    <w:rsid w:val="00031286"/>
    <w:rsid w:val="00031423"/>
    <w:rsid w:val="00031558"/>
    <w:rsid w:val="00032335"/>
    <w:rsid w:val="00032783"/>
    <w:rsid w:val="00033A9F"/>
    <w:rsid w:val="0003461F"/>
    <w:rsid w:val="00035948"/>
    <w:rsid w:val="00037A99"/>
    <w:rsid w:val="000408C4"/>
    <w:rsid w:val="00040BC2"/>
    <w:rsid w:val="00041FE4"/>
    <w:rsid w:val="00042D12"/>
    <w:rsid w:val="000451F8"/>
    <w:rsid w:val="000462B4"/>
    <w:rsid w:val="00046697"/>
    <w:rsid w:val="0004677D"/>
    <w:rsid w:val="00047873"/>
    <w:rsid w:val="00050590"/>
    <w:rsid w:val="00051366"/>
    <w:rsid w:val="000523DF"/>
    <w:rsid w:val="0005258E"/>
    <w:rsid w:val="000526C6"/>
    <w:rsid w:val="00052B12"/>
    <w:rsid w:val="00053337"/>
    <w:rsid w:val="000545BE"/>
    <w:rsid w:val="00054BA4"/>
    <w:rsid w:val="00055034"/>
    <w:rsid w:val="00055C21"/>
    <w:rsid w:val="000567A9"/>
    <w:rsid w:val="00056979"/>
    <w:rsid w:val="00057397"/>
    <w:rsid w:val="00061464"/>
    <w:rsid w:val="0006243C"/>
    <w:rsid w:val="0006264C"/>
    <w:rsid w:val="00063D39"/>
    <w:rsid w:val="000657E0"/>
    <w:rsid w:val="00065907"/>
    <w:rsid w:val="0006634F"/>
    <w:rsid w:val="000671EA"/>
    <w:rsid w:val="0006738D"/>
    <w:rsid w:val="000727F2"/>
    <w:rsid w:val="000731F0"/>
    <w:rsid w:val="000739F4"/>
    <w:rsid w:val="00073B7E"/>
    <w:rsid w:val="00074138"/>
    <w:rsid w:val="000743DD"/>
    <w:rsid w:val="0007588A"/>
    <w:rsid w:val="00081A37"/>
    <w:rsid w:val="00082B75"/>
    <w:rsid w:val="000834B0"/>
    <w:rsid w:val="000834B3"/>
    <w:rsid w:val="000839BF"/>
    <w:rsid w:val="00084183"/>
    <w:rsid w:val="00085F1D"/>
    <w:rsid w:val="0008602F"/>
    <w:rsid w:val="000867B4"/>
    <w:rsid w:val="00086A4E"/>
    <w:rsid w:val="00090600"/>
    <w:rsid w:val="00090A00"/>
    <w:rsid w:val="00092B4C"/>
    <w:rsid w:val="000932AA"/>
    <w:rsid w:val="00093ABA"/>
    <w:rsid w:val="000943C6"/>
    <w:rsid w:val="000958DC"/>
    <w:rsid w:val="000962DA"/>
    <w:rsid w:val="00097764"/>
    <w:rsid w:val="000A1518"/>
    <w:rsid w:val="000A1D01"/>
    <w:rsid w:val="000A2A84"/>
    <w:rsid w:val="000A2CB7"/>
    <w:rsid w:val="000A32C6"/>
    <w:rsid w:val="000A3D02"/>
    <w:rsid w:val="000A3D83"/>
    <w:rsid w:val="000A4196"/>
    <w:rsid w:val="000A42C7"/>
    <w:rsid w:val="000A4B2E"/>
    <w:rsid w:val="000A4EA5"/>
    <w:rsid w:val="000A5081"/>
    <w:rsid w:val="000A7857"/>
    <w:rsid w:val="000B07DD"/>
    <w:rsid w:val="000B0E0C"/>
    <w:rsid w:val="000B0F4B"/>
    <w:rsid w:val="000B1C2C"/>
    <w:rsid w:val="000B58C4"/>
    <w:rsid w:val="000B7FD8"/>
    <w:rsid w:val="000C00DD"/>
    <w:rsid w:val="000C0146"/>
    <w:rsid w:val="000C22DB"/>
    <w:rsid w:val="000C2EFC"/>
    <w:rsid w:val="000C3B13"/>
    <w:rsid w:val="000C405E"/>
    <w:rsid w:val="000C4129"/>
    <w:rsid w:val="000C4762"/>
    <w:rsid w:val="000C562F"/>
    <w:rsid w:val="000C5D2D"/>
    <w:rsid w:val="000C5FC0"/>
    <w:rsid w:val="000D03B4"/>
    <w:rsid w:val="000D0F0A"/>
    <w:rsid w:val="000D1724"/>
    <w:rsid w:val="000D306E"/>
    <w:rsid w:val="000D319D"/>
    <w:rsid w:val="000D4EFB"/>
    <w:rsid w:val="000D705A"/>
    <w:rsid w:val="000D710C"/>
    <w:rsid w:val="000E0A69"/>
    <w:rsid w:val="000E583C"/>
    <w:rsid w:val="000E6476"/>
    <w:rsid w:val="000E6CD7"/>
    <w:rsid w:val="000F0171"/>
    <w:rsid w:val="000F40D6"/>
    <w:rsid w:val="000F422B"/>
    <w:rsid w:val="000F45A9"/>
    <w:rsid w:val="000F52EC"/>
    <w:rsid w:val="000F6854"/>
    <w:rsid w:val="00100B7D"/>
    <w:rsid w:val="00100C85"/>
    <w:rsid w:val="00100FCD"/>
    <w:rsid w:val="0010167E"/>
    <w:rsid w:val="00101CB5"/>
    <w:rsid w:val="001033D2"/>
    <w:rsid w:val="00103B15"/>
    <w:rsid w:val="00105014"/>
    <w:rsid w:val="00105146"/>
    <w:rsid w:val="0010666F"/>
    <w:rsid w:val="001114EB"/>
    <w:rsid w:val="001116C7"/>
    <w:rsid w:val="00111E0E"/>
    <w:rsid w:val="00111F41"/>
    <w:rsid w:val="00112761"/>
    <w:rsid w:val="00114DE5"/>
    <w:rsid w:val="00114EBA"/>
    <w:rsid w:val="001150A5"/>
    <w:rsid w:val="001212C2"/>
    <w:rsid w:val="0012276E"/>
    <w:rsid w:val="001239E7"/>
    <w:rsid w:val="00123E53"/>
    <w:rsid w:val="00123FC0"/>
    <w:rsid w:val="00126265"/>
    <w:rsid w:val="00126AAA"/>
    <w:rsid w:val="00126D87"/>
    <w:rsid w:val="00131F14"/>
    <w:rsid w:val="001329EB"/>
    <w:rsid w:val="001342FD"/>
    <w:rsid w:val="001345C8"/>
    <w:rsid w:val="0013590F"/>
    <w:rsid w:val="00136485"/>
    <w:rsid w:val="00136D53"/>
    <w:rsid w:val="00142470"/>
    <w:rsid w:val="00143F97"/>
    <w:rsid w:val="0014425B"/>
    <w:rsid w:val="001451F2"/>
    <w:rsid w:val="001464DD"/>
    <w:rsid w:val="001500D3"/>
    <w:rsid w:val="00150BFF"/>
    <w:rsid w:val="00151441"/>
    <w:rsid w:val="00151BC5"/>
    <w:rsid w:val="00152074"/>
    <w:rsid w:val="00153D4C"/>
    <w:rsid w:val="0015550E"/>
    <w:rsid w:val="00156466"/>
    <w:rsid w:val="00156D44"/>
    <w:rsid w:val="001575FD"/>
    <w:rsid w:val="00161AEF"/>
    <w:rsid w:val="00162078"/>
    <w:rsid w:val="0016341A"/>
    <w:rsid w:val="001648CD"/>
    <w:rsid w:val="001652F8"/>
    <w:rsid w:val="00165833"/>
    <w:rsid w:val="00167ED2"/>
    <w:rsid w:val="00170C8C"/>
    <w:rsid w:val="001746B3"/>
    <w:rsid w:val="00175AEB"/>
    <w:rsid w:val="001763A5"/>
    <w:rsid w:val="001836F5"/>
    <w:rsid w:val="0018382C"/>
    <w:rsid w:val="0018390E"/>
    <w:rsid w:val="00183F9B"/>
    <w:rsid w:val="00185A39"/>
    <w:rsid w:val="00185F2C"/>
    <w:rsid w:val="00186A43"/>
    <w:rsid w:val="00186AEA"/>
    <w:rsid w:val="001876EA"/>
    <w:rsid w:val="00187C36"/>
    <w:rsid w:val="00187D88"/>
    <w:rsid w:val="0019037D"/>
    <w:rsid w:val="00191A88"/>
    <w:rsid w:val="00193802"/>
    <w:rsid w:val="00193E56"/>
    <w:rsid w:val="001961BF"/>
    <w:rsid w:val="00196A94"/>
    <w:rsid w:val="00196B7A"/>
    <w:rsid w:val="001974BF"/>
    <w:rsid w:val="0019756E"/>
    <w:rsid w:val="001A0BE4"/>
    <w:rsid w:val="001A4D34"/>
    <w:rsid w:val="001A67F1"/>
    <w:rsid w:val="001A761A"/>
    <w:rsid w:val="001B053F"/>
    <w:rsid w:val="001B1F0F"/>
    <w:rsid w:val="001B22E9"/>
    <w:rsid w:val="001B334A"/>
    <w:rsid w:val="001B3E78"/>
    <w:rsid w:val="001B4B2D"/>
    <w:rsid w:val="001B7FA9"/>
    <w:rsid w:val="001C2CAE"/>
    <w:rsid w:val="001C4A5B"/>
    <w:rsid w:val="001C5AF6"/>
    <w:rsid w:val="001D0F62"/>
    <w:rsid w:val="001D2331"/>
    <w:rsid w:val="001D3913"/>
    <w:rsid w:val="001D63AB"/>
    <w:rsid w:val="001E0521"/>
    <w:rsid w:val="001E0CB9"/>
    <w:rsid w:val="001E148C"/>
    <w:rsid w:val="001E3B05"/>
    <w:rsid w:val="001E5BB0"/>
    <w:rsid w:val="001E6EBF"/>
    <w:rsid w:val="001E6EC9"/>
    <w:rsid w:val="001E6EF9"/>
    <w:rsid w:val="001F0220"/>
    <w:rsid w:val="001F035E"/>
    <w:rsid w:val="001F1E7D"/>
    <w:rsid w:val="001F2E29"/>
    <w:rsid w:val="001F492D"/>
    <w:rsid w:val="001F5851"/>
    <w:rsid w:val="001F62BE"/>
    <w:rsid w:val="001F64F5"/>
    <w:rsid w:val="001F79FC"/>
    <w:rsid w:val="001F7DBD"/>
    <w:rsid w:val="0020110B"/>
    <w:rsid w:val="00203068"/>
    <w:rsid w:val="00205336"/>
    <w:rsid w:val="0020559E"/>
    <w:rsid w:val="00206D18"/>
    <w:rsid w:val="0021013C"/>
    <w:rsid w:val="002120D0"/>
    <w:rsid w:val="002125E6"/>
    <w:rsid w:val="00215638"/>
    <w:rsid w:val="00215F14"/>
    <w:rsid w:val="0021668E"/>
    <w:rsid w:val="00220283"/>
    <w:rsid w:val="002236C4"/>
    <w:rsid w:val="00224333"/>
    <w:rsid w:val="00224CDC"/>
    <w:rsid w:val="00225932"/>
    <w:rsid w:val="002270B2"/>
    <w:rsid w:val="00230304"/>
    <w:rsid w:val="00230D10"/>
    <w:rsid w:val="002320BC"/>
    <w:rsid w:val="002332EA"/>
    <w:rsid w:val="002342C9"/>
    <w:rsid w:val="002344CA"/>
    <w:rsid w:val="00241AF6"/>
    <w:rsid w:val="00242277"/>
    <w:rsid w:val="00244015"/>
    <w:rsid w:val="0024529B"/>
    <w:rsid w:val="00245E6C"/>
    <w:rsid w:val="002470DA"/>
    <w:rsid w:val="0025006F"/>
    <w:rsid w:val="00250692"/>
    <w:rsid w:val="002509D0"/>
    <w:rsid w:val="002510B3"/>
    <w:rsid w:val="00252DDB"/>
    <w:rsid w:val="002531C7"/>
    <w:rsid w:val="0025359C"/>
    <w:rsid w:val="002554B2"/>
    <w:rsid w:val="00255D4B"/>
    <w:rsid w:val="00262A61"/>
    <w:rsid w:val="00263B9A"/>
    <w:rsid w:val="00265F18"/>
    <w:rsid w:val="002665C5"/>
    <w:rsid w:val="002703E3"/>
    <w:rsid w:val="00272326"/>
    <w:rsid w:val="0027252A"/>
    <w:rsid w:val="00273210"/>
    <w:rsid w:val="00277B58"/>
    <w:rsid w:val="00280D8F"/>
    <w:rsid w:val="00281347"/>
    <w:rsid w:val="002857AA"/>
    <w:rsid w:val="0029048E"/>
    <w:rsid w:val="00290AEB"/>
    <w:rsid w:val="00290E46"/>
    <w:rsid w:val="00291539"/>
    <w:rsid w:val="00292632"/>
    <w:rsid w:val="0029415C"/>
    <w:rsid w:val="00294EBC"/>
    <w:rsid w:val="00295F16"/>
    <w:rsid w:val="0029626C"/>
    <w:rsid w:val="00297B8B"/>
    <w:rsid w:val="002A0B7A"/>
    <w:rsid w:val="002A0BBD"/>
    <w:rsid w:val="002A0C3D"/>
    <w:rsid w:val="002A0C82"/>
    <w:rsid w:val="002A1034"/>
    <w:rsid w:val="002A1E56"/>
    <w:rsid w:val="002A4317"/>
    <w:rsid w:val="002A7D03"/>
    <w:rsid w:val="002B067F"/>
    <w:rsid w:val="002B06DF"/>
    <w:rsid w:val="002B320E"/>
    <w:rsid w:val="002B3263"/>
    <w:rsid w:val="002B3FE9"/>
    <w:rsid w:val="002B4920"/>
    <w:rsid w:val="002B5EB0"/>
    <w:rsid w:val="002B6D25"/>
    <w:rsid w:val="002B7D1D"/>
    <w:rsid w:val="002B7F7D"/>
    <w:rsid w:val="002C0169"/>
    <w:rsid w:val="002C0185"/>
    <w:rsid w:val="002C0964"/>
    <w:rsid w:val="002C2154"/>
    <w:rsid w:val="002C3905"/>
    <w:rsid w:val="002C67ED"/>
    <w:rsid w:val="002C7DDE"/>
    <w:rsid w:val="002D2A3C"/>
    <w:rsid w:val="002D44CE"/>
    <w:rsid w:val="002D5D7E"/>
    <w:rsid w:val="002D6435"/>
    <w:rsid w:val="002D73AE"/>
    <w:rsid w:val="002E1456"/>
    <w:rsid w:val="002E2016"/>
    <w:rsid w:val="002E372F"/>
    <w:rsid w:val="002E38A1"/>
    <w:rsid w:val="002E53EC"/>
    <w:rsid w:val="002E7B45"/>
    <w:rsid w:val="002F0CC6"/>
    <w:rsid w:val="002F0D48"/>
    <w:rsid w:val="002F36D1"/>
    <w:rsid w:val="002F3919"/>
    <w:rsid w:val="002F5A38"/>
    <w:rsid w:val="002F797B"/>
    <w:rsid w:val="00302602"/>
    <w:rsid w:val="0030262F"/>
    <w:rsid w:val="00303C8B"/>
    <w:rsid w:val="00306772"/>
    <w:rsid w:val="00306A59"/>
    <w:rsid w:val="00306EED"/>
    <w:rsid w:val="00306F89"/>
    <w:rsid w:val="00311669"/>
    <w:rsid w:val="0031253B"/>
    <w:rsid w:val="00314009"/>
    <w:rsid w:val="00315A72"/>
    <w:rsid w:val="0031795E"/>
    <w:rsid w:val="00321BCE"/>
    <w:rsid w:val="003230A0"/>
    <w:rsid w:val="00323546"/>
    <w:rsid w:val="0032451F"/>
    <w:rsid w:val="003245A1"/>
    <w:rsid w:val="003267FB"/>
    <w:rsid w:val="0032762D"/>
    <w:rsid w:val="00327B03"/>
    <w:rsid w:val="00331D01"/>
    <w:rsid w:val="00331FC6"/>
    <w:rsid w:val="0033261E"/>
    <w:rsid w:val="003331D2"/>
    <w:rsid w:val="00334A11"/>
    <w:rsid w:val="00335BD1"/>
    <w:rsid w:val="003419CA"/>
    <w:rsid w:val="00342078"/>
    <w:rsid w:val="0034268E"/>
    <w:rsid w:val="00343E79"/>
    <w:rsid w:val="00346A47"/>
    <w:rsid w:val="0035067D"/>
    <w:rsid w:val="00351E9C"/>
    <w:rsid w:val="00352BE5"/>
    <w:rsid w:val="003534C0"/>
    <w:rsid w:val="00354318"/>
    <w:rsid w:val="00354A64"/>
    <w:rsid w:val="00354A79"/>
    <w:rsid w:val="00355FC0"/>
    <w:rsid w:val="00356142"/>
    <w:rsid w:val="00356AD1"/>
    <w:rsid w:val="00361262"/>
    <w:rsid w:val="00361C9E"/>
    <w:rsid w:val="00364647"/>
    <w:rsid w:val="0037029D"/>
    <w:rsid w:val="00370C8A"/>
    <w:rsid w:val="00372645"/>
    <w:rsid w:val="0037288F"/>
    <w:rsid w:val="00372E53"/>
    <w:rsid w:val="00373951"/>
    <w:rsid w:val="0037405F"/>
    <w:rsid w:val="00374D70"/>
    <w:rsid w:val="00375F76"/>
    <w:rsid w:val="0037714C"/>
    <w:rsid w:val="00381E2B"/>
    <w:rsid w:val="00382A01"/>
    <w:rsid w:val="00383BFA"/>
    <w:rsid w:val="00384DB9"/>
    <w:rsid w:val="00384FE6"/>
    <w:rsid w:val="003851CE"/>
    <w:rsid w:val="00386948"/>
    <w:rsid w:val="00390FDB"/>
    <w:rsid w:val="003924E0"/>
    <w:rsid w:val="00394101"/>
    <w:rsid w:val="00395323"/>
    <w:rsid w:val="00395A66"/>
    <w:rsid w:val="0039654A"/>
    <w:rsid w:val="0039658A"/>
    <w:rsid w:val="00396685"/>
    <w:rsid w:val="00396F9F"/>
    <w:rsid w:val="0039798B"/>
    <w:rsid w:val="003A44B1"/>
    <w:rsid w:val="003B035C"/>
    <w:rsid w:val="003B07A2"/>
    <w:rsid w:val="003B0FE8"/>
    <w:rsid w:val="003B1AB5"/>
    <w:rsid w:val="003B1E98"/>
    <w:rsid w:val="003B22D9"/>
    <w:rsid w:val="003B3290"/>
    <w:rsid w:val="003B3755"/>
    <w:rsid w:val="003B4511"/>
    <w:rsid w:val="003B4C27"/>
    <w:rsid w:val="003B6F87"/>
    <w:rsid w:val="003C0054"/>
    <w:rsid w:val="003C0851"/>
    <w:rsid w:val="003C14AB"/>
    <w:rsid w:val="003C1E7C"/>
    <w:rsid w:val="003C50AC"/>
    <w:rsid w:val="003C668B"/>
    <w:rsid w:val="003D1437"/>
    <w:rsid w:val="003D3B7C"/>
    <w:rsid w:val="003D437C"/>
    <w:rsid w:val="003D629B"/>
    <w:rsid w:val="003D6FFA"/>
    <w:rsid w:val="003E35F5"/>
    <w:rsid w:val="003E44CB"/>
    <w:rsid w:val="003F2938"/>
    <w:rsid w:val="003F4247"/>
    <w:rsid w:val="003F4F88"/>
    <w:rsid w:val="003F7462"/>
    <w:rsid w:val="00400273"/>
    <w:rsid w:val="00400415"/>
    <w:rsid w:val="00400F8F"/>
    <w:rsid w:val="00401075"/>
    <w:rsid w:val="00403397"/>
    <w:rsid w:val="00404202"/>
    <w:rsid w:val="00405597"/>
    <w:rsid w:val="004056A0"/>
    <w:rsid w:val="00406C2F"/>
    <w:rsid w:val="004071DA"/>
    <w:rsid w:val="0041210C"/>
    <w:rsid w:val="00413D84"/>
    <w:rsid w:val="00420862"/>
    <w:rsid w:val="00420880"/>
    <w:rsid w:val="00421009"/>
    <w:rsid w:val="004233F9"/>
    <w:rsid w:val="0042372A"/>
    <w:rsid w:val="004259A8"/>
    <w:rsid w:val="00425ACB"/>
    <w:rsid w:val="00425E38"/>
    <w:rsid w:val="00427793"/>
    <w:rsid w:val="004277FA"/>
    <w:rsid w:val="00430020"/>
    <w:rsid w:val="004347BF"/>
    <w:rsid w:val="00434EDB"/>
    <w:rsid w:val="00436108"/>
    <w:rsid w:val="004368E1"/>
    <w:rsid w:val="00436A1E"/>
    <w:rsid w:val="00437349"/>
    <w:rsid w:val="00437F68"/>
    <w:rsid w:val="00440010"/>
    <w:rsid w:val="004412F3"/>
    <w:rsid w:val="00441691"/>
    <w:rsid w:val="00442203"/>
    <w:rsid w:val="004440D6"/>
    <w:rsid w:val="0044451B"/>
    <w:rsid w:val="00446478"/>
    <w:rsid w:val="00446C23"/>
    <w:rsid w:val="00447598"/>
    <w:rsid w:val="00447F5D"/>
    <w:rsid w:val="00451934"/>
    <w:rsid w:val="004522CD"/>
    <w:rsid w:val="00453DA2"/>
    <w:rsid w:val="00454103"/>
    <w:rsid w:val="004569C9"/>
    <w:rsid w:val="00457964"/>
    <w:rsid w:val="00460387"/>
    <w:rsid w:val="00462C15"/>
    <w:rsid w:val="004643AF"/>
    <w:rsid w:val="00464C62"/>
    <w:rsid w:val="00465A54"/>
    <w:rsid w:val="004677D8"/>
    <w:rsid w:val="00472927"/>
    <w:rsid w:val="00474121"/>
    <w:rsid w:val="004746B7"/>
    <w:rsid w:val="00474A2F"/>
    <w:rsid w:val="004753B1"/>
    <w:rsid w:val="00476556"/>
    <w:rsid w:val="00477E40"/>
    <w:rsid w:val="0048121B"/>
    <w:rsid w:val="004837E8"/>
    <w:rsid w:val="00484A3D"/>
    <w:rsid w:val="0048581D"/>
    <w:rsid w:val="004859C3"/>
    <w:rsid w:val="00485EDF"/>
    <w:rsid w:val="00490A1F"/>
    <w:rsid w:val="004922E9"/>
    <w:rsid w:val="004924E2"/>
    <w:rsid w:val="0049282E"/>
    <w:rsid w:val="00493DBF"/>
    <w:rsid w:val="0049425B"/>
    <w:rsid w:val="00494369"/>
    <w:rsid w:val="004967DA"/>
    <w:rsid w:val="004A0510"/>
    <w:rsid w:val="004A11B8"/>
    <w:rsid w:val="004A2B4F"/>
    <w:rsid w:val="004A6596"/>
    <w:rsid w:val="004A7ED0"/>
    <w:rsid w:val="004B1CB6"/>
    <w:rsid w:val="004B2E17"/>
    <w:rsid w:val="004B31F5"/>
    <w:rsid w:val="004B42C6"/>
    <w:rsid w:val="004B46E7"/>
    <w:rsid w:val="004B4E67"/>
    <w:rsid w:val="004B56B6"/>
    <w:rsid w:val="004B58B4"/>
    <w:rsid w:val="004B7913"/>
    <w:rsid w:val="004B7CD4"/>
    <w:rsid w:val="004C1A76"/>
    <w:rsid w:val="004C2D18"/>
    <w:rsid w:val="004C3CC5"/>
    <w:rsid w:val="004D17B5"/>
    <w:rsid w:val="004D1CAF"/>
    <w:rsid w:val="004D1D4C"/>
    <w:rsid w:val="004D2263"/>
    <w:rsid w:val="004D2D2B"/>
    <w:rsid w:val="004D438D"/>
    <w:rsid w:val="004D6AA0"/>
    <w:rsid w:val="004D6EA3"/>
    <w:rsid w:val="004D715A"/>
    <w:rsid w:val="004D7C5A"/>
    <w:rsid w:val="004E095F"/>
    <w:rsid w:val="004E0DC1"/>
    <w:rsid w:val="004E2BA2"/>
    <w:rsid w:val="004E34C7"/>
    <w:rsid w:val="004E3AD2"/>
    <w:rsid w:val="004E4ECE"/>
    <w:rsid w:val="004E6FA7"/>
    <w:rsid w:val="004E77BC"/>
    <w:rsid w:val="004E7C5E"/>
    <w:rsid w:val="004F053A"/>
    <w:rsid w:val="004F2BA1"/>
    <w:rsid w:val="004F6640"/>
    <w:rsid w:val="004F6D0A"/>
    <w:rsid w:val="00500450"/>
    <w:rsid w:val="005023EE"/>
    <w:rsid w:val="00503CA8"/>
    <w:rsid w:val="0051137A"/>
    <w:rsid w:val="00511759"/>
    <w:rsid w:val="00512F35"/>
    <w:rsid w:val="00515F84"/>
    <w:rsid w:val="00516884"/>
    <w:rsid w:val="00516E92"/>
    <w:rsid w:val="0051796C"/>
    <w:rsid w:val="0052149F"/>
    <w:rsid w:val="005234C2"/>
    <w:rsid w:val="00523933"/>
    <w:rsid w:val="00524093"/>
    <w:rsid w:val="00524715"/>
    <w:rsid w:val="005275DB"/>
    <w:rsid w:val="005308B3"/>
    <w:rsid w:val="00531124"/>
    <w:rsid w:val="00534655"/>
    <w:rsid w:val="0053654A"/>
    <w:rsid w:val="005379D8"/>
    <w:rsid w:val="00537DFF"/>
    <w:rsid w:val="00541B9D"/>
    <w:rsid w:val="005437F7"/>
    <w:rsid w:val="0054439D"/>
    <w:rsid w:val="005455D7"/>
    <w:rsid w:val="0054613F"/>
    <w:rsid w:val="00546F02"/>
    <w:rsid w:val="0054726C"/>
    <w:rsid w:val="00547477"/>
    <w:rsid w:val="00550637"/>
    <w:rsid w:val="00550C15"/>
    <w:rsid w:val="00551E54"/>
    <w:rsid w:val="00552A5B"/>
    <w:rsid w:val="00553A9F"/>
    <w:rsid w:val="00555666"/>
    <w:rsid w:val="005557AE"/>
    <w:rsid w:val="0055769A"/>
    <w:rsid w:val="005603D7"/>
    <w:rsid w:val="00560776"/>
    <w:rsid w:val="005651F2"/>
    <w:rsid w:val="00566BF2"/>
    <w:rsid w:val="00566C37"/>
    <w:rsid w:val="00567FBF"/>
    <w:rsid w:val="0057020D"/>
    <w:rsid w:val="005710B2"/>
    <w:rsid w:val="005715A3"/>
    <w:rsid w:val="005758DC"/>
    <w:rsid w:val="00575EC8"/>
    <w:rsid w:val="005770E1"/>
    <w:rsid w:val="00577D3B"/>
    <w:rsid w:val="00581982"/>
    <w:rsid w:val="00583ED8"/>
    <w:rsid w:val="00584F0C"/>
    <w:rsid w:val="00585C10"/>
    <w:rsid w:val="00585D18"/>
    <w:rsid w:val="00586DE8"/>
    <w:rsid w:val="005873E6"/>
    <w:rsid w:val="005876D8"/>
    <w:rsid w:val="00590091"/>
    <w:rsid w:val="00591013"/>
    <w:rsid w:val="0059168E"/>
    <w:rsid w:val="00591E80"/>
    <w:rsid w:val="0059553F"/>
    <w:rsid w:val="00595B7E"/>
    <w:rsid w:val="005962BA"/>
    <w:rsid w:val="00596CA4"/>
    <w:rsid w:val="005A6B6C"/>
    <w:rsid w:val="005B0EA2"/>
    <w:rsid w:val="005B3818"/>
    <w:rsid w:val="005B4B72"/>
    <w:rsid w:val="005B52B1"/>
    <w:rsid w:val="005B5AEB"/>
    <w:rsid w:val="005C08FA"/>
    <w:rsid w:val="005C10F2"/>
    <w:rsid w:val="005C3B8A"/>
    <w:rsid w:val="005C3E17"/>
    <w:rsid w:val="005C529F"/>
    <w:rsid w:val="005D1258"/>
    <w:rsid w:val="005D1481"/>
    <w:rsid w:val="005D3DE5"/>
    <w:rsid w:val="005D4169"/>
    <w:rsid w:val="005D5891"/>
    <w:rsid w:val="005D691C"/>
    <w:rsid w:val="005D72BC"/>
    <w:rsid w:val="005D7BAC"/>
    <w:rsid w:val="005E0927"/>
    <w:rsid w:val="005E0EB8"/>
    <w:rsid w:val="005E1042"/>
    <w:rsid w:val="005E290B"/>
    <w:rsid w:val="005E61DB"/>
    <w:rsid w:val="005F038E"/>
    <w:rsid w:val="005F28F4"/>
    <w:rsid w:val="005F39AC"/>
    <w:rsid w:val="005F49AB"/>
    <w:rsid w:val="005F58A2"/>
    <w:rsid w:val="005F5A9E"/>
    <w:rsid w:val="005F6B77"/>
    <w:rsid w:val="005F785F"/>
    <w:rsid w:val="006003EE"/>
    <w:rsid w:val="00605136"/>
    <w:rsid w:val="00605464"/>
    <w:rsid w:val="0060560B"/>
    <w:rsid w:val="00606299"/>
    <w:rsid w:val="006063A3"/>
    <w:rsid w:val="00606464"/>
    <w:rsid w:val="00606E5C"/>
    <w:rsid w:val="0060753A"/>
    <w:rsid w:val="00607EE8"/>
    <w:rsid w:val="00610DCC"/>
    <w:rsid w:val="006120A9"/>
    <w:rsid w:val="00612C9E"/>
    <w:rsid w:val="00614B06"/>
    <w:rsid w:val="00614DE1"/>
    <w:rsid w:val="006169D0"/>
    <w:rsid w:val="00616C8F"/>
    <w:rsid w:val="00616EAA"/>
    <w:rsid w:val="0062060B"/>
    <w:rsid w:val="00621870"/>
    <w:rsid w:val="00626234"/>
    <w:rsid w:val="00626A0E"/>
    <w:rsid w:val="00627813"/>
    <w:rsid w:val="00630CE7"/>
    <w:rsid w:val="00633FA7"/>
    <w:rsid w:val="006345DE"/>
    <w:rsid w:val="00635F76"/>
    <w:rsid w:val="00643045"/>
    <w:rsid w:val="00644997"/>
    <w:rsid w:val="0064574D"/>
    <w:rsid w:val="00645C78"/>
    <w:rsid w:val="00646470"/>
    <w:rsid w:val="00646570"/>
    <w:rsid w:val="00650EC4"/>
    <w:rsid w:val="00652426"/>
    <w:rsid w:val="0065519A"/>
    <w:rsid w:val="0065793E"/>
    <w:rsid w:val="006579D8"/>
    <w:rsid w:val="006622F0"/>
    <w:rsid w:val="00662776"/>
    <w:rsid w:val="00665609"/>
    <w:rsid w:val="006666FB"/>
    <w:rsid w:val="00666D76"/>
    <w:rsid w:val="0066748C"/>
    <w:rsid w:val="0066780A"/>
    <w:rsid w:val="00667F67"/>
    <w:rsid w:val="006708E4"/>
    <w:rsid w:val="00670BD0"/>
    <w:rsid w:val="006733AC"/>
    <w:rsid w:val="006738C0"/>
    <w:rsid w:val="00674223"/>
    <w:rsid w:val="006747D0"/>
    <w:rsid w:val="00676BDE"/>
    <w:rsid w:val="00677EB4"/>
    <w:rsid w:val="00680E92"/>
    <w:rsid w:val="00680F34"/>
    <w:rsid w:val="006815B2"/>
    <w:rsid w:val="00682060"/>
    <w:rsid w:val="006820AD"/>
    <w:rsid w:val="006825D3"/>
    <w:rsid w:val="006826F0"/>
    <w:rsid w:val="00682A5F"/>
    <w:rsid w:val="00682AC8"/>
    <w:rsid w:val="00682BF1"/>
    <w:rsid w:val="00683B04"/>
    <w:rsid w:val="0068510B"/>
    <w:rsid w:val="00687E71"/>
    <w:rsid w:val="00690343"/>
    <w:rsid w:val="00693EA5"/>
    <w:rsid w:val="006959B9"/>
    <w:rsid w:val="00695A3E"/>
    <w:rsid w:val="006A0565"/>
    <w:rsid w:val="006A0C8E"/>
    <w:rsid w:val="006A357E"/>
    <w:rsid w:val="006A45A1"/>
    <w:rsid w:val="006A4E33"/>
    <w:rsid w:val="006A6791"/>
    <w:rsid w:val="006A7FB3"/>
    <w:rsid w:val="006A7FB6"/>
    <w:rsid w:val="006B3179"/>
    <w:rsid w:val="006B3693"/>
    <w:rsid w:val="006B43B6"/>
    <w:rsid w:val="006B6634"/>
    <w:rsid w:val="006B728F"/>
    <w:rsid w:val="006B7390"/>
    <w:rsid w:val="006B73C5"/>
    <w:rsid w:val="006B791C"/>
    <w:rsid w:val="006B7EFD"/>
    <w:rsid w:val="006C2713"/>
    <w:rsid w:val="006C28C6"/>
    <w:rsid w:val="006C34E1"/>
    <w:rsid w:val="006C434D"/>
    <w:rsid w:val="006C5CD3"/>
    <w:rsid w:val="006C5DBB"/>
    <w:rsid w:val="006D1852"/>
    <w:rsid w:val="006D2B77"/>
    <w:rsid w:val="006D2D0E"/>
    <w:rsid w:val="006D4E10"/>
    <w:rsid w:val="006D539E"/>
    <w:rsid w:val="006D699C"/>
    <w:rsid w:val="006D73C5"/>
    <w:rsid w:val="006D7717"/>
    <w:rsid w:val="006D7AEE"/>
    <w:rsid w:val="006E0C0F"/>
    <w:rsid w:val="006E0F4A"/>
    <w:rsid w:val="006E1B6F"/>
    <w:rsid w:val="006E280B"/>
    <w:rsid w:val="006E3610"/>
    <w:rsid w:val="006E3819"/>
    <w:rsid w:val="006E3977"/>
    <w:rsid w:val="006E3EA3"/>
    <w:rsid w:val="006E57C3"/>
    <w:rsid w:val="006E5B7C"/>
    <w:rsid w:val="006E6C7E"/>
    <w:rsid w:val="006E7778"/>
    <w:rsid w:val="006F19FC"/>
    <w:rsid w:val="006F6F4D"/>
    <w:rsid w:val="006F72D9"/>
    <w:rsid w:val="006F74F3"/>
    <w:rsid w:val="007037EE"/>
    <w:rsid w:val="00703E8A"/>
    <w:rsid w:val="00706597"/>
    <w:rsid w:val="007068BA"/>
    <w:rsid w:val="00707B59"/>
    <w:rsid w:val="00710A76"/>
    <w:rsid w:val="0071161C"/>
    <w:rsid w:val="00716115"/>
    <w:rsid w:val="00716B69"/>
    <w:rsid w:val="00716EA2"/>
    <w:rsid w:val="007200A1"/>
    <w:rsid w:val="00721582"/>
    <w:rsid w:val="00721914"/>
    <w:rsid w:val="007236E6"/>
    <w:rsid w:val="0072427E"/>
    <w:rsid w:val="0073057D"/>
    <w:rsid w:val="00730609"/>
    <w:rsid w:val="00731DA2"/>
    <w:rsid w:val="0073276D"/>
    <w:rsid w:val="00733A6B"/>
    <w:rsid w:val="00734122"/>
    <w:rsid w:val="007352A4"/>
    <w:rsid w:val="00736FE3"/>
    <w:rsid w:val="00737F15"/>
    <w:rsid w:val="0074082A"/>
    <w:rsid w:val="007423F5"/>
    <w:rsid w:val="00742877"/>
    <w:rsid w:val="0074393D"/>
    <w:rsid w:val="00743991"/>
    <w:rsid w:val="00744385"/>
    <w:rsid w:val="00746AD4"/>
    <w:rsid w:val="00750B7E"/>
    <w:rsid w:val="007515C4"/>
    <w:rsid w:val="007522B7"/>
    <w:rsid w:val="0075277D"/>
    <w:rsid w:val="007540CC"/>
    <w:rsid w:val="00755A08"/>
    <w:rsid w:val="00755BB3"/>
    <w:rsid w:val="00756231"/>
    <w:rsid w:val="0075681B"/>
    <w:rsid w:val="00757287"/>
    <w:rsid w:val="00757D3C"/>
    <w:rsid w:val="007604E9"/>
    <w:rsid w:val="00762466"/>
    <w:rsid w:val="00763F24"/>
    <w:rsid w:val="00764146"/>
    <w:rsid w:val="007646F7"/>
    <w:rsid w:val="00764BF3"/>
    <w:rsid w:val="0076635D"/>
    <w:rsid w:val="007663CC"/>
    <w:rsid w:val="00766C89"/>
    <w:rsid w:val="00766D98"/>
    <w:rsid w:val="007673B6"/>
    <w:rsid w:val="00767713"/>
    <w:rsid w:val="007707AA"/>
    <w:rsid w:val="00774962"/>
    <w:rsid w:val="00775F64"/>
    <w:rsid w:val="00776970"/>
    <w:rsid w:val="00777FC5"/>
    <w:rsid w:val="00780DCA"/>
    <w:rsid w:val="00781660"/>
    <w:rsid w:val="007818C9"/>
    <w:rsid w:val="00782920"/>
    <w:rsid w:val="007865E1"/>
    <w:rsid w:val="007866F2"/>
    <w:rsid w:val="00790706"/>
    <w:rsid w:val="0079233C"/>
    <w:rsid w:val="007A009E"/>
    <w:rsid w:val="007A01F7"/>
    <w:rsid w:val="007A0F8C"/>
    <w:rsid w:val="007A13C0"/>
    <w:rsid w:val="007A4490"/>
    <w:rsid w:val="007A4EE5"/>
    <w:rsid w:val="007A4F56"/>
    <w:rsid w:val="007A7069"/>
    <w:rsid w:val="007A70D1"/>
    <w:rsid w:val="007A7526"/>
    <w:rsid w:val="007A7C36"/>
    <w:rsid w:val="007B100D"/>
    <w:rsid w:val="007B1854"/>
    <w:rsid w:val="007B283B"/>
    <w:rsid w:val="007B2F12"/>
    <w:rsid w:val="007B5FA8"/>
    <w:rsid w:val="007B6900"/>
    <w:rsid w:val="007B7884"/>
    <w:rsid w:val="007C0294"/>
    <w:rsid w:val="007C12CC"/>
    <w:rsid w:val="007C2FA1"/>
    <w:rsid w:val="007C3B0F"/>
    <w:rsid w:val="007C563E"/>
    <w:rsid w:val="007C5A73"/>
    <w:rsid w:val="007C6221"/>
    <w:rsid w:val="007D154A"/>
    <w:rsid w:val="007D34BD"/>
    <w:rsid w:val="007D39E5"/>
    <w:rsid w:val="007D3AE6"/>
    <w:rsid w:val="007D425A"/>
    <w:rsid w:val="007D54E9"/>
    <w:rsid w:val="007D5A19"/>
    <w:rsid w:val="007E193D"/>
    <w:rsid w:val="007E31A6"/>
    <w:rsid w:val="007E37B8"/>
    <w:rsid w:val="007E4F90"/>
    <w:rsid w:val="007F00ED"/>
    <w:rsid w:val="007F2474"/>
    <w:rsid w:val="007F5FAD"/>
    <w:rsid w:val="007F620C"/>
    <w:rsid w:val="008004E8"/>
    <w:rsid w:val="00801B05"/>
    <w:rsid w:val="008025D3"/>
    <w:rsid w:val="00803CFC"/>
    <w:rsid w:val="00807A32"/>
    <w:rsid w:val="00807BB1"/>
    <w:rsid w:val="008102C8"/>
    <w:rsid w:val="00810C97"/>
    <w:rsid w:val="008127C3"/>
    <w:rsid w:val="008134EF"/>
    <w:rsid w:val="008139F7"/>
    <w:rsid w:val="00813B77"/>
    <w:rsid w:val="008159D7"/>
    <w:rsid w:val="00816AC0"/>
    <w:rsid w:val="00816EAF"/>
    <w:rsid w:val="0081715B"/>
    <w:rsid w:val="00817699"/>
    <w:rsid w:val="00817C5D"/>
    <w:rsid w:val="00817D26"/>
    <w:rsid w:val="00817F70"/>
    <w:rsid w:val="008201EB"/>
    <w:rsid w:val="00821A14"/>
    <w:rsid w:val="00821FBB"/>
    <w:rsid w:val="008265AD"/>
    <w:rsid w:val="008266FA"/>
    <w:rsid w:val="00830484"/>
    <w:rsid w:val="00830A98"/>
    <w:rsid w:val="00831330"/>
    <w:rsid w:val="00831AF4"/>
    <w:rsid w:val="00835E74"/>
    <w:rsid w:val="008373DB"/>
    <w:rsid w:val="00840B26"/>
    <w:rsid w:val="00840D1C"/>
    <w:rsid w:val="00841CA6"/>
    <w:rsid w:val="00841DDF"/>
    <w:rsid w:val="00843A50"/>
    <w:rsid w:val="00843C8D"/>
    <w:rsid w:val="00844361"/>
    <w:rsid w:val="00845524"/>
    <w:rsid w:val="00847236"/>
    <w:rsid w:val="008510BC"/>
    <w:rsid w:val="00851335"/>
    <w:rsid w:val="00851D92"/>
    <w:rsid w:val="00852260"/>
    <w:rsid w:val="00852BC0"/>
    <w:rsid w:val="00852E08"/>
    <w:rsid w:val="00854143"/>
    <w:rsid w:val="00855B24"/>
    <w:rsid w:val="00857EA5"/>
    <w:rsid w:val="00860065"/>
    <w:rsid w:val="00861142"/>
    <w:rsid w:val="00863B9D"/>
    <w:rsid w:val="00865464"/>
    <w:rsid w:val="0087069A"/>
    <w:rsid w:val="008708ED"/>
    <w:rsid w:val="0087135D"/>
    <w:rsid w:val="00874451"/>
    <w:rsid w:val="008751A6"/>
    <w:rsid w:val="00875714"/>
    <w:rsid w:val="00875D89"/>
    <w:rsid w:val="00877038"/>
    <w:rsid w:val="00882E0C"/>
    <w:rsid w:val="008834FA"/>
    <w:rsid w:val="00885488"/>
    <w:rsid w:val="008873D1"/>
    <w:rsid w:val="00887A37"/>
    <w:rsid w:val="008944AF"/>
    <w:rsid w:val="0089587E"/>
    <w:rsid w:val="008970D5"/>
    <w:rsid w:val="00897B8F"/>
    <w:rsid w:val="008A0B92"/>
    <w:rsid w:val="008A1079"/>
    <w:rsid w:val="008A1875"/>
    <w:rsid w:val="008A3B23"/>
    <w:rsid w:val="008A3E63"/>
    <w:rsid w:val="008A4078"/>
    <w:rsid w:val="008A51A9"/>
    <w:rsid w:val="008B0085"/>
    <w:rsid w:val="008B2B51"/>
    <w:rsid w:val="008B346E"/>
    <w:rsid w:val="008B4E2A"/>
    <w:rsid w:val="008B5136"/>
    <w:rsid w:val="008B68FD"/>
    <w:rsid w:val="008C2E09"/>
    <w:rsid w:val="008C32D0"/>
    <w:rsid w:val="008C3677"/>
    <w:rsid w:val="008C3970"/>
    <w:rsid w:val="008C48F8"/>
    <w:rsid w:val="008D3C61"/>
    <w:rsid w:val="008D4DE9"/>
    <w:rsid w:val="008D6485"/>
    <w:rsid w:val="008D706D"/>
    <w:rsid w:val="008E06F1"/>
    <w:rsid w:val="008E1ADA"/>
    <w:rsid w:val="008E1C35"/>
    <w:rsid w:val="008E2427"/>
    <w:rsid w:val="008E299F"/>
    <w:rsid w:val="008E46ED"/>
    <w:rsid w:val="008E5112"/>
    <w:rsid w:val="008E512D"/>
    <w:rsid w:val="008E5891"/>
    <w:rsid w:val="008E5F09"/>
    <w:rsid w:val="008F1A08"/>
    <w:rsid w:val="008F1DDA"/>
    <w:rsid w:val="008F2108"/>
    <w:rsid w:val="008F39B8"/>
    <w:rsid w:val="008F46AC"/>
    <w:rsid w:val="008F6B8B"/>
    <w:rsid w:val="00901748"/>
    <w:rsid w:val="009018E5"/>
    <w:rsid w:val="009019CF"/>
    <w:rsid w:val="00901C1E"/>
    <w:rsid w:val="00902CF4"/>
    <w:rsid w:val="0090478A"/>
    <w:rsid w:val="009056D3"/>
    <w:rsid w:val="00905841"/>
    <w:rsid w:val="00907D77"/>
    <w:rsid w:val="00910F99"/>
    <w:rsid w:val="00914BDD"/>
    <w:rsid w:val="0091654E"/>
    <w:rsid w:val="00916557"/>
    <w:rsid w:val="0091761E"/>
    <w:rsid w:val="00920FF1"/>
    <w:rsid w:val="009214FE"/>
    <w:rsid w:val="00921695"/>
    <w:rsid w:val="009221E3"/>
    <w:rsid w:val="0092358B"/>
    <w:rsid w:val="009235E0"/>
    <w:rsid w:val="00924A8B"/>
    <w:rsid w:val="0092521F"/>
    <w:rsid w:val="0092555F"/>
    <w:rsid w:val="00926E97"/>
    <w:rsid w:val="0092700A"/>
    <w:rsid w:val="00927144"/>
    <w:rsid w:val="00927857"/>
    <w:rsid w:val="009306D2"/>
    <w:rsid w:val="00931F6A"/>
    <w:rsid w:val="00932A46"/>
    <w:rsid w:val="00933D99"/>
    <w:rsid w:val="009346ED"/>
    <w:rsid w:val="00935053"/>
    <w:rsid w:val="0093520D"/>
    <w:rsid w:val="0093790A"/>
    <w:rsid w:val="009417EE"/>
    <w:rsid w:val="00945A9B"/>
    <w:rsid w:val="00951C0F"/>
    <w:rsid w:val="0095280E"/>
    <w:rsid w:val="00954A78"/>
    <w:rsid w:val="00961602"/>
    <w:rsid w:val="009618EC"/>
    <w:rsid w:val="00961BBD"/>
    <w:rsid w:val="0096295D"/>
    <w:rsid w:val="00962FE2"/>
    <w:rsid w:val="00964058"/>
    <w:rsid w:val="00964479"/>
    <w:rsid w:val="00966E0E"/>
    <w:rsid w:val="0097195D"/>
    <w:rsid w:val="009721A4"/>
    <w:rsid w:val="00972975"/>
    <w:rsid w:val="00973FEF"/>
    <w:rsid w:val="009752EE"/>
    <w:rsid w:val="00977F1D"/>
    <w:rsid w:val="00980F49"/>
    <w:rsid w:val="0098255F"/>
    <w:rsid w:val="0098261E"/>
    <w:rsid w:val="00982994"/>
    <w:rsid w:val="00983EEB"/>
    <w:rsid w:val="009844F8"/>
    <w:rsid w:val="0098675D"/>
    <w:rsid w:val="00987223"/>
    <w:rsid w:val="00987F3D"/>
    <w:rsid w:val="00990E2B"/>
    <w:rsid w:val="0099514C"/>
    <w:rsid w:val="00996CE3"/>
    <w:rsid w:val="00996F0B"/>
    <w:rsid w:val="009A07C7"/>
    <w:rsid w:val="009A0958"/>
    <w:rsid w:val="009A1FE1"/>
    <w:rsid w:val="009A4BD5"/>
    <w:rsid w:val="009A4F79"/>
    <w:rsid w:val="009A5259"/>
    <w:rsid w:val="009A636B"/>
    <w:rsid w:val="009A6CC8"/>
    <w:rsid w:val="009A7416"/>
    <w:rsid w:val="009B520F"/>
    <w:rsid w:val="009B63C8"/>
    <w:rsid w:val="009B6998"/>
    <w:rsid w:val="009C17E0"/>
    <w:rsid w:val="009C21A8"/>
    <w:rsid w:val="009C58FC"/>
    <w:rsid w:val="009D004A"/>
    <w:rsid w:val="009D0197"/>
    <w:rsid w:val="009D19AE"/>
    <w:rsid w:val="009D1FA3"/>
    <w:rsid w:val="009D2805"/>
    <w:rsid w:val="009D3609"/>
    <w:rsid w:val="009D7994"/>
    <w:rsid w:val="009E1712"/>
    <w:rsid w:val="009E3963"/>
    <w:rsid w:val="009E46B1"/>
    <w:rsid w:val="009E665D"/>
    <w:rsid w:val="009E7AD9"/>
    <w:rsid w:val="009F08D1"/>
    <w:rsid w:val="009F1FFE"/>
    <w:rsid w:val="009F31B2"/>
    <w:rsid w:val="009F405C"/>
    <w:rsid w:val="009F4829"/>
    <w:rsid w:val="009F60DF"/>
    <w:rsid w:val="00A030EA"/>
    <w:rsid w:val="00A03B32"/>
    <w:rsid w:val="00A04C2D"/>
    <w:rsid w:val="00A04DCF"/>
    <w:rsid w:val="00A066BF"/>
    <w:rsid w:val="00A075EF"/>
    <w:rsid w:val="00A0776C"/>
    <w:rsid w:val="00A100BF"/>
    <w:rsid w:val="00A1253B"/>
    <w:rsid w:val="00A130E7"/>
    <w:rsid w:val="00A17860"/>
    <w:rsid w:val="00A21609"/>
    <w:rsid w:val="00A22389"/>
    <w:rsid w:val="00A24090"/>
    <w:rsid w:val="00A25B97"/>
    <w:rsid w:val="00A25BBF"/>
    <w:rsid w:val="00A3179E"/>
    <w:rsid w:val="00A33051"/>
    <w:rsid w:val="00A331CA"/>
    <w:rsid w:val="00A33805"/>
    <w:rsid w:val="00A34DB9"/>
    <w:rsid w:val="00A3546D"/>
    <w:rsid w:val="00A35DEB"/>
    <w:rsid w:val="00A365D7"/>
    <w:rsid w:val="00A36E24"/>
    <w:rsid w:val="00A3709F"/>
    <w:rsid w:val="00A3731C"/>
    <w:rsid w:val="00A3757E"/>
    <w:rsid w:val="00A40262"/>
    <w:rsid w:val="00A40333"/>
    <w:rsid w:val="00A40BCF"/>
    <w:rsid w:val="00A40FA5"/>
    <w:rsid w:val="00A42BBA"/>
    <w:rsid w:val="00A450A0"/>
    <w:rsid w:val="00A4520A"/>
    <w:rsid w:val="00A46D08"/>
    <w:rsid w:val="00A47CB3"/>
    <w:rsid w:val="00A51A79"/>
    <w:rsid w:val="00A53021"/>
    <w:rsid w:val="00A53A2C"/>
    <w:rsid w:val="00A55909"/>
    <w:rsid w:val="00A56417"/>
    <w:rsid w:val="00A57448"/>
    <w:rsid w:val="00A63509"/>
    <w:rsid w:val="00A65E47"/>
    <w:rsid w:val="00A66011"/>
    <w:rsid w:val="00A67908"/>
    <w:rsid w:val="00A708C8"/>
    <w:rsid w:val="00A70FA9"/>
    <w:rsid w:val="00A71F21"/>
    <w:rsid w:val="00A71F44"/>
    <w:rsid w:val="00A737B7"/>
    <w:rsid w:val="00A77774"/>
    <w:rsid w:val="00A80B2E"/>
    <w:rsid w:val="00A82525"/>
    <w:rsid w:val="00A8489E"/>
    <w:rsid w:val="00A85309"/>
    <w:rsid w:val="00A858C3"/>
    <w:rsid w:val="00A85B90"/>
    <w:rsid w:val="00A85C35"/>
    <w:rsid w:val="00A87F68"/>
    <w:rsid w:val="00A93D75"/>
    <w:rsid w:val="00A93F81"/>
    <w:rsid w:val="00A94B75"/>
    <w:rsid w:val="00A94EC9"/>
    <w:rsid w:val="00A97321"/>
    <w:rsid w:val="00A978E5"/>
    <w:rsid w:val="00A97EBF"/>
    <w:rsid w:val="00AA04F9"/>
    <w:rsid w:val="00AA0889"/>
    <w:rsid w:val="00AA13B3"/>
    <w:rsid w:val="00AA23BA"/>
    <w:rsid w:val="00AA2E6B"/>
    <w:rsid w:val="00AA4870"/>
    <w:rsid w:val="00AA4A6D"/>
    <w:rsid w:val="00AA7784"/>
    <w:rsid w:val="00AB11E7"/>
    <w:rsid w:val="00AB55D0"/>
    <w:rsid w:val="00AB56FB"/>
    <w:rsid w:val="00AB60F8"/>
    <w:rsid w:val="00AB6EB6"/>
    <w:rsid w:val="00AC2D2E"/>
    <w:rsid w:val="00AC301A"/>
    <w:rsid w:val="00AC3246"/>
    <w:rsid w:val="00AC3317"/>
    <w:rsid w:val="00AC35D7"/>
    <w:rsid w:val="00AC611F"/>
    <w:rsid w:val="00AC6B73"/>
    <w:rsid w:val="00AC6F1A"/>
    <w:rsid w:val="00AC74AE"/>
    <w:rsid w:val="00AD192B"/>
    <w:rsid w:val="00AD2067"/>
    <w:rsid w:val="00AD438F"/>
    <w:rsid w:val="00AD4766"/>
    <w:rsid w:val="00AD7006"/>
    <w:rsid w:val="00AD7780"/>
    <w:rsid w:val="00AE02D5"/>
    <w:rsid w:val="00AE0937"/>
    <w:rsid w:val="00AE0A4F"/>
    <w:rsid w:val="00AE2347"/>
    <w:rsid w:val="00AE3109"/>
    <w:rsid w:val="00AE32A1"/>
    <w:rsid w:val="00AE4129"/>
    <w:rsid w:val="00AE529B"/>
    <w:rsid w:val="00AE649F"/>
    <w:rsid w:val="00AE6E76"/>
    <w:rsid w:val="00AF02AD"/>
    <w:rsid w:val="00AF18B7"/>
    <w:rsid w:val="00AF291D"/>
    <w:rsid w:val="00AF30DD"/>
    <w:rsid w:val="00AF581C"/>
    <w:rsid w:val="00AF5C27"/>
    <w:rsid w:val="00AF613D"/>
    <w:rsid w:val="00AF6A7E"/>
    <w:rsid w:val="00AF7313"/>
    <w:rsid w:val="00AF7F3A"/>
    <w:rsid w:val="00B01D46"/>
    <w:rsid w:val="00B02064"/>
    <w:rsid w:val="00B03F3C"/>
    <w:rsid w:val="00B04E09"/>
    <w:rsid w:val="00B05431"/>
    <w:rsid w:val="00B05F4C"/>
    <w:rsid w:val="00B06E7A"/>
    <w:rsid w:val="00B11E8E"/>
    <w:rsid w:val="00B1216D"/>
    <w:rsid w:val="00B154C8"/>
    <w:rsid w:val="00B1738C"/>
    <w:rsid w:val="00B21AC2"/>
    <w:rsid w:val="00B21BC8"/>
    <w:rsid w:val="00B21BE0"/>
    <w:rsid w:val="00B21D57"/>
    <w:rsid w:val="00B26138"/>
    <w:rsid w:val="00B26143"/>
    <w:rsid w:val="00B26B85"/>
    <w:rsid w:val="00B26C5E"/>
    <w:rsid w:val="00B3084C"/>
    <w:rsid w:val="00B31B5D"/>
    <w:rsid w:val="00B329DF"/>
    <w:rsid w:val="00B34A5D"/>
    <w:rsid w:val="00B361A5"/>
    <w:rsid w:val="00B36583"/>
    <w:rsid w:val="00B372DE"/>
    <w:rsid w:val="00B37394"/>
    <w:rsid w:val="00B4292D"/>
    <w:rsid w:val="00B42D14"/>
    <w:rsid w:val="00B45BFF"/>
    <w:rsid w:val="00B46951"/>
    <w:rsid w:val="00B52E35"/>
    <w:rsid w:val="00B5320A"/>
    <w:rsid w:val="00B53E3D"/>
    <w:rsid w:val="00B553E5"/>
    <w:rsid w:val="00B5583D"/>
    <w:rsid w:val="00B57119"/>
    <w:rsid w:val="00B60727"/>
    <w:rsid w:val="00B614CD"/>
    <w:rsid w:val="00B63F94"/>
    <w:rsid w:val="00B64DE9"/>
    <w:rsid w:val="00B65206"/>
    <w:rsid w:val="00B66D3D"/>
    <w:rsid w:val="00B67759"/>
    <w:rsid w:val="00B70F40"/>
    <w:rsid w:val="00B71560"/>
    <w:rsid w:val="00B71E95"/>
    <w:rsid w:val="00B72DD7"/>
    <w:rsid w:val="00B73120"/>
    <w:rsid w:val="00B743A6"/>
    <w:rsid w:val="00B744D7"/>
    <w:rsid w:val="00B7599E"/>
    <w:rsid w:val="00B761BB"/>
    <w:rsid w:val="00B80DFC"/>
    <w:rsid w:val="00B80EDE"/>
    <w:rsid w:val="00B84254"/>
    <w:rsid w:val="00B859B8"/>
    <w:rsid w:val="00B87988"/>
    <w:rsid w:val="00B87B37"/>
    <w:rsid w:val="00B90574"/>
    <w:rsid w:val="00B90812"/>
    <w:rsid w:val="00B90ABB"/>
    <w:rsid w:val="00B90CBD"/>
    <w:rsid w:val="00B92E98"/>
    <w:rsid w:val="00B9528F"/>
    <w:rsid w:val="00B9529C"/>
    <w:rsid w:val="00B9543F"/>
    <w:rsid w:val="00B9553B"/>
    <w:rsid w:val="00BA1BC8"/>
    <w:rsid w:val="00BA3397"/>
    <w:rsid w:val="00BA606B"/>
    <w:rsid w:val="00BA78B0"/>
    <w:rsid w:val="00BA7DC3"/>
    <w:rsid w:val="00BB3ECA"/>
    <w:rsid w:val="00BB40B8"/>
    <w:rsid w:val="00BB471C"/>
    <w:rsid w:val="00BB5F5E"/>
    <w:rsid w:val="00BB61E6"/>
    <w:rsid w:val="00BB62E8"/>
    <w:rsid w:val="00BB6415"/>
    <w:rsid w:val="00BB767C"/>
    <w:rsid w:val="00BC045F"/>
    <w:rsid w:val="00BC12CD"/>
    <w:rsid w:val="00BC144C"/>
    <w:rsid w:val="00BC1890"/>
    <w:rsid w:val="00BC229A"/>
    <w:rsid w:val="00BC3756"/>
    <w:rsid w:val="00BC5C4C"/>
    <w:rsid w:val="00BC6B83"/>
    <w:rsid w:val="00BC6DAD"/>
    <w:rsid w:val="00BD1145"/>
    <w:rsid w:val="00BD2189"/>
    <w:rsid w:val="00BD2936"/>
    <w:rsid w:val="00BD4048"/>
    <w:rsid w:val="00BD40F4"/>
    <w:rsid w:val="00BD5772"/>
    <w:rsid w:val="00BD7565"/>
    <w:rsid w:val="00BE174B"/>
    <w:rsid w:val="00BE2A3D"/>
    <w:rsid w:val="00BE3611"/>
    <w:rsid w:val="00BE5099"/>
    <w:rsid w:val="00BE53FC"/>
    <w:rsid w:val="00BE573A"/>
    <w:rsid w:val="00BE63C9"/>
    <w:rsid w:val="00BE79E6"/>
    <w:rsid w:val="00BF00D3"/>
    <w:rsid w:val="00BF2A99"/>
    <w:rsid w:val="00BF2B76"/>
    <w:rsid w:val="00BF303D"/>
    <w:rsid w:val="00BF3D62"/>
    <w:rsid w:val="00BF3FF4"/>
    <w:rsid w:val="00BF5678"/>
    <w:rsid w:val="00BF6518"/>
    <w:rsid w:val="00BF7FC6"/>
    <w:rsid w:val="00C01DA2"/>
    <w:rsid w:val="00C020F9"/>
    <w:rsid w:val="00C0383A"/>
    <w:rsid w:val="00C03FE1"/>
    <w:rsid w:val="00C048B1"/>
    <w:rsid w:val="00C0539B"/>
    <w:rsid w:val="00C056EE"/>
    <w:rsid w:val="00C05C8D"/>
    <w:rsid w:val="00C1063E"/>
    <w:rsid w:val="00C10713"/>
    <w:rsid w:val="00C117A2"/>
    <w:rsid w:val="00C120B8"/>
    <w:rsid w:val="00C131FB"/>
    <w:rsid w:val="00C15341"/>
    <w:rsid w:val="00C20E1F"/>
    <w:rsid w:val="00C21258"/>
    <w:rsid w:val="00C215E3"/>
    <w:rsid w:val="00C234E3"/>
    <w:rsid w:val="00C23BA4"/>
    <w:rsid w:val="00C36B90"/>
    <w:rsid w:val="00C37429"/>
    <w:rsid w:val="00C411E5"/>
    <w:rsid w:val="00C417AD"/>
    <w:rsid w:val="00C452B7"/>
    <w:rsid w:val="00C45A12"/>
    <w:rsid w:val="00C46DC8"/>
    <w:rsid w:val="00C500B1"/>
    <w:rsid w:val="00C500DE"/>
    <w:rsid w:val="00C51B02"/>
    <w:rsid w:val="00C51F56"/>
    <w:rsid w:val="00C53BA5"/>
    <w:rsid w:val="00C53E7F"/>
    <w:rsid w:val="00C53F5E"/>
    <w:rsid w:val="00C543EA"/>
    <w:rsid w:val="00C56C4B"/>
    <w:rsid w:val="00C577CE"/>
    <w:rsid w:val="00C60BB5"/>
    <w:rsid w:val="00C62FBC"/>
    <w:rsid w:val="00C630C0"/>
    <w:rsid w:val="00C65FAA"/>
    <w:rsid w:val="00C7317A"/>
    <w:rsid w:val="00C74A60"/>
    <w:rsid w:val="00C76857"/>
    <w:rsid w:val="00C77B4B"/>
    <w:rsid w:val="00C77FD7"/>
    <w:rsid w:val="00C81ECD"/>
    <w:rsid w:val="00C833B2"/>
    <w:rsid w:val="00C84EF2"/>
    <w:rsid w:val="00C8530A"/>
    <w:rsid w:val="00C8595C"/>
    <w:rsid w:val="00C87CFF"/>
    <w:rsid w:val="00C91EEF"/>
    <w:rsid w:val="00C92B04"/>
    <w:rsid w:val="00C93302"/>
    <w:rsid w:val="00C96476"/>
    <w:rsid w:val="00C966E5"/>
    <w:rsid w:val="00C9746E"/>
    <w:rsid w:val="00C97D01"/>
    <w:rsid w:val="00CA059E"/>
    <w:rsid w:val="00CA07E5"/>
    <w:rsid w:val="00CA124D"/>
    <w:rsid w:val="00CA2F94"/>
    <w:rsid w:val="00CA5643"/>
    <w:rsid w:val="00CA5CD4"/>
    <w:rsid w:val="00CA737C"/>
    <w:rsid w:val="00CB0602"/>
    <w:rsid w:val="00CB2706"/>
    <w:rsid w:val="00CB32BB"/>
    <w:rsid w:val="00CB53CC"/>
    <w:rsid w:val="00CB77AC"/>
    <w:rsid w:val="00CB7D50"/>
    <w:rsid w:val="00CC02B6"/>
    <w:rsid w:val="00CC0515"/>
    <w:rsid w:val="00CC0BA0"/>
    <w:rsid w:val="00CC1EDA"/>
    <w:rsid w:val="00CC218A"/>
    <w:rsid w:val="00CC3230"/>
    <w:rsid w:val="00CC4394"/>
    <w:rsid w:val="00CC44AE"/>
    <w:rsid w:val="00CC5671"/>
    <w:rsid w:val="00CC68F4"/>
    <w:rsid w:val="00CC770D"/>
    <w:rsid w:val="00CD1E58"/>
    <w:rsid w:val="00CD3365"/>
    <w:rsid w:val="00CD4572"/>
    <w:rsid w:val="00CD471E"/>
    <w:rsid w:val="00CD482D"/>
    <w:rsid w:val="00CD48A2"/>
    <w:rsid w:val="00CD4FD0"/>
    <w:rsid w:val="00CD7A14"/>
    <w:rsid w:val="00CE0E5F"/>
    <w:rsid w:val="00CE2FCF"/>
    <w:rsid w:val="00CE318F"/>
    <w:rsid w:val="00CE322A"/>
    <w:rsid w:val="00CE5461"/>
    <w:rsid w:val="00CE6B10"/>
    <w:rsid w:val="00CE6C4B"/>
    <w:rsid w:val="00CF36D8"/>
    <w:rsid w:val="00CF3A8E"/>
    <w:rsid w:val="00CF43C8"/>
    <w:rsid w:val="00CF46D5"/>
    <w:rsid w:val="00CF4736"/>
    <w:rsid w:val="00CF7ADB"/>
    <w:rsid w:val="00D0033D"/>
    <w:rsid w:val="00D006B0"/>
    <w:rsid w:val="00D00BE4"/>
    <w:rsid w:val="00D02560"/>
    <w:rsid w:val="00D04121"/>
    <w:rsid w:val="00D051E7"/>
    <w:rsid w:val="00D0793C"/>
    <w:rsid w:val="00D07B26"/>
    <w:rsid w:val="00D111BB"/>
    <w:rsid w:val="00D1246C"/>
    <w:rsid w:val="00D12661"/>
    <w:rsid w:val="00D13E2C"/>
    <w:rsid w:val="00D14678"/>
    <w:rsid w:val="00D14FF6"/>
    <w:rsid w:val="00D15477"/>
    <w:rsid w:val="00D155CF"/>
    <w:rsid w:val="00D15BCE"/>
    <w:rsid w:val="00D1702F"/>
    <w:rsid w:val="00D170E0"/>
    <w:rsid w:val="00D20EEA"/>
    <w:rsid w:val="00D229F0"/>
    <w:rsid w:val="00D23291"/>
    <w:rsid w:val="00D23533"/>
    <w:rsid w:val="00D23DD5"/>
    <w:rsid w:val="00D24B67"/>
    <w:rsid w:val="00D25C54"/>
    <w:rsid w:val="00D338D3"/>
    <w:rsid w:val="00D33F03"/>
    <w:rsid w:val="00D360C6"/>
    <w:rsid w:val="00D365C0"/>
    <w:rsid w:val="00D40B48"/>
    <w:rsid w:val="00D42D0E"/>
    <w:rsid w:val="00D445DC"/>
    <w:rsid w:val="00D45287"/>
    <w:rsid w:val="00D4573D"/>
    <w:rsid w:val="00D46EEB"/>
    <w:rsid w:val="00D475F2"/>
    <w:rsid w:val="00D4768A"/>
    <w:rsid w:val="00D50683"/>
    <w:rsid w:val="00D5094C"/>
    <w:rsid w:val="00D519FF"/>
    <w:rsid w:val="00D5274E"/>
    <w:rsid w:val="00D53693"/>
    <w:rsid w:val="00D537A9"/>
    <w:rsid w:val="00D547AC"/>
    <w:rsid w:val="00D5490A"/>
    <w:rsid w:val="00D55357"/>
    <w:rsid w:val="00D557A0"/>
    <w:rsid w:val="00D562FA"/>
    <w:rsid w:val="00D567DE"/>
    <w:rsid w:val="00D60A82"/>
    <w:rsid w:val="00D61169"/>
    <w:rsid w:val="00D6122C"/>
    <w:rsid w:val="00D61F43"/>
    <w:rsid w:val="00D62FB3"/>
    <w:rsid w:val="00D63F07"/>
    <w:rsid w:val="00D654F0"/>
    <w:rsid w:val="00D664D5"/>
    <w:rsid w:val="00D669B9"/>
    <w:rsid w:val="00D66C0A"/>
    <w:rsid w:val="00D72E5B"/>
    <w:rsid w:val="00D731CB"/>
    <w:rsid w:val="00D745C3"/>
    <w:rsid w:val="00D75D8E"/>
    <w:rsid w:val="00D76FB8"/>
    <w:rsid w:val="00D8053D"/>
    <w:rsid w:val="00D80B1A"/>
    <w:rsid w:val="00D828CE"/>
    <w:rsid w:val="00D83F62"/>
    <w:rsid w:val="00D8500C"/>
    <w:rsid w:val="00D85C6B"/>
    <w:rsid w:val="00D86DAC"/>
    <w:rsid w:val="00D90AE9"/>
    <w:rsid w:val="00D90CAD"/>
    <w:rsid w:val="00D92A5C"/>
    <w:rsid w:val="00D93747"/>
    <w:rsid w:val="00D93C60"/>
    <w:rsid w:val="00D93FCC"/>
    <w:rsid w:val="00D94365"/>
    <w:rsid w:val="00D94388"/>
    <w:rsid w:val="00D944F3"/>
    <w:rsid w:val="00D9534E"/>
    <w:rsid w:val="00D955F1"/>
    <w:rsid w:val="00D96125"/>
    <w:rsid w:val="00DA2236"/>
    <w:rsid w:val="00DA2485"/>
    <w:rsid w:val="00DA3338"/>
    <w:rsid w:val="00DA4B47"/>
    <w:rsid w:val="00DA4D00"/>
    <w:rsid w:val="00DA5FB5"/>
    <w:rsid w:val="00DB0F2B"/>
    <w:rsid w:val="00DB307A"/>
    <w:rsid w:val="00DB441E"/>
    <w:rsid w:val="00DB45F3"/>
    <w:rsid w:val="00DB4DA3"/>
    <w:rsid w:val="00DC1D5F"/>
    <w:rsid w:val="00DC1FAD"/>
    <w:rsid w:val="00DC20F9"/>
    <w:rsid w:val="00DC46F4"/>
    <w:rsid w:val="00DC4DF3"/>
    <w:rsid w:val="00DC56ED"/>
    <w:rsid w:val="00DC6DB9"/>
    <w:rsid w:val="00DC7F24"/>
    <w:rsid w:val="00DD08E7"/>
    <w:rsid w:val="00DD52DE"/>
    <w:rsid w:val="00DD7107"/>
    <w:rsid w:val="00DE28C4"/>
    <w:rsid w:val="00DE29A8"/>
    <w:rsid w:val="00DE4225"/>
    <w:rsid w:val="00DE6006"/>
    <w:rsid w:val="00DE7A57"/>
    <w:rsid w:val="00DE7C1A"/>
    <w:rsid w:val="00DF1747"/>
    <w:rsid w:val="00DF43EA"/>
    <w:rsid w:val="00DF52BC"/>
    <w:rsid w:val="00DF5FB1"/>
    <w:rsid w:val="00DF7393"/>
    <w:rsid w:val="00DF781B"/>
    <w:rsid w:val="00E009F3"/>
    <w:rsid w:val="00E00DDC"/>
    <w:rsid w:val="00E01FA7"/>
    <w:rsid w:val="00E0274F"/>
    <w:rsid w:val="00E0399D"/>
    <w:rsid w:val="00E0432C"/>
    <w:rsid w:val="00E048E5"/>
    <w:rsid w:val="00E061F3"/>
    <w:rsid w:val="00E07B26"/>
    <w:rsid w:val="00E07F21"/>
    <w:rsid w:val="00E13FB6"/>
    <w:rsid w:val="00E1487A"/>
    <w:rsid w:val="00E16263"/>
    <w:rsid w:val="00E16DAB"/>
    <w:rsid w:val="00E2006D"/>
    <w:rsid w:val="00E22756"/>
    <w:rsid w:val="00E25815"/>
    <w:rsid w:val="00E26F1D"/>
    <w:rsid w:val="00E3140F"/>
    <w:rsid w:val="00E31A51"/>
    <w:rsid w:val="00E31F6C"/>
    <w:rsid w:val="00E326B1"/>
    <w:rsid w:val="00E3275C"/>
    <w:rsid w:val="00E33021"/>
    <w:rsid w:val="00E33342"/>
    <w:rsid w:val="00E3344C"/>
    <w:rsid w:val="00E339BB"/>
    <w:rsid w:val="00E35948"/>
    <w:rsid w:val="00E35CC1"/>
    <w:rsid w:val="00E40738"/>
    <w:rsid w:val="00E42B06"/>
    <w:rsid w:val="00E43C88"/>
    <w:rsid w:val="00E45060"/>
    <w:rsid w:val="00E47625"/>
    <w:rsid w:val="00E535E4"/>
    <w:rsid w:val="00E543F8"/>
    <w:rsid w:val="00E54798"/>
    <w:rsid w:val="00E55DD8"/>
    <w:rsid w:val="00E56F4D"/>
    <w:rsid w:val="00E57F4D"/>
    <w:rsid w:val="00E57FDC"/>
    <w:rsid w:val="00E600D2"/>
    <w:rsid w:val="00E60ED6"/>
    <w:rsid w:val="00E611C6"/>
    <w:rsid w:val="00E62037"/>
    <w:rsid w:val="00E64DD1"/>
    <w:rsid w:val="00E65773"/>
    <w:rsid w:val="00E65A5A"/>
    <w:rsid w:val="00E65DE3"/>
    <w:rsid w:val="00E6719F"/>
    <w:rsid w:val="00E726D8"/>
    <w:rsid w:val="00E72946"/>
    <w:rsid w:val="00E757E9"/>
    <w:rsid w:val="00E7593F"/>
    <w:rsid w:val="00E768F9"/>
    <w:rsid w:val="00E771B0"/>
    <w:rsid w:val="00E77F8A"/>
    <w:rsid w:val="00E8219A"/>
    <w:rsid w:val="00E829CB"/>
    <w:rsid w:val="00E8554D"/>
    <w:rsid w:val="00E859F8"/>
    <w:rsid w:val="00E875DE"/>
    <w:rsid w:val="00E87C9B"/>
    <w:rsid w:val="00E9018A"/>
    <w:rsid w:val="00E9045F"/>
    <w:rsid w:val="00E93090"/>
    <w:rsid w:val="00E93C34"/>
    <w:rsid w:val="00EA2BCA"/>
    <w:rsid w:val="00EA2C71"/>
    <w:rsid w:val="00EA7E56"/>
    <w:rsid w:val="00EB021E"/>
    <w:rsid w:val="00EB05ED"/>
    <w:rsid w:val="00EB0C4B"/>
    <w:rsid w:val="00EB0DC4"/>
    <w:rsid w:val="00EB0E52"/>
    <w:rsid w:val="00EB1F77"/>
    <w:rsid w:val="00EB506E"/>
    <w:rsid w:val="00EC63A7"/>
    <w:rsid w:val="00ED0D35"/>
    <w:rsid w:val="00ED1E20"/>
    <w:rsid w:val="00ED2FB9"/>
    <w:rsid w:val="00ED4C47"/>
    <w:rsid w:val="00ED4D48"/>
    <w:rsid w:val="00ED70B4"/>
    <w:rsid w:val="00ED75B0"/>
    <w:rsid w:val="00EE2A0A"/>
    <w:rsid w:val="00EE2DA4"/>
    <w:rsid w:val="00EE4005"/>
    <w:rsid w:val="00EE4C19"/>
    <w:rsid w:val="00EE774B"/>
    <w:rsid w:val="00EF170D"/>
    <w:rsid w:val="00EF19BF"/>
    <w:rsid w:val="00EF23AC"/>
    <w:rsid w:val="00EF33E9"/>
    <w:rsid w:val="00EF36DF"/>
    <w:rsid w:val="00EF65C0"/>
    <w:rsid w:val="00EF7534"/>
    <w:rsid w:val="00EF7B68"/>
    <w:rsid w:val="00EF7BA0"/>
    <w:rsid w:val="00F00972"/>
    <w:rsid w:val="00F01B20"/>
    <w:rsid w:val="00F02047"/>
    <w:rsid w:val="00F02346"/>
    <w:rsid w:val="00F032DB"/>
    <w:rsid w:val="00F0346D"/>
    <w:rsid w:val="00F03CD9"/>
    <w:rsid w:val="00F03F58"/>
    <w:rsid w:val="00F05511"/>
    <w:rsid w:val="00F06C75"/>
    <w:rsid w:val="00F0711F"/>
    <w:rsid w:val="00F0715F"/>
    <w:rsid w:val="00F071CD"/>
    <w:rsid w:val="00F10C7F"/>
    <w:rsid w:val="00F11612"/>
    <w:rsid w:val="00F124CD"/>
    <w:rsid w:val="00F127FE"/>
    <w:rsid w:val="00F1285B"/>
    <w:rsid w:val="00F14DB7"/>
    <w:rsid w:val="00F14F6E"/>
    <w:rsid w:val="00F20994"/>
    <w:rsid w:val="00F22C96"/>
    <w:rsid w:val="00F22ED1"/>
    <w:rsid w:val="00F24866"/>
    <w:rsid w:val="00F27225"/>
    <w:rsid w:val="00F30258"/>
    <w:rsid w:val="00F313E2"/>
    <w:rsid w:val="00F32B6C"/>
    <w:rsid w:val="00F361E3"/>
    <w:rsid w:val="00F37009"/>
    <w:rsid w:val="00F401C9"/>
    <w:rsid w:val="00F407D9"/>
    <w:rsid w:val="00F41844"/>
    <w:rsid w:val="00F41E24"/>
    <w:rsid w:val="00F45A66"/>
    <w:rsid w:val="00F47A5A"/>
    <w:rsid w:val="00F504AD"/>
    <w:rsid w:val="00F51460"/>
    <w:rsid w:val="00F53045"/>
    <w:rsid w:val="00F54EDC"/>
    <w:rsid w:val="00F60526"/>
    <w:rsid w:val="00F6130E"/>
    <w:rsid w:val="00F61EE2"/>
    <w:rsid w:val="00F625E4"/>
    <w:rsid w:val="00F63C4B"/>
    <w:rsid w:val="00F65C61"/>
    <w:rsid w:val="00F66421"/>
    <w:rsid w:val="00F67759"/>
    <w:rsid w:val="00F712F5"/>
    <w:rsid w:val="00F72551"/>
    <w:rsid w:val="00F73484"/>
    <w:rsid w:val="00F748B8"/>
    <w:rsid w:val="00F75069"/>
    <w:rsid w:val="00F75123"/>
    <w:rsid w:val="00F76090"/>
    <w:rsid w:val="00F77C8E"/>
    <w:rsid w:val="00F80464"/>
    <w:rsid w:val="00F8342E"/>
    <w:rsid w:val="00F83D75"/>
    <w:rsid w:val="00F8456D"/>
    <w:rsid w:val="00F847C6"/>
    <w:rsid w:val="00F87CC2"/>
    <w:rsid w:val="00F9063F"/>
    <w:rsid w:val="00F90B81"/>
    <w:rsid w:val="00F912E2"/>
    <w:rsid w:val="00F91DD6"/>
    <w:rsid w:val="00F9528D"/>
    <w:rsid w:val="00F96769"/>
    <w:rsid w:val="00F96F2A"/>
    <w:rsid w:val="00F97818"/>
    <w:rsid w:val="00FA0396"/>
    <w:rsid w:val="00FA1933"/>
    <w:rsid w:val="00FA271F"/>
    <w:rsid w:val="00FA7E7A"/>
    <w:rsid w:val="00FB0E0E"/>
    <w:rsid w:val="00FB0EBD"/>
    <w:rsid w:val="00FB151D"/>
    <w:rsid w:val="00FB27E2"/>
    <w:rsid w:val="00FB2D03"/>
    <w:rsid w:val="00FB44B4"/>
    <w:rsid w:val="00FB44BC"/>
    <w:rsid w:val="00FB4F69"/>
    <w:rsid w:val="00FB73F4"/>
    <w:rsid w:val="00FB784C"/>
    <w:rsid w:val="00FC0723"/>
    <w:rsid w:val="00FC271A"/>
    <w:rsid w:val="00FC3252"/>
    <w:rsid w:val="00FC4899"/>
    <w:rsid w:val="00FC4A60"/>
    <w:rsid w:val="00FC532D"/>
    <w:rsid w:val="00FC60AF"/>
    <w:rsid w:val="00FC7074"/>
    <w:rsid w:val="00FD0FA7"/>
    <w:rsid w:val="00FD3C9B"/>
    <w:rsid w:val="00FD3D7B"/>
    <w:rsid w:val="00FD4076"/>
    <w:rsid w:val="00FD6F39"/>
    <w:rsid w:val="00FE0B80"/>
    <w:rsid w:val="00FE21DA"/>
    <w:rsid w:val="00FE2D09"/>
    <w:rsid w:val="00FE2E38"/>
    <w:rsid w:val="00FE37C0"/>
    <w:rsid w:val="00FE3E44"/>
    <w:rsid w:val="00FE4E97"/>
    <w:rsid w:val="00FE51E3"/>
    <w:rsid w:val="00FE5708"/>
    <w:rsid w:val="00FE5D7D"/>
    <w:rsid w:val="00FF1AE9"/>
    <w:rsid w:val="00FF1DE6"/>
    <w:rsid w:val="00FF44B7"/>
    <w:rsid w:val="00FF4EFD"/>
    <w:rsid w:val="00FF5CD6"/>
    <w:rsid w:val="00FF5E86"/>
    <w:rsid w:val="013729EA"/>
    <w:rsid w:val="014474BD"/>
    <w:rsid w:val="015503A3"/>
    <w:rsid w:val="01556E09"/>
    <w:rsid w:val="01593617"/>
    <w:rsid w:val="01740030"/>
    <w:rsid w:val="019C2B7F"/>
    <w:rsid w:val="01AA00EC"/>
    <w:rsid w:val="01E70B4B"/>
    <w:rsid w:val="01FC2FA6"/>
    <w:rsid w:val="02166F37"/>
    <w:rsid w:val="02246419"/>
    <w:rsid w:val="022E63B3"/>
    <w:rsid w:val="023735CF"/>
    <w:rsid w:val="02447101"/>
    <w:rsid w:val="02777240"/>
    <w:rsid w:val="028A7B8C"/>
    <w:rsid w:val="028B0700"/>
    <w:rsid w:val="029933BF"/>
    <w:rsid w:val="029C5963"/>
    <w:rsid w:val="02FC42D5"/>
    <w:rsid w:val="032A2C34"/>
    <w:rsid w:val="034A152B"/>
    <w:rsid w:val="035D4158"/>
    <w:rsid w:val="03702279"/>
    <w:rsid w:val="039C7508"/>
    <w:rsid w:val="03C239D1"/>
    <w:rsid w:val="03CB3257"/>
    <w:rsid w:val="03E2731A"/>
    <w:rsid w:val="03F40A5A"/>
    <w:rsid w:val="0407439A"/>
    <w:rsid w:val="04103DAF"/>
    <w:rsid w:val="04284E59"/>
    <w:rsid w:val="042D3ED0"/>
    <w:rsid w:val="046001A9"/>
    <w:rsid w:val="046F1425"/>
    <w:rsid w:val="048D4A18"/>
    <w:rsid w:val="04B17D7C"/>
    <w:rsid w:val="04D30DDD"/>
    <w:rsid w:val="04D63B60"/>
    <w:rsid w:val="04E14BB3"/>
    <w:rsid w:val="04EF6536"/>
    <w:rsid w:val="050D728F"/>
    <w:rsid w:val="05660658"/>
    <w:rsid w:val="057671F9"/>
    <w:rsid w:val="05F83E52"/>
    <w:rsid w:val="05FA7DF7"/>
    <w:rsid w:val="061B3ADD"/>
    <w:rsid w:val="062271E1"/>
    <w:rsid w:val="066C2AF4"/>
    <w:rsid w:val="067C3D79"/>
    <w:rsid w:val="068A359C"/>
    <w:rsid w:val="06B17434"/>
    <w:rsid w:val="06C4001E"/>
    <w:rsid w:val="06DF25C0"/>
    <w:rsid w:val="06E870F9"/>
    <w:rsid w:val="077761E8"/>
    <w:rsid w:val="07872617"/>
    <w:rsid w:val="079B4D6F"/>
    <w:rsid w:val="07C51103"/>
    <w:rsid w:val="07CB3587"/>
    <w:rsid w:val="07DD7A25"/>
    <w:rsid w:val="07FD6F0D"/>
    <w:rsid w:val="08315830"/>
    <w:rsid w:val="0840157D"/>
    <w:rsid w:val="08955E5C"/>
    <w:rsid w:val="08D07DCA"/>
    <w:rsid w:val="08D24074"/>
    <w:rsid w:val="08EA7009"/>
    <w:rsid w:val="090A17FD"/>
    <w:rsid w:val="09644A20"/>
    <w:rsid w:val="096B5833"/>
    <w:rsid w:val="09E55B82"/>
    <w:rsid w:val="09F420A6"/>
    <w:rsid w:val="0A0347B0"/>
    <w:rsid w:val="0A3476F7"/>
    <w:rsid w:val="0A425782"/>
    <w:rsid w:val="0A455C23"/>
    <w:rsid w:val="0A6260BD"/>
    <w:rsid w:val="0B213588"/>
    <w:rsid w:val="0B6B0CB4"/>
    <w:rsid w:val="0B787A91"/>
    <w:rsid w:val="0B8462C0"/>
    <w:rsid w:val="0BB363C3"/>
    <w:rsid w:val="0BEA3BB6"/>
    <w:rsid w:val="0C0B4B1A"/>
    <w:rsid w:val="0C43076A"/>
    <w:rsid w:val="0C7E3BE1"/>
    <w:rsid w:val="0C8B0BD4"/>
    <w:rsid w:val="0C8C5CF5"/>
    <w:rsid w:val="0CF909D2"/>
    <w:rsid w:val="0CFA1291"/>
    <w:rsid w:val="0D333AFD"/>
    <w:rsid w:val="0D593224"/>
    <w:rsid w:val="0D916F2B"/>
    <w:rsid w:val="0DF514C8"/>
    <w:rsid w:val="0E0E7550"/>
    <w:rsid w:val="0E112BA5"/>
    <w:rsid w:val="0E24448E"/>
    <w:rsid w:val="0E54077E"/>
    <w:rsid w:val="0E5C310F"/>
    <w:rsid w:val="0E705180"/>
    <w:rsid w:val="0E75140B"/>
    <w:rsid w:val="0ECB0064"/>
    <w:rsid w:val="0F4A1FDD"/>
    <w:rsid w:val="0F50648D"/>
    <w:rsid w:val="0F51505C"/>
    <w:rsid w:val="0F901A57"/>
    <w:rsid w:val="0FA25E49"/>
    <w:rsid w:val="0FB0637D"/>
    <w:rsid w:val="0FB87401"/>
    <w:rsid w:val="0FCD755B"/>
    <w:rsid w:val="0FFB5DFE"/>
    <w:rsid w:val="10262D7C"/>
    <w:rsid w:val="10446AFA"/>
    <w:rsid w:val="1047090E"/>
    <w:rsid w:val="1051389D"/>
    <w:rsid w:val="108E7BB2"/>
    <w:rsid w:val="10C66C7E"/>
    <w:rsid w:val="10CB1E04"/>
    <w:rsid w:val="10EE62DC"/>
    <w:rsid w:val="10F82BC7"/>
    <w:rsid w:val="10FF2647"/>
    <w:rsid w:val="111A636C"/>
    <w:rsid w:val="117055D8"/>
    <w:rsid w:val="11B6119D"/>
    <w:rsid w:val="11DC17CF"/>
    <w:rsid w:val="11DE381F"/>
    <w:rsid w:val="12255278"/>
    <w:rsid w:val="122D350B"/>
    <w:rsid w:val="12340BB8"/>
    <w:rsid w:val="12527323"/>
    <w:rsid w:val="12C00378"/>
    <w:rsid w:val="1300075A"/>
    <w:rsid w:val="131B17B9"/>
    <w:rsid w:val="134B791E"/>
    <w:rsid w:val="135B47FE"/>
    <w:rsid w:val="13726489"/>
    <w:rsid w:val="137D267F"/>
    <w:rsid w:val="1395614C"/>
    <w:rsid w:val="140A4051"/>
    <w:rsid w:val="140D2677"/>
    <w:rsid w:val="142E7F07"/>
    <w:rsid w:val="14321F52"/>
    <w:rsid w:val="14411227"/>
    <w:rsid w:val="144F1BB9"/>
    <w:rsid w:val="1453105D"/>
    <w:rsid w:val="1455339F"/>
    <w:rsid w:val="147345A5"/>
    <w:rsid w:val="149A5F63"/>
    <w:rsid w:val="14A83DF5"/>
    <w:rsid w:val="14BC07F5"/>
    <w:rsid w:val="14C70B2C"/>
    <w:rsid w:val="14E151ED"/>
    <w:rsid w:val="14E43542"/>
    <w:rsid w:val="14F12C50"/>
    <w:rsid w:val="15191DB4"/>
    <w:rsid w:val="15442F34"/>
    <w:rsid w:val="154474A5"/>
    <w:rsid w:val="154634CF"/>
    <w:rsid w:val="155906CB"/>
    <w:rsid w:val="156E78AF"/>
    <w:rsid w:val="15994236"/>
    <w:rsid w:val="15A222FB"/>
    <w:rsid w:val="15C40D7B"/>
    <w:rsid w:val="15EE66EB"/>
    <w:rsid w:val="15F06B92"/>
    <w:rsid w:val="160C4434"/>
    <w:rsid w:val="161064A2"/>
    <w:rsid w:val="1657795E"/>
    <w:rsid w:val="165F0C9E"/>
    <w:rsid w:val="16611907"/>
    <w:rsid w:val="166536CF"/>
    <w:rsid w:val="166811E6"/>
    <w:rsid w:val="169A59D5"/>
    <w:rsid w:val="16BF6219"/>
    <w:rsid w:val="16F5053C"/>
    <w:rsid w:val="17015BF5"/>
    <w:rsid w:val="173643CC"/>
    <w:rsid w:val="175D39E1"/>
    <w:rsid w:val="17721E74"/>
    <w:rsid w:val="17742980"/>
    <w:rsid w:val="17884D54"/>
    <w:rsid w:val="17AD66D9"/>
    <w:rsid w:val="17BB0A8C"/>
    <w:rsid w:val="17DE27ED"/>
    <w:rsid w:val="182E78DA"/>
    <w:rsid w:val="18BE4474"/>
    <w:rsid w:val="18D14278"/>
    <w:rsid w:val="18FC0E4B"/>
    <w:rsid w:val="1912069E"/>
    <w:rsid w:val="195154F5"/>
    <w:rsid w:val="195B5052"/>
    <w:rsid w:val="19A13BF8"/>
    <w:rsid w:val="19C51C75"/>
    <w:rsid w:val="19D11E80"/>
    <w:rsid w:val="19DE4612"/>
    <w:rsid w:val="19E54829"/>
    <w:rsid w:val="19FD1976"/>
    <w:rsid w:val="1A090035"/>
    <w:rsid w:val="1A0A40D9"/>
    <w:rsid w:val="1A0C393B"/>
    <w:rsid w:val="1A40260D"/>
    <w:rsid w:val="1A456904"/>
    <w:rsid w:val="1A4804B0"/>
    <w:rsid w:val="1A8C2CD1"/>
    <w:rsid w:val="1A9D062B"/>
    <w:rsid w:val="1AAA1408"/>
    <w:rsid w:val="1AB4324E"/>
    <w:rsid w:val="1AC56932"/>
    <w:rsid w:val="1ACA0304"/>
    <w:rsid w:val="1ADB43B7"/>
    <w:rsid w:val="1B2D4876"/>
    <w:rsid w:val="1B3A226E"/>
    <w:rsid w:val="1B3A678F"/>
    <w:rsid w:val="1B4108F6"/>
    <w:rsid w:val="1B41100A"/>
    <w:rsid w:val="1B4B0E81"/>
    <w:rsid w:val="1B621C92"/>
    <w:rsid w:val="1B701775"/>
    <w:rsid w:val="1B7071B9"/>
    <w:rsid w:val="1BE32A03"/>
    <w:rsid w:val="1BF90EC9"/>
    <w:rsid w:val="1C0B2247"/>
    <w:rsid w:val="1C78668D"/>
    <w:rsid w:val="1C8F3AC9"/>
    <w:rsid w:val="1C9C186F"/>
    <w:rsid w:val="1D23411D"/>
    <w:rsid w:val="1D3604A9"/>
    <w:rsid w:val="1DDB4B84"/>
    <w:rsid w:val="1DFA34CF"/>
    <w:rsid w:val="1E223AE9"/>
    <w:rsid w:val="1E2261F0"/>
    <w:rsid w:val="1E3C33B4"/>
    <w:rsid w:val="1E9E6F07"/>
    <w:rsid w:val="1EB964F5"/>
    <w:rsid w:val="1F1B1DA3"/>
    <w:rsid w:val="1F2868C8"/>
    <w:rsid w:val="1F6C526A"/>
    <w:rsid w:val="1F790CC4"/>
    <w:rsid w:val="1F825FB1"/>
    <w:rsid w:val="1F92178E"/>
    <w:rsid w:val="1F944C93"/>
    <w:rsid w:val="1FA175B0"/>
    <w:rsid w:val="1FDF3CE1"/>
    <w:rsid w:val="1FE27E38"/>
    <w:rsid w:val="1FFA3D4E"/>
    <w:rsid w:val="1FFE1924"/>
    <w:rsid w:val="20047E2B"/>
    <w:rsid w:val="201B21C8"/>
    <w:rsid w:val="20590F26"/>
    <w:rsid w:val="206320AF"/>
    <w:rsid w:val="2067517F"/>
    <w:rsid w:val="2074045F"/>
    <w:rsid w:val="20CF3020"/>
    <w:rsid w:val="20D05494"/>
    <w:rsid w:val="20D5321E"/>
    <w:rsid w:val="20FD5EC2"/>
    <w:rsid w:val="210F7CAA"/>
    <w:rsid w:val="2110039C"/>
    <w:rsid w:val="21260EF3"/>
    <w:rsid w:val="214A01C6"/>
    <w:rsid w:val="216D47B7"/>
    <w:rsid w:val="217269DF"/>
    <w:rsid w:val="2177269A"/>
    <w:rsid w:val="217D34A3"/>
    <w:rsid w:val="21D836C4"/>
    <w:rsid w:val="21D94805"/>
    <w:rsid w:val="21DA3423"/>
    <w:rsid w:val="21F74529"/>
    <w:rsid w:val="221F55E7"/>
    <w:rsid w:val="22295C2A"/>
    <w:rsid w:val="22566892"/>
    <w:rsid w:val="227776F2"/>
    <w:rsid w:val="239056CE"/>
    <w:rsid w:val="23911320"/>
    <w:rsid w:val="23A62015"/>
    <w:rsid w:val="23CD68FF"/>
    <w:rsid w:val="23CE64AE"/>
    <w:rsid w:val="23D125CD"/>
    <w:rsid w:val="24154EFB"/>
    <w:rsid w:val="243E443B"/>
    <w:rsid w:val="24644F38"/>
    <w:rsid w:val="246F712F"/>
    <w:rsid w:val="247F1DD5"/>
    <w:rsid w:val="248C748C"/>
    <w:rsid w:val="24970CE7"/>
    <w:rsid w:val="249D5B15"/>
    <w:rsid w:val="24A75944"/>
    <w:rsid w:val="24B44334"/>
    <w:rsid w:val="24C57A83"/>
    <w:rsid w:val="24DE4054"/>
    <w:rsid w:val="24F702D2"/>
    <w:rsid w:val="250C4A42"/>
    <w:rsid w:val="251904E6"/>
    <w:rsid w:val="25400B58"/>
    <w:rsid w:val="254572AD"/>
    <w:rsid w:val="2557404B"/>
    <w:rsid w:val="2562453C"/>
    <w:rsid w:val="25875834"/>
    <w:rsid w:val="25A72505"/>
    <w:rsid w:val="260A657F"/>
    <w:rsid w:val="260D0342"/>
    <w:rsid w:val="26101929"/>
    <w:rsid w:val="261D482C"/>
    <w:rsid w:val="263659D2"/>
    <w:rsid w:val="263B3926"/>
    <w:rsid w:val="263E2224"/>
    <w:rsid w:val="26491F3F"/>
    <w:rsid w:val="26D52F39"/>
    <w:rsid w:val="26EE4B16"/>
    <w:rsid w:val="27252803"/>
    <w:rsid w:val="27373D1C"/>
    <w:rsid w:val="27591A9C"/>
    <w:rsid w:val="275B7289"/>
    <w:rsid w:val="27705C40"/>
    <w:rsid w:val="27980E72"/>
    <w:rsid w:val="27984A53"/>
    <w:rsid w:val="279A0200"/>
    <w:rsid w:val="27AD1F99"/>
    <w:rsid w:val="27C2005E"/>
    <w:rsid w:val="28277803"/>
    <w:rsid w:val="286F43C2"/>
    <w:rsid w:val="288955F5"/>
    <w:rsid w:val="28AB5EBB"/>
    <w:rsid w:val="28BB5CF5"/>
    <w:rsid w:val="28BE5349"/>
    <w:rsid w:val="28D9393D"/>
    <w:rsid w:val="28E32A17"/>
    <w:rsid w:val="28E64B3E"/>
    <w:rsid w:val="28E906BE"/>
    <w:rsid w:val="291D388D"/>
    <w:rsid w:val="29220759"/>
    <w:rsid w:val="2951500D"/>
    <w:rsid w:val="297C2728"/>
    <w:rsid w:val="29B23F0E"/>
    <w:rsid w:val="29DA085B"/>
    <w:rsid w:val="29FC22E2"/>
    <w:rsid w:val="2A086D93"/>
    <w:rsid w:val="2A392609"/>
    <w:rsid w:val="2A4B1C2F"/>
    <w:rsid w:val="2B183736"/>
    <w:rsid w:val="2B2C49CB"/>
    <w:rsid w:val="2B597A8A"/>
    <w:rsid w:val="2B7C1D38"/>
    <w:rsid w:val="2B9149E2"/>
    <w:rsid w:val="2B9959B4"/>
    <w:rsid w:val="2B9B25DF"/>
    <w:rsid w:val="2BDE6124"/>
    <w:rsid w:val="2C1B2226"/>
    <w:rsid w:val="2CA34D3A"/>
    <w:rsid w:val="2CC07CD3"/>
    <w:rsid w:val="2D041B68"/>
    <w:rsid w:val="2D0D1301"/>
    <w:rsid w:val="2D34188F"/>
    <w:rsid w:val="2D8B673C"/>
    <w:rsid w:val="2DC61594"/>
    <w:rsid w:val="2DC728A2"/>
    <w:rsid w:val="2DFF4119"/>
    <w:rsid w:val="2E020076"/>
    <w:rsid w:val="2E0C0342"/>
    <w:rsid w:val="2E3F6F87"/>
    <w:rsid w:val="2E586445"/>
    <w:rsid w:val="2E6750F5"/>
    <w:rsid w:val="2E7354C8"/>
    <w:rsid w:val="2EB539CC"/>
    <w:rsid w:val="2EBA329B"/>
    <w:rsid w:val="2EC92597"/>
    <w:rsid w:val="2F131050"/>
    <w:rsid w:val="2F151AD2"/>
    <w:rsid w:val="2F495C4C"/>
    <w:rsid w:val="2F5722D2"/>
    <w:rsid w:val="2F647B2B"/>
    <w:rsid w:val="2F7039D2"/>
    <w:rsid w:val="2F8D5D1F"/>
    <w:rsid w:val="2FA33D2C"/>
    <w:rsid w:val="2FF979A2"/>
    <w:rsid w:val="30066F8B"/>
    <w:rsid w:val="304834E0"/>
    <w:rsid w:val="30673AA2"/>
    <w:rsid w:val="307144DF"/>
    <w:rsid w:val="3076268C"/>
    <w:rsid w:val="308D6037"/>
    <w:rsid w:val="30B06C0B"/>
    <w:rsid w:val="30C62568"/>
    <w:rsid w:val="30C87A37"/>
    <w:rsid w:val="30DD0E1D"/>
    <w:rsid w:val="310F557A"/>
    <w:rsid w:val="31147740"/>
    <w:rsid w:val="311A19EF"/>
    <w:rsid w:val="315E3D43"/>
    <w:rsid w:val="316D29A1"/>
    <w:rsid w:val="316F5C23"/>
    <w:rsid w:val="317E1DE9"/>
    <w:rsid w:val="32136CB8"/>
    <w:rsid w:val="3218281E"/>
    <w:rsid w:val="3235354C"/>
    <w:rsid w:val="329846B0"/>
    <w:rsid w:val="32A46F99"/>
    <w:rsid w:val="32A8731A"/>
    <w:rsid w:val="32D837CE"/>
    <w:rsid w:val="32EB4E7B"/>
    <w:rsid w:val="32EC6CD3"/>
    <w:rsid w:val="33133EFA"/>
    <w:rsid w:val="33376AA1"/>
    <w:rsid w:val="33432190"/>
    <w:rsid w:val="33507A9F"/>
    <w:rsid w:val="3358701E"/>
    <w:rsid w:val="33C211E9"/>
    <w:rsid w:val="33CB26A2"/>
    <w:rsid w:val="33DF3EBB"/>
    <w:rsid w:val="34024164"/>
    <w:rsid w:val="340601E5"/>
    <w:rsid w:val="340E3461"/>
    <w:rsid w:val="3428634A"/>
    <w:rsid w:val="342A0EB2"/>
    <w:rsid w:val="34435FDC"/>
    <w:rsid w:val="349E2C9A"/>
    <w:rsid w:val="34B91773"/>
    <w:rsid w:val="34C45859"/>
    <w:rsid w:val="34D01C34"/>
    <w:rsid w:val="34D05065"/>
    <w:rsid w:val="34F41E5E"/>
    <w:rsid w:val="35077009"/>
    <w:rsid w:val="350F6877"/>
    <w:rsid w:val="35184BA2"/>
    <w:rsid w:val="351B6541"/>
    <w:rsid w:val="353928AE"/>
    <w:rsid w:val="354714FA"/>
    <w:rsid w:val="3573232D"/>
    <w:rsid w:val="35957F62"/>
    <w:rsid w:val="35D30764"/>
    <w:rsid w:val="3622359D"/>
    <w:rsid w:val="365A5447"/>
    <w:rsid w:val="36664291"/>
    <w:rsid w:val="36AD01E0"/>
    <w:rsid w:val="36D80AB3"/>
    <w:rsid w:val="36E90A82"/>
    <w:rsid w:val="36FB04E9"/>
    <w:rsid w:val="37125FFE"/>
    <w:rsid w:val="372F6F3C"/>
    <w:rsid w:val="375962B0"/>
    <w:rsid w:val="3763743A"/>
    <w:rsid w:val="376617DB"/>
    <w:rsid w:val="37753CF3"/>
    <w:rsid w:val="37AF2FDC"/>
    <w:rsid w:val="37BE3F44"/>
    <w:rsid w:val="37D93F7D"/>
    <w:rsid w:val="37DF2708"/>
    <w:rsid w:val="382455AA"/>
    <w:rsid w:val="384E4D40"/>
    <w:rsid w:val="3852064A"/>
    <w:rsid w:val="38526719"/>
    <w:rsid w:val="388742E3"/>
    <w:rsid w:val="38B4053B"/>
    <w:rsid w:val="38EE5542"/>
    <w:rsid w:val="390413A8"/>
    <w:rsid w:val="39296352"/>
    <w:rsid w:val="392F457E"/>
    <w:rsid w:val="39321D61"/>
    <w:rsid w:val="39876DA1"/>
    <w:rsid w:val="399D5AB8"/>
    <w:rsid w:val="399D64E8"/>
    <w:rsid w:val="39D513A3"/>
    <w:rsid w:val="3A184DA9"/>
    <w:rsid w:val="3A28352C"/>
    <w:rsid w:val="3A51751E"/>
    <w:rsid w:val="3A723BF0"/>
    <w:rsid w:val="3A84069D"/>
    <w:rsid w:val="3AA55580"/>
    <w:rsid w:val="3AB12ACD"/>
    <w:rsid w:val="3AE62D29"/>
    <w:rsid w:val="3AF80EE5"/>
    <w:rsid w:val="3B0A630A"/>
    <w:rsid w:val="3B1E1E63"/>
    <w:rsid w:val="3B256B9C"/>
    <w:rsid w:val="3B387C2F"/>
    <w:rsid w:val="3B4F540B"/>
    <w:rsid w:val="3B694AE4"/>
    <w:rsid w:val="3C472AC9"/>
    <w:rsid w:val="3C5D2094"/>
    <w:rsid w:val="3C752320"/>
    <w:rsid w:val="3C755EE9"/>
    <w:rsid w:val="3C8D44FA"/>
    <w:rsid w:val="3CA87E86"/>
    <w:rsid w:val="3CBB4DE7"/>
    <w:rsid w:val="3CE12506"/>
    <w:rsid w:val="3CE17240"/>
    <w:rsid w:val="3CF36EFD"/>
    <w:rsid w:val="3CFF621E"/>
    <w:rsid w:val="3D1D531A"/>
    <w:rsid w:val="3D6124C4"/>
    <w:rsid w:val="3D8F0BA6"/>
    <w:rsid w:val="3DB73817"/>
    <w:rsid w:val="3DDA3F6B"/>
    <w:rsid w:val="3E0A799F"/>
    <w:rsid w:val="3E0D6DB7"/>
    <w:rsid w:val="3E253FB2"/>
    <w:rsid w:val="3E433E33"/>
    <w:rsid w:val="3E5A5910"/>
    <w:rsid w:val="3E8C1E7B"/>
    <w:rsid w:val="3EBC0B93"/>
    <w:rsid w:val="3EE42B5A"/>
    <w:rsid w:val="3F1065A0"/>
    <w:rsid w:val="3F8676ED"/>
    <w:rsid w:val="3F867B94"/>
    <w:rsid w:val="3F8F2D3B"/>
    <w:rsid w:val="3F9C3C74"/>
    <w:rsid w:val="3FBC38FB"/>
    <w:rsid w:val="3FE70592"/>
    <w:rsid w:val="3FEC22AD"/>
    <w:rsid w:val="40521641"/>
    <w:rsid w:val="40B01B80"/>
    <w:rsid w:val="40C044FA"/>
    <w:rsid w:val="40DA74D9"/>
    <w:rsid w:val="4103342D"/>
    <w:rsid w:val="41094112"/>
    <w:rsid w:val="410B7216"/>
    <w:rsid w:val="41820E8C"/>
    <w:rsid w:val="41853F33"/>
    <w:rsid w:val="41B34154"/>
    <w:rsid w:val="41C1244F"/>
    <w:rsid w:val="41EF1232"/>
    <w:rsid w:val="41F33E5A"/>
    <w:rsid w:val="4215344D"/>
    <w:rsid w:val="422836E6"/>
    <w:rsid w:val="425D1B49"/>
    <w:rsid w:val="42930684"/>
    <w:rsid w:val="42E62F95"/>
    <w:rsid w:val="435B54B9"/>
    <w:rsid w:val="43A86AEE"/>
    <w:rsid w:val="43B2170E"/>
    <w:rsid w:val="43D24DD9"/>
    <w:rsid w:val="43DB760E"/>
    <w:rsid w:val="43DE6D6B"/>
    <w:rsid w:val="43E06F4B"/>
    <w:rsid w:val="43E26E09"/>
    <w:rsid w:val="43FA144F"/>
    <w:rsid w:val="4455257D"/>
    <w:rsid w:val="445D39A3"/>
    <w:rsid w:val="446E742B"/>
    <w:rsid w:val="447444FD"/>
    <w:rsid w:val="44961054"/>
    <w:rsid w:val="44FB1810"/>
    <w:rsid w:val="45126122"/>
    <w:rsid w:val="451C6166"/>
    <w:rsid w:val="45303D54"/>
    <w:rsid w:val="453456BF"/>
    <w:rsid w:val="45625429"/>
    <w:rsid w:val="457845B5"/>
    <w:rsid w:val="45A0028A"/>
    <w:rsid w:val="45D35CD3"/>
    <w:rsid w:val="45D72573"/>
    <w:rsid w:val="46060047"/>
    <w:rsid w:val="4606127E"/>
    <w:rsid w:val="460A6705"/>
    <w:rsid w:val="46192AC1"/>
    <w:rsid w:val="46933F1F"/>
    <w:rsid w:val="46A41C0F"/>
    <w:rsid w:val="46D83282"/>
    <w:rsid w:val="46D85D5E"/>
    <w:rsid w:val="46EC522C"/>
    <w:rsid w:val="46F33B07"/>
    <w:rsid w:val="46F93C3D"/>
    <w:rsid w:val="47015D77"/>
    <w:rsid w:val="47122031"/>
    <w:rsid w:val="47327095"/>
    <w:rsid w:val="47420AB2"/>
    <w:rsid w:val="475A7BA4"/>
    <w:rsid w:val="47A55BE0"/>
    <w:rsid w:val="48156494"/>
    <w:rsid w:val="48385373"/>
    <w:rsid w:val="483A665C"/>
    <w:rsid w:val="48895B39"/>
    <w:rsid w:val="48D22D13"/>
    <w:rsid w:val="48EA0814"/>
    <w:rsid w:val="48FA4D95"/>
    <w:rsid w:val="48FB3F3D"/>
    <w:rsid w:val="49373828"/>
    <w:rsid w:val="49461855"/>
    <w:rsid w:val="49A97A6C"/>
    <w:rsid w:val="49C20652"/>
    <w:rsid w:val="49F2142F"/>
    <w:rsid w:val="4A063298"/>
    <w:rsid w:val="4A0E3E16"/>
    <w:rsid w:val="4A3C2969"/>
    <w:rsid w:val="4A436171"/>
    <w:rsid w:val="4A67259C"/>
    <w:rsid w:val="4A77533C"/>
    <w:rsid w:val="4A973A8D"/>
    <w:rsid w:val="4A9F5652"/>
    <w:rsid w:val="4ADA4D20"/>
    <w:rsid w:val="4B080CE4"/>
    <w:rsid w:val="4B3D2874"/>
    <w:rsid w:val="4B401DB6"/>
    <w:rsid w:val="4B502EF6"/>
    <w:rsid w:val="4B5E4D99"/>
    <w:rsid w:val="4B8D7203"/>
    <w:rsid w:val="4B95188A"/>
    <w:rsid w:val="4BB20DA3"/>
    <w:rsid w:val="4BB64D76"/>
    <w:rsid w:val="4BB8385B"/>
    <w:rsid w:val="4BC92C09"/>
    <w:rsid w:val="4BDB1131"/>
    <w:rsid w:val="4C1635CF"/>
    <w:rsid w:val="4C2132E7"/>
    <w:rsid w:val="4C345759"/>
    <w:rsid w:val="4C3A00DB"/>
    <w:rsid w:val="4C5E5C32"/>
    <w:rsid w:val="4C837E51"/>
    <w:rsid w:val="4CA71806"/>
    <w:rsid w:val="4CC05699"/>
    <w:rsid w:val="4CD75C2C"/>
    <w:rsid w:val="4CE05167"/>
    <w:rsid w:val="4CF10079"/>
    <w:rsid w:val="4D005B12"/>
    <w:rsid w:val="4D0F58B4"/>
    <w:rsid w:val="4D5F240E"/>
    <w:rsid w:val="4D8B3376"/>
    <w:rsid w:val="4D8B7477"/>
    <w:rsid w:val="4DBE3073"/>
    <w:rsid w:val="4DCD62A6"/>
    <w:rsid w:val="4DDE2B85"/>
    <w:rsid w:val="4E23699E"/>
    <w:rsid w:val="4E29179C"/>
    <w:rsid w:val="4E32131F"/>
    <w:rsid w:val="4E412AD1"/>
    <w:rsid w:val="4E425842"/>
    <w:rsid w:val="4E500C78"/>
    <w:rsid w:val="4E523BFB"/>
    <w:rsid w:val="4E973547"/>
    <w:rsid w:val="4EC31978"/>
    <w:rsid w:val="4EC629EC"/>
    <w:rsid w:val="4EDE76D7"/>
    <w:rsid w:val="4EF33A4E"/>
    <w:rsid w:val="4F1C778F"/>
    <w:rsid w:val="4F231BB9"/>
    <w:rsid w:val="4F306966"/>
    <w:rsid w:val="4F883A11"/>
    <w:rsid w:val="4F9D56A4"/>
    <w:rsid w:val="4FB52162"/>
    <w:rsid w:val="4FC47B92"/>
    <w:rsid w:val="4FCE32CF"/>
    <w:rsid w:val="50470CA1"/>
    <w:rsid w:val="50CB29B7"/>
    <w:rsid w:val="50DE7B7E"/>
    <w:rsid w:val="51134820"/>
    <w:rsid w:val="51205B05"/>
    <w:rsid w:val="512B4274"/>
    <w:rsid w:val="515A11DB"/>
    <w:rsid w:val="5164150A"/>
    <w:rsid w:val="516B29C8"/>
    <w:rsid w:val="51C77A01"/>
    <w:rsid w:val="51CD1DF1"/>
    <w:rsid w:val="51FF71FB"/>
    <w:rsid w:val="520E63E2"/>
    <w:rsid w:val="52307FC4"/>
    <w:rsid w:val="528E220E"/>
    <w:rsid w:val="52A4366B"/>
    <w:rsid w:val="52BC2D55"/>
    <w:rsid w:val="52DA0085"/>
    <w:rsid w:val="5301613F"/>
    <w:rsid w:val="536D599A"/>
    <w:rsid w:val="538324DC"/>
    <w:rsid w:val="53E2218B"/>
    <w:rsid w:val="541B7E86"/>
    <w:rsid w:val="541C4937"/>
    <w:rsid w:val="5444409C"/>
    <w:rsid w:val="544739E6"/>
    <w:rsid w:val="54681C85"/>
    <w:rsid w:val="549D71F7"/>
    <w:rsid w:val="549F6E87"/>
    <w:rsid w:val="54BF6097"/>
    <w:rsid w:val="54D07933"/>
    <w:rsid w:val="550716C4"/>
    <w:rsid w:val="552B6194"/>
    <w:rsid w:val="558E2CEB"/>
    <w:rsid w:val="559B0372"/>
    <w:rsid w:val="55B56C9A"/>
    <w:rsid w:val="56204645"/>
    <w:rsid w:val="562461C5"/>
    <w:rsid w:val="56263B1C"/>
    <w:rsid w:val="563622E9"/>
    <w:rsid w:val="56410F45"/>
    <w:rsid w:val="564A2604"/>
    <w:rsid w:val="56715F82"/>
    <w:rsid w:val="56864086"/>
    <w:rsid w:val="568D3648"/>
    <w:rsid w:val="56B24CEF"/>
    <w:rsid w:val="56C15E1F"/>
    <w:rsid w:val="56EA4550"/>
    <w:rsid w:val="571371E2"/>
    <w:rsid w:val="5717564F"/>
    <w:rsid w:val="57540565"/>
    <w:rsid w:val="576274B0"/>
    <w:rsid w:val="57890D50"/>
    <w:rsid w:val="57947CD8"/>
    <w:rsid w:val="57EB3644"/>
    <w:rsid w:val="583C4D3F"/>
    <w:rsid w:val="58BB2F19"/>
    <w:rsid w:val="58CF31AA"/>
    <w:rsid w:val="5909642D"/>
    <w:rsid w:val="59123245"/>
    <w:rsid w:val="59164080"/>
    <w:rsid w:val="594644D8"/>
    <w:rsid w:val="594D539D"/>
    <w:rsid w:val="596C6878"/>
    <w:rsid w:val="59B77A48"/>
    <w:rsid w:val="59B95C03"/>
    <w:rsid w:val="59E25421"/>
    <w:rsid w:val="59F354C8"/>
    <w:rsid w:val="5A2658FA"/>
    <w:rsid w:val="5A442DF6"/>
    <w:rsid w:val="5A60125D"/>
    <w:rsid w:val="5A685443"/>
    <w:rsid w:val="5A686355"/>
    <w:rsid w:val="5A6B1A03"/>
    <w:rsid w:val="5A706C3A"/>
    <w:rsid w:val="5A8270B2"/>
    <w:rsid w:val="5A9753CC"/>
    <w:rsid w:val="5AB418C3"/>
    <w:rsid w:val="5AD60D89"/>
    <w:rsid w:val="5ADA38D0"/>
    <w:rsid w:val="5ADB2641"/>
    <w:rsid w:val="5AF1571D"/>
    <w:rsid w:val="5B0311A3"/>
    <w:rsid w:val="5B034BC0"/>
    <w:rsid w:val="5B055E2D"/>
    <w:rsid w:val="5B0D60A2"/>
    <w:rsid w:val="5B1145C2"/>
    <w:rsid w:val="5B4D0924"/>
    <w:rsid w:val="5BBF597B"/>
    <w:rsid w:val="5BDC38AE"/>
    <w:rsid w:val="5BF328F3"/>
    <w:rsid w:val="5BF70EA7"/>
    <w:rsid w:val="5C0F0333"/>
    <w:rsid w:val="5C2B5BBC"/>
    <w:rsid w:val="5C9C1CCC"/>
    <w:rsid w:val="5C9E0F11"/>
    <w:rsid w:val="5CD86780"/>
    <w:rsid w:val="5D525B8B"/>
    <w:rsid w:val="5D5B47F6"/>
    <w:rsid w:val="5D7F22D2"/>
    <w:rsid w:val="5D830038"/>
    <w:rsid w:val="5D892437"/>
    <w:rsid w:val="5DAD0334"/>
    <w:rsid w:val="5DC209A1"/>
    <w:rsid w:val="5DF05A0E"/>
    <w:rsid w:val="5DF77BB8"/>
    <w:rsid w:val="5E0846DE"/>
    <w:rsid w:val="5E825E50"/>
    <w:rsid w:val="5F172AB4"/>
    <w:rsid w:val="5F2A6B92"/>
    <w:rsid w:val="5F2A735D"/>
    <w:rsid w:val="5F346081"/>
    <w:rsid w:val="5F395C79"/>
    <w:rsid w:val="5F505995"/>
    <w:rsid w:val="5F525C52"/>
    <w:rsid w:val="5F864002"/>
    <w:rsid w:val="5F8D1139"/>
    <w:rsid w:val="5FAC67E0"/>
    <w:rsid w:val="5FCE7BF6"/>
    <w:rsid w:val="5FD440F5"/>
    <w:rsid w:val="600F60A2"/>
    <w:rsid w:val="60B27153"/>
    <w:rsid w:val="60EF2E78"/>
    <w:rsid w:val="610507DB"/>
    <w:rsid w:val="610C3D28"/>
    <w:rsid w:val="61A16008"/>
    <w:rsid w:val="61B432EF"/>
    <w:rsid w:val="61B71DE2"/>
    <w:rsid w:val="61E92934"/>
    <w:rsid w:val="62235081"/>
    <w:rsid w:val="624111EB"/>
    <w:rsid w:val="624A3F90"/>
    <w:rsid w:val="626B7D68"/>
    <w:rsid w:val="62B47251"/>
    <w:rsid w:val="62C02B9D"/>
    <w:rsid w:val="62DA218E"/>
    <w:rsid w:val="62FA023C"/>
    <w:rsid w:val="631E1A37"/>
    <w:rsid w:val="631E3D17"/>
    <w:rsid w:val="63454E64"/>
    <w:rsid w:val="63493B1D"/>
    <w:rsid w:val="63533DF7"/>
    <w:rsid w:val="637B7B22"/>
    <w:rsid w:val="637D0853"/>
    <w:rsid w:val="639F56C2"/>
    <w:rsid w:val="63BB3FEE"/>
    <w:rsid w:val="63DF33AB"/>
    <w:rsid w:val="640518C2"/>
    <w:rsid w:val="64457ED1"/>
    <w:rsid w:val="644D2956"/>
    <w:rsid w:val="646B5769"/>
    <w:rsid w:val="64C55E4F"/>
    <w:rsid w:val="64CE2652"/>
    <w:rsid w:val="64CF53F9"/>
    <w:rsid w:val="65616A87"/>
    <w:rsid w:val="656C53FD"/>
    <w:rsid w:val="657439D0"/>
    <w:rsid w:val="658044A3"/>
    <w:rsid w:val="658C65F3"/>
    <w:rsid w:val="659043CF"/>
    <w:rsid w:val="659115BA"/>
    <w:rsid w:val="65BA66C3"/>
    <w:rsid w:val="65D40B76"/>
    <w:rsid w:val="663E78D2"/>
    <w:rsid w:val="66422E00"/>
    <w:rsid w:val="66660592"/>
    <w:rsid w:val="666D0515"/>
    <w:rsid w:val="6675474A"/>
    <w:rsid w:val="66A061AB"/>
    <w:rsid w:val="66AD17F1"/>
    <w:rsid w:val="66B0614E"/>
    <w:rsid w:val="67076BEC"/>
    <w:rsid w:val="675B12B3"/>
    <w:rsid w:val="67841827"/>
    <w:rsid w:val="67842C39"/>
    <w:rsid w:val="679328CC"/>
    <w:rsid w:val="679332DA"/>
    <w:rsid w:val="68730038"/>
    <w:rsid w:val="68A12921"/>
    <w:rsid w:val="68BE10C7"/>
    <w:rsid w:val="68CA3903"/>
    <w:rsid w:val="68EC20F0"/>
    <w:rsid w:val="68FC1E54"/>
    <w:rsid w:val="69520911"/>
    <w:rsid w:val="695C27CC"/>
    <w:rsid w:val="69C16F2B"/>
    <w:rsid w:val="69EC28F8"/>
    <w:rsid w:val="6A343B27"/>
    <w:rsid w:val="6A424A04"/>
    <w:rsid w:val="6ABA368F"/>
    <w:rsid w:val="6ABC6F3D"/>
    <w:rsid w:val="6B033DE6"/>
    <w:rsid w:val="6B077A35"/>
    <w:rsid w:val="6B0D04CD"/>
    <w:rsid w:val="6B160833"/>
    <w:rsid w:val="6B6F6885"/>
    <w:rsid w:val="6BC32830"/>
    <w:rsid w:val="6BC371D7"/>
    <w:rsid w:val="6C077374"/>
    <w:rsid w:val="6C2E28E7"/>
    <w:rsid w:val="6C5106C2"/>
    <w:rsid w:val="6C734D17"/>
    <w:rsid w:val="6C7959F4"/>
    <w:rsid w:val="6CD46836"/>
    <w:rsid w:val="6D033DC8"/>
    <w:rsid w:val="6D0D1EAB"/>
    <w:rsid w:val="6D0E2577"/>
    <w:rsid w:val="6D46215B"/>
    <w:rsid w:val="6D721DAF"/>
    <w:rsid w:val="6E33111D"/>
    <w:rsid w:val="6E6C18A1"/>
    <w:rsid w:val="6EAB25C7"/>
    <w:rsid w:val="6EC950FD"/>
    <w:rsid w:val="6F056271"/>
    <w:rsid w:val="6F150A35"/>
    <w:rsid w:val="6F28594B"/>
    <w:rsid w:val="6F533D07"/>
    <w:rsid w:val="6F9A349B"/>
    <w:rsid w:val="6FA10947"/>
    <w:rsid w:val="6FA74AD0"/>
    <w:rsid w:val="6FF15A31"/>
    <w:rsid w:val="70107E11"/>
    <w:rsid w:val="70335CD2"/>
    <w:rsid w:val="704976DE"/>
    <w:rsid w:val="70530BAF"/>
    <w:rsid w:val="70835562"/>
    <w:rsid w:val="70841698"/>
    <w:rsid w:val="70A642C0"/>
    <w:rsid w:val="70B30AEF"/>
    <w:rsid w:val="70CF6BC3"/>
    <w:rsid w:val="70E54343"/>
    <w:rsid w:val="70FC2574"/>
    <w:rsid w:val="70FC4316"/>
    <w:rsid w:val="71371DD3"/>
    <w:rsid w:val="718856AE"/>
    <w:rsid w:val="71A1719E"/>
    <w:rsid w:val="71A40C27"/>
    <w:rsid w:val="71F700D1"/>
    <w:rsid w:val="72062ABF"/>
    <w:rsid w:val="720B3203"/>
    <w:rsid w:val="720F77E6"/>
    <w:rsid w:val="723C71A8"/>
    <w:rsid w:val="724C678A"/>
    <w:rsid w:val="725A2104"/>
    <w:rsid w:val="72616B3C"/>
    <w:rsid w:val="72771910"/>
    <w:rsid w:val="72863743"/>
    <w:rsid w:val="72E129E4"/>
    <w:rsid w:val="72FA23A3"/>
    <w:rsid w:val="73381DA6"/>
    <w:rsid w:val="736424BF"/>
    <w:rsid w:val="739F25BD"/>
    <w:rsid w:val="74247D54"/>
    <w:rsid w:val="742762B1"/>
    <w:rsid w:val="7439612D"/>
    <w:rsid w:val="7458633A"/>
    <w:rsid w:val="745A1D53"/>
    <w:rsid w:val="745B2115"/>
    <w:rsid w:val="74633C57"/>
    <w:rsid w:val="74927A1A"/>
    <w:rsid w:val="74A06A22"/>
    <w:rsid w:val="74CE466F"/>
    <w:rsid w:val="74E812E4"/>
    <w:rsid w:val="75646221"/>
    <w:rsid w:val="756878C7"/>
    <w:rsid w:val="757857BE"/>
    <w:rsid w:val="7594470D"/>
    <w:rsid w:val="759C4DC4"/>
    <w:rsid w:val="75B571D5"/>
    <w:rsid w:val="75CE276F"/>
    <w:rsid w:val="76722931"/>
    <w:rsid w:val="76C065FB"/>
    <w:rsid w:val="76D30187"/>
    <w:rsid w:val="76D40D31"/>
    <w:rsid w:val="76EE0774"/>
    <w:rsid w:val="770C3E80"/>
    <w:rsid w:val="77234C2A"/>
    <w:rsid w:val="77280012"/>
    <w:rsid w:val="7747048A"/>
    <w:rsid w:val="774F7C48"/>
    <w:rsid w:val="77681445"/>
    <w:rsid w:val="77A61768"/>
    <w:rsid w:val="77C44593"/>
    <w:rsid w:val="77D46E98"/>
    <w:rsid w:val="77F01F8B"/>
    <w:rsid w:val="77F8442D"/>
    <w:rsid w:val="780B6EA0"/>
    <w:rsid w:val="781974BB"/>
    <w:rsid w:val="78356143"/>
    <w:rsid w:val="78943A88"/>
    <w:rsid w:val="78C56F08"/>
    <w:rsid w:val="7928447F"/>
    <w:rsid w:val="794808AB"/>
    <w:rsid w:val="794965FE"/>
    <w:rsid w:val="79707B22"/>
    <w:rsid w:val="7971233F"/>
    <w:rsid w:val="79EF6D78"/>
    <w:rsid w:val="79FE6A99"/>
    <w:rsid w:val="7A082568"/>
    <w:rsid w:val="7A25335E"/>
    <w:rsid w:val="7A745A65"/>
    <w:rsid w:val="7A8B067C"/>
    <w:rsid w:val="7AD30942"/>
    <w:rsid w:val="7AF01277"/>
    <w:rsid w:val="7B004248"/>
    <w:rsid w:val="7B6F02FE"/>
    <w:rsid w:val="7B712441"/>
    <w:rsid w:val="7B7269B5"/>
    <w:rsid w:val="7B766631"/>
    <w:rsid w:val="7B8321D2"/>
    <w:rsid w:val="7B9A3EB9"/>
    <w:rsid w:val="7C021760"/>
    <w:rsid w:val="7C09738A"/>
    <w:rsid w:val="7C144233"/>
    <w:rsid w:val="7C250B82"/>
    <w:rsid w:val="7C2C78E3"/>
    <w:rsid w:val="7C5B7DE4"/>
    <w:rsid w:val="7C735F1B"/>
    <w:rsid w:val="7C8F5FCF"/>
    <w:rsid w:val="7CC13606"/>
    <w:rsid w:val="7CC54CD4"/>
    <w:rsid w:val="7CDD5C4B"/>
    <w:rsid w:val="7CE94E8A"/>
    <w:rsid w:val="7D0C2628"/>
    <w:rsid w:val="7D3052E0"/>
    <w:rsid w:val="7D44161E"/>
    <w:rsid w:val="7D523EBE"/>
    <w:rsid w:val="7D707F6F"/>
    <w:rsid w:val="7D940828"/>
    <w:rsid w:val="7D945D5E"/>
    <w:rsid w:val="7DB6041B"/>
    <w:rsid w:val="7DE23316"/>
    <w:rsid w:val="7DE434B1"/>
    <w:rsid w:val="7DEE680A"/>
    <w:rsid w:val="7DEF36D5"/>
    <w:rsid w:val="7E1C13B0"/>
    <w:rsid w:val="7E8A09B0"/>
    <w:rsid w:val="7EBE37BA"/>
    <w:rsid w:val="7EC65CBF"/>
    <w:rsid w:val="7F092449"/>
    <w:rsid w:val="7F2D385A"/>
    <w:rsid w:val="7F561E8B"/>
    <w:rsid w:val="7F5B41BC"/>
    <w:rsid w:val="7F9D67E5"/>
    <w:rsid w:val="7FBE4C21"/>
    <w:rsid w:val="7FC535ED"/>
    <w:rsid w:val="7FE4322A"/>
    <w:rsid w:val="7FF20767"/>
    <w:rsid w:val="7FF33CD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39" w:semiHidden="0" w:name="toc 8"/>
    <w:lsdException w:qFormat="1"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qFormat/>
    <w:uiPriority w:val="0"/>
    <w:pPr>
      <w:keepNext/>
      <w:keepLines/>
      <w:spacing w:before="100" w:after="90"/>
      <w:jc w:val="center"/>
      <w:outlineLvl w:val="0"/>
    </w:pPr>
    <w:rPr>
      <w:b/>
      <w:bCs/>
      <w:kern w:val="44"/>
      <w:sz w:val="32"/>
      <w:szCs w:val="44"/>
    </w:rPr>
  </w:style>
  <w:style w:type="paragraph" w:styleId="2">
    <w:name w:val="heading 2"/>
    <w:basedOn w:val="1"/>
    <w:next w:val="1"/>
    <w:qFormat/>
    <w:uiPriority w:val="0"/>
    <w:pPr>
      <w:keepNext/>
      <w:keepLines/>
      <w:spacing w:before="140" w:after="140"/>
      <w:outlineLvl w:val="1"/>
    </w:pPr>
    <w:rPr>
      <w:rFonts w:ascii="Arial" w:hAnsi="Arial" w:eastAsia="黑体"/>
      <w:b/>
      <w:bCs/>
      <w:sz w:val="30"/>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beforeLines="0" w:after="290" w:afterLines="0" w:line="376" w:lineRule="atLeast"/>
      <w:outlineLvl w:val="3"/>
    </w:pPr>
    <w:rPr>
      <w:rFonts w:ascii="Arial" w:hAnsi="Arial"/>
      <w:b/>
      <w:bCs/>
      <w:sz w:val="28"/>
      <w:szCs w:val="28"/>
    </w:rPr>
  </w:style>
  <w:style w:type="character" w:default="1" w:styleId="36">
    <w:name w:val="Default Paragraph Font"/>
    <w:semiHidden/>
    <w:qFormat/>
    <w:uiPriority w:val="0"/>
  </w:style>
  <w:style w:type="table" w:default="1" w:styleId="34">
    <w:name w:val="Normal Table"/>
    <w:semiHidden/>
    <w:qFormat/>
    <w:uiPriority w:val="0"/>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rPr>
      <w:rFonts w:ascii="Calibri" w:hAnsi="Calibri" w:eastAsia="宋体" w:cs="Times New Roman"/>
      <w:szCs w:val="22"/>
    </w:rPr>
  </w:style>
  <w:style w:type="paragraph" w:styleId="7">
    <w:name w:val="Normal Indent"/>
    <w:basedOn w:val="1"/>
    <w:link w:val="45"/>
    <w:qFormat/>
    <w:uiPriority w:val="0"/>
    <w:pPr>
      <w:ind w:firstLine="420" w:firstLineChars="200"/>
    </w:pPr>
    <w:rPr>
      <w:rFonts w:ascii="Times New Roman"/>
      <w:kern w:val="2"/>
      <w:sz w:val="21"/>
      <w:szCs w:val="24"/>
    </w:rPr>
  </w:style>
  <w:style w:type="paragraph" w:styleId="8">
    <w:name w:val="toa heading"/>
    <w:basedOn w:val="1"/>
    <w:next w:val="1"/>
    <w:qFormat/>
    <w:uiPriority w:val="0"/>
    <w:pPr>
      <w:spacing w:before="120"/>
    </w:pPr>
    <w:rPr>
      <w:rFonts w:ascii="Arial" w:hAnsi="Arial" w:cs="Arial"/>
      <w:sz w:val="24"/>
    </w:rPr>
  </w:style>
  <w:style w:type="paragraph" w:styleId="9">
    <w:name w:val="annotation text"/>
    <w:basedOn w:val="1"/>
    <w:link w:val="46"/>
    <w:qFormat/>
    <w:uiPriority w:val="0"/>
    <w:pPr>
      <w:jc w:val="left"/>
    </w:pPr>
    <w:rPr>
      <w:rFonts w:ascii="Times New Roman"/>
      <w:kern w:val="2"/>
      <w:sz w:val="18"/>
    </w:rPr>
  </w:style>
  <w:style w:type="paragraph" w:styleId="10">
    <w:name w:val="Salutation"/>
    <w:basedOn w:val="1"/>
    <w:next w:val="1"/>
    <w:unhideWhenUsed/>
    <w:qFormat/>
    <w:uiPriority w:val="99"/>
    <w:rPr>
      <w:szCs w:val="22"/>
    </w:rPr>
  </w:style>
  <w:style w:type="paragraph" w:styleId="11">
    <w:name w:val="Body Text"/>
    <w:basedOn w:val="1"/>
    <w:next w:val="1"/>
    <w:qFormat/>
    <w:uiPriority w:val="0"/>
    <w:pPr>
      <w:spacing w:after="120"/>
    </w:pPr>
  </w:style>
  <w:style w:type="paragraph" w:styleId="12">
    <w:name w:val="Body Text Indent"/>
    <w:basedOn w:val="1"/>
    <w:link w:val="47"/>
    <w:qFormat/>
    <w:uiPriority w:val="0"/>
    <w:pPr>
      <w:ind w:firstLine="630"/>
    </w:pPr>
    <w:rPr>
      <w:rFonts w:ascii="Times New Roman"/>
      <w:kern w:val="2"/>
      <w:sz w:val="32"/>
    </w:rPr>
  </w:style>
  <w:style w:type="paragraph" w:styleId="13">
    <w:name w:val="List 2"/>
    <w:basedOn w:val="1"/>
    <w:unhideWhenUsed/>
    <w:qFormat/>
    <w:uiPriority w:val="99"/>
    <w:pPr>
      <w:ind w:left="100" w:leftChars="200" w:hanging="200" w:hangingChars="200"/>
      <w:contextualSpacing/>
    </w:pPr>
  </w:style>
  <w:style w:type="paragraph" w:styleId="14">
    <w:name w:val="toc 5"/>
    <w:basedOn w:val="1"/>
    <w:next w:val="1"/>
    <w:unhideWhenUsed/>
    <w:qFormat/>
    <w:uiPriority w:val="39"/>
    <w:pPr>
      <w:ind w:left="1680" w:leftChars="800"/>
    </w:pPr>
    <w:rPr>
      <w:rFonts w:ascii="Calibri" w:hAnsi="Calibri" w:eastAsia="宋体" w:cs="Times New Roman"/>
      <w:szCs w:val="22"/>
    </w:rPr>
  </w:style>
  <w:style w:type="paragraph" w:styleId="15">
    <w:name w:val="toc 3"/>
    <w:basedOn w:val="1"/>
    <w:next w:val="1"/>
    <w:qFormat/>
    <w:uiPriority w:val="39"/>
    <w:pPr>
      <w:ind w:left="840" w:leftChars="400"/>
    </w:pPr>
  </w:style>
  <w:style w:type="paragraph" w:styleId="16">
    <w:name w:val="Plain Text"/>
    <w:basedOn w:val="1"/>
    <w:link w:val="48"/>
    <w:qFormat/>
    <w:uiPriority w:val="0"/>
    <w:pPr>
      <w:autoSpaceDE w:val="0"/>
      <w:autoSpaceDN w:val="0"/>
      <w:adjustRightInd w:val="0"/>
    </w:pPr>
    <w:rPr>
      <w:rFonts w:hAnsi="Tms Rmn"/>
      <w:sz w:val="21"/>
    </w:rPr>
  </w:style>
  <w:style w:type="paragraph" w:styleId="17">
    <w:name w:val="toc 8"/>
    <w:basedOn w:val="1"/>
    <w:next w:val="1"/>
    <w:unhideWhenUsed/>
    <w:uiPriority w:val="39"/>
    <w:pPr>
      <w:ind w:left="2940" w:leftChars="1400"/>
    </w:pPr>
    <w:rPr>
      <w:rFonts w:ascii="Calibri" w:hAnsi="Calibri" w:eastAsia="宋体" w:cs="Times New Roman"/>
      <w:szCs w:val="22"/>
    </w:rPr>
  </w:style>
  <w:style w:type="paragraph" w:styleId="18">
    <w:name w:val="Body Text Indent 2"/>
    <w:basedOn w:val="1"/>
    <w:qFormat/>
    <w:uiPriority w:val="0"/>
    <w:pPr>
      <w:spacing w:after="120" w:line="480" w:lineRule="auto"/>
      <w:ind w:left="420" w:leftChars="200"/>
    </w:pPr>
  </w:style>
  <w:style w:type="paragraph" w:styleId="19">
    <w:name w:val="Balloon Text"/>
    <w:basedOn w:val="1"/>
    <w:semiHidden/>
    <w:qFormat/>
    <w:uiPriority w:val="0"/>
    <w:rPr>
      <w:sz w:val="18"/>
      <w:szCs w:val="18"/>
    </w:rPr>
  </w:style>
  <w:style w:type="paragraph" w:styleId="20">
    <w:name w:val="footer"/>
    <w:basedOn w:val="1"/>
    <w:link w:val="49"/>
    <w:qFormat/>
    <w:uiPriority w:val="99"/>
    <w:pPr>
      <w:tabs>
        <w:tab w:val="center" w:pos="4153"/>
        <w:tab w:val="right" w:pos="8306"/>
      </w:tabs>
      <w:snapToGrid w:val="0"/>
      <w:jc w:val="left"/>
    </w:pPr>
    <w:rPr>
      <w:rFonts w:ascii="Times New Roman"/>
      <w:kern w:val="2"/>
      <w:sz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rFonts w:ascii="Times New Roman"/>
      <w:kern w:val="2"/>
      <w:sz w:val="18"/>
    </w:rPr>
  </w:style>
  <w:style w:type="paragraph" w:styleId="22">
    <w:name w:val="toc 1"/>
    <w:basedOn w:val="1"/>
    <w:next w:val="1"/>
    <w:qFormat/>
    <w:uiPriority w:val="39"/>
  </w:style>
  <w:style w:type="paragraph" w:styleId="23">
    <w:name w:val="toc 4"/>
    <w:basedOn w:val="1"/>
    <w:next w:val="1"/>
    <w:unhideWhenUsed/>
    <w:qFormat/>
    <w:uiPriority w:val="39"/>
    <w:pPr>
      <w:ind w:left="1260" w:leftChars="600"/>
    </w:pPr>
    <w:rPr>
      <w:rFonts w:ascii="Calibri" w:hAnsi="Calibri" w:eastAsia="宋体" w:cs="Times New Roman"/>
      <w:szCs w:val="22"/>
    </w:rPr>
  </w:style>
  <w:style w:type="paragraph" w:styleId="24">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25">
    <w:name w:val="toc 6"/>
    <w:basedOn w:val="1"/>
    <w:next w:val="1"/>
    <w:unhideWhenUsed/>
    <w:qFormat/>
    <w:uiPriority w:val="39"/>
    <w:pPr>
      <w:ind w:left="2100" w:leftChars="1000"/>
    </w:pPr>
    <w:rPr>
      <w:rFonts w:ascii="Calibri" w:hAnsi="Calibri" w:eastAsia="宋体" w:cs="Times New Roman"/>
      <w:szCs w:val="22"/>
    </w:rPr>
  </w:style>
  <w:style w:type="paragraph" w:styleId="26">
    <w:name w:val="Body Text Indent 3"/>
    <w:basedOn w:val="1"/>
    <w:link w:val="51"/>
    <w:qFormat/>
    <w:uiPriority w:val="0"/>
    <w:pPr>
      <w:spacing w:after="120"/>
      <w:ind w:left="420" w:leftChars="200"/>
    </w:pPr>
    <w:rPr>
      <w:rFonts w:ascii="Times New Roman"/>
      <w:kern w:val="2"/>
      <w:sz w:val="16"/>
      <w:szCs w:val="16"/>
    </w:rPr>
  </w:style>
  <w:style w:type="paragraph" w:styleId="27">
    <w:name w:val="table of figures"/>
    <w:basedOn w:val="1"/>
    <w:next w:val="1"/>
    <w:qFormat/>
    <w:uiPriority w:val="0"/>
    <w:pPr>
      <w:ind w:left="200" w:leftChars="200" w:hanging="200" w:hangingChars="200"/>
    </w:pPr>
  </w:style>
  <w:style w:type="paragraph" w:styleId="28">
    <w:name w:val="toc 2"/>
    <w:basedOn w:val="1"/>
    <w:next w:val="1"/>
    <w:uiPriority w:val="39"/>
    <w:pPr>
      <w:ind w:left="420" w:leftChars="200"/>
    </w:pPr>
  </w:style>
  <w:style w:type="paragraph" w:styleId="29">
    <w:name w:val="toc 9"/>
    <w:basedOn w:val="1"/>
    <w:next w:val="1"/>
    <w:unhideWhenUsed/>
    <w:qFormat/>
    <w:uiPriority w:val="39"/>
    <w:pPr>
      <w:ind w:left="3360" w:leftChars="1600"/>
    </w:pPr>
    <w:rPr>
      <w:rFonts w:ascii="Calibri" w:hAnsi="Calibri" w:eastAsia="宋体" w:cs="Times New Roman"/>
      <w:szCs w:val="22"/>
    </w:rPr>
  </w:style>
  <w:style w:type="paragraph" w:styleId="3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1">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32">
    <w:name w:val="Title"/>
    <w:basedOn w:val="1"/>
    <w:next w:val="1"/>
    <w:link w:val="52"/>
    <w:qFormat/>
    <w:uiPriority w:val="0"/>
    <w:pPr>
      <w:spacing w:before="240" w:after="60"/>
      <w:jc w:val="center"/>
      <w:outlineLvl w:val="0"/>
    </w:pPr>
    <w:rPr>
      <w:rFonts w:ascii="Cambria" w:hAnsi="Cambria"/>
      <w:b/>
      <w:bCs/>
      <w:kern w:val="2"/>
      <w:sz w:val="32"/>
      <w:szCs w:val="32"/>
    </w:rPr>
  </w:style>
  <w:style w:type="paragraph" w:styleId="33">
    <w:name w:val="annotation subject"/>
    <w:basedOn w:val="9"/>
    <w:next w:val="9"/>
    <w:link w:val="53"/>
    <w:uiPriority w:val="0"/>
    <w:rPr>
      <w:rFonts w:ascii="Times New Roman"/>
      <w:b/>
      <w:bCs/>
      <w:kern w:val="2"/>
      <w:sz w:val="21"/>
      <w:szCs w:val="24"/>
    </w:r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qFormat/>
    <w:uiPriority w:val="0"/>
    <w:rPr>
      <w:b/>
      <w:bCs/>
    </w:rPr>
  </w:style>
  <w:style w:type="character" w:styleId="38">
    <w:name w:val="page number"/>
    <w:basedOn w:val="36"/>
    <w:qFormat/>
    <w:uiPriority w:val="0"/>
  </w:style>
  <w:style w:type="character" w:styleId="39">
    <w:name w:val="FollowedHyperlink"/>
    <w:qFormat/>
    <w:uiPriority w:val="0"/>
    <w:rPr>
      <w:rFonts w:hint="default" w:ascii="微软雅黑" w:hAnsi="微软雅黑" w:eastAsia="微软雅黑" w:cs="微软雅黑"/>
      <w:color w:val="02396F"/>
      <w:u w:val="single"/>
    </w:rPr>
  </w:style>
  <w:style w:type="character" w:styleId="40">
    <w:name w:val="Emphasis"/>
    <w:qFormat/>
    <w:uiPriority w:val="0"/>
    <w:rPr>
      <w:color w:val="CC0000"/>
    </w:rPr>
  </w:style>
  <w:style w:type="character" w:styleId="41">
    <w:name w:val="Hyperlink"/>
    <w:qFormat/>
    <w:uiPriority w:val="99"/>
    <w:rPr>
      <w:rFonts w:ascii="微软雅黑" w:hAnsi="微软雅黑" w:eastAsia="微软雅黑" w:cs="微软雅黑"/>
      <w:color w:val="02396F"/>
      <w:u w:val="single"/>
    </w:rPr>
  </w:style>
  <w:style w:type="character" w:styleId="42">
    <w:name w:val="annotation reference"/>
    <w:qFormat/>
    <w:uiPriority w:val="0"/>
    <w:rPr>
      <w:sz w:val="21"/>
      <w:szCs w:val="21"/>
    </w:rPr>
  </w:style>
  <w:style w:type="character" w:styleId="43">
    <w:name w:val="HTML Cite"/>
    <w:qFormat/>
    <w:uiPriority w:val="0"/>
    <w:rPr>
      <w:color w:val="008000"/>
    </w:rPr>
  </w:style>
  <w:style w:type="paragraph" w:customStyle="1" w:styleId="44">
    <w:name w:val="BodyText"/>
    <w:basedOn w:val="1"/>
    <w:next w:val="24"/>
    <w:semiHidden/>
    <w:qFormat/>
    <w:uiPriority w:val="0"/>
    <w:pPr>
      <w:spacing w:after="120"/>
    </w:pPr>
    <w:rPr>
      <w:rFonts w:ascii="宋体"/>
      <w:sz w:val="34"/>
    </w:rPr>
  </w:style>
  <w:style w:type="character" w:customStyle="1" w:styleId="45">
    <w:name w:val="正文缩进 Char"/>
    <w:link w:val="7"/>
    <w:qFormat/>
    <w:uiPriority w:val="0"/>
    <w:rPr>
      <w:rFonts w:eastAsia="宋体"/>
      <w:kern w:val="2"/>
      <w:sz w:val="21"/>
      <w:szCs w:val="24"/>
      <w:lang w:val="en-US" w:eastAsia="zh-CN" w:bidi="ar-SA"/>
    </w:rPr>
  </w:style>
  <w:style w:type="character" w:customStyle="1" w:styleId="46">
    <w:name w:val="批注文字 Char"/>
    <w:link w:val="9"/>
    <w:qFormat/>
    <w:uiPriority w:val="0"/>
    <w:rPr>
      <w:kern w:val="2"/>
      <w:sz w:val="18"/>
      <w:lang w:bidi="ar-SA"/>
    </w:rPr>
  </w:style>
  <w:style w:type="character" w:customStyle="1" w:styleId="47">
    <w:name w:val="正文文本缩进 Char"/>
    <w:link w:val="12"/>
    <w:qFormat/>
    <w:uiPriority w:val="0"/>
    <w:rPr>
      <w:rFonts w:eastAsia="宋体"/>
      <w:kern w:val="2"/>
      <w:sz w:val="32"/>
      <w:lang w:val="en-US" w:eastAsia="zh-CN" w:bidi="ar-SA"/>
    </w:rPr>
  </w:style>
  <w:style w:type="character" w:customStyle="1" w:styleId="48">
    <w:name w:val="纯文本 Char"/>
    <w:link w:val="16"/>
    <w:unhideWhenUsed/>
    <w:qFormat/>
    <w:uiPriority w:val="0"/>
    <w:rPr>
      <w:rFonts w:ascii="宋体" w:hAnsi="Tms Rmn" w:eastAsia="宋体"/>
      <w:sz w:val="21"/>
      <w:lang w:val="en-US" w:eastAsia="zh-CN" w:bidi="ar-SA"/>
    </w:rPr>
  </w:style>
  <w:style w:type="character" w:customStyle="1" w:styleId="49">
    <w:name w:val="页脚 Char"/>
    <w:link w:val="20"/>
    <w:qFormat/>
    <w:uiPriority w:val="99"/>
    <w:rPr>
      <w:rFonts w:eastAsia="宋体"/>
      <w:kern w:val="2"/>
      <w:sz w:val="18"/>
      <w:lang w:val="en-US" w:eastAsia="zh-CN" w:bidi="ar-SA"/>
    </w:rPr>
  </w:style>
  <w:style w:type="character" w:customStyle="1" w:styleId="50">
    <w:name w:val="页眉 Char"/>
    <w:link w:val="21"/>
    <w:qFormat/>
    <w:uiPriority w:val="0"/>
    <w:rPr>
      <w:rFonts w:eastAsia="宋体"/>
      <w:kern w:val="2"/>
      <w:sz w:val="18"/>
      <w:lang w:val="en-US" w:eastAsia="zh-CN" w:bidi="ar-SA"/>
    </w:rPr>
  </w:style>
  <w:style w:type="character" w:customStyle="1" w:styleId="51">
    <w:name w:val="正文文本缩进 3 Char"/>
    <w:link w:val="26"/>
    <w:qFormat/>
    <w:uiPriority w:val="0"/>
    <w:rPr>
      <w:kern w:val="2"/>
      <w:sz w:val="16"/>
      <w:szCs w:val="16"/>
    </w:rPr>
  </w:style>
  <w:style w:type="character" w:customStyle="1" w:styleId="52">
    <w:name w:val="标题 Char"/>
    <w:link w:val="32"/>
    <w:qFormat/>
    <w:uiPriority w:val="0"/>
    <w:rPr>
      <w:rFonts w:ascii="Cambria" w:hAnsi="Cambria" w:cs="Times New Roman"/>
      <w:b/>
      <w:bCs/>
      <w:kern w:val="2"/>
      <w:sz w:val="32"/>
      <w:szCs w:val="32"/>
    </w:rPr>
  </w:style>
  <w:style w:type="character" w:customStyle="1" w:styleId="53">
    <w:name w:val="批注主题 Char"/>
    <w:link w:val="33"/>
    <w:qFormat/>
    <w:uiPriority w:val="0"/>
    <w:rPr>
      <w:b/>
      <w:bCs/>
      <w:kern w:val="2"/>
      <w:sz w:val="21"/>
      <w:szCs w:val="24"/>
      <w:lang w:bidi="ar-SA"/>
    </w:rPr>
  </w:style>
  <w:style w:type="character" w:customStyle="1" w:styleId="54">
    <w:name w:val="redfilefwwh"/>
    <w:qFormat/>
    <w:uiPriority w:val="0"/>
    <w:rPr>
      <w:color w:val="BA2636"/>
      <w:sz w:val="18"/>
      <w:szCs w:val="18"/>
    </w:rPr>
  </w:style>
  <w:style w:type="character" w:customStyle="1" w:styleId="55">
    <w:name w:val="（符号）邀请函中一、"/>
    <w:qFormat/>
    <w:uiPriority w:val="0"/>
    <w:rPr>
      <w:rFonts w:ascii="黑体" w:hAnsi="黑体" w:eastAsia="黑体"/>
      <w:b/>
      <w:bCs/>
      <w:sz w:val="24"/>
    </w:rPr>
  </w:style>
  <w:style w:type="character" w:customStyle="1" w:styleId="56">
    <w:name w:val="GW-正文 Char"/>
    <w:link w:val="57"/>
    <w:qFormat/>
    <w:uiPriority w:val="0"/>
    <w:rPr>
      <w:rFonts w:eastAsia="仿宋_GB2312"/>
      <w:kern w:val="2"/>
      <w:sz w:val="24"/>
      <w:szCs w:val="24"/>
      <w:lang w:val="en-US" w:eastAsia="zh-CN" w:bidi="ar-SA"/>
    </w:rPr>
  </w:style>
  <w:style w:type="paragraph" w:customStyle="1" w:styleId="57">
    <w:name w:val="GW-正文"/>
    <w:basedOn w:val="1"/>
    <w:link w:val="56"/>
    <w:qFormat/>
    <w:uiPriority w:val="0"/>
    <w:pPr>
      <w:spacing w:line="360" w:lineRule="auto"/>
      <w:ind w:firstLine="200" w:firstLineChars="200"/>
    </w:pPr>
    <w:rPr>
      <w:rFonts w:ascii="Times New Roman" w:eastAsia="仿宋_GB2312"/>
      <w:kern w:val="2"/>
      <w:sz w:val="24"/>
      <w:szCs w:val="24"/>
    </w:rPr>
  </w:style>
  <w:style w:type="character" w:customStyle="1" w:styleId="58">
    <w:name w:val="正文首行缩进两字符 Char Char"/>
    <w:link w:val="59"/>
    <w:qFormat/>
    <w:uiPriority w:val="0"/>
    <w:rPr>
      <w:kern w:val="2"/>
      <w:sz w:val="21"/>
      <w:szCs w:val="24"/>
    </w:rPr>
  </w:style>
  <w:style w:type="paragraph" w:customStyle="1" w:styleId="59">
    <w:name w:val="正文首行缩进两字符"/>
    <w:basedOn w:val="1"/>
    <w:next w:val="60"/>
    <w:link w:val="58"/>
    <w:qFormat/>
    <w:uiPriority w:val="0"/>
    <w:pPr>
      <w:spacing w:line="360" w:lineRule="auto"/>
      <w:ind w:firstLine="200" w:firstLineChars="200"/>
    </w:pPr>
    <w:rPr>
      <w:rFonts w:ascii="Times New Roman"/>
      <w:kern w:val="2"/>
      <w:sz w:val="21"/>
      <w:szCs w:val="24"/>
    </w:rPr>
  </w:style>
  <w:style w:type="paragraph" w:customStyle="1" w:styleId="60">
    <w:name w:val="_Style 3"/>
    <w:next w:val="1"/>
    <w:qFormat/>
    <w:uiPriority w:val="0"/>
    <w:pPr>
      <w:wordWrap w:val="0"/>
    </w:pPr>
    <w:rPr>
      <w:rFonts w:ascii="Times New Roman" w:hAnsi="Times New Roman" w:eastAsia="宋体" w:cs="Times New Roman"/>
      <w:sz w:val="32"/>
      <w:lang w:val="en-US" w:eastAsia="zh-CN" w:bidi="ar-SA"/>
    </w:rPr>
  </w:style>
  <w:style w:type="character" w:customStyle="1" w:styleId="61">
    <w:name w:val="批注文字 Char1"/>
    <w:qFormat/>
    <w:uiPriority w:val="0"/>
    <w:rPr>
      <w:kern w:val="2"/>
      <w:sz w:val="18"/>
      <w:lang w:bidi="ar-SA"/>
    </w:rPr>
  </w:style>
  <w:style w:type="character" w:customStyle="1" w:styleId="62">
    <w:name w:val="cfdate"/>
    <w:qFormat/>
    <w:uiPriority w:val="0"/>
    <w:rPr>
      <w:color w:val="333333"/>
      <w:sz w:val="18"/>
      <w:szCs w:val="18"/>
    </w:rPr>
  </w:style>
  <w:style w:type="character" w:customStyle="1" w:styleId="63">
    <w:name w:val="redfilenumber"/>
    <w:qFormat/>
    <w:uiPriority w:val="0"/>
    <w:rPr>
      <w:color w:val="BA2636"/>
      <w:sz w:val="18"/>
      <w:szCs w:val="18"/>
    </w:rPr>
  </w:style>
  <w:style w:type="character" w:customStyle="1" w:styleId="64">
    <w:name w:val="列出段落 Char"/>
    <w:link w:val="65"/>
    <w:qFormat/>
    <w:uiPriority w:val="0"/>
    <w:rPr>
      <w:rFonts w:eastAsia="宋体"/>
      <w:kern w:val="2"/>
      <w:sz w:val="21"/>
      <w:szCs w:val="24"/>
      <w:lang w:val="en-US" w:eastAsia="zh-CN" w:bidi="ar-SA"/>
    </w:rPr>
  </w:style>
  <w:style w:type="paragraph" w:styleId="65">
    <w:name w:val="List Paragraph"/>
    <w:basedOn w:val="1"/>
    <w:next w:val="1"/>
    <w:link w:val="64"/>
    <w:qFormat/>
    <w:uiPriority w:val="0"/>
    <w:pPr>
      <w:ind w:firstLine="420" w:firstLineChars="200"/>
    </w:pPr>
    <w:rPr>
      <w:rFonts w:ascii="Times New Roman"/>
      <w:kern w:val="2"/>
      <w:sz w:val="21"/>
      <w:szCs w:val="24"/>
    </w:rPr>
  </w:style>
  <w:style w:type="character" w:customStyle="1" w:styleId="66">
    <w:name w:val="qxdate"/>
    <w:qFormat/>
    <w:uiPriority w:val="0"/>
    <w:rPr>
      <w:color w:val="333333"/>
      <w:sz w:val="18"/>
      <w:szCs w:val="18"/>
    </w:rPr>
  </w:style>
  <w:style w:type="character" w:customStyle="1" w:styleId="67">
    <w:name w:val="纯文本 Char1"/>
    <w:unhideWhenUsed/>
    <w:qFormat/>
    <w:uiPriority w:val="99"/>
    <w:rPr>
      <w:rFonts w:ascii="宋体" w:hAnsi="Tms Rmn"/>
      <w:sz w:val="21"/>
    </w:rPr>
  </w:style>
  <w:style w:type="character" w:customStyle="1" w:styleId="68">
    <w:name w:val=" Char Char9"/>
    <w:qFormat/>
    <w:uiPriority w:val="0"/>
    <w:rPr>
      <w:kern w:val="2"/>
      <w:sz w:val="21"/>
    </w:rPr>
  </w:style>
  <w:style w:type="character" w:customStyle="1" w:styleId="69">
    <w:name w:val="displayarti"/>
    <w:qFormat/>
    <w:uiPriority w:val="0"/>
    <w:rPr>
      <w:color w:val="FFFFFF"/>
      <w:shd w:val="clear" w:color="auto" w:fill="A00000"/>
    </w:rPr>
  </w:style>
  <w:style w:type="character" w:customStyle="1" w:styleId="70">
    <w:name w:val="gjfg"/>
    <w:qFormat/>
    <w:uiPriority w:val="0"/>
  </w:style>
  <w:style w:type="paragraph" w:customStyle="1" w:styleId="71">
    <w:name w:val="Default"/>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customStyle="1" w:styleId="72">
    <w:name w:val="Char Char Char Char Char Char Char Char Char Char Char Char Char Char1 Char Char Char Char"/>
    <w:basedOn w:val="1"/>
    <w:qFormat/>
    <w:uiPriority w:val="0"/>
    <w:rPr>
      <w:szCs w:val="21"/>
    </w:rPr>
  </w:style>
  <w:style w:type="paragraph" w:customStyle="1" w:styleId="73">
    <w:name w:val="CM74"/>
    <w:basedOn w:val="71"/>
    <w:next w:val="71"/>
    <w:qFormat/>
    <w:uiPriority w:val="99"/>
    <w:rPr>
      <w:rFonts w:cs="Times New Roman"/>
      <w:color w:val="auto"/>
    </w:rPr>
  </w:style>
  <w:style w:type="paragraph" w:customStyle="1" w:styleId="74">
    <w:name w:val="样式 首行缩进:  2 字符"/>
    <w:basedOn w:val="1"/>
    <w:qFormat/>
    <w:uiPriority w:val="0"/>
    <w:pPr>
      <w:spacing w:line="400" w:lineRule="exact"/>
      <w:ind w:firstLine="200" w:firstLineChars="200"/>
    </w:pPr>
    <w:rPr>
      <w:rFonts w:cs="宋体"/>
      <w:sz w:val="24"/>
    </w:rPr>
  </w:style>
  <w:style w:type="paragraph" w:customStyle="1" w:styleId="75">
    <w:name w:val="!表格正文"/>
    <w:basedOn w:val="1"/>
    <w:qFormat/>
    <w:uiPriority w:val="0"/>
    <w:pPr>
      <w:jc w:val="center"/>
    </w:pPr>
    <w:rPr>
      <w:rFonts w:eastAsia="仿宋"/>
      <w:bCs/>
      <w:sz w:val="24"/>
      <w:szCs w:val="21"/>
      <w:lang w:val="zh-CN" w:eastAsia="zh-CN"/>
    </w:rPr>
  </w:style>
  <w:style w:type="paragraph" w:customStyle="1" w:styleId="76">
    <w:name w:val="_Style 75"/>
    <w:basedOn w:val="3"/>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77">
    <w:name w:val="Normal"/>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78">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79">
    <w:name w:val="列出段落3"/>
    <w:basedOn w:val="1"/>
    <w:qFormat/>
    <w:uiPriority w:val="34"/>
    <w:pPr>
      <w:ind w:firstLine="420" w:firstLineChars="200"/>
    </w:pPr>
  </w:style>
  <w:style w:type="paragraph" w:customStyle="1" w:styleId="80">
    <w:name w:val="List Paragraph1"/>
    <w:basedOn w:val="1"/>
    <w:qFormat/>
    <w:uiPriority w:val="0"/>
    <w:pPr>
      <w:ind w:firstLine="420" w:firstLineChars="200"/>
    </w:pPr>
  </w:style>
  <w:style w:type="paragraph" w:customStyle="1" w:styleId="81">
    <w:name w:val="表格"/>
    <w:basedOn w:val="1"/>
    <w:qFormat/>
    <w:uiPriority w:val="0"/>
    <w:pPr>
      <w:spacing w:line="400" w:lineRule="exact"/>
    </w:pPr>
    <w:rPr>
      <w:sz w:val="24"/>
    </w:rPr>
  </w:style>
  <w:style w:type="paragraph" w:customStyle="1" w:styleId="82">
    <w:name w:val="样式"/>
    <w:next w:val="1"/>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83">
    <w:name w:val="Table Paragraph"/>
    <w:basedOn w:val="1"/>
    <w:qFormat/>
    <w:uiPriority w:val="1"/>
    <w:pPr>
      <w:jc w:val="left"/>
    </w:pPr>
    <w:rPr>
      <w:rFonts w:ascii="Calibri" w:hAnsi="Calibri"/>
      <w:kern w:val="0"/>
      <w:sz w:val="22"/>
      <w:szCs w:val="22"/>
      <w:lang w:eastAsia="en-US"/>
    </w:rPr>
  </w:style>
  <w:style w:type="table" w:customStyle="1" w:styleId="84">
    <w:name w:val="TableGrid"/>
    <w:qFormat/>
    <w:uiPriority w:val="0"/>
    <w:rPr>
      <w:lang w:val="en-US" w:eastAsia="zh-CN" w:bidi="ar-SA"/>
    </w:rPr>
    <w:tblPr>
      <w:tblCellMar>
        <w:top w:w="0" w:type="dxa"/>
        <w:left w:w="0" w:type="dxa"/>
        <w:bottom w:w="0" w:type="dxa"/>
        <w:right w:w="0" w:type="dxa"/>
      </w:tblCellMar>
    </w:tblPr>
  </w:style>
  <w:style w:type="paragraph" w:customStyle="1" w:styleId="85">
    <w:name w:val="CD正文"/>
    <w:basedOn w:val="1"/>
    <w:qFormat/>
    <w:uiPriority w:val="0"/>
    <w:pPr>
      <w:spacing w:line="360" w:lineRule="auto"/>
      <w:ind w:firstLine="493"/>
    </w:pPr>
    <w:rPr>
      <w:rFonts w:ascii="Times New Roman" w:hAnsi="Times New Roman" w:eastAsia="宋体" w:cs="Times New Roman"/>
      <w:sz w:val="30"/>
      <w:szCs w:val="28"/>
    </w:rPr>
  </w:style>
  <w:style w:type="character" w:customStyle="1" w:styleId="86">
    <w:name w:val="标题 2 字符"/>
    <w:basedOn w:val="36"/>
    <w:semiHidden/>
    <w:qFormat/>
    <w:uiPriority w:val="9"/>
    <w:rPr>
      <w:rFonts w:ascii="等线 Light" w:hAnsi="等线 Light" w:eastAsia="等线 Light"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www.levovo.com</Company>
  <Pages>60</Pages>
  <Words>5505</Words>
  <Characters>31382</Characters>
  <Lines>261</Lines>
  <Paragraphs>73</Paragraphs>
  <TotalTime>1</TotalTime>
  <ScaleCrop>false</ScaleCrop>
  <LinksUpToDate>false</LinksUpToDate>
  <CharactersWithSpaces>36814</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2019-09-16T14:49:00Z</dcterms:created>
  <dc:creator>吴正新</dc:creator>
  <cp:lastModifiedBy>Administrator</cp:lastModifiedBy>
  <cp:lastPrinted>2021-10-25T01:18:00Z</cp:lastPrinted>
  <dcterms:modified xsi:type="dcterms:W3CDTF">2021-10-26T03:57:49Z</dcterms:modified>
  <dc:title>招标编号：xx政采招[xxxx] xxx号</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KSOSaveFontToCloudKey">
    <vt:lpwstr>422754590_btnclosed</vt:lpwstr>
  </property>
  <property fmtid="{D5CDD505-2E9C-101B-9397-08002B2CF9AE}" pid="4" name="ICV">
    <vt:lpwstr>BA3D87B83B6D4B55AD1F914068FB3653</vt:lpwstr>
  </property>
</Properties>
</file>