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hint="default" w:ascii="仿宋" w:hAnsi="仿宋" w:eastAsia="仿宋" w:cs="Marigold"/>
          <w:b/>
          <w:i w:val="0"/>
          <w:color w:val="auto"/>
          <w:sz w:val="28"/>
          <w:szCs w:val="28"/>
          <w:highlight w:val="none"/>
          <w:lang w:val="en-US" w:eastAsia="zh-CN"/>
        </w:rPr>
      </w:pPr>
      <w:r>
        <w:rPr>
          <w:rFonts w:hint="eastAsia" w:ascii="仿宋" w:hAnsi="仿宋" w:eastAsia="仿宋" w:cs="Marigold"/>
          <w:b/>
          <w:i w:val="0"/>
          <w:color w:val="auto"/>
          <w:sz w:val="28"/>
          <w:szCs w:val="28"/>
          <w:highlight w:val="none"/>
          <w:lang w:eastAsia="zh-CN"/>
        </w:rPr>
        <w:t>项目编号： 510182202200001 </w:t>
      </w:r>
    </w:p>
    <w:p>
      <w:pPr>
        <w:spacing w:after="120" w:line="360" w:lineRule="auto"/>
        <w:contextualSpacing/>
        <w:jc w:val="center"/>
        <w:rPr>
          <w:rFonts w:ascii="仿宋" w:hAnsi="仿宋" w:eastAsia="仿宋" w:cs="Marigold"/>
          <w:b/>
          <w:i w:val="0"/>
          <w:color w:val="auto"/>
          <w:sz w:val="30"/>
          <w:szCs w:val="30"/>
          <w:highlight w:val="none"/>
          <w:lang w:eastAsia="zh-CN"/>
        </w:rPr>
      </w:pPr>
      <w:r>
        <w:rPr>
          <w:rFonts w:hint="eastAsia" w:ascii="仿宋" w:hAnsi="仿宋" w:eastAsia="仿宋" w:cs="Marigold"/>
          <w:b/>
          <w:i w:val="0"/>
          <w:color w:val="auto"/>
          <w:sz w:val="30"/>
          <w:szCs w:val="30"/>
          <w:highlight w:val="none"/>
          <w:lang w:eastAsia="zh-CN"/>
        </w:rPr>
        <w:t>2022年彭州市城区环卫作业服务政府采购项目</w:t>
      </w:r>
    </w:p>
    <w:p>
      <w:pPr>
        <w:spacing w:after="120" w:line="360" w:lineRule="auto"/>
        <w:contextualSpacing/>
        <w:jc w:val="center"/>
        <w:rPr>
          <w:rFonts w:ascii="仿宋" w:hAnsi="仿宋" w:eastAsia="仿宋" w:cs="Marigold"/>
          <w:b/>
          <w:i w:val="0"/>
          <w:color w:val="auto"/>
          <w:sz w:val="30"/>
          <w:szCs w:val="30"/>
          <w:highlight w:val="none"/>
          <w:lang w:eastAsia="zh-CN" w:bidi="ar-SA"/>
        </w:rPr>
      </w:pPr>
    </w:p>
    <w:p>
      <w:pPr>
        <w:spacing w:after="120" w:line="360" w:lineRule="auto"/>
        <w:contextualSpacing/>
        <w:jc w:val="center"/>
        <w:rPr>
          <w:rFonts w:ascii="仿宋" w:hAnsi="仿宋" w:eastAsia="仿宋" w:cs="Marigold"/>
          <w:b/>
          <w:i w:val="0"/>
          <w:color w:val="auto"/>
          <w:sz w:val="30"/>
          <w:szCs w:val="30"/>
          <w:highlight w:val="none"/>
          <w:lang w:eastAsia="zh-CN" w:bidi="ar-SA"/>
        </w:rPr>
      </w:pPr>
    </w:p>
    <w:p>
      <w:pPr>
        <w:spacing w:after="120" w:line="1300" w:lineRule="exact"/>
        <w:jc w:val="center"/>
        <w:rPr>
          <w:rFonts w:ascii="仿宋" w:hAnsi="仿宋" w:eastAsia="仿宋" w:cs="Marigold"/>
          <w:b/>
          <w:i w:val="0"/>
          <w:color w:val="auto"/>
          <w:sz w:val="84"/>
          <w:szCs w:val="84"/>
          <w:highlight w:val="none"/>
          <w:lang w:eastAsia="zh-CN" w:bidi="ar-SA"/>
        </w:rPr>
      </w:pPr>
      <w:r>
        <w:rPr>
          <w:rFonts w:hint="eastAsia" w:ascii="仿宋" w:hAnsi="仿宋" w:eastAsia="仿宋" w:cs="Marigold"/>
          <w:b/>
          <w:i w:val="0"/>
          <w:color w:val="auto"/>
          <w:sz w:val="84"/>
          <w:szCs w:val="84"/>
          <w:highlight w:val="none"/>
          <w:lang w:eastAsia="zh-CN" w:bidi="ar-SA"/>
        </w:rPr>
        <w:t>招</w:t>
      </w:r>
    </w:p>
    <w:p>
      <w:pPr>
        <w:spacing w:after="120" w:line="1300" w:lineRule="exact"/>
        <w:jc w:val="center"/>
        <w:rPr>
          <w:rFonts w:ascii="仿宋" w:hAnsi="仿宋" w:eastAsia="仿宋" w:cs="Marigold"/>
          <w:b/>
          <w:i w:val="0"/>
          <w:color w:val="auto"/>
          <w:sz w:val="84"/>
          <w:szCs w:val="84"/>
          <w:highlight w:val="none"/>
          <w:lang w:eastAsia="zh-CN" w:bidi="ar-SA"/>
        </w:rPr>
      </w:pPr>
      <w:r>
        <w:rPr>
          <w:rFonts w:hint="eastAsia" w:ascii="仿宋" w:hAnsi="仿宋" w:eastAsia="仿宋" w:cs="Marigold"/>
          <w:b/>
          <w:i w:val="0"/>
          <w:color w:val="auto"/>
          <w:sz w:val="84"/>
          <w:szCs w:val="84"/>
          <w:highlight w:val="none"/>
          <w:lang w:eastAsia="zh-CN" w:bidi="ar-SA"/>
        </w:rPr>
        <w:t>标</w:t>
      </w:r>
    </w:p>
    <w:p>
      <w:pPr>
        <w:spacing w:after="120" w:line="1300" w:lineRule="exact"/>
        <w:jc w:val="center"/>
        <w:rPr>
          <w:rFonts w:ascii="仿宋" w:hAnsi="仿宋" w:eastAsia="仿宋" w:cs="Marigold"/>
          <w:b/>
          <w:i w:val="0"/>
          <w:color w:val="auto"/>
          <w:sz w:val="84"/>
          <w:szCs w:val="84"/>
          <w:highlight w:val="none"/>
          <w:lang w:eastAsia="zh-CN" w:bidi="ar-SA"/>
        </w:rPr>
      </w:pPr>
      <w:r>
        <w:rPr>
          <w:rFonts w:hint="eastAsia" w:ascii="仿宋" w:hAnsi="仿宋" w:eastAsia="仿宋" w:cs="Marigold"/>
          <w:b/>
          <w:i w:val="0"/>
          <w:color w:val="auto"/>
          <w:sz w:val="84"/>
          <w:szCs w:val="84"/>
          <w:highlight w:val="none"/>
          <w:lang w:eastAsia="zh-CN" w:bidi="ar-SA"/>
        </w:rPr>
        <w:t>文</w:t>
      </w:r>
    </w:p>
    <w:p>
      <w:pPr>
        <w:spacing w:after="120" w:line="1300" w:lineRule="exact"/>
        <w:jc w:val="center"/>
        <w:rPr>
          <w:rFonts w:ascii="仿宋" w:hAnsi="仿宋" w:eastAsia="仿宋" w:cs="Marigold"/>
          <w:b/>
          <w:i w:val="0"/>
          <w:color w:val="auto"/>
          <w:sz w:val="72"/>
          <w:szCs w:val="72"/>
          <w:highlight w:val="none"/>
          <w:lang w:eastAsia="zh-CN" w:bidi="ar-SA"/>
        </w:rPr>
      </w:pPr>
      <w:r>
        <w:rPr>
          <w:rFonts w:hint="eastAsia" w:ascii="仿宋" w:hAnsi="仿宋" w:eastAsia="仿宋" w:cs="Marigold"/>
          <w:b/>
          <w:i w:val="0"/>
          <w:color w:val="auto"/>
          <w:sz w:val="84"/>
          <w:szCs w:val="84"/>
          <w:highlight w:val="none"/>
          <w:lang w:eastAsia="zh-CN" w:bidi="ar-SA"/>
        </w:rPr>
        <w:t>件</w:t>
      </w:r>
    </w:p>
    <w:p>
      <w:pPr>
        <w:spacing w:line="640" w:lineRule="exact"/>
        <w:rPr>
          <w:rFonts w:ascii="仿宋" w:hAnsi="仿宋" w:eastAsia="仿宋" w:cs="Marigold"/>
          <w:b/>
          <w:i w:val="0"/>
          <w:color w:val="auto"/>
          <w:sz w:val="30"/>
          <w:szCs w:val="30"/>
          <w:highlight w:val="none"/>
          <w:lang w:eastAsia="zh-CN" w:bidi="ar-SA"/>
        </w:rPr>
      </w:pPr>
    </w:p>
    <w:p>
      <w:pPr>
        <w:spacing w:line="640" w:lineRule="exact"/>
        <w:jc w:val="center"/>
        <w:rPr>
          <w:rFonts w:ascii="仿宋" w:hAnsi="仿宋" w:eastAsia="仿宋" w:cs="Marigold"/>
          <w:b/>
          <w:i w:val="0"/>
          <w:color w:val="auto"/>
          <w:sz w:val="30"/>
          <w:szCs w:val="30"/>
          <w:highlight w:val="none"/>
          <w:lang w:eastAsia="zh-CN" w:bidi="ar-SA"/>
        </w:rPr>
      </w:pPr>
    </w:p>
    <w:p>
      <w:pPr>
        <w:spacing w:line="640" w:lineRule="exact"/>
        <w:jc w:val="center"/>
        <w:rPr>
          <w:rFonts w:ascii="仿宋" w:hAnsi="仿宋" w:eastAsia="仿宋" w:cs="Marigold"/>
          <w:b/>
          <w:i w:val="0"/>
          <w:color w:val="auto"/>
          <w:sz w:val="30"/>
          <w:szCs w:val="30"/>
          <w:highlight w:val="none"/>
          <w:lang w:eastAsia="zh-CN" w:bidi="ar-SA"/>
        </w:rPr>
      </w:pPr>
    </w:p>
    <w:p>
      <w:pPr>
        <w:spacing w:after="120"/>
        <w:jc w:val="center"/>
        <w:rPr>
          <w:rFonts w:ascii="仿宋" w:hAnsi="仿宋" w:eastAsia="仿宋" w:cs="仿宋"/>
          <w:b/>
          <w:i w:val="0"/>
          <w:color w:val="auto"/>
          <w:sz w:val="30"/>
          <w:szCs w:val="30"/>
          <w:highlight w:val="none"/>
          <w:lang w:eastAsia="zh-CN" w:bidi="ar-SA"/>
        </w:rPr>
      </w:pPr>
      <w:r>
        <w:rPr>
          <w:rFonts w:hint="eastAsia" w:ascii="仿宋" w:hAnsi="仿宋" w:eastAsia="仿宋" w:cs="Marigold"/>
          <w:b/>
          <w:i w:val="0"/>
          <w:color w:val="auto"/>
          <w:sz w:val="30"/>
          <w:szCs w:val="30"/>
          <w:highlight w:val="none"/>
          <w:lang w:eastAsia="zh-CN" w:bidi="ar-SA"/>
        </w:rPr>
        <w:t>中国</w:t>
      </w:r>
      <w:r>
        <w:rPr>
          <w:rFonts w:hint="eastAsia" w:ascii="宋体" w:hAnsi="宋体" w:cs="宋体"/>
          <w:b/>
          <w:i w:val="0"/>
          <w:color w:val="auto"/>
          <w:sz w:val="30"/>
          <w:szCs w:val="30"/>
          <w:highlight w:val="none"/>
          <w:lang w:eastAsia="zh-CN" w:bidi="ar-SA"/>
        </w:rPr>
        <w:t>•</w:t>
      </w:r>
      <w:r>
        <w:rPr>
          <w:rFonts w:hint="eastAsia" w:ascii="仿宋" w:hAnsi="仿宋" w:eastAsia="仿宋" w:cs="仿宋"/>
          <w:b/>
          <w:i w:val="0"/>
          <w:color w:val="auto"/>
          <w:sz w:val="30"/>
          <w:szCs w:val="30"/>
          <w:highlight w:val="none"/>
          <w:lang w:eastAsia="zh-CN" w:bidi="ar-SA"/>
        </w:rPr>
        <w:t>四川</w:t>
      </w:r>
    </w:p>
    <w:p>
      <w:pPr>
        <w:spacing w:after="120"/>
        <w:jc w:val="center"/>
        <w:rPr>
          <w:rFonts w:ascii="仿宋" w:hAnsi="仿宋" w:eastAsia="仿宋" w:cs="Marigold"/>
          <w:b/>
          <w:i w:val="0"/>
          <w:color w:val="auto"/>
          <w:sz w:val="30"/>
          <w:szCs w:val="30"/>
          <w:highlight w:val="none"/>
          <w:lang w:eastAsia="zh-CN" w:bidi="ar-SA"/>
        </w:rPr>
      </w:pPr>
      <w:r>
        <w:rPr>
          <w:rFonts w:hint="eastAsia" w:ascii="仿宋" w:hAnsi="仿宋" w:eastAsia="仿宋" w:cs="Marigold"/>
          <w:b/>
          <w:i w:val="0"/>
          <w:color w:val="auto"/>
          <w:sz w:val="30"/>
          <w:szCs w:val="30"/>
          <w:highlight w:val="none"/>
          <w:lang w:eastAsia="zh-CN" w:bidi="ar-SA"/>
        </w:rPr>
        <w:t>彭州市综合行政执法局</w:t>
      </w:r>
    </w:p>
    <w:p>
      <w:pPr>
        <w:spacing w:after="120"/>
        <w:jc w:val="center"/>
        <w:rPr>
          <w:rFonts w:ascii="仿宋" w:hAnsi="仿宋" w:eastAsia="仿宋" w:cs="Marigold"/>
          <w:b/>
          <w:i w:val="0"/>
          <w:color w:val="auto"/>
          <w:sz w:val="30"/>
          <w:szCs w:val="30"/>
          <w:highlight w:val="none"/>
          <w:lang w:eastAsia="zh-CN" w:bidi="ar-SA"/>
        </w:rPr>
      </w:pPr>
      <w:r>
        <w:rPr>
          <w:rFonts w:hint="eastAsia" w:ascii="仿宋" w:hAnsi="仿宋" w:eastAsia="仿宋" w:cs="Marigold"/>
          <w:b/>
          <w:i w:val="0"/>
          <w:color w:val="auto"/>
          <w:sz w:val="30"/>
          <w:szCs w:val="30"/>
          <w:highlight w:val="none"/>
          <w:lang w:eastAsia="zh-CN" w:bidi="ar-SA"/>
        </w:rPr>
        <w:t>四川科薪工程管理有限公司共同编制</w:t>
      </w:r>
    </w:p>
    <w:p>
      <w:pPr>
        <w:jc w:val="center"/>
        <w:rPr>
          <w:rFonts w:ascii="仿宋" w:hAnsi="仿宋" w:eastAsia="仿宋" w:cs="Marigold"/>
          <w:b/>
          <w:i w:val="0"/>
          <w:color w:val="auto"/>
          <w:sz w:val="30"/>
          <w:szCs w:val="30"/>
          <w:highlight w:val="none"/>
          <w:lang w:eastAsia="zh-CN" w:bidi="ar-SA"/>
        </w:rPr>
      </w:pPr>
      <w:r>
        <w:rPr>
          <w:rFonts w:hint="eastAsia" w:ascii="仿宋" w:hAnsi="仿宋" w:eastAsia="仿宋" w:cs="Marigold"/>
          <w:b/>
          <w:i w:val="0"/>
          <w:color w:val="auto"/>
          <w:sz w:val="30"/>
          <w:szCs w:val="30"/>
          <w:highlight w:val="none"/>
          <w:lang w:eastAsia="zh-CN" w:bidi="ar-SA"/>
        </w:rPr>
        <w:t>二〇二</w:t>
      </w:r>
      <w:r>
        <w:rPr>
          <w:rFonts w:hint="eastAsia" w:ascii="仿宋" w:hAnsi="仿宋" w:eastAsia="仿宋" w:cs="Marigold"/>
          <w:b/>
          <w:i w:val="0"/>
          <w:color w:val="auto"/>
          <w:sz w:val="30"/>
          <w:szCs w:val="30"/>
          <w:highlight w:val="none"/>
          <w:lang w:val="en-US" w:eastAsia="zh-CN" w:bidi="ar-SA"/>
        </w:rPr>
        <w:t>二</w:t>
      </w:r>
      <w:r>
        <w:rPr>
          <w:rFonts w:hint="eastAsia" w:ascii="仿宋" w:hAnsi="仿宋" w:eastAsia="仿宋" w:cs="Marigold"/>
          <w:b/>
          <w:i w:val="0"/>
          <w:color w:val="auto"/>
          <w:sz w:val="30"/>
          <w:szCs w:val="30"/>
          <w:highlight w:val="none"/>
          <w:lang w:eastAsia="zh-CN" w:bidi="ar-SA"/>
        </w:rPr>
        <w:t>年一月</w:t>
      </w:r>
    </w:p>
    <w:p>
      <w:pPr>
        <w:jc w:val="center"/>
        <w:rPr>
          <w:rFonts w:ascii="仿宋" w:hAnsi="仿宋" w:eastAsia="仿宋" w:cs="Marigold"/>
          <w:b/>
          <w:i w:val="0"/>
          <w:color w:val="auto"/>
          <w:sz w:val="30"/>
          <w:szCs w:val="30"/>
          <w:highlight w:val="none"/>
          <w:lang w:eastAsia="zh-CN" w:bidi="ar-SA"/>
        </w:rPr>
        <w:sectPr>
          <w:headerReference r:id="rId3" w:type="default"/>
          <w:footerReference r:id="rId4" w:type="default"/>
          <w:pgSz w:w="11907" w:h="16840"/>
          <w:pgMar w:top="1418" w:right="1134" w:bottom="1418" w:left="1474" w:header="851" w:footer="992" w:gutter="0"/>
          <w:cols w:space="720" w:num="1"/>
          <w:docGrid w:linePitch="312" w:charSpace="0"/>
        </w:sectPr>
      </w:pPr>
    </w:p>
    <w:p>
      <w:pPr>
        <w:jc w:val="center"/>
        <w:rPr>
          <w:rFonts w:ascii="仿宋" w:hAnsi="仿宋" w:eastAsia="仿宋" w:cs="Marigold"/>
          <w:b/>
          <w:i w:val="0"/>
          <w:color w:val="auto"/>
          <w:sz w:val="30"/>
          <w:szCs w:val="30"/>
          <w:highlight w:val="none"/>
          <w:lang w:eastAsia="zh-CN" w:bidi="ar-SA"/>
        </w:rPr>
      </w:pPr>
      <w:r>
        <w:rPr>
          <w:rFonts w:hint="eastAsia" w:ascii="仿宋" w:hAnsi="仿宋" w:eastAsia="仿宋" w:cs="Marigold"/>
          <w:b/>
          <w:i w:val="0"/>
          <w:color w:val="auto"/>
          <w:sz w:val="30"/>
          <w:szCs w:val="30"/>
          <w:highlight w:val="none"/>
          <w:lang w:eastAsia="zh-CN" w:bidi="ar-SA"/>
        </w:rPr>
        <w:t>目录</w:t>
      </w:r>
    </w:p>
    <w:p>
      <w:pPr>
        <w:pStyle w:val="19"/>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 w:val="24"/>
          <w:szCs w:val="24"/>
          <w:highlight w:val="none"/>
          <w:lang w:eastAsia="zh-CN" w:bidi="ar-SA"/>
        </w:rPr>
        <w:fldChar w:fldCharType="begin"/>
      </w:r>
      <w:r>
        <w:rPr>
          <w:rFonts w:hint="eastAsia" w:ascii="仿宋" w:hAnsi="仿宋" w:eastAsia="仿宋" w:cs="仿宋"/>
          <w:i w:val="0"/>
          <w:color w:val="auto"/>
          <w:sz w:val="24"/>
          <w:szCs w:val="24"/>
          <w:highlight w:val="none"/>
          <w:lang w:eastAsia="zh-CN" w:bidi="ar-SA"/>
        </w:rPr>
        <w:instrText xml:space="preserve"> TOC \o "1-2" \h \z \u </w:instrText>
      </w:r>
      <w:r>
        <w:rPr>
          <w:rFonts w:hint="eastAsia" w:ascii="仿宋" w:hAnsi="仿宋" w:eastAsia="仿宋" w:cs="仿宋"/>
          <w:i w:val="0"/>
          <w:color w:val="auto"/>
          <w:sz w:val="24"/>
          <w:szCs w:val="24"/>
          <w:highlight w:val="none"/>
          <w:lang w:eastAsia="zh-CN" w:bidi="ar-SA"/>
        </w:rPr>
        <w:fldChar w:fldCharType="separate"/>
      </w: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_Toc1742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第一章  投标邀请</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_Toc1742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19"/>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_Toc5003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第二章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_Toc5003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_Toc4699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一、投标人须知前附表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_Toc4699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_Toc14787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二、总则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_Toc14787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_Toc24372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三、招标文件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_Toc24372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_Toc18010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四、投标文件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_Toc18010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_Toc19246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五、开标和中标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_Toc19246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20</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_Toc3020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六、签订及履行合同和服务要求、考核标准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_Toc3020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_Toc8911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七、投标纪律要求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_Toc8911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_Toc16545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八、质疑和投诉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_Toc16545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_Toc13900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九、招标代理服务费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_Toc13900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27</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_Toc16597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bidi="ar-SA"/>
        </w:rPr>
        <w:t>十、其他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_Toc16597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27</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19"/>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_Toc5063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第三章投标文件格式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_Toc5063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29</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19"/>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_Toc25530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kern w:val="44"/>
          <w:szCs w:val="32"/>
          <w:highlight w:val="none"/>
          <w:lang w:eastAsia="zh-CN" w:bidi="ar-SA"/>
        </w:rPr>
        <w:t>第一册  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_Toc25530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30</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_Toc30779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一、资格证明文件函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_Toc30779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31</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_Toc20895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二、法定代表人授权书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_Toc20895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32</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_Toc21741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三、承诺函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_Toc21741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33</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_Toc24580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val="en-US" w:eastAsia="zh-CN"/>
        </w:rPr>
        <w:t>四</w:t>
      </w:r>
      <w:r>
        <w:rPr>
          <w:rFonts w:hint="eastAsia" w:ascii="仿宋" w:hAnsi="仿宋" w:eastAsia="仿宋" w:cs="仿宋"/>
          <w:i w:val="0"/>
          <w:color w:val="auto"/>
          <w:highlight w:val="none"/>
          <w:lang w:eastAsia="zh-CN"/>
        </w:rPr>
        <w:t>、招标文件要求递交其他的材料或文件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_Toc24580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34</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_Toc30057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val="en-US" w:eastAsia="zh-CN"/>
        </w:rPr>
        <w:t>五</w:t>
      </w:r>
      <w:r>
        <w:rPr>
          <w:rFonts w:hint="eastAsia" w:ascii="仿宋" w:hAnsi="仿宋" w:eastAsia="仿宋" w:cs="仿宋"/>
          <w:i w:val="0"/>
          <w:color w:val="auto"/>
          <w:highlight w:val="none"/>
          <w:lang w:eastAsia="zh-CN"/>
        </w:rPr>
        <w:t>、其它投标人认为需要递交的材料或文件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_Toc30057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34</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19"/>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_Toc28713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kern w:val="44"/>
          <w:szCs w:val="32"/>
          <w:highlight w:val="none"/>
          <w:lang w:eastAsia="zh-CN" w:bidi="ar-SA"/>
        </w:rPr>
        <w:t>第二册 商务和技术文件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_Toc28713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35</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_Toc29260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一、投标函（实质性要求）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_Toc29260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36</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_Toc27436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二、开标一览表（实质性要求）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_Toc27436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37</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_Toc16229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三、分项报价表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_Toc16229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38</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_Toc4124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四、商务应答</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_Toc4124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39</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_Toc22528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五、投标人基本情况</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_Toc22528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40</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_Toc11179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六、技术/服务应答</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_Toc11179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41</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_Toc25167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七、投标人本项目管理、技术、服务人员情况</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_Toc25167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42</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_Toc20069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八、投标人类似业绩</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_Toc20069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43</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_Toc11084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九、中小企业证明材料（仅限符合要求的投标人）</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_Toc11084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44</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_Toc32144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val="en-US" w:eastAsia="zh-CN"/>
        </w:rPr>
        <w:t>十</w:t>
      </w:r>
      <w:r>
        <w:rPr>
          <w:rFonts w:hint="eastAsia" w:ascii="仿宋" w:hAnsi="仿宋" w:eastAsia="仿宋" w:cs="仿宋"/>
          <w:i w:val="0"/>
          <w:color w:val="auto"/>
          <w:highlight w:val="none"/>
          <w:lang w:eastAsia="zh-CN"/>
        </w:rPr>
        <w:t>、监狱企业证明材料（仅限符合要求的投标人）</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_Toc32144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46</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_Toc9870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val="en-US" w:eastAsia="zh-CN"/>
        </w:rPr>
        <w:t>十一</w:t>
      </w:r>
      <w:r>
        <w:rPr>
          <w:rFonts w:hint="eastAsia" w:ascii="仿宋" w:hAnsi="仿宋" w:eastAsia="仿宋" w:cs="仿宋"/>
          <w:i w:val="0"/>
          <w:color w:val="auto"/>
          <w:highlight w:val="none"/>
          <w:lang w:eastAsia="zh-CN"/>
        </w:rPr>
        <w:t>、残疾人福利性单位证明材料（仅限符合要求的投标人）</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_Toc9870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_Toc31780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val="en-US" w:eastAsia="zh-CN"/>
        </w:rPr>
        <w:t>十二、</w:t>
      </w:r>
      <w:r>
        <w:rPr>
          <w:rFonts w:hint="eastAsia" w:ascii="仿宋" w:hAnsi="仿宋" w:eastAsia="仿宋" w:cs="仿宋"/>
          <w:i w:val="0"/>
          <w:color w:val="auto"/>
          <w:highlight w:val="none"/>
          <w:lang w:eastAsia="zh-CN"/>
        </w:rPr>
        <w:t>其它投标人认为需要递交的材料或文件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_Toc31780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48</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_Toc14822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十</w:t>
      </w:r>
      <w:r>
        <w:rPr>
          <w:rFonts w:hint="eastAsia" w:ascii="仿宋" w:hAnsi="仿宋" w:eastAsia="仿宋" w:cs="仿宋"/>
          <w:i w:val="0"/>
          <w:color w:val="auto"/>
          <w:highlight w:val="none"/>
          <w:lang w:val="en-US" w:eastAsia="zh-CN"/>
        </w:rPr>
        <w:t>三</w:t>
      </w:r>
      <w:r>
        <w:rPr>
          <w:rFonts w:hint="eastAsia" w:ascii="仿宋" w:hAnsi="仿宋" w:eastAsia="仿宋" w:cs="仿宋"/>
          <w:i w:val="0"/>
          <w:color w:val="auto"/>
          <w:highlight w:val="none"/>
          <w:lang w:eastAsia="zh-CN"/>
        </w:rPr>
        <w:t>、招标文件要求递交其他的材料或文件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_Toc14822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48</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19"/>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_Toc29824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第四章 投标人和投标产品（如涉及）的资格、资质性及其他类似效力要求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_Toc29824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_Toc6848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szCs w:val="24"/>
          <w:highlight w:val="none"/>
          <w:lang w:eastAsia="zh-CN"/>
        </w:rPr>
        <w:t>一、《中华人民共和国政府采购法》第二十二条第一款第（一）至（五）规定的条件：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_Toc6848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_Toc20677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szCs w:val="24"/>
          <w:highlight w:val="none"/>
          <w:shd w:val="clear" w:color="auto" w:fill="FFFFFF"/>
          <w:lang w:eastAsia="zh-CN"/>
        </w:rPr>
        <w:t>二、法律、行政法规规定的其他条件：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_Toc20677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_Toc29589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szCs w:val="24"/>
          <w:highlight w:val="none"/>
          <w:shd w:val="clear" w:color="auto" w:fill="FFFFFF"/>
          <w:lang w:eastAsia="zh-CN"/>
        </w:rPr>
        <w:t>三、资格证明文件函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_Toc29589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50</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_Toc16123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szCs w:val="24"/>
          <w:highlight w:val="none"/>
          <w:shd w:val="clear" w:color="auto" w:fill="FFFFFF"/>
          <w:lang w:eastAsia="zh-CN"/>
        </w:rPr>
        <w:t>四、法定代表人授权书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_Toc16123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50</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_Toc31223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szCs w:val="24"/>
          <w:highlight w:val="none"/>
          <w:shd w:val="clear" w:color="auto" w:fill="FFFFFF"/>
          <w:lang w:eastAsia="zh-CN"/>
        </w:rPr>
        <w:t xml:space="preserve">五、承诺函 </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_Toc31223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50</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19"/>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_Toc1900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第五章投标人应当提供的资格、资质性及其他类似效力要求的相关证明材料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_Toc1900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_Toc8702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一、具有独立承担民事责任的能力</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_Toc8702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_Toc20192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二、具有履行合同所必需的设备和专业技术能力</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_Toc20192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_Toc16930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三、</w:t>
      </w:r>
      <w:r>
        <w:rPr>
          <w:rFonts w:hint="eastAsia" w:ascii="仿宋" w:hAnsi="仿宋" w:eastAsia="仿宋" w:cs="仿宋"/>
          <w:i w:val="0"/>
          <w:color w:val="auto"/>
          <w:szCs w:val="24"/>
          <w:highlight w:val="none"/>
          <w:lang w:eastAsia="zh-CN"/>
        </w:rPr>
        <w:t>具有良好的商业信誉和健全的财务会计制度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_Toc16930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_Toc27543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szCs w:val="24"/>
          <w:highlight w:val="none"/>
          <w:lang w:eastAsia="zh-CN"/>
        </w:rPr>
        <w:t>四、有依法缴纳税收的良好记录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_Toc27543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_Toc21179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szCs w:val="24"/>
          <w:highlight w:val="none"/>
          <w:lang w:eastAsia="zh-CN"/>
        </w:rPr>
        <w:t>五、有依法缴纳社会保障资金的良好记录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_Toc21179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_Toc27444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szCs w:val="24"/>
          <w:highlight w:val="none"/>
          <w:lang w:eastAsia="zh-CN"/>
        </w:rPr>
        <w:t>六、参加政府采购活动前三年内，在经营活动中没有重大违法记录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_Toc27444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_Toc3785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szCs w:val="24"/>
          <w:highlight w:val="none"/>
          <w:lang w:eastAsia="zh-CN"/>
        </w:rPr>
        <w:t>七、法律、行政法规规定的其他条件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_Toc3785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_Toc6399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szCs w:val="24"/>
          <w:highlight w:val="none"/>
          <w:lang w:eastAsia="zh-CN"/>
        </w:rPr>
        <w:t>八、资格证明文件函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_Toc6399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_Toc10158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szCs w:val="24"/>
          <w:highlight w:val="none"/>
          <w:lang w:eastAsia="zh-CN"/>
        </w:rPr>
        <w:t>九、法定代表人授权书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_Toc10158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_Toc3871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szCs w:val="24"/>
          <w:highlight w:val="none"/>
          <w:lang w:eastAsia="zh-CN"/>
        </w:rPr>
        <w:t>十、承诺函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_Toc3871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19"/>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_Toc3070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第六章招标项目技术、服务、商务及其他要求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_Toc3070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54</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19"/>
        <w:tabs>
          <w:tab w:val="right" w:leader="dot" w:pos="9299"/>
        </w:tabs>
        <w:rPr>
          <w:rFonts w:hint="eastAsia" w:ascii="仿宋" w:hAnsi="仿宋" w:eastAsia="仿宋" w:cs="仿宋"/>
          <w:color w:val="auto"/>
          <w:highlight w:val="none"/>
        </w:rPr>
      </w:pPr>
      <w:bookmarkStart w:id="705" w:name="_GoBack"/>
      <w:bookmarkEnd w:id="705"/>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_Toc5520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第七章评标办法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_Toc5520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115</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_Toc5559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一、总则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_Toc5559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115</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_Toc14558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二、评标方法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_Toc14558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116</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_Toc5634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三、评标程序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_Toc5634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116</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_Toc22145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四、评标细则及标准（综合评分法）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_Toc22145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122</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_Toc18995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五、废标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_Toc18995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126</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_Toc22716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六、定标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_Toc22716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126</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_Toc5301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七、评标专家在政府采购活动中承担以下义务：</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_Toc5301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127</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_Toc31930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八、评标专家在政府采购活动中应当遵守以下工作纪律：</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_Toc31930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127</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19"/>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_Toc14536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第八章合同主要条款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_Toc14536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129</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_Toc4218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一、项目基本情况及服务范围</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_Toc4218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129</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_Toc27970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二、合同期限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_Toc27970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129</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_Toc21758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三、采购标的需满足的服务标准、期限、效率等要求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_Toc21758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130</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_Toc26239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四、项目实施费用组成及支付方式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_Toc26239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139</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_Toc20240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五、验收方式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_Toc20240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139</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_Toc6290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六、知识产权</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_Toc6290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139</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_Toc25373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七、甲方的权利和义务</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_Toc25373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140</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_Toc15414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八、乙方的权利和义务</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_Toc15414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140</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_Toc15604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九、违约责任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_Toc15604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140</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_Toc13327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十、不可抗力事件处理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_Toc13327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140</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_Toc19050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十一、解决合同纠纷的方式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_Toc19050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141</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21"/>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_Toc7490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eastAsia="zh-CN"/>
        </w:rPr>
        <w:t>十二、合同生效及其他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_Toc7490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141</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pStyle w:val="19"/>
        <w:tabs>
          <w:tab w:val="right" w:leader="dot" w:pos="9299"/>
        </w:tabs>
        <w:rPr>
          <w:rFonts w:hint="eastAsia" w:ascii="仿宋" w:hAnsi="仿宋" w:eastAsia="仿宋" w:cs="仿宋"/>
          <w:color w:val="auto"/>
          <w:highlight w:val="none"/>
        </w:rPr>
      </w:pPr>
      <w:r>
        <w:rPr>
          <w:rFonts w:hint="eastAsia" w:ascii="仿宋" w:hAnsi="仿宋" w:eastAsia="仿宋" w:cs="仿宋"/>
          <w:i w:val="0"/>
          <w:color w:val="auto"/>
          <w:szCs w:val="24"/>
          <w:highlight w:val="none"/>
          <w:lang w:eastAsia="zh-CN" w:bidi="ar-SA"/>
        </w:rPr>
        <w:fldChar w:fldCharType="begin"/>
      </w:r>
      <w:r>
        <w:rPr>
          <w:rFonts w:hint="eastAsia" w:ascii="仿宋" w:hAnsi="仿宋" w:eastAsia="仿宋" w:cs="仿宋"/>
          <w:i w:val="0"/>
          <w:color w:val="auto"/>
          <w:szCs w:val="24"/>
          <w:highlight w:val="none"/>
          <w:lang w:eastAsia="zh-CN" w:bidi="ar-SA"/>
        </w:rPr>
        <w:instrText xml:space="preserve"> HYPERLINK \l _Toc2098 </w:instrText>
      </w:r>
      <w:r>
        <w:rPr>
          <w:rFonts w:hint="eastAsia" w:ascii="仿宋" w:hAnsi="仿宋" w:eastAsia="仿宋" w:cs="仿宋"/>
          <w:i w:val="0"/>
          <w:color w:val="auto"/>
          <w:szCs w:val="24"/>
          <w:highlight w:val="none"/>
          <w:lang w:eastAsia="zh-CN" w:bidi="ar-SA"/>
        </w:rPr>
        <w:fldChar w:fldCharType="separate"/>
      </w:r>
      <w:r>
        <w:rPr>
          <w:rFonts w:hint="eastAsia" w:ascii="仿宋" w:hAnsi="仿宋" w:eastAsia="仿宋" w:cs="仿宋"/>
          <w:i w:val="0"/>
          <w:color w:val="auto"/>
          <w:highlight w:val="none"/>
          <w:lang w:val="en-US" w:eastAsia="zh-CN"/>
        </w:rPr>
        <w:t xml:space="preserve">第九章 </w:t>
      </w:r>
      <w:r>
        <w:rPr>
          <w:rFonts w:hint="eastAsia" w:ascii="仿宋" w:hAnsi="仿宋" w:eastAsia="仿宋" w:cs="仿宋"/>
          <w:i w:val="0"/>
          <w:color w:val="auto"/>
          <w:highlight w:val="none"/>
          <w:lang w:eastAsia="zh-CN"/>
        </w:rPr>
        <w:t>质疑函、</w:t>
      </w:r>
      <w:r>
        <w:rPr>
          <w:rFonts w:hint="eastAsia" w:ascii="仿宋" w:hAnsi="仿宋" w:eastAsia="仿宋" w:cs="仿宋"/>
          <w:i w:val="0"/>
          <w:color w:val="auto"/>
          <w:highlight w:val="none"/>
          <w:lang w:val="en-US" w:eastAsia="zh-CN"/>
        </w:rPr>
        <w:t>投诉书</w:t>
      </w:r>
      <w:r>
        <w:rPr>
          <w:rFonts w:hint="eastAsia" w:ascii="仿宋" w:hAnsi="仿宋" w:eastAsia="仿宋" w:cs="仿宋"/>
          <w:i w:val="0"/>
          <w:color w:val="auto"/>
          <w:highlight w:val="none"/>
          <w:lang w:eastAsia="zh-CN"/>
        </w:rPr>
        <w:t>格式和内容要求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_Toc2098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143</w:t>
      </w:r>
      <w:r>
        <w:rPr>
          <w:rFonts w:hint="eastAsia" w:ascii="仿宋" w:hAnsi="仿宋" w:eastAsia="仿宋" w:cs="仿宋"/>
          <w:color w:val="auto"/>
          <w:highlight w:val="none"/>
        </w:rPr>
        <w:fldChar w:fldCharType="end"/>
      </w:r>
      <w:r>
        <w:rPr>
          <w:rFonts w:hint="eastAsia" w:ascii="仿宋" w:hAnsi="仿宋" w:eastAsia="仿宋" w:cs="仿宋"/>
          <w:i w:val="0"/>
          <w:color w:val="auto"/>
          <w:szCs w:val="24"/>
          <w:highlight w:val="none"/>
          <w:lang w:eastAsia="zh-CN" w:bidi="ar-SA"/>
        </w:rPr>
        <w:fldChar w:fldCharType="end"/>
      </w:r>
    </w:p>
    <w:p>
      <w:pPr>
        <w:spacing w:line="360" w:lineRule="auto"/>
        <w:jc w:val="center"/>
        <w:rPr>
          <w:rFonts w:ascii="仿宋" w:hAnsi="仿宋" w:eastAsia="仿宋"/>
          <w:i w:val="0"/>
          <w:color w:val="auto"/>
          <w:sz w:val="24"/>
          <w:szCs w:val="24"/>
          <w:highlight w:val="none"/>
        </w:rPr>
        <w:sectPr>
          <w:footerReference r:id="rId5" w:type="default"/>
          <w:pgSz w:w="11907" w:h="16840"/>
          <w:pgMar w:top="1418" w:right="1134" w:bottom="1122" w:left="1474" w:header="851" w:footer="992" w:gutter="0"/>
          <w:pgNumType w:start="1"/>
          <w:cols w:space="720" w:num="1"/>
          <w:docGrid w:linePitch="312" w:charSpace="0"/>
        </w:sectPr>
      </w:pPr>
      <w:r>
        <w:rPr>
          <w:rFonts w:hint="eastAsia" w:ascii="仿宋" w:hAnsi="仿宋" w:eastAsia="仿宋" w:cs="仿宋"/>
          <w:i w:val="0"/>
          <w:color w:val="auto"/>
          <w:szCs w:val="24"/>
          <w:highlight w:val="none"/>
          <w:lang w:eastAsia="zh-CN" w:bidi="ar-SA"/>
        </w:rPr>
        <w:fldChar w:fldCharType="end"/>
      </w:r>
    </w:p>
    <w:p>
      <w:pPr>
        <w:pStyle w:val="3"/>
        <w:rPr>
          <w:rFonts w:ascii="仿宋" w:hAnsi="仿宋"/>
          <w:i w:val="0"/>
          <w:color w:val="auto"/>
          <w:highlight w:val="none"/>
          <w:lang w:eastAsia="zh-CN"/>
        </w:rPr>
      </w:pPr>
      <w:bookmarkStart w:id="0" w:name="_Toc511558610"/>
      <w:bookmarkStart w:id="1" w:name="_Toc1742"/>
      <w:bookmarkStart w:id="2" w:name="_Toc394578393"/>
      <w:r>
        <w:rPr>
          <w:rFonts w:hint="eastAsia" w:ascii="仿宋" w:hAnsi="仿宋"/>
          <w:i w:val="0"/>
          <w:color w:val="auto"/>
          <w:highlight w:val="none"/>
          <w:lang w:eastAsia="zh-CN"/>
        </w:rPr>
        <w:t>第一章  投标邀请</w:t>
      </w:r>
      <w:bookmarkEnd w:id="0"/>
      <w:bookmarkEnd w:id="1"/>
      <w:bookmarkEnd w:id="2"/>
    </w:p>
    <w:p>
      <w:pPr>
        <w:spacing w:line="360" w:lineRule="auto"/>
        <w:ind w:firstLine="482" w:firstLineChars="200"/>
        <w:contextualSpacing/>
        <w:rPr>
          <w:rFonts w:ascii="仿宋" w:hAnsi="仿宋" w:eastAsia="仿宋"/>
          <w:b/>
          <w:i w:val="0"/>
          <w:color w:val="auto"/>
          <w:sz w:val="24"/>
          <w:highlight w:val="none"/>
          <w:u w:val="single"/>
          <w:lang w:eastAsia="zh-CN"/>
        </w:rPr>
      </w:pPr>
      <w:r>
        <w:rPr>
          <w:rFonts w:hint="eastAsia" w:ascii="仿宋" w:hAnsi="仿宋" w:eastAsia="仿宋"/>
          <w:b/>
          <w:i w:val="0"/>
          <w:color w:val="auto"/>
          <w:sz w:val="24"/>
          <w:highlight w:val="none"/>
          <w:u w:val="single"/>
          <w:lang w:eastAsia="zh-CN"/>
        </w:rPr>
        <w:t>四川科薪工程管理有限公司</w:t>
      </w:r>
      <w:r>
        <w:rPr>
          <w:rFonts w:hint="eastAsia" w:ascii="仿宋" w:hAnsi="仿宋" w:eastAsia="仿宋"/>
          <w:i w:val="0"/>
          <w:color w:val="auto"/>
          <w:sz w:val="24"/>
          <w:highlight w:val="none"/>
          <w:lang w:eastAsia="zh-CN"/>
        </w:rPr>
        <w:t>受</w:t>
      </w:r>
      <w:r>
        <w:rPr>
          <w:rFonts w:hint="eastAsia" w:ascii="仿宋" w:hAnsi="仿宋" w:eastAsia="仿宋"/>
          <w:b/>
          <w:i w:val="0"/>
          <w:color w:val="auto"/>
          <w:sz w:val="24"/>
          <w:highlight w:val="none"/>
          <w:u w:val="single"/>
          <w:lang w:eastAsia="zh-CN"/>
        </w:rPr>
        <w:t>彭州市综合行政执法局</w:t>
      </w:r>
      <w:r>
        <w:rPr>
          <w:rFonts w:hint="eastAsia" w:ascii="仿宋" w:hAnsi="仿宋" w:eastAsia="仿宋"/>
          <w:i w:val="0"/>
          <w:color w:val="auto"/>
          <w:sz w:val="24"/>
          <w:highlight w:val="none"/>
          <w:lang w:eastAsia="zh-CN"/>
        </w:rPr>
        <w:t>委托，拟对</w:t>
      </w:r>
      <w:r>
        <w:rPr>
          <w:rFonts w:hint="eastAsia" w:ascii="仿宋" w:hAnsi="仿宋" w:eastAsia="仿宋"/>
          <w:b/>
          <w:i w:val="0"/>
          <w:color w:val="auto"/>
          <w:sz w:val="24"/>
          <w:highlight w:val="none"/>
          <w:u w:val="single"/>
          <w:lang w:eastAsia="zh-CN"/>
        </w:rPr>
        <w:t>2022年彭州市城区环卫作业服务政府采购项目</w:t>
      </w:r>
      <w:r>
        <w:rPr>
          <w:rFonts w:hint="eastAsia" w:ascii="仿宋" w:hAnsi="仿宋" w:eastAsia="仿宋"/>
          <w:i w:val="0"/>
          <w:color w:val="auto"/>
          <w:sz w:val="24"/>
          <w:highlight w:val="none"/>
          <w:lang w:eastAsia="zh-CN"/>
        </w:rPr>
        <w:t>进行国内公开招标，兹邀请符合本次招标要求的投标人参加投标。</w:t>
      </w:r>
    </w:p>
    <w:p>
      <w:pPr>
        <w:spacing w:after="120" w:line="360" w:lineRule="auto"/>
        <w:rPr>
          <w:rFonts w:ascii="仿宋" w:hAnsi="仿宋" w:eastAsia="仿宋" w:cs="Marigold"/>
          <w:i w:val="0"/>
          <w:color w:val="auto"/>
          <w:sz w:val="24"/>
          <w:szCs w:val="24"/>
          <w:highlight w:val="none"/>
          <w:lang w:eastAsia="zh-CN"/>
        </w:rPr>
      </w:pPr>
      <w:r>
        <w:rPr>
          <w:rFonts w:hint="eastAsia" w:ascii="仿宋" w:hAnsi="仿宋" w:eastAsia="仿宋" w:cs="Marigold"/>
          <w:b/>
          <w:i w:val="0"/>
          <w:color w:val="auto"/>
          <w:sz w:val="24"/>
          <w:szCs w:val="24"/>
          <w:highlight w:val="none"/>
          <w:lang w:eastAsia="zh-CN"/>
        </w:rPr>
        <w:t>一、项目编号： 510182202200001 </w:t>
      </w:r>
    </w:p>
    <w:p>
      <w:pPr>
        <w:spacing w:after="120" w:line="360" w:lineRule="auto"/>
        <w:ind w:left="1687" w:hanging="1687" w:hangingChars="700"/>
        <w:contextualSpacing/>
        <w:jc w:val="both"/>
        <w:rPr>
          <w:rFonts w:ascii="仿宋" w:hAnsi="仿宋" w:eastAsia="仿宋"/>
          <w:b/>
          <w:i w:val="0"/>
          <w:color w:val="auto"/>
          <w:sz w:val="24"/>
          <w:highlight w:val="none"/>
          <w:lang w:eastAsia="zh-CN"/>
        </w:rPr>
      </w:pPr>
      <w:r>
        <w:rPr>
          <w:rFonts w:hint="eastAsia" w:ascii="仿宋" w:hAnsi="仿宋" w:eastAsia="仿宋" w:cs="Marigold"/>
          <w:b/>
          <w:bCs/>
          <w:i w:val="0"/>
          <w:color w:val="auto"/>
          <w:sz w:val="24"/>
          <w:szCs w:val="24"/>
          <w:highlight w:val="none"/>
          <w:lang w:eastAsia="zh-CN"/>
        </w:rPr>
        <w:t>二、</w:t>
      </w:r>
      <w:r>
        <w:rPr>
          <w:rFonts w:ascii="仿宋" w:hAnsi="仿宋" w:eastAsia="仿宋" w:cs="Marigold"/>
          <w:b/>
          <w:bCs/>
          <w:i w:val="0"/>
          <w:color w:val="auto"/>
          <w:sz w:val="24"/>
          <w:szCs w:val="24"/>
          <w:highlight w:val="none"/>
          <w:lang w:eastAsia="zh-CN"/>
        </w:rPr>
        <w:t>项目</w:t>
      </w:r>
      <w:r>
        <w:rPr>
          <w:rFonts w:hint="eastAsia" w:ascii="仿宋" w:hAnsi="仿宋" w:eastAsia="仿宋" w:cs="Marigold"/>
          <w:b/>
          <w:i w:val="0"/>
          <w:color w:val="auto"/>
          <w:sz w:val="24"/>
          <w:szCs w:val="24"/>
          <w:highlight w:val="none"/>
          <w:lang w:eastAsia="zh-CN"/>
        </w:rPr>
        <w:t>名称：</w:t>
      </w:r>
      <w:r>
        <w:rPr>
          <w:rFonts w:hint="eastAsia" w:ascii="仿宋" w:hAnsi="仿宋" w:eastAsia="仿宋"/>
          <w:b/>
          <w:i w:val="0"/>
          <w:color w:val="auto"/>
          <w:sz w:val="24"/>
          <w:highlight w:val="none"/>
          <w:lang w:eastAsia="zh-CN"/>
        </w:rPr>
        <w:t>2022年彭州市城区环卫作业服务政府采购项目</w:t>
      </w:r>
    </w:p>
    <w:p>
      <w:pPr>
        <w:keepNext w:val="0"/>
        <w:keepLines w:val="0"/>
        <w:pageBreakBefore w:val="0"/>
        <w:widowControl/>
        <w:kinsoku/>
        <w:wordWrap/>
        <w:overflowPunct/>
        <w:topLinePunct w:val="0"/>
        <w:autoSpaceDE/>
        <w:autoSpaceDN/>
        <w:bidi w:val="0"/>
        <w:adjustRightInd/>
        <w:snapToGrid/>
        <w:spacing w:after="120" w:line="360" w:lineRule="auto"/>
        <w:ind w:left="0" w:firstLine="0" w:firstLineChars="0"/>
        <w:contextualSpacing/>
        <w:jc w:val="both"/>
        <w:textAlignment w:val="auto"/>
        <w:rPr>
          <w:rFonts w:hint="default" w:ascii="仿宋" w:hAnsi="仿宋" w:eastAsia="仿宋" w:cs="Marigold"/>
          <w:i w:val="0"/>
          <w:color w:val="auto"/>
          <w:sz w:val="24"/>
          <w:szCs w:val="24"/>
          <w:highlight w:val="none"/>
          <w:lang w:val="en-US" w:eastAsia="zh-CN"/>
        </w:rPr>
      </w:pPr>
      <w:r>
        <w:rPr>
          <w:rFonts w:hint="eastAsia" w:ascii="仿宋" w:hAnsi="仿宋" w:eastAsia="仿宋" w:cs="Marigold"/>
          <w:b/>
          <w:i w:val="0"/>
          <w:color w:val="auto"/>
          <w:sz w:val="24"/>
          <w:szCs w:val="24"/>
          <w:highlight w:val="none"/>
          <w:lang w:eastAsia="zh-CN"/>
        </w:rPr>
        <w:t>三、资金来源：</w:t>
      </w:r>
      <w:r>
        <w:rPr>
          <w:rFonts w:hint="eastAsia" w:ascii="仿宋" w:hAnsi="仿宋" w:eastAsia="仿宋" w:cs="Marigold"/>
          <w:b/>
          <w:bCs/>
          <w:i w:val="0"/>
          <w:color w:val="auto"/>
          <w:sz w:val="24"/>
          <w:szCs w:val="24"/>
          <w:highlight w:val="none"/>
          <w:lang w:eastAsia="zh-CN"/>
        </w:rPr>
        <w:t>财政性资金，</w:t>
      </w:r>
      <w:r>
        <w:rPr>
          <w:rFonts w:hint="eastAsia" w:ascii="仿宋" w:hAnsi="仿宋" w:eastAsia="仿宋" w:cs="Marigold"/>
          <w:b/>
          <w:bCs/>
          <w:i w:val="0"/>
          <w:color w:val="auto"/>
          <w:sz w:val="24"/>
          <w:szCs w:val="24"/>
          <w:highlight w:val="none"/>
          <w:lang w:val="en-US" w:eastAsia="zh-CN"/>
        </w:rPr>
        <w:t>采购预算7967.78万元，政府采购品目编码及名称：C1601 城镇公共卫生服务。</w:t>
      </w:r>
    </w:p>
    <w:p>
      <w:pPr>
        <w:tabs>
          <w:tab w:val="left" w:pos="5620"/>
        </w:tabs>
        <w:spacing w:after="120" w:line="360" w:lineRule="auto"/>
        <w:rPr>
          <w:rFonts w:ascii="仿宋" w:hAnsi="仿宋" w:eastAsia="仿宋" w:cs="Marigold"/>
          <w:i w:val="0"/>
          <w:color w:val="auto"/>
          <w:sz w:val="24"/>
          <w:szCs w:val="24"/>
          <w:highlight w:val="none"/>
          <w:lang w:eastAsia="zh-CN"/>
        </w:rPr>
      </w:pPr>
      <w:r>
        <w:rPr>
          <w:rFonts w:hint="eastAsia" w:ascii="仿宋" w:hAnsi="仿宋" w:eastAsia="仿宋" w:cs="Marigold"/>
          <w:b/>
          <w:i w:val="0"/>
          <w:color w:val="auto"/>
          <w:sz w:val="24"/>
          <w:szCs w:val="24"/>
          <w:highlight w:val="none"/>
          <w:lang w:eastAsia="zh-CN"/>
        </w:rPr>
        <w:t>四</w:t>
      </w:r>
      <w:r>
        <w:rPr>
          <w:rFonts w:hint="eastAsia" w:ascii="仿宋" w:hAnsi="仿宋" w:eastAsia="仿宋" w:cs="Marigold"/>
          <w:b/>
          <w:bCs/>
          <w:i w:val="0"/>
          <w:color w:val="auto"/>
          <w:sz w:val="24"/>
          <w:szCs w:val="24"/>
          <w:highlight w:val="none"/>
          <w:lang w:eastAsia="zh-CN"/>
        </w:rPr>
        <w:t>、</w:t>
      </w:r>
      <w:r>
        <w:rPr>
          <w:rFonts w:hint="eastAsia" w:ascii="仿宋" w:hAnsi="仿宋" w:eastAsia="仿宋" w:cs="Marigold"/>
          <w:b/>
          <w:i w:val="0"/>
          <w:color w:val="auto"/>
          <w:sz w:val="24"/>
          <w:szCs w:val="24"/>
          <w:highlight w:val="none"/>
          <w:lang w:eastAsia="zh-CN"/>
        </w:rPr>
        <w:t>招标项目简介：本次采购项目共1个包</w:t>
      </w:r>
    </w:p>
    <w:p>
      <w:pPr>
        <w:spacing w:after="120" w:line="360" w:lineRule="auto"/>
        <w:ind w:firstLine="482" w:firstLineChars="200"/>
        <w:rPr>
          <w:rFonts w:ascii="仿宋" w:hAnsi="仿宋" w:eastAsia="仿宋" w:cs="Marigold"/>
          <w:b/>
          <w:bCs/>
          <w:i w:val="0"/>
          <w:color w:val="auto"/>
          <w:sz w:val="24"/>
          <w:szCs w:val="24"/>
          <w:highlight w:val="none"/>
        </w:rPr>
      </w:pPr>
      <w:r>
        <w:rPr>
          <w:rFonts w:hint="eastAsia" w:ascii="仿宋" w:hAnsi="仿宋" w:eastAsia="仿宋"/>
          <w:b/>
          <w:i w:val="0"/>
          <w:color w:val="auto"/>
          <w:sz w:val="24"/>
          <w:highlight w:val="none"/>
          <w:lang w:eastAsia="zh-CN"/>
        </w:rPr>
        <w:t>1、</w:t>
      </w:r>
      <w:r>
        <w:rPr>
          <w:rFonts w:hint="eastAsia" w:ascii="仿宋" w:hAnsi="仿宋" w:eastAsia="仿宋" w:cs="Marigold"/>
          <w:b/>
          <w:i w:val="0"/>
          <w:color w:val="auto"/>
          <w:sz w:val="24"/>
          <w:szCs w:val="24"/>
          <w:highlight w:val="none"/>
        </w:rPr>
        <w:t>采购内容</w:t>
      </w:r>
      <w:r>
        <w:rPr>
          <w:rFonts w:hint="eastAsia" w:ascii="仿宋" w:hAnsi="仿宋" w:eastAsia="仿宋" w:cs="Marigold"/>
          <w:b/>
          <w:i w:val="0"/>
          <w:color w:val="auto"/>
          <w:sz w:val="24"/>
          <w:szCs w:val="24"/>
          <w:highlight w:val="none"/>
          <w:lang w:eastAsia="zh-CN"/>
        </w:rPr>
        <w:t>：</w:t>
      </w:r>
    </w:p>
    <w:tbl>
      <w:tblPr>
        <w:tblStyle w:val="2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2"/>
        <w:gridCol w:w="255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采购标的</w:t>
            </w:r>
          </w:p>
        </w:tc>
        <w:tc>
          <w:tcPr>
            <w:tcW w:w="340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具体服务内容</w:t>
            </w:r>
          </w:p>
        </w:tc>
        <w:tc>
          <w:tcPr>
            <w:tcW w:w="255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最高限价</w:t>
            </w:r>
          </w:p>
        </w:tc>
        <w:tc>
          <w:tcPr>
            <w:tcW w:w="1134"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i w:val="0"/>
                <w:color w:val="auto"/>
                <w:sz w:val="24"/>
                <w:highlight w:val="none"/>
                <w:lang w:eastAsia="zh-CN"/>
              </w:rPr>
              <w:t>总预算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i w:val="0"/>
                <w:color w:val="auto"/>
                <w:sz w:val="24"/>
                <w:highlight w:val="none"/>
                <w:lang w:eastAsia="zh-CN"/>
              </w:rPr>
              <w:t>环卫作业市场化服务</w:t>
            </w:r>
          </w:p>
        </w:tc>
        <w:tc>
          <w:tcPr>
            <w:tcW w:w="340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清扫保洁</w:t>
            </w:r>
            <w:r>
              <w:rPr>
                <w:rFonts w:hint="eastAsia" w:ascii="仿宋" w:hAnsi="仿宋" w:eastAsia="仿宋"/>
                <w:i w:val="0"/>
                <w:color w:val="auto"/>
                <w:sz w:val="24"/>
                <w:highlight w:val="none"/>
                <w:lang w:eastAsia="zh-CN"/>
              </w:rPr>
              <w:t>服务</w:t>
            </w:r>
          </w:p>
        </w:tc>
        <w:tc>
          <w:tcPr>
            <w:tcW w:w="2552" w:type="dxa"/>
            <w:vAlign w:val="center"/>
          </w:tcPr>
          <w:p>
            <w:pPr>
              <w:spacing w:line="360" w:lineRule="auto"/>
              <w:jc w:val="both"/>
              <w:rPr>
                <w:rFonts w:hint="default" w:ascii="仿宋" w:hAnsi="仿宋" w:eastAsia="仿宋" w:cs="仿宋"/>
                <w:i w:val="0"/>
                <w:color w:val="auto"/>
                <w:sz w:val="24"/>
                <w:szCs w:val="24"/>
                <w:highlight w:val="none"/>
                <w:lang w:val="en-US" w:eastAsia="zh-CN"/>
              </w:rPr>
            </w:pPr>
            <w:r>
              <w:rPr>
                <w:rFonts w:hint="eastAsia" w:ascii="仿宋" w:hAnsi="仿宋" w:eastAsia="仿宋" w:cs="仿宋"/>
                <w:i w:val="0"/>
                <w:color w:val="auto"/>
                <w:sz w:val="24"/>
                <w:szCs w:val="24"/>
                <w:highlight w:val="none"/>
                <w:lang w:eastAsia="zh-CN"/>
              </w:rPr>
              <w:t>6149.69万元</w:t>
            </w:r>
            <w:r>
              <w:rPr>
                <w:rFonts w:hint="eastAsia" w:ascii="仿宋" w:hAnsi="仿宋" w:eastAsia="仿宋" w:cs="仿宋"/>
                <w:i w:val="0"/>
                <w:color w:val="auto"/>
                <w:sz w:val="24"/>
                <w:szCs w:val="24"/>
                <w:highlight w:val="none"/>
                <w:lang w:val="en-US" w:eastAsia="zh-CN"/>
              </w:rPr>
              <w:t>/年</w:t>
            </w:r>
          </w:p>
        </w:tc>
        <w:tc>
          <w:tcPr>
            <w:tcW w:w="1134" w:type="dxa"/>
            <w:vMerge w:val="restart"/>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i w:val="0"/>
                <w:color w:val="auto"/>
                <w:sz w:val="24"/>
                <w:highlight w:val="none"/>
                <w:lang w:val="en-US" w:eastAsia="zh-CN"/>
              </w:rPr>
              <w:t>7967.78</w:t>
            </w:r>
            <w:r>
              <w:rPr>
                <w:rFonts w:hint="eastAsia" w:ascii="仿宋" w:hAnsi="仿宋" w:eastAsia="仿宋"/>
                <w:i w:val="0"/>
                <w:color w:val="auto"/>
                <w:sz w:val="24"/>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both"/>
              <w:rPr>
                <w:rFonts w:ascii="仿宋" w:hAnsi="仿宋" w:eastAsia="仿宋" w:cs="仿宋"/>
                <w:i w:val="0"/>
                <w:color w:val="auto"/>
                <w:sz w:val="24"/>
                <w:szCs w:val="24"/>
                <w:highlight w:val="none"/>
                <w:lang w:eastAsia="zh-CN"/>
              </w:rPr>
            </w:pPr>
          </w:p>
        </w:tc>
        <w:tc>
          <w:tcPr>
            <w:tcW w:w="340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生活垃圾收运服务</w:t>
            </w:r>
          </w:p>
        </w:tc>
        <w:tc>
          <w:tcPr>
            <w:tcW w:w="2552" w:type="dxa"/>
            <w:vAlign w:val="center"/>
          </w:tcPr>
          <w:p>
            <w:pPr>
              <w:spacing w:line="360" w:lineRule="auto"/>
              <w:jc w:val="both"/>
              <w:rPr>
                <w:rFonts w:ascii="仿宋" w:hAnsi="仿宋" w:eastAsia="仿宋" w:cs="仿宋"/>
                <w:i w:val="0"/>
                <w:color w:val="auto"/>
                <w:sz w:val="24"/>
                <w:szCs w:val="24"/>
                <w:highlight w:val="none"/>
                <w:lang w:eastAsia="zh-CN"/>
              </w:rPr>
            </w:pPr>
            <w:r>
              <w:rPr>
                <w:rFonts w:ascii="仿宋" w:hAnsi="仿宋" w:eastAsia="仿宋" w:cs="仿宋"/>
                <w:i w:val="0"/>
                <w:color w:val="auto"/>
                <w:sz w:val="24"/>
                <w:szCs w:val="24"/>
                <w:highlight w:val="none"/>
                <w:lang w:eastAsia="zh-CN"/>
              </w:rPr>
              <w:t>87.15</w:t>
            </w:r>
            <w:r>
              <w:rPr>
                <w:rFonts w:hint="eastAsia" w:ascii="仿宋" w:hAnsi="仿宋" w:eastAsia="仿宋" w:cs="仿宋"/>
                <w:i w:val="0"/>
                <w:color w:val="auto"/>
                <w:sz w:val="24"/>
                <w:szCs w:val="24"/>
                <w:highlight w:val="none"/>
                <w:lang w:eastAsia="zh-CN"/>
              </w:rPr>
              <w:t>元/吨</w:t>
            </w:r>
          </w:p>
        </w:tc>
        <w:tc>
          <w:tcPr>
            <w:tcW w:w="1134" w:type="dxa"/>
            <w:vMerge w:val="continue"/>
            <w:vAlign w:val="center"/>
          </w:tcPr>
          <w:p>
            <w:pPr>
              <w:spacing w:line="360" w:lineRule="auto"/>
              <w:jc w:val="both"/>
              <w:rPr>
                <w:rFonts w:ascii="仿宋" w:hAnsi="仿宋" w:eastAsia="仿宋" w:cs="仿宋"/>
                <w:i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both"/>
              <w:rPr>
                <w:rFonts w:ascii="仿宋" w:hAnsi="仿宋" w:eastAsia="仿宋" w:cs="仿宋"/>
                <w:i w:val="0"/>
                <w:color w:val="auto"/>
                <w:sz w:val="24"/>
                <w:szCs w:val="24"/>
                <w:highlight w:val="none"/>
                <w:lang w:eastAsia="zh-CN"/>
              </w:rPr>
            </w:pPr>
          </w:p>
        </w:tc>
        <w:tc>
          <w:tcPr>
            <w:tcW w:w="340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地埋式收集站管理服务</w:t>
            </w:r>
          </w:p>
        </w:tc>
        <w:tc>
          <w:tcPr>
            <w:tcW w:w="255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val="en-US" w:eastAsia="zh-CN"/>
              </w:rPr>
              <w:t>12.9384</w:t>
            </w:r>
            <w:r>
              <w:rPr>
                <w:rFonts w:hint="eastAsia" w:ascii="仿宋" w:hAnsi="仿宋" w:eastAsia="仿宋" w:cs="仿宋"/>
                <w:i w:val="0"/>
                <w:color w:val="auto"/>
                <w:sz w:val="24"/>
                <w:szCs w:val="24"/>
                <w:highlight w:val="none"/>
                <w:lang w:eastAsia="zh-CN"/>
              </w:rPr>
              <w:t>万元/</w:t>
            </w:r>
            <w:r>
              <w:rPr>
                <w:rFonts w:hint="eastAsia" w:ascii="仿宋" w:hAnsi="仿宋" w:eastAsia="仿宋" w:cs="仿宋"/>
                <w:i w:val="0"/>
                <w:color w:val="auto"/>
                <w:sz w:val="24"/>
                <w:szCs w:val="24"/>
                <w:highlight w:val="none"/>
                <w:lang w:val="en-US" w:eastAsia="zh-CN"/>
              </w:rPr>
              <w:t>座/年</w:t>
            </w:r>
          </w:p>
        </w:tc>
        <w:tc>
          <w:tcPr>
            <w:tcW w:w="1134" w:type="dxa"/>
            <w:vMerge w:val="continue"/>
            <w:vAlign w:val="center"/>
          </w:tcPr>
          <w:p>
            <w:pPr>
              <w:spacing w:line="360" w:lineRule="auto"/>
              <w:jc w:val="both"/>
              <w:rPr>
                <w:rFonts w:ascii="仿宋" w:hAnsi="仿宋" w:eastAsia="仿宋" w:cs="仿宋"/>
                <w:i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both"/>
              <w:rPr>
                <w:rFonts w:ascii="仿宋" w:hAnsi="仿宋" w:eastAsia="仿宋" w:cs="仿宋"/>
                <w:i w:val="0"/>
                <w:color w:val="auto"/>
                <w:sz w:val="24"/>
                <w:szCs w:val="24"/>
                <w:highlight w:val="none"/>
                <w:lang w:eastAsia="zh-CN"/>
              </w:rPr>
            </w:pPr>
          </w:p>
        </w:tc>
        <w:tc>
          <w:tcPr>
            <w:tcW w:w="340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公厕管护服务</w:t>
            </w:r>
          </w:p>
        </w:tc>
        <w:tc>
          <w:tcPr>
            <w:tcW w:w="255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val="en-US" w:eastAsia="zh-CN"/>
              </w:rPr>
              <w:t>8.472</w:t>
            </w:r>
            <w:r>
              <w:rPr>
                <w:rFonts w:hint="eastAsia" w:ascii="仿宋" w:hAnsi="仿宋" w:eastAsia="仿宋" w:cs="仿宋"/>
                <w:i w:val="0"/>
                <w:color w:val="auto"/>
                <w:sz w:val="24"/>
                <w:szCs w:val="24"/>
                <w:highlight w:val="none"/>
                <w:lang w:eastAsia="zh-CN"/>
              </w:rPr>
              <w:t>万元/</w:t>
            </w:r>
            <w:r>
              <w:rPr>
                <w:rFonts w:hint="eastAsia" w:ascii="仿宋" w:hAnsi="仿宋" w:eastAsia="仿宋" w:cs="仿宋"/>
                <w:i w:val="0"/>
                <w:color w:val="auto"/>
                <w:sz w:val="24"/>
                <w:szCs w:val="24"/>
                <w:highlight w:val="none"/>
                <w:lang w:val="en-US" w:eastAsia="zh-CN"/>
              </w:rPr>
              <w:t>座/年</w:t>
            </w:r>
          </w:p>
        </w:tc>
        <w:tc>
          <w:tcPr>
            <w:tcW w:w="1134" w:type="dxa"/>
            <w:vMerge w:val="continue"/>
            <w:vAlign w:val="center"/>
          </w:tcPr>
          <w:p>
            <w:pPr>
              <w:spacing w:line="360" w:lineRule="auto"/>
              <w:jc w:val="both"/>
              <w:rPr>
                <w:rFonts w:ascii="仿宋" w:hAnsi="仿宋" w:eastAsia="仿宋" w:cs="仿宋"/>
                <w:i w:val="0"/>
                <w:color w:val="auto"/>
                <w:sz w:val="24"/>
                <w:szCs w:val="24"/>
                <w:highlight w:val="none"/>
                <w:lang w:eastAsia="zh-CN"/>
              </w:rPr>
            </w:pPr>
          </w:p>
        </w:tc>
      </w:tr>
    </w:tbl>
    <w:p>
      <w:pPr>
        <w:spacing w:line="360" w:lineRule="auto"/>
        <w:ind w:firstLine="480" w:firstLineChars="200"/>
        <w:contextualSpacing/>
        <w:rPr>
          <w:rFonts w:ascii="仿宋" w:hAnsi="仿宋" w:eastAsia="仿宋" w:cs="Marigold"/>
          <w:bCs/>
          <w:i w:val="0"/>
          <w:color w:val="auto"/>
          <w:sz w:val="24"/>
          <w:szCs w:val="24"/>
          <w:highlight w:val="none"/>
          <w:lang w:eastAsia="zh-CN"/>
        </w:rPr>
      </w:pPr>
      <w:r>
        <w:rPr>
          <w:rFonts w:ascii="仿宋" w:hAnsi="仿宋" w:eastAsia="仿宋" w:cs="Marigold"/>
          <w:bCs/>
          <w:i w:val="0"/>
          <w:color w:val="auto"/>
          <w:sz w:val="24"/>
          <w:szCs w:val="24"/>
          <w:highlight w:val="none"/>
          <w:lang w:eastAsia="zh-CN"/>
        </w:rPr>
        <w:t>（</w:t>
      </w:r>
      <w:r>
        <w:rPr>
          <w:rFonts w:hint="eastAsia" w:ascii="仿宋" w:hAnsi="仿宋" w:eastAsia="仿宋" w:cs="Marigold"/>
          <w:bCs/>
          <w:i w:val="0"/>
          <w:color w:val="auto"/>
          <w:sz w:val="24"/>
          <w:szCs w:val="24"/>
          <w:highlight w:val="none"/>
          <w:lang w:eastAsia="zh-CN"/>
        </w:rPr>
        <w:t>采购</w:t>
      </w:r>
      <w:r>
        <w:rPr>
          <w:rFonts w:ascii="仿宋" w:hAnsi="仿宋" w:eastAsia="仿宋" w:cs="Marigold"/>
          <w:bCs/>
          <w:i w:val="0"/>
          <w:color w:val="auto"/>
          <w:sz w:val="24"/>
          <w:szCs w:val="24"/>
          <w:highlight w:val="none"/>
          <w:lang w:eastAsia="zh-CN"/>
        </w:rPr>
        <w:t>需求及</w:t>
      </w:r>
      <w:r>
        <w:rPr>
          <w:rFonts w:hint="eastAsia" w:ascii="仿宋" w:hAnsi="仿宋" w:eastAsia="仿宋" w:cs="Marigold"/>
          <w:bCs/>
          <w:i w:val="0"/>
          <w:color w:val="auto"/>
          <w:sz w:val="24"/>
          <w:szCs w:val="24"/>
          <w:highlight w:val="none"/>
          <w:lang w:eastAsia="zh-CN"/>
        </w:rPr>
        <w:t>要求详见招标文件第六章）</w:t>
      </w:r>
    </w:p>
    <w:p>
      <w:pPr>
        <w:spacing w:after="120" w:line="360" w:lineRule="auto"/>
        <w:ind w:left="480"/>
        <w:rPr>
          <w:rFonts w:ascii="仿宋" w:hAnsi="仿宋" w:eastAsia="仿宋" w:cs="Marigold"/>
          <w:b/>
          <w:bCs/>
          <w:i w:val="0"/>
          <w:color w:val="auto"/>
          <w:sz w:val="24"/>
          <w:szCs w:val="24"/>
          <w:highlight w:val="none"/>
          <w:lang w:eastAsia="zh-CN"/>
        </w:rPr>
      </w:pPr>
      <w:r>
        <w:rPr>
          <w:rFonts w:hint="eastAsia" w:ascii="仿宋" w:hAnsi="仿宋" w:eastAsia="仿宋" w:cs="Marigold"/>
          <w:b/>
          <w:bCs/>
          <w:i w:val="0"/>
          <w:color w:val="auto"/>
          <w:sz w:val="24"/>
          <w:szCs w:val="24"/>
          <w:highlight w:val="none"/>
          <w:lang w:eastAsia="zh-CN"/>
        </w:rPr>
        <w:t>2、采购背景：</w:t>
      </w:r>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根据《成都市市容和环境卫生管理条例》《成都市环卫</w:t>
      </w:r>
      <w:r>
        <w:rPr>
          <w:rFonts w:hint="eastAsia" w:ascii="仿宋" w:hAnsi="仿宋" w:eastAsia="仿宋"/>
          <w:i w:val="0"/>
          <w:color w:val="auto"/>
          <w:sz w:val="24"/>
          <w:highlight w:val="none"/>
          <w:lang w:val="en-US" w:eastAsia="zh-CN"/>
        </w:rPr>
        <w:t>清扫</w:t>
      </w:r>
      <w:r>
        <w:rPr>
          <w:rFonts w:hint="eastAsia" w:ascii="仿宋" w:hAnsi="仿宋" w:eastAsia="仿宋"/>
          <w:i w:val="0"/>
          <w:color w:val="auto"/>
          <w:sz w:val="24"/>
          <w:highlight w:val="none"/>
          <w:lang w:eastAsia="zh-CN"/>
        </w:rPr>
        <w:t>保洁精细化作业规则》《成都市环卫</w:t>
      </w:r>
      <w:r>
        <w:rPr>
          <w:rFonts w:hint="eastAsia" w:ascii="仿宋" w:hAnsi="仿宋" w:eastAsia="仿宋"/>
          <w:i w:val="0"/>
          <w:color w:val="auto"/>
          <w:sz w:val="24"/>
          <w:highlight w:val="none"/>
          <w:lang w:val="en-US" w:eastAsia="zh-CN"/>
        </w:rPr>
        <w:t>清扫</w:t>
      </w:r>
      <w:r>
        <w:rPr>
          <w:rFonts w:hint="eastAsia" w:ascii="仿宋" w:hAnsi="仿宋" w:eastAsia="仿宋"/>
          <w:i w:val="0"/>
          <w:color w:val="auto"/>
          <w:sz w:val="24"/>
          <w:highlight w:val="none"/>
          <w:lang w:eastAsia="zh-CN"/>
        </w:rPr>
        <w:t>保洁精细化监督管理办法》等文件的相关规定，现拟采购2022年彭州市城区环卫作业服务政府采购项目。</w:t>
      </w:r>
    </w:p>
    <w:p>
      <w:pPr>
        <w:spacing w:after="120" w:line="360" w:lineRule="auto"/>
        <w:ind w:firstLine="482" w:firstLineChars="200"/>
        <w:rPr>
          <w:rFonts w:ascii="仿宋" w:hAnsi="仿宋" w:eastAsia="仿宋" w:cs="Marigold"/>
          <w:b/>
          <w:bCs/>
          <w:i w:val="0"/>
          <w:color w:val="auto"/>
          <w:sz w:val="24"/>
          <w:szCs w:val="24"/>
          <w:highlight w:val="none"/>
          <w:lang w:eastAsia="zh-CN"/>
        </w:rPr>
      </w:pPr>
      <w:r>
        <w:rPr>
          <w:rFonts w:hint="eastAsia" w:ascii="仿宋" w:hAnsi="仿宋" w:eastAsia="仿宋" w:cs="Marigold"/>
          <w:b/>
          <w:bCs/>
          <w:i w:val="0"/>
          <w:color w:val="auto"/>
          <w:sz w:val="24"/>
          <w:szCs w:val="24"/>
          <w:highlight w:val="none"/>
          <w:lang w:eastAsia="zh-CN"/>
        </w:rPr>
        <w:t>3、采购项目需要落实的政府采购政策：</w:t>
      </w:r>
    </w:p>
    <w:p>
      <w:pPr>
        <w:spacing w:line="360" w:lineRule="auto"/>
        <w:ind w:firstLine="480" w:firstLineChars="200"/>
        <w:rPr>
          <w:rFonts w:hint="eastAsia" w:ascii="仿宋" w:hAnsi="仿宋" w:eastAsia="仿宋" w:cs="Marigold"/>
          <w:bCs/>
          <w:i w:val="0"/>
          <w:color w:val="auto"/>
          <w:sz w:val="24"/>
          <w:szCs w:val="24"/>
          <w:highlight w:val="none"/>
          <w:lang w:eastAsia="zh-CN"/>
        </w:rPr>
      </w:pPr>
      <w:r>
        <w:rPr>
          <w:rFonts w:hint="eastAsia" w:ascii="仿宋" w:hAnsi="仿宋" w:eastAsia="仿宋" w:cs="Marigold"/>
          <w:bCs/>
          <w:i w:val="0"/>
          <w:color w:val="auto"/>
          <w:sz w:val="24"/>
          <w:szCs w:val="24"/>
          <w:highlight w:val="none"/>
          <w:lang w:eastAsia="zh-CN"/>
        </w:rPr>
        <w:t>①扶持中小企业政策：《政府采购促进中小企业发展管理办法》（财库〔2020〕46 号），评审时小型和微型企业产品享受10%的价格折扣。</w:t>
      </w:r>
    </w:p>
    <w:p>
      <w:pPr>
        <w:spacing w:line="360" w:lineRule="auto"/>
        <w:ind w:firstLine="480" w:firstLineChars="200"/>
        <w:rPr>
          <w:rFonts w:hint="eastAsia" w:ascii="仿宋" w:hAnsi="仿宋" w:eastAsia="仿宋" w:cs="Marigold"/>
          <w:bCs/>
          <w:i w:val="0"/>
          <w:color w:val="auto"/>
          <w:sz w:val="24"/>
          <w:szCs w:val="24"/>
          <w:highlight w:val="none"/>
          <w:lang w:eastAsia="zh-CN"/>
        </w:rPr>
      </w:pPr>
      <w:r>
        <w:rPr>
          <w:rFonts w:hint="eastAsia" w:ascii="宋体" w:hAnsi="宋体" w:eastAsia="宋体" w:cs="宋体"/>
          <w:bCs/>
          <w:i w:val="0"/>
          <w:color w:val="auto"/>
          <w:sz w:val="24"/>
          <w:szCs w:val="24"/>
          <w:highlight w:val="none"/>
          <w:lang w:eastAsia="zh-CN"/>
        </w:rPr>
        <w:t>②</w:t>
      </w:r>
      <w:r>
        <w:rPr>
          <w:rFonts w:hint="eastAsia" w:ascii="仿宋" w:hAnsi="仿宋" w:eastAsia="仿宋" w:cs="Marigold"/>
          <w:bCs/>
          <w:i w:val="0"/>
          <w:color w:val="auto"/>
          <w:sz w:val="24"/>
          <w:szCs w:val="24"/>
          <w:highlight w:val="none"/>
          <w:lang w:eastAsia="zh-CN"/>
        </w:rPr>
        <w:t>监狱企业政策：《财政部、司法部关于政府采购支持监狱企业发展有关问题的通知》（财库〔2014〕68号），监狱企业视同小型、微型企业，评审时享受10%的价格折扣。</w:t>
      </w:r>
    </w:p>
    <w:p>
      <w:pPr>
        <w:spacing w:line="360" w:lineRule="auto"/>
        <w:ind w:firstLine="480" w:firstLineChars="200"/>
        <w:rPr>
          <w:rFonts w:hint="eastAsia" w:ascii="仿宋" w:hAnsi="仿宋" w:eastAsia="仿宋" w:cs="Marigold"/>
          <w:bCs/>
          <w:i w:val="0"/>
          <w:color w:val="auto"/>
          <w:sz w:val="24"/>
          <w:szCs w:val="24"/>
          <w:highlight w:val="none"/>
          <w:lang w:eastAsia="zh-CN"/>
        </w:rPr>
      </w:pPr>
      <w:r>
        <w:rPr>
          <w:rFonts w:hint="eastAsia" w:ascii="宋体" w:hAnsi="宋体" w:eastAsia="宋体" w:cs="宋体"/>
          <w:bCs/>
          <w:i w:val="0"/>
          <w:color w:val="auto"/>
          <w:sz w:val="24"/>
          <w:szCs w:val="24"/>
          <w:highlight w:val="none"/>
          <w:lang w:eastAsia="zh-CN"/>
        </w:rPr>
        <w:t>③</w:t>
      </w:r>
      <w:r>
        <w:rPr>
          <w:rFonts w:hint="eastAsia" w:ascii="仿宋" w:hAnsi="仿宋" w:eastAsia="仿宋" w:cs="Marigold"/>
          <w:bCs/>
          <w:i w:val="0"/>
          <w:color w:val="auto"/>
          <w:sz w:val="24"/>
          <w:szCs w:val="24"/>
          <w:highlight w:val="none"/>
          <w:lang w:eastAsia="zh-CN"/>
        </w:rPr>
        <w:t>促进残疾人就业政府采购政策：《民政部、财政部、中国残疾人联合会关于促进残疾人就业政府采购政策的通知》（财库〔2017〕141号），残疾人福利性单位视同小型、微型企业，评审时享受10%的价格折扣。</w:t>
      </w:r>
    </w:p>
    <w:p>
      <w:pPr>
        <w:spacing w:line="360" w:lineRule="auto"/>
        <w:ind w:firstLine="480" w:firstLineChars="200"/>
        <w:rPr>
          <w:rFonts w:ascii="仿宋" w:hAnsi="仿宋" w:eastAsia="仿宋" w:cs="Marigold"/>
          <w:bCs/>
          <w:i w:val="0"/>
          <w:color w:val="auto"/>
          <w:sz w:val="24"/>
          <w:szCs w:val="24"/>
          <w:highlight w:val="none"/>
          <w:lang w:eastAsia="zh-CN"/>
        </w:rPr>
      </w:pPr>
      <w:r>
        <w:rPr>
          <w:rFonts w:hint="eastAsia" w:ascii="宋体" w:hAnsi="宋体" w:eastAsia="宋体" w:cs="宋体"/>
          <w:bCs/>
          <w:i w:val="0"/>
          <w:color w:val="auto"/>
          <w:sz w:val="24"/>
          <w:szCs w:val="24"/>
          <w:highlight w:val="none"/>
          <w:lang w:eastAsia="zh-CN"/>
        </w:rPr>
        <w:t>④</w:t>
      </w:r>
      <w:r>
        <w:rPr>
          <w:rFonts w:hint="eastAsia" w:ascii="仿宋" w:hAnsi="仿宋" w:eastAsia="仿宋" w:cs="Marigold"/>
          <w:bCs/>
          <w:i w:val="0"/>
          <w:color w:val="auto"/>
          <w:sz w:val="24"/>
          <w:szCs w:val="24"/>
          <w:highlight w:val="none"/>
          <w:lang w:eastAsia="zh-CN"/>
        </w:rPr>
        <w:t>其他政府采购政策执行：最后得分相同的，注册经营地在不发达地区和少数民族地区的投标人优先。</w:t>
      </w:r>
    </w:p>
    <w:p>
      <w:pPr>
        <w:spacing w:line="360" w:lineRule="auto"/>
        <w:ind w:firstLine="480" w:firstLineChars="200"/>
        <w:rPr>
          <w:rFonts w:ascii="仿宋" w:hAnsi="仿宋" w:eastAsia="仿宋" w:cs="Marigold"/>
          <w:bCs/>
          <w:i w:val="0"/>
          <w:color w:val="auto"/>
          <w:sz w:val="24"/>
          <w:szCs w:val="24"/>
          <w:highlight w:val="none"/>
          <w:lang w:eastAsia="zh-CN"/>
        </w:rPr>
      </w:pPr>
      <w:r>
        <w:rPr>
          <w:rFonts w:hint="eastAsia" w:ascii="宋体" w:hAnsi="宋体" w:eastAsia="宋体" w:cs="宋体"/>
          <w:bCs/>
          <w:i w:val="0"/>
          <w:color w:val="auto"/>
          <w:sz w:val="24"/>
          <w:szCs w:val="24"/>
          <w:highlight w:val="none"/>
          <w:lang w:eastAsia="zh-CN"/>
        </w:rPr>
        <w:t>⑤</w:t>
      </w:r>
      <w:r>
        <w:rPr>
          <w:rFonts w:hint="eastAsia" w:ascii="仿宋" w:hAnsi="仿宋" w:eastAsia="仿宋" w:cs="Marigold"/>
          <w:bCs/>
          <w:i w:val="0"/>
          <w:color w:val="auto"/>
          <w:sz w:val="24"/>
          <w:szCs w:val="24"/>
          <w:highlight w:val="none"/>
          <w:lang w:eastAsia="zh-CN"/>
        </w:rPr>
        <w:t>推进四川省政府采购供应商信用融资：根据《四川省财政厅关于推进四川省政府采购供应商信用融资工作的通知》（川财采〔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spacing w:line="360" w:lineRule="auto"/>
        <w:ind w:firstLine="480" w:firstLineChars="200"/>
        <w:rPr>
          <w:rFonts w:ascii="仿宋" w:hAnsi="仿宋" w:eastAsia="仿宋" w:cs="Marigold"/>
          <w:bCs/>
          <w:i w:val="0"/>
          <w:color w:val="auto"/>
          <w:sz w:val="24"/>
          <w:szCs w:val="24"/>
          <w:highlight w:val="none"/>
          <w:lang w:eastAsia="zh-CN"/>
        </w:rPr>
      </w:pPr>
      <w:r>
        <w:rPr>
          <w:rFonts w:hint="eastAsia" w:ascii="宋体" w:hAnsi="宋体" w:eastAsia="宋体" w:cs="宋体"/>
          <w:bCs/>
          <w:i w:val="0"/>
          <w:color w:val="auto"/>
          <w:sz w:val="24"/>
          <w:szCs w:val="24"/>
          <w:highlight w:val="none"/>
          <w:lang w:eastAsia="zh-CN"/>
        </w:rPr>
        <w:t>⑥</w:t>
      </w:r>
      <w:r>
        <w:rPr>
          <w:rFonts w:hint="eastAsia" w:ascii="仿宋" w:hAnsi="仿宋" w:eastAsia="仿宋" w:cs="Marigold"/>
          <w:bCs/>
          <w:i w:val="0"/>
          <w:color w:val="auto"/>
          <w:sz w:val="24"/>
          <w:szCs w:val="24"/>
          <w:highlight w:val="none"/>
          <w:lang w:eastAsia="zh-CN"/>
        </w:rPr>
        <w:t>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p>
      <w:pPr>
        <w:spacing w:after="120" w:line="360" w:lineRule="auto"/>
        <w:rPr>
          <w:rFonts w:ascii="仿宋" w:hAnsi="仿宋" w:eastAsia="仿宋" w:cs="Marigold"/>
          <w:b/>
          <w:bCs/>
          <w:i w:val="0"/>
          <w:color w:val="auto"/>
          <w:sz w:val="24"/>
          <w:szCs w:val="24"/>
          <w:highlight w:val="none"/>
          <w:lang w:eastAsia="zh-CN"/>
        </w:rPr>
      </w:pPr>
      <w:r>
        <w:rPr>
          <w:rFonts w:hint="eastAsia" w:ascii="仿宋" w:hAnsi="仿宋" w:eastAsia="仿宋" w:cs="Marigold"/>
          <w:b/>
          <w:bCs/>
          <w:i w:val="0"/>
          <w:color w:val="auto"/>
          <w:sz w:val="24"/>
          <w:szCs w:val="24"/>
          <w:highlight w:val="none"/>
          <w:lang w:eastAsia="zh-CN"/>
        </w:rPr>
        <w:t>五、投标人参加本次政府采购活动应具备下列条件：</w:t>
      </w:r>
    </w:p>
    <w:p>
      <w:pPr>
        <w:spacing w:line="400" w:lineRule="exact"/>
        <w:ind w:firstLine="480" w:firstLineChars="200"/>
        <w:rPr>
          <w:rFonts w:ascii="仿宋" w:hAnsi="仿宋" w:eastAsia="仿宋"/>
          <w:i w:val="0"/>
          <w:color w:val="auto"/>
          <w:sz w:val="24"/>
          <w:szCs w:val="24"/>
          <w:highlight w:val="none"/>
          <w:lang w:eastAsia="zh-CN"/>
        </w:rPr>
      </w:pPr>
      <w:r>
        <w:rPr>
          <w:rFonts w:ascii="仿宋" w:hAnsi="仿宋" w:eastAsia="仿宋"/>
          <w:i w:val="0"/>
          <w:color w:val="auto"/>
          <w:sz w:val="24"/>
          <w:szCs w:val="24"/>
          <w:highlight w:val="none"/>
          <w:lang w:eastAsia="zh-CN"/>
        </w:rPr>
        <w:t>（一）《中华人民共和国政府采购法》第二十二条第一款第（一）至（五）规定的条件：</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 xml:space="preserve">1、具有独立承担民事责任的能力； </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 xml:space="preserve">2、具有良好的商业信誉和健全的财务会计制度； </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 xml:space="preserve">3、具有履行合同所必需的设备和专业技术能力； </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 xml:space="preserve">4、有依法缴纳税收和社会保障资金的良好记录； </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5、参加政府采购活动前三年内，在经营活动中没有重大违法记录。</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（二）</w:t>
      </w:r>
      <w:r>
        <w:rPr>
          <w:rFonts w:ascii="仿宋" w:hAnsi="仿宋" w:eastAsia="仿宋"/>
          <w:i w:val="0"/>
          <w:color w:val="auto"/>
          <w:sz w:val="24"/>
          <w:highlight w:val="none"/>
          <w:lang w:eastAsia="zh-CN"/>
        </w:rPr>
        <w:t>法律、行政法规规定的其他条件</w:t>
      </w:r>
      <w:r>
        <w:rPr>
          <w:rFonts w:hint="eastAsia" w:ascii="仿宋" w:hAnsi="仿宋" w:eastAsia="仿宋"/>
          <w:i w:val="0"/>
          <w:color w:val="auto"/>
          <w:sz w:val="24"/>
          <w:highlight w:val="none"/>
          <w:lang w:eastAsia="zh-CN"/>
        </w:rPr>
        <w:t>：</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1、投标人单位及其现任法定代表人/主要负责人不得具有行贿犯罪记录；</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2、单位负责人为同一人或者存在控股、管理关系的不同投标人，不得参加同一合同项下的政府采购活动；</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 xml:space="preserve">3、投标人未对本次采购项目提供过整体设计、规范编制或者项目管理、监理、检测等服务； </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4、投标人应列明其存在直接控股、管理关系的相关供应商名单；</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5、投标人不得为“信用中国”网站(www.creditchina.gov.cn)、“成都信用”网站（</w:t>
      </w:r>
      <w:r>
        <w:rPr>
          <w:rFonts w:ascii="仿宋" w:hAnsi="仿宋" w:eastAsia="仿宋" w:cs="仿宋"/>
          <w:bCs/>
          <w:i w:val="0"/>
          <w:color w:val="auto"/>
          <w:sz w:val="24"/>
          <w:szCs w:val="24"/>
          <w:highlight w:val="none"/>
          <w:lang w:eastAsia="zh-CN"/>
        </w:rPr>
        <w:t>credit.chengdu.gov.cn</w:t>
      </w:r>
      <w:r>
        <w:rPr>
          <w:rFonts w:hint="eastAsia" w:ascii="仿宋" w:hAnsi="仿宋" w:eastAsia="仿宋"/>
          <w:i w:val="0"/>
          <w:color w:val="auto"/>
          <w:sz w:val="24"/>
          <w:highlight w:val="none"/>
          <w:lang w:eastAsia="zh-CN"/>
        </w:rPr>
        <w:t>）列入失信被执行人、重大税收违法案件当事人名单的投标人，不得为中国政府采购网(www.ccgp.gov.cn)、四川政府采购网曝光台（</w:t>
      </w:r>
      <w:r>
        <w:rPr>
          <w:rFonts w:ascii="仿宋" w:hAnsi="仿宋" w:eastAsia="仿宋"/>
          <w:i w:val="0"/>
          <w:color w:val="auto"/>
          <w:sz w:val="24"/>
          <w:highlight w:val="none"/>
          <w:lang w:eastAsia="zh-CN"/>
        </w:rPr>
        <w:t>www.ccgp-sichuan.gov.cn</w:t>
      </w:r>
      <w:r>
        <w:rPr>
          <w:rFonts w:hint="eastAsia" w:ascii="仿宋" w:hAnsi="仿宋" w:eastAsia="仿宋"/>
          <w:i w:val="0"/>
          <w:color w:val="auto"/>
          <w:sz w:val="24"/>
          <w:highlight w:val="none"/>
          <w:lang w:eastAsia="zh-CN"/>
        </w:rPr>
        <w:t>）政府采购严重违法失信行为记录名单中被财政部门禁止参加政府采购活动的投标人（处罚决定规定的时间和地域范围内）。信用信息查询截止时点：同投标截止日。</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6、（除本项1-5点规定以外的）法律、行政法规规定的其他条件。</w:t>
      </w:r>
    </w:p>
    <w:p>
      <w:pPr>
        <w:tabs>
          <w:tab w:val="left" w:pos="6840"/>
        </w:tabs>
        <w:spacing w:line="360" w:lineRule="auto"/>
        <w:rPr>
          <w:rFonts w:ascii="仿宋" w:hAnsi="仿宋" w:eastAsia="仿宋" w:cs="Marigold"/>
          <w:b/>
          <w:i w:val="0"/>
          <w:color w:val="auto"/>
          <w:sz w:val="24"/>
          <w:szCs w:val="24"/>
          <w:highlight w:val="none"/>
          <w:lang w:eastAsia="zh-CN"/>
        </w:rPr>
      </w:pPr>
      <w:r>
        <w:rPr>
          <w:rFonts w:hint="eastAsia" w:ascii="仿宋" w:hAnsi="仿宋" w:eastAsia="仿宋" w:cs="Marigold"/>
          <w:b/>
          <w:i w:val="0"/>
          <w:color w:val="auto"/>
          <w:sz w:val="24"/>
          <w:szCs w:val="24"/>
          <w:highlight w:val="none"/>
          <w:lang w:eastAsia="zh-CN"/>
        </w:rPr>
        <w:t xml:space="preserve">六、招标文件获取时间、地点：  </w:t>
      </w:r>
    </w:p>
    <w:p>
      <w:pPr>
        <w:spacing w:after="50" w:line="420" w:lineRule="exact"/>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招标文件获取时间：</w:t>
      </w:r>
      <w:r>
        <w:rPr>
          <w:rFonts w:hint="eastAsia" w:ascii="仿宋" w:hAnsi="仿宋" w:eastAsia="仿宋" w:cs="仿宋"/>
          <w:bCs/>
          <w:i w:val="0"/>
          <w:color w:val="auto"/>
          <w:sz w:val="24"/>
          <w:highlight w:val="none"/>
          <w:lang w:eastAsia="zh-CN"/>
        </w:rPr>
        <w:t>自</w:t>
      </w:r>
      <w:r>
        <w:rPr>
          <w:rFonts w:hint="eastAsia" w:ascii="仿宋" w:hAnsi="仿宋" w:eastAsia="仿宋" w:cs="仿宋"/>
          <w:bCs/>
          <w:i w:val="0"/>
          <w:color w:val="auto"/>
          <w:sz w:val="24"/>
          <w:highlight w:val="none"/>
          <w:u w:val="single"/>
          <w:lang w:eastAsia="zh-CN"/>
        </w:rPr>
        <w:t>202</w:t>
      </w:r>
      <w:r>
        <w:rPr>
          <w:rFonts w:hint="eastAsia" w:ascii="仿宋" w:hAnsi="仿宋" w:eastAsia="仿宋" w:cs="仿宋"/>
          <w:bCs/>
          <w:i w:val="0"/>
          <w:color w:val="auto"/>
          <w:sz w:val="24"/>
          <w:highlight w:val="none"/>
          <w:u w:val="single"/>
          <w:lang w:val="en-US" w:eastAsia="zh-CN"/>
        </w:rPr>
        <w:t>2</w:t>
      </w:r>
      <w:r>
        <w:rPr>
          <w:rFonts w:hint="eastAsia" w:ascii="仿宋" w:hAnsi="仿宋" w:eastAsia="仿宋" w:cs="仿宋"/>
          <w:bCs/>
          <w:i w:val="0"/>
          <w:color w:val="auto"/>
          <w:sz w:val="24"/>
          <w:highlight w:val="none"/>
          <w:u w:val="single"/>
          <w:lang w:eastAsia="zh-CN"/>
        </w:rPr>
        <w:t>年</w:t>
      </w:r>
      <w:r>
        <w:rPr>
          <w:rFonts w:hint="eastAsia" w:ascii="仿宋" w:hAnsi="仿宋" w:eastAsia="仿宋" w:cs="仿宋"/>
          <w:bCs/>
          <w:i w:val="0"/>
          <w:color w:val="auto"/>
          <w:sz w:val="24"/>
          <w:highlight w:val="none"/>
          <w:u w:val="single"/>
          <w:lang w:val="en-US" w:eastAsia="zh-CN"/>
        </w:rPr>
        <w:t>01</w:t>
      </w:r>
      <w:r>
        <w:rPr>
          <w:rFonts w:hint="eastAsia" w:ascii="仿宋" w:hAnsi="仿宋" w:eastAsia="仿宋" w:cs="仿宋"/>
          <w:bCs/>
          <w:i w:val="0"/>
          <w:color w:val="auto"/>
          <w:sz w:val="24"/>
          <w:highlight w:val="none"/>
          <w:u w:val="single"/>
          <w:lang w:eastAsia="zh-CN"/>
        </w:rPr>
        <w:t>月</w:t>
      </w:r>
      <w:r>
        <w:rPr>
          <w:rFonts w:hint="eastAsia" w:ascii="仿宋" w:hAnsi="仿宋" w:eastAsia="仿宋" w:cs="仿宋"/>
          <w:bCs/>
          <w:i w:val="0"/>
          <w:color w:val="auto"/>
          <w:sz w:val="24"/>
          <w:highlight w:val="none"/>
          <w:u w:val="single"/>
          <w:lang w:val="en-US" w:eastAsia="zh-CN"/>
        </w:rPr>
        <w:t>20</w:t>
      </w:r>
      <w:r>
        <w:rPr>
          <w:rFonts w:hint="eastAsia" w:ascii="仿宋" w:hAnsi="仿宋" w:eastAsia="仿宋" w:cs="仿宋"/>
          <w:bCs/>
          <w:i w:val="0"/>
          <w:color w:val="auto"/>
          <w:sz w:val="24"/>
          <w:highlight w:val="none"/>
          <w:u w:val="single"/>
          <w:lang w:eastAsia="zh-CN"/>
        </w:rPr>
        <w:t>日至202</w:t>
      </w:r>
      <w:r>
        <w:rPr>
          <w:rFonts w:hint="eastAsia" w:ascii="仿宋" w:hAnsi="仿宋" w:eastAsia="仿宋" w:cs="仿宋"/>
          <w:bCs/>
          <w:i w:val="0"/>
          <w:color w:val="auto"/>
          <w:sz w:val="24"/>
          <w:highlight w:val="none"/>
          <w:u w:val="single"/>
          <w:lang w:val="en-US" w:eastAsia="zh-CN"/>
        </w:rPr>
        <w:t>2</w:t>
      </w:r>
      <w:r>
        <w:rPr>
          <w:rFonts w:hint="eastAsia" w:ascii="仿宋" w:hAnsi="仿宋" w:eastAsia="仿宋" w:cs="仿宋"/>
          <w:bCs/>
          <w:i w:val="0"/>
          <w:color w:val="auto"/>
          <w:sz w:val="24"/>
          <w:highlight w:val="none"/>
          <w:u w:val="single"/>
          <w:lang w:eastAsia="zh-CN"/>
        </w:rPr>
        <w:t>年</w:t>
      </w:r>
      <w:r>
        <w:rPr>
          <w:rFonts w:hint="eastAsia" w:ascii="仿宋" w:hAnsi="仿宋" w:eastAsia="仿宋" w:cs="仿宋"/>
          <w:bCs/>
          <w:i w:val="0"/>
          <w:color w:val="auto"/>
          <w:sz w:val="24"/>
          <w:highlight w:val="none"/>
          <w:u w:val="single"/>
          <w:lang w:val="en-US" w:eastAsia="zh-CN"/>
        </w:rPr>
        <w:t>01</w:t>
      </w:r>
      <w:r>
        <w:rPr>
          <w:rFonts w:hint="eastAsia" w:ascii="仿宋" w:hAnsi="仿宋" w:eastAsia="仿宋" w:cs="仿宋"/>
          <w:bCs/>
          <w:i w:val="0"/>
          <w:color w:val="auto"/>
          <w:sz w:val="24"/>
          <w:highlight w:val="none"/>
          <w:u w:val="single"/>
          <w:lang w:eastAsia="zh-CN"/>
        </w:rPr>
        <w:t>月</w:t>
      </w:r>
      <w:r>
        <w:rPr>
          <w:rFonts w:hint="eastAsia" w:ascii="仿宋" w:hAnsi="仿宋" w:eastAsia="仿宋" w:cs="仿宋"/>
          <w:bCs/>
          <w:i w:val="0"/>
          <w:color w:val="auto"/>
          <w:sz w:val="24"/>
          <w:highlight w:val="none"/>
          <w:u w:val="single"/>
          <w:lang w:val="en-US" w:eastAsia="zh-CN"/>
        </w:rPr>
        <w:t>26</w:t>
      </w:r>
      <w:r>
        <w:rPr>
          <w:rFonts w:hint="eastAsia" w:ascii="仿宋" w:hAnsi="仿宋" w:eastAsia="仿宋" w:cs="仿宋"/>
          <w:bCs/>
          <w:i w:val="0"/>
          <w:color w:val="auto"/>
          <w:sz w:val="24"/>
          <w:highlight w:val="none"/>
          <w:u w:val="single"/>
          <w:lang w:eastAsia="zh-CN"/>
        </w:rPr>
        <w:t>日</w:t>
      </w:r>
      <w:r>
        <w:rPr>
          <w:rFonts w:hint="eastAsia" w:ascii="仿宋" w:hAnsi="仿宋" w:eastAsia="仿宋" w:cs="仿宋"/>
          <w:bCs/>
          <w:i w:val="0"/>
          <w:color w:val="auto"/>
          <w:sz w:val="24"/>
          <w:szCs w:val="24"/>
          <w:highlight w:val="none"/>
          <w:u w:val="single"/>
          <w:lang w:eastAsia="zh-CN"/>
        </w:rPr>
        <w:t>（北京时间：9</w:t>
      </w:r>
      <w:r>
        <w:rPr>
          <w:rFonts w:ascii="仿宋" w:hAnsi="仿宋" w:eastAsia="仿宋" w:cs="仿宋"/>
          <w:bCs/>
          <w:i w:val="0"/>
          <w:color w:val="auto"/>
          <w:sz w:val="24"/>
          <w:szCs w:val="24"/>
          <w:highlight w:val="none"/>
          <w:u w:val="single"/>
          <w:lang w:eastAsia="zh-CN"/>
        </w:rPr>
        <w:t>:00-1</w:t>
      </w:r>
      <w:r>
        <w:rPr>
          <w:rFonts w:hint="eastAsia" w:ascii="仿宋" w:hAnsi="仿宋" w:eastAsia="仿宋" w:cs="仿宋"/>
          <w:bCs/>
          <w:i w:val="0"/>
          <w:color w:val="auto"/>
          <w:sz w:val="24"/>
          <w:szCs w:val="24"/>
          <w:highlight w:val="none"/>
          <w:u w:val="single"/>
          <w:lang w:eastAsia="zh-CN"/>
        </w:rPr>
        <w:t>2</w:t>
      </w:r>
      <w:r>
        <w:rPr>
          <w:rFonts w:ascii="仿宋" w:hAnsi="仿宋" w:eastAsia="仿宋" w:cs="仿宋"/>
          <w:bCs/>
          <w:i w:val="0"/>
          <w:color w:val="auto"/>
          <w:sz w:val="24"/>
          <w:szCs w:val="24"/>
          <w:highlight w:val="none"/>
          <w:u w:val="single"/>
          <w:lang w:eastAsia="zh-CN"/>
        </w:rPr>
        <w:t>:00</w:t>
      </w:r>
      <w:r>
        <w:rPr>
          <w:rFonts w:hint="eastAsia" w:ascii="仿宋" w:hAnsi="仿宋" w:eastAsia="仿宋" w:cs="仿宋"/>
          <w:bCs/>
          <w:i w:val="0"/>
          <w:color w:val="auto"/>
          <w:sz w:val="24"/>
          <w:szCs w:val="24"/>
          <w:highlight w:val="none"/>
          <w:u w:val="single"/>
          <w:lang w:eastAsia="zh-CN"/>
        </w:rPr>
        <w:t>,14:00-17:00，法</w:t>
      </w:r>
      <w:r>
        <w:rPr>
          <w:rFonts w:ascii="仿宋" w:hAnsi="仿宋" w:eastAsia="仿宋" w:cs="仿宋"/>
          <w:bCs/>
          <w:i w:val="0"/>
          <w:color w:val="auto"/>
          <w:sz w:val="24"/>
          <w:szCs w:val="24"/>
          <w:highlight w:val="none"/>
          <w:u w:val="single"/>
          <w:lang w:eastAsia="zh-CN"/>
        </w:rPr>
        <w:t>定节假日除外</w:t>
      </w:r>
      <w:r>
        <w:rPr>
          <w:rFonts w:hint="eastAsia" w:ascii="仿宋" w:hAnsi="仿宋" w:eastAsia="仿宋" w:cs="仿宋"/>
          <w:bCs/>
          <w:i w:val="0"/>
          <w:color w:val="auto"/>
          <w:sz w:val="24"/>
          <w:szCs w:val="24"/>
          <w:highlight w:val="none"/>
          <w:u w:val="single"/>
          <w:lang w:eastAsia="zh-CN"/>
        </w:rPr>
        <w:t>）</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rPr>
        <w:t>招标文件获取方式：投标人从“政府采购云平台”获取采购文件（网址：</w:t>
      </w:r>
      <w:r>
        <w:rPr>
          <w:color w:val="auto"/>
          <w:highlight w:val="none"/>
        </w:rPr>
        <w:fldChar w:fldCharType="begin"/>
      </w:r>
      <w:r>
        <w:rPr>
          <w:color w:val="auto"/>
          <w:highlight w:val="none"/>
        </w:rPr>
        <w:instrText xml:space="preserve"> HYPERLINK "https://www.zcygov.cn）项目采购—获取采购文件—申请获取采购文件。_x0005_" </w:instrText>
      </w:r>
      <w:r>
        <w:rPr>
          <w:color w:val="auto"/>
          <w:highlight w:val="none"/>
        </w:rPr>
        <w:fldChar w:fldCharType="separate"/>
      </w:r>
      <w:r>
        <w:rPr>
          <w:rFonts w:hint="eastAsia" w:ascii="仿宋" w:hAnsi="仿宋" w:eastAsia="仿宋"/>
          <w:i w:val="0"/>
          <w:color w:val="auto"/>
          <w:sz w:val="24"/>
          <w:szCs w:val="24"/>
          <w:highlight w:val="none"/>
        </w:rPr>
        <w:t>https://www.zcygov.cn）。</w:t>
      </w:r>
      <w:r>
        <w:rPr>
          <w:rFonts w:hint="eastAsia" w:ascii="仿宋" w:hAnsi="仿宋" w:eastAsia="仿宋"/>
          <w:i w:val="0"/>
          <w:color w:val="auto"/>
          <w:sz w:val="24"/>
          <w:szCs w:val="24"/>
          <w:highlight w:val="none"/>
          <w:lang w:eastAsia="zh-CN"/>
        </w:rPr>
        <w:t>登录政府采购云平台—项目采购—获取采购文件—申请获取采购文件</w:t>
      </w:r>
      <w:r>
        <w:rPr>
          <w:rFonts w:hint="eastAsia" w:ascii="仿宋" w:hAnsi="仿宋" w:eastAsia="仿宋"/>
          <w:i w:val="0"/>
          <w:color w:val="auto"/>
          <w:sz w:val="24"/>
          <w:szCs w:val="24"/>
          <w:highlight w:val="none"/>
          <w:lang w:eastAsia="zh-CN"/>
        </w:rPr>
        <w:fldChar w:fldCharType="end"/>
      </w:r>
      <w:r>
        <w:rPr>
          <w:rFonts w:hint="eastAsia" w:ascii="仿宋" w:hAnsi="仿宋" w:eastAsia="仿宋"/>
          <w:i w:val="0"/>
          <w:color w:val="auto"/>
          <w:sz w:val="24"/>
          <w:szCs w:val="24"/>
          <w:highlight w:val="none"/>
          <w:lang w:eastAsia="zh-CN"/>
        </w:rPr>
        <w:t>。</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提示：</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（1）本项目招标文件免费获取。</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（2）投标人只有在“政府采购云平台”完成获取招标文件申请并下载招标文件后才视作依法参与本项目。如未在“政府采购云平台”内完成相关流程，引起的投标无效责任自负。</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（3）本项目为电子招标投标项目，投标人参与本项目全过程中凡涉及系统操作请详见《供应商政府采购项目电子交易操作指南》。（操作指南以政府采购云平台网站发布为准）</w:t>
      </w:r>
    </w:p>
    <w:p>
      <w:pPr>
        <w:spacing w:line="360" w:lineRule="auto"/>
        <w:rPr>
          <w:rFonts w:ascii="仿宋" w:hAnsi="仿宋" w:eastAsia="仿宋"/>
          <w:i w:val="0"/>
          <w:color w:val="auto"/>
          <w:sz w:val="24"/>
          <w:szCs w:val="24"/>
          <w:highlight w:val="none"/>
          <w:lang w:eastAsia="zh-CN"/>
        </w:rPr>
      </w:pPr>
      <w:r>
        <w:rPr>
          <w:rFonts w:hint="eastAsia" w:ascii="仿宋" w:hAnsi="仿宋" w:eastAsia="仿宋"/>
          <w:b/>
          <w:i w:val="0"/>
          <w:color w:val="auto"/>
          <w:sz w:val="24"/>
          <w:szCs w:val="24"/>
          <w:highlight w:val="none"/>
          <w:lang w:eastAsia="zh-CN"/>
        </w:rPr>
        <w:t>七</w:t>
      </w:r>
      <w:r>
        <w:rPr>
          <w:rFonts w:hint="eastAsia" w:ascii="仿宋" w:hAnsi="仿宋" w:eastAsia="仿宋"/>
          <w:i w:val="0"/>
          <w:color w:val="auto"/>
          <w:sz w:val="24"/>
          <w:szCs w:val="24"/>
          <w:highlight w:val="none"/>
          <w:lang w:eastAsia="zh-CN"/>
        </w:rPr>
        <w:t>、</w:t>
      </w:r>
      <w:r>
        <w:rPr>
          <w:rFonts w:hint="eastAsia" w:ascii="仿宋" w:hAnsi="仿宋" w:eastAsia="仿宋"/>
          <w:b/>
          <w:i w:val="0"/>
          <w:color w:val="auto"/>
          <w:sz w:val="24"/>
          <w:szCs w:val="24"/>
          <w:highlight w:val="none"/>
          <w:lang w:eastAsia="zh-CN"/>
        </w:rPr>
        <w:t>投标截止时间和开标时间</w:t>
      </w:r>
      <w:r>
        <w:rPr>
          <w:rFonts w:hint="eastAsia" w:ascii="仿宋" w:hAnsi="仿宋" w:eastAsia="仿宋"/>
          <w:i w:val="0"/>
          <w:color w:val="auto"/>
          <w:sz w:val="24"/>
          <w:szCs w:val="24"/>
          <w:highlight w:val="none"/>
          <w:lang w:eastAsia="zh-CN"/>
        </w:rPr>
        <w:t>：</w:t>
      </w:r>
      <w:r>
        <w:rPr>
          <w:rFonts w:ascii="仿宋" w:hAnsi="仿宋" w:eastAsia="仿宋"/>
          <w:i w:val="0"/>
          <w:color w:val="auto"/>
          <w:sz w:val="24"/>
          <w:szCs w:val="24"/>
          <w:highlight w:val="none"/>
          <w:u w:val="single"/>
          <w:lang w:eastAsia="zh-CN"/>
        </w:rPr>
        <w:t>20</w:t>
      </w:r>
      <w:r>
        <w:rPr>
          <w:rFonts w:hint="eastAsia" w:ascii="仿宋" w:hAnsi="仿宋" w:eastAsia="仿宋"/>
          <w:i w:val="0"/>
          <w:color w:val="auto"/>
          <w:sz w:val="24"/>
          <w:szCs w:val="24"/>
          <w:highlight w:val="none"/>
          <w:u w:val="single"/>
          <w:lang w:eastAsia="zh-CN"/>
        </w:rPr>
        <w:t>2</w:t>
      </w:r>
      <w:r>
        <w:rPr>
          <w:rFonts w:hint="eastAsia" w:ascii="仿宋" w:hAnsi="仿宋" w:eastAsia="仿宋"/>
          <w:i w:val="0"/>
          <w:color w:val="auto"/>
          <w:sz w:val="24"/>
          <w:szCs w:val="24"/>
          <w:highlight w:val="none"/>
          <w:u w:val="single"/>
          <w:lang w:val="en-US" w:eastAsia="zh-CN"/>
        </w:rPr>
        <w:t>2</w:t>
      </w:r>
      <w:r>
        <w:rPr>
          <w:rFonts w:hint="eastAsia" w:ascii="仿宋" w:hAnsi="仿宋" w:eastAsia="仿宋"/>
          <w:i w:val="0"/>
          <w:color w:val="auto"/>
          <w:sz w:val="24"/>
          <w:szCs w:val="24"/>
          <w:highlight w:val="none"/>
          <w:u w:val="single"/>
          <w:lang w:eastAsia="zh-CN"/>
        </w:rPr>
        <w:t>年</w:t>
      </w:r>
      <w:r>
        <w:rPr>
          <w:rFonts w:hint="eastAsia" w:ascii="仿宋" w:hAnsi="仿宋" w:eastAsia="仿宋"/>
          <w:i w:val="0"/>
          <w:color w:val="auto"/>
          <w:sz w:val="24"/>
          <w:szCs w:val="24"/>
          <w:highlight w:val="none"/>
          <w:u w:val="single"/>
          <w:lang w:val="en-US" w:eastAsia="zh-CN"/>
        </w:rPr>
        <w:t>02</w:t>
      </w:r>
      <w:r>
        <w:rPr>
          <w:rFonts w:hint="eastAsia" w:ascii="仿宋" w:hAnsi="仿宋" w:eastAsia="仿宋"/>
          <w:i w:val="0"/>
          <w:color w:val="auto"/>
          <w:sz w:val="24"/>
          <w:szCs w:val="24"/>
          <w:highlight w:val="none"/>
          <w:u w:val="single"/>
          <w:lang w:eastAsia="zh-CN"/>
        </w:rPr>
        <w:t>月</w:t>
      </w:r>
      <w:r>
        <w:rPr>
          <w:rFonts w:hint="eastAsia" w:ascii="仿宋" w:hAnsi="仿宋" w:eastAsia="仿宋"/>
          <w:i w:val="0"/>
          <w:color w:val="auto"/>
          <w:sz w:val="24"/>
          <w:szCs w:val="24"/>
          <w:highlight w:val="none"/>
          <w:u w:val="single"/>
          <w:lang w:val="en-US" w:eastAsia="zh-CN"/>
        </w:rPr>
        <w:t>09</w:t>
      </w:r>
      <w:r>
        <w:rPr>
          <w:rFonts w:hint="eastAsia" w:ascii="仿宋" w:hAnsi="仿宋" w:eastAsia="仿宋"/>
          <w:i w:val="0"/>
          <w:color w:val="auto"/>
          <w:sz w:val="24"/>
          <w:szCs w:val="24"/>
          <w:highlight w:val="none"/>
          <w:u w:val="single"/>
          <w:lang w:eastAsia="zh-CN"/>
        </w:rPr>
        <w:t>日上午10</w:t>
      </w:r>
      <w:r>
        <w:rPr>
          <w:rFonts w:ascii="仿宋" w:hAnsi="仿宋" w:eastAsia="仿宋"/>
          <w:i w:val="0"/>
          <w:color w:val="auto"/>
          <w:sz w:val="24"/>
          <w:szCs w:val="24"/>
          <w:highlight w:val="none"/>
          <w:u w:val="single"/>
          <w:lang w:eastAsia="zh-CN"/>
        </w:rPr>
        <w:t>时</w:t>
      </w:r>
      <w:r>
        <w:rPr>
          <w:rFonts w:hint="eastAsia" w:ascii="仿宋" w:hAnsi="仿宋" w:eastAsia="仿宋"/>
          <w:i w:val="0"/>
          <w:color w:val="auto"/>
          <w:sz w:val="24"/>
          <w:szCs w:val="24"/>
          <w:highlight w:val="none"/>
          <w:u w:val="single"/>
          <w:lang w:eastAsia="zh-CN"/>
        </w:rPr>
        <w:t>00分（北京时间）</w:t>
      </w:r>
      <w:r>
        <w:rPr>
          <w:rFonts w:hint="eastAsia" w:ascii="仿宋" w:hAnsi="仿宋" w:eastAsia="仿宋"/>
          <w:i w:val="0"/>
          <w:color w:val="auto"/>
          <w:sz w:val="24"/>
          <w:szCs w:val="24"/>
          <w:highlight w:val="none"/>
          <w:lang w:eastAsia="zh-CN"/>
        </w:rPr>
        <w:t>。</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8"/>
          <w:highlight w:val="none"/>
          <w:lang w:eastAsia="zh-CN"/>
        </w:rPr>
        <w:t>投标截止时间前，投标人应将加密的电子投标文件递交至“政府采购云平台”对应项目（包件）。</w:t>
      </w:r>
    </w:p>
    <w:p>
      <w:pPr>
        <w:widowControl w:val="0"/>
        <w:spacing w:line="360" w:lineRule="auto"/>
        <w:ind w:left="62" w:hanging="62"/>
        <w:rPr>
          <w:rFonts w:ascii="仿宋" w:hAnsi="仿宋" w:eastAsia="仿宋" w:cs="Marigold"/>
          <w:b/>
          <w:i w:val="0"/>
          <w:color w:val="auto"/>
          <w:sz w:val="24"/>
          <w:szCs w:val="28"/>
          <w:highlight w:val="none"/>
          <w:lang w:eastAsia="zh-CN"/>
        </w:rPr>
      </w:pPr>
      <w:r>
        <w:rPr>
          <w:rFonts w:hint="eastAsia" w:ascii="仿宋" w:hAnsi="仿宋" w:eastAsia="仿宋" w:cs="Marigold"/>
          <w:b/>
          <w:i w:val="0"/>
          <w:color w:val="auto"/>
          <w:sz w:val="24"/>
          <w:szCs w:val="28"/>
          <w:highlight w:val="none"/>
          <w:lang w:eastAsia="zh-CN"/>
        </w:rPr>
        <w:t>八、</w:t>
      </w:r>
      <w:r>
        <w:rPr>
          <w:rFonts w:ascii="仿宋" w:hAnsi="仿宋" w:eastAsia="仿宋" w:cs="Marigold"/>
          <w:b/>
          <w:i w:val="0"/>
          <w:color w:val="auto"/>
          <w:sz w:val="24"/>
          <w:szCs w:val="28"/>
          <w:highlight w:val="none"/>
          <w:lang w:eastAsia="zh-CN"/>
        </w:rPr>
        <w:t>开标地点：</w:t>
      </w:r>
    </w:p>
    <w:p>
      <w:pPr>
        <w:spacing w:after="50" w:line="420" w:lineRule="exact"/>
        <w:ind w:firstLine="487" w:firstLineChars="203"/>
        <w:rPr>
          <w:rFonts w:ascii="仿宋" w:hAnsi="仿宋" w:eastAsia="仿宋"/>
          <w:i w:val="0"/>
          <w:color w:val="auto"/>
          <w:sz w:val="24"/>
          <w:szCs w:val="28"/>
          <w:highlight w:val="none"/>
          <w:lang w:eastAsia="zh-CN"/>
        </w:rPr>
      </w:pPr>
      <w:r>
        <w:rPr>
          <w:rFonts w:hint="eastAsia" w:ascii="仿宋" w:hAnsi="仿宋" w:eastAsia="仿宋"/>
          <w:i w:val="0"/>
          <w:color w:val="auto"/>
          <w:sz w:val="24"/>
          <w:szCs w:val="28"/>
          <w:highlight w:val="none"/>
          <w:lang w:eastAsia="zh-CN"/>
        </w:rPr>
        <w:t>（1）本项目为不见面开标项目。</w:t>
      </w:r>
    </w:p>
    <w:p>
      <w:pPr>
        <w:spacing w:after="50" w:line="420" w:lineRule="exact"/>
        <w:ind w:firstLine="487" w:firstLineChars="203"/>
        <w:rPr>
          <w:rFonts w:ascii="仿宋" w:hAnsi="仿宋" w:eastAsia="仿宋"/>
          <w:i w:val="0"/>
          <w:color w:val="auto"/>
          <w:sz w:val="24"/>
          <w:szCs w:val="28"/>
          <w:highlight w:val="none"/>
          <w:lang w:eastAsia="zh-CN"/>
        </w:rPr>
      </w:pPr>
      <w:r>
        <w:rPr>
          <w:rFonts w:hint="eastAsia" w:ascii="仿宋" w:hAnsi="仿宋" w:eastAsia="仿宋"/>
          <w:i w:val="0"/>
          <w:color w:val="auto"/>
          <w:sz w:val="24"/>
          <w:szCs w:val="28"/>
          <w:highlight w:val="none"/>
        </w:rPr>
        <w:t>（2）开标地点：政府采购云平台(</w:t>
      </w:r>
      <w:r>
        <w:rPr>
          <w:color w:val="auto"/>
          <w:highlight w:val="none"/>
        </w:rPr>
        <w:fldChar w:fldCharType="begin"/>
      </w:r>
      <w:r>
        <w:rPr>
          <w:i w:val="0"/>
          <w:color w:val="auto"/>
          <w:highlight w:val="none"/>
        </w:rPr>
        <w:instrText xml:space="preserve"> HYPERLINK "https://www.zcygov.cn" </w:instrText>
      </w:r>
      <w:r>
        <w:rPr>
          <w:color w:val="auto"/>
          <w:highlight w:val="none"/>
        </w:rPr>
        <w:fldChar w:fldCharType="separate"/>
      </w:r>
      <w:r>
        <w:rPr>
          <w:rStyle w:val="30"/>
          <w:rFonts w:hint="eastAsia" w:ascii="仿宋" w:hAnsi="仿宋" w:eastAsia="仿宋"/>
          <w:i w:val="0"/>
          <w:color w:val="auto"/>
          <w:sz w:val="24"/>
          <w:szCs w:val="28"/>
          <w:highlight w:val="none"/>
        </w:rPr>
        <w:t>https://www.zcygov.cn</w:t>
      </w:r>
      <w:r>
        <w:rPr>
          <w:rStyle w:val="30"/>
          <w:rFonts w:ascii="仿宋" w:hAnsi="仿宋" w:eastAsia="仿宋"/>
          <w:i w:val="0"/>
          <w:color w:val="auto"/>
          <w:sz w:val="24"/>
          <w:szCs w:val="28"/>
          <w:highlight w:val="none"/>
        </w:rPr>
        <w:fldChar w:fldCharType="end"/>
      </w:r>
      <w:r>
        <w:rPr>
          <w:rFonts w:hint="eastAsia" w:ascii="仿宋" w:hAnsi="仿宋" w:eastAsia="仿宋"/>
          <w:i w:val="0"/>
          <w:color w:val="auto"/>
          <w:sz w:val="24"/>
          <w:szCs w:val="28"/>
          <w:highlight w:val="none"/>
        </w:rPr>
        <w:t>)</w:t>
      </w:r>
    </w:p>
    <w:p>
      <w:pPr>
        <w:spacing w:after="50" w:line="420" w:lineRule="exact"/>
        <w:ind w:firstLine="487" w:firstLineChars="203"/>
        <w:rPr>
          <w:rFonts w:ascii="仿宋" w:hAnsi="仿宋" w:eastAsia="仿宋"/>
          <w:i w:val="0"/>
          <w:color w:val="auto"/>
          <w:sz w:val="24"/>
          <w:szCs w:val="28"/>
          <w:highlight w:val="none"/>
          <w:lang w:eastAsia="zh-CN"/>
        </w:rPr>
      </w:pPr>
      <w:r>
        <w:rPr>
          <w:rFonts w:hint="eastAsia" w:ascii="仿宋" w:hAnsi="仿宋" w:eastAsia="仿宋"/>
          <w:i w:val="0"/>
          <w:color w:val="auto"/>
          <w:sz w:val="24"/>
          <w:szCs w:val="28"/>
          <w:highlight w:val="none"/>
          <w:lang w:eastAsia="zh-CN"/>
        </w:rPr>
        <w:t>（3）本项目只接受投标人加密并递交至“政府采购云平台”的投标文件。</w:t>
      </w:r>
    </w:p>
    <w:p>
      <w:pPr>
        <w:spacing w:line="360" w:lineRule="auto"/>
        <w:rPr>
          <w:rFonts w:ascii="仿宋" w:hAnsi="仿宋" w:eastAsia="仿宋" w:cs="Marigold"/>
          <w:i w:val="0"/>
          <w:color w:val="auto"/>
          <w:sz w:val="24"/>
          <w:szCs w:val="24"/>
          <w:highlight w:val="none"/>
          <w:lang w:eastAsia="zh-CN"/>
        </w:rPr>
      </w:pPr>
      <w:r>
        <w:rPr>
          <w:rFonts w:hint="eastAsia" w:ascii="仿宋" w:hAnsi="仿宋" w:eastAsia="仿宋" w:cs="Marigold"/>
          <w:b/>
          <w:i w:val="0"/>
          <w:color w:val="auto"/>
          <w:sz w:val="24"/>
          <w:szCs w:val="24"/>
          <w:highlight w:val="none"/>
          <w:lang w:eastAsia="zh-CN"/>
        </w:rPr>
        <w:t>九、</w:t>
      </w:r>
      <w:r>
        <w:rPr>
          <w:rFonts w:ascii="仿宋" w:hAnsi="仿宋" w:eastAsia="仿宋" w:cs="Marigold"/>
          <w:b/>
          <w:i w:val="0"/>
          <w:color w:val="auto"/>
          <w:sz w:val="24"/>
          <w:szCs w:val="24"/>
          <w:highlight w:val="none"/>
          <w:lang w:eastAsia="zh-CN"/>
        </w:rPr>
        <w:t>招标公告</w:t>
      </w:r>
      <w:r>
        <w:rPr>
          <w:rFonts w:hint="eastAsia" w:ascii="仿宋" w:hAnsi="仿宋" w:eastAsia="仿宋" w:cs="Marigold"/>
          <w:b/>
          <w:i w:val="0"/>
          <w:color w:val="auto"/>
          <w:sz w:val="24"/>
          <w:szCs w:val="24"/>
          <w:highlight w:val="none"/>
          <w:lang w:eastAsia="zh-CN"/>
        </w:rPr>
        <w:t>期限</w:t>
      </w:r>
      <w:r>
        <w:rPr>
          <w:rFonts w:ascii="仿宋" w:hAnsi="仿宋" w:eastAsia="仿宋" w:cs="Marigold"/>
          <w:b/>
          <w:i w:val="0"/>
          <w:color w:val="auto"/>
          <w:sz w:val="24"/>
          <w:szCs w:val="24"/>
          <w:highlight w:val="none"/>
          <w:lang w:eastAsia="zh-CN"/>
        </w:rPr>
        <w:t>：</w:t>
      </w:r>
      <w:r>
        <w:rPr>
          <w:rFonts w:ascii="仿宋" w:hAnsi="仿宋" w:eastAsia="仿宋" w:cs="Marigold"/>
          <w:i w:val="0"/>
          <w:color w:val="auto"/>
          <w:sz w:val="24"/>
          <w:szCs w:val="24"/>
          <w:highlight w:val="none"/>
          <w:lang w:eastAsia="zh-CN"/>
        </w:rPr>
        <w:t>从公告之日起</w:t>
      </w:r>
      <w:r>
        <w:rPr>
          <w:rFonts w:hint="eastAsia" w:ascii="仿宋" w:hAnsi="仿宋" w:eastAsia="仿宋" w:cs="Marigold"/>
          <w:i w:val="0"/>
          <w:color w:val="auto"/>
          <w:sz w:val="24"/>
          <w:szCs w:val="24"/>
          <w:highlight w:val="none"/>
          <w:lang w:eastAsia="zh-CN"/>
        </w:rPr>
        <w:t>5个</w:t>
      </w:r>
      <w:r>
        <w:rPr>
          <w:rFonts w:ascii="仿宋" w:hAnsi="仿宋" w:eastAsia="仿宋" w:cs="Marigold"/>
          <w:i w:val="0"/>
          <w:color w:val="auto"/>
          <w:sz w:val="24"/>
          <w:szCs w:val="24"/>
          <w:highlight w:val="none"/>
          <w:lang w:eastAsia="zh-CN"/>
        </w:rPr>
        <w:t>工作日</w:t>
      </w:r>
      <w:r>
        <w:rPr>
          <w:rFonts w:hint="eastAsia" w:ascii="仿宋" w:hAnsi="仿宋" w:eastAsia="仿宋" w:cs="Marigold"/>
          <w:i w:val="0"/>
          <w:color w:val="auto"/>
          <w:sz w:val="24"/>
          <w:szCs w:val="24"/>
          <w:highlight w:val="none"/>
          <w:lang w:eastAsia="zh-CN"/>
        </w:rPr>
        <w:t>。</w:t>
      </w:r>
    </w:p>
    <w:p>
      <w:pPr>
        <w:spacing w:line="360" w:lineRule="auto"/>
        <w:ind w:left="723" w:hanging="723" w:hangingChars="300"/>
        <w:rPr>
          <w:rFonts w:ascii="仿宋" w:hAnsi="仿宋" w:eastAsia="仿宋" w:cs="Marigold"/>
          <w:b/>
          <w:i w:val="0"/>
          <w:color w:val="auto"/>
          <w:sz w:val="24"/>
          <w:szCs w:val="24"/>
          <w:highlight w:val="none"/>
          <w:lang w:eastAsia="zh-CN"/>
        </w:rPr>
      </w:pPr>
      <w:r>
        <w:rPr>
          <w:rFonts w:hint="eastAsia" w:ascii="仿宋" w:hAnsi="仿宋" w:eastAsia="仿宋" w:cs="Marigold"/>
          <w:b/>
          <w:i w:val="0"/>
          <w:color w:val="auto"/>
          <w:sz w:val="24"/>
          <w:szCs w:val="24"/>
          <w:highlight w:val="none"/>
        </w:rPr>
        <w:t>十、本投标邀请在</w:t>
      </w:r>
      <w:r>
        <w:rPr>
          <w:rFonts w:hint="eastAsia" w:ascii="仿宋" w:hAnsi="仿宋" w:eastAsia="仿宋" w:cs="Marigold"/>
          <w:b/>
          <w:i w:val="0"/>
          <w:color w:val="auto"/>
          <w:sz w:val="24"/>
          <w:szCs w:val="24"/>
          <w:highlight w:val="none"/>
          <w:lang w:eastAsia="zh-CN"/>
        </w:rPr>
        <w:t>四川政府采购网</w:t>
      </w:r>
      <w:r>
        <w:rPr>
          <w:rFonts w:hint="eastAsia" w:ascii="仿宋" w:hAnsi="仿宋" w:eastAsia="仿宋" w:cs="Marigold"/>
          <w:b/>
          <w:i w:val="0"/>
          <w:color w:val="auto"/>
          <w:sz w:val="24"/>
          <w:szCs w:val="24"/>
          <w:highlight w:val="none"/>
        </w:rPr>
        <w:t>(</w:t>
      </w:r>
      <w:r>
        <w:rPr>
          <w:color w:val="auto"/>
          <w:highlight w:val="none"/>
        </w:rPr>
        <w:fldChar w:fldCharType="begin"/>
      </w:r>
      <w:r>
        <w:rPr>
          <w:i w:val="0"/>
          <w:color w:val="auto"/>
          <w:highlight w:val="none"/>
        </w:rPr>
        <w:instrText xml:space="preserve"> HYPERLINK "http://www.ccgp-sichuan.gov.cn" </w:instrText>
      </w:r>
      <w:r>
        <w:rPr>
          <w:color w:val="auto"/>
          <w:highlight w:val="none"/>
        </w:rPr>
        <w:fldChar w:fldCharType="separate"/>
      </w:r>
      <w:r>
        <w:rPr>
          <w:rStyle w:val="30"/>
          <w:rFonts w:hint="eastAsia" w:ascii="仿宋" w:hAnsi="仿宋" w:eastAsia="仿宋" w:cs="Marigold"/>
          <w:b/>
          <w:i w:val="0"/>
          <w:color w:val="auto"/>
          <w:sz w:val="24"/>
          <w:szCs w:val="24"/>
          <w:highlight w:val="none"/>
        </w:rPr>
        <w:t>www.ccgp-sichuan.gov.cn</w:t>
      </w:r>
      <w:r>
        <w:rPr>
          <w:rStyle w:val="30"/>
          <w:rFonts w:ascii="仿宋" w:hAnsi="仿宋" w:eastAsia="仿宋" w:cs="Marigold"/>
          <w:b/>
          <w:i w:val="0"/>
          <w:color w:val="auto"/>
          <w:sz w:val="24"/>
          <w:szCs w:val="24"/>
          <w:highlight w:val="none"/>
        </w:rPr>
        <w:fldChar w:fldCharType="end"/>
      </w:r>
      <w:r>
        <w:rPr>
          <w:rFonts w:hint="eastAsia" w:ascii="仿宋" w:hAnsi="仿宋" w:eastAsia="仿宋" w:cs="Marigold"/>
          <w:b/>
          <w:i w:val="0"/>
          <w:color w:val="auto"/>
          <w:sz w:val="24"/>
          <w:szCs w:val="24"/>
          <w:highlight w:val="none"/>
        </w:rPr>
        <w:t>)上以公告形式发布。</w:t>
      </w:r>
    </w:p>
    <w:p>
      <w:pPr>
        <w:spacing w:line="360" w:lineRule="auto"/>
        <w:rPr>
          <w:rFonts w:ascii="仿宋" w:hAnsi="仿宋" w:eastAsia="仿宋"/>
          <w:b/>
          <w:i w:val="0"/>
          <w:color w:val="auto"/>
          <w:sz w:val="24"/>
          <w:highlight w:val="none"/>
          <w:lang w:eastAsia="zh-CN"/>
        </w:rPr>
      </w:pPr>
      <w:r>
        <w:rPr>
          <w:rFonts w:hint="eastAsia" w:ascii="仿宋" w:hAnsi="仿宋" w:eastAsia="仿宋"/>
          <w:b/>
          <w:i w:val="0"/>
          <w:color w:val="auto"/>
          <w:sz w:val="24"/>
          <w:highlight w:val="none"/>
          <w:lang w:eastAsia="zh-CN"/>
        </w:rPr>
        <w:t>十一</w:t>
      </w:r>
      <w:r>
        <w:rPr>
          <w:rFonts w:ascii="仿宋" w:hAnsi="仿宋" w:eastAsia="仿宋"/>
          <w:b/>
          <w:i w:val="0"/>
          <w:color w:val="auto"/>
          <w:sz w:val="24"/>
          <w:highlight w:val="none"/>
          <w:lang w:eastAsia="zh-CN"/>
        </w:rPr>
        <w:t>、</w:t>
      </w:r>
      <w:r>
        <w:rPr>
          <w:rFonts w:hint="eastAsia" w:ascii="仿宋" w:hAnsi="仿宋" w:eastAsia="仿宋"/>
          <w:b/>
          <w:i w:val="0"/>
          <w:color w:val="auto"/>
          <w:sz w:val="24"/>
          <w:highlight w:val="none"/>
          <w:lang w:eastAsia="zh-CN"/>
        </w:rPr>
        <w:t>联系方式</w:t>
      </w:r>
    </w:p>
    <w:p>
      <w:pPr>
        <w:spacing w:line="360" w:lineRule="auto"/>
        <w:ind w:firstLine="723" w:firstLineChars="300"/>
        <w:rPr>
          <w:rFonts w:ascii="仿宋" w:hAnsi="仿宋" w:eastAsia="仿宋" w:cs="宋体"/>
          <w:i w:val="0"/>
          <w:color w:val="auto"/>
          <w:kern w:val="0"/>
          <w:sz w:val="24"/>
          <w:highlight w:val="none"/>
          <w:lang w:eastAsia="zh-CN"/>
        </w:rPr>
      </w:pPr>
      <w:r>
        <w:rPr>
          <w:rFonts w:hint="eastAsia" w:ascii="仿宋" w:hAnsi="仿宋" w:eastAsia="仿宋" w:cs="宋体"/>
          <w:b/>
          <w:i w:val="0"/>
          <w:color w:val="auto"/>
          <w:kern w:val="0"/>
          <w:sz w:val="24"/>
          <w:highlight w:val="none"/>
          <w:lang w:eastAsia="zh-CN"/>
        </w:rPr>
        <w:t>采 购 人：</w:t>
      </w:r>
      <w:r>
        <w:rPr>
          <w:rFonts w:hint="eastAsia" w:ascii="仿宋" w:hAnsi="仿宋" w:eastAsia="仿宋" w:cs="宋体"/>
          <w:i w:val="0"/>
          <w:color w:val="auto"/>
          <w:kern w:val="0"/>
          <w:sz w:val="24"/>
          <w:highlight w:val="none"/>
          <w:lang w:eastAsia="zh-CN"/>
        </w:rPr>
        <w:t>彭州市综合行政执法局</w:t>
      </w:r>
    </w:p>
    <w:p>
      <w:pPr>
        <w:spacing w:line="360" w:lineRule="auto"/>
        <w:ind w:firstLine="723" w:firstLineChars="300"/>
        <w:rPr>
          <w:rFonts w:ascii="仿宋" w:hAnsi="仿宋" w:eastAsia="仿宋"/>
          <w:i w:val="0"/>
          <w:color w:val="auto"/>
          <w:sz w:val="24"/>
          <w:highlight w:val="none"/>
          <w:lang w:eastAsia="zh-CN"/>
        </w:rPr>
      </w:pPr>
      <w:r>
        <w:rPr>
          <w:rFonts w:hint="eastAsia" w:ascii="仿宋" w:hAnsi="仿宋" w:eastAsia="仿宋"/>
          <w:b/>
          <w:i w:val="0"/>
          <w:color w:val="auto"/>
          <w:sz w:val="24"/>
          <w:highlight w:val="none"/>
          <w:lang w:eastAsia="zh-CN"/>
        </w:rPr>
        <w:t>地    址：</w:t>
      </w:r>
      <w:r>
        <w:rPr>
          <w:rFonts w:hint="eastAsia" w:ascii="仿宋" w:hAnsi="仿宋" w:eastAsia="仿宋"/>
          <w:b w:val="0"/>
          <w:bCs/>
          <w:i w:val="0"/>
          <w:color w:val="auto"/>
          <w:sz w:val="24"/>
          <w:highlight w:val="none"/>
          <w:lang w:eastAsia="zh-CN"/>
        </w:rPr>
        <w:t>彭州市天彭街道四通西街38号</w:t>
      </w:r>
    </w:p>
    <w:p>
      <w:pPr>
        <w:spacing w:line="360" w:lineRule="auto"/>
        <w:ind w:firstLine="723" w:firstLineChars="300"/>
        <w:rPr>
          <w:rFonts w:ascii="仿宋" w:hAnsi="仿宋" w:eastAsia="仿宋" w:cs="宋体"/>
          <w:i w:val="0"/>
          <w:color w:val="auto"/>
          <w:kern w:val="0"/>
          <w:sz w:val="24"/>
          <w:highlight w:val="none"/>
          <w:lang w:eastAsia="zh-CN"/>
        </w:rPr>
      </w:pPr>
      <w:r>
        <w:rPr>
          <w:rFonts w:hint="eastAsia" w:ascii="仿宋" w:hAnsi="仿宋" w:eastAsia="仿宋" w:cs="宋体"/>
          <w:b/>
          <w:i w:val="0"/>
          <w:color w:val="auto"/>
          <w:kern w:val="0"/>
          <w:sz w:val="24"/>
          <w:highlight w:val="none"/>
          <w:lang w:eastAsia="zh-CN"/>
        </w:rPr>
        <w:t>联 系 人：</w:t>
      </w:r>
      <w:r>
        <w:rPr>
          <w:rFonts w:hint="eastAsia" w:ascii="仿宋" w:hAnsi="仿宋" w:eastAsia="仿宋" w:cs="宋体"/>
          <w:i w:val="0"/>
          <w:color w:val="auto"/>
          <w:kern w:val="0"/>
          <w:sz w:val="24"/>
          <w:highlight w:val="none"/>
          <w:lang w:val="en-US" w:eastAsia="zh-CN"/>
        </w:rPr>
        <w:t>陈</w:t>
      </w:r>
      <w:r>
        <w:rPr>
          <w:rFonts w:ascii="仿宋" w:hAnsi="仿宋" w:eastAsia="仿宋" w:cs="宋体"/>
          <w:i w:val="0"/>
          <w:color w:val="auto"/>
          <w:kern w:val="0"/>
          <w:sz w:val="24"/>
          <w:highlight w:val="none"/>
          <w:lang w:eastAsia="zh-CN"/>
        </w:rPr>
        <w:t>老师</w:t>
      </w:r>
    </w:p>
    <w:p>
      <w:pPr>
        <w:spacing w:line="360" w:lineRule="auto"/>
        <w:ind w:firstLine="723" w:firstLineChars="300"/>
        <w:rPr>
          <w:rFonts w:ascii="仿宋" w:hAnsi="仿宋" w:eastAsia="仿宋" w:cs="宋体"/>
          <w:i w:val="0"/>
          <w:color w:val="auto"/>
          <w:kern w:val="0"/>
          <w:sz w:val="24"/>
          <w:highlight w:val="none"/>
          <w:lang w:eastAsia="zh-CN"/>
        </w:rPr>
      </w:pPr>
      <w:r>
        <w:rPr>
          <w:rFonts w:hint="eastAsia" w:ascii="仿宋" w:hAnsi="仿宋" w:eastAsia="仿宋" w:cs="宋体"/>
          <w:b/>
          <w:i w:val="0"/>
          <w:color w:val="auto"/>
          <w:kern w:val="0"/>
          <w:sz w:val="24"/>
          <w:highlight w:val="none"/>
          <w:lang w:eastAsia="zh-CN"/>
        </w:rPr>
        <w:t>联系电话：</w:t>
      </w:r>
      <w:r>
        <w:rPr>
          <w:rFonts w:ascii="仿宋" w:hAnsi="仿宋" w:eastAsia="仿宋" w:cs="宋体"/>
          <w:i w:val="0"/>
          <w:color w:val="auto"/>
          <w:kern w:val="0"/>
          <w:sz w:val="24"/>
          <w:highlight w:val="none"/>
          <w:lang w:eastAsia="zh-CN"/>
        </w:rPr>
        <w:t>028-88505722</w:t>
      </w:r>
    </w:p>
    <w:p>
      <w:pPr>
        <w:spacing w:line="360" w:lineRule="auto"/>
        <w:ind w:firstLine="723" w:firstLineChars="300"/>
        <w:rPr>
          <w:rFonts w:ascii="仿宋" w:hAnsi="仿宋" w:eastAsia="仿宋" w:cs="仿宋"/>
          <w:bCs/>
          <w:i w:val="0"/>
          <w:color w:val="auto"/>
          <w:sz w:val="24"/>
          <w:highlight w:val="none"/>
          <w:lang w:eastAsia="zh-CN"/>
        </w:rPr>
      </w:pPr>
      <w:r>
        <w:rPr>
          <w:rFonts w:hint="eastAsia" w:ascii="仿宋" w:hAnsi="仿宋" w:eastAsia="仿宋" w:cs="仿宋"/>
          <w:b/>
          <w:bCs/>
          <w:i w:val="0"/>
          <w:color w:val="auto"/>
          <w:sz w:val="24"/>
          <w:highlight w:val="none"/>
          <w:lang w:eastAsia="zh-CN"/>
        </w:rPr>
        <w:t>采购代理机构：</w:t>
      </w:r>
      <w:r>
        <w:rPr>
          <w:rFonts w:hint="eastAsia" w:ascii="仿宋" w:hAnsi="仿宋" w:eastAsia="仿宋" w:cs="仿宋"/>
          <w:bCs/>
          <w:i w:val="0"/>
          <w:color w:val="auto"/>
          <w:sz w:val="24"/>
          <w:highlight w:val="none"/>
          <w:lang w:eastAsia="zh-CN"/>
        </w:rPr>
        <w:t>四川科薪工程管理有限公司</w:t>
      </w:r>
    </w:p>
    <w:p>
      <w:pPr>
        <w:spacing w:line="360" w:lineRule="auto"/>
        <w:ind w:firstLine="723" w:firstLineChars="300"/>
        <w:rPr>
          <w:rFonts w:ascii="仿宋" w:hAnsi="仿宋" w:eastAsia="仿宋" w:cs="仿宋"/>
          <w:bCs/>
          <w:i w:val="0"/>
          <w:color w:val="auto"/>
          <w:sz w:val="24"/>
          <w:highlight w:val="none"/>
          <w:lang w:eastAsia="zh-CN"/>
        </w:rPr>
      </w:pPr>
      <w:r>
        <w:rPr>
          <w:rFonts w:hint="eastAsia" w:ascii="仿宋" w:hAnsi="仿宋" w:eastAsia="仿宋"/>
          <w:b/>
          <w:i w:val="0"/>
          <w:color w:val="auto"/>
          <w:sz w:val="24"/>
          <w:highlight w:val="none"/>
          <w:lang w:eastAsia="zh-CN"/>
        </w:rPr>
        <w:t>地    址：</w:t>
      </w:r>
      <w:r>
        <w:rPr>
          <w:rFonts w:hint="eastAsia" w:ascii="仿宋" w:hAnsi="仿宋" w:eastAsia="仿宋"/>
          <w:i w:val="0"/>
          <w:color w:val="auto"/>
          <w:sz w:val="24"/>
          <w:highlight w:val="none"/>
          <w:lang w:eastAsia="zh-CN"/>
        </w:rPr>
        <w:t>成都市新都区三河街道蓉香路148号附201号</w:t>
      </w:r>
    </w:p>
    <w:p>
      <w:pPr>
        <w:spacing w:line="360" w:lineRule="auto"/>
        <w:ind w:firstLine="723" w:firstLineChars="300"/>
        <w:rPr>
          <w:rFonts w:ascii="仿宋" w:hAnsi="仿宋" w:eastAsia="仿宋" w:cs="仿宋"/>
          <w:bCs/>
          <w:i w:val="0"/>
          <w:color w:val="auto"/>
          <w:sz w:val="24"/>
          <w:highlight w:val="none"/>
          <w:lang w:eastAsia="zh-CN"/>
        </w:rPr>
      </w:pPr>
      <w:r>
        <w:rPr>
          <w:rFonts w:hint="eastAsia" w:ascii="仿宋" w:hAnsi="仿宋" w:eastAsia="仿宋" w:cs="仿宋"/>
          <w:b/>
          <w:bCs/>
          <w:i w:val="0"/>
          <w:color w:val="auto"/>
          <w:sz w:val="24"/>
          <w:highlight w:val="none"/>
          <w:lang w:eastAsia="zh-CN"/>
        </w:rPr>
        <w:t>联 系 人：</w:t>
      </w:r>
      <w:r>
        <w:rPr>
          <w:rFonts w:hint="eastAsia" w:ascii="仿宋" w:hAnsi="仿宋" w:eastAsia="仿宋" w:cs="仿宋"/>
          <w:bCs/>
          <w:i w:val="0"/>
          <w:color w:val="auto"/>
          <w:sz w:val="24"/>
          <w:highlight w:val="none"/>
          <w:lang w:eastAsia="zh-CN"/>
        </w:rPr>
        <w:t>史女士</w:t>
      </w:r>
    </w:p>
    <w:p>
      <w:pPr>
        <w:spacing w:line="360" w:lineRule="auto"/>
        <w:ind w:left="233" w:leftChars="106" w:firstLine="482" w:firstLineChars="200"/>
        <w:rPr>
          <w:rFonts w:ascii="仿宋" w:hAnsi="仿宋" w:eastAsia="仿宋" w:cs="仿宋"/>
          <w:bCs/>
          <w:i w:val="0"/>
          <w:color w:val="auto"/>
          <w:sz w:val="24"/>
          <w:highlight w:val="none"/>
          <w:lang w:eastAsia="zh-CN"/>
        </w:rPr>
      </w:pPr>
      <w:r>
        <w:rPr>
          <w:rFonts w:hint="eastAsia" w:ascii="仿宋" w:hAnsi="仿宋" w:eastAsia="仿宋" w:cs="仿宋"/>
          <w:b/>
          <w:bCs/>
          <w:i w:val="0"/>
          <w:color w:val="auto"/>
          <w:sz w:val="24"/>
          <w:highlight w:val="none"/>
          <w:lang w:eastAsia="zh-CN"/>
        </w:rPr>
        <w:t>电    话：</w:t>
      </w:r>
      <w:r>
        <w:rPr>
          <w:rFonts w:hint="eastAsia" w:ascii="仿宋" w:hAnsi="仿宋" w:eastAsia="仿宋" w:cs="仿宋"/>
          <w:bCs/>
          <w:i w:val="0"/>
          <w:color w:val="auto"/>
          <w:sz w:val="24"/>
          <w:highlight w:val="none"/>
          <w:lang w:eastAsia="zh-CN"/>
        </w:rPr>
        <w:t>028-64327676</w:t>
      </w:r>
    </w:p>
    <w:p>
      <w:pPr>
        <w:pStyle w:val="3"/>
        <w:spacing w:line="240" w:lineRule="auto"/>
        <w:rPr>
          <w:rFonts w:ascii="仿宋" w:hAnsi="仿宋"/>
          <w:i w:val="0"/>
          <w:color w:val="auto"/>
          <w:highlight w:val="none"/>
          <w:lang w:eastAsia="zh-CN"/>
        </w:rPr>
      </w:pPr>
      <w:bookmarkStart w:id="3" w:name="_Toc511558611"/>
      <w:bookmarkStart w:id="4" w:name="_Toc213396759"/>
      <w:bookmarkStart w:id="5" w:name="_Toc217446031"/>
      <w:bookmarkStart w:id="6" w:name="_Toc213397009"/>
      <w:bookmarkStart w:id="7" w:name="_Toc394578394"/>
      <w:bookmarkStart w:id="8" w:name="_Toc213396945"/>
      <w:bookmarkStart w:id="9" w:name="_Toc213496267"/>
      <w:r>
        <w:rPr>
          <w:i w:val="0"/>
          <w:color w:val="auto"/>
          <w:highlight w:val="none"/>
          <w:lang w:eastAsia="zh-CN"/>
        </w:rPr>
        <w:br w:type="page"/>
      </w:r>
      <w:bookmarkStart w:id="10" w:name="_Toc5003"/>
      <w:r>
        <w:rPr>
          <w:rFonts w:hint="eastAsia" w:ascii="仿宋" w:hAnsi="仿宋"/>
          <w:i w:val="0"/>
          <w:color w:val="auto"/>
          <w:highlight w:val="none"/>
          <w:lang w:eastAsia="zh-CN"/>
        </w:rPr>
        <w:t>第二章  投标人须知</w:t>
      </w:r>
      <w:bookmarkEnd w:id="3"/>
      <w:bookmarkEnd w:id="4"/>
      <w:bookmarkEnd w:id="5"/>
      <w:bookmarkEnd w:id="6"/>
      <w:bookmarkEnd w:id="7"/>
      <w:bookmarkEnd w:id="8"/>
      <w:bookmarkEnd w:id="9"/>
      <w:bookmarkEnd w:id="10"/>
    </w:p>
    <w:p>
      <w:pPr>
        <w:pStyle w:val="4"/>
        <w:spacing w:line="240" w:lineRule="auto"/>
        <w:rPr>
          <w:i w:val="0"/>
          <w:color w:val="auto"/>
          <w:highlight w:val="none"/>
          <w:lang w:eastAsia="zh-CN"/>
        </w:rPr>
      </w:pPr>
      <w:bookmarkStart w:id="11" w:name="_Toc395625016"/>
      <w:bookmarkStart w:id="12" w:name="_Toc213396760"/>
      <w:bookmarkStart w:id="13" w:name="_Toc4699"/>
      <w:bookmarkStart w:id="14" w:name="_Toc213396946"/>
      <w:bookmarkStart w:id="15" w:name="_Toc468330934"/>
      <w:bookmarkStart w:id="16" w:name="_Toc217446032"/>
      <w:bookmarkStart w:id="17" w:name="_Toc189727030"/>
      <w:bookmarkStart w:id="18" w:name="_Toc213397010"/>
      <w:bookmarkStart w:id="19" w:name="_Toc511558612"/>
      <w:bookmarkStart w:id="20" w:name="_Toc524910110"/>
      <w:bookmarkStart w:id="21" w:name="_Toc213496268"/>
      <w:bookmarkStart w:id="22" w:name="_Toc468346351"/>
      <w:bookmarkStart w:id="23" w:name="_Toc468331060"/>
      <w:r>
        <w:rPr>
          <w:rFonts w:hint="eastAsia"/>
          <w:i w:val="0"/>
          <w:color w:val="auto"/>
          <w:highlight w:val="none"/>
          <w:lang w:eastAsia="zh-CN"/>
        </w:rPr>
        <w:t>一、投标人须知前附表</w:t>
      </w:r>
      <w:bookmarkEnd w:id="11"/>
      <w:bookmarkEnd w:id="12"/>
      <w:bookmarkEnd w:id="13"/>
      <w:bookmarkEnd w:id="14"/>
      <w:bookmarkEnd w:id="15"/>
      <w:bookmarkEnd w:id="16"/>
      <w:bookmarkEnd w:id="17"/>
      <w:bookmarkEnd w:id="18"/>
      <w:bookmarkEnd w:id="19"/>
      <w:bookmarkEnd w:id="20"/>
      <w:bookmarkEnd w:id="21"/>
      <w:bookmarkEnd w:id="22"/>
      <w:bookmarkEnd w:id="23"/>
    </w:p>
    <w:p>
      <w:pPr>
        <w:rPr>
          <w:rFonts w:ascii="仿宋" w:hAnsi="仿宋" w:eastAsia="仿宋" w:cs="仿宋"/>
          <w:b/>
          <w:i w:val="0"/>
          <w:color w:val="auto"/>
          <w:kern w:val="0"/>
          <w:sz w:val="24"/>
          <w:szCs w:val="24"/>
          <w:highlight w:val="none"/>
          <w:lang w:eastAsia="zh-CN"/>
        </w:rPr>
      </w:pPr>
      <w:r>
        <w:rPr>
          <w:rFonts w:hint="eastAsia" w:ascii="仿宋" w:hAnsi="仿宋" w:eastAsia="仿宋" w:cs="仿宋"/>
          <w:b/>
          <w:i w:val="0"/>
          <w:color w:val="auto"/>
          <w:kern w:val="0"/>
          <w:sz w:val="24"/>
          <w:szCs w:val="24"/>
          <w:highlight w:val="none"/>
          <w:lang w:eastAsia="zh-CN"/>
        </w:rPr>
        <w:t>本表是对“投标人须知”的具体补充和修改，如有矛盾，应以本表内容为准。</w:t>
      </w:r>
    </w:p>
    <w:tbl>
      <w:tblPr>
        <w:tblStyle w:val="24"/>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6"/>
        <w:gridCol w:w="1701"/>
        <w:gridCol w:w="2201"/>
        <w:gridCol w:w="2693"/>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exact"/>
          <w:tblHeader/>
          <w:jc w:val="center"/>
        </w:trPr>
        <w:tc>
          <w:tcPr>
            <w:tcW w:w="596" w:type="dxa"/>
            <w:vAlign w:val="center"/>
          </w:tcPr>
          <w:p>
            <w:pPr>
              <w:jc w:val="center"/>
              <w:rPr>
                <w:rFonts w:ascii="仿宋" w:hAnsi="仿宋" w:eastAsia="仿宋"/>
                <w:i w:val="0"/>
                <w:color w:val="auto"/>
                <w:highlight w:val="none"/>
                <w:lang w:val="zh-CN"/>
              </w:rPr>
            </w:pPr>
            <w:r>
              <w:rPr>
                <w:rFonts w:hint="eastAsia" w:ascii="仿宋" w:hAnsi="仿宋" w:eastAsia="仿宋"/>
                <w:i w:val="0"/>
                <w:color w:val="auto"/>
                <w:highlight w:val="none"/>
                <w:lang w:val="zh-CN"/>
              </w:rPr>
              <w:t>序号</w:t>
            </w:r>
          </w:p>
        </w:tc>
        <w:tc>
          <w:tcPr>
            <w:tcW w:w="1701" w:type="dxa"/>
            <w:vAlign w:val="center"/>
          </w:tcPr>
          <w:p>
            <w:pPr>
              <w:jc w:val="center"/>
              <w:rPr>
                <w:rFonts w:ascii="仿宋" w:hAnsi="仿宋" w:eastAsia="仿宋"/>
                <w:i w:val="0"/>
                <w:color w:val="auto"/>
                <w:highlight w:val="none"/>
                <w:lang w:val="zh-CN"/>
              </w:rPr>
            </w:pPr>
            <w:r>
              <w:rPr>
                <w:rFonts w:hint="eastAsia" w:ascii="仿宋" w:hAnsi="仿宋" w:eastAsia="仿宋"/>
                <w:i w:val="0"/>
                <w:color w:val="auto"/>
                <w:highlight w:val="none"/>
                <w:lang w:val="zh-CN"/>
              </w:rPr>
              <w:t>应知</w:t>
            </w:r>
            <w:r>
              <w:rPr>
                <w:rFonts w:ascii="仿宋" w:hAnsi="仿宋" w:eastAsia="仿宋"/>
                <w:i w:val="0"/>
                <w:color w:val="auto"/>
                <w:highlight w:val="none"/>
                <w:lang w:val="zh-CN"/>
              </w:rPr>
              <w:t>事项</w:t>
            </w:r>
          </w:p>
        </w:tc>
        <w:tc>
          <w:tcPr>
            <w:tcW w:w="6349" w:type="dxa"/>
            <w:gridSpan w:val="3"/>
            <w:vAlign w:val="center"/>
          </w:tcPr>
          <w:p>
            <w:pPr>
              <w:jc w:val="center"/>
              <w:rPr>
                <w:rFonts w:ascii="仿宋" w:hAnsi="仿宋" w:eastAsia="仿宋"/>
                <w:i w:val="0"/>
                <w:color w:val="auto"/>
                <w:highlight w:val="none"/>
                <w:lang w:val="zh-CN"/>
              </w:rPr>
            </w:pPr>
            <w:r>
              <w:rPr>
                <w:rFonts w:hint="eastAsia" w:ascii="仿宋" w:hAnsi="仿宋" w:eastAsia="仿宋"/>
                <w:i w:val="0"/>
                <w:color w:val="auto"/>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7" w:hRule="exact"/>
          <w:jc w:val="center"/>
        </w:trPr>
        <w:tc>
          <w:tcPr>
            <w:tcW w:w="596" w:type="dxa"/>
            <w:vAlign w:val="center"/>
          </w:tcPr>
          <w:p>
            <w:pPr>
              <w:jc w:val="center"/>
              <w:rPr>
                <w:rFonts w:ascii="仿宋" w:hAnsi="仿宋" w:eastAsia="仿宋"/>
                <w:i w:val="0"/>
                <w:color w:val="auto"/>
                <w:highlight w:val="none"/>
              </w:rPr>
            </w:pPr>
            <w:r>
              <w:rPr>
                <w:rFonts w:hint="eastAsia" w:ascii="仿宋" w:hAnsi="仿宋" w:eastAsia="仿宋"/>
                <w:i w:val="0"/>
                <w:color w:val="auto"/>
                <w:highlight w:val="none"/>
              </w:rPr>
              <w:t>1</w:t>
            </w:r>
          </w:p>
        </w:tc>
        <w:tc>
          <w:tcPr>
            <w:tcW w:w="1701" w:type="dxa"/>
            <w:vAlign w:val="center"/>
          </w:tcPr>
          <w:p>
            <w:pPr>
              <w:jc w:val="center"/>
              <w:rPr>
                <w:rFonts w:ascii="仿宋" w:hAnsi="仿宋" w:eastAsia="仿宋" w:cs="宋体"/>
                <w:i w:val="0"/>
                <w:color w:val="auto"/>
                <w:highlight w:val="none"/>
                <w:lang w:eastAsia="zh-CN"/>
              </w:rPr>
            </w:pPr>
            <w:r>
              <w:rPr>
                <w:rFonts w:hint="eastAsia" w:ascii="仿宋" w:hAnsi="仿宋" w:eastAsia="仿宋" w:cs="宋体"/>
                <w:i w:val="0"/>
                <w:color w:val="auto"/>
                <w:highlight w:val="none"/>
                <w:lang w:eastAsia="zh-CN"/>
              </w:rPr>
              <w:t>采购预算及单价最高限价</w:t>
            </w:r>
          </w:p>
          <w:p>
            <w:pPr>
              <w:jc w:val="center"/>
              <w:rPr>
                <w:rFonts w:ascii="仿宋" w:hAnsi="仿宋" w:eastAsia="仿宋" w:cs="宋体"/>
                <w:i w:val="0"/>
                <w:color w:val="auto"/>
                <w:highlight w:val="none"/>
                <w:lang w:eastAsia="zh-CN"/>
              </w:rPr>
            </w:pPr>
            <w:r>
              <w:rPr>
                <w:rFonts w:hint="eastAsia" w:ascii="仿宋" w:hAnsi="仿宋" w:eastAsia="仿宋" w:cs="宋体"/>
                <w:i w:val="0"/>
                <w:color w:val="auto"/>
                <w:highlight w:val="none"/>
                <w:lang w:eastAsia="zh-CN"/>
              </w:rPr>
              <w:t>（实质性要求）</w:t>
            </w:r>
          </w:p>
        </w:tc>
        <w:tc>
          <w:tcPr>
            <w:tcW w:w="6349" w:type="dxa"/>
            <w:gridSpan w:val="3"/>
            <w:vAlign w:val="center"/>
          </w:tcPr>
          <w:p>
            <w:pPr>
              <w:ind w:left="319" w:leftChars="145" w:right="185" w:rightChars="84"/>
              <w:rPr>
                <w:rFonts w:ascii="仿宋" w:hAnsi="仿宋" w:eastAsia="仿宋" w:cs="宋体"/>
                <w:i w:val="0"/>
                <w:color w:val="auto"/>
                <w:highlight w:val="none"/>
                <w:lang w:eastAsia="zh-CN"/>
              </w:rPr>
            </w:pPr>
            <w:r>
              <w:rPr>
                <w:rFonts w:hint="eastAsia" w:ascii="仿宋" w:hAnsi="仿宋" w:eastAsia="仿宋" w:cs="宋体"/>
                <w:i w:val="0"/>
                <w:color w:val="auto"/>
                <w:highlight w:val="none"/>
                <w:lang w:eastAsia="zh-CN"/>
              </w:rPr>
              <w:t>采购预算为</w:t>
            </w:r>
            <w:r>
              <w:rPr>
                <w:rFonts w:hint="eastAsia" w:ascii="仿宋" w:hAnsi="仿宋" w:eastAsia="仿宋"/>
                <w:i w:val="0"/>
                <w:color w:val="auto"/>
                <w:sz w:val="24"/>
                <w:highlight w:val="none"/>
                <w:lang w:val="en-US" w:eastAsia="zh-CN"/>
              </w:rPr>
              <w:t>7967.78</w:t>
            </w:r>
            <w:r>
              <w:rPr>
                <w:rFonts w:hint="eastAsia" w:ascii="仿宋" w:hAnsi="仿宋" w:eastAsia="仿宋"/>
                <w:i w:val="0"/>
                <w:color w:val="auto"/>
                <w:sz w:val="24"/>
                <w:highlight w:val="none"/>
                <w:lang w:eastAsia="zh-CN"/>
              </w:rPr>
              <w:t>万元</w:t>
            </w:r>
            <w:r>
              <w:rPr>
                <w:rFonts w:hint="eastAsia" w:ascii="仿宋" w:hAnsi="仿宋" w:eastAsia="仿宋" w:cs="宋体"/>
                <w:i w:val="0"/>
                <w:color w:val="auto"/>
                <w:highlight w:val="none"/>
                <w:lang w:eastAsia="zh-CN"/>
              </w:rPr>
              <w:t>，单价最高限价</w:t>
            </w:r>
            <w:r>
              <w:rPr>
                <w:rFonts w:hint="eastAsia" w:ascii="仿宋" w:hAnsi="仿宋" w:eastAsia="仿宋" w:cs="宋体"/>
                <w:i w:val="0"/>
                <w:color w:val="auto"/>
                <w:highlight w:val="none"/>
                <w:lang w:val="en-US" w:eastAsia="zh-CN"/>
              </w:rPr>
              <w:t>详见招标文件第六章</w:t>
            </w:r>
            <w:r>
              <w:rPr>
                <w:rFonts w:hint="eastAsia" w:ascii="仿宋" w:hAnsi="仿宋" w:eastAsia="仿宋" w:cs="宋体"/>
                <w:i w:val="0"/>
                <w:color w:val="auto"/>
                <w:highlight w:val="none"/>
                <w:lang w:eastAsia="zh-CN"/>
              </w:rPr>
              <w:t>。</w:t>
            </w:r>
          </w:p>
          <w:p>
            <w:pPr>
              <w:ind w:left="319" w:leftChars="145" w:right="185" w:rightChars="84"/>
              <w:rPr>
                <w:rFonts w:ascii="仿宋" w:hAnsi="仿宋" w:eastAsia="仿宋" w:cs="宋体"/>
                <w:b/>
                <w:i w:val="0"/>
                <w:color w:val="auto"/>
                <w:highlight w:val="none"/>
                <w:lang w:eastAsia="zh-CN"/>
              </w:rPr>
            </w:pPr>
            <w:r>
              <w:rPr>
                <w:rFonts w:hint="eastAsia" w:ascii="仿宋" w:hAnsi="仿宋" w:eastAsia="仿宋" w:cs="宋体"/>
                <w:b/>
                <w:i w:val="0"/>
                <w:color w:val="auto"/>
                <w:highlight w:val="none"/>
                <w:lang w:eastAsia="zh-CN"/>
              </w:rPr>
              <w:t>本项目按照“</w:t>
            </w:r>
            <w:r>
              <w:rPr>
                <w:rFonts w:hint="eastAsia" w:ascii="仿宋" w:hAnsi="仿宋" w:eastAsia="仿宋" w:cs="宋体"/>
                <w:b/>
                <w:i w:val="0"/>
                <w:color w:val="auto"/>
                <w:highlight w:val="none"/>
                <w:lang w:val="en-US" w:eastAsia="zh-CN"/>
              </w:rPr>
              <w:t>折扣</w:t>
            </w:r>
            <w:r>
              <w:rPr>
                <w:rFonts w:hint="eastAsia" w:ascii="仿宋" w:hAnsi="仿宋" w:eastAsia="仿宋" w:cs="宋体"/>
                <w:b/>
                <w:i w:val="0"/>
                <w:color w:val="auto"/>
                <w:highlight w:val="none"/>
                <w:lang w:eastAsia="zh-CN"/>
              </w:rPr>
              <w:t>”进行报价，超过单价最高限价或者不按招标文件进行报价的投标为无效投标。</w:t>
            </w:r>
          </w:p>
          <w:p>
            <w:pPr>
              <w:ind w:left="319" w:leftChars="145" w:right="185" w:rightChars="84"/>
              <w:rPr>
                <w:rFonts w:ascii="仿宋" w:hAnsi="仿宋" w:eastAsia="仿宋" w:cs="宋体"/>
                <w:i w:val="0"/>
                <w:color w:val="auto"/>
                <w:highlight w:val="none"/>
                <w:lang w:eastAsia="zh-CN"/>
              </w:rPr>
            </w:pPr>
            <w:r>
              <w:rPr>
                <w:rFonts w:hint="eastAsia" w:ascii="仿宋" w:hAnsi="仿宋" w:eastAsia="仿宋" w:cs="宋体"/>
                <w:i w:val="0"/>
                <w:color w:val="auto"/>
                <w:highlight w:val="none"/>
                <w:lang w:eastAsia="zh-CN"/>
              </w:rPr>
              <w:t>（投标人的报价是投标人全部工作内容的价格体现，包括投标人完成本项目所需的一切费用）。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2" w:hRule="exact"/>
          <w:jc w:val="center"/>
        </w:trPr>
        <w:tc>
          <w:tcPr>
            <w:tcW w:w="596"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2</w:t>
            </w:r>
          </w:p>
        </w:tc>
        <w:tc>
          <w:tcPr>
            <w:tcW w:w="1701" w:type="dxa"/>
            <w:vAlign w:val="center"/>
          </w:tcPr>
          <w:p>
            <w:pPr>
              <w:jc w:val="center"/>
              <w:rPr>
                <w:rFonts w:ascii="仿宋" w:hAnsi="仿宋" w:eastAsia="仿宋" w:cs="宋体"/>
                <w:i w:val="0"/>
                <w:color w:val="auto"/>
                <w:highlight w:val="none"/>
                <w:lang w:eastAsia="zh-CN"/>
              </w:rPr>
            </w:pPr>
            <w:r>
              <w:rPr>
                <w:rFonts w:ascii="仿宋" w:hAnsi="仿宋" w:eastAsia="仿宋" w:cs="宋体"/>
                <w:i w:val="0"/>
                <w:color w:val="auto"/>
                <w:highlight w:val="none"/>
                <w:lang w:eastAsia="zh-CN"/>
              </w:rPr>
              <w:t>本项目所属行业</w:t>
            </w:r>
          </w:p>
        </w:tc>
        <w:tc>
          <w:tcPr>
            <w:tcW w:w="6349" w:type="dxa"/>
            <w:gridSpan w:val="3"/>
            <w:vAlign w:val="center"/>
          </w:tcPr>
          <w:p>
            <w:pPr>
              <w:ind w:left="319" w:leftChars="145" w:right="185" w:rightChars="84"/>
              <w:rPr>
                <w:rFonts w:ascii="仿宋" w:hAnsi="仿宋" w:eastAsia="仿宋" w:cs="宋体"/>
                <w:b/>
                <w:i w:val="0"/>
                <w:color w:val="auto"/>
                <w:highlight w:val="none"/>
                <w:lang w:eastAsia="zh-CN"/>
              </w:rPr>
            </w:pPr>
            <w:r>
              <w:rPr>
                <w:rFonts w:hint="eastAsia" w:ascii="仿宋" w:hAnsi="仿宋" w:eastAsia="仿宋" w:cs="宋体"/>
                <w:i w:val="0"/>
                <w:color w:val="auto"/>
                <w:highlight w:val="none"/>
                <w:lang w:eastAsia="zh-CN"/>
              </w:rPr>
              <w:t>根据工业和信息化部、国家统计局、国家发展和改革委员会、财政部《关于印发中小企业划型标准规定的通知》（工信部联企业〔2011〕300号）规定的划分标准划定本项目为：</w:t>
            </w:r>
            <w:r>
              <w:rPr>
                <w:rFonts w:hint="eastAsia" w:ascii="仿宋" w:hAnsi="仿宋" w:eastAsia="仿宋" w:cs="宋体"/>
                <w:b/>
                <w:bCs/>
                <w:i w:val="0"/>
                <w:color w:val="auto"/>
                <w:highlight w:val="none"/>
                <w:lang w:eastAsia="zh-CN"/>
              </w:rPr>
              <w:t>其他未列明行业</w:t>
            </w:r>
            <w:r>
              <w:rPr>
                <w:rFonts w:hint="eastAsia" w:ascii="仿宋" w:hAnsi="仿宋" w:eastAsia="仿宋" w:cs="宋体"/>
                <w:i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0" w:hRule="atLeast"/>
          <w:jc w:val="center"/>
        </w:trPr>
        <w:tc>
          <w:tcPr>
            <w:tcW w:w="596"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3</w:t>
            </w:r>
          </w:p>
        </w:tc>
        <w:tc>
          <w:tcPr>
            <w:tcW w:w="1701" w:type="dxa"/>
            <w:vAlign w:val="center"/>
          </w:tcPr>
          <w:p>
            <w:pPr>
              <w:rPr>
                <w:rFonts w:ascii="仿宋" w:hAnsi="仿宋" w:eastAsia="仿宋"/>
                <w:i w:val="0"/>
                <w:color w:val="auto"/>
                <w:highlight w:val="none"/>
                <w:lang w:eastAsia="zh-CN"/>
              </w:rPr>
            </w:pPr>
            <w:r>
              <w:rPr>
                <w:rFonts w:hint="eastAsia" w:ascii="仿宋" w:hAnsi="仿宋" w:eastAsia="仿宋"/>
                <w:i w:val="0"/>
                <w:color w:val="auto"/>
                <w:highlight w:val="none"/>
                <w:lang w:eastAsia="zh-CN"/>
              </w:rPr>
              <w:t>低于成本价不正当竞争预防措施</w:t>
            </w:r>
          </w:p>
          <w:p>
            <w:pPr>
              <w:rPr>
                <w:rFonts w:ascii="仿宋" w:hAnsi="仿宋" w:eastAsia="仿宋"/>
                <w:i w:val="0"/>
                <w:color w:val="auto"/>
                <w:highlight w:val="none"/>
              </w:rPr>
            </w:pPr>
            <w:r>
              <w:rPr>
                <w:rFonts w:hint="eastAsia" w:ascii="仿宋" w:hAnsi="仿宋" w:eastAsia="仿宋" w:cs="宋体"/>
                <w:i w:val="0"/>
                <w:color w:val="auto"/>
                <w:highlight w:val="none"/>
              </w:rPr>
              <w:t>（实质性要求）</w:t>
            </w:r>
          </w:p>
        </w:tc>
        <w:tc>
          <w:tcPr>
            <w:tcW w:w="6349" w:type="dxa"/>
            <w:gridSpan w:val="3"/>
            <w:vAlign w:val="center"/>
          </w:tcPr>
          <w:p>
            <w:pPr>
              <w:ind w:left="282" w:leftChars="128" w:right="185" w:rightChars="84" w:firstLine="1"/>
              <w:rPr>
                <w:rFonts w:ascii="仿宋" w:hAnsi="仿宋" w:eastAsia="仿宋" w:cs="宋体"/>
                <w:i w:val="0"/>
                <w:color w:val="auto"/>
                <w:highlight w:val="none"/>
                <w:lang w:eastAsia="zh-CN"/>
              </w:rPr>
            </w:pPr>
            <w:r>
              <w:rPr>
                <w:rFonts w:hint="eastAsia" w:ascii="仿宋" w:hAnsi="仿宋" w:eastAsia="仿宋" w:cs="宋体"/>
                <w:i w:val="0"/>
                <w:color w:val="auto"/>
                <w:highlight w:val="none"/>
                <w:lang w:eastAsia="zh-CN"/>
              </w:rPr>
              <w:t>在评标过程中，投标人报价有可能影响产品质量或者不能诚信履约的，评标委员会应当要求其在评标现场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ind w:left="282" w:leftChars="128" w:right="185" w:rightChars="84" w:firstLine="1"/>
              <w:rPr>
                <w:rFonts w:ascii="仿宋" w:hAnsi="仿宋" w:eastAsia="仿宋" w:cs="宋体"/>
                <w:i w:val="0"/>
                <w:color w:val="auto"/>
                <w:highlight w:val="none"/>
                <w:lang w:eastAsia="zh-CN"/>
              </w:rPr>
            </w:pPr>
            <w:r>
              <w:rPr>
                <w:rFonts w:hint="eastAsia" w:ascii="仿宋" w:hAnsi="仿宋" w:eastAsia="仿宋" w:cs="宋体"/>
                <w:i w:val="0"/>
                <w:color w:val="auto"/>
                <w:highlight w:val="none"/>
                <w:lang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ind w:left="282" w:leftChars="128" w:right="185" w:rightChars="84" w:firstLine="1"/>
              <w:rPr>
                <w:rFonts w:ascii="仿宋" w:hAnsi="仿宋" w:eastAsia="仿宋" w:cs="宋体"/>
                <w:i w:val="0"/>
                <w:color w:val="auto"/>
                <w:highlight w:val="none"/>
                <w:lang w:eastAsia="zh-CN"/>
              </w:rPr>
            </w:pPr>
            <w:r>
              <w:rPr>
                <w:rFonts w:hint="eastAsia" w:ascii="仿宋" w:hAnsi="仿宋" w:eastAsia="仿宋" w:cs="宋体"/>
                <w:i w:val="0"/>
                <w:color w:val="auto"/>
                <w:highlight w:val="none"/>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96"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4</w:t>
            </w:r>
          </w:p>
        </w:tc>
        <w:tc>
          <w:tcPr>
            <w:tcW w:w="1701" w:type="dxa"/>
            <w:vAlign w:val="center"/>
          </w:tcPr>
          <w:p>
            <w:pPr>
              <w:rPr>
                <w:rFonts w:ascii="仿宋" w:hAnsi="仿宋" w:eastAsia="仿宋"/>
                <w:i w:val="0"/>
                <w:color w:val="auto"/>
                <w:highlight w:val="none"/>
                <w:lang w:eastAsia="zh-CN"/>
              </w:rPr>
            </w:pPr>
            <w:r>
              <w:rPr>
                <w:rFonts w:hint="eastAsia" w:ascii="仿宋" w:hAnsi="仿宋" w:eastAsia="仿宋"/>
                <w:i w:val="0"/>
                <w:color w:val="auto"/>
                <w:highlight w:val="none"/>
                <w:lang w:eastAsia="zh-CN"/>
              </w:rPr>
              <w:t>是否专门面向中小企业的项目或专门面向小微企业采购的项目</w:t>
            </w:r>
          </w:p>
        </w:tc>
        <w:tc>
          <w:tcPr>
            <w:tcW w:w="6349" w:type="dxa"/>
            <w:gridSpan w:val="3"/>
            <w:vAlign w:val="center"/>
          </w:tcPr>
          <w:p>
            <w:pPr>
              <w:ind w:left="282" w:leftChars="128" w:right="185" w:rightChars="84" w:firstLine="1"/>
              <w:rPr>
                <w:rFonts w:ascii="仿宋" w:hAnsi="仿宋" w:eastAsia="仿宋" w:cs="宋体"/>
                <w:i w:val="0"/>
                <w:color w:val="auto"/>
                <w:highlight w:val="none"/>
                <w:lang w:eastAsia="zh-CN"/>
              </w:rPr>
            </w:pPr>
            <w:r>
              <w:rPr>
                <w:rFonts w:hint="eastAsia" w:ascii="仿宋" w:hAnsi="仿宋" w:eastAsia="仿宋" w:cs="宋体"/>
                <w:i w:val="0"/>
                <w:color w:val="auto"/>
                <w:highlight w:val="none"/>
                <w:lang w:eastAsia="zh-CN"/>
              </w:rPr>
              <w:t>本项目</w:t>
            </w:r>
            <w:r>
              <w:rPr>
                <w:rFonts w:hint="eastAsia" w:ascii="仿宋" w:hAnsi="仿宋" w:eastAsia="仿宋" w:cs="宋体"/>
                <w:i w:val="0"/>
                <w:color w:val="auto"/>
                <w:highlight w:val="none"/>
                <w:lang w:val="en-US" w:eastAsia="zh-CN"/>
              </w:rPr>
              <w:t>非</w:t>
            </w:r>
            <w:r>
              <w:rPr>
                <w:rFonts w:hint="eastAsia" w:ascii="仿宋" w:hAnsi="仿宋" w:eastAsia="仿宋" w:cs="宋体"/>
                <w:i w:val="0"/>
                <w:color w:val="auto"/>
                <w:highlight w:val="none"/>
                <w:lang w:eastAsia="zh-CN"/>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4" w:hRule="atLeast"/>
          <w:jc w:val="center"/>
        </w:trPr>
        <w:tc>
          <w:tcPr>
            <w:tcW w:w="596" w:type="dxa"/>
            <w:vAlign w:val="center"/>
          </w:tcPr>
          <w:p>
            <w:pPr>
              <w:jc w:val="center"/>
              <w:rPr>
                <w:rFonts w:ascii="仿宋" w:hAnsi="仿宋" w:eastAsia="仿宋" w:cs="Courier New"/>
                <w:i w:val="0"/>
                <w:color w:val="auto"/>
                <w:highlight w:val="none"/>
                <w:lang w:val="zh-CN" w:eastAsia="zh-CN"/>
              </w:rPr>
            </w:pPr>
            <w:r>
              <w:rPr>
                <w:rFonts w:hint="eastAsia" w:ascii="仿宋" w:hAnsi="仿宋" w:eastAsia="仿宋" w:cs="Courier New"/>
                <w:i w:val="0"/>
                <w:color w:val="auto"/>
                <w:highlight w:val="none"/>
                <w:lang w:val="zh-CN" w:eastAsia="zh-CN"/>
              </w:rPr>
              <w:t>5</w:t>
            </w:r>
          </w:p>
        </w:tc>
        <w:tc>
          <w:tcPr>
            <w:tcW w:w="1701" w:type="dxa"/>
            <w:vAlign w:val="center"/>
          </w:tcPr>
          <w:p>
            <w:pPr>
              <w:rPr>
                <w:rFonts w:ascii="仿宋" w:hAnsi="仿宋" w:eastAsia="仿宋"/>
                <w:i w:val="0"/>
                <w:color w:val="auto"/>
                <w:highlight w:val="none"/>
                <w:lang w:eastAsia="zh-CN"/>
              </w:rPr>
            </w:pPr>
            <w:r>
              <w:rPr>
                <w:rFonts w:hint="eastAsia" w:ascii="仿宋" w:hAnsi="仿宋" w:eastAsia="仿宋"/>
                <w:i w:val="0"/>
                <w:color w:val="auto"/>
                <w:highlight w:val="none"/>
                <w:lang w:eastAsia="zh-CN"/>
              </w:rPr>
              <w:t>小微企业（监狱企业</w:t>
            </w:r>
            <w:r>
              <w:rPr>
                <w:rFonts w:hint="eastAsia" w:ascii="仿宋" w:hAnsi="仿宋" w:eastAsia="仿宋" w:cs="宋体"/>
                <w:i w:val="0"/>
                <w:color w:val="auto"/>
                <w:highlight w:val="none"/>
                <w:lang w:eastAsia="zh-CN"/>
              </w:rPr>
              <w:t>视同小微企业</w:t>
            </w:r>
            <w:r>
              <w:rPr>
                <w:rFonts w:hint="eastAsia" w:ascii="仿宋" w:hAnsi="仿宋" w:eastAsia="仿宋"/>
                <w:i w:val="0"/>
                <w:color w:val="auto"/>
                <w:highlight w:val="none"/>
                <w:lang w:eastAsia="zh-CN"/>
              </w:rPr>
              <w:t>）价格扣除</w:t>
            </w:r>
          </w:p>
        </w:tc>
        <w:tc>
          <w:tcPr>
            <w:tcW w:w="6349" w:type="dxa"/>
            <w:gridSpan w:val="3"/>
            <w:vAlign w:val="center"/>
          </w:tcPr>
          <w:p>
            <w:pPr>
              <w:ind w:left="282" w:leftChars="128" w:right="185" w:rightChars="84"/>
              <w:rPr>
                <w:rFonts w:ascii="仿宋" w:hAnsi="仿宋" w:eastAsia="仿宋" w:cs="宋体"/>
                <w:i w:val="0"/>
                <w:color w:val="auto"/>
                <w:highlight w:val="none"/>
                <w:lang w:eastAsia="zh-CN"/>
              </w:rPr>
            </w:pPr>
            <w:r>
              <w:rPr>
                <w:rFonts w:hint="eastAsia" w:ascii="仿宋" w:hAnsi="仿宋" w:eastAsia="仿宋" w:cs="宋体"/>
                <w:i w:val="0"/>
                <w:color w:val="auto"/>
                <w:highlight w:val="none"/>
                <w:lang w:eastAsia="zh-CN"/>
              </w:rPr>
              <w:t>一、小微企业（监狱企业、残疾人福利单位视同小微企业）价格扣除</w:t>
            </w:r>
            <w:r>
              <w:rPr>
                <w:rFonts w:hint="eastAsia" w:ascii="仿宋" w:hAnsi="仿宋" w:eastAsia="仿宋" w:cs="宋体"/>
                <w:b w:val="0"/>
                <w:bCs/>
                <w:i w:val="0"/>
                <w:color w:val="auto"/>
                <w:highlight w:val="none"/>
                <w:lang w:eastAsia="zh-CN"/>
              </w:rPr>
              <w:t>。</w:t>
            </w:r>
          </w:p>
          <w:p>
            <w:pPr>
              <w:pStyle w:val="128"/>
              <w:tabs>
                <w:tab w:val="left" w:pos="318"/>
              </w:tabs>
              <w:ind w:left="282" w:right="185" w:rightChars="84" w:firstLine="0" w:firstLineChars="0"/>
              <w:jc w:val="left"/>
              <w:rPr>
                <w:rFonts w:ascii="仿宋" w:hAnsi="仿宋" w:eastAsia="仿宋" w:cs="宋体"/>
                <w:iCs/>
                <w:color w:val="auto"/>
                <w:sz w:val="22"/>
                <w:highlight w:val="none"/>
                <w:lang w:bidi="en-US"/>
              </w:rPr>
            </w:pPr>
            <w:r>
              <w:rPr>
                <w:rFonts w:hint="eastAsia" w:ascii="仿宋" w:hAnsi="仿宋" w:eastAsia="仿宋" w:cs="宋体"/>
                <w:iCs/>
                <w:color w:val="auto"/>
                <w:sz w:val="22"/>
                <w:highlight w:val="none"/>
                <w:lang w:bidi="en-US"/>
              </w:rPr>
              <w:t>1.根据《政府采购促进中小企业发展管理办法》（财库〔2020〕46号）的规定，对小型和微型企业产品的价格给予10%的价格扣除，用扣除后的价格参与评标。</w:t>
            </w:r>
          </w:p>
          <w:p>
            <w:pPr>
              <w:pStyle w:val="128"/>
              <w:tabs>
                <w:tab w:val="left" w:pos="318"/>
              </w:tabs>
              <w:ind w:left="282" w:right="185" w:rightChars="84" w:firstLine="0" w:firstLineChars="0"/>
              <w:jc w:val="left"/>
              <w:rPr>
                <w:rFonts w:ascii="仿宋" w:hAnsi="仿宋" w:eastAsia="仿宋" w:cs="宋体"/>
                <w:iCs/>
                <w:color w:val="auto"/>
                <w:sz w:val="22"/>
                <w:highlight w:val="none"/>
                <w:lang w:bidi="en-US"/>
              </w:rPr>
            </w:pPr>
            <w:r>
              <w:rPr>
                <w:rFonts w:hint="eastAsia" w:ascii="仿宋" w:hAnsi="仿宋" w:eastAsia="仿宋" w:cs="宋体"/>
                <w:iCs/>
                <w:color w:val="auto"/>
                <w:sz w:val="22"/>
                <w:highlight w:val="none"/>
                <w:lang w:bidi="en-US"/>
              </w:rPr>
              <w:t>2.参加政府采购活动的中小企业应当提供《中小企业声明函》原件。</w:t>
            </w:r>
          </w:p>
          <w:p>
            <w:pPr>
              <w:pStyle w:val="128"/>
              <w:tabs>
                <w:tab w:val="left" w:pos="318"/>
              </w:tabs>
              <w:ind w:left="282" w:right="185" w:rightChars="84" w:firstLine="0" w:firstLineChars="0"/>
              <w:jc w:val="left"/>
              <w:rPr>
                <w:rFonts w:ascii="仿宋" w:hAnsi="仿宋" w:eastAsia="仿宋" w:cs="宋体"/>
                <w:iCs/>
                <w:color w:val="auto"/>
                <w:sz w:val="22"/>
                <w:highlight w:val="none"/>
                <w:lang w:bidi="en-US"/>
              </w:rPr>
            </w:pPr>
            <w:r>
              <w:rPr>
                <w:rFonts w:hint="eastAsia" w:ascii="仿宋" w:hAnsi="仿宋" w:eastAsia="仿宋" w:cs="宋体"/>
                <w:iCs/>
                <w:color w:val="auto"/>
                <w:sz w:val="22"/>
                <w:highlight w:val="none"/>
                <w:lang w:bidi="en-US"/>
              </w:rPr>
              <w:t xml:space="preserve">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pPr>
              <w:ind w:left="282" w:leftChars="128" w:right="185" w:rightChars="84"/>
              <w:rPr>
                <w:rFonts w:ascii="仿宋" w:hAnsi="仿宋" w:eastAsia="仿宋" w:cs="宋体"/>
                <w:i w:val="0"/>
                <w:color w:val="auto"/>
                <w:highlight w:val="none"/>
                <w:lang w:eastAsia="zh-CN"/>
              </w:rPr>
            </w:pPr>
            <w:r>
              <w:rPr>
                <w:rFonts w:hint="eastAsia" w:ascii="仿宋" w:hAnsi="仿宋" w:eastAsia="仿宋" w:cs="宋体"/>
                <w:i w:val="0"/>
                <w:color w:val="auto"/>
                <w:highlight w:val="none"/>
                <w:lang w:eastAsia="zh-CN"/>
              </w:rPr>
              <w:t xml:space="preserve">联合体各方均为小型、微型企业的，联合体视同为小型、微型企业享受规定的扶持政策。组成联合体的大中型企业和其他自然人、法人或者其他组织，与小型、微型企业之间不得存在投资关系。 </w:t>
            </w:r>
          </w:p>
          <w:p>
            <w:pPr>
              <w:pStyle w:val="128"/>
              <w:ind w:left="282" w:leftChars="128" w:right="185" w:rightChars="84" w:firstLine="0" w:firstLineChars="0"/>
              <w:jc w:val="left"/>
              <w:rPr>
                <w:rFonts w:ascii="仿宋" w:hAnsi="仿宋" w:eastAsia="仿宋" w:cs="宋体"/>
                <w:b/>
                <w:iCs/>
                <w:color w:val="auto"/>
                <w:sz w:val="22"/>
                <w:highlight w:val="none"/>
                <w:lang w:bidi="en-US"/>
              </w:rPr>
            </w:pPr>
            <w:r>
              <w:rPr>
                <w:rFonts w:hint="eastAsia" w:ascii="仿宋" w:hAnsi="仿宋" w:eastAsia="仿宋" w:cs="宋体"/>
                <w:iCs/>
                <w:color w:val="auto"/>
                <w:sz w:val="22"/>
                <w:highlight w:val="none"/>
                <w:lang w:bidi="en-US"/>
              </w:rPr>
              <w:t>二、监狱</w:t>
            </w:r>
            <w:r>
              <w:rPr>
                <w:rFonts w:ascii="仿宋" w:hAnsi="仿宋" w:eastAsia="仿宋" w:cs="宋体"/>
                <w:iCs/>
                <w:color w:val="auto"/>
                <w:sz w:val="22"/>
                <w:highlight w:val="none"/>
                <w:lang w:bidi="en-US"/>
              </w:rPr>
              <w:t>企业价格</w:t>
            </w:r>
            <w:r>
              <w:rPr>
                <w:rFonts w:hint="eastAsia" w:ascii="仿宋" w:hAnsi="仿宋" w:eastAsia="仿宋" w:cs="宋体"/>
                <w:iCs/>
                <w:color w:val="auto"/>
                <w:sz w:val="22"/>
                <w:highlight w:val="none"/>
                <w:lang w:bidi="en-US"/>
              </w:rPr>
              <w:t>扣除</w:t>
            </w:r>
          </w:p>
          <w:p>
            <w:pPr>
              <w:pStyle w:val="128"/>
              <w:tabs>
                <w:tab w:val="left" w:pos="318"/>
              </w:tabs>
              <w:ind w:left="282" w:leftChars="128" w:right="185" w:rightChars="84" w:firstLine="0" w:firstLineChars="0"/>
              <w:jc w:val="left"/>
              <w:rPr>
                <w:rFonts w:ascii="仿宋" w:hAnsi="仿宋" w:eastAsia="仿宋" w:cs="宋体"/>
                <w:iCs/>
                <w:color w:val="auto"/>
                <w:sz w:val="22"/>
                <w:highlight w:val="none"/>
                <w:lang w:bidi="en-US"/>
              </w:rPr>
            </w:pPr>
            <w:r>
              <w:rPr>
                <w:rFonts w:hint="eastAsia" w:ascii="仿宋" w:hAnsi="仿宋" w:eastAsia="仿宋" w:cs="宋体"/>
                <w:iCs/>
                <w:color w:val="auto"/>
                <w:sz w:val="22"/>
                <w:highlight w:val="none"/>
                <w:lang w:bidi="en-US"/>
              </w:rPr>
              <w:t>1.根据</w:t>
            </w:r>
            <w:r>
              <w:rPr>
                <w:rFonts w:ascii="仿宋" w:hAnsi="仿宋" w:eastAsia="仿宋" w:cs="宋体"/>
                <w:iCs/>
                <w:color w:val="auto"/>
                <w:sz w:val="22"/>
                <w:highlight w:val="none"/>
                <w:lang w:bidi="en-US"/>
              </w:rPr>
              <w:t>财政</w:t>
            </w:r>
            <w:r>
              <w:rPr>
                <w:rFonts w:hint="eastAsia" w:ascii="仿宋" w:hAnsi="仿宋" w:eastAsia="仿宋" w:cs="宋体"/>
                <w:iCs/>
                <w:color w:val="auto"/>
                <w:sz w:val="22"/>
                <w:highlight w:val="none"/>
                <w:lang w:bidi="en-US"/>
              </w:rPr>
              <w:t>部</w:t>
            </w:r>
            <w:r>
              <w:rPr>
                <w:rFonts w:ascii="仿宋" w:hAnsi="仿宋" w:eastAsia="仿宋" w:cs="宋体"/>
                <w:iCs/>
                <w:color w:val="auto"/>
                <w:sz w:val="22"/>
                <w:highlight w:val="none"/>
                <w:lang w:bidi="en-US"/>
              </w:rPr>
              <w:t>司法部关于政府采购支持</w:t>
            </w:r>
            <w:r>
              <w:rPr>
                <w:rFonts w:hint="eastAsia" w:ascii="仿宋" w:hAnsi="仿宋" w:eastAsia="仿宋" w:cs="宋体"/>
                <w:iCs/>
                <w:color w:val="auto"/>
                <w:sz w:val="22"/>
                <w:highlight w:val="none"/>
                <w:lang w:bidi="en-US"/>
              </w:rPr>
              <w:t>监狱</w:t>
            </w:r>
            <w:r>
              <w:rPr>
                <w:rFonts w:ascii="仿宋" w:hAnsi="仿宋" w:eastAsia="仿宋" w:cs="宋体"/>
                <w:iCs/>
                <w:color w:val="auto"/>
                <w:sz w:val="22"/>
                <w:highlight w:val="none"/>
                <w:lang w:bidi="en-US"/>
              </w:rPr>
              <w:t>企业发展有关问题的通知财库</w:t>
            </w:r>
            <w:r>
              <w:rPr>
                <w:rFonts w:hint="eastAsia" w:ascii="仿宋" w:hAnsi="仿宋" w:eastAsia="仿宋" w:cs="宋体"/>
                <w:iCs/>
                <w:color w:val="auto"/>
                <w:sz w:val="22"/>
                <w:highlight w:val="none"/>
                <w:lang w:bidi="en-US"/>
              </w:rPr>
              <w:t>〔2014〕</w:t>
            </w:r>
            <w:r>
              <w:rPr>
                <w:rFonts w:ascii="仿宋" w:hAnsi="仿宋" w:eastAsia="仿宋" w:cs="宋体"/>
                <w:iCs/>
                <w:color w:val="auto"/>
                <w:sz w:val="22"/>
                <w:highlight w:val="none"/>
                <w:lang w:bidi="en-US"/>
              </w:rPr>
              <w:t>68</w:t>
            </w:r>
            <w:r>
              <w:rPr>
                <w:rFonts w:hint="eastAsia" w:ascii="仿宋" w:hAnsi="仿宋" w:eastAsia="仿宋" w:cs="宋体"/>
                <w:iCs/>
                <w:color w:val="auto"/>
                <w:sz w:val="22"/>
                <w:highlight w:val="none"/>
                <w:lang w:bidi="en-US"/>
              </w:rPr>
              <w:t>号</w:t>
            </w:r>
            <w:r>
              <w:rPr>
                <w:rFonts w:ascii="仿宋" w:hAnsi="仿宋" w:eastAsia="仿宋" w:cs="宋体"/>
                <w:iCs/>
                <w:color w:val="auto"/>
                <w:sz w:val="22"/>
                <w:highlight w:val="none"/>
                <w:lang w:bidi="en-US"/>
              </w:rPr>
              <w:t>的规定</w:t>
            </w:r>
            <w:r>
              <w:rPr>
                <w:rFonts w:hint="eastAsia" w:ascii="仿宋" w:hAnsi="仿宋" w:eastAsia="仿宋" w:cs="宋体"/>
                <w:iCs/>
                <w:color w:val="auto"/>
                <w:sz w:val="22"/>
                <w:highlight w:val="none"/>
                <w:lang w:bidi="en-US"/>
              </w:rPr>
              <w:t>，在</w:t>
            </w:r>
            <w:r>
              <w:rPr>
                <w:rFonts w:ascii="仿宋" w:hAnsi="仿宋" w:eastAsia="仿宋" w:cs="宋体"/>
                <w:iCs/>
                <w:color w:val="auto"/>
                <w:sz w:val="22"/>
                <w:highlight w:val="none"/>
                <w:lang w:bidi="en-US"/>
              </w:rPr>
              <w:t>政府采购活动中</w:t>
            </w:r>
            <w:r>
              <w:rPr>
                <w:rFonts w:hint="eastAsia" w:ascii="仿宋" w:hAnsi="仿宋" w:eastAsia="仿宋" w:cs="宋体"/>
                <w:iCs/>
                <w:color w:val="auto"/>
                <w:sz w:val="22"/>
                <w:highlight w:val="none"/>
                <w:lang w:bidi="en-US"/>
              </w:rPr>
              <w:t>，监狱</w:t>
            </w:r>
            <w:r>
              <w:rPr>
                <w:rFonts w:ascii="仿宋" w:hAnsi="仿宋" w:eastAsia="仿宋" w:cs="宋体"/>
                <w:iCs/>
                <w:color w:val="auto"/>
                <w:sz w:val="22"/>
                <w:highlight w:val="none"/>
                <w:lang w:bidi="en-US"/>
              </w:rPr>
              <w:t>企业视同小型</w:t>
            </w:r>
            <w:r>
              <w:rPr>
                <w:rFonts w:hint="eastAsia" w:ascii="仿宋" w:hAnsi="仿宋" w:eastAsia="仿宋" w:cs="宋体"/>
                <w:iCs/>
                <w:color w:val="auto"/>
                <w:sz w:val="22"/>
                <w:highlight w:val="none"/>
                <w:lang w:bidi="en-US"/>
              </w:rPr>
              <w:t>、微</w:t>
            </w:r>
            <w:r>
              <w:rPr>
                <w:rFonts w:ascii="仿宋" w:hAnsi="仿宋" w:eastAsia="仿宋" w:cs="宋体"/>
                <w:iCs/>
                <w:color w:val="auto"/>
                <w:sz w:val="22"/>
                <w:highlight w:val="none"/>
                <w:lang w:bidi="en-US"/>
              </w:rPr>
              <w:t>型企业</w:t>
            </w:r>
            <w:r>
              <w:rPr>
                <w:rFonts w:hint="eastAsia" w:ascii="仿宋" w:hAnsi="仿宋" w:eastAsia="仿宋" w:cs="宋体"/>
                <w:iCs/>
                <w:color w:val="auto"/>
                <w:sz w:val="22"/>
                <w:highlight w:val="none"/>
                <w:lang w:bidi="en-US"/>
              </w:rPr>
              <w:t>，享受</w:t>
            </w:r>
            <w:r>
              <w:rPr>
                <w:rFonts w:ascii="仿宋" w:hAnsi="仿宋" w:eastAsia="仿宋" w:cs="宋体"/>
                <w:iCs/>
                <w:color w:val="auto"/>
                <w:sz w:val="22"/>
                <w:highlight w:val="none"/>
                <w:lang w:bidi="en-US"/>
              </w:rPr>
              <w:t>预</w:t>
            </w:r>
            <w:r>
              <w:rPr>
                <w:rFonts w:hint="eastAsia" w:ascii="仿宋" w:hAnsi="仿宋" w:eastAsia="仿宋" w:cs="宋体"/>
                <w:iCs/>
                <w:color w:val="auto"/>
                <w:sz w:val="22"/>
                <w:highlight w:val="none"/>
                <w:lang w:bidi="en-US"/>
              </w:rPr>
              <w:t>留</w:t>
            </w:r>
            <w:r>
              <w:rPr>
                <w:rFonts w:ascii="仿宋" w:hAnsi="仿宋" w:eastAsia="仿宋" w:cs="宋体"/>
                <w:iCs/>
                <w:color w:val="auto"/>
                <w:sz w:val="22"/>
                <w:highlight w:val="none"/>
                <w:lang w:bidi="en-US"/>
              </w:rPr>
              <w:t>份额</w:t>
            </w:r>
            <w:r>
              <w:rPr>
                <w:rFonts w:hint="eastAsia" w:ascii="仿宋" w:hAnsi="仿宋" w:eastAsia="仿宋" w:cs="宋体"/>
                <w:iCs/>
                <w:color w:val="auto"/>
                <w:sz w:val="22"/>
                <w:highlight w:val="none"/>
                <w:lang w:bidi="en-US"/>
              </w:rPr>
              <w:t>、评</w:t>
            </w:r>
            <w:r>
              <w:rPr>
                <w:rFonts w:ascii="仿宋" w:hAnsi="仿宋" w:eastAsia="仿宋" w:cs="宋体"/>
                <w:iCs/>
                <w:color w:val="auto"/>
                <w:sz w:val="22"/>
                <w:highlight w:val="none"/>
                <w:lang w:bidi="en-US"/>
              </w:rPr>
              <w:t>审中价格扣除等政府采购促进中小企业发展的政府采购</w:t>
            </w:r>
            <w:r>
              <w:rPr>
                <w:rFonts w:hint="eastAsia" w:ascii="仿宋" w:hAnsi="仿宋" w:eastAsia="仿宋" w:cs="宋体"/>
                <w:iCs/>
                <w:color w:val="auto"/>
                <w:sz w:val="22"/>
                <w:highlight w:val="none"/>
                <w:lang w:bidi="en-US"/>
              </w:rPr>
              <w:t>政策。</w:t>
            </w:r>
          </w:p>
          <w:p>
            <w:pPr>
              <w:pStyle w:val="128"/>
              <w:tabs>
                <w:tab w:val="left" w:pos="318"/>
              </w:tabs>
              <w:ind w:left="282" w:leftChars="128" w:right="185" w:rightChars="84" w:firstLine="0" w:firstLineChars="0"/>
              <w:jc w:val="left"/>
              <w:rPr>
                <w:rFonts w:ascii="仿宋" w:hAnsi="仿宋" w:eastAsia="仿宋" w:cs="宋体"/>
                <w:iCs/>
                <w:color w:val="auto"/>
                <w:sz w:val="22"/>
                <w:highlight w:val="none"/>
                <w:lang w:bidi="en-US"/>
              </w:rPr>
            </w:pPr>
            <w:r>
              <w:rPr>
                <w:rFonts w:hint="eastAsia" w:ascii="仿宋" w:hAnsi="仿宋" w:eastAsia="仿宋" w:cs="宋体"/>
                <w:iCs/>
                <w:color w:val="auto"/>
                <w:sz w:val="22"/>
                <w:highlight w:val="none"/>
                <w:lang w:bidi="en-US"/>
              </w:rPr>
              <w:t>2.本</w:t>
            </w:r>
            <w:r>
              <w:rPr>
                <w:rFonts w:ascii="仿宋" w:hAnsi="仿宋" w:eastAsia="仿宋" w:cs="宋体"/>
                <w:iCs/>
                <w:color w:val="auto"/>
                <w:sz w:val="22"/>
                <w:highlight w:val="none"/>
                <w:lang w:bidi="en-US"/>
              </w:rPr>
              <w:t>项目对监狱企业参与</w:t>
            </w:r>
            <w:r>
              <w:rPr>
                <w:rFonts w:hint="eastAsia" w:ascii="仿宋" w:hAnsi="仿宋" w:eastAsia="仿宋" w:cs="宋体"/>
                <w:iCs/>
                <w:color w:val="auto"/>
                <w:sz w:val="22"/>
                <w:highlight w:val="none"/>
                <w:lang w:bidi="en-US"/>
              </w:rPr>
              <w:t>投标</w:t>
            </w:r>
            <w:r>
              <w:rPr>
                <w:rFonts w:ascii="仿宋" w:hAnsi="仿宋" w:eastAsia="仿宋" w:cs="宋体"/>
                <w:iCs/>
                <w:color w:val="auto"/>
                <w:sz w:val="22"/>
                <w:highlight w:val="none"/>
                <w:lang w:bidi="en-US"/>
              </w:rPr>
              <w:t>的价格给予</w:t>
            </w:r>
            <w:r>
              <w:rPr>
                <w:rFonts w:hint="eastAsia" w:ascii="仿宋" w:hAnsi="仿宋" w:eastAsia="仿宋" w:cs="宋体"/>
                <w:iCs/>
                <w:color w:val="auto"/>
                <w:sz w:val="22"/>
                <w:highlight w:val="none"/>
                <w:lang w:bidi="en-US"/>
              </w:rPr>
              <w:t>10</w:t>
            </w:r>
            <w:r>
              <w:rPr>
                <w:rFonts w:ascii="仿宋" w:hAnsi="仿宋" w:eastAsia="仿宋" w:cs="宋体"/>
                <w:iCs/>
                <w:color w:val="auto"/>
                <w:sz w:val="22"/>
                <w:highlight w:val="none"/>
                <w:lang w:bidi="en-US"/>
              </w:rPr>
              <w:t>%</w:t>
            </w:r>
            <w:r>
              <w:rPr>
                <w:rFonts w:hint="eastAsia" w:ascii="仿宋" w:hAnsi="仿宋" w:eastAsia="仿宋" w:cs="宋体"/>
                <w:iCs/>
                <w:color w:val="auto"/>
                <w:sz w:val="22"/>
                <w:highlight w:val="none"/>
                <w:lang w:bidi="en-US"/>
              </w:rPr>
              <w:t>的</w:t>
            </w:r>
            <w:r>
              <w:rPr>
                <w:rFonts w:ascii="仿宋" w:hAnsi="仿宋" w:eastAsia="仿宋" w:cs="宋体"/>
                <w:iCs/>
                <w:color w:val="auto"/>
                <w:sz w:val="22"/>
                <w:highlight w:val="none"/>
                <w:lang w:bidi="en-US"/>
              </w:rPr>
              <w:t>扣除</w:t>
            </w:r>
            <w:r>
              <w:rPr>
                <w:rFonts w:hint="eastAsia" w:ascii="仿宋" w:hAnsi="仿宋" w:eastAsia="仿宋" w:cs="宋体"/>
                <w:iCs/>
                <w:color w:val="auto"/>
                <w:sz w:val="22"/>
                <w:highlight w:val="none"/>
                <w:lang w:bidi="en-US"/>
              </w:rPr>
              <w:t>，用</w:t>
            </w:r>
            <w:r>
              <w:rPr>
                <w:rFonts w:ascii="仿宋" w:hAnsi="仿宋" w:eastAsia="仿宋" w:cs="宋体"/>
                <w:iCs/>
                <w:color w:val="auto"/>
                <w:sz w:val="22"/>
                <w:highlight w:val="none"/>
                <w:lang w:bidi="en-US"/>
              </w:rPr>
              <w:t>扣除后的价格参与评审</w:t>
            </w:r>
            <w:r>
              <w:rPr>
                <w:rFonts w:hint="eastAsia" w:ascii="仿宋" w:hAnsi="仿宋" w:eastAsia="仿宋" w:cs="宋体"/>
                <w:iCs/>
                <w:color w:val="auto"/>
                <w:sz w:val="22"/>
                <w:highlight w:val="none"/>
                <w:lang w:bidi="en-US"/>
              </w:rPr>
              <w:t>。</w:t>
            </w:r>
          </w:p>
          <w:p>
            <w:pPr>
              <w:pStyle w:val="128"/>
              <w:tabs>
                <w:tab w:val="left" w:pos="318"/>
              </w:tabs>
              <w:ind w:left="282" w:leftChars="128" w:right="185" w:rightChars="84" w:firstLine="0" w:firstLineChars="0"/>
              <w:jc w:val="left"/>
              <w:rPr>
                <w:rFonts w:ascii="仿宋" w:hAnsi="仿宋" w:eastAsia="仿宋" w:cs="宋体"/>
                <w:iCs/>
                <w:color w:val="auto"/>
                <w:sz w:val="22"/>
                <w:highlight w:val="none"/>
                <w:lang w:bidi="en-US"/>
              </w:rPr>
            </w:pPr>
            <w:r>
              <w:rPr>
                <w:rFonts w:hint="eastAsia" w:ascii="仿宋" w:hAnsi="仿宋" w:eastAsia="仿宋" w:cs="宋体"/>
                <w:iCs/>
                <w:color w:val="auto"/>
                <w:sz w:val="22"/>
                <w:highlight w:val="none"/>
                <w:lang w:bidi="en-US"/>
              </w:rPr>
              <w:t>3.监狱</w:t>
            </w:r>
            <w:r>
              <w:rPr>
                <w:rFonts w:ascii="仿宋" w:hAnsi="仿宋" w:eastAsia="仿宋" w:cs="宋体"/>
                <w:iCs/>
                <w:color w:val="auto"/>
                <w:sz w:val="22"/>
                <w:highlight w:val="none"/>
                <w:lang w:bidi="en-US"/>
              </w:rPr>
              <w:t>企业参加政府采购活动时</w:t>
            </w:r>
            <w:r>
              <w:rPr>
                <w:rFonts w:hint="eastAsia" w:ascii="仿宋" w:hAnsi="仿宋" w:eastAsia="仿宋" w:cs="宋体"/>
                <w:iCs/>
                <w:color w:val="auto"/>
                <w:sz w:val="22"/>
                <w:highlight w:val="none"/>
                <w:lang w:bidi="en-US"/>
              </w:rPr>
              <w:t>，应当</w:t>
            </w:r>
            <w:r>
              <w:rPr>
                <w:rFonts w:ascii="仿宋" w:hAnsi="仿宋" w:eastAsia="仿宋" w:cs="宋体"/>
                <w:iCs/>
                <w:color w:val="auto"/>
                <w:sz w:val="22"/>
                <w:highlight w:val="none"/>
                <w:lang w:bidi="en-US"/>
              </w:rPr>
              <w:t>提供由省级以上监狱管理局</w:t>
            </w:r>
            <w:r>
              <w:rPr>
                <w:rFonts w:hint="eastAsia" w:ascii="仿宋" w:hAnsi="仿宋" w:eastAsia="仿宋" w:cs="宋体"/>
                <w:iCs/>
                <w:color w:val="auto"/>
                <w:sz w:val="22"/>
                <w:highlight w:val="none"/>
                <w:lang w:bidi="en-US"/>
              </w:rPr>
              <w:t>、戒</w:t>
            </w:r>
            <w:r>
              <w:rPr>
                <w:rFonts w:ascii="仿宋" w:hAnsi="仿宋" w:eastAsia="仿宋" w:cs="宋体"/>
                <w:iCs/>
                <w:color w:val="auto"/>
                <w:sz w:val="22"/>
                <w:highlight w:val="none"/>
                <w:lang w:bidi="en-US"/>
              </w:rPr>
              <w:t>毒</w:t>
            </w:r>
            <w:r>
              <w:rPr>
                <w:rFonts w:hint="eastAsia" w:ascii="仿宋" w:hAnsi="仿宋" w:eastAsia="仿宋" w:cs="宋体"/>
                <w:iCs/>
                <w:color w:val="auto"/>
                <w:sz w:val="22"/>
                <w:highlight w:val="none"/>
                <w:lang w:bidi="en-US"/>
              </w:rPr>
              <w:t>管理</w:t>
            </w:r>
            <w:r>
              <w:rPr>
                <w:rFonts w:ascii="仿宋" w:hAnsi="仿宋" w:eastAsia="仿宋" w:cs="宋体"/>
                <w:iCs/>
                <w:color w:val="auto"/>
                <w:sz w:val="22"/>
                <w:highlight w:val="none"/>
                <w:lang w:bidi="en-US"/>
              </w:rPr>
              <w:t>局</w:t>
            </w:r>
            <w:r>
              <w:rPr>
                <w:rFonts w:hint="eastAsia" w:ascii="仿宋" w:hAnsi="仿宋" w:eastAsia="仿宋" w:cs="宋体"/>
                <w:iCs/>
                <w:color w:val="auto"/>
                <w:sz w:val="22"/>
                <w:highlight w:val="none"/>
                <w:lang w:bidi="en-US"/>
              </w:rPr>
              <w:t>（含</w:t>
            </w:r>
            <w:r>
              <w:rPr>
                <w:rFonts w:ascii="仿宋" w:hAnsi="仿宋" w:eastAsia="仿宋" w:cs="宋体"/>
                <w:iCs/>
                <w:color w:val="auto"/>
                <w:sz w:val="22"/>
                <w:highlight w:val="none"/>
                <w:lang w:bidi="en-US"/>
              </w:rPr>
              <w:t>新疆生产建设兵团</w:t>
            </w:r>
            <w:r>
              <w:rPr>
                <w:rFonts w:hint="eastAsia" w:ascii="仿宋" w:hAnsi="仿宋" w:eastAsia="仿宋" w:cs="宋体"/>
                <w:iCs/>
                <w:color w:val="auto"/>
                <w:sz w:val="22"/>
                <w:highlight w:val="none"/>
                <w:lang w:bidi="en-US"/>
              </w:rPr>
              <w:t>）出</w:t>
            </w:r>
            <w:r>
              <w:rPr>
                <w:rFonts w:ascii="仿宋" w:hAnsi="仿宋" w:eastAsia="仿宋" w:cs="宋体"/>
                <w:iCs/>
                <w:color w:val="auto"/>
                <w:sz w:val="22"/>
                <w:highlight w:val="none"/>
                <w:lang w:bidi="en-US"/>
              </w:rPr>
              <w:t>具的属于监狱企业的证明文件</w:t>
            </w:r>
            <w:r>
              <w:rPr>
                <w:rFonts w:hint="eastAsia" w:ascii="仿宋" w:hAnsi="仿宋" w:eastAsia="仿宋" w:cs="宋体"/>
                <w:iCs/>
                <w:color w:val="auto"/>
                <w:sz w:val="22"/>
                <w:highlight w:val="none"/>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596"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6</w:t>
            </w:r>
          </w:p>
        </w:tc>
        <w:tc>
          <w:tcPr>
            <w:tcW w:w="1701" w:type="dxa"/>
            <w:vAlign w:val="center"/>
          </w:tcPr>
          <w:p>
            <w:pPr>
              <w:rPr>
                <w:rFonts w:ascii="仿宋" w:hAnsi="仿宋" w:eastAsia="仿宋" w:cs="仿宋"/>
                <w:i w:val="0"/>
                <w:color w:val="auto"/>
                <w:highlight w:val="none"/>
                <w:lang w:eastAsia="zh-CN"/>
              </w:rPr>
            </w:pPr>
            <w:r>
              <w:rPr>
                <w:rFonts w:hint="eastAsia" w:ascii="仿宋" w:hAnsi="仿宋" w:eastAsia="仿宋" w:cs="仿宋"/>
                <w:i w:val="0"/>
                <w:color w:val="auto"/>
                <w:highlight w:val="none"/>
                <w:lang w:eastAsia="zh-CN"/>
              </w:rPr>
              <w:t>采购项目需要落实的政府采购政策</w:t>
            </w:r>
          </w:p>
        </w:tc>
        <w:tc>
          <w:tcPr>
            <w:tcW w:w="6349" w:type="dxa"/>
            <w:gridSpan w:val="3"/>
            <w:vAlign w:val="center"/>
          </w:tcPr>
          <w:p>
            <w:pPr>
              <w:ind w:left="282" w:leftChars="128" w:right="185" w:rightChars="84"/>
              <w:rPr>
                <w:rFonts w:hint="eastAsia" w:ascii="仿宋" w:hAnsi="仿宋" w:eastAsia="仿宋" w:cs="宋体"/>
                <w:i w:val="0"/>
                <w:color w:val="auto"/>
                <w:highlight w:val="none"/>
                <w:lang w:eastAsia="zh-CN"/>
              </w:rPr>
            </w:pPr>
            <w:r>
              <w:rPr>
                <w:rFonts w:hint="eastAsia" w:ascii="仿宋" w:hAnsi="仿宋" w:eastAsia="仿宋" w:cs="宋体"/>
                <w:i w:val="0"/>
                <w:color w:val="auto"/>
                <w:highlight w:val="none"/>
                <w:lang w:eastAsia="zh-CN"/>
              </w:rPr>
              <w:t>①扶持中小企业政策：《政府采购促进中小企业发展管理办法》（财库〔2020〕46 号），评审时小型和微型企业享受10%的价格折扣。</w:t>
            </w:r>
          </w:p>
          <w:p>
            <w:pPr>
              <w:ind w:left="282" w:leftChars="128" w:right="185" w:rightChars="84"/>
              <w:rPr>
                <w:rFonts w:hint="eastAsia" w:ascii="仿宋" w:hAnsi="仿宋" w:eastAsia="仿宋" w:cs="宋体"/>
                <w:i w:val="0"/>
                <w:color w:val="auto"/>
                <w:highlight w:val="none"/>
                <w:lang w:eastAsia="zh-CN"/>
              </w:rPr>
            </w:pPr>
            <w:r>
              <w:rPr>
                <w:rFonts w:hint="eastAsia" w:ascii="宋体" w:hAnsi="宋体" w:eastAsia="宋体" w:cs="宋体"/>
                <w:i w:val="0"/>
                <w:color w:val="auto"/>
                <w:highlight w:val="none"/>
                <w:lang w:eastAsia="zh-CN"/>
              </w:rPr>
              <w:t>②</w:t>
            </w:r>
            <w:r>
              <w:rPr>
                <w:rFonts w:hint="eastAsia" w:ascii="仿宋" w:hAnsi="仿宋" w:eastAsia="仿宋" w:cs="宋体"/>
                <w:i w:val="0"/>
                <w:color w:val="auto"/>
                <w:highlight w:val="none"/>
                <w:lang w:eastAsia="zh-CN"/>
              </w:rPr>
              <w:t>监狱企业政策：《财政部、司法部关于政府采购支持监狱企业发展有关问题的通知》（财库〔2014〕68号），监狱企业视同小型、微型企业，评审时享受10%的价格折扣。</w:t>
            </w:r>
          </w:p>
          <w:p>
            <w:pPr>
              <w:ind w:left="282" w:leftChars="128" w:right="185" w:rightChars="84"/>
              <w:rPr>
                <w:rFonts w:hint="eastAsia" w:ascii="仿宋" w:hAnsi="仿宋" w:eastAsia="仿宋" w:cs="宋体"/>
                <w:i w:val="0"/>
                <w:color w:val="auto"/>
                <w:highlight w:val="none"/>
                <w:lang w:eastAsia="zh-CN"/>
              </w:rPr>
            </w:pPr>
            <w:r>
              <w:rPr>
                <w:rFonts w:hint="eastAsia" w:ascii="宋体" w:hAnsi="宋体" w:eastAsia="宋体" w:cs="宋体"/>
                <w:i w:val="0"/>
                <w:color w:val="auto"/>
                <w:highlight w:val="none"/>
                <w:lang w:eastAsia="zh-CN"/>
              </w:rPr>
              <w:t>③</w:t>
            </w:r>
            <w:r>
              <w:rPr>
                <w:rFonts w:hint="eastAsia" w:ascii="仿宋" w:hAnsi="仿宋" w:eastAsia="仿宋" w:cs="宋体"/>
                <w:i w:val="0"/>
                <w:color w:val="auto"/>
                <w:highlight w:val="none"/>
                <w:lang w:eastAsia="zh-CN"/>
              </w:rPr>
              <w:t>促进残疾人就业政府采购政策：《民政部、财政部、中国残疾人联合会关于促进残疾人就业政府采购政策的通知》（财库〔2017〕141号），残疾人福利性单位视同小型、微型企业，评审时享受10%的价格折扣。</w:t>
            </w:r>
          </w:p>
          <w:p>
            <w:pPr>
              <w:ind w:left="282" w:leftChars="128" w:right="185" w:rightChars="84"/>
              <w:rPr>
                <w:rFonts w:ascii="仿宋" w:hAnsi="仿宋" w:eastAsia="仿宋" w:cs="宋体"/>
                <w:i w:val="0"/>
                <w:color w:val="auto"/>
                <w:highlight w:val="none"/>
                <w:lang w:eastAsia="zh-CN"/>
              </w:rPr>
            </w:pPr>
            <w:r>
              <w:rPr>
                <w:rFonts w:hint="eastAsia" w:ascii="宋体" w:hAnsi="宋体" w:eastAsia="宋体" w:cs="宋体"/>
                <w:i w:val="0"/>
                <w:color w:val="auto"/>
                <w:highlight w:val="none"/>
                <w:lang w:eastAsia="zh-CN"/>
              </w:rPr>
              <w:t>④</w:t>
            </w:r>
            <w:r>
              <w:rPr>
                <w:rFonts w:hint="eastAsia" w:ascii="仿宋" w:hAnsi="仿宋" w:eastAsia="仿宋" w:cs="宋体"/>
                <w:i w:val="0"/>
                <w:color w:val="auto"/>
                <w:highlight w:val="none"/>
                <w:lang w:eastAsia="zh-CN"/>
              </w:rPr>
              <w:t>其他政府采购政策执行：最后得分相同的，注册经营地在不发达地区和少数民族地区的投标人优先。</w:t>
            </w:r>
          </w:p>
          <w:p>
            <w:pPr>
              <w:ind w:left="282" w:leftChars="128" w:right="185" w:rightChars="84"/>
              <w:rPr>
                <w:rFonts w:ascii="仿宋" w:hAnsi="仿宋" w:eastAsia="仿宋" w:cs="宋体"/>
                <w:i w:val="0"/>
                <w:color w:val="auto"/>
                <w:highlight w:val="none"/>
                <w:lang w:eastAsia="zh-CN"/>
              </w:rPr>
            </w:pPr>
            <w:r>
              <w:rPr>
                <w:rFonts w:hint="eastAsia" w:ascii="宋体" w:hAnsi="宋体" w:eastAsia="宋体" w:cs="宋体"/>
                <w:i w:val="0"/>
                <w:color w:val="auto"/>
                <w:highlight w:val="none"/>
                <w:lang w:eastAsia="zh-CN"/>
              </w:rPr>
              <w:t>⑤</w:t>
            </w:r>
            <w:r>
              <w:rPr>
                <w:rFonts w:hint="eastAsia" w:ascii="仿宋" w:hAnsi="仿宋" w:eastAsia="仿宋" w:cs="宋体"/>
                <w:i w:val="0"/>
                <w:color w:val="auto"/>
                <w:highlight w:val="none"/>
                <w:lang w:eastAsia="zh-CN"/>
              </w:rPr>
              <w:t>推进四川省政府采购供应商信用融资：根据《四川省财政厅关于推进四川省政府采购供应商信用融资工作的通知》（川财采〔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ind w:left="220" w:leftChars="100"/>
              <w:rPr>
                <w:rFonts w:ascii="仿宋" w:hAnsi="仿宋" w:eastAsia="仿宋" w:cs="Marigold"/>
                <w:bCs/>
                <w:i w:val="0"/>
                <w:color w:val="auto"/>
                <w:sz w:val="24"/>
                <w:szCs w:val="24"/>
                <w:highlight w:val="none"/>
                <w:lang w:eastAsia="zh-CN"/>
              </w:rPr>
            </w:pPr>
            <w:r>
              <w:rPr>
                <w:rFonts w:hint="eastAsia" w:ascii="宋体" w:hAnsi="宋体" w:eastAsia="宋体" w:cs="宋体"/>
                <w:i w:val="0"/>
                <w:color w:val="auto"/>
                <w:highlight w:val="none"/>
                <w:lang w:eastAsia="zh-CN"/>
              </w:rPr>
              <w:t>⑥</w:t>
            </w:r>
            <w:r>
              <w:rPr>
                <w:rFonts w:hint="eastAsia" w:ascii="仿宋" w:hAnsi="仿宋" w:eastAsia="仿宋" w:cs="宋体"/>
                <w:i w:val="0"/>
                <w:color w:val="auto"/>
                <w:highlight w:val="none"/>
                <w:lang w:eastAsia="zh-CN"/>
              </w:rPr>
              <w:t>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2" w:hRule="atLeast"/>
          <w:jc w:val="center"/>
        </w:trPr>
        <w:tc>
          <w:tcPr>
            <w:tcW w:w="596"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7</w:t>
            </w:r>
          </w:p>
        </w:tc>
        <w:tc>
          <w:tcPr>
            <w:tcW w:w="1701" w:type="dxa"/>
            <w:vAlign w:val="center"/>
          </w:tcPr>
          <w:p>
            <w:pPr>
              <w:jc w:val="center"/>
              <w:rPr>
                <w:rFonts w:ascii="仿宋" w:hAnsi="仿宋" w:eastAsia="仿宋"/>
                <w:i w:val="0"/>
                <w:color w:val="auto"/>
                <w:highlight w:val="none"/>
                <w:lang w:val="zh-CN"/>
              </w:rPr>
            </w:pPr>
            <w:r>
              <w:rPr>
                <w:rFonts w:hint="eastAsia" w:ascii="仿宋" w:hAnsi="仿宋" w:eastAsia="仿宋" w:cs="宋体"/>
                <w:bCs/>
                <w:i w:val="0"/>
                <w:color w:val="auto"/>
                <w:highlight w:val="none"/>
              </w:rPr>
              <w:t>信用记录</w:t>
            </w:r>
          </w:p>
        </w:tc>
        <w:tc>
          <w:tcPr>
            <w:tcW w:w="6349" w:type="dxa"/>
            <w:gridSpan w:val="3"/>
            <w:vAlign w:val="center"/>
          </w:tcPr>
          <w:p>
            <w:pPr>
              <w:ind w:left="282" w:leftChars="128" w:right="185" w:rightChars="84"/>
              <w:rPr>
                <w:rFonts w:ascii="仿宋" w:hAnsi="仿宋" w:eastAsia="仿宋"/>
                <w:i w:val="0"/>
                <w:color w:val="auto"/>
                <w:highlight w:val="none"/>
                <w:lang w:val="zh-CN" w:eastAsia="zh-CN"/>
              </w:rPr>
            </w:pPr>
            <w:r>
              <w:rPr>
                <w:rFonts w:hint="eastAsia" w:ascii="仿宋" w:hAnsi="仿宋" w:eastAsia="仿宋"/>
                <w:i w:val="0"/>
                <w:color w:val="auto"/>
                <w:highlight w:val="none"/>
                <w:lang w:val="zh-CN" w:eastAsia="zh-CN"/>
              </w:rPr>
              <w:t>1. 根据《财政部关于在政府采购活动中查询及使用信用记录有关问题的通知》财库〔2016〕125号信用记录查询渠道：通过“信用中国”网站（www.creditchina.gov.cn）、中国政府采购网（</w:t>
            </w:r>
            <w:r>
              <w:rPr>
                <w:rFonts w:ascii="仿宋" w:hAnsi="仿宋" w:eastAsia="仿宋"/>
                <w:i w:val="0"/>
                <w:color w:val="auto"/>
                <w:highlight w:val="none"/>
                <w:lang w:val="zh-CN" w:eastAsia="zh-CN"/>
              </w:rPr>
              <w:t>www.ccgp.gov.cn</w:t>
            </w:r>
            <w:r>
              <w:rPr>
                <w:rFonts w:hint="eastAsia" w:ascii="仿宋" w:hAnsi="仿宋" w:eastAsia="仿宋"/>
                <w:i w:val="0"/>
                <w:color w:val="auto"/>
                <w:highlight w:val="none"/>
                <w:lang w:val="zh-CN" w:eastAsia="zh-CN"/>
              </w:rPr>
              <w:t>）等渠道查询相关主体信用记录，</w:t>
            </w:r>
            <w:r>
              <w:rPr>
                <w:rFonts w:hint="eastAsia" w:ascii="仿宋" w:hAnsi="仿宋" w:eastAsia="仿宋"/>
                <w:i w:val="0"/>
                <w:color w:val="auto"/>
                <w:highlight w:val="none"/>
                <w:lang w:eastAsia="zh-CN"/>
              </w:rPr>
              <w:t>在投标截止日，四川科薪工程管理有限公司将信用信息查询记录和证据通过网页截图的方式进行留存做好信用信息查询记录和证据留存，信用信息查询记录及相关证据应当与其他采购文件一并保存。</w:t>
            </w:r>
          </w:p>
          <w:p>
            <w:pPr>
              <w:ind w:left="282" w:leftChars="128" w:right="185" w:rightChars="84"/>
              <w:rPr>
                <w:rFonts w:ascii="仿宋" w:hAnsi="仿宋" w:eastAsia="仿宋"/>
                <w:i w:val="0"/>
                <w:color w:val="auto"/>
                <w:highlight w:val="none"/>
                <w:lang w:eastAsia="zh-CN"/>
              </w:rPr>
            </w:pPr>
            <w:r>
              <w:rPr>
                <w:rFonts w:hint="eastAsia" w:ascii="仿宋" w:hAnsi="仿宋" w:eastAsia="仿宋"/>
                <w:i w:val="0"/>
                <w:color w:val="auto"/>
                <w:highlight w:val="none"/>
                <w:lang w:val="zh-CN" w:eastAsia="zh-CN"/>
              </w:rPr>
              <w:t>2.信用记录的使用：对列入失信被执行人、重大税收违法案件当事人名单、政府采购严重违法失信行为记录名单及其他不符合《中华人民共和国政府采购法》第二十二条规定条件的投标人，应当拒绝其参与政府采购活动。</w:t>
            </w:r>
            <w:r>
              <w:rPr>
                <w:rFonts w:ascii="仿宋" w:hAnsi="仿宋" w:eastAsia="仿宋"/>
                <w:i w:val="0"/>
                <w:color w:val="auto"/>
                <w:highlight w:val="none"/>
                <w:lang w:val="zh-CN" w:eastAsia="zh-CN"/>
              </w:rPr>
              <w:t>两个以上的自然人、法人或者其他组织组成一个联合体，以一个投标人的身份共同参加</w:t>
            </w:r>
            <w:r>
              <w:rPr>
                <w:rFonts w:hint="eastAsia" w:ascii="仿宋" w:hAnsi="仿宋" w:eastAsia="仿宋"/>
                <w:i w:val="0"/>
                <w:color w:val="auto"/>
                <w:highlight w:val="none"/>
                <w:lang w:val="zh-CN" w:eastAsia="zh-CN"/>
              </w:rPr>
              <w:t>投标</w:t>
            </w:r>
            <w:r>
              <w:rPr>
                <w:rFonts w:ascii="仿宋" w:hAnsi="仿宋" w:eastAsia="仿宋"/>
                <w:i w:val="0"/>
                <w:color w:val="auto"/>
                <w:highlight w:val="none"/>
                <w:lang w:val="zh-CN" w:eastAsia="zh-CN"/>
              </w:rPr>
              <w:t>的，对所有联合体成员进行信用记录查询，联合体成员存在不良信用记录的，视同联合体存在不良信用记录</w:t>
            </w:r>
            <w:r>
              <w:rPr>
                <w:rFonts w:hint="eastAsia" w:ascii="仿宋" w:hAnsi="仿宋" w:eastAsia="仿宋"/>
                <w:i w:val="0"/>
                <w:color w:val="auto"/>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596"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8</w:t>
            </w:r>
          </w:p>
        </w:tc>
        <w:tc>
          <w:tcPr>
            <w:tcW w:w="1701" w:type="dxa"/>
            <w:vAlign w:val="center"/>
          </w:tcPr>
          <w:p>
            <w:pPr>
              <w:jc w:val="center"/>
              <w:rPr>
                <w:rFonts w:ascii="仿宋" w:hAnsi="仿宋" w:eastAsia="仿宋"/>
                <w:i w:val="0"/>
                <w:color w:val="auto"/>
                <w:highlight w:val="none"/>
              </w:rPr>
            </w:pPr>
            <w:r>
              <w:rPr>
                <w:rFonts w:hint="eastAsia" w:ascii="仿宋" w:hAnsi="仿宋" w:eastAsia="仿宋"/>
                <w:i w:val="0"/>
                <w:color w:val="auto"/>
                <w:highlight w:val="none"/>
              </w:rPr>
              <w:t>评标情况公告</w:t>
            </w:r>
          </w:p>
        </w:tc>
        <w:tc>
          <w:tcPr>
            <w:tcW w:w="6349" w:type="dxa"/>
            <w:gridSpan w:val="3"/>
            <w:vAlign w:val="center"/>
          </w:tcPr>
          <w:p>
            <w:pPr>
              <w:ind w:left="282" w:leftChars="128" w:right="185" w:rightChars="84"/>
              <w:rPr>
                <w:rFonts w:ascii="仿宋" w:hAnsi="仿宋" w:eastAsia="仿宋"/>
                <w:i w:val="0"/>
                <w:color w:val="auto"/>
                <w:highlight w:val="none"/>
                <w:lang w:eastAsia="zh-CN"/>
              </w:rPr>
            </w:pPr>
            <w:r>
              <w:rPr>
                <w:rFonts w:hint="eastAsia" w:ascii="仿宋" w:hAnsi="仿宋" w:eastAsia="仿宋"/>
                <w:i w:val="0"/>
                <w:color w:val="auto"/>
                <w:highlight w:val="none"/>
                <w:lang w:eastAsia="zh-CN"/>
              </w:rPr>
              <w:t>所有投标人投标文件资格性、符合性检查情况、采用综合评分法时的总得分和分项汇总得分情况、评标结果等将在四川政府采购网上采购结果公告栏中予以公告。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6" w:hRule="exact"/>
          <w:jc w:val="center"/>
        </w:trPr>
        <w:tc>
          <w:tcPr>
            <w:tcW w:w="596"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9</w:t>
            </w:r>
          </w:p>
        </w:tc>
        <w:tc>
          <w:tcPr>
            <w:tcW w:w="1701" w:type="dxa"/>
            <w:vAlign w:val="center"/>
          </w:tcPr>
          <w:p>
            <w:pPr>
              <w:jc w:val="center"/>
              <w:rPr>
                <w:rFonts w:ascii="仿宋" w:hAnsi="仿宋" w:eastAsia="仿宋" w:cs="宋体"/>
                <w:i w:val="0"/>
                <w:color w:val="auto"/>
                <w:highlight w:val="none"/>
                <w:lang w:val="zh-CN" w:eastAsia="zh-CN"/>
              </w:rPr>
            </w:pPr>
            <w:r>
              <w:rPr>
                <w:rFonts w:hint="eastAsia" w:ascii="仿宋" w:hAnsi="仿宋" w:eastAsia="仿宋" w:cs="宋体"/>
                <w:i w:val="0"/>
                <w:color w:val="auto"/>
                <w:highlight w:val="none"/>
                <w:lang w:val="zh-CN" w:eastAsia="zh-CN"/>
              </w:rPr>
              <w:t>投标保证金</w:t>
            </w:r>
          </w:p>
          <w:p>
            <w:pPr>
              <w:jc w:val="center"/>
              <w:rPr>
                <w:rFonts w:ascii="仿宋" w:hAnsi="仿宋" w:eastAsia="仿宋" w:cs="宋体"/>
                <w:i w:val="0"/>
                <w:color w:val="auto"/>
                <w:highlight w:val="none"/>
                <w:lang w:val="zh-CN" w:eastAsia="zh-CN"/>
              </w:rPr>
            </w:pPr>
            <w:r>
              <w:rPr>
                <w:rFonts w:hint="eastAsia" w:ascii="仿宋" w:hAnsi="仿宋" w:eastAsia="仿宋" w:cs="宋体"/>
                <w:i w:val="0"/>
                <w:color w:val="auto"/>
                <w:highlight w:val="none"/>
                <w:lang w:val="zh-CN" w:eastAsia="zh-CN"/>
              </w:rPr>
              <w:t>（实质性要求）</w:t>
            </w:r>
          </w:p>
        </w:tc>
        <w:tc>
          <w:tcPr>
            <w:tcW w:w="6349" w:type="dxa"/>
            <w:gridSpan w:val="3"/>
            <w:vAlign w:val="center"/>
          </w:tcPr>
          <w:p>
            <w:pPr>
              <w:ind w:left="282" w:leftChars="128" w:right="185" w:rightChars="84"/>
              <w:rPr>
                <w:rFonts w:ascii="仿宋" w:hAnsi="仿宋" w:eastAsia="仿宋" w:cs="宋体"/>
                <w:i w:val="0"/>
                <w:color w:val="auto"/>
                <w:highlight w:val="none"/>
                <w:lang w:val="zh-CN" w:eastAsia="zh-CN"/>
              </w:rPr>
            </w:pPr>
            <w:r>
              <w:rPr>
                <w:rFonts w:hint="eastAsia" w:ascii="仿宋" w:hAnsi="仿宋" w:eastAsia="仿宋" w:cs="宋体"/>
                <w:i w:val="0"/>
                <w:color w:val="auto"/>
                <w:highlight w:val="none"/>
                <w:lang w:val="zh-CN" w:eastAsia="zh-CN"/>
              </w:rPr>
              <w:t>根据《四川省财政厅关于进一步做好疫情防控期间 政府采购工作有关事项的通知》（川财采〔2020〕28号），本项目按照“第二章 四、投标文件 16、投标保证金”相关要求执行。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96"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10</w:t>
            </w:r>
          </w:p>
        </w:tc>
        <w:tc>
          <w:tcPr>
            <w:tcW w:w="1701" w:type="dxa"/>
            <w:vAlign w:val="center"/>
          </w:tcPr>
          <w:p>
            <w:pPr>
              <w:jc w:val="center"/>
              <w:rPr>
                <w:rFonts w:ascii="仿宋" w:hAnsi="仿宋" w:eastAsia="仿宋" w:cs="宋体"/>
                <w:i w:val="0"/>
                <w:color w:val="auto"/>
                <w:highlight w:val="none"/>
                <w:lang w:val="zh-CN"/>
              </w:rPr>
            </w:pPr>
            <w:r>
              <w:rPr>
                <w:rFonts w:hint="eastAsia" w:ascii="仿宋" w:hAnsi="仿宋" w:eastAsia="仿宋" w:cs="宋体"/>
                <w:i w:val="0"/>
                <w:color w:val="auto"/>
                <w:highlight w:val="none"/>
                <w:lang w:val="zh-CN"/>
              </w:rPr>
              <w:t>履约保证金</w:t>
            </w:r>
          </w:p>
        </w:tc>
        <w:tc>
          <w:tcPr>
            <w:tcW w:w="6349" w:type="dxa"/>
            <w:gridSpan w:val="3"/>
            <w:vAlign w:val="center"/>
          </w:tcPr>
          <w:p>
            <w:pPr>
              <w:ind w:left="350" w:leftChars="159" w:right="253" w:rightChars="115"/>
              <w:rPr>
                <w:rFonts w:ascii="仿宋" w:hAnsi="仿宋" w:eastAsia="仿宋" w:cs="宋体"/>
                <w:i w:val="0"/>
                <w:iCs w:val="0"/>
                <w:color w:val="auto"/>
                <w:kern w:val="0"/>
                <w:highlight w:val="none"/>
                <w:lang w:eastAsia="zh-CN" w:bidi="ar-SA"/>
              </w:rPr>
            </w:pPr>
            <w:r>
              <w:rPr>
                <w:rFonts w:hint="eastAsia" w:ascii="仿宋" w:hAnsi="仿宋" w:eastAsia="仿宋" w:cs="宋体"/>
                <w:i w:val="0"/>
                <w:iCs w:val="0"/>
                <w:color w:val="auto"/>
                <w:kern w:val="0"/>
                <w:highlight w:val="none"/>
                <w:lang w:eastAsia="zh-CN" w:bidi="ar-SA"/>
              </w:rPr>
              <w:t>本项目</w:t>
            </w:r>
            <w:r>
              <w:rPr>
                <w:rFonts w:ascii="仿宋" w:hAnsi="仿宋" w:eastAsia="仿宋" w:cs="宋体"/>
                <w:i w:val="0"/>
                <w:iCs w:val="0"/>
                <w:color w:val="auto"/>
                <w:kern w:val="0"/>
                <w:highlight w:val="none"/>
                <w:lang w:eastAsia="zh-CN" w:bidi="ar-SA"/>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596"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1</w:t>
            </w:r>
            <w:r>
              <w:rPr>
                <w:rFonts w:hint="eastAsia" w:ascii="仿宋" w:hAnsi="仿宋" w:eastAsia="仿宋"/>
                <w:i w:val="0"/>
                <w:color w:val="auto"/>
                <w:highlight w:val="none"/>
                <w:lang w:val="en-US" w:eastAsia="zh-CN"/>
              </w:rPr>
              <w:t>1</w:t>
            </w:r>
          </w:p>
        </w:tc>
        <w:tc>
          <w:tcPr>
            <w:tcW w:w="1701" w:type="dxa"/>
            <w:vAlign w:val="center"/>
          </w:tcPr>
          <w:p>
            <w:pPr>
              <w:jc w:val="center"/>
              <w:rPr>
                <w:rFonts w:ascii="仿宋" w:hAnsi="仿宋" w:eastAsia="仿宋"/>
                <w:i w:val="0"/>
                <w:color w:val="auto"/>
                <w:highlight w:val="none"/>
              </w:rPr>
            </w:pPr>
            <w:r>
              <w:rPr>
                <w:rFonts w:hint="eastAsia" w:ascii="仿宋" w:hAnsi="仿宋" w:eastAsia="仿宋"/>
                <w:i w:val="0"/>
                <w:color w:val="auto"/>
                <w:highlight w:val="none"/>
              </w:rPr>
              <w:t>投标有效期</w:t>
            </w:r>
          </w:p>
        </w:tc>
        <w:tc>
          <w:tcPr>
            <w:tcW w:w="6349" w:type="dxa"/>
            <w:gridSpan w:val="3"/>
            <w:vAlign w:val="center"/>
          </w:tcPr>
          <w:p>
            <w:pPr>
              <w:ind w:left="282" w:leftChars="128"/>
              <w:rPr>
                <w:rFonts w:ascii="仿宋" w:hAnsi="仿宋" w:eastAsia="仿宋"/>
                <w:i w:val="0"/>
                <w:color w:val="auto"/>
                <w:highlight w:val="none"/>
                <w:lang w:eastAsia="zh-CN"/>
              </w:rPr>
            </w:pPr>
            <w:r>
              <w:rPr>
                <w:rFonts w:hint="eastAsia" w:ascii="仿宋" w:hAnsi="仿宋" w:eastAsia="仿宋"/>
                <w:i w:val="0"/>
                <w:color w:val="auto"/>
                <w:highlight w:val="none"/>
                <w:lang w:eastAsia="zh-CN"/>
              </w:rPr>
              <w:t>开标后</w:t>
            </w:r>
            <w:r>
              <w:rPr>
                <w:rFonts w:ascii="仿宋" w:hAnsi="仿宋" w:eastAsia="仿宋"/>
                <w:i w:val="0"/>
                <w:color w:val="auto"/>
                <w:highlight w:val="none"/>
                <w:lang w:eastAsia="zh-CN"/>
              </w:rPr>
              <w:t>90</w:t>
            </w:r>
            <w:r>
              <w:rPr>
                <w:rFonts w:hint="eastAsia" w:ascii="仿宋" w:hAnsi="仿宋" w:eastAsia="仿宋"/>
                <w:i w:val="0"/>
                <w:color w:val="auto"/>
                <w:highlight w:val="none"/>
                <w:lang w:eastAsia="zh-CN"/>
              </w:rPr>
              <w:t>天，从投标截止之日</w:t>
            </w:r>
            <w:r>
              <w:rPr>
                <w:rFonts w:ascii="仿宋" w:hAnsi="仿宋" w:eastAsia="仿宋"/>
                <w:i w:val="0"/>
                <w:color w:val="auto"/>
                <w:highlight w:val="none"/>
                <w:lang w:eastAsia="zh-CN"/>
              </w:rPr>
              <w:t>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96" w:type="dxa"/>
            <w:vMerge w:val="restart"/>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1</w:t>
            </w:r>
            <w:r>
              <w:rPr>
                <w:rFonts w:hint="eastAsia" w:ascii="仿宋" w:hAnsi="仿宋" w:eastAsia="仿宋"/>
                <w:i w:val="0"/>
                <w:color w:val="auto"/>
                <w:highlight w:val="none"/>
                <w:lang w:val="en-US" w:eastAsia="zh-CN"/>
              </w:rPr>
              <w:t>2</w:t>
            </w:r>
          </w:p>
        </w:tc>
        <w:tc>
          <w:tcPr>
            <w:tcW w:w="1701" w:type="dxa"/>
            <w:vMerge w:val="restart"/>
            <w:vAlign w:val="center"/>
          </w:tcPr>
          <w:p>
            <w:pPr>
              <w:jc w:val="center"/>
              <w:rPr>
                <w:rFonts w:ascii="仿宋" w:hAnsi="仿宋" w:eastAsia="仿宋"/>
                <w:i w:val="0"/>
                <w:color w:val="auto"/>
                <w:highlight w:val="none"/>
              </w:rPr>
            </w:pPr>
            <w:r>
              <w:rPr>
                <w:rFonts w:hint="eastAsia" w:ascii="仿宋" w:hAnsi="仿宋" w:eastAsia="仿宋"/>
                <w:i w:val="0"/>
                <w:color w:val="auto"/>
                <w:highlight w:val="none"/>
              </w:rPr>
              <w:t>投标文件份数</w:t>
            </w:r>
          </w:p>
        </w:tc>
        <w:tc>
          <w:tcPr>
            <w:tcW w:w="2201" w:type="dxa"/>
            <w:vAlign w:val="center"/>
          </w:tcPr>
          <w:p>
            <w:pPr>
              <w:jc w:val="center"/>
              <w:rPr>
                <w:rFonts w:ascii="仿宋" w:hAnsi="仿宋" w:eastAsia="仿宋" w:cs="仿宋"/>
                <w:b/>
                <w:i w:val="0"/>
                <w:color w:val="auto"/>
                <w:highlight w:val="none"/>
              </w:rPr>
            </w:pPr>
            <w:r>
              <w:rPr>
                <w:rFonts w:hint="eastAsia" w:ascii="仿宋" w:hAnsi="仿宋" w:eastAsia="仿宋" w:cs="仿宋"/>
                <w:b/>
                <w:i w:val="0"/>
                <w:color w:val="auto"/>
                <w:highlight w:val="none"/>
              </w:rPr>
              <w:t>投标文件</w:t>
            </w:r>
            <w:r>
              <w:rPr>
                <w:rFonts w:ascii="仿宋" w:hAnsi="仿宋" w:eastAsia="仿宋" w:cs="仿宋"/>
                <w:b/>
                <w:i w:val="0"/>
                <w:color w:val="auto"/>
                <w:highlight w:val="none"/>
              </w:rPr>
              <w:t>组成</w:t>
            </w:r>
          </w:p>
        </w:tc>
        <w:tc>
          <w:tcPr>
            <w:tcW w:w="2693" w:type="dxa"/>
            <w:vAlign w:val="center"/>
          </w:tcPr>
          <w:p>
            <w:pPr>
              <w:jc w:val="center"/>
              <w:rPr>
                <w:rFonts w:ascii="仿宋" w:hAnsi="仿宋" w:eastAsia="仿宋" w:cs="仿宋"/>
                <w:b/>
                <w:i w:val="0"/>
                <w:color w:val="auto"/>
                <w:highlight w:val="none"/>
              </w:rPr>
            </w:pPr>
            <w:r>
              <w:rPr>
                <w:rFonts w:hint="eastAsia" w:ascii="仿宋" w:hAnsi="仿宋" w:eastAsia="仿宋" w:cs="仿宋"/>
                <w:b/>
                <w:i w:val="0"/>
                <w:color w:val="auto"/>
                <w:highlight w:val="none"/>
              </w:rPr>
              <w:t>投标文件数量</w:t>
            </w:r>
          </w:p>
        </w:tc>
        <w:tc>
          <w:tcPr>
            <w:tcW w:w="1455" w:type="dxa"/>
            <w:vAlign w:val="center"/>
          </w:tcPr>
          <w:p>
            <w:pPr>
              <w:jc w:val="center"/>
              <w:rPr>
                <w:rFonts w:ascii="仿宋" w:hAnsi="仿宋" w:eastAsia="仿宋" w:cs="仿宋"/>
                <w:b/>
                <w:i w:val="0"/>
                <w:color w:val="auto"/>
                <w:highlight w:val="none"/>
              </w:rPr>
            </w:pPr>
            <w:r>
              <w:rPr>
                <w:rFonts w:hint="eastAsia" w:ascii="仿宋" w:hAnsi="仿宋" w:eastAsia="仿宋" w:cs="仿宋"/>
                <w:b/>
                <w:i w:val="0"/>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96" w:type="dxa"/>
            <w:vMerge w:val="continue"/>
            <w:vAlign w:val="center"/>
          </w:tcPr>
          <w:p>
            <w:pPr>
              <w:jc w:val="center"/>
              <w:rPr>
                <w:rFonts w:ascii="仿宋" w:hAnsi="仿宋" w:eastAsia="仿宋"/>
                <w:i w:val="0"/>
                <w:color w:val="auto"/>
                <w:highlight w:val="none"/>
                <w:lang w:eastAsia="zh-CN"/>
              </w:rPr>
            </w:pPr>
          </w:p>
        </w:tc>
        <w:tc>
          <w:tcPr>
            <w:tcW w:w="1701" w:type="dxa"/>
            <w:vMerge w:val="continue"/>
            <w:vAlign w:val="center"/>
          </w:tcPr>
          <w:p>
            <w:pPr>
              <w:jc w:val="center"/>
              <w:rPr>
                <w:rFonts w:ascii="仿宋" w:hAnsi="仿宋" w:eastAsia="仿宋"/>
                <w:i w:val="0"/>
                <w:color w:val="auto"/>
                <w:highlight w:val="none"/>
              </w:rPr>
            </w:pPr>
          </w:p>
        </w:tc>
        <w:tc>
          <w:tcPr>
            <w:tcW w:w="2201" w:type="dxa"/>
            <w:vAlign w:val="center"/>
          </w:tcPr>
          <w:p>
            <w:pPr>
              <w:jc w:val="center"/>
              <w:rPr>
                <w:rFonts w:ascii="仿宋" w:hAnsi="仿宋" w:eastAsia="仿宋" w:cs="仿宋"/>
                <w:i w:val="0"/>
                <w:color w:val="auto"/>
                <w:highlight w:val="none"/>
              </w:rPr>
            </w:pPr>
            <w:r>
              <w:rPr>
                <w:rFonts w:hint="eastAsia" w:ascii="仿宋" w:hAnsi="仿宋" w:eastAsia="仿宋" w:cs="仿宋"/>
                <w:i w:val="0"/>
                <w:color w:val="auto"/>
                <w:highlight w:val="none"/>
              </w:rPr>
              <w:t>资格证明</w:t>
            </w:r>
            <w:r>
              <w:rPr>
                <w:rFonts w:ascii="仿宋" w:hAnsi="仿宋" w:eastAsia="仿宋" w:cs="仿宋"/>
                <w:i w:val="0"/>
                <w:color w:val="auto"/>
                <w:highlight w:val="none"/>
              </w:rPr>
              <w:t>文件</w:t>
            </w:r>
          </w:p>
        </w:tc>
        <w:tc>
          <w:tcPr>
            <w:tcW w:w="2693" w:type="dxa"/>
            <w:vAlign w:val="center"/>
          </w:tcPr>
          <w:p>
            <w:pPr>
              <w:jc w:val="center"/>
              <w:rPr>
                <w:rFonts w:ascii="仿宋" w:hAnsi="仿宋" w:eastAsia="仿宋" w:cs="仿宋"/>
                <w:i w:val="0"/>
                <w:color w:val="auto"/>
                <w:highlight w:val="none"/>
                <w:lang w:eastAsia="zh-CN"/>
              </w:rPr>
            </w:pPr>
            <w:r>
              <w:rPr>
                <w:rFonts w:hint="eastAsia" w:ascii="仿宋" w:hAnsi="仿宋" w:eastAsia="仿宋" w:cs="仿宋"/>
                <w:i w:val="0"/>
                <w:color w:val="auto"/>
                <w:highlight w:val="none"/>
                <w:lang w:eastAsia="zh-CN"/>
              </w:rPr>
              <w:t>1份</w:t>
            </w:r>
          </w:p>
        </w:tc>
        <w:tc>
          <w:tcPr>
            <w:tcW w:w="1455" w:type="dxa"/>
            <w:vAlign w:val="center"/>
          </w:tcPr>
          <w:p>
            <w:pPr>
              <w:rPr>
                <w:rFonts w:ascii="仿宋" w:hAnsi="仿宋" w:eastAsia="仿宋"/>
                <w:i w:val="0"/>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96" w:type="dxa"/>
            <w:vMerge w:val="continue"/>
            <w:vAlign w:val="center"/>
          </w:tcPr>
          <w:p>
            <w:pPr>
              <w:jc w:val="center"/>
              <w:rPr>
                <w:rFonts w:ascii="仿宋" w:hAnsi="仿宋" w:eastAsia="仿宋"/>
                <w:i w:val="0"/>
                <w:color w:val="auto"/>
                <w:highlight w:val="none"/>
                <w:lang w:eastAsia="zh-CN"/>
              </w:rPr>
            </w:pPr>
          </w:p>
        </w:tc>
        <w:tc>
          <w:tcPr>
            <w:tcW w:w="1701" w:type="dxa"/>
            <w:vMerge w:val="continue"/>
            <w:vAlign w:val="center"/>
          </w:tcPr>
          <w:p>
            <w:pPr>
              <w:jc w:val="center"/>
              <w:rPr>
                <w:rFonts w:ascii="仿宋" w:hAnsi="仿宋" w:eastAsia="仿宋"/>
                <w:i w:val="0"/>
                <w:color w:val="auto"/>
                <w:highlight w:val="none"/>
              </w:rPr>
            </w:pPr>
          </w:p>
        </w:tc>
        <w:tc>
          <w:tcPr>
            <w:tcW w:w="2201" w:type="dxa"/>
            <w:vAlign w:val="center"/>
          </w:tcPr>
          <w:p>
            <w:pPr>
              <w:jc w:val="center"/>
              <w:rPr>
                <w:rFonts w:ascii="仿宋" w:hAnsi="仿宋" w:eastAsia="仿宋" w:cs="仿宋"/>
                <w:i w:val="0"/>
                <w:color w:val="auto"/>
                <w:highlight w:val="none"/>
              </w:rPr>
            </w:pPr>
            <w:r>
              <w:rPr>
                <w:rFonts w:hint="eastAsia" w:ascii="仿宋" w:hAnsi="仿宋" w:eastAsia="仿宋" w:cs="仿宋"/>
                <w:i w:val="0"/>
                <w:color w:val="auto"/>
                <w:highlight w:val="none"/>
              </w:rPr>
              <w:t>商务</w:t>
            </w:r>
            <w:r>
              <w:rPr>
                <w:rFonts w:ascii="仿宋" w:hAnsi="仿宋" w:eastAsia="仿宋" w:cs="仿宋"/>
                <w:i w:val="0"/>
                <w:color w:val="auto"/>
                <w:highlight w:val="none"/>
              </w:rPr>
              <w:t>和技术文件</w:t>
            </w:r>
          </w:p>
        </w:tc>
        <w:tc>
          <w:tcPr>
            <w:tcW w:w="2693" w:type="dxa"/>
            <w:vAlign w:val="center"/>
          </w:tcPr>
          <w:p>
            <w:pPr>
              <w:jc w:val="center"/>
              <w:rPr>
                <w:rFonts w:ascii="仿宋" w:hAnsi="仿宋" w:eastAsia="仿宋" w:cs="仿宋"/>
                <w:i w:val="0"/>
                <w:color w:val="auto"/>
                <w:highlight w:val="none"/>
                <w:lang w:eastAsia="zh-CN"/>
              </w:rPr>
            </w:pPr>
            <w:r>
              <w:rPr>
                <w:rFonts w:hint="eastAsia" w:ascii="仿宋" w:hAnsi="仿宋" w:eastAsia="仿宋" w:cs="仿宋"/>
                <w:i w:val="0"/>
                <w:color w:val="auto"/>
                <w:highlight w:val="none"/>
                <w:lang w:eastAsia="zh-CN"/>
              </w:rPr>
              <w:t>1份</w:t>
            </w:r>
          </w:p>
        </w:tc>
        <w:tc>
          <w:tcPr>
            <w:tcW w:w="1455" w:type="dxa"/>
            <w:vAlign w:val="center"/>
          </w:tcPr>
          <w:p>
            <w:pPr>
              <w:rPr>
                <w:rFonts w:ascii="仿宋" w:hAnsi="仿宋" w:eastAsia="仿宋"/>
                <w:i w:val="0"/>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96" w:type="dxa"/>
            <w:vMerge w:val="continue"/>
            <w:vAlign w:val="center"/>
          </w:tcPr>
          <w:p>
            <w:pPr>
              <w:jc w:val="center"/>
              <w:rPr>
                <w:rFonts w:ascii="仿宋" w:hAnsi="仿宋" w:eastAsia="仿宋"/>
                <w:i w:val="0"/>
                <w:color w:val="auto"/>
                <w:highlight w:val="none"/>
                <w:lang w:eastAsia="zh-CN"/>
              </w:rPr>
            </w:pPr>
          </w:p>
        </w:tc>
        <w:tc>
          <w:tcPr>
            <w:tcW w:w="1701" w:type="dxa"/>
            <w:vMerge w:val="continue"/>
            <w:vAlign w:val="center"/>
          </w:tcPr>
          <w:p>
            <w:pPr>
              <w:jc w:val="center"/>
              <w:rPr>
                <w:rFonts w:ascii="仿宋" w:hAnsi="仿宋" w:eastAsia="仿宋"/>
                <w:i w:val="0"/>
                <w:color w:val="auto"/>
                <w:highlight w:val="none"/>
              </w:rPr>
            </w:pPr>
          </w:p>
        </w:tc>
        <w:tc>
          <w:tcPr>
            <w:tcW w:w="2201" w:type="dxa"/>
            <w:vAlign w:val="center"/>
          </w:tcPr>
          <w:p>
            <w:pPr>
              <w:jc w:val="center"/>
              <w:rPr>
                <w:rFonts w:ascii="仿宋" w:hAnsi="仿宋" w:eastAsia="仿宋" w:cs="仿宋"/>
                <w:i w:val="0"/>
                <w:color w:val="auto"/>
                <w:highlight w:val="none"/>
              </w:rPr>
            </w:pPr>
            <w:r>
              <w:rPr>
                <w:rFonts w:hint="eastAsia" w:ascii="仿宋" w:hAnsi="仿宋" w:eastAsia="仿宋" w:cs="仿宋"/>
                <w:i w:val="0"/>
                <w:color w:val="auto"/>
                <w:highlight w:val="none"/>
                <w:lang w:eastAsia="zh-CN"/>
              </w:rPr>
              <w:t>开标一览表</w:t>
            </w:r>
          </w:p>
        </w:tc>
        <w:tc>
          <w:tcPr>
            <w:tcW w:w="2693" w:type="dxa"/>
            <w:vAlign w:val="center"/>
          </w:tcPr>
          <w:p>
            <w:pPr>
              <w:jc w:val="center"/>
              <w:rPr>
                <w:rFonts w:ascii="仿宋" w:hAnsi="仿宋" w:eastAsia="仿宋" w:cs="仿宋"/>
                <w:i w:val="0"/>
                <w:color w:val="auto"/>
                <w:highlight w:val="none"/>
                <w:lang w:eastAsia="zh-CN"/>
              </w:rPr>
            </w:pPr>
            <w:r>
              <w:rPr>
                <w:rFonts w:hint="eastAsia" w:ascii="仿宋" w:hAnsi="仿宋" w:eastAsia="仿宋" w:cs="仿宋"/>
                <w:i w:val="0"/>
                <w:color w:val="auto"/>
                <w:highlight w:val="none"/>
                <w:lang w:eastAsia="zh-CN"/>
              </w:rPr>
              <w:t>1份</w:t>
            </w:r>
          </w:p>
        </w:tc>
        <w:tc>
          <w:tcPr>
            <w:tcW w:w="1455" w:type="dxa"/>
            <w:vAlign w:val="center"/>
          </w:tcPr>
          <w:p>
            <w:pPr>
              <w:rPr>
                <w:rFonts w:ascii="仿宋" w:hAnsi="仿宋" w:eastAsia="仿宋"/>
                <w:i w:val="0"/>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96"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1</w:t>
            </w:r>
            <w:r>
              <w:rPr>
                <w:rFonts w:hint="eastAsia" w:ascii="仿宋" w:hAnsi="仿宋" w:eastAsia="仿宋"/>
                <w:i w:val="0"/>
                <w:color w:val="auto"/>
                <w:highlight w:val="none"/>
                <w:lang w:val="en-US" w:eastAsia="zh-CN"/>
              </w:rPr>
              <w:t>3</w:t>
            </w:r>
          </w:p>
        </w:tc>
        <w:tc>
          <w:tcPr>
            <w:tcW w:w="1701" w:type="dxa"/>
            <w:vAlign w:val="center"/>
          </w:tcPr>
          <w:p>
            <w:pPr>
              <w:rPr>
                <w:rFonts w:ascii="仿宋" w:hAnsi="仿宋" w:eastAsia="仿宋"/>
                <w:i w:val="0"/>
                <w:color w:val="auto"/>
                <w:highlight w:val="none"/>
                <w:lang w:val="zh-CN" w:eastAsia="zh-CN"/>
              </w:rPr>
            </w:pPr>
            <w:r>
              <w:rPr>
                <w:rFonts w:hint="eastAsia" w:ascii="仿宋" w:hAnsi="仿宋" w:eastAsia="仿宋"/>
                <w:i w:val="0"/>
                <w:color w:val="auto"/>
                <w:highlight w:val="none"/>
                <w:lang w:val="zh-CN" w:eastAsia="zh-CN"/>
              </w:rPr>
              <w:t>构成招标文件的其他文件</w:t>
            </w:r>
          </w:p>
        </w:tc>
        <w:tc>
          <w:tcPr>
            <w:tcW w:w="6349" w:type="dxa"/>
            <w:gridSpan w:val="3"/>
            <w:vAlign w:val="center"/>
          </w:tcPr>
          <w:p>
            <w:pPr>
              <w:ind w:left="282" w:leftChars="128" w:right="185" w:rightChars="84"/>
              <w:rPr>
                <w:rFonts w:ascii="仿宋" w:hAnsi="仿宋" w:eastAsia="仿宋"/>
                <w:i w:val="0"/>
                <w:color w:val="auto"/>
                <w:highlight w:val="none"/>
                <w:lang w:val="zh-CN" w:eastAsia="zh-CN"/>
              </w:rPr>
            </w:pPr>
            <w:r>
              <w:rPr>
                <w:rFonts w:hint="eastAsia" w:ascii="仿宋" w:hAnsi="仿宋" w:eastAsia="仿宋"/>
                <w:i w:val="0"/>
                <w:color w:val="auto"/>
                <w:highlight w:val="none"/>
                <w:lang w:val="zh-CN" w:eastAsia="zh-CN"/>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96"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1</w:t>
            </w:r>
            <w:r>
              <w:rPr>
                <w:rFonts w:hint="eastAsia" w:ascii="仿宋" w:hAnsi="仿宋" w:eastAsia="仿宋"/>
                <w:i w:val="0"/>
                <w:color w:val="auto"/>
                <w:highlight w:val="none"/>
                <w:lang w:val="en-US" w:eastAsia="zh-CN"/>
              </w:rPr>
              <w:t>4</w:t>
            </w:r>
          </w:p>
        </w:tc>
        <w:tc>
          <w:tcPr>
            <w:tcW w:w="1701" w:type="dxa"/>
            <w:vAlign w:val="center"/>
          </w:tcPr>
          <w:p>
            <w:pPr>
              <w:jc w:val="center"/>
              <w:rPr>
                <w:rFonts w:ascii="仿宋" w:hAnsi="仿宋" w:eastAsia="仿宋"/>
                <w:i w:val="0"/>
                <w:color w:val="auto"/>
                <w:highlight w:val="none"/>
              </w:rPr>
            </w:pPr>
            <w:r>
              <w:rPr>
                <w:rFonts w:hint="eastAsia" w:ascii="仿宋" w:hAnsi="仿宋" w:eastAsia="仿宋"/>
                <w:i w:val="0"/>
                <w:color w:val="auto"/>
                <w:highlight w:val="none"/>
              </w:rPr>
              <w:t>采购文件咨询</w:t>
            </w:r>
          </w:p>
        </w:tc>
        <w:tc>
          <w:tcPr>
            <w:tcW w:w="6349" w:type="dxa"/>
            <w:gridSpan w:val="3"/>
            <w:vAlign w:val="center"/>
          </w:tcPr>
          <w:p>
            <w:pPr>
              <w:ind w:left="282" w:leftChars="128" w:right="185" w:rightChars="84"/>
              <w:rPr>
                <w:rFonts w:ascii="仿宋" w:hAnsi="仿宋" w:eastAsia="仿宋"/>
                <w:i w:val="0"/>
                <w:color w:val="auto"/>
                <w:highlight w:val="none"/>
                <w:lang w:val="zh-CN" w:eastAsia="zh-CN"/>
              </w:rPr>
            </w:pPr>
            <w:r>
              <w:rPr>
                <w:rFonts w:hint="eastAsia" w:ascii="仿宋" w:hAnsi="仿宋" w:eastAsia="仿宋"/>
                <w:i w:val="0"/>
                <w:color w:val="auto"/>
                <w:highlight w:val="none"/>
                <w:lang w:eastAsia="zh-CN"/>
              </w:rPr>
              <w:t>联系人：</w:t>
            </w:r>
            <w:r>
              <w:rPr>
                <w:rFonts w:hint="eastAsia" w:ascii="仿宋" w:hAnsi="仿宋" w:eastAsia="仿宋"/>
                <w:i w:val="0"/>
                <w:color w:val="auto"/>
                <w:highlight w:val="none"/>
                <w:lang w:val="zh-CN" w:eastAsia="zh-CN"/>
              </w:rPr>
              <w:t>史女士</w:t>
            </w:r>
          </w:p>
          <w:p>
            <w:pPr>
              <w:ind w:left="282" w:leftChars="128" w:right="185" w:rightChars="84"/>
              <w:rPr>
                <w:rFonts w:ascii="仿宋" w:hAnsi="仿宋" w:eastAsia="仿宋"/>
                <w:i w:val="0"/>
                <w:color w:val="auto"/>
                <w:highlight w:val="none"/>
                <w:lang w:eastAsia="zh-CN"/>
              </w:rPr>
            </w:pPr>
            <w:r>
              <w:rPr>
                <w:rFonts w:hint="eastAsia" w:ascii="仿宋" w:hAnsi="仿宋" w:eastAsia="仿宋"/>
                <w:i w:val="0"/>
                <w:color w:val="auto"/>
                <w:highlight w:val="none"/>
                <w:lang w:eastAsia="zh-CN"/>
              </w:rPr>
              <w:t>联系电话：</w:t>
            </w:r>
            <w:r>
              <w:rPr>
                <w:rFonts w:hint="eastAsia" w:ascii="仿宋" w:hAnsi="仿宋" w:eastAsia="仿宋" w:cs="仿宋"/>
                <w:bCs/>
                <w:i w:val="0"/>
                <w:color w:val="auto"/>
                <w:highlight w:val="none"/>
                <w:lang w:eastAsia="zh-CN"/>
              </w:rPr>
              <w:t>028-64327676</w:t>
            </w:r>
            <w:r>
              <w:rPr>
                <w:rFonts w:ascii="仿宋" w:hAnsi="仿宋" w:eastAsia="仿宋"/>
                <w:i w:val="0"/>
                <w:color w:val="auto"/>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596"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1</w:t>
            </w:r>
            <w:r>
              <w:rPr>
                <w:rFonts w:hint="eastAsia" w:ascii="仿宋" w:hAnsi="仿宋" w:eastAsia="仿宋"/>
                <w:i w:val="0"/>
                <w:color w:val="auto"/>
                <w:highlight w:val="none"/>
                <w:lang w:val="en-US" w:eastAsia="zh-CN"/>
              </w:rPr>
              <w:t>5</w:t>
            </w:r>
          </w:p>
        </w:tc>
        <w:tc>
          <w:tcPr>
            <w:tcW w:w="1701" w:type="dxa"/>
            <w:vAlign w:val="center"/>
          </w:tcPr>
          <w:p>
            <w:pPr>
              <w:rPr>
                <w:rFonts w:ascii="仿宋" w:hAnsi="仿宋" w:eastAsia="仿宋"/>
                <w:i w:val="0"/>
                <w:color w:val="auto"/>
                <w:highlight w:val="none"/>
              </w:rPr>
            </w:pPr>
            <w:r>
              <w:rPr>
                <w:rFonts w:hint="eastAsia" w:ascii="仿宋" w:hAnsi="仿宋" w:eastAsia="仿宋"/>
                <w:i w:val="0"/>
                <w:color w:val="auto"/>
                <w:highlight w:val="none"/>
              </w:rPr>
              <w:t>开标、评标工作咨询</w:t>
            </w:r>
          </w:p>
        </w:tc>
        <w:tc>
          <w:tcPr>
            <w:tcW w:w="6349" w:type="dxa"/>
            <w:gridSpan w:val="3"/>
            <w:vAlign w:val="center"/>
          </w:tcPr>
          <w:p>
            <w:pPr>
              <w:ind w:left="282" w:leftChars="128" w:right="185" w:rightChars="84"/>
              <w:rPr>
                <w:rFonts w:ascii="仿宋" w:hAnsi="仿宋" w:eastAsia="仿宋"/>
                <w:i w:val="0"/>
                <w:color w:val="auto"/>
                <w:highlight w:val="none"/>
                <w:lang w:eastAsia="zh-CN"/>
              </w:rPr>
            </w:pPr>
            <w:r>
              <w:rPr>
                <w:rFonts w:hint="eastAsia" w:ascii="仿宋" w:hAnsi="仿宋" w:eastAsia="仿宋"/>
                <w:i w:val="0"/>
                <w:color w:val="auto"/>
                <w:highlight w:val="none"/>
                <w:lang w:eastAsia="zh-CN"/>
              </w:rPr>
              <w:t>联系人：</w:t>
            </w:r>
            <w:r>
              <w:rPr>
                <w:rFonts w:hint="eastAsia" w:ascii="仿宋" w:hAnsi="仿宋" w:eastAsia="仿宋"/>
                <w:i w:val="0"/>
                <w:color w:val="auto"/>
                <w:highlight w:val="none"/>
                <w:lang w:val="zh-CN" w:eastAsia="zh-CN"/>
              </w:rPr>
              <w:t>史女士</w:t>
            </w:r>
            <w:r>
              <w:rPr>
                <w:rFonts w:hint="eastAsia" w:ascii="仿宋" w:hAnsi="仿宋" w:eastAsia="仿宋"/>
                <w:i w:val="0"/>
                <w:color w:val="auto"/>
                <w:highlight w:val="none"/>
                <w:lang w:eastAsia="zh-CN"/>
              </w:rPr>
              <w:t>，联系电话：</w:t>
            </w:r>
            <w:r>
              <w:rPr>
                <w:rFonts w:hint="eastAsia" w:ascii="仿宋" w:hAnsi="仿宋" w:eastAsia="仿宋" w:cs="仿宋"/>
                <w:bCs/>
                <w:i w:val="0"/>
                <w:color w:val="auto"/>
                <w:highlight w:val="none"/>
                <w:lang w:eastAsia="zh-CN"/>
              </w:rPr>
              <w:t>028-64327676</w:t>
            </w:r>
            <w:r>
              <w:rPr>
                <w:rFonts w:ascii="仿宋" w:hAnsi="仿宋" w:eastAsia="仿宋"/>
                <w:i w:val="0"/>
                <w:color w:val="auto"/>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596"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1</w:t>
            </w:r>
            <w:r>
              <w:rPr>
                <w:rFonts w:hint="eastAsia" w:ascii="仿宋" w:hAnsi="仿宋" w:eastAsia="仿宋"/>
                <w:i w:val="0"/>
                <w:color w:val="auto"/>
                <w:highlight w:val="none"/>
                <w:lang w:val="en-US" w:eastAsia="zh-CN"/>
              </w:rPr>
              <w:t>6</w:t>
            </w:r>
          </w:p>
        </w:tc>
        <w:tc>
          <w:tcPr>
            <w:tcW w:w="1701" w:type="dxa"/>
            <w:vAlign w:val="center"/>
          </w:tcPr>
          <w:p>
            <w:pPr>
              <w:jc w:val="center"/>
              <w:rPr>
                <w:rFonts w:ascii="仿宋" w:hAnsi="仿宋" w:eastAsia="仿宋"/>
                <w:i w:val="0"/>
                <w:color w:val="auto"/>
                <w:highlight w:val="none"/>
              </w:rPr>
            </w:pPr>
            <w:r>
              <w:rPr>
                <w:rFonts w:hint="eastAsia" w:ascii="仿宋" w:hAnsi="仿宋" w:eastAsia="仿宋"/>
                <w:i w:val="0"/>
                <w:color w:val="auto"/>
                <w:highlight w:val="none"/>
              </w:rPr>
              <w:t>中标通知书领取</w:t>
            </w:r>
          </w:p>
        </w:tc>
        <w:tc>
          <w:tcPr>
            <w:tcW w:w="6349" w:type="dxa"/>
            <w:gridSpan w:val="3"/>
            <w:vAlign w:val="center"/>
          </w:tcPr>
          <w:p>
            <w:pPr>
              <w:ind w:left="282" w:leftChars="128" w:right="185" w:rightChars="84"/>
              <w:rPr>
                <w:rFonts w:ascii="仿宋" w:hAnsi="仿宋" w:eastAsia="仿宋"/>
                <w:i w:val="0"/>
                <w:color w:val="auto"/>
                <w:highlight w:val="none"/>
                <w:lang w:eastAsia="zh-CN"/>
              </w:rPr>
            </w:pPr>
            <w:r>
              <w:rPr>
                <w:rFonts w:hint="eastAsia" w:ascii="仿宋" w:hAnsi="仿宋" w:eastAsia="仿宋"/>
                <w:i w:val="0"/>
                <w:color w:val="auto"/>
                <w:highlight w:val="none"/>
                <w:lang w:eastAsia="zh-CN"/>
              </w:rPr>
              <w:t>中标公告在四川政府采购网上公告后，请中标人凭有效身份证明材料到四川科薪工程管理有限公司领取中标通知书。</w:t>
            </w:r>
          </w:p>
          <w:p>
            <w:pPr>
              <w:ind w:left="282" w:leftChars="128" w:right="185" w:rightChars="84"/>
              <w:rPr>
                <w:rFonts w:ascii="仿宋" w:hAnsi="仿宋" w:eastAsia="仿宋"/>
                <w:i w:val="0"/>
                <w:color w:val="auto"/>
                <w:highlight w:val="none"/>
                <w:lang w:val="zh-CN" w:eastAsia="zh-CN"/>
              </w:rPr>
            </w:pPr>
            <w:r>
              <w:rPr>
                <w:rFonts w:hint="eastAsia" w:ascii="仿宋" w:hAnsi="仿宋" w:eastAsia="仿宋"/>
                <w:i w:val="0"/>
                <w:color w:val="auto"/>
                <w:highlight w:val="none"/>
                <w:lang w:val="zh-CN" w:eastAsia="zh-CN"/>
              </w:rPr>
              <w:t>联系人：史女士。</w:t>
            </w:r>
          </w:p>
          <w:p>
            <w:pPr>
              <w:ind w:left="282" w:leftChars="128" w:right="185" w:rightChars="84"/>
              <w:rPr>
                <w:rFonts w:ascii="仿宋" w:hAnsi="仿宋" w:eastAsia="仿宋"/>
                <w:i w:val="0"/>
                <w:color w:val="auto"/>
                <w:highlight w:val="none"/>
                <w:lang w:val="zh-CN" w:eastAsia="zh-CN"/>
              </w:rPr>
            </w:pPr>
            <w:r>
              <w:rPr>
                <w:rFonts w:hint="eastAsia" w:ascii="仿宋" w:hAnsi="仿宋" w:eastAsia="仿宋"/>
                <w:i w:val="0"/>
                <w:color w:val="auto"/>
                <w:highlight w:val="none"/>
                <w:lang w:val="zh-CN" w:eastAsia="zh-CN"/>
              </w:rPr>
              <w:t>联系电话：</w:t>
            </w:r>
            <w:r>
              <w:rPr>
                <w:rFonts w:hint="eastAsia" w:ascii="仿宋" w:hAnsi="仿宋" w:eastAsia="仿宋" w:cs="仿宋"/>
                <w:bCs/>
                <w:i w:val="0"/>
                <w:color w:val="auto"/>
                <w:highlight w:val="none"/>
                <w:lang w:eastAsia="zh-CN"/>
              </w:rPr>
              <w:t>028-64327676</w:t>
            </w:r>
            <w:r>
              <w:rPr>
                <w:rFonts w:hint="eastAsia" w:ascii="仿宋" w:hAnsi="仿宋" w:eastAsia="仿宋"/>
                <w:i w:val="0"/>
                <w:color w:val="auto"/>
                <w:highlight w:val="none"/>
                <w:lang w:val="zh-CN" w:eastAsia="zh-CN"/>
              </w:rPr>
              <w:t>。</w:t>
            </w:r>
          </w:p>
          <w:p>
            <w:pPr>
              <w:ind w:left="282" w:leftChars="128" w:right="185" w:rightChars="84"/>
              <w:rPr>
                <w:rFonts w:ascii="仿宋" w:hAnsi="仿宋" w:eastAsia="仿宋"/>
                <w:i w:val="0"/>
                <w:color w:val="auto"/>
                <w:highlight w:val="none"/>
                <w:lang w:val="zh-CN" w:eastAsia="zh-CN"/>
              </w:rPr>
            </w:pPr>
            <w:r>
              <w:rPr>
                <w:rFonts w:hint="eastAsia" w:ascii="仿宋" w:hAnsi="仿宋" w:eastAsia="仿宋"/>
                <w:i w:val="0"/>
                <w:color w:val="auto"/>
                <w:highlight w:val="none"/>
                <w:lang w:val="zh-CN" w:eastAsia="zh-CN"/>
              </w:rPr>
              <w:t>地址：</w:t>
            </w:r>
            <w:r>
              <w:rPr>
                <w:rFonts w:hint="eastAsia" w:ascii="仿宋" w:hAnsi="仿宋" w:eastAsia="仿宋"/>
                <w:i w:val="0"/>
                <w:color w:val="auto"/>
                <w:highlight w:val="none"/>
                <w:lang w:eastAsia="zh-CN"/>
              </w:rPr>
              <w:t>成都市新都区三河街道蓉香路148号附201号</w:t>
            </w:r>
            <w:r>
              <w:rPr>
                <w:rFonts w:hint="eastAsia" w:ascii="仿宋" w:hAnsi="仿宋" w:eastAsia="仿宋"/>
                <w:i w:val="0"/>
                <w:color w:val="auto"/>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596"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1</w:t>
            </w:r>
            <w:r>
              <w:rPr>
                <w:rFonts w:hint="eastAsia" w:ascii="仿宋" w:hAnsi="仿宋" w:eastAsia="仿宋"/>
                <w:i w:val="0"/>
                <w:color w:val="auto"/>
                <w:highlight w:val="none"/>
                <w:lang w:val="en-US" w:eastAsia="zh-CN"/>
              </w:rPr>
              <w:t>7</w:t>
            </w:r>
          </w:p>
        </w:tc>
        <w:tc>
          <w:tcPr>
            <w:tcW w:w="1701" w:type="dxa"/>
            <w:vAlign w:val="center"/>
          </w:tcPr>
          <w:p>
            <w:pPr>
              <w:jc w:val="center"/>
              <w:rPr>
                <w:rFonts w:ascii="仿宋" w:hAnsi="仿宋" w:eastAsia="仿宋"/>
                <w:i w:val="0"/>
                <w:color w:val="auto"/>
                <w:highlight w:val="none"/>
              </w:rPr>
            </w:pPr>
            <w:r>
              <w:rPr>
                <w:rFonts w:hint="eastAsia" w:ascii="仿宋" w:hAnsi="仿宋" w:eastAsia="仿宋"/>
                <w:i w:val="0"/>
                <w:color w:val="auto"/>
                <w:highlight w:val="none"/>
              </w:rPr>
              <w:t>投标人询问</w:t>
            </w:r>
          </w:p>
        </w:tc>
        <w:tc>
          <w:tcPr>
            <w:tcW w:w="6349" w:type="dxa"/>
            <w:gridSpan w:val="3"/>
          </w:tcPr>
          <w:p>
            <w:pPr>
              <w:ind w:left="282" w:leftChars="128" w:right="185" w:rightChars="84"/>
              <w:rPr>
                <w:rFonts w:ascii="仿宋" w:hAnsi="仿宋" w:eastAsia="仿宋"/>
                <w:i w:val="0"/>
                <w:color w:val="auto"/>
                <w:highlight w:val="none"/>
                <w:lang w:val="zh-CN" w:eastAsia="zh-CN"/>
              </w:rPr>
            </w:pPr>
            <w:r>
              <w:rPr>
                <w:rFonts w:hint="eastAsia" w:ascii="仿宋" w:hAnsi="仿宋" w:eastAsia="仿宋"/>
                <w:i w:val="0"/>
                <w:color w:val="auto"/>
                <w:highlight w:val="none"/>
                <w:lang w:eastAsia="zh-CN"/>
              </w:rPr>
              <w:t>根据委托代理协议约定，投标人询问由四川科薪工程管理有限公司</w:t>
            </w:r>
            <w:r>
              <w:rPr>
                <w:rFonts w:hint="eastAsia" w:ascii="仿宋" w:hAnsi="仿宋" w:eastAsia="仿宋"/>
                <w:i w:val="0"/>
                <w:color w:val="auto"/>
                <w:highlight w:val="none"/>
                <w:lang w:val="zh-CN" w:eastAsia="zh-CN"/>
              </w:rPr>
              <w:t>负责答复。</w:t>
            </w:r>
          </w:p>
          <w:p>
            <w:pPr>
              <w:ind w:left="282" w:leftChars="128" w:right="185" w:rightChars="84"/>
              <w:rPr>
                <w:rFonts w:ascii="仿宋" w:hAnsi="仿宋" w:eastAsia="仿宋"/>
                <w:i w:val="0"/>
                <w:color w:val="auto"/>
                <w:highlight w:val="none"/>
                <w:lang w:val="zh-CN" w:eastAsia="zh-CN"/>
              </w:rPr>
            </w:pPr>
            <w:r>
              <w:rPr>
                <w:rFonts w:hint="eastAsia" w:ascii="仿宋" w:hAnsi="仿宋" w:eastAsia="仿宋"/>
                <w:i w:val="0"/>
                <w:color w:val="auto"/>
                <w:highlight w:val="none"/>
                <w:lang w:val="zh-CN" w:eastAsia="zh-CN"/>
              </w:rPr>
              <w:t>联系人：史女士。</w:t>
            </w:r>
          </w:p>
          <w:p>
            <w:pPr>
              <w:ind w:left="282" w:leftChars="128" w:right="185" w:rightChars="84"/>
              <w:rPr>
                <w:rFonts w:ascii="仿宋" w:hAnsi="仿宋" w:eastAsia="仿宋"/>
                <w:i w:val="0"/>
                <w:color w:val="auto"/>
                <w:highlight w:val="none"/>
                <w:lang w:val="zh-CN" w:eastAsia="zh-CN"/>
              </w:rPr>
            </w:pPr>
            <w:r>
              <w:rPr>
                <w:rFonts w:hint="eastAsia" w:ascii="仿宋" w:hAnsi="仿宋" w:eastAsia="仿宋"/>
                <w:i w:val="0"/>
                <w:color w:val="auto"/>
                <w:highlight w:val="none"/>
                <w:lang w:val="zh-CN" w:eastAsia="zh-CN"/>
              </w:rPr>
              <w:t>联系电话：</w:t>
            </w:r>
            <w:r>
              <w:rPr>
                <w:rFonts w:hint="eastAsia" w:ascii="仿宋" w:hAnsi="仿宋" w:eastAsia="仿宋" w:cs="仿宋"/>
                <w:bCs/>
                <w:i w:val="0"/>
                <w:color w:val="auto"/>
                <w:highlight w:val="none"/>
                <w:lang w:eastAsia="zh-CN"/>
              </w:rPr>
              <w:t>028-64327676。</w:t>
            </w:r>
          </w:p>
          <w:p>
            <w:pPr>
              <w:ind w:left="282" w:leftChars="128" w:right="185" w:rightChars="84"/>
              <w:rPr>
                <w:rFonts w:ascii="仿宋" w:hAnsi="仿宋" w:eastAsia="仿宋"/>
                <w:i w:val="0"/>
                <w:color w:val="auto"/>
                <w:highlight w:val="none"/>
                <w:lang w:val="zh-CN" w:eastAsia="zh-CN"/>
              </w:rPr>
            </w:pPr>
            <w:r>
              <w:rPr>
                <w:rFonts w:hint="eastAsia" w:ascii="仿宋" w:hAnsi="仿宋" w:eastAsia="仿宋"/>
                <w:i w:val="0"/>
                <w:color w:val="auto"/>
                <w:highlight w:val="none"/>
                <w:lang w:val="zh-CN" w:eastAsia="zh-CN"/>
              </w:rPr>
              <w:t>本项目受理地址：</w:t>
            </w:r>
            <w:r>
              <w:rPr>
                <w:rFonts w:hint="eastAsia" w:ascii="仿宋" w:hAnsi="仿宋" w:eastAsia="仿宋"/>
                <w:i w:val="0"/>
                <w:color w:val="auto"/>
                <w:highlight w:val="none"/>
                <w:lang w:eastAsia="zh-CN"/>
              </w:rPr>
              <w:t>成都市新都区三河街道蓉香路148号附201号，邮编：610</w:t>
            </w:r>
            <w:r>
              <w:rPr>
                <w:rFonts w:hint="eastAsia" w:ascii="仿宋" w:hAnsi="仿宋" w:eastAsia="仿宋"/>
                <w:i w:val="0"/>
                <w:color w:val="auto"/>
                <w:highlight w:val="none"/>
                <w:lang w:val="en-US" w:eastAsia="zh-CN"/>
              </w:rPr>
              <w:t>500</w:t>
            </w:r>
            <w:r>
              <w:rPr>
                <w:rFonts w:hint="eastAsia" w:ascii="仿宋" w:hAnsi="仿宋" w:eastAsia="仿宋"/>
                <w:i w:val="0"/>
                <w:color w:val="auto"/>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96"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1</w:t>
            </w:r>
            <w:r>
              <w:rPr>
                <w:rFonts w:hint="eastAsia" w:ascii="仿宋" w:hAnsi="仿宋" w:eastAsia="仿宋"/>
                <w:i w:val="0"/>
                <w:color w:val="auto"/>
                <w:highlight w:val="none"/>
                <w:lang w:val="en-US" w:eastAsia="zh-CN"/>
              </w:rPr>
              <w:t>8</w:t>
            </w:r>
          </w:p>
        </w:tc>
        <w:tc>
          <w:tcPr>
            <w:tcW w:w="1701" w:type="dxa"/>
            <w:vAlign w:val="center"/>
          </w:tcPr>
          <w:p>
            <w:pPr>
              <w:jc w:val="center"/>
              <w:rPr>
                <w:rFonts w:ascii="仿宋" w:hAnsi="仿宋" w:eastAsia="仿宋"/>
                <w:i w:val="0"/>
                <w:color w:val="auto"/>
                <w:highlight w:val="none"/>
              </w:rPr>
            </w:pPr>
            <w:r>
              <w:rPr>
                <w:rFonts w:hint="eastAsia" w:ascii="仿宋" w:hAnsi="仿宋" w:eastAsia="仿宋"/>
                <w:i w:val="0"/>
                <w:color w:val="auto"/>
                <w:highlight w:val="none"/>
              </w:rPr>
              <w:t>投标人质疑</w:t>
            </w:r>
          </w:p>
        </w:tc>
        <w:tc>
          <w:tcPr>
            <w:tcW w:w="6349" w:type="dxa"/>
            <w:gridSpan w:val="3"/>
            <w:vAlign w:val="center"/>
          </w:tcPr>
          <w:p>
            <w:pPr>
              <w:ind w:left="282" w:leftChars="128" w:right="185" w:rightChars="84"/>
              <w:rPr>
                <w:rFonts w:ascii="仿宋" w:hAnsi="仿宋" w:eastAsia="仿宋"/>
                <w:b/>
                <w:i w:val="0"/>
                <w:color w:val="auto"/>
                <w:highlight w:val="none"/>
                <w:lang w:eastAsia="zh-CN"/>
              </w:rPr>
            </w:pPr>
            <w:r>
              <w:rPr>
                <w:rFonts w:hint="eastAsia" w:ascii="仿宋" w:hAnsi="仿宋" w:eastAsia="仿宋"/>
                <w:b/>
                <w:i w:val="0"/>
                <w:color w:val="auto"/>
                <w:highlight w:val="none"/>
                <w:lang w:eastAsia="zh-CN"/>
              </w:rPr>
              <w:t>根据委托代理协议约定：对于采购文件的质疑由</w:t>
            </w:r>
            <w:r>
              <w:rPr>
                <w:rFonts w:hint="eastAsia" w:ascii="仿宋" w:hAnsi="仿宋" w:eastAsia="仿宋"/>
                <w:b/>
                <w:i w:val="0"/>
                <w:color w:val="auto"/>
                <w:highlight w:val="none"/>
                <w:lang w:val="zh-CN" w:eastAsia="zh-CN"/>
              </w:rPr>
              <w:t>采购人及</w:t>
            </w:r>
            <w:r>
              <w:rPr>
                <w:rFonts w:ascii="仿宋" w:hAnsi="仿宋" w:eastAsia="仿宋"/>
                <w:b/>
                <w:i w:val="0"/>
                <w:color w:val="auto"/>
                <w:highlight w:val="none"/>
                <w:lang w:val="zh-CN" w:eastAsia="zh-CN"/>
              </w:rPr>
              <w:t>采购代理机构</w:t>
            </w:r>
            <w:r>
              <w:rPr>
                <w:rFonts w:hint="eastAsia" w:ascii="仿宋" w:hAnsi="仿宋" w:eastAsia="仿宋"/>
                <w:b/>
                <w:i w:val="0"/>
                <w:color w:val="auto"/>
                <w:highlight w:val="none"/>
                <w:lang w:val="zh-CN" w:eastAsia="zh-CN"/>
              </w:rPr>
              <w:t>负责答复；对于采购过程</w:t>
            </w:r>
            <w:r>
              <w:rPr>
                <w:rFonts w:hint="eastAsia" w:ascii="仿宋" w:hAnsi="仿宋" w:eastAsia="仿宋"/>
                <w:b/>
                <w:i w:val="0"/>
                <w:color w:val="auto"/>
                <w:highlight w:val="none"/>
                <w:lang w:eastAsia="zh-CN"/>
              </w:rPr>
              <w:t>由</w:t>
            </w:r>
            <w:r>
              <w:rPr>
                <w:rFonts w:ascii="仿宋" w:hAnsi="仿宋" w:eastAsia="仿宋"/>
                <w:b/>
                <w:i w:val="0"/>
                <w:color w:val="auto"/>
                <w:highlight w:val="none"/>
                <w:lang w:val="zh-CN" w:eastAsia="zh-CN"/>
              </w:rPr>
              <w:t>采购代理机构</w:t>
            </w:r>
            <w:r>
              <w:rPr>
                <w:rFonts w:hint="eastAsia" w:ascii="仿宋" w:hAnsi="仿宋" w:eastAsia="仿宋"/>
                <w:b/>
                <w:i w:val="0"/>
                <w:color w:val="auto"/>
                <w:highlight w:val="none"/>
                <w:lang w:val="zh-CN" w:eastAsia="zh-CN"/>
              </w:rPr>
              <w:t>负责答复；对于采购结果</w:t>
            </w:r>
            <w:r>
              <w:rPr>
                <w:rFonts w:hint="eastAsia" w:ascii="仿宋" w:hAnsi="仿宋" w:eastAsia="仿宋"/>
                <w:b/>
                <w:i w:val="0"/>
                <w:color w:val="auto"/>
                <w:highlight w:val="none"/>
                <w:lang w:eastAsia="zh-CN"/>
              </w:rPr>
              <w:t>由</w:t>
            </w:r>
            <w:r>
              <w:rPr>
                <w:rFonts w:hint="eastAsia" w:ascii="仿宋" w:hAnsi="仿宋" w:eastAsia="仿宋"/>
                <w:b/>
                <w:i w:val="0"/>
                <w:color w:val="auto"/>
                <w:highlight w:val="none"/>
                <w:lang w:val="zh-CN" w:eastAsia="zh-CN"/>
              </w:rPr>
              <w:t>采购人负责答复</w:t>
            </w:r>
            <w:r>
              <w:rPr>
                <w:rFonts w:hint="eastAsia" w:ascii="仿宋" w:hAnsi="仿宋" w:eastAsia="仿宋"/>
                <w:b/>
                <w:i w:val="0"/>
                <w:color w:val="auto"/>
                <w:highlight w:val="none"/>
                <w:lang w:eastAsia="zh-CN"/>
              </w:rPr>
              <w:t>。</w:t>
            </w:r>
          </w:p>
          <w:p>
            <w:pPr>
              <w:ind w:left="282" w:leftChars="128" w:right="185" w:rightChars="84"/>
              <w:rPr>
                <w:rFonts w:ascii="仿宋" w:hAnsi="仿宋" w:eastAsia="仿宋"/>
                <w:b/>
                <w:i w:val="0"/>
                <w:color w:val="auto"/>
                <w:highlight w:val="none"/>
                <w:lang w:val="zh-CN" w:eastAsia="zh-CN"/>
              </w:rPr>
            </w:pPr>
            <w:r>
              <w:rPr>
                <w:rFonts w:hint="eastAsia" w:ascii="仿宋" w:hAnsi="仿宋" w:eastAsia="仿宋"/>
                <w:b/>
                <w:i w:val="0"/>
                <w:color w:val="auto"/>
                <w:highlight w:val="none"/>
                <w:lang w:val="zh-CN" w:eastAsia="zh-CN"/>
              </w:rPr>
              <w:t>投标人根据《政府采购质疑和投诉办法》（财政部94号令）等规定进行质疑。</w:t>
            </w:r>
          </w:p>
          <w:p>
            <w:pPr>
              <w:ind w:left="282" w:leftChars="128" w:right="185" w:rightChars="84"/>
              <w:rPr>
                <w:rFonts w:ascii="仿宋" w:hAnsi="仿宋" w:eastAsia="仿宋"/>
                <w:b/>
                <w:i w:val="0"/>
                <w:color w:val="auto"/>
                <w:highlight w:val="none"/>
                <w:lang w:val="zh-CN" w:eastAsia="zh-CN"/>
              </w:rPr>
            </w:pPr>
            <w:r>
              <w:rPr>
                <w:rFonts w:hint="eastAsia" w:ascii="仿宋" w:hAnsi="仿宋" w:eastAsia="仿宋"/>
                <w:b/>
                <w:i w:val="0"/>
                <w:color w:val="auto"/>
                <w:highlight w:val="none"/>
                <w:lang w:val="zh-CN" w:eastAsia="zh-CN"/>
              </w:rPr>
              <w:t>投标人质疑不得超出采购文件、采购过程、中标或者成交结果使自己的权益受到损害的范围。</w:t>
            </w:r>
          </w:p>
          <w:p>
            <w:pPr>
              <w:ind w:left="282" w:leftChars="128" w:right="185" w:rightChars="84"/>
              <w:rPr>
                <w:rFonts w:ascii="仿宋" w:hAnsi="仿宋" w:eastAsia="仿宋"/>
                <w:i w:val="0"/>
                <w:color w:val="auto"/>
                <w:highlight w:val="none"/>
                <w:lang w:eastAsia="zh-CN"/>
              </w:rPr>
            </w:pPr>
            <w:r>
              <w:rPr>
                <w:rFonts w:hint="eastAsia" w:ascii="仿宋" w:hAnsi="仿宋" w:eastAsia="仿宋"/>
                <w:b/>
                <w:i w:val="0"/>
                <w:color w:val="auto"/>
                <w:highlight w:val="none"/>
                <w:lang w:val="zh-CN" w:eastAsia="zh-CN"/>
              </w:rPr>
              <w:t>对同一采购过程环节的质疑：投标人须在法定质疑期内一次性提出针对同一采购程序环节的质疑。</w:t>
            </w:r>
          </w:p>
          <w:p>
            <w:pPr>
              <w:ind w:left="282" w:leftChars="128" w:right="185" w:rightChars="84"/>
              <w:rPr>
                <w:rFonts w:ascii="仿宋" w:hAnsi="仿宋" w:eastAsia="仿宋"/>
                <w:b/>
                <w:i w:val="0"/>
                <w:color w:val="auto"/>
                <w:highlight w:val="none"/>
                <w:lang w:eastAsia="zh-CN"/>
              </w:rPr>
            </w:pPr>
            <w:r>
              <w:rPr>
                <w:rFonts w:hint="eastAsia" w:ascii="仿宋" w:hAnsi="仿宋" w:eastAsia="仿宋"/>
                <w:b/>
                <w:i w:val="0"/>
                <w:color w:val="auto"/>
                <w:highlight w:val="none"/>
                <w:lang w:eastAsia="zh-CN"/>
              </w:rPr>
              <w:t>递交质疑的方式：书面形式依法递交，质疑人须向代理机构进行现场确认。</w:t>
            </w:r>
          </w:p>
          <w:p>
            <w:pPr>
              <w:ind w:left="282" w:leftChars="128" w:right="185" w:rightChars="84"/>
              <w:rPr>
                <w:rFonts w:ascii="仿宋" w:hAnsi="仿宋" w:eastAsia="仿宋"/>
                <w:i w:val="0"/>
                <w:color w:val="auto"/>
                <w:highlight w:val="none"/>
                <w:lang w:eastAsia="zh-CN"/>
              </w:rPr>
            </w:pPr>
            <w:r>
              <w:rPr>
                <w:rFonts w:hint="eastAsia" w:ascii="仿宋" w:hAnsi="仿宋" w:eastAsia="仿宋"/>
                <w:i w:val="0"/>
                <w:color w:val="auto"/>
                <w:highlight w:val="none"/>
                <w:lang w:eastAsia="zh-CN"/>
              </w:rPr>
              <w:t>联系部门：四川科薪工程管理有限公司</w:t>
            </w:r>
          </w:p>
          <w:p>
            <w:pPr>
              <w:ind w:left="282" w:leftChars="128" w:right="185" w:rightChars="84"/>
              <w:rPr>
                <w:rFonts w:ascii="仿宋" w:hAnsi="仿宋" w:eastAsia="仿宋"/>
                <w:i w:val="0"/>
                <w:color w:val="auto"/>
                <w:highlight w:val="none"/>
                <w:lang w:val="zh-CN" w:eastAsia="zh-CN"/>
              </w:rPr>
            </w:pPr>
            <w:r>
              <w:rPr>
                <w:rFonts w:hint="eastAsia" w:ascii="仿宋" w:hAnsi="仿宋" w:eastAsia="仿宋"/>
                <w:i w:val="0"/>
                <w:color w:val="auto"/>
                <w:highlight w:val="none"/>
                <w:lang w:val="zh-CN" w:eastAsia="zh-CN"/>
              </w:rPr>
              <w:t>联系人：</w:t>
            </w:r>
            <w:r>
              <w:rPr>
                <w:rFonts w:hint="eastAsia" w:ascii="仿宋" w:hAnsi="仿宋" w:eastAsia="仿宋" w:cs="仿宋"/>
                <w:bCs/>
                <w:i w:val="0"/>
                <w:color w:val="auto"/>
                <w:highlight w:val="none"/>
                <w:lang w:val="en-US" w:eastAsia="zh-CN"/>
              </w:rPr>
              <w:t>史女士</w:t>
            </w:r>
            <w:r>
              <w:rPr>
                <w:rFonts w:hint="eastAsia" w:ascii="仿宋" w:hAnsi="仿宋" w:eastAsia="仿宋"/>
                <w:i w:val="0"/>
                <w:color w:val="auto"/>
                <w:highlight w:val="none"/>
                <w:lang w:val="zh-CN" w:eastAsia="zh-CN"/>
              </w:rPr>
              <w:t>。</w:t>
            </w:r>
          </w:p>
          <w:p>
            <w:pPr>
              <w:ind w:left="282" w:leftChars="128" w:right="185" w:rightChars="84"/>
              <w:rPr>
                <w:rFonts w:ascii="仿宋" w:hAnsi="仿宋" w:eastAsia="仿宋"/>
                <w:i w:val="0"/>
                <w:color w:val="auto"/>
                <w:highlight w:val="none"/>
                <w:lang w:val="zh-CN" w:eastAsia="zh-CN"/>
              </w:rPr>
            </w:pPr>
            <w:r>
              <w:rPr>
                <w:rFonts w:hint="eastAsia" w:ascii="仿宋" w:hAnsi="仿宋" w:eastAsia="仿宋"/>
                <w:i w:val="0"/>
                <w:color w:val="auto"/>
                <w:highlight w:val="none"/>
                <w:lang w:val="zh-CN" w:eastAsia="zh-CN"/>
              </w:rPr>
              <w:t>联系电话：</w:t>
            </w:r>
            <w:r>
              <w:rPr>
                <w:rFonts w:hint="eastAsia" w:ascii="仿宋" w:hAnsi="仿宋" w:eastAsia="仿宋" w:cs="仿宋"/>
                <w:bCs/>
                <w:i w:val="0"/>
                <w:color w:val="auto"/>
                <w:highlight w:val="none"/>
                <w:lang w:eastAsia="zh-CN"/>
              </w:rPr>
              <w:t>028-64327676</w:t>
            </w:r>
            <w:r>
              <w:rPr>
                <w:rFonts w:hint="eastAsia" w:ascii="仿宋" w:hAnsi="仿宋" w:eastAsia="仿宋"/>
                <w:i w:val="0"/>
                <w:color w:val="auto"/>
                <w:highlight w:val="none"/>
                <w:lang w:val="zh-CN" w:eastAsia="zh-CN"/>
              </w:rPr>
              <w:t>。</w:t>
            </w:r>
          </w:p>
          <w:p>
            <w:pPr>
              <w:ind w:left="282" w:leftChars="128" w:right="185" w:rightChars="84"/>
              <w:rPr>
                <w:rFonts w:ascii="仿宋" w:hAnsi="仿宋" w:eastAsia="仿宋"/>
                <w:i w:val="0"/>
                <w:color w:val="auto"/>
                <w:highlight w:val="none"/>
                <w:lang w:eastAsia="zh-CN"/>
              </w:rPr>
            </w:pPr>
            <w:r>
              <w:rPr>
                <w:rFonts w:hint="eastAsia" w:ascii="仿宋" w:hAnsi="仿宋" w:eastAsia="仿宋"/>
                <w:i w:val="0"/>
                <w:color w:val="auto"/>
                <w:highlight w:val="none"/>
                <w:lang w:val="zh-CN" w:eastAsia="zh-CN"/>
              </w:rPr>
              <w:t>通讯地址：</w:t>
            </w:r>
            <w:r>
              <w:rPr>
                <w:rFonts w:hint="eastAsia" w:ascii="仿宋" w:hAnsi="仿宋" w:eastAsia="仿宋"/>
                <w:i w:val="0"/>
                <w:color w:val="auto"/>
                <w:highlight w:val="none"/>
                <w:lang w:eastAsia="zh-CN"/>
              </w:rPr>
              <w:t>成都市新都区三河街道蓉香路148号附201号</w:t>
            </w:r>
            <w:r>
              <w:rPr>
                <w:rFonts w:hint="eastAsia" w:ascii="仿宋" w:hAnsi="仿宋" w:eastAsia="仿宋"/>
                <w:i w:val="0"/>
                <w:color w:val="auto"/>
                <w:highlight w:val="none"/>
                <w:lang w:val="zh-CN" w:eastAsia="zh-CN"/>
              </w:rPr>
              <w:t>。</w:t>
            </w:r>
          </w:p>
          <w:p>
            <w:pPr>
              <w:ind w:left="282" w:leftChars="128" w:right="185" w:rightChars="84"/>
              <w:rPr>
                <w:rFonts w:ascii="仿宋" w:hAnsi="仿宋" w:eastAsia="仿宋"/>
                <w:i w:val="0"/>
                <w:color w:val="auto"/>
                <w:highlight w:val="none"/>
                <w:lang w:val="zh-CN" w:eastAsia="zh-CN"/>
              </w:rPr>
            </w:pPr>
            <w:r>
              <w:rPr>
                <w:rFonts w:hint="eastAsia" w:ascii="仿宋" w:hAnsi="仿宋" w:eastAsia="仿宋"/>
                <w:i w:val="0"/>
                <w:color w:val="auto"/>
                <w:highlight w:val="none"/>
                <w:lang w:eastAsia="zh-CN"/>
              </w:rPr>
              <w:t>邮编：</w:t>
            </w:r>
            <w:r>
              <w:rPr>
                <w:rFonts w:hint="eastAsia" w:ascii="仿宋" w:hAnsi="仿宋" w:eastAsia="仿宋"/>
                <w:i w:val="0"/>
                <w:color w:val="auto"/>
                <w:highlight w:val="none"/>
                <w:lang w:val="zh-CN" w:eastAsia="zh-CN"/>
              </w:rPr>
              <w:t>610500。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96" w:type="dxa"/>
            <w:vAlign w:val="center"/>
          </w:tcPr>
          <w:p>
            <w:pPr>
              <w:jc w:val="center"/>
              <w:rPr>
                <w:rFonts w:hint="default" w:ascii="仿宋" w:hAnsi="仿宋" w:eastAsia="仿宋"/>
                <w:i w:val="0"/>
                <w:color w:val="auto"/>
                <w:highlight w:val="none"/>
                <w:lang w:val="en-US" w:eastAsia="zh-CN"/>
              </w:rPr>
            </w:pPr>
            <w:r>
              <w:rPr>
                <w:rFonts w:hint="eastAsia" w:ascii="仿宋" w:hAnsi="仿宋" w:eastAsia="仿宋"/>
                <w:i w:val="0"/>
                <w:color w:val="auto"/>
                <w:highlight w:val="none"/>
                <w:lang w:val="en-US" w:eastAsia="zh-CN"/>
              </w:rPr>
              <w:t>19</w:t>
            </w:r>
          </w:p>
        </w:tc>
        <w:tc>
          <w:tcPr>
            <w:tcW w:w="1701"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投标人投诉</w:t>
            </w:r>
          </w:p>
        </w:tc>
        <w:tc>
          <w:tcPr>
            <w:tcW w:w="6349" w:type="dxa"/>
            <w:gridSpan w:val="3"/>
          </w:tcPr>
          <w:p>
            <w:pPr>
              <w:ind w:left="218" w:leftChars="99" w:right="185" w:rightChars="84"/>
              <w:rPr>
                <w:rFonts w:ascii="仿宋" w:hAnsi="仿宋" w:eastAsia="仿宋"/>
                <w:i w:val="0"/>
                <w:color w:val="auto"/>
                <w:highlight w:val="none"/>
                <w:lang w:eastAsia="zh-CN"/>
              </w:rPr>
            </w:pPr>
            <w:r>
              <w:rPr>
                <w:rFonts w:hint="eastAsia" w:ascii="仿宋" w:hAnsi="仿宋" w:eastAsia="仿宋"/>
                <w:i w:val="0"/>
                <w:color w:val="auto"/>
                <w:highlight w:val="none"/>
                <w:lang w:eastAsia="zh-CN"/>
              </w:rPr>
              <w:t>投诉受理单位：本采购项目同级财政部门，即彭州市财政局。联系电话：028-83888323。</w:t>
            </w:r>
          </w:p>
          <w:p>
            <w:pPr>
              <w:ind w:right="185" w:rightChars="84" w:firstLine="220" w:firstLineChars="100"/>
              <w:rPr>
                <w:rFonts w:ascii="仿宋" w:hAnsi="仿宋" w:eastAsia="仿宋"/>
                <w:i w:val="0"/>
                <w:color w:val="auto"/>
                <w:highlight w:val="none"/>
                <w:lang w:eastAsia="zh-CN"/>
              </w:rPr>
            </w:pPr>
            <w:r>
              <w:rPr>
                <w:rFonts w:hint="eastAsia" w:ascii="仿宋" w:hAnsi="仿宋" w:eastAsia="仿宋"/>
                <w:i w:val="0"/>
                <w:color w:val="auto"/>
                <w:highlight w:val="none"/>
                <w:lang w:eastAsia="zh-CN"/>
              </w:rPr>
              <w:t>联系地址：彭州市牡丹大道北二段486号。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96"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2</w:t>
            </w:r>
            <w:r>
              <w:rPr>
                <w:rFonts w:hint="eastAsia" w:ascii="仿宋" w:hAnsi="仿宋" w:eastAsia="仿宋"/>
                <w:i w:val="0"/>
                <w:color w:val="auto"/>
                <w:highlight w:val="none"/>
                <w:lang w:val="en-US" w:eastAsia="zh-CN"/>
              </w:rPr>
              <w:t>0</w:t>
            </w:r>
          </w:p>
        </w:tc>
        <w:tc>
          <w:tcPr>
            <w:tcW w:w="1701"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签字盖章</w:t>
            </w:r>
          </w:p>
        </w:tc>
        <w:tc>
          <w:tcPr>
            <w:tcW w:w="6349" w:type="dxa"/>
            <w:gridSpan w:val="3"/>
            <w:vAlign w:val="center"/>
          </w:tcPr>
          <w:p>
            <w:pPr>
              <w:ind w:left="282" w:leftChars="128" w:right="185" w:rightChars="84"/>
              <w:jc w:val="both"/>
              <w:rPr>
                <w:rFonts w:ascii="仿宋" w:hAnsi="仿宋" w:eastAsia="仿宋"/>
                <w:i w:val="0"/>
                <w:color w:val="auto"/>
                <w:highlight w:val="none"/>
                <w:lang w:eastAsia="zh-CN"/>
              </w:rPr>
            </w:pPr>
            <w:r>
              <w:rPr>
                <w:rFonts w:hint="eastAsia" w:ascii="仿宋" w:hAnsi="仿宋" w:eastAsia="仿宋"/>
                <w:i w:val="0"/>
                <w:color w:val="auto"/>
                <w:highlight w:val="none"/>
                <w:lang w:eastAsia="zh-CN"/>
              </w:rPr>
              <w:t>投标人必须按照招标文件的规定和要求盖章、签字。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96" w:type="dxa"/>
            <w:vAlign w:val="center"/>
          </w:tcPr>
          <w:p>
            <w:pPr>
              <w:jc w:val="center"/>
              <w:rPr>
                <w:rFonts w:hint="default" w:ascii="仿宋" w:hAnsi="仿宋" w:eastAsia="仿宋"/>
                <w:i w:val="0"/>
                <w:color w:val="auto"/>
                <w:highlight w:val="none"/>
                <w:lang w:val="en-US" w:eastAsia="zh-CN"/>
              </w:rPr>
            </w:pPr>
            <w:r>
              <w:rPr>
                <w:rFonts w:hint="eastAsia" w:ascii="仿宋" w:hAnsi="仿宋" w:eastAsia="仿宋"/>
                <w:i w:val="0"/>
                <w:color w:val="auto"/>
                <w:highlight w:val="none"/>
                <w:lang w:val="en-US" w:eastAsia="zh-CN"/>
              </w:rPr>
              <w:t>21</w:t>
            </w:r>
          </w:p>
        </w:tc>
        <w:tc>
          <w:tcPr>
            <w:tcW w:w="1701" w:type="dxa"/>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联合体投标</w:t>
            </w:r>
          </w:p>
          <w:p>
            <w:pPr>
              <w:jc w:val="center"/>
              <w:rPr>
                <w:rFonts w:ascii="仿宋" w:hAnsi="仿宋" w:eastAsia="仿宋"/>
                <w:i w:val="0"/>
                <w:iCs w:val="0"/>
                <w:color w:val="auto"/>
                <w:highlight w:val="none"/>
                <w:lang w:eastAsia="zh-CN"/>
              </w:rPr>
            </w:pPr>
            <w:r>
              <w:rPr>
                <w:rFonts w:hint="eastAsia" w:ascii="仿宋" w:hAnsi="仿宋" w:eastAsia="仿宋"/>
                <w:i w:val="0"/>
                <w:color w:val="auto"/>
                <w:highlight w:val="none"/>
                <w:lang w:eastAsia="zh-CN"/>
              </w:rPr>
              <w:t>（实质性要求</w:t>
            </w:r>
            <w:r>
              <w:rPr>
                <w:rFonts w:hint="eastAsia" w:ascii="仿宋" w:hAnsi="仿宋" w:eastAsia="仿宋"/>
                <w:i w:val="0"/>
                <w:iCs w:val="0"/>
                <w:color w:val="auto"/>
                <w:highlight w:val="none"/>
                <w:lang w:eastAsia="zh-CN"/>
              </w:rPr>
              <w:t>）</w:t>
            </w:r>
          </w:p>
        </w:tc>
        <w:tc>
          <w:tcPr>
            <w:tcW w:w="6349" w:type="dxa"/>
            <w:gridSpan w:val="3"/>
            <w:vAlign w:val="center"/>
          </w:tcPr>
          <w:p>
            <w:pPr>
              <w:ind w:left="282" w:leftChars="128" w:right="185" w:rightChars="84"/>
              <w:jc w:val="both"/>
              <w:rPr>
                <w:rFonts w:ascii="仿宋" w:hAnsi="仿宋" w:eastAsia="仿宋"/>
                <w:i w:val="0"/>
                <w:color w:val="auto"/>
                <w:highlight w:val="none"/>
                <w:lang w:eastAsia="zh-CN"/>
              </w:rPr>
            </w:pPr>
            <w:r>
              <w:rPr>
                <w:rFonts w:hint="eastAsia" w:ascii="仿宋" w:hAnsi="仿宋" w:eastAsia="仿宋"/>
                <w:i w:val="0"/>
                <w:color w:val="auto"/>
                <w:highlight w:val="none"/>
                <w:lang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jc w:val="center"/>
        </w:trPr>
        <w:tc>
          <w:tcPr>
            <w:tcW w:w="596" w:type="dxa"/>
            <w:tcBorders>
              <w:bottom w:val="single" w:color="auto" w:sz="2" w:space="0"/>
            </w:tcBorders>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2</w:t>
            </w:r>
            <w:r>
              <w:rPr>
                <w:rFonts w:hint="eastAsia" w:ascii="仿宋" w:hAnsi="仿宋" w:eastAsia="仿宋"/>
                <w:i w:val="0"/>
                <w:color w:val="auto"/>
                <w:highlight w:val="none"/>
                <w:lang w:val="en-US" w:eastAsia="zh-CN"/>
              </w:rPr>
              <w:t>2</w:t>
            </w:r>
          </w:p>
        </w:tc>
        <w:tc>
          <w:tcPr>
            <w:tcW w:w="1701" w:type="dxa"/>
            <w:tcBorders>
              <w:bottom w:val="single" w:color="auto" w:sz="2" w:space="0"/>
            </w:tcBorders>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政府采购合同</w:t>
            </w:r>
          </w:p>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公告备案</w:t>
            </w:r>
          </w:p>
        </w:tc>
        <w:tc>
          <w:tcPr>
            <w:tcW w:w="6349" w:type="dxa"/>
            <w:gridSpan w:val="3"/>
            <w:tcBorders>
              <w:bottom w:val="single" w:color="auto" w:sz="2" w:space="0"/>
            </w:tcBorders>
            <w:vAlign w:val="center"/>
          </w:tcPr>
          <w:p>
            <w:pPr>
              <w:ind w:left="279" w:leftChars="127" w:right="185" w:rightChars="84" w:firstLine="2"/>
              <w:rPr>
                <w:rFonts w:ascii="仿宋" w:hAnsi="仿宋" w:eastAsia="仿宋"/>
                <w:i w:val="0"/>
                <w:color w:val="auto"/>
                <w:highlight w:val="none"/>
                <w:lang w:eastAsia="zh-CN"/>
              </w:rPr>
            </w:pPr>
            <w:r>
              <w:rPr>
                <w:rFonts w:hint="eastAsia" w:ascii="仿宋" w:hAnsi="仿宋" w:eastAsia="仿宋"/>
                <w:i w:val="0"/>
                <w:color w:val="auto"/>
                <w:highlight w:val="none"/>
                <w:lang w:eastAsia="zh-CN"/>
              </w:rPr>
              <w:t>政府采购合同签订之日起2个工作日内，政府采购合同将在四川政府采购网公告；政府采购合同签订之日起7个工作日内，政府采购合同将向本采购项目同级财政部门备案</w:t>
            </w:r>
            <w:r>
              <w:rPr>
                <w:rFonts w:hint="eastAsia" w:ascii="仿宋" w:hAnsi="仿宋" w:eastAsia="仿宋"/>
                <w:i w:val="0"/>
                <w:color w:val="auto"/>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596" w:type="dxa"/>
            <w:tcBorders>
              <w:top w:val="single" w:color="auto" w:sz="2" w:space="0"/>
              <w:bottom w:val="single" w:color="auto" w:sz="2" w:space="0"/>
            </w:tcBorders>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2</w:t>
            </w:r>
            <w:r>
              <w:rPr>
                <w:rFonts w:hint="eastAsia" w:ascii="仿宋" w:hAnsi="仿宋" w:eastAsia="仿宋"/>
                <w:i w:val="0"/>
                <w:color w:val="auto"/>
                <w:highlight w:val="none"/>
                <w:lang w:val="en-US" w:eastAsia="zh-CN"/>
              </w:rPr>
              <w:t>3</w:t>
            </w:r>
          </w:p>
        </w:tc>
        <w:tc>
          <w:tcPr>
            <w:tcW w:w="1701" w:type="dxa"/>
            <w:tcBorders>
              <w:top w:val="single" w:color="auto" w:sz="2" w:space="0"/>
              <w:bottom w:val="single" w:color="auto" w:sz="2" w:space="0"/>
            </w:tcBorders>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备注</w:t>
            </w:r>
          </w:p>
        </w:tc>
        <w:tc>
          <w:tcPr>
            <w:tcW w:w="6349" w:type="dxa"/>
            <w:gridSpan w:val="3"/>
            <w:tcBorders>
              <w:top w:val="single" w:color="auto" w:sz="2" w:space="0"/>
              <w:bottom w:val="single" w:color="auto" w:sz="2" w:space="0"/>
            </w:tcBorders>
            <w:vAlign w:val="center"/>
          </w:tcPr>
          <w:p>
            <w:pPr>
              <w:ind w:left="279" w:leftChars="127" w:right="185" w:rightChars="84" w:firstLine="2"/>
              <w:rPr>
                <w:rFonts w:ascii="仿宋" w:hAnsi="仿宋" w:eastAsia="仿宋"/>
                <w:i w:val="0"/>
                <w:color w:val="auto"/>
                <w:highlight w:val="none"/>
                <w:lang w:eastAsia="zh-CN"/>
              </w:rPr>
            </w:pPr>
            <w:r>
              <w:rPr>
                <w:rFonts w:hint="eastAsia" w:ascii="仿宋" w:hAnsi="仿宋" w:eastAsia="仿宋"/>
                <w:i w:val="0"/>
                <w:color w:val="auto"/>
                <w:highlight w:val="none"/>
                <w:lang w:eastAsia="zh-CN"/>
              </w:rPr>
              <w:t>如招标文件其他内容与本表有矛盾，应以本表内容为准。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596" w:type="dxa"/>
            <w:tcBorders>
              <w:top w:val="single" w:color="auto" w:sz="2" w:space="0"/>
            </w:tcBorders>
            <w:vAlign w:val="center"/>
          </w:tcPr>
          <w:p>
            <w:pPr>
              <w:jc w:val="center"/>
              <w:rPr>
                <w:rFonts w:ascii="仿宋" w:hAnsi="仿宋" w:eastAsia="仿宋"/>
                <w:i w:val="0"/>
                <w:color w:val="auto"/>
                <w:highlight w:val="none"/>
                <w:lang w:eastAsia="zh-CN"/>
              </w:rPr>
            </w:pPr>
            <w:r>
              <w:rPr>
                <w:rFonts w:hint="eastAsia" w:ascii="仿宋" w:hAnsi="仿宋" w:eastAsia="仿宋"/>
                <w:i w:val="0"/>
                <w:color w:val="auto"/>
                <w:highlight w:val="none"/>
                <w:lang w:eastAsia="zh-CN"/>
              </w:rPr>
              <w:t>2</w:t>
            </w:r>
            <w:r>
              <w:rPr>
                <w:rFonts w:hint="eastAsia" w:ascii="仿宋" w:hAnsi="仿宋" w:eastAsia="仿宋"/>
                <w:i w:val="0"/>
                <w:color w:val="auto"/>
                <w:highlight w:val="none"/>
                <w:lang w:val="en-US" w:eastAsia="zh-CN"/>
              </w:rPr>
              <w:t>4</w:t>
            </w:r>
          </w:p>
        </w:tc>
        <w:tc>
          <w:tcPr>
            <w:tcW w:w="1701" w:type="dxa"/>
            <w:tcBorders>
              <w:top w:val="single" w:color="auto" w:sz="2" w:space="0"/>
            </w:tcBorders>
            <w:vAlign w:val="center"/>
          </w:tcPr>
          <w:p>
            <w:pPr>
              <w:ind w:left="279" w:leftChars="127" w:right="185" w:rightChars="84" w:firstLine="2"/>
              <w:rPr>
                <w:rFonts w:ascii="仿宋" w:hAnsi="仿宋" w:eastAsia="仿宋"/>
                <w:i w:val="0"/>
                <w:color w:val="auto"/>
                <w:highlight w:val="none"/>
                <w:lang w:eastAsia="zh-CN"/>
              </w:rPr>
            </w:pPr>
            <w:r>
              <w:rPr>
                <w:rFonts w:hint="eastAsia" w:ascii="仿宋" w:hAnsi="仿宋" w:eastAsia="仿宋"/>
                <w:i w:val="0"/>
                <w:color w:val="auto"/>
                <w:highlight w:val="none"/>
                <w:lang w:eastAsia="zh-CN"/>
              </w:rPr>
              <w:t>温馨提示</w:t>
            </w:r>
          </w:p>
        </w:tc>
        <w:tc>
          <w:tcPr>
            <w:tcW w:w="6349" w:type="dxa"/>
            <w:gridSpan w:val="3"/>
            <w:tcBorders>
              <w:top w:val="single" w:color="auto" w:sz="2" w:space="0"/>
            </w:tcBorders>
            <w:vAlign w:val="center"/>
          </w:tcPr>
          <w:p>
            <w:pPr>
              <w:pStyle w:val="138"/>
              <w:ind w:left="281" w:right="185" w:rightChars="84"/>
              <w:rPr>
                <w:rFonts w:ascii="仿宋" w:hAnsi="仿宋" w:eastAsia="仿宋" w:cs="Times New Roman"/>
                <w:iCs/>
                <w:color w:val="auto"/>
                <w:kern w:val="2"/>
                <w:sz w:val="22"/>
                <w:szCs w:val="22"/>
                <w:highlight w:val="none"/>
                <w:lang w:bidi="en-US"/>
              </w:rPr>
            </w:pPr>
            <w:r>
              <w:rPr>
                <w:rFonts w:hint="eastAsia" w:ascii="仿宋" w:hAnsi="仿宋" w:eastAsia="仿宋" w:cs="Times New Roman"/>
                <w:iCs/>
                <w:color w:val="auto"/>
                <w:kern w:val="2"/>
                <w:sz w:val="22"/>
                <w:szCs w:val="22"/>
                <w:highlight w:val="none"/>
                <w:lang w:bidi="en-US"/>
              </w:rPr>
              <w:t>1.投标人需准备全流程所必需的硬件设备包括电脑（版本 win7 64位及以上）、麦克风、摄像头、CA证书等。建议使用同一台电脑完成投标、评标相关事宜，推荐安装 chrome 浏览器，且解密CA必须和加密CA为同一把。</w:t>
            </w:r>
          </w:p>
          <w:p>
            <w:pPr>
              <w:pStyle w:val="138"/>
              <w:ind w:left="279" w:leftChars="127" w:right="185" w:rightChars="84" w:firstLine="2"/>
              <w:rPr>
                <w:rFonts w:ascii="仿宋" w:hAnsi="仿宋" w:eastAsia="仿宋" w:cs="Times New Roman"/>
                <w:iCs/>
                <w:color w:val="auto"/>
                <w:kern w:val="2"/>
                <w:sz w:val="22"/>
                <w:szCs w:val="22"/>
                <w:highlight w:val="none"/>
                <w:lang w:bidi="en-US"/>
              </w:rPr>
            </w:pPr>
            <w:r>
              <w:rPr>
                <w:rFonts w:hint="eastAsia" w:ascii="仿宋" w:hAnsi="仿宋" w:eastAsia="仿宋" w:cs="Times New Roman"/>
                <w:iCs/>
                <w:color w:val="auto"/>
                <w:kern w:val="2"/>
                <w:sz w:val="22"/>
                <w:szCs w:val="22"/>
                <w:highlight w:val="none"/>
                <w:lang w:bidi="en-US"/>
              </w:rPr>
              <w:t>2.政府采购云平台供应商注册地址：</w:t>
            </w:r>
          </w:p>
          <w:p>
            <w:pPr>
              <w:ind w:left="279" w:leftChars="127" w:right="185" w:rightChars="84" w:firstLine="2"/>
              <w:rPr>
                <w:rFonts w:ascii="仿宋" w:hAnsi="仿宋" w:eastAsia="仿宋"/>
                <w:i w:val="0"/>
                <w:color w:val="auto"/>
                <w:highlight w:val="none"/>
                <w:lang w:eastAsia="zh-CN"/>
              </w:rPr>
            </w:pPr>
            <w:r>
              <w:rPr>
                <w:rFonts w:hint="eastAsia" w:ascii="仿宋" w:hAnsi="仿宋" w:eastAsia="仿宋"/>
                <w:i w:val="0"/>
                <w:color w:val="auto"/>
                <w:highlight w:val="none"/>
                <w:lang w:eastAsia="zh-CN"/>
              </w:rPr>
              <w:t>https://middle.zcygov.cn/v-settle-front/registry?settleCategory=1&amp;entranceType=119&amp;utm=a0017.b1347.cl50.3.c0de9400b91b11eb870ad7da87d69c97</w:t>
            </w:r>
          </w:p>
        </w:tc>
      </w:tr>
    </w:tbl>
    <w:p>
      <w:pPr>
        <w:pStyle w:val="4"/>
        <w:rPr>
          <w:i w:val="0"/>
          <w:color w:val="auto"/>
          <w:highlight w:val="none"/>
          <w:lang w:eastAsia="zh-CN"/>
        </w:rPr>
      </w:pPr>
      <w:r>
        <w:rPr>
          <w:i w:val="0"/>
          <w:color w:val="auto"/>
          <w:highlight w:val="none"/>
          <w:lang w:eastAsia="zh-CN"/>
        </w:rPr>
        <w:br w:type="page"/>
      </w:r>
      <w:bookmarkStart w:id="24" w:name="_Toc468331061"/>
      <w:bookmarkStart w:id="25" w:name="_Toc524910111"/>
      <w:bookmarkStart w:id="26" w:name="_Toc468330935"/>
      <w:bookmarkStart w:id="27" w:name="_Toc468346352"/>
      <w:bookmarkStart w:id="28" w:name="_Toc511558613"/>
      <w:bookmarkStart w:id="29" w:name="_Toc395625017"/>
      <w:bookmarkStart w:id="30" w:name="_Toc14787"/>
      <w:r>
        <w:rPr>
          <w:rFonts w:hint="eastAsia"/>
          <w:i w:val="0"/>
          <w:color w:val="auto"/>
          <w:highlight w:val="none"/>
          <w:lang w:eastAsia="zh-CN"/>
        </w:rPr>
        <w:t>二、总则</w:t>
      </w:r>
      <w:bookmarkEnd w:id="24"/>
      <w:bookmarkEnd w:id="25"/>
      <w:bookmarkEnd w:id="26"/>
      <w:bookmarkEnd w:id="27"/>
      <w:bookmarkEnd w:id="28"/>
      <w:bookmarkEnd w:id="29"/>
      <w:bookmarkEnd w:id="30"/>
    </w:p>
    <w:p>
      <w:pPr>
        <w:pStyle w:val="5"/>
        <w:spacing w:line="360" w:lineRule="auto"/>
        <w:rPr>
          <w:rFonts w:ascii="仿宋" w:hAnsi="仿宋"/>
          <w:i w:val="0"/>
          <w:color w:val="auto"/>
          <w:highlight w:val="none"/>
          <w:lang w:eastAsia="zh-CN"/>
        </w:rPr>
      </w:pPr>
      <w:bookmarkStart w:id="31" w:name="_Toc395625018"/>
      <w:bookmarkStart w:id="32" w:name="_Toc468654118"/>
      <w:bookmarkStart w:id="33" w:name="_Toc468640356"/>
      <w:bookmarkStart w:id="34" w:name="_Toc468320430"/>
      <w:bookmarkStart w:id="35" w:name="_Toc468640261"/>
      <w:bookmarkStart w:id="36" w:name="_Toc505762707"/>
      <w:bookmarkStart w:id="37" w:name="_Toc468331062"/>
      <w:bookmarkStart w:id="38" w:name="_Toc468641477"/>
      <w:bookmarkStart w:id="39" w:name="_Toc511558614"/>
      <w:bookmarkStart w:id="40" w:name="_Toc497752207"/>
      <w:bookmarkStart w:id="41" w:name="_Toc468330936"/>
      <w:bookmarkStart w:id="42" w:name="_Toc468633928"/>
      <w:bookmarkStart w:id="43" w:name="_Toc217446034"/>
      <w:bookmarkStart w:id="44" w:name="_Toc468346353"/>
      <w:r>
        <w:rPr>
          <w:rFonts w:hint="eastAsia" w:ascii="仿宋" w:hAnsi="仿宋"/>
          <w:i w:val="0"/>
          <w:color w:val="auto"/>
          <w:highlight w:val="none"/>
          <w:lang w:eastAsia="zh-CN"/>
        </w:rPr>
        <w:t>1、适用范围</w:t>
      </w:r>
      <w:bookmarkEnd w:id="31"/>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w:t>
      </w:r>
      <w:r>
        <w:rPr>
          <w:rFonts w:ascii="仿宋" w:hAnsi="仿宋" w:eastAsia="仿宋" w:cs="Marigold"/>
          <w:i w:val="0"/>
          <w:color w:val="auto"/>
          <w:sz w:val="24"/>
          <w:szCs w:val="24"/>
          <w:highlight w:val="none"/>
          <w:lang w:eastAsia="zh-CN"/>
        </w:rPr>
        <w:t>.</w:t>
      </w:r>
      <w:r>
        <w:rPr>
          <w:rFonts w:hint="eastAsia" w:ascii="仿宋" w:hAnsi="仿宋" w:eastAsia="仿宋" w:cs="Marigold"/>
          <w:i w:val="0"/>
          <w:color w:val="auto"/>
          <w:sz w:val="24"/>
          <w:szCs w:val="24"/>
          <w:highlight w:val="none"/>
          <w:lang w:eastAsia="zh-CN"/>
        </w:rPr>
        <w:t>1本招标文件仅适用于本次公开招标的采购项目。</w:t>
      </w:r>
    </w:p>
    <w:p>
      <w:pPr>
        <w:pStyle w:val="5"/>
        <w:spacing w:line="360" w:lineRule="auto"/>
        <w:rPr>
          <w:rFonts w:ascii="仿宋" w:hAnsi="仿宋"/>
          <w:i w:val="0"/>
          <w:color w:val="auto"/>
          <w:highlight w:val="none"/>
          <w:lang w:eastAsia="zh-CN"/>
        </w:rPr>
      </w:pPr>
      <w:bookmarkStart w:id="45" w:name="_Toc497752208"/>
      <w:bookmarkStart w:id="46" w:name="_Toc468654119"/>
      <w:bookmarkStart w:id="47" w:name="_Toc468640357"/>
      <w:bookmarkStart w:id="48" w:name="_Toc468633929"/>
      <w:bookmarkStart w:id="49" w:name="_Toc468640262"/>
      <w:bookmarkStart w:id="50" w:name="_Toc468346354"/>
      <w:bookmarkStart w:id="51" w:name="_Toc395625019"/>
      <w:bookmarkStart w:id="52" w:name="_Toc468330937"/>
      <w:bookmarkStart w:id="53" w:name="_Toc511558615"/>
      <w:bookmarkStart w:id="54" w:name="_Toc468320431"/>
      <w:bookmarkStart w:id="55" w:name="_Toc468331063"/>
      <w:bookmarkStart w:id="56" w:name="_Toc505762708"/>
      <w:bookmarkStart w:id="57" w:name="_Toc217446035"/>
      <w:bookmarkStart w:id="58" w:name="_Toc468641478"/>
      <w:r>
        <w:rPr>
          <w:rFonts w:hint="eastAsia" w:ascii="仿宋" w:hAnsi="仿宋"/>
          <w:i w:val="0"/>
          <w:color w:val="auto"/>
          <w:highlight w:val="none"/>
          <w:lang w:eastAsia="zh-CN"/>
        </w:rPr>
        <w:t>2、有关定义</w:t>
      </w:r>
      <w:bookmarkEnd w:id="45"/>
      <w:bookmarkEnd w:id="46"/>
      <w:bookmarkEnd w:id="47"/>
      <w:bookmarkEnd w:id="48"/>
      <w:bookmarkEnd w:id="49"/>
      <w:bookmarkEnd w:id="50"/>
      <w:bookmarkEnd w:id="51"/>
      <w:bookmarkEnd w:id="52"/>
      <w:bookmarkEnd w:id="53"/>
      <w:bookmarkEnd w:id="54"/>
      <w:bookmarkEnd w:id="55"/>
      <w:bookmarkEnd w:id="56"/>
      <w:bookmarkEnd w:id="57"/>
      <w:bookmarkEnd w:id="58"/>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w:t>
      </w:r>
      <w:r>
        <w:rPr>
          <w:rFonts w:ascii="仿宋" w:hAnsi="仿宋" w:eastAsia="仿宋" w:cs="Marigold"/>
          <w:i w:val="0"/>
          <w:color w:val="auto"/>
          <w:sz w:val="24"/>
          <w:szCs w:val="24"/>
          <w:highlight w:val="none"/>
          <w:lang w:eastAsia="zh-CN"/>
        </w:rPr>
        <w:t>.</w:t>
      </w:r>
      <w:r>
        <w:rPr>
          <w:rFonts w:hint="eastAsia" w:ascii="仿宋" w:hAnsi="仿宋" w:eastAsia="仿宋" w:cs="Marigold"/>
          <w:i w:val="0"/>
          <w:color w:val="auto"/>
          <w:sz w:val="24"/>
          <w:szCs w:val="24"/>
          <w:highlight w:val="none"/>
          <w:lang w:eastAsia="zh-CN"/>
        </w:rPr>
        <w:t>1 “采购人”系指依法进行政府采购的国家机关、事业单位、团体组织。本次招标的采购人是</w:t>
      </w:r>
      <w:r>
        <w:rPr>
          <w:rFonts w:hint="eastAsia" w:ascii="仿宋" w:hAnsi="仿宋" w:eastAsia="仿宋"/>
          <w:b/>
          <w:i w:val="0"/>
          <w:color w:val="auto"/>
          <w:sz w:val="24"/>
          <w:highlight w:val="none"/>
          <w:u w:val="single"/>
          <w:lang w:eastAsia="zh-CN"/>
        </w:rPr>
        <w:t>彭州市综合行政执法局</w:t>
      </w:r>
      <w:r>
        <w:rPr>
          <w:rFonts w:hint="eastAsia" w:ascii="仿宋" w:hAnsi="仿宋" w:eastAsia="仿宋" w:cs="Marigold"/>
          <w:i w:val="0"/>
          <w:color w:val="auto"/>
          <w:sz w:val="24"/>
          <w:szCs w:val="24"/>
          <w:highlight w:val="none"/>
          <w:lang w:eastAsia="zh-CN"/>
        </w:rPr>
        <w:t>。</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w:t>
      </w:r>
      <w:r>
        <w:rPr>
          <w:rFonts w:ascii="仿宋" w:hAnsi="仿宋" w:eastAsia="仿宋" w:cs="Marigold"/>
          <w:i w:val="0"/>
          <w:color w:val="auto"/>
          <w:sz w:val="24"/>
          <w:szCs w:val="24"/>
          <w:highlight w:val="none"/>
          <w:lang w:eastAsia="zh-CN"/>
        </w:rPr>
        <w:t>.</w:t>
      </w:r>
      <w:r>
        <w:rPr>
          <w:rFonts w:hint="eastAsia" w:ascii="仿宋" w:hAnsi="仿宋" w:eastAsia="仿宋" w:cs="Marigold"/>
          <w:i w:val="0"/>
          <w:color w:val="auto"/>
          <w:sz w:val="24"/>
          <w:szCs w:val="24"/>
          <w:highlight w:val="none"/>
          <w:lang w:eastAsia="zh-CN"/>
        </w:rPr>
        <w:t>2 “采购代理机构”系指根据采购人的委托依法办理招标事宜的采购机构。本次招标的采购代理机构是</w:t>
      </w:r>
      <w:r>
        <w:rPr>
          <w:rFonts w:hint="eastAsia" w:ascii="仿宋" w:hAnsi="仿宋" w:eastAsia="仿宋" w:cs="Marigold"/>
          <w:b/>
          <w:i w:val="0"/>
          <w:color w:val="auto"/>
          <w:sz w:val="24"/>
          <w:szCs w:val="24"/>
          <w:highlight w:val="none"/>
          <w:u w:val="single"/>
          <w:lang w:eastAsia="zh-CN"/>
        </w:rPr>
        <w:t>四川科薪工程管理有限公司</w:t>
      </w:r>
      <w:r>
        <w:rPr>
          <w:rFonts w:hint="eastAsia" w:ascii="仿宋" w:hAnsi="仿宋" w:eastAsia="仿宋" w:cs="Marigold"/>
          <w:i w:val="0"/>
          <w:color w:val="auto"/>
          <w:sz w:val="24"/>
          <w:szCs w:val="24"/>
          <w:highlight w:val="none"/>
          <w:lang w:eastAsia="zh-CN"/>
        </w:rPr>
        <w:t>。</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2.3 “招标采购单位”系指“采购人”和“采购代理机构”的统称。</w:t>
      </w:r>
    </w:p>
    <w:p>
      <w:pPr>
        <w:spacing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w:t>
      </w:r>
      <w:r>
        <w:rPr>
          <w:rFonts w:ascii="仿宋" w:hAnsi="仿宋" w:eastAsia="仿宋" w:cs="Marigold"/>
          <w:i w:val="0"/>
          <w:color w:val="auto"/>
          <w:sz w:val="24"/>
          <w:szCs w:val="24"/>
          <w:highlight w:val="none"/>
          <w:lang w:eastAsia="zh-CN"/>
        </w:rPr>
        <w:t>.</w:t>
      </w:r>
      <w:r>
        <w:rPr>
          <w:rFonts w:hint="eastAsia" w:ascii="仿宋" w:hAnsi="仿宋" w:eastAsia="仿宋" w:cs="Marigold"/>
          <w:i w:val="0"/>
          <w:color w:val="auto"/>
          <w:sz w:val="24"/>
          <w:szCs w:val="24"/>
          <w:highlight w:val="none"/>
          <w:lang w:eastAsia="zh-CN"/>
        </w:rPr>
        <w:t>4 “投标人”系指按招标文件要求的获取方式获取了招标文件拟参加投标和向采购人提供货物或服务的供应商。</w:t>
      </w:r>
    </w:p>
    <w:p>
      <w:pPr>
        <w:pStyle w:val="5"/>
        <w:spacing w:line="360" w:lineRule="auto"/>
        <w:rPr>
          <w:rFonts w:ascii="仿宋" w:hAnsi="仿宋" w:cs="Marigold"/>
          <w:i w:val="0"/>
          <w:color w:val="auto"/>
          <w:highlight w:val="none"/>
          <w:lang w:eastAsia="zh-CN"/>
        </w:rPr>
      </w:pPr>
      <w:bookmarkStart w:id="59" w:name="_Toc468633930"/>
      <w:bookmarkStart w:id="60" w:name="_Toc468640358"/>
      <w:bookmarkStart w:id="61" w:name="_Toc468346355"/>
      <w:bookmarkStart w:id="62" w:name="_Toc468331064"/>
      <w:bookmarkStart w:id="63" w:name="_Toc183682344"/>
      <w:bookmarkStart w:id="64" w:name="_Toc395625020"/>
      <w:bookmarkStart w:id="65" w:name="_Toc468654120"/>
      <w:bookmarkStart w:id="66" w:name="_Toc217390843"/>
      <w:bookmarkStart w:id="67" w:name="_Toc183582207"/>
      <w:bookmarkStart w:id="68" w:name="_Toc468640263"/>
      <w:bookmarkStart w:id="69" w:name="_Toc468330938"/>
      <w:bookmarkStart w:id="70" w:name="_Toc468320432"/>
      <w:bookmarkStart w:id="71" w:name="_Toc217446036"/>
      <w:bookmarkStart w:id="72" w:name="_Toc468641479"/>
      <w:bookmarkStart w:id="73" w:name="_Toc511558616"/>
      <w:bookmarkStart w:id="74" w:name="_Toc505762709"/>
      <w:bookmarkStart w:id="75" w:name="_Toc497752209"/>
      <w:r>
        <w:rPr>
          <w:rFonts w:hint="eastAsia" w:ascii="仿宋" w:hAnsi="仿宋"/>
          <w:i w:val="0"/>
          <w:color w:val="auto"/>
          <w:highlight w:val="none"/>
          <w:lang w:eastAsia="zh-CN"/>
        </w:rPr>
        <w:t>3、合格的</w:t>
      </w:r>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hint="eastAsia" w:ascii="仿宋" w:hAnsi="仿宋" w:cs="Marigold"/>
          <w:i w:val="0"/>
          <w:color w:val="auto"/>
          <w:highlight w:val="none"/>
          <w:lang w:eastAsia="zh-CN"/>
        </w:rPr>
        <w:t>投标人</w:t>
      </w:r>
      <w:bookmarkEnd w:id="73"/>
      <w:bookmarkEnd w:id="74"/>
      <w:bookmarkEnd w:id="75"/>
      <w:r>
        <w:rPr>
          <w:rFonts w:hint="eastAsia" w:ascii="仿宋" w:hAnsi="仿宋" w:cs="Marigold"/>
          <w:i w:val="0"/>
          <w:color w:val="auto"/>
          <w:highlight w:val="none"/>
          <w:lang w:eastAsia="zh-CN"/>
        </w:rPr>
        <w:t>（实质性要求）</w:t>
      </w:r>
    </w:p>
    <w:p>
      <w:pPr>
        <w:tabs>
          <w:tab w:val="left" w:pos="7665"/>
        </w:tabs>
        <w:spacing w:after="120" w:line="360" w:lineRule="auto"/>
        <w:ind w:firstLine="426"/>
        <w:rPr>
          <w:rFonts w:ascii="仿宋" w:hAnsi="仿宋" w:eastAsia="仿宋" w:cs="Marigold"/>
          <w:i w:val="0"/>
          <w:color w:val="auto"/>
          <w:spacing w:val="-4"/>
          <w:sz w:val="24"/>
          <w:szCs w:val="24"/>
          <w:highlight w:val="none"/>
          <w:lang w:eastAsia="zh-CN"/>
        </w:rPr>
      </w:pPr>
      <w:r>
        <w:rPr>
          <w:rFonts w:hint="eastAsia" w:ascii="仿宋" w:hAnsi="仿宋" w:eastAsia="仿宋" w:cs="Marigold"/>
          <w:i w:val="0"/>
          <w:color w:val="auto"/>
          <w:sz w:val="24"/>
          <w:szCs w:val="24"/>
          <w:highlight w:val="none"/>
          <w:lang w:eastAsia="zh-CN"/>
        </w:rPr>
        <w:t>3.1本招标文件“投标邀请”第五条规定的条件</w:t>
      </w:r>
      <w:r>
        <w:rPr>
          <w:rFonts w:hint="eastAsia" w:ascii="仿宋" w:hAnsi="仿宋" w:eastAsia="仿宋" w:cs="Marigold"/>
          <w:i w:val="0"/>
          <w:color w:val="auto"/>
          <w:spacing w:val="-4"/>
          <w:sz w:val="24"/>
          <w:szCs w:val="24"/>
          <w:highlight w:val="none"/>
          <w:lang w:eastAsia="zh-CN"/>
        </w:rPr>
        <w:t>；</w:t>
      </w:r>
    </w:p>
    <w:p>
      <w:pPr>
        <w:tabs>
          <w:tab w:val="left" w:pos="7665"/>
        </w:tabs>
        <w:spacing w:after="120" w:line="360" w:lineRule="auto"/>
        <w:ind w:firstLine="424" w:firstLineChars="177"/>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3.2遵守国家有关的法律、法规、规章和其他政策制度；</w:t>
      </w:r>
    </w:p>
    <w:p>
      <w:pPr>
        <w:tabs>
          <w:tab w:val="left" w:pos="7665"/>
        </w:tabs>
        <w:spacing w:after="120" w:line="360" w:lineRule="auto"/>
        <w:ind w:firstLine="424" w:firstLineChars="177"/>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3.3按照招标文件要求获取了招标文件并登记备案。</w:t>
      </w:r>
    </w:p>
    <w:p>
      <w:pPr>
        <w:pStyle w:val="5"/>
        <w:spacing w:line="360" w:lineRule="auto"/>
        <w:rPr>
          <w:rFonts w:ascii="仿宋" w:hAnsi="仿宋"/>
          <w:i w:val="0"/>
          <w:color w:val="auto"/>
          <w:highlight w:val="none"/>
          <w:lang w:eastAsia="zh-CN"/>
        </w:rPr>
      </w:pPr>
      <w:bookmarkStart w:id="76" w:name="_Toc468331066"/>
      <w:bookmarkStart w:id="77" w:name="_Toc497752210"/>
      <w:bookmarkStart w:id="78" w:name="_Toc505762710"/>
      <w:bookmarkStart w:id="79" w:name="_Toc468346357"/>
      <w:bookmarkStart w:id="80" w:name="_Toc183682345"/>
      <w:bookmarkStart w:id="81" w:name="_Toc468320434"/>
      <w:bookmarkStart w:id="82" w:name="_Toc511558617"/>
      <w:bookmarkStart w:id="83" w:name="_Toc468330940"/>
      <w:bookmarkStart w:id="84" w:name="_Toc217446037"/>
      <w:bookmarkStart w:id="85" w:name="_Toc468640265"/>
      <w:bookmarkStart w:id="86" w:name="_Toc468633932"/>
      <w:bookmarkStart w:id="87" w:name="_Toc308164787"/>
      <w:bookmarkStart w:id="88" w:name="_Toc468641481"/>
      <w:bookmarkStart w:id="89" w:name="_Toc468640360"/>
      <w:bookmarkStart w:id="90" w:name="_Toc468654122"/>
      <w:bookmarkStart w:id="91" w:name="_Toc183582208"/>
      <w:r>
        <w:rPr>
          <w:rFonts w:hint="eastAsia" w:ascii="仿宋" w:hAnsi="仿宋"/>
          <w:i w:val="0"/>
          <w:color w:val="auto"/>
          <w:highlight w:val="none"/>
          <w:lang w:eastAsia="zh-CN"/>
        </w:rPr>
        <w:t>4、投标费用</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hint="eastAsia" w:ascii="仿宋" w:hAnsi="仿宋"/>
          <w:i w:val="0"/>
          <w:color w:val="auto"/>
          <w:highlight w:val="none"/>
          <w:lang w:eastAsia="zh-CN"/>
        </w:rPr>
        <w:t>（实质性要求）</w:t>
      </w:r>
    </w:p>
    <w:p>
      <w:pPr>
        <w:tabs>
          <w:tab w:val="left" w:pos="7665"/>
        </w:tabs>
        <w:spacing w:line="360" w:lineRule="auto"/>
        <w:ind w:firstLine="48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4.1投标人参加投标的有关费用由投标人自行承担。不论投标的结果如何，招标采购单位均无义务和责任承担这些费用。</w:t>
      </w:r>
    </w:p>
    <w:p>
      <w:pPr>
        <w:pStyle w:val="5"/>
        <w:rPr>
          <w:rFonts w:ascii="仿宋" w:hAnsi="仿宋"/>
          <w:i w:val="0"/>
          <w:color w:val="auto"/>
          <w:highlight w:val="none"/>
          <w:lang w:eastAsia="zh-CN"/>
        </w:rPr>
      </w:pPr>
      <w:bookmarkStart w:id="92" w:name="_Toc468633933"/>
      <w:bookmarkStart w:id="93" w:name="_Toc468320435"/>
      <w:bookmarkStart w:id="94" w:name="_Toc468640361"/>
      <w:bookmarkStart w:id="95" w:name="_Toc468641482"/>
      <w:bookmarkStart w:id="96" w:name="_Toc505762711"/>
      <w:bookmarkStart w:id="97" w:name="_Toc468330941"/>
      <w:bookmarkStart w:id="98" w:name="_Toc468331067"/>
      <w:bookmarkStart w:id="99" w:name="_Toc468654123"/>
      <w:bookmarkStart w:id="100" w:name="_Toc497752211"/>
      <w:bookmarkStart w:id="101" w:name="_Toc468346358"/>
      <w:bookmarkStart w:id="102" w:name="_Toc468640266"/>
      <w:bookmarkStart w:id="103" w:name="_Toc511558618"/>
      <w:r>
        <w:rPr>
          <w:rFonts w:hint="eastAsia" w:ascii="仿宋" w:hAnsi="仿宋"/>
          <w:i w:val="0"/>
          <w:color w:val="auto"/>
          <w:highlight w:val="none"/>
          <w:lang w:eastAsia="zh-CN"/>
        </w:rPr>
        <w:t>5、充分、公平竞争保障措施</w:t>
      </w:r>
      <w:bookmarkEnd w:id="92"/>
      <w:bookmarkEnd w:id="93"/>
      <w:bookmarkEnd w:id="94"/>
      <w:bookmarkEnd w:id="95"/>
      <w:bookmarkEnd w:id="96"/>
      <w:bookmarkEnd w:id="97"/>
      <w:bookmarkEnd w:id="98"/>
      <w:bookmarkEnd w:id="99"/>
      <w:bookmarkEnd w:id="100"/>
      <w:bookmarkEnd w:id="101"/>
      <w:bookmarkEnd w:id="102"/>
      <w:bookmarkEnd w:id="103"/>
    </w:p>
    <w:p>
      <w:pPr>
        <w:adjustRightInd w:val="0"/>
        <w:spacing w:after="120" w:line="360" w:lineRule="auto"/>
        <w:ind w:firstLine="480" w:firstLineChars="200"/>
        <w:textAlignment w:val="baseline"/>
        <w:rPr>
          <w:rFonts w:ascii="仿宋" w:hAnsi="仿宋" w:eastAsia="仿宋" w:cs="Marigold"/>
          <w:i w:val="0"/>
          <w:color w:val="auto"/>
          <w:kern w:val="0"/>
          <w:sz w:val="24"/>
          <w:szCs w:val="24"/>
          <w:highlight w:val="none"/>
          <w:lang w:eastAsia="zh-CN"/>
        </w:rPr>
      </w:pPr>
      <w:r>
        <w:rPr>
          <w:rFonts w:hint="eastAsia" w:ascii="仿宋" w:hAnsi="仿宋" w:eastAsia="仿宋" w:cs="Marigold"/>
          <w:i w:val="0"/>
          <w:color w:val="auto"/>
          <w:kern w:val="0"/>
          <w:sz w:val="24"/>
          <w:szCs w:val="24"/>
          <w:highlight w:val="none"/>
          <w:lang w:eastAsia="zh-CN"/>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adjustRightInd w:val="0"/>
        <w:spacing w:after="120" w:line="360" w:lineRule="auto"/>
        <w:ind w:firstLine="480" w:firstLineChars="200"/>
        <w:textAlignment w:val="baseline"/>
        <w:rPr>
          <w:rFonts w:ascii="仿宋" w:hAnsi="仿宋" w:eastAsia="仿宋" w:cs="Marigold"/>
          <w:i w:val="0"/>
          <w:color w:val="auto"/>
          <w:kern w:val="0"/>
          <w:sz w:val="24"/>
          <w:szCs w:val="24"/>
          <w:highlight w:val="none"/>
          <w:lang w:eastAsia="zh-CN"/>
        </w:rPr>
      </w:pPr>
      <w:r>
        <w:rPr>
          <w:rFonts w:hint="eastAsia" w:ascii="仿宋" w:hAnsi="仿宋" w:eastAsia="仿宋" w:cs="Marigold"/>
          <w:i w:val="0"/>
          <w:color w:val="auto"/>
          <w:kern w:val="0"/>
          <w:sz w:val="24"/>
          <w:szCs w:val="24"/>
          <w:highlight w:val="none"/>
          <w:lang w:eastAsia="zh-CN"/>
        </w:rPr>
        <w:t>5.</w:t>
      </w:r>
      <w:r>
        <w:rPr>
          <w:rFonts w:hint="eastAsia" w:ascii="仿宋" w:hAnsi="仿宋" w:eastAsia="仿宋" w:cs="Marigold"/>
          <w:i w:val="0"/>
          <w:color w:val="auto"/>
          <w:kern w:val="0"/>
          <w:sz w:val="24"/>
          <w:szCs w:val="24"/>
          <w:highlight w:val="none"/>
          <w:lang w:val="en-US" w:eastAsia="zh-CN"/>
        </w:rPr>
        <w:t>2</w:t>
      </w:r>
      <w:r>
        <w:rPr>
          <w:rFonts w:hint="eastAsia" w:ascii="仿宋" w:hAnsi="仿宋" w:eastAsia="仿宋" w:cs="Marigold"/>
          <w:i w:val="0"/>
          <w:color w:val="auto"/>
          <w:kern w:val="0"/>
          <w:sz w:val="24"/>
          <w:szCs w:val="24"/>
          <w:highlight w:val="none"/>
          <w:lang w:eastAsia="zh-CN"/>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仿宋" w:hAnsi="仿宋" w:eastAsia="仿宋" w:cs="Marigold"/>
          <w:b/>
          <w:bCs/>
          <w:i w:val="0"/>
          <w:color w:val="auto"/>
          <w:kern w:val="0"/>
          <w:sz w:val="24"/>
          <w:szCs w:val="24"/>
          <w:highlight w:val="none"/>
          <w:lang w:eastAsia="zh-CN"/>
        </w:rPr>
        <w:t>（说明：无投标人为本项目提供整体设计、规范编制或者项目管理、监理、检测等服务）</w:t>
      </w:r>
    </w:p>
    <w:p>
      <w:pPr>
        <w:spacing w:line="360" w:lineRule="auto"/>
        <w:ind w:firstLine="480" w:firstLineChars="200"/>
        <w:rPr>
          <w:rFonts w:ascii="仿宋" w:hAnsi="仿宋" w:eastAsia="仿宋" w:cs="Marigold"/>
          <w:i w:val="0"/>
          <w:color w:val="auto"/>
          <w:kern w:val="0"/>
          <w:sz w:val="24"/>
          <w:szCs w:val="24"/>
          <w:highlight w:val="none"/>
          <w:lang w:eastAsia="zh-CN"/>
        </w:rPr>
      </w:pPr>
      <w:r>
        <w:rPr>
          <w:rFonts w:hint="eastAsia" w:ascii="仿宋" w:hAnsi="仿宋" w:eastAsia="仿宋" w:cs="Marigold"/>
          <w:i w:val="0"/>
          <w:color w:val="auto"/>
          <w:kern w:val="0"/>
          <w:sz w:val="24"/>
          <w:szCs w:val="24"/>
          <w:highlight w:val="none"/>
          <w:lang w:eastAsia="zh-CN"/>
        </w:rPr>
        <w:t>5.</w:t>
      </w:r>
      <w:r>
        <w:rPr>
          <w:rFonts w:hint="eastAsia" w:ascii="仿宋" w:hAnsi="仿宋" w:eastAsia="仿宋" w:cs="Marigold"/>
          <w:i w:val="0"/>
          <w:color w:val="auto"/>
          <w:kern w:val="0"/>
          <w:sz w:val="24"/>
          <w:szCs w:val="24"/>
          <w:highlight w:val="none"/>
          <w:lang w:val="en-US" w:eastAsia="zh-CN"/>
        </w:rPr>
        <w:t>3</w:t>
      </w:r>
      <w:r>
        <w:rPr>
          <w:rFonts w:hint="eastAsia" w:ascii="仿宋" w:hAnsi="仿宋" w:eastAsia="仿宋" w:cs="Marigold"/>
          <w:i w:val="0"/>
          <w:color w:val="auto"/>
          <w:kern w:val="0"/>
          <w:sz w:val="24"/>
          <w:szCs w:val="24"/>
          <w:highlight w:val="none"/>
          <w:lang w:eastAsia="zh-CN"/>
        </w:rPr>
        <w:t>利害关系代理人处理。2家以上的供应商不得在同一合同项下的采购项目中，同时委托同一个自然人、同一家庭的人员、同一单位的人员作为其代理人，否则，其响应文件作为无效处理。</w:t>
      </w:r>
    </w:p>
    <w:p>
      <w:pPr>
        <w:pStyle w:val="4"/>
        <w:rPr>
          <w:i w:val="0"/>
          <w:color w:val="auto"/>
          <w:highlight w:val="none"/>
          <w:lang w:eastAsia="zh-CN"/>
        </w:rPr>
      </w:pPr>
      <w:bookmarkStart w:id="104" w:name="_Toc511558619"/>
      <w:bookmarkStart w:id="105" w:name="_Toc24372"/>
      <w:bookmarkStart w:id="106" w:name="_Toc524910112"/>
      <w:r>
        <w:rPr>
          <w:rFonts w:hint="eastAsia"/>
          <w:i w:val="0"/>
          <w:color w:val="auto"/>
          <w:highlight w:val="none"/>
          <w:lang w:eastAsia="zh-CN"/>
        </w:rPr>
        <w:t>三、招标文件</w:t>
      </w:r>
      <w:bookmarkEnd w:id="104"/>
      <w:bookmarkEnd w:id="105"/>
      <w:bookmarkEnd w:id="106"/>
    </w:p>
    <w:p>
      <w:pPr>
        <w:pStyle w:val="5"/>
        <w:spacing w:line="360" w:lineRule="auto"/>
        <w:rPr>
          <w:rFonts w:ascii="仿宋" w:hAnsi="仿宋"/>
          <w:i w:val="0"/>
          <w:color w:val="auto"/>
          <w:highlight w:val="none"/>
          <w:lang w:eastAsia="zh-CN"/>
        </w:rPr>
      </w:pPr>
      <w:bookmarkStart w:id="107" w:name="_Toc468641484"/>
      <w:bookmarkStart w:id="108" w:name="_Toc468346360"/>
      <w:bookmarkStart w:id="109" w:name="_Toc468640268"/>
      <w:bookmarkStart w:id="110" w:name="_Toc217446039"/>
      <w:bookmarkStart w:id="111" w:name="_Toc468320437"/>
      <w:bookmarkStart w:id="112" w:name="_Toc505762713"/>
      <w:bookmarkStart w:id="113" w:name="_Toc468331069"/>
      <w:bookmarkStart w:id="114" w:name="_Toc468640363"/>
      <w:bookmarkStart w:id="115" w:name="_Toc468654125"/>
      <w:bookmarkStart w:id="116" w:name="_Toc395625024"/>
      <w:bookmarkStart w:id="117" w:name="_Toc183582210"/>
      <w:bookmarkStart w:id="118" w:name="_Toc511558620"/>
      <w:bookmarkStart w:id="119" w:name="_Toc497752213"/>
      <w:bookmarkStart w:id="120" w:name="_Toc183682347"/>
      <w:r>
        <w:rPr>
          <w:rFonts w:hint="eastAsia" w:ascii="仿宋" w:hAnsi="仿宋"/>
          <w:i w:val="0"/>
          <w:color w:val="auto"/>
          <w:highlight w:val="none"/>
          <w:lang w:eastAsia="zh-CN"/>
        </w:rPr>
        <w:t>6、招标文件的构成</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ascii="仿宋" w:hAnsi="仿宋" w:eastAsia="仿宋" w:cs="Marigold"/>
          <w:i w:val="0"/>
          <w:color w:val="auto"/>
          <w:sz w:val="24"/>
          <w:szCs w:val="24"/>
          <w:highlight w:val="none"/>
          <w:lang w:eastAsia="zh-CN"/>
        </w:rPr>
        <w:t>6.</w:t>
      </w:r>
      <w:r>
        <w:rPr>
          <w:rFonts w:hint="eastAsia" w:ascii="仿宋" w:hAnsi="仿宋" w:eastAsia="仿宋" w:cs="Marigold"/>
          <w:i w:val="0"/>
          <w:color w:val="auto"/>
          <w:sz w:val="24"/>
          <w:szCs w:val="24"/>
          <w:highlight w:val="none"/>
          <w:lang w:eastAsia="zh-CN"/>
        </w:rPr>
        <w:t>1 招标文件是</w:t>
      </w:r>
      <w:r>
        <w:rPr>
          <w:rFonts w:hint="eastAsia" w:ascii="仿宋" w:hAnsi="仿宋" w:eastAsia="仿宋"/>
          <w:i w:val="0"/>
          <w:color w:val="auto"/>
          <w:sz w:val="24"/>
          <w:szCs w:val="24"/>
          <w:highlight w:val="none"/>
          <w:lang w:eastAsia="zh-CN"/>
        </w:rPr>
        <w:t>投标人</w:t>
      </w:r>
      <w:r>
        <w:rPr>
          <w:rFonts w:hint="eastAsia" w:ascii="仿宋" w:hAnsi="仿宋" w:eastAsia="仿宋" w:cs="Marigold"/>
          <w:i w:val="0"/>
          <w:color w:val="auto"/>
          <w:sz w:val="24"/>
          <w:szCs w:val="24"/>
          <w:highlight w:val="none"/>
          <w:lang w:eastAsia="zh-CN"/>
        </w:rPr>
        <w:t>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（1）投标邀请；</w:t>
      </w:r>
      <w:r>
        <w:rPr>
          <w:rFonts w:ascii="仿宋" w:hAnsi="仿宋" w:eastAsia="仿宋" w:cs="Marigold"/>
          <w:i w:val="0"/>
          <w:color w:val="auto"/>
          <w:sz w:val="24"/>
          <w:szCs w:val="24"/>
          <w:highlight w:val="none"/>
          <w:lang w:eastAsia="zh-CN"/>
        </w:rPr>
        <w:tab/>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（2）投标人须知；</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（3）投标文件格式；</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i w:val="0"/>
          <w:color w:val="auto"/>
          <w:sz w:val="24"/>
          <w:szCs w:val="24"/>
          <w:highlight w:val="none"/>
          <w:lang w:eastAsia="zh-CN"/>
        </w:rPr>
        <w:t>（4）投标人</w:t>
      </w:r>
      <w:r>
        <w:rPr>
          <w:rFonts w:hint="eastAsia" w:ascii="仿宋" w:hAnsi="仿宋" w:eastAsia="仿宋" w:cs="Marigold"/>
          <w:i w:val="0"/>
          <w:color w:val="auto"/>
          <w:sz w:val="24"/>
          <w:szCs w:val="24"/>
          <w:highlight w:val="none"/>
          <w:lang w:eastAsia="zh-CN"/>
        </w:rPr>
        <w:t>和投</w:t>
      </w:r>
      <w:r>
        <w:rPr>
          <w:rFonts w:ascii="仿宋" w:hAnsi="仿宋" w:eastAsia="仿宋" w:cs="Marigold"/>
          <w:i w:val="0"/>
          <w:color w:val="auto"/>
          <w:sz w:val="24"/>
          <w:szCs w:val="24"/>
          <w:highlight w:val="none"/>
          <w:lang w:eastAsia="zh-CN"/>
        </w:rPr>
        <w:t>标产品</w:t>
      </w:r>
      <w:r>
        <w:rPr>
          <w:rFonts w:hint="eastAsia" w:ascii="仿宋" w:hAnsi="仿宋" w:eastAsia="仿宋" w:cs="Marigold"/>
          <w:i w:val="0"/>
          <w:color w:val="auto"/>
          <w:sz w:val="24"/>
          <w:szCs w:val="24"/>
          <w:highlight w:val="none"/>
          <w:lang w:eastAsia="zh-CN"/>
        </w:rPr>
        <w:t>（如</w:t>
      </w:r>
      <w:r>
        <w:rPr>
          <w:rFonts w:ascii="仿宋" w:hAnsi="仿宋" w:eastAsia="仿宋" w:cs="Marigold"/>
          <w:i w:val="0"/>
          <w:color w:val="auto"/>
          <w:sz w:val="24"/>
          <w:szCs w:val="24"/>
          <w:highlight w:val="none"/>
          <w:lang w:eastAsia="zh-CN"/>
        </w:rPr>
        <w:t>涉及）</w:t>
      </w:r>
      <w:r>
        <w:rPr>
          <w:rFonts w:hint="eastAsia" w:ascii="仿宋" w:hAnsi="仿宋" w:eastAsia="仿宋" w:cs="Marigold"/>
          <w:i w:val="0"/>
          <w:color w:val="auto"/>
          <w:sz w:val="24"/>
          <w:szCs w:val="24"/>
          <w:highlight w:val="none"/>
          <w:lang w:eastAsia="zh-CN"/>
        </w:rPr>
        <w:t>的资格、资质性及其他类似效力要求；</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i w:val="0"/>
          <w:color w:val="auto"/>
          <w:sz w:val="24"/>
          <w:szCs w:val="24"/>
          <w:highlight w:val="none"/>
          <w:lang w:eastAsia="zh-CN"/>
        </w:rPr>
        <w:t>（5）投标人</w:t>
      </w:r>
      <w:r>
        <w:rPr>
          <w:rFonts w:hint="eastAsia" w:ascii="仿宋" w:hAnsi="仿宋" w:eastAsia="仿宋" w:cs="Marigold"/>
          <w:i w:val="0"/>
          <w:color w:val="auto"/>
          <w:sz w:val="24"/>
          <w:szCs w:val="24"/>
          <w:highlight w:val="none"/>
          <w:lang w:eastAsia="zh-CN"/>
        </w:rPr>
        <w:t>应当提供的资格、资质性及其他类似效力要求的相关证明材料；</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（6）招标项目技术、服务、商务及其他要求；</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（7）评标办法；</w:t>
      </w:r>
    </w:p>
    <w:p>
      <w:pPr>
        <w:spacing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（8）合同主要条款。</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ascii="仿宋" w:hAnsi="仿宋" w:eastAsia="仿宋" w:cs="Marigold"/>
          <w:i w:val="0"/>
          <w:color w:val="auto"/>
          <w:sz w:val="24"/>
          <w:szCs w:val="24"/>
          <w:highlight w:val="none"/>
          <w:lang w:eastAsia="zh-CN"/>
        </w:rPr>
        <w:t>6</w:t>
      </w:r>
      <w:r>
        <w:rPr>
          <w:rFonts w:hint="eastAsia" w:ascii="仿宋" w:hAnsi="仿宋" w:eastAsia="仿宋" w:cs="Marigold"/>
          <w:b/>
          <w:bCs/>
          <w:i w:val="0"/>
          <w:color w:val="auto"/>
          <w:sz w:val="24"/>
          <w:szCs w:val="24"/>
          <w:highlight w:val="none"/>
          <w:lang w:eastAsia="zh-CN"/>
        </w:rPr>
        <w:t>.</w:t>
      </w:r>
      <w:r>
        <w:rPr>
          <w:rFonts w:hint="eastAsia" w:ascii="仿宋" w:hAnsi="仿宋" w:eastAsia="仿宋" w:cs="Marigold"/>
          <w:i w:val="0"/>
          <w:color w:val="auto"/>
          <w:sz w:val="24"/>
          <w:szCs w:val="24"/>
          <w:highlight w:val="none"/>
          <w:lang w:eastAsia="zh-CN"/>
        </w:rPr>
        <w:t xml:space="preserve">2 </w:t>
      </w:r>
      <w:r>
        <w:rPr>
          <w:rFonts w:hint="eastAsia" w:ascii="仿宋" w:hAnsi="仿宋" w:eastAsia="仿宋"/>
          <w:i w:val="0"/>
          <w:color w:val="auto"/>
          <w:sz w:val="24"/>
          <w:szCs w:val="24"/>
          <w:highlight w:val="none"/>
          <w:lang w:eastAsia="zh-CN"/>
        </w:rPr>
        <w:t>投标人</w:t>
      </w:r>
      <w:r>
        <w:rPr>
          <w:rFonts w:hint="eastAsia" w:ascii="仿宋" w:hAnsi="仿宋" w:eastAsia="仿宋" w:cs="Marigold"/>
          <w:i w:val="0"/>
          <w:color w:val="auto"/>
          <w:sz w:val="24"/>
          <w:szCs w:val="24"/>
          <w:highlight w:val="none"/>
          <w:lang w:eastAsia="zh-CN"/>
        </w:rPr>
        <w:t>应认真阅读和充分理解招标文件中所有的事项、格式条款和规范要求。</w:t>
      </w:r>
      <w:r>
        <w:rPr>
          <w:rFonts w:hint="eastAsia" w:ascii="仿宋" w:hAnsi="仿宋" w:eastAsia="仿宋"/>
          <w:i w:val="0"/>
          <w:color w:val="auto"/>
          <w:sz w:val="24"/>
          <w:szCs w:val="24"/>
          <w:highlight w:val="none"/>
          <w:lang w:eastAsia="zh-CN"/>
        </w:rPr>
        <w:t>投标人</w:t>
      </w:r>
      <w:r>
        <w:rPr>
          <w:rFonts w:hint="eastAsia" w:ascii="仿宋" w:hAnsi="仿宋" w:eastAsia="仿宋" w:cs="Marigold"/>
          <w:i w:val="0"/>
          <w:color w:val="auto"/>
          <w:sz w:val="24"/>
          <w:szCs w:val="24"/>
          <w:highlight w:val="none"/>
          <w:lang w:eastAsia="zh-CN"/>
        </w:rPr>
        <w:t>没有对招标文件全面做出实质性响应是</w:t>
      </w:r>
      <w:r>
        <w:rPr>
          <w:rFonts w:hint="eastAsia" w:ascii="仿宋" w:hAnsi="仿宋" w:eastAsia="仿宋"/>
          <w:i w:val="0"/>
          <w:color w:val="auto"/>
          <w:sz w:val="24"/>
          <w:szCs w:val="24"/>
          <w:highlight w:val="none"/>
          <w:lang w:eastAsia="zh-CN"/>
        </w:rPr>
        <w:t>投标人</w:t>
      </w:r>
      <w:r>
        <w:rPr>
          <w:rFonts w:hint="eastAsia" w:ascii="仿宋" w:hAnsi="仿宋" w:eastAsia="仿宋" w:cs="Marigold"/>
          <w:i w:val="0"/>
          <w:color w:val="auto"/>
          <w:sz w:val="24"/>
          <w:szCs w:val="24"/>
          <w:highlight w:val="none"/>
          <w:lang w:eastAsia="zh-CN"/>
        </w:rPr>
        <w:t>的风险。没有按照招标文件要求作出实质性响应的投标文件将被视为无效投标。</w:t>
      </w:r>
    </w:p>
    <w:p>
      <w:pPr>
        <w:pStyle w:val="5"/>
        <w:spacing w:line="360" w:lineRule="auto"/>
        <w:rPr>
          <w:rFonts w:ascii="仿宋" w:hAnsi="仿宋"/>
          <w:i w:val="0"/>
          <w:color w:val="auto"/>
          <w:highlight w:val="none"/>
          <w:lang w:eastAsia="zh-CN"/>
        </w:rPr>
      </w:pPr>
      <w:bookmarkStart w:id="121" w:name="_Toc183682348"/>
      <w:bookmarkStart w:id="122" w:name="_Toc183582211"/>
      <w:bookmarkStart w:id="123" w:name="_Toc395625025"/>
      <w:bookmarkStart w:id="124" w:name="_Toc468346361"/>
      <w:bookmarkStart w:id="125" w:name="_Toc468320438"/>
      <w:bookmarkStart w:id="126" w:name="_Toc497752214"/>
      <w:bookmarkStart w:id="127" w:name="_Toc511558621"/>
      <w:bookmarkStart w:id="128" w:name="_Toc468641485"/>
      <w:bookmarkStart w:id="129" w:name="_Toc217446040"/>
      <w:bookmarkStart w:id="130" w:name="_Toc468331070"/>
      <w:bookmarkStart w:id="131" w:name="_Toc468640364"/>
      <w:bookmarkStart w:id="132" w:name="_Toc505762714"/>
      <w:bookmarkStart w:id="133" w:name="_Toc468654126"/>
      <w:bookmarkStart w:id="134" w:name="_Toc468640269"/>
      <w:r>
        <w:rPr>
          <w:rFonts w:hint="eastAsia" w:ascii="仿宋" w:hAnsi="仿宋"/>
          <w:i w:val="0"/>
          <w:color w:val="auto"/>
          <w:highlight w:val="none"/>
          <w:lang w:eastAsia="zh-CN"/>
        </w:rPr>
        <w:t>7、招标文件的澄清</w:t>
      </w:r>
      <w:bookmarkEnd w:id="121"/>
      <w:bookmarkEnd w:id="122"/>
      <w:r>
        <w:rPr>
          <w:rFonts w:hint="eastAsia" w:ascii="仿宋" w:hAnsi="仿宋"/>
          <w:i w:val="0"/>
          <w:color w:val="auto"/>
          <w:highlight w:val="none"/>
          <w:lang w:eastAsia="zh-CN"/>
        </w:rPr>
        <w:t>和修改</w:t>
      </w:r>
      <w:bookmarkEnd w:id="123"/>
      <w:bookmarkEnd w:id="124"/>
      <w:bookmarkEnd w:id="125"/>
      <w:bookmarkEnd w:id="126"/>
      <w:bookmarkEnd w:id="127"/>
      <w:bookmarkEnd w:id="128"/>
      <w:bookmarkEnd w:id="129"/>
      <w:bookmarkEnd w:id="130"/>
      <w:bookmarkEnd w:id="131"/>
      <w:bookmarkEnd w:id="132"/>
      <w:bookmarkEnd w:id="133"/>
      <w:bookmarkEnd w:id="134"/>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ascii="仿宋" w:hAnsi="仿宋" w:eastAsia="仿宋" w:cs="Marigold"/>
          <w:i w:val="0"/>
          <w:color w:val="auto"/>
          <w:sz w:val="24"/>
          <w:szCs w:val="24"/>
          <w:highlight w:val="none"/>
          <w:lang w:eastAsia="zh-CN"/>
        </w:rPr>
        <w:t>7.1</w:t>
      </w:r>
      <w:r>
        <w:rPr>
          <w:rFonts w:hint="eastAsia" w:ascii="仿宋" w:hAnsi="仿宋" w:eastAsia="仿宋" w:cs="Marigold"/>
          <w:i w:val="0"/>
          <w:color w:val="auto"/>
          <w:sz w:val="24"/>
          <w:szCs w:val="24"/>
          <w:highlight w:val="none"/>
          <w:lang w:eastAsia="zh-CN"/>
        </w:rPr>
        <w:t>招标采购单位可以依法对招标文件进行澄清或者修改。</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ascii="仿宋" w:hAnsi="仿宋" w:eastAsia="仿宋" w:cs="Marigold"/>
          <w:i w:val="0"/>
          <w:color w:val="auto"/>
          <w:sz w:val="24"/>
          <w:szCs w:val="24"/>
          <w:highlight w:val="none"/>
          <w:lang w:eastAsia="zh-CN"/>
        </w:rPr>
        <w:t>7.2</w:t>
      </w:r>
      <w:r>
        <w:rPr>
          <w:rFonts w:hint="eastAsia" w:ascii="仿宋" w:hAnsi="仿宋" w:eastAsia="仿宋"/>
          <w:i w:val="0"/>
          <w:color w:val="auto"/>
          <w:sz w:val="24"/>
          <w:szCs w:val="24"/>
          <w:highlight w:val="none"/>
          <w:lang w:eastAsia="zh-CN"/>
        </w:rPr>
        <w:t>招标采购单位对已发出的招标文件进行澄清或者修改，应当以书面形式将澄清或者修改的内容通知所有获取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Pr>
          <w:rFonts w:ascii="仿宋" w:hAnsi="仿宋" w:eastAsia="仿宋"/>
          <w:i w:val="0"/>
          <w:color w:val="auto"/>
          <w:sz w:val="24"/>
          <w:szCs w:val="24"/>
          <w:highlight w:val="none"/>
          <w:lang w:eastAsia="zh-CN"/>
        </w:rPr>
        <w:t>5</w:t>
      </w:r>
      <w:r>
        <w:rPr>
          <w:rFonts w:hint="eastAsia" w:ascii="仿宋" w:hAnsi="仿宋" w:eastAsia="仿宋"/>
          <w:i w:val="0"/>
          <w:color w:val="auto"/>
          <w:sz w:val="24"/>
          <w:szCs w:val="24"/>
          <w:highlight w:val="none"/>
          <w:lang w:eastAsia="zh-CN"/>
        </w:rPr>
        <w:t>日前、提交资格预审申请文件截止时间至少３日前；不足上述时间的，应当顺延提交投标文件、资格预审申请文件的截止时间。</w:t>
      </w:r>
    </w:p>
    <w:p>
      <w:pPr>
        <w:spacing w:line="360" w:lineRule="auto"/>
        <w:ind w:firstLine="480" w:firstLineChars="200"/>
        <w:rPr>
          <w:rFonts w:ascii="仿宋" w:hAnsi="仿宋" w:eastAsia="仿宋" w:cs="Marigold"/>
          <w:i w:val="0"/>
          <w:color w:val="auto"/>
          <w:sz w:val="24"/>
          <w:szCs w:val="24"/>
          <w:highlight w:val="none"/>
          <w:lang w:eastAsia="zh-CN"/>
        </w:rPr>
      </w:pPr>
      <w:r>
        <w:rPr>
          <w:rFonts w:ascii="仿宋" w:hAnsi="仿宋" w:eastAsia="仿宋" w:cs="Marigold"/>
          <w:i w:val="0"/>
          <w:color w:val="auto"/>
          <w:sz w:val="24"/>
          <w:szCs w:val="24"/>
          <w:highlight w:val="none"/>
          <w:lang w:eastAsia="zh-CN"/>
        </w:rPr>
        <w:t>7</w:t>
      </w:r>
      <w:r>
        <w:rPr>
          <w:rFonts w:hint="eastAsia" w:ascii="仿宋" w:hAnsi="仿宋" w:eastAsia="仿宋" w:cs="Marigold"/>
          <w:i w:val="0"/>
          <w:color w:val="auto"/>
          <w:sz w:val="24"/>
          <w:szCs w:val="24"/>
          <w:highlight w:val="none"/>
          <w:lang w:eastAsia="zh-CN"/>
        </w:rPr>
        <w:t>.3在投标截止时间前，招标采购单位可以视采购具体情况，延长投标截止时间和开标时间。</w:t>
      </w:r>
    </w:p>
    <w:p>
      <w:pPr>
        <w:pStyle w:val="5"/>
        <w:rPr>
          <w:rFonts w:ascii="仿宋" w:hAnsi="仿宋"/>
          <w:i w:val="0"/>
          <w:color w:val="auto"/>
          <w:highlight w:val="none"/>
          <w:lang w:eastAsia="zh-CN"/>
        </w:rPr>
      </w:pPr>
      <w:bookmarkStart w:id="135" w:name="_Toc505762715"/>
      <w:bookmarkStart w:id="136" w:name="_Toc497752215"/>
      <w:bookmarkStart w:id="137" w:name="_Toc511558622"/>
      <w:r>
        <w:rPr>
          <w:rFonts w:hint="eastAsia" w:ascii="仿宋" w:hAnsi="仿宋" w:cs="Marigold"/>
          <w:i w:val="0"/>
          <w:color w:val="auto"/>
          <w:highlight w:val="none"/>
          <w:lang w:eastAsia="zh-CN"/>
        </w:rPr>
        <w:t>8、答疑会和现场考察</w:t>
      </w:r>
      <w:bookmarkEnd w:id="135"/>
      <w:bookmarkEnd w:id="136"/>
      <w:bookmarkEnd w:id="137"/>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8.1 本项目不组织。</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8.2 投标人自行考察现场所发生的一切费用及相关风险由投标人自己承担。</w:t>
      </w:r>
    </w:p>
    <w:p>
      <w:pPr>
        <w:pStyle w:val="4"/>
        <w:spacing w:line="360" w:lineRule="auto"/>
        <w:rPr>
          <w:i w:val="0"/>
          <w:color w:val="auto"/>
          <w:highlight w:val="none"/>
          <w:lang w:eastAsia="zh-CN"/>
        </w:rPr>
      </w:pPr>
      <w:bookmarkStart w:id="138" w:name="_Toc18010"/>
      <w:bookmarkStart w:id="139" w:name="_Toc497752216"/>
      <w:bookmarkStart w:id="140" w:name="_Toc511558623"/>
      <w:bookmarkStart w:id="141" w:name="_Toc524910113"/>
      <w:r>
        <w:rPr>
          <w:rFonts w:hint="eastAsia"/>
          <w:i w:val="0"/>
          <w:color w:val="auto"/>
          <w:highlight w:val="none"/>
          <w:lang w:eastAsia="zh-CN"/>
        </w:rPr>
        <w:t>四、投标文件</w:t>
      </w:r>
      <w:bookmarkEnd w:id="138"/>
      <w:bookmarkEnd w:id="139"/>
      <w:bookmarkEnd w:id="140"/>
      <w:bookmarkEnd w:id="141"/>
    </w:p>
    <w:p>
      <w:pPr>
        <w:pStyle w:val="5"/>
        <w:spacing w:line="360" w:lineRule="auto"/>
        <w:rPr>
          <w:rFonts w:ascii="仿宋" w:hAnsi="仿宋"/>
          <w:i w:val="0"/>
          <w:color w:val="auto"/>
          <w:highlight w:val="none"/>
          <w:lang w:eastAsia="zh-CN"/>
        </w:rPr>
      </w:pPr>
      <w:r>
        <w:rPr>
          <w:rFonts w:hint="eastAsia" w:ascii="仿宋" w:hAnsi="仿宋"/>
          <w:i w:val="0"/>
          <w:color w:val="auto"/>
          <w:highlight w:val="none"/>
          <w:lang w:eastAsia="zh-CN"/>
        </w:rPr>
        <w:t>9、投标文件的语言</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则法定代表人的签字和护照除外。）</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9.2 翻译的中文资料与外文资料如果出现差异和矛盾时，以中文为准。但不能故意错误翻译，否则，投标人的投标文件将作为无效投标处理。</w:t>
      </w:r>
    </w:p>
    <w:p>
      <w:pPr>
        <w:pStyle w:val="5"/>
        <w:spacing w:line="360" w:lineRule="auto"/>
        <w:rPr>
          <w:rFonts w:ascii="仿宋" w:hAnsi="仿宋"/>
          <w:i w:val="0"/>
          <w:color w:val="auto"/>
          <w:highlight w:val="none"/>
          <w:lang w:eastAsia="zh-CN"/>
        </w:rPr>
      </w:pPr>
      <w:bookmarkStart w:id="142" w:name="_Toc183682353"/>
      <w:bookmarkStart w:id="143" w:name="_Toc468640367"/>
      <w:bookmarkStart w:id="144" w:name="_Toc468331073"/>
      <w:bookmarkStart w:id="145" w:name="_Toc505762718"/>
      <w:bookmarkStart w:id="146" w:name="_Toc468320441"/>
      <w:bookmarkStart w:id="147" w:name="_Toc511558625"/>
      <w:bookmarkStart w:id="148" w:name="_Toc497752218"/>
      <w:bookmarkStart w:id="149" w:name="_Toc468640272"/>
      <w:bookmarkStart w:id="150" w:name="_Toc395625029"/>
      <w:bookmarkStart w:id="151" w:name="_Toc468654129"/>
      <w:bookmarkStart w:id="152" w:name="_Toc217446044"/>
      <w:bookmarkStart w:id="153" w:name="_Toc183582216"/>
      <w:bookmarkStart w:id="154" w:name="_Toc468346364"/>
      <w:bookmarkStart w:id="155" w:name="_Toc468641488"/>
      <w:r>
        <w:rPr>
          <w:rFonts w:hint="eastAsia" w:ascii="仿宋" w:hAnsi="仿宋"/>
          <w:i w:val="0"/>
          <w:color w:val="auto"/>
          <w:highlight w:val="none"/>
          <w:lang w:eastAsia="zh-CN"/>
        </w:rPr>
        <w:t>10、计量单位</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除技术规格及要求中另有规定外，本次采购项目的投标均采用国家法定的计量单位。</w:t>
      </w:r>
    </w:p>
    <w:p>
      <w:pPr>
        <w:pStyle w:val="5"/>
        <w:rPr>
          <w:rFonts w:ascii="仿宋" w:hAnsi="仿宋"/>
          <w:i w:val="0"/>
          <w:color w:val="auto"/>
          <w:highlight w:val="none"/>
          <w:lang w:eastAsia="zh-CN"/>
        </w:rPr>
      </w:pPr>
      <w:bookmarkStart w:id="156" w:name="_Toc511558626"/>
      <w:bookmarkStart w:id="157" w:name="_Toc468654130"/>
      <w:bookmarkStart w:id="158" w:name="_Toc468640368"/>
      <w:bookmarkStart w:id="159" w:name="_Toc468641489"/>
      <w:bookmarkStart w:id="160" w:name="_Toc468320442"/>
      <w:bookmarkStart w:id="161" w:name="_Toc468640273"/>
      <w:bookmarkStart w:id="162" w:name="_Toc468331074"/>
      <w:bookmarkStart w:id="163" w:name="_Toc505762719"/>
      <w:bookmarkStart w:id="164" w:name="_Toc395625030"/>
      <w:bookmarkStart w:id="165" w:name="_Toc468346365"/>
      <w:bookmarkStart w:id="166" w:name="_Toc497752219"/>
      <w:bookmarkStart w:id="167" w:name="_Toc217446045"/>
      <w:r>
        <w:rPr>
          <w:rFonts w:hint="eastAsia" w:ascii="仿宋" w:hAnsi="仿宋"/>
          <w:i w:val="0"/>
          <w:color w:val="auto"/>
          <w:highlight w:val="none"/>
          <w:lang w:eastAsia="zh-CN"/>
        </w:rPr>
        <w:t>11、投标货币</w:t>
      </w:r>
      <w:bookmarkEnd w:id="156"/>
      <w:bookmarkEnd w:id="157"/>
      <w:bookmarkEnd w:id="158"/>
      <w:bookmarkEnd w:id="159"/>
      <w:bookmarkEnd w:id="160"/>
      <w:bookmarkEnd w:id="161"/>
      <w:bookmarkEnd w:id="162"/>
      <w:bookmarkEnd w:id="163"/>
      <w:bookmarkEnd w:id="164"/>
      <w:bookmarkEnd w:id="165"/>
      <w:bookmarkEnd w:id="166"/>
      <w:bookmarkEnd w:id="167"/>
    </w:p>
    <w:p>
      <w:pPr>
        <w:ind w:firstLine="480" w:firstLineChars="200"/>
        <w:rPr>
          <w:i w:val="0"/>
          <w:color w:val="auto"/>
          <w:highlight w:val="none"/>
          <w:lang w:eastAsia="zh-CN"/>
        </w:rPr>
      </w:pPr>
      <w:r>
        <w:rPr>
          <w:rFonts w:hint="eastAsia" w:ascii="仿宋" w:hAnsi="仿宋" w:eastAsia="仿宋" w:cs="Marigold"/>
          <w:i w:val="0"/>
          <w:color w:val="auto"/>
          <w:sz w:val="24"/>
          <w:szCs w:val="24"/>
          <w:highlight w:val="none"/>
          <w:lang w:eastAsia="zh-CN"/>
        </w:rPr>
        <w:t>本次采购项目的投标均以人民币报价。</w:t>
      </w:r>
    </w:p>
    <w:p>
      <w:pPr>
        <w:pStyle w:val="5"/>
        <w:rPr>
          <w:rFonts w:ascii="仿宋" w:hAnsi="仿宋"/>
          <w:i w:val="0"/>
          <w:color w:val="auto"/>
          <w:highlight w:val="none"/>
          <w:lang w:eastAsia="zh-CN"/>
        </w:rPr>
      </w:pPr>
      <w:r>
        <w:rPr>
          <w:rFonts w:hint="eastAsia" w:ascii="仿宋" w:hAnsi="仿宋"/>
          <w:i w:val="0"/>
          <w:color w:val="auto"/>
          <w:highlight w:val="none"/>
          <w:lang w:eastAsia="zh-CN"/>
        </w:rPr>
        <w:t>12、联合体投标 （本项目不接受联合体投标）</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12.1 两个以上供应商可以组成一个联合体投标，以一个投标人的身份投标。以联合体形式参加投标的，联合体各方均应当符合《中华人民共和国政府采购法》第二十二条第一款规定的条件。采购人根据采购项目的特殊要求规定投标人特定条件的，联合体各方中至少应当有一方符合采购人规定的特定条件。</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12.2 联合体各方之间应当签订联合体投标协议，明确约定联合体各方承担的工作和相应的责任，并将共同联合体投标协议连同投标文件一并提交招标采购单位。</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12.3 联合体应当确定其中一个单位为投标的全权代表，负责参加投标的一切事务，并承担投标及履约中应承担的全部责任与义务。</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12.4 联合体各方应当共同与采购人签订采购合同，就采购合同约定的事项对采购人承担连带责任。</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12.5联合体中有同类资质的供应商按照联合体分工承担相同工作的，应当按照资质等级较低的供应商确定资质等级。</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12.6以联合体形式参加政府采购活动的，联合体各方不得再单独参加或者与其他供应商另外组成联合体参加同一合同项下的政府采购活动。</w:t>
      </w:r>
    </w:p>
    <w:p>
      <w:pPr>
        <w:pStyle w:val="5"/>
        <w:rPr>
          <w:rFonts w:ascii="仿宋" w:hAnsi="仿宋"/>
          <w:i w:val="0"/>
          <w:color w:val="auto"/>
          <w:highlight w:val="none"/>
          <w:lang w:eastAsia="zh-CN"/>
        </w:rPr>
      </w:pPr>
      <w:r>
        <w:rPr>
          <w:rFonts w:hint="eastAsia" w:ascii="仿宋" w:hAnsi="仿宋"/>
          <w:i w:val="0"/>
          <w:color w:val="auto"/>
          <w:highlight w:val="none"/>
          <w:lang w:eastAsia="zh-CN"/>
        </w:rPr>
        <w:t>13、知识产权（实质性要求）</w:t>
      </w:r>
    </w:p>
    <w:p>
      <w:pPr>
        <w:pStyle w:val="56"/>
        <w:rPr>
          <w:rFonts w:ascii="仿宋" w:hAnsi="仿宋" w:eastAsia="仿宋"/>
          <w:i w:val="0"/>
          <w:color w:val="auto"/>
          <w:highlight w:val="none"/>
          <w:lang w:eastAsia="zh-CN"/>
        </w:rPr>
      </w:pPr>
      <w:r>
        <w:rPr>
          <w:rFonts w:ascii="仿宋" w:hAnsi="仿宋" w:eastAsia="仿宋"/>
          <w:i w:val="0"/>
          <w:color w:val="auto"/>
          <w:highlight w:val="none"/>
          <w:lang w:eastAsia="zh-CN"/>
        </w:rPr>
        <w:t>1</w:t>
      </w:r>
      <w:r>
        <w:rPr>
          <w:rFonts w:hint="eastAsia" w:ascii="仿宋" w:hAnsi="仿宋" w:eastAsia="仿宋"/>
          <w:i w:val="0"/>
          <w:color w:val="auto"/>
          <w:highlight w:val="none"/>
          <w:lang w:eastAsia="zh-CN"/>
        </w:rPr>
        <w:t>3</w:t>
      </w:r>
      <w:r>
        <w:rPr>
          <w:rFonts w:ascii="仿宋" w:hAnsi="仿宋" w:eastAsia="仿宋"/>
          <w:i w:val="0"/>
          <w:color w:val="auto"/>
          <w:highlight w:val="none"/>
          <w:lang w:eastAsia="zh-CN"/>
        </w:rPr>
        <w:t>.1</w:t>
      </w:r>
      <w:r>
        <w:rPr>
          <w:rFonts w:hint="eastAsia" w:ascii="仿宋" w:hAnsi="仿宋" w:eastAsia="仿宋"/>
          <w:i w:val="0"/>
          <w:color w:val="auto"/>
          <w:highlight w:val="none"/>
          <w:lang w:eastAsia="zh-CN"/>
        </w:rPr>
        <w:t>投标人应单独承诺保证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56"/>
        <w:rPr>
          <w:rFonts w:ascii="仿宋" w:hAnsi="仿宋" w:eastAsia="仿宋" w:cs="仿宋"/>
          <w:i w:val="0"/>
          <w:color w:val="auto"/>
          <w:highlight w:val="none"/>
          <w:lang w:eastAsia="zh-CN"/>
        </w:rPr>
      </w:pPr>
      <w:r>
        <w:rPr>
          <w:rFonts w:ascii="仿宋" w:hAnsi="仿宋" w:eastAsia="仿宋"/>
          <w:i w:val="0"/>
          <w:color w:val="auto"/>
          <w:highlight w:val="none"/>
          <w:lang w:eastAsia="zh-CN"/>
        </w:rPr>
        <w:t>1</w:t>
      </w:r>
      <w:r>
        <w:rPr>
          <w:rFonts w:hint="eastAsia" w:ascii="仿宋" w:hAnsi="仿宋" w:eastAsia="仿宋"/>
          <w:i w:val="0"/>
          <w:color w:val="auto"/>
          <w:highlight w:val="none"/>
          <w:lang w:eastAsia="zh-CN"/>
        </w:rPr>
        <w:t>3</w:t>
      </w:r>
      <w:r>
        <w:rPr>
          <w:rFonts w:ascii="仿宋" w:hAnsi="仿宋" w:eastAsia="仿宋"/>
          <w:i w:val="0"/>
          <w:color w:val="auto"/>
          <w:highlight w:val="none"/>
          <w:lang w:eastAsia="zh-CN"/>
        </w:rPr>
        <w:t>.2</w:t>
      </w:r>
      <w:r>
        <w:rPr>
          <w:rFonts w:hint="eastAsia" w:ascii="仿宋" w:hAnsi="仿宋" w:eastAsia="仿宋"/>
          <w:i w:val="0"/>
          <w:color w:val="auto"/>
          <w:highlight w:val="none"/>
          <w:lang w:eastAsia="zh-CN"/>
        </w:rPr>
        <w:t>采购人享有本次采购项目实施过程中产生的知识成果及知识产权。</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13.3投标人如欲在在项目实施过程中采用自有或者第三方知识成果的，使用该知识成果后，</w:t>
      </w:r>
      <w:bookmarkStart w:id="168" w:name="_Toc511558629"/>
      <w:bookmarkStart w:id="169" w:name="_Toc468641492"/>
      <w:bookmarkStart w:id="170" w:name="_Toc468346368"/>
      <w:bookmarkStart w:id="171" w:name="_Toc217446048"/>
      <w:bookmarkStart w:id="172" w:name="_Toc505762722"/>
      <w:bookmarkStart w:id="173" w:name="_Toc183682354"/>
      <w:bookmarkStart w:id="174" w:name="_Toc468320445"/>
      <w:bookmarkStart w:id="175" w:name="_Toc468640371"/>
      <w:bookmarkStart w:id="176" w:name="_Toc468654133"/>
      <w:bookmarkStart w:id="177" w:name="_Toc183582217"/>
      <w:bookmarkStart w:id="178" w:name="_Toc395625033"/>
      <w:bookmarkStart w:id="179" w:name="_Toc468640276"/>
      <w:bookmarkStart w:id="180" w:name="_Toc497752222"/>
      <w:bookmarkStart w:id="181" w:name="_Toc468331077"/>
      <w:r>
        <w:rPr>
          <w:rFonts w:hint="eastAsia" w:ascii="仿宋" w:hAnsi="仿宋" w:eastAsia="仿宋"/>
          <w:i w:val="0"/>
          <w:color w:val="auto"/>
          <w:highlight w:val="none"/>
          <w:lang w:eastAsia="zh-CN"/>
        </w:rPr>
        <w:t xml:space="preserve">投标人需提供开发接口和开发手册等技术资料，并承诺提供无限期技术支持，采购人享有永久使用权（含采购人委托第三方在该项目后续开发的使用权），同时需在投标文件中提供声明，并提供相关知识产权证明文件，否则视为投标人未在本项目实施过程中采用自有知识成果，不影响有效性。   </w:t>
      </w:r>
    </w:p>
    <w:p>
      <w:pPr>
        <w:pStyle w:val="56"/>
        <w:rPr>
          <w:rFonts w:ascii="仿宋" w:hAnsi="仿宋" w:eastAsia="仿宋"/>
          <w:i w:val="0"/>
          <w:color w:val="auto"/>
          <w:highlight w:val="none"/>
          <w:lang w:eastAsia="zh-CN"/>
        </w:rPr>
      </w:pPr>
      <w:r>
        <w:rPr>
          <w:rFonts w:ascii="仿宋" w:hAnsi="仿宋" w:eastAsia="仿宋"/>
          <w:i w:val="0"/>
          <w:color w:val="auto"/>
          <w:highlight w:val="none"/>
          <w:lang w:eastAsia="zh-CN"/>
        </w:rPr>
        <w:t>13.</w:t>
      </w:r>
      <w:r>
        <w:rPr>
          <w:rFonts w:hint="eastAsia" w:ascii="仿宋" w:hAnsi="仿宋" w:eastAsia="仿宋"/>
          <w:i w:val="0"/>
          <w:color w:val="auto"/>
          <w:highlight w:val="none"/>
          <w:lang w:eastAsia="zh-CN"/>
        </w:rPr>
        <w:t>4如采用投标人所不拥有的知识产权，则在投标报价中必须包括合法获取该知识产权的相关费用，采购人不再因投标人采用所不拥有的知识产权而另行支付任何费用。</w:t>
      </w:r>
    </w:p>
    <w:p>
      <w:pPr>
        <w:pStyle w:val="5"/>
        <w:rPr>
          <w:rFonts w:ascii="仿宋" w:hAnsi="仿宋"/>
          <w:i w:val="0"/>
          <w:color w:val="auto"/>
          <w:highlight w:val="none"/>
          <w:lang w:eastAsia="zh-CN"/>
        </w:rPr>
      </w:pPr>
      <w:r>
        <w:rPr>
          <w:rFonts w:hint="eastAsia" w:ascii="仿宋" w:hAnsi="仿宋"/>
          <w:i w:val="0"/>
          <w:color w:val="auto"/>
          <w:highlight w:val="none"/>
          <w:lang w:eastAsia="zh-CN"/>
        </w:rPr>
        <w:t>14、投标文件的组成</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投标人应按照招标文件的规定和要求编制投标文件。投标人拟在中标后将中标项目的非主体、非关键性工作交由他人完成的，应当在投标文件中载明。投标人编写的投标文件应包括下列部分：</w:t>
      </w:r>
    </w:p>
    <w:p>
      <w:pPr>
        <w:pStyle w:val="56"/>
        <w:ind w:firstLine="472" w:firstLineChars="196"/>
        <w:rPr>
          <w:rFonts w:ascii="仿宋" w:hAnsi="仿宋" w:eastAsia="仿宋" w:cs="Marigold"/>
          <w:b/>
          <w:i w:val="0"/>
          <w:color w:val="auto"/>
          <w:szCs w:val="24"/>
          <w:highlight w:val="none"/>
          <w:lang w:eastAsia="zh-CN"/>
        </w:rPr>
      </w:pPr>
      <w:r>
        <w:rPr>
          <w:rFonts w:hint="eastAsia" w:ascii="仿宋" w:hAnsi="仿宋" w:eastAsia="仿宋" w:cs="Marigold"/>
          <w:b/>
          <w:i w:val="0"/>
          <w:color w:val="auto"/>
          <w:szCs w:val="24"/>
          <w:highlight w:val="none"/>
          <w:lang w:eastAsia="zh-CN"/>
        </w:rPr>
        <w:t>14.1 第</w:t>
      </w:r>
      <w:r>
        <w:rPr>
          <w:rFonts w:ascii="仿宋" w:hAnsi="仿宋" w:eastAsia="仿宋" w:cs="Marigold"/>
          <w:b/>
          <w:i w:val="0"/>
          <w:color w:val="auto"/>
          <w:szCs w:val="24"/>
          <w:highlight w:val="none"/>
          <w:lang w:eastAsia="zh-CN"/>
        </w:rPr>
        <w:t>一册</w:t>
      </w:r>
      <w:r>
        <w:rPr>
          <w:rFonts w:hint="eastAsia" w:ascii="仿宋" w:hAnsi="仿宋" w:eastAsia="仿宋" w:cs="Marigold"/>
          <w:b/>
          <w:i w:val="0"/>
          <w:color w:val="auto"/>
          <w:szCs w:val="24"/>
          <w:highlight w:val="none"/>
          <w:lang w:eastAsia="zh-CN"/>
        </w:rPr>
        <w:t>：资格证明文件</w:t>
      </w:r>
    </w:p>
    <w:p>
      <w:pPr>
        <w:pStyle w:val="56"/>
        <w:rPr>
          <w:rFonts w:ascii="仿宋" w:hAnsi="仿宋" w:eastAsia="仿宋" w:cs="Marigold"/>
          <w:i w:val="0"/>
          <w:color w:val="auto"/>
          <w:szCs w:val="24"/>
          <w:highlight w:val="none"/>
          <w:lang w:eastAsia="zh-CN"/>
        </w:rPr>
      </w:pPr>
      <w:r>
        <w:rPr>
          <w:rFonts w:hint="eastAsia" w:ascii="仿宋" w:hAnsi="仿宋" w:eastAsia="仿宋" w:cs="Marigold"/>
          <w:i w:val="0"/>
          <w:color w:val="auto"/>
          <w:szCs w:val="24"/>
          <w:highlight w:val="none"/>
          <w:lang w:eastAsia="zh-CN"/>
        </w:rPr>
        <w:t>投</w:t>
      </w:r>
      <w:r>
        <w:rPr>
          <w:rFonts w:ascii="仿宋" w:hAnsi="仿宋" w:eastAsia="仿宋" w:cs="Marigold"/>
          <w:i w:val="0"/>
          <w:color w:val="auto"/>
          <w:szCs w:val="24"/>
          <w:highlight w:val="none"/>
          <w:lang w:eastAsia="zh-CN"/>
        </w:rPr>
        <w:t>标人</w:t>
      </w:r>
      <w:r>
        <w:rPr>
          <w:rFonts w:hint="eastAsia" w:ascii="仿宋" w:hAnsi="仿宋" w:eastAsia="仿宋" w:cs="Marigold"/>
          <w:i w:val="0"/>
          <w:color w:val="auto"/>
          <w:szCs w:val="24"/>
          <w:highlight w:val="none"/>
          <w:lang w:eastAsia="zh-CN"/>
        </w:rPr>
        <w:t>应提交</w:t>
      </w:r>
      <w:r>
        <w:rPr>
          <w:rFonts w:ascii="仿宋" w:hAnsi="仿宋" w:eastAsia="仿宋" w:cs="Marigold"/>
          <w:i w:val="0"/>
          <w:color w:val="auto"/>
          <w:szCs w:val="24"/>
          <w:highlight w:val="none"/>
          <w:lang w:eastAsia="zh-CN"/>
        </w:rPr>
        <w:t>证明文件</w:t>
      </w:r>
      <w:r>
        <w:rPr>
          <w:rFonts w:hint="eastAsia" w:ascii="仿宋" w:hAnsi="仿宋" w:eastAsia="仿宋" w:cs="Marigold"/>
          <w:i w:val="0"/>
          <w:color w:val="auto"/>
          <w:szCs w:val="24"/>
          <w:highlight w:val="none"/>
          <w:lang w:eastAsia="zh-CN"/>
        </w:rPr>
        <w:t>，证明投</w:t>
      </w:r>
      <w:r>
        <w:rPr>
          <w:rFonts w:ascii="仿宋" w:hAnsi="仿宋" w:eastAsia="仿宋" w:cs="Marigold"/>
          <w:i w:val="0"/>
          <w:color w:val="auto"/>
          <w:szCs w:val="24"/>
          <w:highlight w:val="none"/>
          <w:lang w:eastAsia="zh-CN"/>
        </w:rPr>
        <w:t>标人资格符合</w:t>
      </w:r>
      <w:r>
        <w:rPr>
          <w:rFonts w:hint="eastAsia" w:ascii="仿宋" w:hAnsi="仿宋" w:eastAsia="仿宋" w:cs="Marigold"/>
          <w:i w:val="0"/>
          <w:color w:val="auto"/>
          <w:szCs w:val="24"/>
          <w:highlight w:val="none"/>
          <w:lang w:eastAsia="zh-CN"/>
        </w:rPr>
        <w:t>本章</w:t>
      </w:r>
      <w:r>
        <w:rPr>
          <w:rFonts w:ascii="仿宋" w:hAnsi="仿宋" w:eastAsia="仿宋" w:cs="Marigold"/>
          <w:i w:val="0"/>
          <w:color w:val="auto"/>
          <w:szCs w:val="24"/>
          <w:highlight w:val="none"/>
          <w:lang w:eastAsia="zh-CN"/>
        </w:rPr>
        <w:t>第</w:t>
      </w:r>
      <w:r>
        <w:rPr>
          <w:rFonts w:hint="eastAsia" w:ascii="仿宋" w:hAnsi="仿宋" w:eastAsia="仿宋" w:cs="Marigold"/>
          <w:i w:val="0"/>
          <w:color w:val="auto"/>
          <w:szCs w:val="24"/>
          <w:highlight w:val="none"/>
          <w:lang w:eastAsia="zh-CN"/>
        </w:rPr>
        <w:t>3条</w:t>
      </w:r>
      <w:r>
        <w:rPr>
          <w:rFonts w:ascii="仿宋" w:hAnsi="仿宋" w:eastAsia="仿宋" w:cs="Marigold"/>
          <w:i w:val="0"/>
          <w:color w:val="auto"/>
          <w:szCs w:val="24"/>
          <w:highlight w:val="none"/>
          <w:lang w:eastAsia="zh-CN"/>
        </w:rPr>
        <w:t>及第</w:t>
      </w:r>
      <w:r>
        <w:rPr>
          <w:rFonts w:hint="eastAsia" w:ascii="仿宋" w:hAnsi="仿宋" w:eastAsia="仿宋" w:cs="Marigold"/>
          <w:i w:val="0"/>
          <w:color w:val="auto"/>
          <w:szCs w:val="24"/>
          <w:highlight w:val="none"/>
          <w:lang w:eastAsia="zh-CN"/>
        </w:rPr>
        <w:t>三</w:t>
      </w:r>
      <w:r>
        <w:rPr>
          <w:rFonts w:ascii="仿宋" w:hAnsi="仿宋" w:eastAsia="仿宋" w:cs="Marigold"/>
          <w:i w:val="0"/>
          <w:color w:val="auto"/>
          <w:szCs w:val="24"/>
          <w:highlight w:val="none"/>
          <w:lang w:eastAsia="zh-CN"/>
        </w:rPr>
        <w:t>章、第</w:t>
      </w:r>
      <w:r>
        <w:rPr>
          <w:rFonts w:hint="eastAsia" w:ascii="仿宋" w:hAnsi="仿宋" w:eastAsia="仿宋" w:cs="Marigold"/>
          <w:i w:val="0"/>
          <w:color w:val="auto"/>
          <w:szCs w:val="24"/>
          <w:highlight w:val="none"/>
          <w:lang w:eastAsia="zh-CN"/>
        </w:rPr>
        <w:t>四</w:t>
      </w:r>
      <w:r>
        <w:rPr>
          <w:rFonts w:ascii="仿宋" w:hAnsi="仿宋" w:eastAsia="仿宋" w:cs="Marigold"/>
          <w:i w:val="0"/>
          <w:color w:val="auto"/>
          <w:szCs w:val="24"/>
          <w:highlight w:val="none"/>
          <w:lang w:eastAsia="zh-CN"/>
        </w:rPr>
        <w:t>章、第五章</w:t>
      </w:r>
      <w:r>
        <w:rPr>
          <w:rFonts w:hint="eastAsia" w:ascii="仿宋" w:hAnsi="仿宋" w:eastAsia="仿宋" w:cs="Marigold"/>
          <w:i w:val="0"/>
          <w:color w:val="auto"/>
          <w:szCs w:val="24"/>
          <w:highlight w:val="none"/>
          <w:lang w:eastAsia="zh-CN"/>
        </w:rPr>
        <w:t>的</w:t>
      </w:r>
      <w:r>
        <w:rPr>
          <w:rFonts w:ascii="仿宋" w:hAnsi="仿宋" w:eastAsia="仿宋" w:cs="Marigold"/>
          <w:i w:val="0"/>
          <w:color w:val="auto"/>
          <w:szCs w:val="24"/>
          <w:highlight w:val="none"/>
          <w:lang w:eastAsia="zh-CN"/>
        </w:rPr>
        <w:t>各项</w:t>
      </w:r>
      <w:r>
        <w:rPr>
          <w:rFonts w:hint="eastAsia" w:ascii="仿宋" w:hAnsi="仿宋" w:eastAsia="仿宋" w:cs="Marigold"/>
          <w:i w:val="0"/>
          <w:color w:val="auto"/>
          <w:szCs w:val="24"/>
          <w:highlight w:val="none"/>
          <w:lang w:eastAsia="zh-CN"/>
        </w:rPr>
        <w:t>要求。</w:t>
      </w:r>
      <w:r>
        <w:rPr>
          <w:rFonts w:ascii="仿宋" w:hAnsi="仿宋" w:eastAsia="仿宋" w:cs="Marigold"/>
          <w:i w:val="0"/>
          <w:color w:val="auto"/>
          <w:szCs w:val="24"/>
          <w:highlight w:val="none"/>
          <w:lang w:eastAsia="zh-CN"/>
        </w:rPr>
        <w:t>该</w:t>
      </w:r>
      <w:r>
        <w:rPr>
          <w:rFonts w:hint="eastAsia" w:ascii="仿宋" w:hAnsi="仿宋" w:eastAsia="仿宋" w:cs="Marigold"/>
          <w:i w:val="0"/>
          <w:color w:val="auto"/>
          <w:szCs w:val="24"/>
          <w:highlight w:val="none"/>
          <w:lang w:eastAsia="zh-CN"/>
        </w:rPr>
        <w:t>证明</w:t>
      </w:r>
      <w:r>
        <w:rPr>
          <w:rFonts w:ascii="仿宋" w:hAnsi="仿宋" w:eastAsia="仿宋" w:cs="Marigold"/>
          <w:i w:val="0"/>
          <w:color w:val="auto"/>
          <w:szCs w:val="24"/>
          <w:highlight w:val="none"/>
          <w:lang w:eastAsia="zh-CN"/>
        </w:rPr>
        <w:t>文件作为投标文件的一部分。</w:t>
      </w:r>
    </w:p>
    <w:p>
      <w:pPr>
        <w:pStyle w:val="56"/>
        <w:ind w:firstLine="472" w:firstLineChars="196"/>
        <w:rPr>
          <w:rFonts w:ascii="仿宋" w:hAnsi="仿宋" w:eastAsia="仿宋" w:cs="Marigold"/>
          <w:b/>
          <w:i w:val="0"/>
          <w:color w:val="auto"/>
          <w:szCs w:val="24"/>
          <w:highlight w:val="none"/>
          <w:lang w:eastAsia="zh-CN"/>
        </w:rPr>
      </w:pPr>
      <w:r>
        <w:rPr>
          <w:rFonts w:hint="eastAsia" w:ascii="仿宋" w:hAnsi="仿宋" w:eastAsia="仿宋" w:cs="Marigold"/>
          <w:b/>
          <w:i w:val="0"/>
          <w:color w:val="auto"/>
          <w:szCs w:val="24"/>
          <w:highlight w:val="none"/>
          <w:lang w:eastAsia="zh-CN"/>
        </w:rPr>
        <w:t>14.</w:t>
      </w:r>
      <w:r>
        <w:rPr>
          <w:rFonts w:ascii="仿宋" w:hAnsi="仿宋" w:eastAsia="仿宋" w:cs="Marigold"/>
          <w:b/>
          <w:i w:val="0"/>
          <w:color w:val="auto"/>
          <w:szCs w:val="24"/>
          <w:highlight w:val="none"/>
          <w:lang w:eastAsia="zh-CN"/>
        </w:rPr>
        <w:t xml:space="preserve">2 </w:t>
      </w:r>
      <w:r>
        <w:rPr>
          <w:rFonts w:hint="eastAsia" w:ascii="仿宋" w:hAnsi="仿宋" w:eastAsia="仿宋" w:cs="Marigold"/>
          <w:b/>
          <w:i w:val="0"/>
          <w:color w:val="auto"/>
          <w:szCs w:val="24"/>
          <w:highlight w:val="none"/>
          <w:lang w:eastAsia="zh-CN"/>
        </w:rPr>
        <w:t>第</w:t>
      </w:r>
      <w:r>
        <w:rPr>
          <w:rFonts w:ascii="仿宋" w:hAnsi="仿宋" w:eastAsia="仿宋" w:cs="Marigold"/>
          <w:b/>
          <w:i w:val="0"/>
          <w:color w:val="auto"/>
          <w:szCs w:val="24"/>
          <w:highlight w:val="none"/>
          <w:lang w:eastAsia="zh-CN"/>
        </w:rPr>
        <w:t>二册：技术和</w:t>
      </w:r>
      <w:r>
        <w:rPr>
          <w:rFonts w:hint="eastAsia" w:ascii="仿宋" w:hAnsi="仿宋" w:eastAsia="仿宋" w:cs="Marigold"/>
          <w:b/>
          <w:i w:val="0"/>
          <w:color w:val="auto"/>
          <w:szCs w:val="24"/>
          <w:highlight w:val="none"/>
          <w:lang w:eastAsia="zh-CN"/>
        </w:rPr>
        <w:t>商务</w:t>
      </w:r>
      <w:r>
        <w:rPr>
          <w:rFonts w:ascii="仿宋" w:hAnsi="仿宋" w:eastAsia="仿宋" w:cs="Marigold"/>
          <w:b/>
          <w:i w:val="0"/>
          <w:color w:val="auto"/>
          <w:szCs w:val="24"/>
          <w:highlight w:val="none"/>
          <w:lang w:eastAsia="zh-CN"/>
        </w:rPr>
        <w:t>文件</w:t>
      </w:r>
    </w:p>
    <w:p>
      <w:pPr>
        <w:pStyle w:val="56"/>
        <w:ind w:firstLine="482"/>
        <w:rPr>
          <w:rFonts w:ascii="仿宋" w:hAnsi="仿宋" w:eastAsia="仿宋" w:cs="Marigold"/>
          <w:i w:val="0"/>
          <w:color w:val="auto"/>
          <w:szCs w:val="24"/>
          <w:highlight w:val="none"/>
          <w:lang w:eastAsia="zh-CN"/>
        </w:rPr>
      </w:pPr>
      <w:r>
        <w:rPr>
          <w:rFonts w:hint="eastAsia" w:ascii="仿宋" w:hAnsi="仿宋" w:eastAsia="仿宋" w:cs="Marigold"/>
          <w:b/>
          <w:i w:val="0"/>
          <w:color w:val="auto"/>
          <w:szCs w:val="24"/>
          <w:highlight w:val="none"/>
          <w:lang w:eastAsia="zh-CN"/>
        </w:rPr>
        <w:t>14.2.1 报价部分。</w:t>
      </w:r>
      <w:r>
        <w:rPr>
          <w:rFonts w:hint="eastAsia" w:ascii="仿宋" w:hAnsi="仿宋" w:eastAsia="仿宋" w:cs="Marigold"/>
          <w:bCs/>
          <w:i w:val="0"/>
          <w:color w:val="auto"/>
          <w:szCs w:val="24"/>
          <w:highlight w:val="none"/>
          <w:lang w:eastAsia="zh-CN"/>
        </w:rPr>
        <w:t>投标人</w:t>
      </w:r>
      <w:r>
        <w:rPr>
          <w:rFonts w:hint="eastAsia" w:ascii="仿宋" w:hAnsi="仿宋" w:eastAsia="仿宋" w:cs="Marigold"/>
          <w:i w:val="0"/>
          <w:color w:val="auto"/>
          <w:szCs w:val="24"/>
          <w:highlight w:val="none"/>
          <w:lang w:eastAsia="zh-CN"/>
        </w:rPr>
        <w:t>按照招标文件要求填写的“开标一览表”及“分项报价表”。</w:t>
      </w:r>
    </w:p>
    <w:p>
      <w:pPr>
        <w:pStyle w:val="56"/>
        <w:rPr>
          <w:rFonts w:ascii="仿宋" w:hAnsi="仿宋" w:eastAsia="仿宋" w:cs="Marigold"/>
          <w:b/>
          <w:i w:val="0"/>
          <w:color w:val="auto"/>
          <w:szCs w:val="24"/>
          <w:highlight w:val="none"/>
          <w:lang w:eastAsia="zh-CN"/>
        </w:rPr>
      </w:pPr>
      <w:r>
        <w:rPr>
          <w:rFonts w:hint="eastAsia" w:ascii="仿宋" w:hAnsi="仿宋" w:eastAsia="仿宋" w:cs="Marigold"/>
          <w:i w:val="0"/>
          <w:color w:val="auto"/>
          <w:szCs w:val="24"/>
          <w:highlight w:val="none"/>
          <w:lang w:eastAsia="zh-CN"/>
        </w:rPr>
        <w:t>本次招标报价要求：</w:t>
      </w:r>
    </w:p>
    <w:p>
      <w:pPr>
        <w:pStyle w:val="56"/>
        <w:rPr>
          <w:rFonts w:ascii="仿宋" w:hAnsi="仿宋" w:eastAsia="仿宋" w:cs="Marigold"/>
          <w:b/>
          <w:i w:val="0"/>
          <w:color w:val="auto"/>
          <w:szCs w:val="24"/>
          <w:highlight w:val="none"/>
          <w:lang w:eastAsia="zh-CN"/>
        </w:rPr>
      </w:pPr>
      <w:r>
        <w:rPr>
          <w:rFonts w:hint="eastAsia" w:ascii="仿宋" w:hAnsi="仿宋" w:eastAsia="仿宋" w:cs="Marigold"/>
          <w:i w:val="0"/>
          <w:color w:val="auto"/>
          <w:szCs w:val="24"/>
          <w:highlight w:val="none"/>
          <w:lang w:eastAsia="zh-CN"/>
        </w:rPr>
        <w:t>（1）投标人的报价是投标人响应招标项目要求的全部工作内容的价格体现，包括投标人完成本次采购项目所需的一切费用。</w:t>
      </w:r>
    </w:p>
    <w:p>
      <w:pPr>
        <w:pStyle w:val="56"/>
        <w:rPr>
          <w:rFonts w:ascii="仿宋" w:hAnsi="仿宋" w:eastAsia="仿宋" w:cs="Marigold"/>
          <w:i w:val="0"/>
          <w:color w:val="auto"/>
          <w:szCs w:val="24"/>
          <w:highlight w:val="none"/>
          <w:lang w:eastAsia="zh-CN"/>
        </w:rPr>
      </w:pPr>
      <w:r>
        <w:rPr>
          <w:rFonts w:hint="eastAsia" w:ascii="仿宋" w:hAnsi="仿宋" w:eastAsia="仿宋" w:cs="Marigold"/>
          <w:i w:val="0"/>
          <w:color w:val="auto"/>
          <w:szCs w:val="24"/>
          <w:highlight w:val="none"/>
          <w:lang w:eastAsia="zh-CN"/>
        </w:rPr>
        <w:t>（2）投标人每</w:t>
      </w:r>
      <w:r>
        <w:rPr>
          <w:rFonts w:ascii="仿宋" w:hAnsi="仿宋" w:eastAsia="仿宋" w:cs="Marigold"/>
          <w:i w:val="0"/>
          <w:color w:val="auto"/>
          <w:szCs w:val="24"/>
          <w:highlight w:val="none"/>
          <w:lang w:eastAsia="zh-CN"/>
        </w:rPr>
        <w:t>种</w:t>
      </w:r>
      <w:r>
        <w:rPr>
          <w:rFonts w:hint="eastAsia" w:ascii="仿宋" w:hAnsi="仿宋" w:eastAsia="仿宋" w:cs="Marigold"/>
          <w:i w:val="0"/>
          <w:color w:val="auto"/>
          <w:szCs w:val="24"/>
          <w:highlight w:val="none"/>
          <w:lang w:eastAsia="zh-CN"/>
        </w:rPr>
        <w:t>服务</w:t>
      </w:r>
      <w:r>
        <w:rPr>
          <w:rFonts w:ascii="仿宋" w:hAnsi="仿宋" w:eastAsia="仿宋" w:cs="Marigold"/>
          <w:i w:val="0"/>
          <w:color w:val="auto"/>
          <w:szCs w:val="24"/>
          <w:highlight w:val="none"/>
          <w:lang w:eastAsia="zh-CN"/>
        </w:rPr>
        <w:t>只允许有一个报</w:t>
      </w:r>
      <w:r>
        <w:rPr>
          <w:rFonts w:hint="eastAsia" w:ascii="仿宋" w:hAnsi="仿宋" w:eastAsia="仿宋" w:cs="Marigold"/>
          <w:i w:val="0"/>
          <w:color w:val="auto"/>
          <w:szCs w:val="24"/>
          <w:highlight w:val="none"/>
          <w:lang w:eastAsia="zh-CN"/>
        </w:rPr>
        <w:t>价</w:t>
      </w:r>
      <w:r>
        <w:rPr>
          <w:rFonts w:ascii="仿宋" w:hAnsi="仿宋" w:eastAsia="仿宋" w:cs="Marigold"/>
          <w:i w:val="0"/>
          <w:color w:val="auto"/>
          <w:szCs w:val="24"/>
          <w:highlight w:val="none"/>
          <w:lang w:eastAsia="zh-CN"/>
        </w:rPr>
        <w:t>，</w:t>
      </w:r>
      <w:r>
        <w:rPr>
          <w:rFonts w:hint="eastAsia" w:ascii="仿宋" w:hAnsi="仿宋" w:eastAsia="仿宋" w:cs="Marigold"/>
          <w:i w:val="0"/>
          <w:color w:val="auto"/>
          <w:szCs w:val="24"/>
          <w:highlight w:val="none"/>
          <w:lang w:eastAsia="zh-CN"/>
        </w:rPr>
        <w:t>并且</w:t>
      </w:r>
      <w:r>
        <w:rPr>
          <w:rFonts w:ascii="仿宋" w:hAnsi="仿宋" w:eastAsia="仿宋" w:cs="Marigold"/>
          <w:i w:val="0"/>
          <w:color w:val="auto"/>
          <w:szCs w:val="24"/>
          <w:highlight w:val="none"/>
          <w:lang w:eastAsia="zh-CN"/>
        </w:rPr>
        <w:t>在合同履行过</w:t>
      </w:r>
      <w:r>
        <w:rPr>
          <w:rFonts w:hint="eastAsia" w:ascii="仿宋" w:hAnsi="仿宋" w:eastAsia="仿宋" w:cs="Marigold"/>
          <w:i w:val="0"/>
          <w:color w:val="auto"/>
          <w:szCs w:val="24"/>
          <w:highlight w:val="none"/>
          <w:lang w:eastAsia="zh-CN"/>
        </w:rPr>
        <w:t>程</w:t>
      </w:r>
      <w:r>
        <w:rPr>
          <w:rFonts w:ascii="仿宋" w:hAnsi="仿宋" w:eastAsia="仿宋" w:cs="Marigold"/>
          <w:i w:val="0"/>
          <w:color w:val="auto"/>
          <w:szCs w:val="24"/>
          <w:highlight w:val="none"/>
          <w:lang w:eastAsia="zh-CN"/>
        </w:rPr>
        <w:t>中是固定不变的，任何有选择</w:t>
      </w:r>
      <w:r>
        <w:rPr>
          <w:rFonts w:hint="eastAsia" w:ascii="仿宋" w:hAnsi="仿宋" w:eastAsia="仿宋" w:cs="Marigold"/>
          <w:i w:val="0"/>
          <w:color w:val="auto"/>
          <w:szCs w:val="24"/>
          <w:highlight w:val="none"/>
          <w:lang w:eastAsia="zh-CN"/>
        </w:rPr>
        <w:t>或</w:t>
      </w:r>
      <w:r>
        <w:rPr>
          <w:rFonts w:ascii="仿宋" w:hAnsi="仿宋" w:eastAsia="仿宋" w:cs="Marigold"/>
          <w:i w:val="0"/>
          <w:color w:val="auto"/>
          <w:szCs w:val="24"/>
          <w:highlight w:val="none"/>
          <w:lang w:eastAsia="zh-CN"/>
        </w:rPr>
        <w:t>可调整的报价将不予接受，并按无效投标处理</w:t>
      </w:r>
      <w:r>
        <w:rPr>
          <w:rFonts w:hint="eastAsia" w:ascii="仿宋" w:hAnsi="仿宋" w:eastAsia="仿宋" w:cs="Marigold"/>
          <w:i w:val="0"/>
          <w:color w:val="auto"/>
          <w:szCs w:val="24"/>
          <w:highlight w:val="none"/>
          <w:lang w:eastAsia="zh-CN"/>
        </w:rPr>
        <w:t>。</w:t>
      </w:r>
    </w:p>
    <w:p>
      <w:pPr>
        <w:pStyle w:val="56"/>
        <w:rPr>
          <w:rFonts w:ascii="仿宋" w:hAnsi="仿宋" w:eastAsia="仿宋" w:cs="仿宋"/>
          <w:i w:val="0"/>
          <w:color w:val="auto"/>
          <w:szCs w:val="24"/>
          <w:highlight w:val="none"/>
          <w:lang w:eastAsia="zh-CN" w:bidi="ar-SA"/>
        </w:rPr>
      </w:pPr>
      <w:r>
        <w:rPr>
          <w:rFonts w:hint="eastAsia" w:ascii="仿宋" w:hAnsi="仿宋" w:eastAsia="仿宋" w:cs="Marigold"/>
          <w:i w:val="0"/>
          <w:color w:val="auto"/>
          <w:szCs w:val="24"/>
          <w:highlight w:val="none"/>
          <w:lang w:eastAsia="zh-CN" w:bidi="ar-SA"/>
        </w:rPr>
        <w:t>（3</w:t>
      </w:r>
      <w:r>
        <w:rPr>
          <w:rFonts w:ascii="仿宋" w:hAnsi="仿宋" w:eastAsia="仿宋" w:cs="Marigold"/>
          <w:i w:val="0"/>
          <w:color w:val="auto"/>
          <w:szCs w:val="24"/>
          <w:highlight w:val="none"/>
          <w:lang w:eastAsia="zh-CN" w:bidi="ar-SA"/>
        </w:rPr>
        <w:t>）</w:t>
      </w:r>
      <w:r>
        <w:rPr>
          <w:rFonts w:hint="eastAsia" w:ascii="仿宋" w:hAnsi="仿宋" w:eastAsia="仿宋" w:cs="仿宋"/>
          <w:i w:val="0"/>
          <w:color w:val="auto"/>
          <w:szCs w:val="24"/>
          <w:highlight w:val="none"/>
          <w:lang w:eastAsia="zh-CN" w:bidi="ar-SA"/>
        </w:rPr>
        <w:t>投标人估算错误或漏项的风险一律由投标人承担。如果任何项目没有标明报价，将被视为投标人不再收取采购人任何额外费用或是该项费用已计算在另外的项目之中。</w:t>
      </w:r>
    </w:p>
    <w:p>
      <w:pPr>
        <w:pStyle w:val="56"/>
        <w:ind w:firstLine="482"/>
        <w:rPr>
          <w:rFonts w:ascii="仿宋" w:hAnsi="仿宋" w:eastAsia="仿宋" w:cs="Marigold"/>
          <w:i w:val="0"/>
          <w:color w:val="auto"/>
          <w:szCs w:val="24"/>
          <w:highlight w:val="none"/>
          <w:lang w:eastAsia="zh-CN"/>
        </w:rPr>
      </w:pPr>
      <w:r>
        <w:rPr>
          <w:rFonts w:hint="eastAsia" w:ascii="仿宋" w:hAnsi="仿宋" w:eastAsia="仿宋" w:cs="Marigold"/>
          <w:b/>
          <w:bCs/>
          <w:i w:val="0"/>
          <w:color w:val="auto"/>
          <w:szCs w:val="24"/>
          <w:highlight w:val="none"/>
          <w:lang w:eastAsia="zh-CN"/>
        </w:rPr>
        <w:t xml:space="preserve">14.2 </w:t>
      </w:r>
      <w:r>
        <w:rPr>
          <w:rFonts w:ascii="仿宋" w:hAnsi="仿宋" w:eastAsia="仿宋" w:cs="Marigold"/>
          <w:b/>
          <w:bCs/>
          <w:i w:val="0"/>
          <w:color w:val="auto"/>
          <w:szCs w:val="24"/>
          <w:highlight w:val="none"/>
          <w:lang w:eastAsia="zh-CN"/>
        </w:rPr>
        <w:t>.2</w:t>
      </w:r>
      <w:r>
        <w:rPr>
          <w:rFonts w:hint="eastAsia" w:ascii="仿宋" w:hAnsi="仿宋" w:eastAsia="仿宋" w:cs="Marigold"/>
          <w:b/>
          <w:bCs/>
          <w:i w:val="0"/>
          <w:color w:val="auto"/>
          <w:szCs w:val="24"/>
          <w:highlight w:val="none"/>
          <w:lang w:eastAsia="zh-CN"/>
        </w:rPr>
        <w:t>技术及商务部分。</w:t>
      </w:r>
      <w:r>
        <w:rPr>
          <w:rFonts w:hint="eastAsia" w:ascii="仿宋" w:hAnsi="仿宋" w:eastAsia="仿宋" w:cs="Marigold"/>
          <w:bCs/>
          <w:i w:val="0"/>
          <w:color w:val="auto"/>
          <w:szCs w:val="24"/>
          <w:highlight w:val="none"/>
          <w:lang w:eastAsia="zh-CN"/>
        </w:rPr>
        <w:t>投标人</w:t>
      </w:r>
      <w:r>
        <w:rPr>
          <w:rFonts w:hint="eastAsia" w:ascii="仿宋" w:hAnsi="仿宋" w:eastAsia="仿宋" w:cs="Marigold"/>
          <w:i w:val="0"/>
          <w:color w:val="auto"/>
          <w:szCs w:val="24"/>
          <w:highlight w:val="none"/>
          <w:lang w:eastAsia="zh-CN"/>
        </w:rPr>
        <w:t>按照招标文件要求做出的技术/服务应答，主要是针对采购项目的技术指标、参数和技术要求（包括但</w:t>
      </w:r>
      <w:r>
        <w:rPr>
          <w:rFonts w:ascii="仿宋" w:hAnsi="仿宋" w:eastAsia="仿宋" w:cs="Marigold"/>
          <w:i w:val="0"/>
          <w:color w:val="auto"/>
          <w:szCs w:val="24"/>
          <w:highlight w:val="none"/>
          <w:lang w:eastAsia="zh-CN"/>
        </w:rPr>
        <w:t>不限于</w:t>
      </w:r>
      <w:r>
        <w:rPr>
          <w:rFonts w:hint="eastAsia" w:ascii="仿宋" w:hAnsi="仿宋" w:eastAsia="仿宋" w:cs="Marigold"/>
          <w:i w:val="0"/>
          <w:color w:val="auto"/>
          <w:szCs w:val="24"/>
          <w:highlight w:val="none"/>
          <w:lang w:eastAsia="zh-CN"/>
        </w:rPr>
        <w:t>服务</w:t>
      </w:r>
      <w:r>
        <w:rPr>
          <w:rFonts w:ascii="仿宋" w:hAnsi="仿宋" w:eastAsia="仿宋" w:cs="Marigold"/>
          <w:i w:val="0"/>
          <w:color w:val="auto"/>
          <w:szCs w:val="24"/>
          <w:highlight w:val="none"/>
          <w:lang w:eastAsia="zh-CN"/>
        </w:rPr>
        <w:t>内容、服务</w:t>
      </w:r>
      <w:r>
        <w:rPr>
          <w:rFonts w:hint="eastAsia" w:ascii="仿宋" w:hAnsi="仿宋" w:eastAsia="仿宋" w:cs="Marigold"/>
          <w:i w:val="0"/>
          <w:color w:val="auto"/>
          <w:szCs w:val="24"/>
          <w:highlight w:val="none"/>
          <w:lang w:eastAsia="zh-CN"/>
        </w:rPr>
        <w:t>标准、效率</w:t>
      </w:r>
      <w:r>
        <w:rPr>
          <w:rFonts w:ascii="仿宋" w:hAnsi="仿宋" w:eastAsia="仿宋" w:cs="Marigold"/>
          <w:i w:val="0"/>
          <w:color w:val="auto"/>
          <w:szCs w:val="24"/>
          <w:highlight w:val="none"/>
          <w:lang w:eastAsia="zh-CN"/>
        </w:rPr>
        <w:t>及要求</w:t>
      </w:r>
      <w:r>
        <w:rPr>
          <w:rFonts w:hint="eastAsia" w:ascii="仿宋" w:hAnsi="仿宋" w:eastAsia="仿宋" w:cs="Marigold"/>
          <w:i w:val="0"/>
          <w:color w:val="auto"/>
          <w:szCs w:val="24"/>
          <w:highlight w:val="none"/>
          <w:lang w:eastAsia="zh-CN"/>
        </w:rPr>
        <w:t>）做出的实质性响应和满足。</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投标人按照招标文件要求提供的有关文件的商务部分应包括以下内容：</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bookmarkStart w:id="182" w:name="_Toc468331078"/>
      <w:bookmarkStart w:id="183" w:name="_Toc217446049"/>
      <w:bookmarkStart w:id="184" w:name="_Toc468320446"/>
      <w:bookmarkStart w:id="185" w:name="_Toc497752223"/>
      <w:bookmarkStart w:id="186" w:name="_Toc468640277"/>
      <w:bookmarkStart w:id="187" w:name="_Toc505762723"/>
      <w:bookmarkStart w:id="188" w:name="_Toc183582218"/>
      <w:bookmarkStart w:id="189" w:name="_Toc468641493"/>
      <w:bookmarkStart w:id="190" w:name="_Toc183682355"/>
      <w:bookmarkStart w:id="191" w:name="_Toc468640372"/>
      <w:bookmarkStart w:id="192" w:name="_Toc468654134"/>
      <w:bookmarkStart w:id="193" w:name="_Toc395625034"/>
      <w:bookmarkStart w:id="194" w:name="_Toc468346369"/>
      <w:bookmarkStart w:id="195" w:name="_Toc511558630"/>
      <w:r>
        <w:rPr>
          <w:rFonts w:hint="eastAsia" w:ascii="仿宋" w:hAnsi="仿宋" w:eastAsia="仿宋" w:cs="Marigold"/>
          <w:i w:val="0"/>
          <w:color w:val="auto"/>
          <w:sz w:val="24"/>
          <w:szCs w:val="24"/>
          <w:highlight w:val="none"/>
          <w:lang w:eastAsia="zh-CN"/>
        </w:rPr>
        <w:t>（1）投标函；</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（2）开标一览表；</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（3）分项报价表；</w:t>
      </w:r>
    </w:p>
    <w:p>
      <w:pPr>
        <w:tabs>
          <w:tab w:val="left" w:pos="7665"/>
        </w:tabs>
        <w:spacing w:after="120" w:line="360" w:lineRule="auto"/>
        <w:ind w:firstLine="480" w:firstLineChars="200"/>
        <w:rPr>
          <w:rFonts w:hint="eastAsia"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（4）商务应答表；</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（5）投标人基本情况；</w:t>
      </w:r>
    </w:p>
    <w:p>
      <w:pPr>
        <w:tabs>
          <w:tab w:val="left" w:pos="7665"/>
        </w:tabs>
        <w:spacing w:after="120" w:line="360" w:lineRule="auto"/>
        <w:ind w:firstLine="480" w:firstLineChars="200"/>
        <w:rPr>
          <w:rFonts w:hint="eastAsia"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（6）技术/服务应答；</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w:t>
      </w:r>
      <w:r>
        <w:rPr>
          <w:rFonts w:hint="eastAsia" w:ascii="仿宋" w:hAnsi="仿宋" w:eastAsia="仿宋" w:cs="Marigold"/>
          <w:i w:val="0"/>
          <w:color w:val="auto"/>
          <w:sz w:val="24"/>
          <w:szCs w:val="24"/>
          <w:highlight w:val="none"/>
          <w:lang w:val="en-US" w:eastAsia="zh-CN"/>
        </w:rPr>
        <w:t>7</w:t>
      </w:r>
      <w:r>
        <w:rPr>
          <w:rFonts w:hint="eastAsia" w:ascii="仿宋" w:hAnsi="仿宋" w:eastAsia="仿宋" w:cs="Marigold"/>
          <w:i w:val="0"/>
          <w:color w:val="auto"/>
          <w:sz w:val="24"/>
          <w:szCs w:val="24"/>
          <w:highlight w:val="none"/>
          <w:lang w:eastAsia="zh-CN"/>
        </w:rPr>
        <w:t>）投标人本项目管理、技术、服务人员情况；</w:t>
      </w:r>
    </w:p>
    <w:p>
      <w:pPr>
        <w:tabs>
          <w:tab w:val="left" w:pos="7665"/>
        </w:tabs>
        <w:spacing w:after="120" w:line="360" w:lineRule="auto"/>
        <w:ind w:firstLine="480" w:firstLineChars="200"/>
        <w:rPr>
          <w:rFonts w:hint="eastAsia"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w:t>
      </w:r>
      <w:r>
        <w:rPr>
          <w:rFonts w:hint="eastAsia" w:ascii="仿宋" w:hAnsi="仿宋" w:eastAsia="仿宋" w:cs="Marigold"/>
          <w:i w:val="0"/>
          <w:color w:val="auto"/>
          <w:sz w:val="24"/>
          <w:szCs w:val="24"/>
          <w:highlight w:val="none"/>
          <w:lang w:val="en-US" w:eastAsia="zh-CN"/>
        </w:rPr>
        <w:t>8</w:t>
      </w:r>
      <w:r>
        <w:rPr>
          <w:rFonts w:hint="eastAsia" w:ascii="仿宋" w:hAnsi="仿宋" w:eastAsia="仿宋" w:cs="Marigold"/>
          <w:i w:val="0"/>
          <w:color w:val="auto"/>
          <w:sz w:val="24"/>
          <w:szCs w:val="24"/>
          <w:highlight w:val="none"/>
          <w:lang w:eastAsia="zh-CN"/>
        </w:rPr>
        <w:t>）投标人类似业绩；</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w:t>
      </w:r>
      <w:r>
        <w:rPr>
          <w:rFonts w:hint="eastAsia" w:ascii="仿宋" w:hAnsi="仿宋" w:eastAsia="仿宋" w:cs="Marigold"/>
          <w:i w:val="0"/>
          <w:color w:val="auto"/>
          <w:sz w:val="24"/>
          <w:szCs w:val="24"/>
          <w:highlight w:val="none"/>
          <w:lang w:val="en-US" w:eastAsia="zh-CN"/>
        </w:rPr>
        <w:t>9</w:t>
      </w:r>
      <w:r>
        <w:rPr>
          <w:rFonts w:hint="eastAsia" w:ascii="仿宋" w:hAnsi="仿宋" w:eastAsia="仿宋" w:cs="Marigold"/>
          <w:i w:val="0"/>
          <w:color w:val="auto"/>
          <w:sz w:val="24"/>
          <w:szCs w:val="24"/>
          <w:highlight w:val="none"/>
          <w:lang w:eastAsia="zh-CN"/>
        </w:rPr>
        <w:t>）中小企业证明材料；</w:t>
      </w:r>
    </w:p>
    <w:p>
      <w:pPr>
        <w:tabs>
          <w:tab w:val="left" w:pos="7665"/>
        </w:tabs>
        <w:spacing w:after="120" w:line="360" w:lineRule="auto"/>
        <w:ind w:firstLine="480" w:firstLineChars="200"/>
        <w:rPr>
          <w:rFonts w:hint="eastAsia"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w:t>
      </w:r>
      <w:r>
        <w:rPr>
          <w:rFonts w:hint="eastAsia" w:ascii="仿宋" w:hAnsi="仿宋" w:eastAsia="仿宋" w:cs="Marigold"/>
          <w:i w:val="0"/>
          <w:color w:val="auto"/>
          <w:sz w:val="24"/>
          <w:szCs w:val="24"/>
          <w:highlight w:val="none"/>
          <w:lang w:val="en-US" w:eastAsia="zh-CN"/>
        </w:rPr>
        <w:t>10</w:t>
      </w:r>
      <w:r>
        <w:rPr>
          <w:rFonts w:hint="eastAsia" w:ascii="仿宋" w:hAnsi="仿宋" w:eastAsia="仿宋" w:cs="Marigold"/>
          <w:i w:val="0"/>
          <w:color w:val="auto"/>
          <w:sz w:val="24"/>
          <w:szCs w:val="24"/>
          <w:highlight w:val="none"/>
          <w:lang w:eastAsia="zh-CN"/>
        </w:rPr>
        <w:t>）监狱企业证明材料；</w:t>
      </w:r>
    </w:p>
    <w:p>
      <w:pPr>
        <w:tabs>
          <w:tab w:val="left" w:pos="7665"/>
        </w:tabs>
        <w:spacing w:after="120" w:line="360" w:lineRule="auto"/>
        <w:ind w:firstLine="480" w:firstLineChars="200"/>
        <w:rPr>
          <w:rFonts w:hint="eastAsia"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w:t>
      </w:r>
      <w:r>
        <w:rPr>
          <w:rFonts w:hint="eastAsia" w:ascii="仿宋" w:hAnsi="仿宋" w:eastAsia="仿宋" w:cs="Marigold"/>
          <w:i w:val="0"/>
          <w:color w:val="auto"/>
          <w:sz w:val="24"/>
          <w:szCs w:val="24"/>
          <w:highlight w:val="none"/>
          <w:lang w:val="en-US" w:eastAsia="zh-CN"/>
        </w:rPr>
        <w:t>11</w:t>
      </w:r>
      <w:r>
        <w:rPr>
          <w:rFonts w:hint="eastAsia" w:ascii="仿宋" w:hAnsi="仿宋" w:eastAsia="仿宋" w:cs="Marigold"/>
          <w:i w:val="0"/>
          <w:color w:val="auto"/>
          <w:sz w:val="24"/>
          <w:szCs w:val="24"/>
          <w:highlight w:val="none"/>
          <w:lang w:eastAsia="zh-CN"/>
        </w:rPr>
        <w:t>）残疾人福利性单位证明材料；</w:t>
      </w:r>
    </w:p>
    <w:p>
      <w:pPr>
        <w:tabs>
          <w:tab w:val="left" w:pos="7665"/>
        </w:tabs>
        <w:spacing w:after="120" w:line="360" w:lineRule="auto"/>
        <w:ind w:firstLine="480" w:firstLineChars="200"/>
        <w:rPr>
          <w:rFonts w:hint="eastAsia"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w:t>
      </w:r>
      <w:r>
        <w:rPr>
          <w:rFonts w:hint="eastAsia" w:ascii="仿宋" w:hAnsi="仿宋" w:eastAsia="仿宋" w:cs="Marigold"/>
          <w:i w:val="0"/>
          <w:color w:val="auto"/>
          <w:sz w:val="24"/>
          <w:szCs w:val="24"/>
          <w:highlight w:val="none"/>
          <w:lang w:val="en-US" w:eastAsia="zh-CN"/>
        </w:rPr>
        <w:t>12</w:t>
      </w:r>
      <w:r>
        <w:rPr>
          <w:rFonts w:hint="eastAsia" w:ascii="仿宋" w:hAnsi="仿宋" w:eastAsia="仿宋" w:cs="Marigold"/>
          <w:i w:val="0"/>
          <w:color w:val="auto"/>
          <w:sz w:val="24"/>
          <w:szCs w:val="24"/>
          <w:highlight w:val="none"/>
          <w:lang w:eastAsia="zh-CN"/>
        </w:rPr>
        <w:t>）其它投标人认为需要递交的材料或文件；</w:t>
      </w:r>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w:t>
      </w:r>
      <w:r>
        <w:rPr>
          <w:rFonts w:hint="eastAsia" w:ascii="仿宋" w:hAnsi="仿宋" w:eastAsia="仿宋" w:cs="Marigold"/>
          <w:i w:val="0"/>
          <w:color w:val="auto"/>
          <w:sz w:val="24"/>
          <w:szCs w:val="24"/>
          <w:highlight w:val="none"/>
          <w:lang w:val="en-US" w:eastAsia="zh-CN"/>
        </w:rPr>
        <w:t>13</w:t>
      </w:r>
      <w:r>
        <w:rPr>
          <w:rFonts w:hint="eastAsia" w:ascii="仿宋" w:hAnsi="仿宋" w:eastAsia="仿宋" w:cs="Marigold"/>
          <w:i w:val="0"/>
          <w:color w:val="auto"/>
          <w:sz w:val="24"/>
          <w:szCs w:val="24"/>
          <w:highlight w:val="none"/>
          <w:lang w:eastAsia="zh-CN"/>
        </w:rPr>
        <w:t>）招标文件要求递交其他的材料或文件</w:t>
      </w:r>
      <w:r>
        <w:rPr>
          <w:rFonts w:hint="eastAsia" w:ascii="仿宋" w:hAnsi="仿宋" w:eastAsia="仿宋" w:cs="Marigold"/>
          <w:i w:val="0"/>
          <w:color w:val="auto"/>
          <w:szCs w:val="24"/>
          <w:highlight w:val="none"/>
          <w:lang w:eastAsia="zh-CN"/>
        </w:rPr>
        <w:t>。</w:t>
      </w:r>
    </w:p>
    <w:p>
      <w:pPr>
        <w:pStyle w:val="5"/>
        <w:rPr>
          <w:rFonts w:ascii="仿宋" w:hAnsi="仿宋"/>
          <w:i w:val="0"/>
          <w:color w:val="auto"/>
          <w:highlight w:val="none"/>
          <w:lang w:eastAsia="zh-CN"/>
        </w:rPr>
      </w:pPr>
      <w:r>
        <w:rPr>
          <w:rFonts w:hint="eastAsia" w:ascii="仿宋" w:hAnsi="仿宋"/>
          <w:i w:val="0"/>
          <w:color w:val="auto"/>
          <w:highlight w:val="none"/>
          <w:lang w:eastAsia="zh-CN"/>
        </w:rPr>
        <w:t>15、投标文件格式</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tabs>
          <w:tab w:val="left" w:pos="7665"/>
        </w:tabs>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15.1 投标人按照招标文件第三章中提供的“投标文件格式”填写相关内容。</w:t>
      </w:r>
    </w:p>
    <w:p>
      <w:pPr>
        <w:pStyle w:val="56"/>
        <w:rPr>
          <w:rFonts w:ascii="仿宋" w:hAnsi="仿宋" w:eastAsia="仿宋" w:cs="Marigold"/>
          <w:i w:val="0"/>
          <w:color w:val="auto"/>
          <w:szCs w:val="24"/>
          <w:highlight w:val="none"/>
          <w:lang w:eastAsia="zh-CN"/>
        </w:rPr>
      </w:pPr>
      <w:r>
        <w:rPr>
          <w:rFonts w:hint="eastAsia" w:ascii="仿宋" w:hAnsi="仿宋" w:eastAsia="仿宋" w:cs="Marigold"/>
          <w:i w:val="0"/>
          <w:color w:val="auto"/>
          <w:szCs w:val="24"/>
          <w:highlight w:val="none"/>
          <w:lang w:eastAsia="zh-CN"/>
        </w:rPr>
        <w:t>15.2 对于没有格式要求的投标文件由投标人自行编写。</w:t>
      </w:r>
    </w:p>
    <w:p>
      <w:pPr>
        <w:pStyle w:val="5"/>
        <w:rPr>
          <w:rFonts w:ascii="仿宋" w:hAnsi="仿宋"/>
          <w:i w:val="0"/>
          <w:color w:val="auto"/>
          <w:szCs w:val="24"/>
          <w:highlight w:val="none"/>
          <w:lang w:eastAsia="zh-CN"/>
        </w:rPr>
      </w:pPr>
      <w:bookmarkStart w:id="196" w:name="_Toc217446050"/>
      <w:bookmarkStart w:id="197" w:name="_Toc183682360"/>
      <w:bookmarkStart w:id="198" w:name="_Toc468320447"/>
      <w:bookmarkStart w:id="199" w:name="_Toc468641494"/>
      <w:bookmarkStart w:id="200" w:name="_Toc511558631"/>
      <w:bookmarkStart w:id="201" w:name="_Toc468640278"/>
      <w:bookmarkStart w:id="202" w:name="_Toc468654135"/>
      <w:bookmarkStart w:id="203" w:name="_Toc468346370"/>
      <w:bookmarkStart w:id="204" w:name="_Toc395625035"/>
      <w:bookmarkStart w:id="205" w:name="_Toc183582223"/>
      <w:bookmarkStart w:id="206" w:name="_Toc468640373"/>
      <w:bookmarkStart w:id="207" w:name="_Toc505762724"/>
      <w:bookmarkStart w:id="208" w:name="_Toc497752224"/>
      <w:bookmarkStart w:id="209" w:name="_Toc468331079"/>
      <w:r>
        <w:rPr>
          <w:rFonts w:hint="eastAsia" w:ascii="仿宋" w:hAnsi="仿宋"/>
          <w:i w:val="0"/>
          <w:color w:val="auto"/>
          <w:szCs w:val="24"/>
          <w:highlight w:val="none"/>
          <w:lang w:eastAsia="zh-CN"/>
        </w:rPr>
        <w:t>16、投标保证金</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i w:val="0"/>
          <w:color w:val="auto"/>
          <w:szCs w:val="24"/>
          <w:highlight w:val="none"/>
          <w:lang w:eastAsia="zh-CN"/>
        </w:rPr>
        <w:t>（实质性要求）</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16.1 投标人投标时，必须以人民币提交招标文件规定数额的投标保证金，并作为其投标的一部分。（本项目不适用）</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16.2投标保证金形式为：</w:t>
      </w:r>
      <w:r>
        <w:rPr>
          <w:rFonts w:hint="eastAsia" w:ascii="仿宋" w:hAnsi="仿宋" w:eastAsia="仿宋"/>
          <w:bCs/>
          <w:i w:val="0"/>
          <w:color w:val="auto"/>
          <w:highlight w:val="none"/>
          <w:lang w:eastAsia="zh-CN"/>
        </w:rPr>
        <w:t>支票、汇票、本票或者金融机构、担保机构出具的保函等非现金形式提交。交款账户名称和投标人名称必须一致。将支票、汇票、本票等经招标代理机构确认后的复印件装订到投标文件中作为已缴纳凭证</w:t>
      </w:r>
      <w:r>
        <w:rPr>
          <w:rFonts w:hint="eastAsia" w:ascii="仿宋" w:hAnsi="仿宋" w:eastAsia="仿宋"/>
          <w:i w:val="0"/>
          <w:color w:val="auto"/>
          <w:highlight w:val="none"/>
          <w:lang w:eastAsia="zh-CN"/>
        </w:rPr>
        <w:t>；本项目不接受其他形式的投标保证金。（本项目不适用）</w:t>
      </w:r>
    </w:p>
    <w:p>
      <w:pPr>
        <w:pStyle w:val="56"/>
        <w:rPr>
          <w:rFonts w:ascii="仿宋" w:hAnsi="仿宋" w:eastAsia="仿宋"/>
          <w:i w:val="0"/>
          <w:color w:val="auto"/>
          <w:highlight w:val="none"/>
          <w:lang w:eastAsia="zh-CN"/>
        </w:rPr>
      </w:pPr>
      <w:r>
        <w:rPr>
          <w:rFonts w:ascii="仿宋" w:hAnsi="仿宋" w:eastAsia="仿宋"/>
          <w:i w:val="0"/>
          <w:color w:val="auto"/>
          <w:highlight w:val="none"/>
          <w:lang w:eastAsia="zh-CN"/>
        </w:rPr>
        <w:t>1</w:t>
      </w:r>
      <w:r>
        <w:rPr>
          <w:rFonts w:hint="eastAsia" w:ascii="仿宋" w:hAnsi="仿宋" w:eastAsia="仿宋"/>
          <w:i w:val="0"/>
          <w:color w:val="auto"/>
          <w:highlight w:val="none"/>
          <w:lang w:eastAsia="zh-CN"/>
        </w:rPr>
        <w:t>6</w:t>
      </w:r>
      <w:r>
        <w:rPr>
          <w:rFonts w:ascii="仿宋" w:hAnsi="仿宋" w:eastAsia="仿宋"/>
          <w:i w:val="0"/>
          <w:color w:val="auto"/>
          <w:highlight w:val="none"/>
          <w:lang w:eastAsia="zh-CN"/>
        </w:rPr>
        <w:t>.</w:t>
      </w:r>
      <w:r>
        <w:rPr>
          <w:rFonts w:hint="eastAsia" w:ascii="仿宋" w:hAnsi="仿宋" w:eastAsia="仿宋"/>
          <w:i w:val="0"/>
          <w:color w:val="auto"/>
          <w:highlight w:val="none"/>
          <w:lang w:eastAsia="zh-CN"/>
        </w:rPr>
        <w:t>3未按招标文件要求在规定时间前交纳规定数额投标保证金的投标将被拒绝。（本项目不适用）</w:t>
      </w:r>
    </w:p>
    <w:p>
      <w:pPr>
        <w:pStyle w:val="56"/>
        <w:rPr>
          <w:rFonts w:ascii="仿宋" w:hAnsi="仿宋" w:eastAsia="仿宋"/>
          <w:i w:val="0"/>
          <w:color w:val="auto"/>
          <w:highlight w:val="none"/>
          <w:lang w:eastAsia="zh-CN"/>
        </w:rPr>
      </w:pPr>
      <w:r>
        <w:rPr>
          <w:rFonts w:ascii="仿宋" w:hAnsi="仿宋" w:eastAsia="仿宋"/>
          <w:i w:val="0"/>
          <w:color w:val="auto"/>
          <w:highlight w:val="none"/>
          <w:lang w:eastAsia="zh-CN"/>
        </w:rPr>
        <w:t>1</w:t>
      </w:r>
      <w:r>
        <w:rPr>
          <w:rFonts w:hint="eastAsia" w:ascii="仿宋" w:hAnsi="仿宋" w:eastAsia="仿宋"/>
          <w:i w:val="0"/>
          <w:color w:val="auto"/>
          <w:highlight w:val="none"/>
          <w:lang w:eastAsia="zh-CN"/>
        </w:rPr>
        <w:t>6</w:t>
      </w:r>
      <w:r>
        <w:rPr>
          <w:rFonts w:ascii="仿宋" w:hAnsi="仿宋" w:eastAsia="仿宋"/>
          <w:i w:val="0"/>
          <w:color w:val="auto"/>
          <w:highlight w:val="none"/>
          <w:lang w:eastAsia="zh-CN"/>
        </w:rPr>
        <w:t>.</w:t>
      </w:r>
      <w:r>
        <w:rPr>
          <w:rFonts w:hint="eastAsia" w:ascii="仿宋" w:hAnsi="仿宋" w:eastAsia="仿宋"/>
          <w:i w:val="0"/>
          <w:color w:val="auto"/>
          <w:highlight w:val="none"/>
          <w:lang w:eastAsia="zh-CN"/>
        </w:rPr>
        <w:t>4投标人所交纳的投标保证金不计利息。（本项目不适用）</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16.5未中标人的投标保证金，将在中标通知书发出后五个工作日内全额退还。中标人的投标保证金，按</w:t>
      </w:r>
      <w:r>
        <w:rPr>
          <w:rFonts w:ascii="仿宋" w:hAnsi="仿宋" w:eastAsia="仿宋"/>
          <w:i w:val="0"/>
          <w:color w:val="auto"/>
          <w:highlight w:val="none"/>
          <w:lang w:eastAsia="zh-CN"/>
        </w:rPr>
        <w:t>规定交纳了履约保证</w:t>
      </w:r>
      <w:r>
        <w:rPr>
          <w:rFonts w:hint="eastAsia" w:ascii="仿宋" w:hAnsi="仿宋" w:eastAsia="仿宋"/>
          <w:i w:val="0"/>
          <w:color w:val="auto"/>
          <w:highlight w:val="none"/>
          <w:lang w:eastAsia="zh-CN"/>
        </w:rPr>
        <w:t>金（如有），在合同签订生效并递交合同原件至采购代理机构登记备案，同时交纳足额招标代理服务费后五个工作日内全额无息退还。（本项目不适用）</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注</w:t>
      </w:r>
      <w:r>
        <w:rPr>
          <w:rFonts w:ascii="仿宋" w:hAnsi="仿宋" w:eastAsia="仿宋"/>
          <w:i w:val="0"/>
          <w:color w:val="auto"/>
          <w:highlight w:val="none"/>
          <w:lang w:eastAsia="zh-CN"/>
        </w:rPr>
        <w:t>：</w:t>
      </w:r>
      <w:r>
        <w:rPr>
          <w:rFonts w:ascii="仿宋" w:hAnsi="仿宋" w:eastAsia="仿宋"/>
          <w:i w:val="0"/>
          <w:color w:val="auto"/>
          <w:highlight w:val="none"/>
        </w:rPr>
        <w:fldChar w:fldCharType="begin"/>
      </w:r>
      <w:r>
        <w:rPr>
          <w:rFonts w:hint="eastAsia" w:ascii="仿宋" w:hAnsi="仿宋" w:eastAsia="仿宋"/>
          <w:i w:val="0"/>
          <w:color w:val="auto"/>
          <w:highlight w:val="none"/>
          <w:lang w:eastAsia="zh-CN"/>
        </w:rPr>
        <w:instrText xml:space="preserve">= 1 \* GB3</w:instrText>
      </w:r>
      <w:r>
        <w:rPr>
          <w:rFonts w:ascii="仿宋" w:hAnsi="仿宋" w:eastAsia="仿宋"/>
          <w:i w:val="0"/>
          <w:color w:val="auto"/>
          <w:highlight w:val="none"/>
        </w:rPr>
        <w:fldChar w:fldCharType="separate"/>
      </w:r>
      <w:r>
        <w:rPr>
          <w:rFonts w:hint="eastAsia" w:ascii="仿宋" w:hAnsi="仿宋" w:eastAsia="仿宋"/>
          <w:i w:val="0"/>
          <w:color w:val="auto"/>
          <w:highlight w:val="none"/>
          <w:lang w:eastAsia="zh-CN"/>
        </w:rPr>
        <w:t>①</w:t>
      </w:r>
      <w:r>
        <w:rPr>
          <w:rFonts w:ascii="仿宋" w:hAnsi="仿宋" w:eastAsia="仿宋"/>
          <w:i w:val="0"/>
          <w:color w:val="auto"/>
          <w:highlight w:val="none"/>
        </w:rPr>
        <w:fldChar w:fldCharType="end"/>
      </w:r>
      <w:r>
        <w:rPr>
          <w:rFonts w:hint="eastAsia" w:ascii="仿宋" w:hAnsi="仿宋" w:eastAsia="仿宋"/>
          <w:i w:val="0"/>
          <w:color w:val="auto"/>
          <w:highlight w:val="none"/>
          <w:lang w:eastAsia="zh-CN"/>
        </w:rPr>
        <w:t>因</w:t>
      </w:r>
      <w:r>
        <w:rPr>
          <w:rFonts w:ascii="仿宋" w:hAnsi="仿宋" w:eastAsia="仿宋"/>
          <w:i w:val="0"/>
          <w:color w:val="auto"/>
          <w:highlight w:val="none"/>
          <w:lang w:eastAsia="zh-CN"/>
        </w:rPr>
        <w:t>投标人自</w:t>
      </w:r>
      <w:r>
        <w:rPr>
          <w:rFonts w:hint="eastAsia" w:ascii="仿宋" w:hAnsi="仿宋" w:eastAsia="仿宋"/>
          <w:i w:val="0"/>
          <w:color w:val="auto"/>
          <w:highlight w:val="none"/>
          <w:lang w:eastAsia="zh-CN"/>
        </w:rPr>
        <w:t>身</w:t>
      </w:r>
      <w:r>
        <w:rPr>
          <w:rFonts w:ascii="仿宋" w:hAnsi="仿宋" w:eastAsia="仿宋"/>
          <w:i w:val="0"/>
          <w:color w:val="auto"/>
          <w:highlight w:val="none"/>
          <w:lang w:eastAsia="zh-CN"/>
        </w:rPr>
        <w:t>原因造成的</w:t>
      </w:r>
      <w:r>
        <w:rPr>
          <w:rFonts w:hint="eastAsia" w:ascii="仿宋" w:hAnsi="仿宋" w:eastAsia="仿宋"/>
          <w:i w:val="0"/>
          <w:color w:val="auto"/>
          <w:highlight w:val="none"/>
          <w:lang w:eastAsia="zh-CN"/>
        </w:rPr>
        <w:t>保证</w:t>
      </w:r>
      <w:r>
        <w:rPr>
          <w:rFonts w:ascii="仿宋" w:hAnsi="仿宋" w:eastAsia="仿宋"/>
          <w:i w:val="0"/>
          <w:color w:val="auto"/>
          <w:highlight w:val="none"/>
          <w:lang w:eastAsia="zh-CN"/>
        </w:rPr>
        <w:t>金延迟退</w:t>
      </w:r>
      <w:r>
        <w:rPr>
          <w:rFonts w:hint="eastAsia" w:ascii="仿宋" w:hAnsi="仿宋" w:eastAsia="仿宋"/>
          <w:i w:val="0"/>
          <w:color w:val="auto"/>
          <w:highlight w:val="none"/>
          <w:lang w:eastAsia="zh-CN"/>
        </w:rPr>
        <w:t>还</w:t>
      </w:r>
      <w:r>
        <w:rPr>
          <w:rFonts w:ascii="仿宋" w:hAnsi="仿宋" w:eastAsia="仿宋"/>
          <w:i w:val="0"/>
          <w:color w:val="auto"/>
          <w:highlight w:val="none"/>
          <w:lang w:eastAsia="zh-CN"/>
        </w:rPr>
        <w:t>或者投</w:t>
      </w:r>
      <w:r>
        <w:rPr>
          <w:rFonts w:hint="eastAsia" w:ascii="仿宋" w:hAnsi="仿宋" w:eastAsia="仿宋"/>
          <w:i w:val="0"/>
          <w:color w:val="auto"/>
          <w:highlight w:val="none"/>
          <w:lang w:eastAsia="zh-CN"/>
        </w:rPr>
        <w:t>标</w:t>
      </w:r>
      <w:r>
        <w:rPr>
          <w:rFonts w:ascii="仿宋" w:hAnsi="仿宋" w:eastAsia="仿宋"/>
          <w:i w:val="0"/>
          <w:color w:val="auto"/>
          <w:highlight w:val="none"/>
          <w:lang w:eastAsia="zh-CN"/>
        </w:rPr>
        <w:t>人和采购代理机构书面协商量可以延迟退还的，采购代理机构不</w:t>
      </w:r>
      <w:r>
        <w:rPr>
          <w:rFonts w:hint="eastAsia" w:ascii="仿宋" w:hAnsi="仿宋" w:eastAsia="仿宋"/>
          <w:i w:val="0"/>
          <w:color w:val="auto"/>
          <w:highlight w:val="none"/>
          <w:lang w:eastAsia="zh-CN"/>
        </w:rPr>
        <w:t>承担</w:t>
      </w:r>
      <w:r>
        <w:rPr>
          <w:rFonts w:ascii="仿宋" w:hAnsi="仿宋" w:eastAsia="仿宋"/>
          <w:i w:val="0"/>
          <w:color w:val="auto"/>
          <w:highlight w:val="none"/>
          <w:lang w:eastAsia="zh-CN"/>
        </w:rPr>
        <w:t>相应责任；</w:t>
      </w:r>
      <w:r>
        <w:rPr>
          <w:rFonts w:ascii="仿宋" w:hAnsi="仿宋" w:eastAsia="仿宋"/>
          <w:i w:val="0"/>
          <w:color w:val="auto"/>
          <w:highlight w:val="none"/>
        </w:rPr>
        <w:fldChar w:fldCharType="begin"/>
      </w:r>
      <w:r>
        <w:rPr>
          <w:rFonts w:hint="eastAsia" w:ascii="仿宋" w:hAnsi="仿宋" w:eastAsia="仿宋"/>
          <w:i w:val="0"/>
          <w:color w:val="auto"/>
          <w:highlight w:val="none"/>
          <w:lang w:eastAsia="zh-CN"/>
        </w:rPr>
        <w:instrText xml:space="preserve">= 2 \* GB3</w:instrText>
      </w:r>
      <w:r>
        <w:rPr>
          <w:rFonts w:ascii="仿宋" w:hAnsi="仿宋" w:eastAsia="仿宋"/>
          <w:i w:val="0"/>
          <w:color w:val="auto"/>
          <w:highlight w:val="none"/>
        </w:rPr>
        <w:fldChar w:fldCharType="separate"/>
      </w:r>
      <w:r>
        <w:rPr>
          <w:rFonts w:hint="eastAsia" w:ascii="仿宋" w:hAnsi="仿宋" w:eastAsia="仿宋"/>
          <w:i w:val="0"/>
          <w:color w:val="auto"/>
          <w:highlight w:val="none"/>
          <w:lang w:eastAsia="zh-CN"/>
        </w:rPr>
        <w:t>②</w:t>
      </w:r>
      <w:r>
        <w:rPr>
          <w:rFonts w:ascii="仿宋" w:hAnsi="仿宋" w:eastAsia="仿宋"/>
          <w:i w:val="0"/>
          <w:color w:val="auto"/>
          <w:highlight w:val="none"/>
        </w:rPr>
        <w:fldChar w:fldCharType="end"/>
      </w:r>
      <w:r>
        <w:rPr>
          <w:rFonts w:hint="eastAsia" w:ascii="仿宋" w:hAnsi="仿宋" w:eastAsia="仿宋"/>
          <w:i w:val="0"/>
          <w:color w:val="auto"/>
          <w:highlight w:val="none"/>
          <w:lang w:eastAsia="zh-CN"/>
        </w:rPr>
        <w:t>投</w:t>
      </w:r>
      <w:r>
        <w:rPr>
          <w:rFonts w:ascii="仿宋" w:hAnsi="仿宋" w:eastAsia="仿宋"/>
          <w:i w:val="0"/>
          <w:color w:val="auto"/>
          <w:highlight w:val="none"/>
          <w:lang w:eastAsia="zh-CN"/>
        </w:rPr>
        <w:t>标人因涉嫌违法违规，按照</w:t>
      </w:r>
      <w:r>
        <w:rPr>
          <w:rFonts w:hint="eastAsia" w:ascii="仿宋" w:hAnsi="仿宋" w:eastAsia="仿宋"/>
          <w:i w:val="0"/>
          <w:color w:val="auto"/>
          <w:highlight w:val="none"/>
          <w:lang w:eastAsia="zh-CN"/>
        </w:rPr>
        <w:t>规定</w:t>
      </w:r>
      <w:r>
        <w:rPr>
          <w:rFonts w:ascii="仿宋" w:hAnsi="仿宋" w:eastAsia="仿宋"/>
          <w:i w:val="0"/>
          <w:color w:val="auto"/>
          <w:highlight w:val="none"/>
          <w:lang w:eastAsia="zh-CN"/>
        </w:rPr>
        <w:t>应当不</w:t>
      </w:r>
      <w:r>
        <w:rPr>
          <w:rFonts w:hint="eastAsia" w:ascii="仿宋" w:hAnsi="仿宋" w:eastAsia="仿宋"/>
          <w:i w:val="0"/>
          <w:color w:val="auto"/>
          <w:highlight w:val="none"/>
          <w:lang w:eastAsia="zh-CN"/>
        </w:rPr>
        <w:t>予</w:t>
      </w:r>
      <w:r>
        <w:rPr>
          <w:rFonts w:ascii="仿宋" w:hAnsi="仿宋" w:eastAsia="仿宋"/>
          <w:i w:val="0"/>
          <w:color w:val="auto"/>
          <w:highlight w:val="none"/>
          <w:lang w:eastAsia="zh-CN"/>
        </w:rPr>
        <w:t>退还</w:t>
      </w:r>
      <w:r>
        <w:rPr>
          <w:rFonts w:hint="eastAsia" w:ascii="仿宋" w:hAnsi="仿宋" w:eastAsia="仿宋"/>
          <w:i w:val="0"/>
          <w:color w:val="auto"/>
          <w:highlight w:val="none"/>
          <w:lang w:eastAsia="zh-CN"/>
        </w:rPr>
        <w:t>保证</w:t>
      </w:r>
      <w:r>
        <w:rPr>
          <w:rFonts w:ascii="仿宋" w:hAnsi="仿宋" w:eastAsia="仿宋"/>
          <w:i w:val="0"/>
          <w:color w:val="auto"/>
          <w:highlight w:val="none"/>
          <w:lang w:eastAsia="zh-CN"/>
        </w:rPr>
        <w:t>金的，有关部门处理</w:t>
      </w:r>
      <w:r>
        <w:rPr>
          <w:rFonts w:hint="eastAsia" w:ascii="仿宋" w:hAnsi="仿宋" w:eastAsia="仿宋"/>
          <w:i w:val="0"/>
          <w:color w:val="auto"/>
          <w:highlight w:val="none"/>
          <w:lang w:eastAsia="zh-CN"/>
        </w:rPr>
        <w:t>认</w:t>
      </w:r>
      <w:r>
        <w:rPr>
          <w:rFonts w:ascii="仿宋" w:hAnsi="仿宋" w:eastAsia="仿宋"/>
          <w:i w:val="0"/>
          <w:color w:val="auto"/>
          <w:highlight w:val="none"/>
          <w:lang w:eastAsia="zh-CN"/>
        </w:rPr>
        <w:t>定违法违</w:t>
      </w:r>
      <w:r>
        <w:rPr>
          <w:rFonts w:hint="eastAsia" w:ascii="仿宋" w:hAnsi="仿宋" w:eastAsia="仿宋"/>
          <w:i w:val="0"/>
          <w:color w:val="auto"/>
          <w:highlight w:val="none"/>
          <w:lang w:eastAsia="zh-CN"/>
        </w:rPr>
        <w:t>规行</w:t>
      </w:r>
      <w:r>
        <w:rPr>
          <w:rFonts w:ascii="仿宋" w:hAnsi="仿宋" w:eastAsia="仿宋"/>
          <w:i w:val="0"/>
          <w:color w:val="auto"/>
          <w:highlight w:val="none"/>
          <w:lang w:eastAsia="zh-CN"/>
        </w:rPr>
        <w:t>为期间不计入退还保</w:t>
      </w:r>
      <w:r>
        <w:rPr>
          <w:rFonts w:hint="eastAsia" w:ascii="仿宋" w:hAnsi="仿宋" w:eastAsia="仿宋"/>
          <w:i w:val="0"/>
          <w:color w:val="auto"/>
          <w:highlight w:val="none"/>
          <w:lang w:eastAsia="zh-CN"/>
        </w:rPr>
        <w:t>证</w:t>
      </w:r>
      <w:r>
        <w:rPr>
          <w:rFonts w:ascii="仿宋" w:hAnsi="仿宋" w:eastAsia="仿宋"/>
          <w:i w:val="0"/>
          <w:color w:val="auto"/>
          <w:highlight w:val="none"/>
          <w:lang w:eastAsia="zh-CN"/>
        </w:rPr>
        <w:t>金时限</w:t>
      </w:r>
      <w:r>
        <w:rPr>
          <w:rFonts w:hint="eastAsia" w:ascii="仿宋" w:hAnsi="仿宋" w:eastAsia="仿宋"/>
          <w:i w:val="0"/>
          <w:color w:val="auto"/>
          <w:highlight w:val="none"/>
          <w:lang w:eastAsia="zh-CN"/>
        </w:rPr>
        <w:t>之内。</w:t>
      </w:r>
    </w:p>
    <w:p>
      <w:pPr>
        <w:pStyle w:val="56"/>
        <w:rPr>
          <w:rFonts w:ascii="仿宋" w:hAnsi="仿宋" w:eastAsia="仿宋"/>
          <w:i w:val="0"/>
          <w:color w:val="auto"/>
          <w:highlight w:val="none"/>
          <w:lang w:eastAsia="zh-CN"/>
        </w:rPr>
      </w:pPr>
      <w:r>
        <w:rPr>
          <w:rFonts w:ascii="仿宋" w:hAnsi="仿宋" w:eastAsia="仿宋"/>
          <w:i w:val="0"/>
          <w:color w:val="auto"/>
          <w:highlight w:val="none"/>
          <w:lang w:eastAsia="zh-CN"/>
        </w:rPr>
        <w:t>1</w:t>
      </w:r>
      <w:r>
        <w:rPr>
          <w:rFonts w:hint="eastAsia" w:ascii="仿宋" w:hAnsi="仿宋" w:eastAsia="仿宋"/>
          <w:i w:val="0"/>
          <w:color w:val="auto"/>
          <w:highlight w:val="none"/>
          <w:lang w:eastAsia="zh-CN"/>
        </w:rPr>
        <w:t>6</w:t>
      </w:r>
      <w:r>
        <w:rPr>
          <w:rFonts w:ascii="仿宋" w:hAnsi="仿宋" w:eastAsia="仿宋"/>
          <w:i w:val="0"/>
          <w:color w:val="auto"/>
          <w:highlight w:val="none"/>
          <w:lang w:eastAsia="zh-CN"/>
        </w:rPr>
        <w:t>.</w:t>
      </w:r>
      <w:r>
        <w:rPr>
          <w:rFonts w:hint="eastAsia" w:ascii="仿宋" w:hAnsi="仿宋" w:eastAsia="仿宋"/>
          <w:i w:val="0"/>
          <w:color w:val="auto"/>
          <w:highlight w:val="none"/>
          <w:lang w:eastAsia="zh-CN"/>
        </w:rPr>
        <w:t>6发生下列情形之一的，采购代理机构将不予退还投标人交纳的投标保证金：（</w:t>
      </w:r>
      <w:r>
        <w:rPr>
          <w:rFonts w:hint="eastAsia" w:ascii="仿宋" w:hAnsi="仿宋" w:eastAsia="仿宋"/>
          <w:b/>
          <w:i w:val="0"/>
          <w:color w:val="auto"/>
          <w:highlight w:val="none"/>
          <w:lang w:eastAsia="zh-CN"/>
        </w:rPr>
        <w:t>因本项目不收取投标保证金，故投标人须在投标文件中单独承诺不会发生下列情形</w:t>
      </w:r>
      <w:r>
        <w:rPr>
          <w:rFonts w:hint="eastAsia" w:ascii="仿宋" w:hAnsi="仿宋" w:eastAsia="仿宋"/>
          <w:i w:val="0"/>
          <w:color w:val="auto"/>
          <w:highlight w:val="none"/>
          <w:lang w:eastAsia="zh-CN"/>
        </w:rPr>
        <w:t>）</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（1）投标人在招标文件规定的投标有</w:t>
      </w:r>
      <w:r>
        <w:rPr>
          <w:rFonts w:ascii="仿宋" w:hAnsi="仿宋" w:eastAsia="仿宋"/>
          <w:i w:val="0"/>
          <w:color w:val="auto"/>
          <w:highlight w:val="none"/>
          <w:lang w:eastAsia="zh-CN"/>
        </w:rPr>
        <w:t>效期</w:t>
      </w:r>
      <w:r>
        <w:rPr>
          <w:rFonts w:hint="eastAsia" w:ascii="仿宋" w:hAnsi="仿宋" w:eastAsia="仿宋"/>
          <w:i w:val="0"/>
          <w:color w:val="auto"/>
          <w:highlight w:val="none"/>
          <w:lang w:eastAsia="zh-CN"/>
        </w:rPr>
        <w:t>内撤回投标的；</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（2）在</w:t>
      </w:r>
      <w:r>
        <w:rPr>
          <w:rFonts w:ascii="仿宋" w:hAnsi="仿宋" w:eastAsia="仿宋"/>
          <w:i w:val="0"/>
          <w:color w:val="auto"/>
          <w:highlight w:val="none"/>
          <w:lang w:eastAsia="zh-CN"/>
        </w:rPr>
        <w:t>采购人确定中标人以前放弃中标候选资格的；</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（3）中</w:t>
      </w:r>
      <w:r>
        <w:rPr>
          <w:rFonts w:ascii="仿宋" w:hAnsi="仿宋" w:eastAsia="仿宋"/>
          <w:i w:val="0"/>
          <w:color w:val="auto"/>
          <w:highlight w:val="none"/>
          <w:lang w:eastAsia="zh-CN"/>
        </w:rPr>
        <w:t>标后放弃中标、不领取</w:t>
      </w:r>
      <w:r>
        <w:rPr>
          <w:rFonts w:hint="eastAsia" w:ascii="仿宋" w:hAnsi="仿宋" w:eastAsia="仿宋"/>
          <w:i w:val="0"/>
          <w:color w:val="auto"/>
          <w:highlight w:val="none"/>
          <w:lang w:eastAsia="zh-CN"/>
        </w:rPr>
        <w:t>或</w:t>
      </w:r>
      <w:r>
        <w:rPr>
          <w:rFonts w:ascii="仿宋" w:hAnsi="仿宋" w:eastAsia="仿宋"/>
          <w:i w:val="0"/>
          <w:color w:val="auto"/>
          <w:highlight w:val="none"/>
          <w:lang w:eastAsia="zh-CN"/>
        </w:rPr>
        <w:t>者不接收中标通知书的；</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（4）由于中标人的原因未能按照招标文件的规定给与</w:t>
      </w:r>
      <w:r>
        <w:rPr>
          <w:rFonts w:ascii="仿宋" w:hAnsi="仿宋" w:eastAsia="仿宋"/>
          <w:i w:val="0"/>
          <w:color w:val="auto"/>
          <w:highlight w:val="none"/>
          <w:lang w:eastAsia="zh-CN"/>
        </w:rPr>
        <w:t>采购人签订合同的</w:t>
      </w:r>
      <w:r>
        <w:rPr>
          <w:rFonts w:hint="eastAsia" w:ascii="仿宋" w:hAnsi="仿宋" w:eastAsia="仿宋"/>
          <w:i w:val="0"/>
          <w:color w:val="auto"/>
          <w:highlight w:val="none"/>
          <w:lang w:eastAsia="zh-CN"/>
        </w:rPr>
        <w:t>；</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（5）由于中标人的原因未能按照招标文件的规定交纳履约保证金；</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（6）投标</w:t>
      </w:r>
      <w:r>
        <w:rPr>
          <w:rFonts w:ascii="仿宋" w:hAnsi="仿宋" w:eastAsia="仿宋"/>
          <w:i w:val="0"/>
          <w:color w:val="auto"/>
          <w:highlight w:val="none"/>
          <w:lang w:eastAsia="zh-CN"/>
        </w:rPr>
        <w:t>人提供</w:t>
      </w:r>
      <w:r>
        <w:rPr>
          <w:rFonts w:hint="eastAsia" w:ascii="仿宋" w:hAnsi="仿宋" w:eastAsia="仿宋"/>
          <w:i w:val="0"/>
          <w:color w:val="auto"/>
          <w:highlight w:val="none"/>
          <w:lang w:eastAsia="zh-CN"/>
        </w:rPr>
        <w:t>虚假</w:t>
      </w:r>
      <w:r>
        <w:rPr>
          <w:rFonts w:ascii="仿宋" w:hAnsi="仿宋" w:eastAsia="仿宋"/>
          <w:i w:val="0"/>
          <w:color w:val="auto"/>
          <w:highlight w:val="none"/>
          <w:lang w:eastAsia="zh-CN"/>
        </w:rPr>
        <w:t>资料的；</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（7）投标有效期内，投标人在政府采购活动中有违法、违规、违纪行为。</w:t>
      </w:r>
    </w:p>
    <w:p>
      <w:pPr>
        <w:pStyle w:val="5"/>
        <w:rPr>
          <w:rFonts w:ascii="仿宋" w:hAnsi="仿宋"/>
          <w:i w:val="0"/>
          <w:color w:val="auto"/>
          <w:highlight w:val="none"/>
          <w:lang w:eastAsia="zh-CN"/>
        </w:rPr>
      </w:pPr>
      <w:r>
        <w:rPr>
          <w:rFonts w:hint="eastAsia" w:ascii="仿宋" w:hAnsi="仿宋"/>
          <w:i w:val="0"/>
          <w:color w:val="auto"/>
          <w:highlight w:val="none"/>
          <w:lang w:eastAsia="zh-CN"/>
        </w:rPr>
        <w:t>17、投标有效期（实质性要求）</w:t>
      </w:r>
    </w:p>
    <w:p>
      <w:pPr>
        <w:pStyle w:val="56"/>
        <w:rPr>
          <w:rFonts w:ascii="仿宋" w:hAnsi="仿宋" w:eastAsia="仿宋" w:cs="Marigold"/>
          <w:i w:val="0"/>
          <w:color w:val="auto"/>
          <w:highlight w:val="none"/>
          <w:lang w:eastAsia="zh-CN"/>
        </w:rPr>
      </w:pPr>
      <w:r>
        <w:rPr>
          <w:rFonts w:hint="eastAsia" w:ascii="仿宋" w:hAnsi="仿宋" w:eastAsia="仿宋" w:cs="Marigold"/>
          <w:i w:val="0"/>
          <w:color w:val="auto"/>
          <w:highlight w:val="none"/>
          <w:lang w:eastAsia="zh-CN"/>
        </w:rPr>
        <w:t>17</w:t>
      </w:r>
      <w:r>
        <w:rPr>
          <w:rFonts w:ascii="仿宋" w:hAnsi="仿宋" w:eastAsia="仿宋" w:cs="Marigold"/>
          <w:i w:val="0"/>
          <w:color w:val="auto"/>
          <w:highlight w:val="none"/>
          <w:lang w:eastAsia="zh-CN"/>
        </w:rPr>
        <w:t>.</w:t>
      </w:r>
      <w:r>
        <w:rPr>
          <w:rFonts w:hint="eastAsia" w:ascii="仿宋" w:hAnsi="仿宋" w:eastAsia="仿宋" w:cs="Marigold"/>
          <w:i w:val="0"/>
          <w:color w:val="auto"/>
          <w:highlight w:val="none"/>
          <w:lang w:eastAsia="zh-CN"/>
        </w:rPr>
        <w:t>1</w:t>
      </w:r>
      <w:r>
        <w:rPr>
          <w:rFonts w:hint="eastAsia" w:ascii="仿宋" w:hAnsi="仿宋" w:eastAsia="仿宋"/>
          <w:i w:val="0"/>
          <w:color w:val="auto"/>
          <w:highlight w:val="none"/>
          <w:lang w:eastAsia="zh-CN"/>
        </w:rPr>
        <w:t>本项目投标有效期为开标后</w:t>
      </w:r>
      <w:r>
        <w:rPr>
          <w:rFonts w:ascii="仿宋" w:hAnsi="仿宋" w:eastAsia="仿宋"/>
          <w:i w:val="0"/>
          <w:color w:val="auto"/>
          <w:highlight w:val="none"/>
          <w:lang w:eastAsia="zh-CN"/>
        </w:rPr>
        <w:t>90</w:t>
      </w:r>
      <w:r>
        <w:rPr>
          <w:rFonts w:hint="eastAsia" w:ascii="仿宋" w:hAnsi="仿宋" w:eastAsia="仿宋"/>
          <w:i w:val="0"/>
          <w:color w:val="auto"/>
          <w:highlight w:val="none"/>
          <w:lang w:eastAsia="zh-CN"/>
        </w:rPr>
        <w:t>天</w:t>
      </w:r>
      <w:r>
        <w:rPr>
          <w:rFonts w:ascii="仿宋" w:hAnsi="仿宋" w:eastAsia="仿宋"/>
          <w:i w:val="0"/>
          <w:color w:val="auto"/>
          <w:highlight w:val="none"/>
          <w:lang w:eastAsia="zh-CN"/>
        </w:rPr>
        <w:t>,</w:t>
      </w:r>
      <w:r>
        <w:rPr>
          <w:rFonts w:hint="eastAsia" w:ascii="仿宋" w:hAnsi="仿宋" w:eastAsia="仿宋"/>
          <w:i w:val="0"/>
          <w:color w:val="auto"/>
          <w:highlight w:val="none"/>
          <w:lang w:eastAsia="zh-CN"/>
        </w:rPr>
        <w:t>从投标截止之日</w:t>
      </w:r>
      <w:r>
        <w:rPr>
          <w:rFonts w:ascii="仿宋" w:hAnsi="仿宋" w:eastAsia="仿宋"/>
          <w:i w:val="0"/>
          <w:color w:val="auto"/>
          <w:highlight w:val="none"/>
          <w:lang w:eastAsia="zh-CN"/>
        </w:rPr>
        <w:t>起计算</w:t>
      </w:r>
      <w:r>
        <w:rPr>
          <w:rFonts w:hint="eastAsia" w:ascii="仿宋" w:hAnsi="仿宋" w:eastAsia="仿宋" w:cs="Marigold"/>
          <w:i w:val="0"/>
          <w:color w:val="auto"/>
          <w:highlight w:val="none"/>
          <w:lang w:eastAsia="zh-CN"/>
        </w:rPr>
        <w:t>。</w:t>
      </w:r>
      <w:r>
        <w:rPr>
          <w:rFonts w:hint="eastAsia" w:ascii="仿宋" w:hAnsi="仿宋" w:eastAsia="仿宋"/>
          <w:i w:val="0"/>
          <w:color w:val="auto"/>
          <w:highlight w:val="none"/>
          <w:lang w:eastAsia="zh-CN"/>
        </w:rPr>
        <w:t>投标人投标文件中必须单独载明投标有效期，投标文件中载明的投标有效期可以长于招标文件规定的期限，但不得短于招标文件规定的期限。否则，其投标文件将作为无效投标处理</w:t>
      </w:r>
      <w:r>
        <w:rPr>
          <w:rFonts w:hint="eastAsia" w:ascii="仿宋" w:hAnsi="仿宋" w:eastAsia="仿宋" w:cs="Marigold"/>
          <w:i w:val="0"/>
          <w:color w:val="auto"/>
          <w:highlight w:val="none"/>
          <w:lang w:eastAsia="zh-CN"/>
        </w:rPr>
        <w:t>。</w:t>
      </w:r>
    </w:p>
    <w:p>
      <w:pPr>
        <w:pStyle w:val="56"/>
        <w:rPr>
          <w:rFonts w:ascii="仿宋" w:hAnsi="仿宋" w:eastAsia="仿宋"/>
          <w:i w:val="0"/>
          <w:color w:val="auto"/>
          <w:highlight w:val="none"/>
          <w:lang w:eastAsia="zh-CN"/>
        </w:rPr>
      </w:pPr>
      <w:r>
        <w:rPr>
          <w:rFonts w:hint="eastAsia" w:ascii="仿宋" w:hAnsi="仿宋" w:eastAsia="仿宋" w:cs="Marigold"/>
          <w:i w:val="0"/>
          <w:color w:val="auto"/>
          <w:highlight w:val="none"/>
          <w:lang w:eastAsia="zh-CN"/>
        </w:rPr>
        <w:t>17</w:t>
      </w:r>
      <w:r>
        <w:rPr>
          <w:rFonts w:ascii="仿宋" w:hAnsi="仿宋" w:eastAsia="仿宋" w:cs="Marigold"/>
          <w:i w:val="0"/>
          <w:color w:val="auto"/>
          <w:highlight w:val="none"/>
          <w:lang w:eastAsia="zh-CN"/>
        </w:rPr>
        <w:t>.</w:t>
      </w:r>
      <w:r>
        <w:rPr>
          <w:rFonts w:hint="eastAsia" w:ascii="仿宋" w:hAnsi="仿宋" w:eastAsia="仿宋" w:cs="Marigold"/>
          <w:i w:val="0"/>
          <w:color w:val="auto"/>
          <w:highlight w:val="none"/>
          <w:lang w:eastAsia="zh-CN"/>
        </w:rPr>
        <w:t>2</w:t>
      </w:r>
      <w:r>
        <w:rPr>
          <w:rFonts w:hint="eastAsia" w:ascii="仿宋" w:hAnsi="仿宋" w:eastAsia="仿宋"/>
          <w:i w:val="0"/>
          <w:color w:val="auto"/>
          <w:highlight w:val="none"/>
          <w:lang w:eastAsia="zh-CN"/>
        </w:rPr>
        <w:t>因不可抗力事件或者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6"/>
        <w:rPr>
          <w:rFonts w:ascii="仿宋" w:hAnsi="仿宋" w:eastAsia="仿宋" w:cs="Marigold"/>
          <w:i w:val="0"/>
          <w:color w:val="auto"/>
          <w:highlight w:val="none"/>
          <w:lang w:eastAsia="zh-CN"/>
        </w:rPr>
      </w:pPr>
      <w:r>
        <w:rPr>
          <w:rFonts w:hint="eastAsia" w:ascii="仿宋" w:hAnsi="仿宋" w:eastAsia="仿宋" w:cs="Marigold"/>
          <w:i w:val="0"/>
          <w:color w:val="auto"/>
          <w:highlight w:val="none"/>
          <w:lang w:eastAsia="zh-CN"/>
        </w:rPr>
        <w:t>17</w:t>
      </w:r>
      <w:r>
        <w:rPr>
          <w:rFonts w:ascii="仿宋" w:hAnsi="仿宋" w:eastAsia="仿宋" w:cs="Marigold"/>
          <w:i w:val="0"/>
          <w:color w:val="auto"/>
          <w:highlight w:val="none"/>
          <w:lang w:eastAsia="zh-CN"/>
        </w:rPr>
        <w:t>.3 因采购人采购需求</w:t>
      </w:r>
      <w:r>
        <w:rPr>
          <w:rFonts w:hint="eastAsia" w:ascii="仿宋" w:hAnsi="仿宋" w:eastAsia="仿宋" w:cs="Marigold"/>
          <w:i w:val="0"/>
          <w:color w:val="auto"/>
          <w:highlight w:val="none"/>
          <w:lang w:eastAsia="zh-CN"/>
        </w:rPr>
        <w:t>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rPr>
          <w:rFonts w:ascii="仿宋" w:hAnsi="仿宋"/>
          <w:i w:val="0"/>
          <w:color w:val="auto"/>
          <w:highlight w:val="none"/>
          <w:lang w:eastAsia="zh-CN"/>
        </w:rPr>
      </w:pPr>
      <w:bookmarkStart w:id="210" w:name="_Toc511558633"/>
      <w:bookmarkStart w:id="211" w:name="_Toc217446052"/>
      <w:bookmarkStart w:id="212" w:name="_Toc468640375"/>
      <w:bookmarkStart w:id="213" w:name="_Toc183582225"/>
      <w:bookmarkStart w:id="214" w:name="_Toc468331081"/>
      <w:bookmarkStart w:id="215" w:name="_Toc468654137"/>
      <w:bookmarkStart w:id="216" w:name="_Toc183682362"/>
      <w:bookmarkStart w:id="217" w:name="_Toc497752226"/>
      <w:bookmarkStart w:id="218" w:name="_Toc395625037"/>
      <w:bookmarkStart w:id="219" w:name="_Toc468641496"/>
      <w:bookmarkStart w:id="220" w:name="_Toc468640280"/>
      <w:bookmarkStart w:id="221" w:name="_Toc468320449"/>
      <w:bookmarkStart w:id="222" w:name="_Toc468346372"/>
      <w:bookmarkStart w:id="223" w:name="_Toc505762726"/>
      <w:r>
        <w:rPr>
          <w:rFonts w:hint="eastAsia" w:ascii="仿宋" w:hAnsi="仿宋"/>
          <w:i w:val="0"/>
          <w:color w:val="auto"/>
          <w:highlight w:val="none"/>
          <w:lang w:eastAsia="zh-CN"/>
        </w:rPr>
        <w:t>18、投标文件的制作和签章、加密</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18.1 本项目实行电子投标。投标人应先安装“政采云投标客户端”。（政府采购云平台—CA管理—绑定CA—下载驱动—“政采云投标客户端”立即下载）。投标人应按招标文件要求，通过“政采云投标客户端”制作、加密并提交投标文件。</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18.2 投标文件每页均应加盖投标人（法定名称）电子签章，不得使用投标人专用章（如经济合同章、投标专用章等）或下属单位印章代替。</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18.3 投标人应使用本企业CA数字证书对投标文件进行加密。</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18.4 招标文件若有修改，投标人根据修改后的招标文件制作或修改并递交投标文件。</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18.5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p>
    <w:p>
      <w:pPr>
        <w:pStyle w:val="5"/>
        <w:rPr>
          <w:rFonts w:ascii="仿宋" w:hAnsi="仿宋"/>
          <w:i w:val="0"/>
          <w:color w:val="auto"/>
          <w:highlight w:val="none"/>
          <w:lang w:eastAsia="zh-CN"/>
        </w:rPr>
      </w:pPr>
      <w:bookmarkStart w:id="224" w:name="_Toc497752228"/>
      <w:bookmarkStart w:id="225" w:name="_Toc511558635"/>
      <w:bookmarkStart w:id="226" w:name="_Toc505762728"/>
      <w:r>
        <w:rPr>
          <w:rFonts w:hint="eastAsia" w:ascii="仿宋" w:hAnsi="仿宋"/>
          <w:i w:val="0"/>
          <w:color w:val="auto"/>
          <w:highlight w:val="none"/>
          <w:lang w:eastAsia="zh-CN"/>
        </w:rPr>
        <w:t>19、投标文件的递交</w:t>
      </w:r>
      <w:bookmarkEnd w:id="224"/>
      <w:bookmarkEnd w:id="225"/>
      <w:bookmarkEnd w:id="226"/>
    </w:p>
    <w:p>
      <w:pPr>
        <w:spacing w:line="360" w:lineRule="auto"/>
        <w:ind w:firstLine="470" w:firstLineChars="196"/>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19.1 投标人应当在投标文件递交截止时间前，将生成的已加密的电子投标文件成功递交至“政府采购云平台”。</w:t>
      </w:r>
    </w:p>
    <w:p>
      <w:pPr>
        <w:spacing w:line="360" w:lineRule="auto"/>
        <w:ind w:firstLine="470" w:firstLineChars="196"/>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19.2投标人应充分考虑递交文件的不可预见因素，在投标截止时间后将无法递交。</w:t>
      </w:r>
    </w:p>
    <w:p>
      <w:pPr>
        <w:pStyle w:val="5"/>
        <w:spacing w:line="360" w:lineRule="auto"/>
        <w:rPr>
          <w:rFonts w:ascii="仿宋" w:hAnsi="仿宋"/>
          <w:i w:val="0"/>
          <w:color w:val="auto"/>
          <w:highlight w:val="none"/>
          <w:lang w:eastAsia="zh-CN"/>
        </w:rPr>
      </w:pPr>
      <w:bookmarkStart w:id="227" w:name="_Toc468320452"/>
      <w:bookmarkStart w:id="228" w:name="_Toc468641499"/>
      <w:bookmarkStart w:id="229" w:name="_Toc183582228"/>
      <w:bookmarkStart w:id="230" w:name="_Toc511558636"/>
      <w:bookmarkStart w:id="231" w:name="_Toc183682365"/>
      <w:bookmarkStart w:id="232" w:name="_Toc468654140"/>
      <w:bookmarkStart w:id="233" w:name="_Toc505762729"/>
      <w:bookmarkStart w:id="234" w:name="_Toc468346375"/>
      <w:bookmarkStart w:id="235" w:name="_Toc468640283"/>
      <w:bookmarkStart w:id="236" w:name="_Toc497752229"/>
      <w:bookmarkStart w:id="237" w:name="_Toc468331084"/>
      <w:bookmarkStart w:id="238" w:name="_Toc468640378"/>
      <w:bookmarkStart w:id="239" w:name="_Toc395625040"/>
      <w:bookmarkStart w:id="240" w:name="_Toc217446055"/>
      <w:r>
        <w:rPr>
          <w:rFonts w:hint="eastAsia" w:ascii="仿宋" w:hAnsi="仿宋"/>
          <w:i w:val="0"/>
          <w:color w:val="auto"/>
          <w:highlight w:val="none"/>
          <w:lang w:eastAsia="zh-CN"/>
        </w:rPr>
        <w:t>20、</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rFonts w:hint="eastAsia" w:ascii="仿宋" w:hAnsi="仿宋"/>
          <w:i w:val="0"/>
          <w:color w:val="auto"/>
          <w:highlight w:val="none"/>
          <w:lang w:eastAsia="zh-CN"/>
        </w:rPr>
        <w:t>投标文件的补充、修改或撤回</w:t>
      </w:r>
    </w:p>
    <w:p>
      <w:pPr>
        <w:spacing w:line="360" w:lineRule="auto"/>
        <w:ind w:firstLine="470" w:firstLineChars="196"/>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20.1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20.2投标截止时间后，投标人不得对其递交的投标文件做任何补充、修改。</w:t>
      </w:r>
    </w:p>
    <w:p>
      <w:pPr>
        <w:pStyle w:val="5"/>
        <w:spacing w:line="360" w:lineRule="auto"/>
        <w:rPr>
          <w:rFonts w:ascii="仿宋" w:hAnsi="仿宋"/>
          <w:i w:val="0"/>
          <w:color w:val="auto"/>
          <w:highlight w:val="none"/>
          <w:lang w:eastAsia="zh-CN"/>
        </w:rPr>
      </w:pPr>
      <w:r>
        <w:rPr>
          <w:rFonts w:hint="eastAsia" w:ascii="仿宋" w:hAnsi="仿宋"/>
          <w:i w:val="0"/>
          <w:color w:val="auto"/>
          <w:highlight w:val="none"/>
          <w:lang w:eastAsia="zh-CN"/>
        </w:rPr>
        <w:t>21.投标文件的解密</w:t>
      </w:r>
    </w:p>
    <w:p>
      <w:pPr>
        <w:spacing w:line="400" w:lineRule="exact"/>
        <w:ind w:firstLine="470" w:firstLineChars="196"/>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4"/>
        <w:rPr>
          <w:i w:val="0"/>
          <w:color w:val="auto"/>
          <w:highlight w:val="none"/>
          <w:lang w:eastAsia="zh-CN"/>
        </w:rPr>
      </w:pPr>
      <w:bookmarkStart w:id="241" w:name="_Toc77400782"/>
      <w:bookmarkStart w:id="242" w:name="_Toc217446056"/>
      <w:bookmarkStart w:id="243" w:name="_Toc89075878"/>
      <w:bookmarkStart w:id="244" w:name="_Toc183582231"/>
      <w:bookmarkStart w:id="245" w:name="_Toc183682368"/>
      <w:bookmarkStart w:id="246" w:name="_Toc524910114"/>
      <w:bookmarkStart w:id="247" w:name="_Toc468331085"/>
      <w:bookmarkStart w:id="248" w:name="_Toc511558637"/>
      <w:bookmarkStart w:id="249" w:name="_Toc395625041"/>
      <w:bookmarkStart w:id="250" w:name="_Toc19246"/>
      <w:bookmarkStart w:id="251" w:name="_Toc468346376"/>
      <w:r>
        <w:rPr>
          <w:rFonts w:hint="eastAsia"/>
          <w:i w:val="0"/>
          <w:color w:val="auto"/>
          <w:highlight w:val="none"/>
          <w:lang w:eastAsia="zh-CN"/>
        </w:rPr>
        <w:t>五、开标和</w:t>
      </w:r>
      <w:bookmarkEnd w:id="241"/>
      <w:bookmarkEnd w:id="242"/>
      <w:bookmarkEnd w:id="243"/>
      <w:bookmarkEnd w:id="244"/>
      <w:bookmarkEnd w:id="245"/>
      <w:r>
        <w:rPr>
          <w:rFonts w:hint="eastAsia"/>
          <w:i w:val="0"/>
          <w:color w:val="auto"/>
          <w:highlight w:val="none"/>
          <w:lang w:eastAsia="zh-CN"/>
        </w:rPr>
        <w:t>中标</w:t>
      </w:r>
      <w:bookmarkEnd w:id="246"/>
      <w:bookmarkEnd w:id="247"/>
      <w:bookmarkEnd w:id="248"/>
      <w:bookmarkEnd w:id="249"/>
      <w:bookmarkEnd w:id="250"/>
      <w:bookmarkEnd w:id="251"/>
    </w:p>
    <w:p>
      <w:pPr>
        <w:pStyle w:val="5"/>
        <w:rPr>
          <w:rFonts w:ascii="仿宋" w:hAnsi="仿宋"/>
          <w:i w:val="0"/>
          <w:color w:val="auto"/>
          <w:highlight w:val="none"/>
          <w:lang w:eastAsia="zh-CN"/>
        </w:rPr>
      </w:pPr>
      <w:bookmarkStart w:id="252" w:name="_Toc468654142"/>
      <w:bookmarkStart w:id="253" w:name="_Toc468346377"/>
      <w:bookmarkStart w:id="254" w:name="_Toc183582232"/>
      <w:bookmarkStart w:id="255" w:name="_Toc468641501"/>
      <w:bookmarkStart w:id="256" w:name="_Toc183682369"/>
      <w:bookmarkStart w:id="257" w:name="_Toc468331086"/>
      <w:bookmarkStart w:id="258" w:name="_Toc395625042"/>
      <w:bookmarkStart w:id="259" w:name="_Toc217446057"/>
      <w:bookmarkStart w:id="260" w:name="_Toc511558638"/>
      <w:bookmarkStart w:id="261" w:name="_Toc505762731"/>
      <w:bookmarkStart w:id="262" w:name="_Toc497752231"/>
      <w:bookmarkStart w:id="263" w:name="_Toc468320454"/>
      <w:bookmarkStart w:id="264" w:name="_Toc468640285"/>
      <w:bookmarkStart w:id="265" w:name="_Toc468640380"/>
      <w:r>
        <w:rPr>
          <w:rFonts w:hint="eastAsia" w:ascii="仿宋" w:hAnsi="仿宋"/>
          <w:i w:val="0"/>
          <w:color w:val="auto"/>
          <w:highlight w:val="none"/>
          <w:lang w:eastAsia="zh-CN"/>
        </w:rPr>
        <w:t>22、</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Fonts w:hint="eastAsia" w:ascii="仿宋" w:hAnsi="仿宋"/>
          <w:i w:val="0"/>
          <w:color w:val="auto"/>
          <w:highlight w:val="none"/>
          <w:lang w:eastAsia="zh-CN"/>
        </w:rPr>
        <w:t>开标及开标程序</w:t>
      </w:r>
    </w:p>
    <w:p>
      <w:pPr>
        <w:pStyle w:val="56"/>
        <w:rPr>
          <w:rFonts w:ascii="仿宋" w:hAnsi="仿宋" w:eastAsia="仿宋"/>
          <w:b/>
          <w:bCs/>
          <w:i w:val="0"/>
          <w:color w:val="auto"/>
          <w:highlight w:val="none"/>
          <w:lang w:eastAsia="zh-CN"/>
        </w:rPr>
      </w:pPr>
      <w:r>
        <w:rPr>
          <w:rFonts w:hint="eastAsia" w:ascii="仿宋" w:hAnsi="仿宋" w:eastAsia="仿宋"/>
          <w:i w:val="0"/>
          <w:color w:val="auto"/>
          <w:highlight w:val="none"/>
          <w:lang w:eastAsia="zh-CN"/>
        </w:rPr>
        <w:t>22</w:t>
      </w:r>
      <w:r>
        <w:rPr>
          <w:rFonts w:ascii="仿宋" w:hAnsi="仿宋" w:eastAsia="仿宋"/>
          <w:i w:val="0"/>
          <w:color w:val="auto"/>
          <w:highlight w:val="none"/>
          <w:lang w:eastAsia="zh-CN"/>
        </w:rPr>
        <w:t>.</w:t>
      </w:r>
      <w:r>
        <w:rPr>
          <w:rFonts w:hint="eastAsia" w:ascii="仿宋" w:hAnsi="仿宋" w:eastAsia="仿宋"/>
          <w:i w:val="0"/>
          <w:color w:val="auto"/>
          <w:highlight w:val="none"/>
          <w:lang w:eastAsia="zh-CN"/>
        </w:rPr>
        <w:t>1本项目为电子开评标，递交电子投标文件的投标人不足3家的，不予开标。</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22.</w:t>
      </w:r>
      <w:r>
        <w:rPr>
          <w:rFonts w:ascii="仿宋" w:hAnsi="仿宋" w:eastAsia="仿宋"/>
          <w:i w:val="0"/>
          <w:color w:val="auto"/>
          <w:highlight w:val="none"/>
          <w:lang w:eastAsia="zh-CN"/>
        </w:rPr>
        <w:t>2</w:t>
      </w:r>
      <w:r>
        <w:rPr>
          <w:rFonts w:hint="eastAsia" w:ascii="仿宋" w:hAnsi="仿宋" w:eastAsia="仿宋"/>
          <w:i w:val="0"/>
          <w:color w:val="auto"/>
          <w:highlight w:val="none"/>
          <w:lang w:eastAsia="zh-CN"/>
        </w:rPr>
        <w:t>开标准备工作。投标人需在开标当日、投标截止时间前登录“政府采购云平台”，通过本项目“开标大厅”参与不见面开标。登录政府采购云平台—项目采购—开标评标—开标大厅（确保进入本项目开标大厅）。</w:t>
      </w:r>
    </w:p>
    <w:p>
      <w:pPr>
        <w:pStyle w:val="56"/>
        <w:ind w:firstLine="482"/>
        <w:rPr>
          <w:rFonts w:ascii="仿宋" w:hAnsi="仿宋" w:eastAsia="仿宋"/>
          <w:i w:val="0"/>
          <w:color w:val="auto"/>
          <w:highlight w:val="none"/>
          <w:lang w:eastAsia="zh-CN"/>
        </w:rPr>
      </w:pPr>
      <w:r>
        <w:rPr>
          <w:rFonts w:hint="eastAsia" w:ascii="仿宋" w:hAnsi="仿宋" w:eastAsia="仿宋"/>
          <w:b/>
          <w:bCs/>
          <w:i w:val="0"/>
          <w:color w:val="auto"/>
          <w:highlight w:val="none"/>
          <w:lang w:eastAsia="zh-CN"/>
        </w:rPr>
        <w:t>提示：投标人未按时登录不见面开标系统，错过开标解密时间的，由投标人自行承担不利后果。</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22.3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pStyle w:val="56"/>
        <w:rPr>
          <w:rFonts w:ascii="仿宋" w:hAnsi="仿宋" w:eastAsia="仿宋"/>
          <w:bCs/>
          <w:i w:val="0"/>
          <w:color w:val="auto"/>
          <w:highlight w:val="none"/>
          <w:lang w:eastAsia="zh-CN"/>
        </w:rPr>
      </w:pPr>
      <w:r>
        <w:rPr>
          <w:rFonts w:hint="eastAsia" w:ascii="仿宋" w:hAnsi="仿宋" w:eastAsia="仿宋"/>
          <w:bCs/>
          <w:i w:val="0"/>
          <w:color w:val="auto"/>
          <w:highlight w:val="none"/>
          <w:lang w:eastAsia="zh-CN"/>
        </w:rPr>
        <w:t>22.4</w:t>
      </w:r>
      <w:r>
        <w:rPr>
          <w:rFonts w:hint="eastAsia" w:ascii="仿宋" w:hAnsi="仿宋" w:eastAsia="仿宋"/>
          <w:i w:val="0"/>
          <w:color w:val="auto"/>
          <w:highlight w:val="none"/>
          <w:lang w:eastAsia="zh-CN"/>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r>
        <w:rPr>
          <w:rFonts w:hint="eastAsia" w:ascii="仿宋" w:hAnsi="仿宋" w:eastAsia="仿宋"/>
          <w:bCs/>
          <w:i w:val="0"/>
          <w:color w:val="auto"/>
          <w:highlight w:val="none"/>
          <w:lang w:eastAsia="zh-CN"/>
        </w:rPr>
        <w:t>。</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22.5投标人电脑终端等硬件设备和软件系统配置：投标人电脑终端等硬件设备和软件系统配置应符合电子投标（含不见面开标大厅）投标人电脑终端配置要求并运行正常，投标人承担因未尽职责产生的不利后果。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22.6因断电、断网、系统故障或其他不可抗力等因素导致不见面开标系统无法正常运行的，开标活动中止或延迟，待系统恢复正常后继续进行开标活动。</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22.</w:t>
      </w:r>
      <w:r>
        <w:rPr>
          <w:rFonts w:hint="eastAsia" w:ascii="仿宋" w:hAnsi="仿宋" w:eastAsia="仿宋"/>
          <w:i w:val="0"/>
          <w:color w:val="auto"/>
          <w:highlight w:val="none"/>
          <w:lang w:val="en-US" w:eastAsia="zh-CN"/>
        </w:rPr>
        <w:t>7</w:t>
      </w:r>
      <w:r>
        <w:rPr>
          <w:rFonts w:hint="eastAsia" w:ascii="仿宋" w:hAnsi="仿宋" w:eastAsia="仿宋"/>
          <w:i w:val="0"/>
          <w:color w:val="auto"/>
          <w:highlight w:val="none"/>
          <w:lang w:eastAsia="zh-CN"/>
        </w:rPr>
        <w:t>不见面开标过程中，各方主体均应遵守互联网有关规定，不得发表与交易活动无关的言论。</w:t>
      </w:r>
    </w:p>
    <w:p>
      <w:pPr>
        <w:pStyle w:val="5"/>
        <w:rPr>
          <w:rFonts w:ascii="仿宋" w:hAnsi="仿宋"/>
          <w:i w:val="0"/>
          <w:color w:val="auto"/>
          <w:highlight w:val="none"/>
          <w:lang w:eastAsia="zh-CN"/>
        </w:rPr>
      </w:pPr>
      <w:bookmarkStart w:id="266" w:name="_Toc497752234"/>
      <w:bookmarkStart w:id="267" w:name="_Toc511558641"/>
      <w:bookmarkStart w:id="268" w:name="_Toc505762734"/>
      <w:r>
        <w:rPr>
          <w:rFonts w:hint="eastAsia" w:ascii="仿宋" w:hAnsi="仿宋"/>
          <w:i w:val="0"/>
          <w:color w:val="auto"/>
          <w:highlight w:val="none"/>
          <w:lang w:eastAsia="zh-CN"/>
        </w:rPr>
        <w:t>25、开评标过程存档</w:t>
      </w:r>
      <w:bookmarkEnd w:id="266"/>
      <w:bookmarkEnd w:id="267"/>
      <w:bookmarkEnd w:id="268"/>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开标和评标过程进行全过程电子监控，并将电子监控资料存储介质留存归档。</w:t>
      </w:r>
    </w:p>
    <w:p>
      <w:pPr>
        <w:pStyle w:val="5"/>
        <w:spacing w:line="360" w:lineRule="auto"/>
        <w:rPr>
          <w:rFonts w:ascii="仿宋" w:hAnsi="仿宋"/>
          <w:i w:val="0"/>
          <w:color w:val="auto"/>
          <w:highlight w:val="none"/>
          <w:lang w:eastAsia="zh-CN"/>
        </w:rPr>
      </w:pPr>
      <w:bookmarkStart w:id="269" w:name="_Toc511558642"/>
      <w:bookmarkStart w:id="270" w:name="_Toc505762735"/>
      <w:bookmarkStart w:id="271" w:name="_Toc497752235"/>
      <w:r>
        <w:rPr>
          <w:rFonts w:hint="eastAsia" w:ascii="仿宋" w:hAnsi="仿宋"/>
          <w:i w:val="0"/>
          <w:color w:val="auto"/>
          <w:highlight w:val="none"/>
          <w:lang w:eastAsia="zh-CN"/>
        </w:rPr>
        <w:t>26、评标情况公告</w:t>
      </w:r>
      <w:bookmarkEnd w:id="269"/>
      <w:bookmarkEnd w:id="270"/>
      <w:bookmarkEnd w:id="271"/>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所有投标人投标文件资格性、符合性检查情况、采用综合评分法时的总得分和分项汇总得分情况、评标结果等将在四川政府采购网上采购结果公告栏中予以公告。</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根据《中华人民共和国政府采购法实施条例》第四十三条的规定，公告内容应当包括主要中标标的的名称、规格型号、数量、单价、服务要求以及评审专家名单。</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投标人需将投标文件中涉及商业秘密和知识产权的内容进行标注和说明。若未进行标注和说明的，视为全部内容均可公布，采购人或者采购代理机构对此不承担任何责任。</w:t>
      </w:r>
    </w:p>
    <w:p>
      <w:pPr>
        <w:pStyle w:val="5"/>
        <w:spacing w:line="360" w:lineRule="auto"/>
        <w:rPr>
          <w:rFonts w:ascii="仿宋" w:hAnsi="仿宋"/>
          <w:i w:val="0"/>
          <w:color w:val="auto"/>
          <w:highlight w:val="none"/>
          <w:lang w:eastAsia="zh-CN"/>
        </w:rPr>
      </w:pPr>
      <w:bookmarkStart w:id="272" w:name="_Toc511558643"/>
      <w:bookmarkStart w:id="273" w:name="_Toc497752236"/>
      <w:bookmarkStart w:id="274" w:name="_Toc505762736"/>
      <w:r>
        <w:rPr>
          <w:rFonts w:hint="eastAsia" w:ascii="仿宋" w:hAnsi="仿宋"/>
          <w:i w:val="0"/>
          <w:color w:val="auto"/>
          <w:highlight w:val="none"/>
          <w:lang w:eastAsia="zh-CN"/>
        </w:rPr>
        <w:t>27、中标通知书</w:t>
      </w:r>
      <w:bookmarkEnd w:id="272"/>
      <w:bookmarkEnd w:id="273"/>
      <w:bookmarkEnd w:id="274"/>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27.1中标通知书为签订政府采购合同的依据之一，是合同的有效组成部分。</w:t>
      </w:r>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27.2投标</w:t>
      </w:r>
      <w:r>
        <w:rPr>
          <w:rFonts w:ascii="仿宋" w:hAnsi="仿宋" w:eastAsia="仿宋"/>
          <w:i w:val="0"/>
          <w:color w:val="auto"/>
          <w:sz w:val="24"/>
          <w:highlight w:val="none"/>
          <w:lang w:eastAsia="zh-CN"/>
        </w:rPr>
        <w:t>人中标后，拒绝领取中标通知书的，招标采购单位将于中标人确定之日起</w:t>
      </w:r>
      <w:r>
        <w:rPr>
          <w:rFonts w:hint="eastAsia" w:ascii="仿宋" w:hAnsi="仿宋" w:eastAsia="仿宋"/>
          <w:i w:val="0"/>
          <w:color w:val="auto"/>
          <w:sz w:val="24"/>
          <w:highlight w:val="none"/>
          <w:lang w:eastAsia="zh-CN"/>
        </w:rPr>
        <w:t>两</w:t>
      </w:r>
      <w:r>
        <w:rPr>
          <w:rFonts w:ascii="仿宋" w:hAnsi="仿宋" w:eastAsia="仿宋"/>
          <w:i w:val="0"/>
          <w:color w:val="auto"/>
          <w:sz w:val="24"/>
          <w:highlight w:val="none"/>
          <w:lang w:eastAsia="zh-CN"/>
        </w:rPr>
        <w:t>个工作日内采</w:t>
      </w:r>
      <w:r>
        <w:rPr>
          <w:rFonts w:hint="eastAsia" w:ascii="仿宋" w:hAnsi="仿宋" w:eastAsia="仿宋"/>
          <w:i w:val="0"/>
          <w:color w:val="auto"/>
          <w:sz w:val="24"/>
          <w:highlight w:val="none"/>
          <w:lang w:eastAsia="zh-CN"/>
        </w:rPr>
        <w:t>用</w:t>
      </w:r>
      <w:r>
        <w:rPr>
          <w:rFonts w:ascii="仿宋" w:hAnsi="仿宋" w:eastAsia="仿宋"/>
          <w:i w:val="0"/>
          <w:color w:val="auto"/>
          <w:sz w:val="24"/>
          <w:highlight w:val="none"/>
          <w:lang w:eastAsia="zh-CN"/>
        </w:rPr>
        <w:t>邮寄、快递方式按照投标人投标</w:t>
      </w:r>
      <w:r>
        <w:rPr>
          <w:rFonts w:hint="eastAsia" w:ascii="仿宋" w:hAnsi="仿宋" w:eastAsia="仿宋"/>
          <w:i w:val="0"/>
          <w:color w:val="auto"/>
          <w:sz w:val="24"/>
          <w:highlight w:val="none"/>
          <w:lang w:eastAsia="zh-CN"/>
        </w:rPr>
        <w:t>文件</w:t>
      </w:r>
      <w:r>
        <w:rPr>
          <w:rFonts w:ascii="仿宋" w:hAnsi="仿宋" w:eastAsia="仿宋"/>
          <w:i w:val="0"/>
          <w:color w:val="auto"/>
          <w:sz w:val="24"/>
          <w:highlight w:val="none"/>
          <w:lang w:eastAsia="zh-CN"/>
        </w:rPr>
        <w:t>中的地址发出中标通知书</w:t>
      </w:r>
      <w:r>
        <w:rPr>
          <w:rFonts w:hint="eastAsia" w:ascii="仿宋" w:hAnsi="仿宋" w:eastAsia="仿宋"/>
          <w:i w:val="0"/>
          <w:color w:val="auto"/>
          <w:sz w:val="24"/>
          <w:highlight w:val="none"/>
          <w:lang w:eastAsia="zh-CN"/>
        </w:rPr>
        <w:t>。</w:t>
      </w:r>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27.3中标通知书对采购人和中标人均具有法律效力。中标通知书发出后，采购人改变中标结果，或者中标人无正当理由放弃中标的，应当承担相应的法律责任。</w:t>
      </w:r>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27.4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27.5中标公告发出后，中标人</w:t>
      </w:r>
      <w:r>
        <w:rPr>
          <w:rFonts w:ascii="仿宋" w:hAnsi="仿宋" w:eastAsia="仿宋"/>
          <w:i w:val="0"/>
          <w:color w:val="auto"/>
          <w:sz w:val="24"/>
          <w:highlight w:val="none"/>
          <w:lang w:eastAsia="zh-CN"/>
        </w:rPr>
        <w:t>凭有效身份证明、</w:t>
      </w:r>
      <w:r>
        <w:rPr>
          <w:rFonts w:hint="eastAsia" w:ascii="仿宋" w:hAnsi="仿宋" w:eastAsia="仿宋"/>
          <w:i w:val="0"/>
          <w:color w:val="auto"/>
          <w:sz w:val="24"/>
          <w:highlight w:val="none"/>
          <w:lang w:eastAsia="zh-CN"/>
        </w:rPr>
        <w:t>代理服务费交纳凭证领取通知书。</w:t>
      </w:r>
    </w:p>
    <w:p>
      <w:pPr>
        <w:pStyle w:val="4"/>
        <w:spacing w:line="360" w:lineRule="auto"/>
        <w:rPr>
          <w:i w:val="0"/>
          <w:color w:val="auto"/>
          <w:highlight w:val="none"/>
          <w:lang w:eastAsia="zh-CN"/>
        </w:rPr>
      </w:pPr>
      <w:bookmarkStart w:id="275" w:name="_Toc468331089"/>
      <w:bookmarkStart w:id="276" w:name="_Toc468346380"/>
      <w:bookmarkStart w:id="277" w:name="_Toc217446064"/>
      <w:bookmarkStart w:id="278" w:name="_Toc395625045"/>
      <w:bookmarkStart w:id="279" w:name="_Toc511558644"/>
      <w:bookmarkStart w:id="280" w:name="_Toc3020"/>
      <w:bookmarkStart w:id="281" w:name="_Toc524910115"/>
      <w:r>
        <w:rPr>
          <w:rFonts w:hint="eastAsia"/>
          <w:i w:val="0"/>
          <w:color w:val="auto"/>
          <w:highlight w:val="none"/>
          <w:lang w:eastAsia="zh-CN"/>
        </w:rPr>
        <w:t>六、签订及履行合同和服务要求、考核标准</w:t>
      </w:r>
      <w:bookmarkEnd w:id="275"/>
      <w:bookmarkEnd w:id="276"/>
      <w:bookmarkEnd w:id="277"/>
      <w:bookmarkEnd w:id="278"/>
      <w:bookmarkEnd w:id="279"/>
      <w:bookmarkEnd w:id="280"/>
      <w:bookmarkEnd w:id="281"/>
    </w:p>
    <w:p>
      <w:pPr>
        <w:pStyle w:val="5"/>
        <w:spacing w:line="360" w:lineRule="auto"/>
        <w:rPr>
          <w:rFonts w:ascii="仿宋" w:hAnsi="仿宋"/>
          <w:i w:val="0"/>
          <w:color w:val="auto"/>
          <w:highlight w:val="none"/>
          <w:lang w:eastAsia="zh-CN"/>
        </w:rPr>
      </w:pPr>
      <w:bookmarkStart w:id="282" w:name="_Toc497752238"/>
      <w:bookmarkStart w:id="283" w:name="_Toc217446065"/>
      <w:bookmarkStart w:id="284" w:name="_Toc468331090"/>
      <w:bookmarkStart w:id="285" w:name="_Toc511558645"/>
      <w:bookmarkStart w:id="286" w:name="_Toc395625046"/>
      <w:bookmarkStart w:id="287" w:name="_Toc468320458"/>
      <w:bookmarkStart w:id="288" w:name="_Toc468654146"/>
      <w:bookmarkStart w:id="289" w:name="_Toc505762738"/>
      <w:bookmarkStart w:id="290" w:name="_Toc468641505"/>
      <w:bookmarkStart w:id="291" w:name="_Toc468640384"/>
      <w:bookmarkStart w:id="292" w:name="_Toc468346381"/>
      <w:bookmarkStart w:id="293" w:name="_Toc468640289"/>
      <w:r>
        <w:rPr>
          <w:rFonts w:hint="eastAsia" w:ascii="仿宋" w:hAnsi="仿宋"/>
          <w:i w:val="0"/>
          <w:color w:val="auto"/>
          <w:highlight w:val="none"/>
          <w:lang w:eastAsia="zh-CN"/>
        </w:rPr>
        <w:t>28、签订合同</w:t>
      </w:r>
      <w:bookmarkEnd w:id="282"/>
      <w:bookmarkEnd w:id="283"/>
      <w:bookmarkEnd w:id="284"/>
      <w:bookmarkEnd w:id="285"/>
      <w:bookmarkEnd w:id="286"/>
      <w:bookmarkEnd w:id="287"/>
      <w:bookmarkEnd w:id="288"/>
      <w:bookmarkEnd w:id="289"/>
      <w:bookmarkEnd w:id="290"/>
      <w:bookmarkEnd w:id="291"/>
      <w:bookmarkEnd w:id="292"/>
      <w:bookmarkEnd w:id="293"/>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28.1中标人应在《中标通知书》发出之日起三十日内与采购人签订采购合同。由于中标人的原因逾期未与采购人签订采购合同的，将视为放弃中标，取消其中标资格并将按相关规定进行处理。</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28.2 采购人不得向中标人提出任何不合理的要求，作为签订合同的条件，不得与中标人私下订立背离合同实质性内容的任何协议，所签订的合同不得对招标文件和中标人投标文件作实质性修改。</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28.3 中标人因不可抗力原因不能履行采购合同或放弃中标的，采购人可以与排在中标人之后第一位的中标候选人签订采购合同，以此类推，无法确定中标人的采购人将重新组织采购。</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28.4 中标人在合同签订之后七个工作日内，将签订的合同原件（一</w:t>
      </w:r>
      <w:r>
        <w:rPr>
          <w:rFonts w:ascii="仿宋" w:hAnsi="仿宋" w:eastAsia="仿宋"/>
          <w:i w:val="0"/>
          <w:color w:val="auto"/>
          <w:sz w:val="24"/>
          <w:highlight w:val="none"/>
          <w:lang w:eastAsia="zh-CN"/>
        </w:rPr>
        <w:t>式</w:t>
      </w:r>
      <w:r>
        <w:rPr>
          <w:rFonts w:hint="eastAsia" w:ascii="仿宋" w:hAnsi="仿宋" w:eastAsia="仿宋"/>
          <w:i w:val="0"/>
          <w:color w:val="auto"/>
          <w:sz w:val="24"/>
          <w:highlight w:val="none"/>
          <w:lang w:eastAsia="zh-CN"/>
        </w:rPr>
        <w:t>一份</w:t>
      </w:r>
      <w:r>
        <w:rPr>
          <w:rFonts w:ascii="仿宋" w:hAnsi="仿宋" w:eastAsia="仿宋"/>
          <w:i w:val="0"/>
          <w:color w:val="auto"/>
          <w:sz w:val="24"/>
          <w:highlight w:val="none"/>
          <w:lang w:eastAsia="zh-CN"/>
        </w:rPr>
        <w:t>）</w:t>
      </w:r>
      <w:r>
        <w:rPr>
          <w:rFonts w:hint="eastAsia" w:ascii="仿宋" w:hAnsi="仿宋" w:eastAsia="仿宋"/>
          <w:i w:val="0"/>
          <w:color w:val="auto"/>
          <w:sz w:val="24"/>
          <w:highlight w:val="none"/>
          <w:lang w:eastAsia="zh-CN"/>
        </w:rPr>
        <w:t>送采购代理机构登记留存。联系人：</w:t>
      </w:r>
      <w:r>
        <w:rPr>
          <w:rFonts w:hint="eastAsia" w:ascii="仿宋" w:hAnsi="仿宋" w:eastAsia="仿宋"/>
          <w:i w:val="0"/>
          <w:color w:val="auto"/>
          <w:sz w:val="24"/>
          <w:highlight w:val="none"/>
          <w:lang w:val="en-US" w:eastAsia="zh-CN"/>
        </w:rPr>
        <w:t>史女士</w:t>
      </w:r>
      <w:r>
        <w:rPr>
          <w:rFonts w:hint="eastAsia" w:ascii="仿宋" w:hAnsi="仿宋" w:eastAsia="仿宋"/>
          <w:i w:val="0"/>
          <w:color w:val="auto"/>
          <w:sz w:val="24"/>
          <w:highlight w:val="none"/>
          <w:lang w:eastAsia="zh-CN"/>
        </w:rPr>
        <w:t>，联系电话：</w:t>
      </w:r>
      <w:r>
        <w:rPr>
          <w:rFonts w:ascii="仿宋" w:hAnsi="仿宋" w:eastAsia="仿宋" w:cs="仿宋"/>
          <w:bCs/>
          <w:i w:val="0"/>
          <w:color w:val="auto"/>
          <w:sz w:val="24"/>
          <w:highlight w:val="none"/>
          <w:lang w:eastAsia="zh-CN"/>
        </w:rPr>
        <w:t>028-</w:t>
      </w:r>
      <w:r>
        <w:rPr>
          <w:rFonts w:hint="eastAsia" w:ascii="仿宋" w:hAnsi="仿宋" w:eastAsia="仿宋" w:cs="仿宋"/>
          <w:bCs/>
          <w:i w:val="0"/>
          <w:color w:val="auto"/>
          <w:sz w:val="24"/>
          <w:highlight w:val="none"/>
          <w:lang w:val="en-US" w:eastAsia="zh-CN"/>
        </w:rPr>
        <w:t>64327676</w:t>
      </w:r>
      <w:r>
        <w:rPr>
          <w:rFonts w:hint="eastAsia" w:ascii="仿宋" w:hAnsi="仿宋" w:eastAsia="仿宋"/>
          <w:i w:val="0"/>
          <w:color w:val="auto"/>
          <w:sz w:val="24"/>
          <w:highlight w:val="none"/>
          <w:lang w:eastAsia="zh-CN"/>
        </w:rPr>
        <w:t>。</w:t>
      </w:r>
    </w:p>
    <w:p>
      <w:pPr>
        <w:pStyle w:val="5"/>
        <w:rPr>
          <w:rFonts w:ascii="仿宋" w:hAnsi="仿宋"/>
          <w:i w:val="0"/>
          <w:color w:val="auto"/>
          <w:highlight w:val="none"/>
          <w:lang w:eastAsia="zh-CN"/>
        </w:rPr>
      </w:pPr>
      <w:bookmarkStart w:id="294" w:name="_Toc497752239"/>
      <w:bookmarkStart w:id="295" w:name="_Toc468331091"/>
      <w:bookmarkStart w:id="296" w:name="_Toc468654147"/>
      <w:bookmarkStart w:id="297" w:name="_Toc505762739"/>
      <w:bookmarkStart w:id="298" w:name="_Toc468640385"/>
      <w:bookmarkStart w:id="299" w:name="_Toc468641506"/>
      <w:bookmarkStart w:id="300" w:name="_Toc496564770"/>
      <w:bookmarkStart w:id="301" w:name="_Toc217446066"/>
      <w:bookmarkStart w:id="302" w:name="_Toc468320459"/>
      <w:bookmarkStart w:id="303" w:name="_Toc395625047"/>
      <w:bookmarkStart w:id="304" w:name="_Toc468640290"/>
      <w:bookmarkStart w:id="305" w:name="_Toc468346382"/>
      <w:bookmarkStart w:id="306" w:name="_Toc511558646"/>
      <w:r>
        <w:rPr>
          <w:rFonts w:hint="eastAsia" w:ascii="仿宋" w:hAnsi="仿宋"/>
          <w:i w:val="0"/>
          <w:color w:val="auto"/>
          <w:highlight w:val="none"/>
          <w:lang w:eastAsia="zh-CN"/>
        </w:rPr>
        <w:t>29、合同分包</w:t>
      </w:r>
      <w:bookmarkEnd w:id="294"/>
      <w:bookmarkEnd w:id="295"/>
      <w:bookmarkEnd w:id="296"/>
      <w:bookmarkEnd w:id="297"/>
      <w:bookmarkEnd w:id="298"/>
      <w:bookmarkEnd w:id="299"/>
      <w:bookmarkEnd w:id="300"/>
      <w:bookmarkEnd w:id="301"/>
      <w:bookmarkEnd w:id="302"/>
      <w:bookmarkEnd w:id="303"/>
      <w:bookmarkEnd w:id="304"/>
      <w:bookmarkEnd w:id="305"/>
      <w:bookmarkEnd w:id="306"/>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29.1 经采购人同意，中标人可以依法采取分包方式履行合同。这种要求应当在合同签订之前征得采购人同意，并且分包供应商履行的分包项目的品牌、规格型号及技术（服务）要求等，必须与中标的一致。</w:t>
      </w:r>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分包履行合同的部分应当为采购项目的非主体、非关键性工作，不属于中标人的主要合同义务。</w:t>
      </w:r>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29.2 采购合同实行分包履行的，中标人就采购项目和分包项目向采购人负责，分包供应商就分包项目承担责任。</w:t>
      </w:r>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29.3 中小企业依据《政府采购促进中小企业发展管理办法》（财库〔2020〕46 号）规定的政策获取政府采购合同后，小型、微型企业不得分包或转包给大型、中型企业，中型企业不得分包或转包给大型企业。</w:t>
      </w:r>
    </w:p>
    <w:p>
      <w:pPr>
        <w:pStyle w:val="5"/>
        <w:rPr>
          <w:rFonts w:ascii="仿宋" w:hAnsi="仿宋"/>
          <w:i w:val="0"/>
          <w:color w:val="auto"/>
          <w:highlight w:val="none"/>
          <w:lang w:eastAsia="zh-CN"/>
        </w:rPr>
      </w:pPr>
      <w:bookmarkStart w:id="307" w:name="_Toc505762740"/>
      <w:bookmarkStart w:id="308" w:name="_Toc511558647"/>
      <w:r>
        <w:rPr>
          <w:rFonts w:hint="eastAsia" w:ascii="仿宋" w:hAnsi="仿宋"/>
          <w:i w:val="0"/>
          <w:color w:val="auto"/>
          <w:highlight w:val="none"/>
          <w:lang w:eastAsia="zh-CN"/>
        </w:rPr>
        <w:t>30、合同转包</w:t>
      </w:r>
      <w:bookmarkEnd w:id="307"/>
      <w:bookmarkEnd w:id="308"/>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30.1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30.2中标人转包的，视同拒绝履行政府采购合同义务，将依法追究法律责任。</w:t>
      </w:r>
    </w:p>
    <w:p>
      <w:pPr>
        <w:pStyle w:val="5"/>
        <w:rPr>
          <w:rFonts w:ascii="仿宋" w:hAnsi="仿宋"/>
          <w:i w:val="0"/>
          <w:color w:val="auto"/>
          <w:highlight w:val="none"/>
          <w:lang w:eastAsia="zh-CN"/>
        </w:rPr>
      </w:pPr>
      <w:bookmarkStart w:id="309" w:name="_Toc511558648"/>
      <w:bookmarkStart w:id="310" w:name="_Toc505762741"/>
      <w:bookmarkStart w:id="311" w:name="_Toc497752241"/>
      <w:r>
        <w:rPr>
          <w:rFonts w:ascii="仿宋" w:hAnsi="仿宋"/>
          <w:i w:val="0"/>
          <w:color w:val="auto"/>
          <w:highlight w:val="none"/>
          <w:lang w:eastAsia="zh-CN"/>
        </w:rPr>
        <w:t>3</w:t>
      </w:r>
      <w:r>
        <w:rPr>
          <w:rFonts w:hint="eastAsia" w:ascii="仿宋" w:hAnsi="仿宋"/>
          <w:i w:val="0"/>
          <w:color w:val="auto"/>
          <w:highlight w:val="none"/>
          <w:lang w:eastAsia="zh-CN"/>
        </w:rPr>
        <w:t>1、补充合同</w:t>
      </w:r>
      <w:bookmarkEnd w:id="309"/>
      <w:bookmarkEnd w:id="310"/>
      <w:bookmarkEnd w:id="311"/>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采购合同履行过程中，采购人需要追加与合同标的相同的货物或者服务的，在不改变合同其他条款的前提下，可以与中标投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rPr>
          <w:rFonts w:ascii="仿宋" w:hAnsi="仿宋"/>
          <w:i w:val="0"/>
          <w:color w:val="auto"/>
          <w:highlight w:val="none"/>
          <w:lang w:eastAsia="zh-CN"/>
        </w:rPr>
      </w:pPr>
      <w:bookmarkStart w:id="312" w:name="_Toc468320461"/>
      <w:bookmarkStart w:id="313" w:name="_Toc505762742"/>
      <w:bookmarkStart w:id="314" w:name="_Toc468641508"/>
      <w:bookmarkStart w:id="315" w:name="_Toc468346384"/>
      <w:bookmarkStart w:id="316" w:name="_Toc468654150"/>
      <w:bookmarkStart w:id="317" w:name="_Toc468640387"/>
      <w:bookmarkStart w:id="318" w:name="_Toc497752242"/>
      <w:bookmarkStart w:id="319" w:name="_Toc395625049"/>
      <w:bookmarkStart w:id="320" w:name="_Toc468640292"/>
      <w:bookmarkStart w:id="321" w:name="_Toc217446068"/>
      <w:bookmarkStart w:id="322" w:name="_Toc468331093"/>
      <w:bookmarkStart w:id="323" w:name="_Toc511558649"/>
      <w:r>
        <w:rPr>
          <w:rFonts w:hint="eastAsia" w:ascii="仿宋" w:hAnsi="仿宋"/>
          <w:i w:val="0"/>
          <w:color w:val="auto"/>
          <w:highlight w:val="none"/>
          <w:lang w:eastAsia="zh-CN"/>
        </w:rPr>
        <w:t>32、履约保证金</w:t>
      </w:r>
      <w:bookmarkEnd w:id="312"/>
      <w:bookmarkEnd w:id="313"/>
      <w:bookmarkEnd w:id="314"/>
      <w:bookmarkEnd w:id="315"/>
      <w:bookmarkEnd w:id="316"/>
      <w:bookmarkEnd w:id="317"/>
      <w:bookmarkEnd w:id="318"/>
      <w:bookmarkEnd w:id="319"/>
      <w:bookmarkEnd w:id="320"/>
      <w:bookmarkEnd w:id="321"/>
      <w:bookmarkEnd w:id="322"/>
      <w:bookmarkEnd w:id="323"/>
    </w:p>
    <w:p>
      <w:pPr>
        <w:spacing w:after="120" w:line="360" w:lineRule="auto"/>
        <w:ind w:firstLine="480"/>
        <w:rPr>
          <w:rFonts w:ascii="仿宋" w:hAnsi="仿宋" w:eastAsia="仿宋" w:cs="Marigold"/>
          <w:i w:val="0"/>
          <w:color w:val="auto"/>
          <w:sz w:val="24"/>
          <w:szCs w:val="24"/>
          <w:highlight w:val="none"/>
          <w:lang w:eastAsia="zh-CN"/>
        </w:rPr>
      </w:pPr>
      <w:r>
        <w:rPr>
          <w:rFonts w:ascii="仿宋" w:hAnsi="仿宋" w:eastAsia="仿宋"/>
          <w:i w:val="0"/>
          <w:color w:val="auto"/>
          <w:sz w:val="24"/>
          <w:szCs w:val="24"/>
          <w:highlight w:val="none"/>
          <w:lang w:eastAsia="zh-CN"/>
        </w:rPr>
        <w:t>3</w:t>
      </w:r>
      <w:r>
        <w:rPr>
          <w:rFonts w:hint="eastAsia" w:ascii="仿宋" w:hAnsi="仿宋" w:eastAsia="仿宋"/>
          <w:i w:val="0"/>
          <w:color w:val="auto"/>
          <w:sz w:val="24"/>
          <w:szCs w:val="24"/>
          <w:highlight w:val="none"/>
          <w:lang w:eastAsia="zh-CN"/>
        </w:rPr>
        <w:t>2</w:t>
      </w:r>
      <w:r>
        <w:rPr>
          <w:rFonts w:ascii="仿宋" w:hAnsi="仿宋" w:eastAsia="仿宋"/>
          <w:i w:val="0"/>
          <w:color w:val="auto"/>
          <w:sz w:val="24"/>
          <w:szCs w:val="24"/>
          <w:highlight w:val="none"/>
          <w:lang w:eastAsia="zh-CN"/>
        </w:rPr>
        <w:t xml:space="preserve">.1 </w:t>
      </w:r>
      <w:r>
        <w:rPr>
          <w:rFonts w:hint="eastAsia" w:ascii="仿宋" w:hAnsi="仿宋" w:eastAsia="仿宋"/>
          <w:i w:val="0"/>
          <w:color w:val="auto"/>
          <w:sz w:val="24"/>
          <w:szCs w:val="24"/>
          <w:highlight w:val="none"/>
          <w:lang w:eastAsia="zh-CN"/>
        </w:rPr>
        <w:t>中标人应在合同签订之前交纳招标文件规定数额的履约保证金（</w:t>
      </w:r>
      <w:r>
        <w:rPr>
          <w:rFonts w:hint="eastAsia" w:ascii="仿宋" w:hAnsi="仿宋" w:eastAsia="仿宋" w:cs="Marigold"/>
          <w:i w:val="0"/>
          <w:color w:val="auto"/>
          <w:sz w:val="24"/>
          <w:szCs w:val="24"/>
          <w:highlight w:val="none"/>
          <w:lang w:eastAsia="zh-CN"/>
        </w:rPr>
        <w:t>详见</w:t>
      </w:r>
      <w:r>
        <w:rPr>
          <w:rFonts w:ascii="仿宋" w:hAnsi="仿宋" w:eastAsia="仿宋" w:cs="Marigold"/>
          <w:i w:val="0"/>
          <w:color w:val="auto"/>
          <w:sz w:val="24"/>
          <w:szCs w:val="24"/>
          <w:highlight w:val="none"/>
          <w:lang w:eastAsia="zh-CN"/>
        </w:rPr>
        <w:t>投标人须知前附表</w:t>
      </w:r>
      <w:r>
        <w:rPr>
          <w:rFonts w:hint="eastAsia" w:ascii="仿宋" w:hAnsi="仿宋" w:eastAsia="仿宋"/>
          <w:i w:val="0"/>
          <w:color w:val="auto"/>
          <w:sz w:val="24"/>
          <w:szCs w:val="24"/>
          <w:highlight w:val="none"/>
          <w:lang w:eastAsia="zh-CN"/>
        </w:rPr>
        <w:t>）。</w:t>
      </w:r>
    </w:p>
    <w:p>
      <w:pPr>
        <w:spacing w:after="120" w:line="360" w:lineRule="auto"/>
        <w:ind w:firstLine="480"/>
        <w:rPr>
          <w:rFonts w:ascii="仿宋" w:hAnsi="仿宋" w:eastAsia="仿宋" w:cs="Marigold"/>
          <w:i w:val="0"/>
          <w:color w:val="auto"/>
          <w:sz w:val="24"/>
          <w:szCs w:val="24"/>
          <w:highlight w:val="none"/>
          <w:lang w:eastAsia="zh-CN"/>
        </w:rPr>
      </w:pPr>
      <w:r>
        <w:rPr>
          <w:rFonts w:ascii="仿宋" w:hAnsi="仿宋" w:eastAsia="仿宋"/>
          <w:i w:val="0"/>
          <w:color w:val="auto"/>
          <w:sz w:val="24"/>
          <w:szCs w:val="24"/>
          <w:highlight w:val="none"/>
          <w:lang w:eastAsia="zh-CN"/>
        </w:rPr>
        <w:t>3</w:t>
      </w:r>
      <w:r>
        <w:rPr>
          <w:rFonts w:hint="eastAsia" w:ascii="仿宋" w:hAnsi="仿宋" w:eastAsia="仿宋"/>
          <w:i w:val="0"/>
          <w:color w:val="auto"/>
          <w:sz w:val="24"/>
          <w:szCs w:val="24"/>
          <w:highlight w:val="none"/>
          <w:lang w:eastAsia="zh-CN"/>
        </w:rPr>
        <w:t>2</w:t>
      </w:r>
      <w:r>
        <w:rPr>
          <w:rFonts w:ascii="仿宋" w:hAnsi="仿宋" w:eastAsia="仿宋"/>
          <w:i w:val="0"/>
          <w:color w:val="auto"/>
          <w:sz w:val="24"/>
          <w:szCs w:val="24"/>
          <w:highlight w:val="none"/>
          <w:lang w:eastAsia="zh-CN"/>
        </w:rPr>
        <w:t xml:space="preserve">.2 </w:t>
      </w:r>
      <w:r>
        <w:rPr>
          <w:rFonts w:hint="eastAsia" w:ascii="仿宋" w:hAnsi="仿宋" w:eastAsia="仿宋"/>
          <w:i w:val="0"/>
          <w:color w:val="auto"/>
          <w:sz w:val="24"/>
          <w:szCs w:val="24"/>
          <w:highlight w:val="none"/>
          <w:lang w:eastAsia="zh-CN"/>
        </w:rPr>
        <w:t>如果中标人在规定的合同签订时间内，没有按照招标文件的规定交纳履约保证金，且又无正当理由的，将视为放弃中标。</w:t>
      </w:r>
    </w:p>
    <w:p>
      <w:pPr>
        <w:pStyle w:val="5"/>
        <w:rPr>
          <w:rFonts w:ascii="仿宋" w:hAnsi="仿宋" w:cs="Marigold"/>
          <w:i w:val="0"/>
          <w:color w:val="auto"/>
          <w:highlight w:val="none"/>
          <w:lang w:eastAsia="zh-CN"/>
        </w:rPr>
      </w:pPr>
      <w:bookmarkStart w:id="324" w:name="_Toc511558650"/>
      <w:bookmarkStart w:id="325" w:name="_Toc497752243"/>
      <w:bookmarkStart w:id="326" w:name="_Toc505762743"/>
      <w:r>
        <w:rPr>
          <w:rFonts w:ascii="仿宋" w:hAnsi="仿宋"/>
          <w:i w:val="0"/>
          <w:color w:val="auto"/>
          <w:highlight w:val="none"/>
          <w:lang w:eastAsia="zh-CN"/>
        </w:rPr>
        <w:t>3</w:t>
      </w:r>
      <w:r>
        <w:rPr>
          <w:rFonts w:hint="eastAsia" w:ascii="仿宋" w:hAnsi="仿宋"/>
          <w:i w:val="0"/>
          <w:color w:val="auto"/>
          <w:highlight w:val="none"/>
          <w:lang w:eastAsia="zh-CN"/>
        </w:rPr>
        <w:t>3、合同公告</w:t>
      </w:r>
      <w:bookmarkEnd w:id="324"/>
      <w:bookmarkEnd w:id="325"/>
      <w:bookmarkEnd w:id="326"/>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采购人应当自政府采购合同签订（双方当事人均已签字盖章）之日起二个工作日内，将政府采购合同在省级以上人民政府财政部门指定的媒体上公告（四川政府采购网），但政府采购合同中涉及国家秘密、商业秘密的内容除外。</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投标人需将投标文件中涉及商业秘密和知识产权的内容进行标注和说明。若未进行标注和说明的，视为全部内容均可公布，采购人或者采购代理机构对此不承担任何责任。</w:t>
      </w:r>
    </w:p>
    <w:p>
      <w:pPr>
        <w:pStyle w:val="5"/>
        <w:rPr>
          <w:rFonts w:ascii="仿宋" w:hAnsi="仿宋"/>
          <w:i w:val="0"/>
          <w:color w:val="auto"/>
          <w:highlight w:val="none"/>
          <w:lang w:eastAsia="zh-CN"/>
        </w:rPr>
      </w:pPr>
      <w:bookmarkStart w:id="327" w:name="_Toc511558651"/>
      <w:bookmarkStart w:id="328" w:name="_Toc497752244"/>
      <w:bookmarkStart w:id="329" w:name="_Toc466502096"/>
      <w:bookmarkStart w:id="330" w:name="_Toc466301279"/>
      <w:bookmarkStart w:id="331" w:name="_Toc466502359"/>
      <w:bookmarkStart w:id="332" w:name="_Toc505762744"/>
      <w:r>
        <w:rPr>
          <w:rFonts w:hint="eastAsia" w:ascii="仿宋" w:hAnsi="仿宋"/>
          <w:i w:val="0"/>
          <w:color w:val="auto"/>
          <w:highlight w:val="none"/>
          <w:lang w:eastAsia="zh-CN"/>
        </w:rPr>
        <w:t>34、合同备案</w:t>
      </w:r>
      <w:bookmarkEnd w:id="327"/>
      <w:bookmarkEnd w:id="328"/>
      <w:bookmarkEnd w:id="329"/>
      <w:bookmarkEnd w:id="330"/>
      <w:bookmarkEnd w:id="331"/>
      <w:bookmarkEnd w:id="332"/>
    </w:p>
    <w:p>
      <w:pPr>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采购人应当将政府采购合同副本自签订之日起七个工作日内进行备案。</w:t>
      </w:r>
    </w:p>
    <w:p>
      <w:pPr>
        <w:pStyle w:val="5"/>
        <w:rPr>
          <w:rFonts w:ascii="仿宋" w:hAnsi="仿宋"/>
          <w:i w:val="0"/>
          <w:color w:val="auto"/>
          <w:highlight w:val="none"/>
          <w:lang w:eastAsia="zh-CN"/>
        </w:rPr>
      </w:pPr>
      <w:bookmarkStart w:id="333" w:name="_Toc497752245"/>
      <w:bookmarkStart w:id="334" w:name="_Toc468346386"/>
      <w:bookmarkStart w:id="335" w:name="_Toc468641510"/>
      <w:bookmarkStart w:id="336" w:name="_Toc468640294"/>
      <w:bookmarkStart w:id="337" w:name="_Toc468654152"/>
      <w:bookmarkStart w:id="338" w:name="_Toc468331095"/>
      <w:bookmarkStart w:id="339" w:name="_Toc468640389"/>
      <w:bookmarkStart w:id="340" w:name="_Toc468320463"/>
      <w:bookmarkStart w:id="341" w:name="_Toc505762745"/>
      <w:bookmarkStart w:id="342" w:name="_Toc511558652"/>
      <w:r>
        <w:rPr>
          <w:rFonts w:hint="eastAsia" w:ascii="仿宋" w:hAnsi="仿宋"/>
          <w:i w:val="0"/>
          <w:color w:val="auto"/>
          <w:highlight w:val="none"/>
          <w:lang w:eastAsia="zh-CN"/>
        </w:rPr>
        <w:t>35、履行合同</w:t>
      </w:r>
      <w:bookmarkEnd w:id="333"/>
      <w:bookmarkEnd w:id="334"/>
      <w:bookmarkEnd w:id="335"/>
      <w:bookmarkEnd w:id="336"/>
      <w:bookmarkEnd w:id="337"/>
      <w:bookmarkEnd w:id="338"/>
      <w:bookmarkEnd w:id="339"/>
      <w:bookmarkEnd w:id="340"/>
      <w:bookmarkEnd w:id="341"/>
      <w:bookmarkEnd w:id="342"/>
    </w:p>
    <w:p>
      <w:pPr>
        <w:spacing w:after="120" w:line="360" w:lineRule="auto"/>
        <w:ind w:firstLine="480"/>
        <w:rPr>
          <w:rFonts w:ascii="仿宋" w:hAnsi="仿宋" w:eastAsia="仿宋" w:cs="Marigold"/>
          <w:i w:val="0"/>
          <w:color w:val="auto"/>
          <w:sz w:val="24"/>
          <w:szCs w:val="24"/>
          <w:highlight w:val="none"/>
          <w:lang w:eastAsia="zh-CN"/>
        </w:rPr>
      </w:pPr>
      <w:r>
        <w:rPr>
          <w:rFonts w:ascii="仿宋" w:hAnsi="仿宋" w:eastAsia="仿宋" w:cs="Marigold"/>
          <w:i w:val="0"/>
          <w:color w:val="auto"/>
          <w:sz w:val="24"/>
          <w:szCs w:val="24"/>
          <w:highlight w:val="none"/>
          <w:lang w:eastAsia="zh-CN"/>
        </w:rPr>
        <w:t>3</w:t>
      </w:r>
      <w:r>
        <w:rPr>
          <w:rFonts w:hint="eastAsia" w:ascii="仿宋" w:hAnsi="仿宋" w:eastAsia="仿宋" w:cs="Marigold"/>
          <w:i w:val="0"/>
          <w:color w:val="auto"/>
          <w:sz w:val="24"/>
          <w:szCs w:val="24"/>
          <w:highlight w:val="none"/>
          <w:lang w:eastAsia="zh-CN"/>
        </w:rPr>
        <w:t>5.1 中标人与采购人签订合同后，合同双方应严格执行合同条款，履行合同规定的义务，保证合同的顺利完成。</w:t>
      </w:r>
    </w:p>
    <w:p>
      <w:pPr>
        <w:spacing w:after="120" w:line="360" w:lineRule="auto"/>
        <w:ind w:firstLine="480"/>
        <w:rPr>
          <w:rFonts w:ascii="仿宋" w:hAnsi="仿宋" w:eastAsia="仿宋" w:cs="Marigold"/>
          <w:i w:val="0"/>
          <w:color w:val="auto"/>
          <w:sz w:val="24"/>
          <w:szCs w:val="24"/>
          <w:highlight w:val="none"/>
          <w:lang w:eastAsia="zh-CN"/>
        </w:rPr>
      </w:pPr>
      <w:r>
        <w:rPr>
          <w:rFonts w:ascii="仿宋" w:hAnsi="仿宋" w:eastAsia="仿宋" w:cs="Marigold"/>
          <w:i w:val="0"/>
          <w:color w:val="auto"/>
          <w:sz w:val="24"/>
          <w:szCs w:val="24"/>
          <w:highlight w:val="none"/>
          <w:lang w:eastAsia="zh-CN"/>
        </w:rPr>
        <w:t>3</w:t>
      </w:r>
      <w:r>
        <w:rPr>
          <w:rFonts w:hint="eastAsia" w:ascii="仿宋" w:hAnsi="仿宋" w:eastAsia="仿宋" w:cs="Marigold"/>
          <w:i w:val="0"/>
          <w:color w:val="auto"/>
          <w:sz w:val="24"/>
          <w:szCs w:val="24"/>
          <w:highlight w:val="none"/>
          <w:lang w:eastAsia="zh-CN"/>
        </w:rPr>
        <w:t>5.2 在合同履行过程中，如发生合同纠纷，合同双方应按照《民法典》的有关规定进行处理。</w:t>
      </w:r>
    </w:p>
    <w:p>
      <w:pPr>
        <w:pStyle w:val="5"/>
        <w:rPr>
          <w:rFonts w:ascii="仿宋" w:hAnsi="仿宋"/>
          <w:i w:val="0"/>
          <w:color w:val="auto"/>
          <w:highlight w:val="none"/>
          <w:lang w:eastAsia="zh-CN"/>
        </w:rPr>
      </w:pPr>
      <w:bookmarkStart w:id="343" w:name="_Toc468320464"/>
      <w:bookmarkStart w:id="344" w:name="_Toc395625051"/>
      <w:bookmarkStart w:id="345" w:name="_Toc468331096"/>
      <w:bookmarkStart w:id="346" w:name="_Toc497752246"/>
      <w:bookmarkStart w:id="347" w:name="_Toc511558653"/>
      <w:bookmarkStart w:id="348" w:name="_Toc468346387"/>
      <w:bookmarkStart w:id="349" w:name="_Toc468654153"/>
      <w:bookmarkStart w:id="350" w:name="_Toc468640295"/>
      <w:bookmarkStart w:id="351" w:name="_Toc468640390"/>
      <w:bookmarkStart w:id="352" w:name="_Toc468641511"/>
      <w:bookmarkStart w:id="353" w:name="_Toc505762746"/>
      <w:r>
        <w:rPr>
          <w:rFonts w:hint="eastAsia" w:ascii="仿宋" w:hAnsi="仿宋"/>
          <w:i w:val="0"/>
          <w:color w:val="auto"/>
          <w:highlight w:val="none"/>
          <w:lang w:eastAsia="zh-CN"/>
        </w:rPr>
        <w:t>36、验收</w:t>
      </w:r>
      <w:bookmarkEnd w:id="343"/>
      <w:bookmarkEnd w:id="344"/>
      <w:bookmarkEnd w:id="345"/>
      <w:bookmarkEnd w:id="346"/>
      <w:bookmarkEnd w:id="347"/>
      <w:bookmarkEnd w:id="348"/>
      <w:bookmarkEnd w:id="349"/>
      <w:bookmarkEnd w:id="350"/>
      <w:bookmarkEnd w:id="351"/>
      <w:bookmarkEnd w:id="352"/>
      <w:bookmarkEnd w:id="353"/>
    </w:p>
    <w:p>
      <w:pPr>
        <w:pStyle w:val="56"/>
        <w:rPr>
          <w:rFonts w:ascii="仿宋" w:hAnsi="仿宋" w:eastAsia="仿宋"/>
          <w:i w:val="0"/>
          <w:color w:val="auto"/>
          <w:highlight w:val="none"/>
          <w:lang w:eastAsia="zh-CN"/>
        </w:rPr>
      </w:pPr>
      <w:r>
        <w:rPr>
          <w:rFonts w:hint="eastAsia" w:ascii="仿宋" w:hAnsi="仿宋" w:eastAsia="仿宋" w:cs="Marigold"/>
          <w:i w:val="0"/>
          <w:color w:val="auto"/>
          <w:highlight w:val="none"/>
          <w:lang w:eastAsia="zh-CN"/>
        </w:rPr>
        <w:t>36</w:t>
      </w:r>
      <w:r>
        <w:rPr>
          <w:rFonts w:ascii="仿宋" w:hAnsi="仿宋" w:eastAsia="仿宋" w:cs="Marigold"/>
          <w:i w:val="0"/>
          <w:color w:val="auto"/>
          <w:highlight w:val="none"/>
          <w:lang w:eastAsia="zh-CN"/>
        </w:rPr>
        <w:t>.</w:t>
      </w:r>
      <w:r>
        <w:rPr>
          <w:rFonts w:hint="eastAsia" w:ascii="仿宋" w:hAnsi="仿宋" w:eastAsia="仿宋" w:cs="Marigold"/>
          <w:i w:val="0"/>
          <w:color w:val="auto"/>
          <w:highlight w:val="none"/>
          <w:lang w:eastAsia="zh-CN"/>
        </w:rPr>
        <w:t>1</w:t>
      </w:r>
      <w:r>
        <w:rPr>
          <w:rFonts w:hint="eastAsia" w:ascii="仿宋" w:hAnsi="仿宋" w:eastAsia="仿宋"/>
          <w:i w:val="0"/>
          <w:color w:val="auto"/>
          <w:highlight w:val="none"/>
          <w:lang w:eastAsia="zh-CN"/>
        </w:rPr>
        <w:t>中标人与采购人应严格按照政府采购相关法律法规以及《财政部关于进一步加强政府采购需求和履约验收管理的指导意见》（财库〔2016〕205号）的要求进行验收。</w:t>
      </w:r>
    </w:p>
    <w:p>
      <w:pPr>
        <w:pStyle w:val="56"/>
        <w:rPr>
          <w:rFonts w:ascii="仿宋" w:hAnsi="仿宋" w:eastAsia="仿宋" w:cs="Arial"/>
          <w:i w:val="0"/>
          <w:color w:val="auto"/>
          <w:kern w:val="0"/>
          <w:highlight w:val="none"/>
          <w:lang w:eastAsia="zh-CN"/>
        </w:rPr>
      </w:pPr>
      <w:r>
        <w:rPr>
          <w:rFonts w:ascii="仿宋" w:hAnsi="仿宋" w:eastAsia="仿宋" w:cs="Arial"/>
          <w:i w:val="0"/>
          <w:color w:val="auto"/>
          <w:kern w:val="0"/>
          <w:highlight w:val="none"/>
          <w:lang w:eastAsia="zh-CN"/>
        </w:rPr>
        <w:t>3</w:t>
      </w:r>
      <w:r>
        <w:rPr>
          <w:rFonts w:hint="eastAsia" w:ascii="仿宋" w:hAnsi="仿宋" w:eastAsia="仿宋" w:cs="Arial"/>
          <w:i w:val="0"/>
          <w:color w:val="auto"/>
          <w:kern w:val="0"/>
          <w:highlight w:val="none"/>
          <w:lang w:eastAsia="zh-CN"/>
        </w:rPr>
        <w:t>6.2 验收结果合格的，中标人凭验收合格证明到采购人办理履约保证金的退付手续；验收结果不合格的，履约保证金将不予退还，也将不予支付采购资金，还可能会报告本项目同级财政部门按照政府采购法律法规等有关规定给予行政处罚或者以失信行为记入诚信档案。</w:t>
      </w:r>
    </w:p>
    <w:p>
      <w:pPr>
        <w:pStyle w:val="5"/>
        <w:rPr>
          <w:rFonts w:ascii="仿宋" w:hAnsi="仿宋"/>
          <w:i w:val="0"/>
          <w:color w:val="auto"/>
          <w:highlight w:val="none"/>
          <w:lang w:eastAsia="zh-CN"/>
        </w:rPr>
      </w:pPr>
      <w:bookmarkStart w:id="354" w:name="_Toc505762747"/>
      <w:bookmarkStart w:id="355" w:name="_Toc497752247"/>
      <w:bookmarkStart w:id="356" w:name="_Toc511558654"/>
      <w:r>
        <w:rPr>
          <w:rFonts w:hint="eastAsia" w:ascii="仿宋" w:hAnsi="仿宋"/>
          <w:i w:val="0"/>
          <w:color w:val="auto"/>
          <w:highlight w:val="none"/>
          <w:lang w:eastAsia="zh-CN"/>
        </w:rPr>
        <w:t>37、资金支付</w:t>
      </w:r>
      <w:bookmarkEnd w:id="354"/>
      <w:bookmarkEnd w:id="355"/>
      <w:bookmarkEnd w:id="356"/>
    </w:p>
    <w:p>
      <w:pPr>
        <w:spacing w:after="120" w:line="360" w:lineRule="auto"/>
        <w:ind w:firstLine="480" w:firstLineChars="200"/>
        <w:rPr>
          <w:rFonts w:ascii="仿宋" w:hAnsi="仿宋" w:eastAsia="仿宋" w:cs="Arial"/>
          <w:i w:val="0"/>
          <w:color w:val="auto"/>
          <w:kern w:val="0"/>
          <w:sz w:val="24"/>
          <w:szCs w:val="24"/>
          <w:highlight w:val="none"/>
          <w:lang w:eastAsia="zh-CN"/>
        </w:rPr>
      </w:pPr>
      <w:r>
        <w:rPr>
          <w:rFonts w:hint="eastAsia" w:ascii="仿宋" w:hAnsi="仿宋" w:eastAsia="仿宋" w:cs="Arial"/>
          <w:i w:val="0"/>
          <w:color w:val="auto"/>
          <w:kern w:val="0"/>
          <w:sz w:val="24"/>
          <w:szCs w:val="24"/>
          <w:highlight w:val="none"/>
          <w:lang w:eastAsia="zh-CN"/>
        </w:rPr>
        <w:t>37.1采购人将按照政府采购合同规定，及时向中标人支付采购资金。</w:t>
      </w:r>
    </w:p>
    <w:p>
      <w:pPr>
        <w:pStyle w:val="4"/>
        <w:rPr>
          <w:i w:val="0"/>
          <w:color w:val="auto"/>
          <w:highlight w:val="none"/>
          <w:lang w:eastAsia="zh-CN"/>
        </w:rPr>
      </w:pPr>
      <w:bookmarkStart w:id="357" w:name="_Toc395625052"/>
      <w:bookmarkStart w:id="358" w:name="_Toc511558655"/>
      <w:bookmarkStart w:id="359" w:name="_Toc468346388"/>
      <w:bookmarkStart w:id="360" w:name="_Toc468331097"/>
      <w:bookmarkStart w:id="361" w:name="_Toc217446074"/>
      <w:bookmarkStart w:id="362" w:name="_Toc8911"/>
      <w:bookmarkStart w:id="363" w:name="_Toc524910116"/>
      <w:r>
        <w:rPr>
          <w:rFonts w:hint="eastAsia"/>
          <w:i w:val="0"/>
          <w:color w:val="auto"/>
          <w:highlight w:val="none"/>
          <w:lang w:eastAsia="zh-CN"/>
        </w:rPr>
        <w:t>七、投标纪律要求</w:t>
      </w:r>
      <w:bookmarkEnd w:id="357"/>
      <w:bookmarkEnd w:id="358"/>
      <w:bookmarkEnd w:id="359"/>
      <w:bookmarkEnd w:id="360"/>
      <w:bookmarkEnd w:id="361"/>
      <w:bookmarkEnd w:id="362"/>
      <w:bookmarkEnd w:id="363"/>
    </w:p>
    <w:p>
      <w:pPr>
        <w:pStyle w:val="5"/>
        <w:spacing w:line="360" w:lineRule="auto"/>
        <w:rPr>
          <w:rFonts w:ascii="仿宋" w:hAnsi="仿宋"/>
          <w:i w:val="0"/>
          <w:color w:val="auto"/>
          <w:highlight w:val="none"/>
          <w:lang w:eastAsia="zh-CN"/>
        </w:rPr>
      </w:pPr>
      <w:bookmarkStart w:id="364" w:name="_Toc395625053"/>
      <w:bookmarkStart w:id="365" w:name="_Toc468331098"/>
      <w:bookmarkStart w:id="366" w:name="_Toc468346389"/>
      <w:bookmarkStart w:id="367" w:name="_Toc468640297"/>
      <w:bookmarkStart w:id="368" w:name="_Toc468640392"/>
      <w:bookmarkStart w:id="369" w:name="_Toc468654155"/>
      <w:bookmarkStart w:id="370" w:name="_Toc511558656"/>
      <w:bookmarkStart w:id="371" w:name="_Toc497752249"/>
      <w:bookmarkStart w:id="372" w:name="_Toc505762749"/>
      <w:bookmarkStart w:id="373" w:name="_Toc468641513"/>
      <w:bookmarkStart w:id="374" w:name="_Toc468320466"/>
      <w:bookmarkStart w:id="375" w:name="_Toc217446075"/>
      <w:r>
        <w:rPr>
          <w:rFonts w:hint="eastAsia" w:ascii="仿宋" w:hAnsi="仿宋"/>
          <w:i w:val="0"/>
          <w:color w:val="auto"/>
          <w:highlight w:val="none"/>
          <w:lang w:eastAsia="zh-CN"/>
        </w:rPr>
        <w:t>38、投标人不得具有的情形</w:t>
      </w:r>
      <w:bookmarkEnd w:id="364"/>
      <w:bookmarkEnd w:id="365"/>
      <w:bookmarkEnd w:id="366"/>
      <w:bookmarkEnd w:id="367"/>
      <w:bookmarkEnd w:id="368"/>
      <w:bookmarkEnd w:id="369"/>
      <w:bookmarkEnd w:id="370"/>
      <w:bookmarkEnd w:id="371"/>
      <w:bookmarkEnd w:id="372"/>
      <w:bookmarkEnd w:id="373"/>
      <w:bookmarkEnd w:id="374"/>
      <w:bookmarkEnd w:id="375"/>
    </w:p>
    <w:p>
      <w:pPr>
        <w:pStyle w:val="56"/>
        <w:contextualSpacing/>
        <w:rPr>
          <w:rFonts w:ascii="仿宋" w:hAnsi="仿宋" w:eastAsia="仿宋"/>
          <w:i w:val="0"/>
          <w:color w:val="auto"/>
          <w:highlight w:val="none"/>
          <w:lang w:eastAsia="zh-CN"/>
        </w:rPr>
      </w:pPr>
      <w:r>
        <w:rPr>
          <w:rFonts w:hint="eastAsia" w:ascii="仿宋" w:hAnsi="仿宋" w:eastAsia="仿宋"/>
          <w:i w:val="0"/>
          <w:color w:val="auto"/>
          <w:highlight w:val="none"/>
          <w:lang w:eastAsia="zh-CN"/>
        </w:rPr>
        <w:t>投标人参加本采购</w:t>
      </w:r>
      <w:r>
        <w:rPr>
          <w:rFonts w:ascii="仿宋" w:hAnsi="仿宋" w:eastAsia="仿宋"/>
          <w:i w:val="0"/>
          <w:color w:val="auto"/>
          <w:highlight w:val="none"/>
          <w:lang w:eastAsia="zh-CN"/>
        </w:rPr>
        <w:t>项目</w:t>
      </w:r>
      <w:r>
        <w:rPr>
          <w:rFonts w:hint="eastAsia" w:ascii="仿宋" w:hAnsi="仿宋" w:eastAsia="仿宋"/>
          <w:i w:val="0"/>
          <w:color w:val="auto"/>
          <w:highlight w:val="none"/>
          <w:lang w:eastAsia="zh-CN"/>
        </w:rPr>
        <w:t>投标不得有下列情形：</w:t>
      </w:r>
    </w:p>
    <w:p>
      <w:pPr>
        <w:pStyle w:val="56"/>
        <w:contextualSpacing/>
        <w:rPr>
          <w:rFonts w:ascii="仿宋" w:hAnsi="仿宋" w:eastAsia="仿宋"/>
          <w:i w:val="0"/>
          <w:color w:val="auto"/>
          <w:highlight w:val="none"/>
          <w:lang w:eastAsia="zh-CN"/>
        </w:rPr>
      </w:pPr>
      <w:r>
        <w:rPr>
          <w:rFonts w:hint="eastAsia" w:ascii="仿宋" w:hAnsi="仿宋" w:eastAsia="仿宋"/>
          <w:i w:val="0"/>
          <w:color w:val="auto"/>
          <w:highlight w:val="none"/>
          <w:lang w:eastAsia="zh-CN"/>
        </w:rPr>
        <w:t>（1）提供虚假材料谋取中标；</w:t>
      </w:r>
    </w:p>
    <w:p>
      <w:pPr>
        <w:pStyle w:val="56"/>
        <w:contextualSpacing/>
        <w:rPr>
          <w:rFonts w:ascii="仿宋" w:hAnsi="仿宋" w:eastAsia="仿宋"/>
          <w:i w:val="0"/>
          <w:color w:val="auto"/>
          <w:highlight w:val="none"/>
          <w:lang w:eastAsia="zh-CN"/>
        </w:rPr>
      </w:pPr>
      <w:r>
        <w:rPr>
          <w:rFonts w:hint="eastAsia" w:ascii="仿宋" w:hAnsi="仿宋" w:eastAsia="仿宋"/>
          <w:i w:val="0"/>
          <w:color w:val="auto"/>
          <w:highlight w:val="none"/>
          <w:lang w:eastAsia="zh-CN"/>
        </w:rPr>
        <w:t>（2）采取不正当手段诋毁、排挤其他投标人；</w:t>
      </w:r>
    </w:p>
    <w:p>
      <w:pPr>
        <w:pStyle w:val="56"/>
        <w:contextualSpacing/>
        <w:rPr>
          <w:rFonts w:ascii="仿宋" w:hAnsi="仿宋" w:eastAsia="仿宋"/>
          <w:i w:val="0"/>
          <w:color w:val="auto"/>
          <w:highlight w:val="none"/>
          <w:lang w:eastAsia="zh-CN"/>
        </w:rPr>
      </w:pPr>
      <w:r>
        <w:rPr>
          <w:rFonts w:hint="eastAsia" w:ascii="仿宋" w:hAnsi="仿宋" w:eastAsia="仿宋"/>
          <w:i w:val="0"/>
          <w:color w:val="auto"/>
          <w:highlight w:val="none"/>
          <w:lang w:eastAsia="zh-CN"/>
        </w:rPr>
        <w:t>（3）与招标采购单位、其他投标人恶意串通；</w:t>
      </w:r>
    </w:p>
    <w:p>
      <w:pPr>
        <w:pStyle w:val="56"/>
        <w:contextualSpacing/>
        <w:rPr>
          <w:rFonts w:ascii="仿宋" w:hAnsi="仿宋" w:eastAsia="仿宋"/>
          <w:i w:val="0"/>
          <w:color w:val="auto"/>
          <w:highlight w:val="none"/>
          <w:lang w:eastAsia="zh-CN"/>
        </w:rPr>
      </w:pPr>
      <w:r>
        <w:rPr>
          <w:rFonts w:hint="eastAsia" w:ascii="仿宋" w:hAnsi="仿宋" w:eastAsia="仿宋"/>
          <w:i w:val="0"/>
          <w:color w:val="auto"/>
          <w:highlight w:val="none"/>
          <w:lang w:eastAsia="zh-CN"/>
        </w:rPr>
        <w:t>（4）向招标采购单位、评标委员会成员行贿或者提供其他不正当利益；</w:t>
      </w:r>
    </w:p>
    <w:p>
      <w:pPr>
        <w:pStyle w:val="56"/>
        <w:contextualSpacing/>
        <w:rPr>
          <w:rFonts w:ascii="仿宋" w:hAnsi="仿宋" w:eastAsia="仿宋"/>
          <w:i w:val="0"/>
          <w:color w:val="auto"/>
          <w:highlight w:val="none"/>
          <w:lang w:eastAsia="zh-CN"/>
        </w:rPr>
      </w:pPr>
      <w:r>
        <w:rPr>
          <w:rFonts w:hint="eastAsia" w:ascii="仿宋" w:hAnsi="仿宋" w:eastAsia="仿宋"/>
          <w:i w:val="0"/>
          <w:color w:val="auto"/>
          <w:highlight w:val="none"/>
          <w:lang w:eastAsia="zh-CN"/>
        </w:rPr>
        <w:t>（5）在招标过程中与招标采购单位进行协商谈判；</w:t>
      </w:r>
    </w:p>
    <w:p>
      <w:pPr>
        <w:pStyle w:val="56"/>
        <w:contextualSpacing/>
        <w:rPr>
          <w:rFonts w:ascii="仿宋" w:hAnsi="仿宋" w:eastAsia="仿宋"/>
          <w:i w:val="0"/>
          <w:color w:val="auto"/>
          <w:highlight w:val="none"/>
          <w:lang w:eastAsia="zh-CN"/>
        </w:rPr>
      </w:pPr>
      <w:r>
        <w:rPr>
          <w:rFonts w:hint="eastAsia" w:ascii="仿宋" w:hAnsi="仿宋" w:eastAsia="仿宋"/>
          <w:i w:val="0"/>
          <w:color w:val="auto"/>
          <w:highlight w:val="none"/>
          <w:lang w:eastAsia="zh-CN"/>
        </w:rPr>
        <w:t>（6）中标或者成交后无正当理由拒不与采购人签订政府采购合同；</w:t>
      </w:r>
    </w:p>
    <w:p>
      <w:pPr>
        <w:pStyle w:val="56"/>
        <w:contextualSpacing/>
        <w:rPr>
          <w:rFonts w:ascii="仿宋" w:hAnsi="仿宋" w:eastAsia="仿宋"/>
          <w:i w:val="0"/>
          <w:color w:val="auto"/>
          <w:highlight w:val="none"/>
          <w:lang w:eastAsia="zh-CN"/>
        </w:rPr>
      </w:pPr>
      <w:r>
        <w:rPr>
          <w:rFonts w:hint="eastAsia" w:ascii="仿宋" w:hAnsi="仿宋" w:eastAsia="仿宋"/>
          <w:i w:val="0"/>
          <w:color w:val="auto"/>
          <w:highlight w:val="none"/>
          <w:lang w:eastAsia="zh-CN"/>
        </w:rPr>
        <w:t>（7）未按照采购文件确定的事项签订政府采购合同；</w:t>
      </w:r>
    </w:p>
    <w:p>
      <w:pPr>
        <w:pStyle w:val="56"/>
        <w:contextualSpacing/>
        <w:rPr>
          <w:rFonts w:ascii="仿宋" w:hAnsi="仿宋" w:eastAsia="仿宋"/>
          <w:i w:val="0"/>
          <w:color w:val="auto"/>
          <w:highlight w:val="none"/>
          <w:lang w:eastAsia="zh-CN"/>
        </w:rPr>
      </w:pPr>
      <w:r>
        <w:rPr>
          <w:rFonts w:hint="eastAsia" w:ascii="仿宋" w:hAnsi="仿宋" w:eastAsia="仿宋"/>
          <w:i w:val="0"/>
          <w:color w:val="auto"/>
          <w:highlight w:val="none"/>
          <w:lang w:eastAsia="zh-CN"/>
        </w:rPr>
        <w:t>（8）将政府采购合同转包或者违规分包；</w:t>
      </w:r>
    </w:p>
    <w:p>
      <w:pPr>
        <w:pStyle w:val="56"/>
        <w:contextualSpacing/>
        <w:rPr>
          <w:rFonts w:ascii="仿宋" w:hAnsi="仿宋" w:eastAsia="仿宋"/>
          <w:i w:val="0"/>
          <w:color w:val="auto"/>
          <w:highlight w:val="none"/>
          <w:lang w:eastAsia="zh-CN"/>
        </w:rPr>
      </w:pPr>
      <w:r>
        <w:rPr>
          <w:rFonts w:hint="eastAsia" w:ascii="仿宋" w:hAnsi="仿宋" w:eastAsia="仿宋"/>
          <w:i w:val="0"/>
          <w:color w:val="auto"/>
          <w:highlight w:val="none"/>
          <w:lang w:eastAsia="zh-CN"/>
        </w:rPr>
        <w:t>（9）提供假冒伪劣产品；</w:t>
      </w:r>
    </w:p>
    <w:p>
      <w:pPr>
        <w:pStyle w:val="56"/>
        <w:contextualSpacing/>
        <w:rPr>
          <w:rFonts w:ascii="仿宋" w:hAnsi="仿宋" w:eastAsia="仿宋"/>
          <w:i w:val="0"/>
          <w:color w:val="auto"/>
          <w:highlight w:val="none"/>
          <w:lang w:eastAsia="zh-CN"/>
        </w:rPr>
      </w:pPr>
      <w:r>
        <w:rPr>
          <w:rFonts w:hint="eastAsia" w:ascii="仿宋" w:hAnsi="仿宋" w:eastAsia="仿宋"/>
          <w:i w:val="0"/>
          <w:color w:val="auto"/>
          <w:highlight w:val="none"/>
          <w:lang w:eastAsia="zh-CN"/>
        </w:rPr>
        <w:t>（10）擅自变更、中止或者终止政府采购合同；</w:t>
      </w:r>
    </w:p>
    <w:p>
      <w:pPr>
        <w:pStyle w:val="56"/>
        <w:contextualSpacing/>
        <w:rPr>
          <w:rFonts w:ascii="仿宋" w:hAnsi="仿宋" w:eastAsia="仿宋"/>
          <w:i w:val="0"/>
          <w:color w:val="auto"/>
          <w:highlight w:val="none"/>
          <w:lang w:eastAsia="zh-CN"/>
        </w:rPr>
      </w:pPr>
      <w:r>
        <w:rPr>
          <w:rFonts w:hint="eastAsia" w:ascii="仿宋" w:hAnsi="仿宋" w:eastAsia="仿宋"/>
          <w:i w:val="0"/>
          <w:color w:val="auto"/>
          <w:highlight w:val="none"/>
          <w:lang w:eastAsia="zh-CN"/>
        </w:rPr>
        <w:t>（11）拒绝有关部门的监督检查或者向监督检查部门提供虚假情况；</w:t>
      </w:r>
    </w:p>
    <w:p>
      <w:pPr>
        <w:pStyle w:val="56"/>
        <w:contextualSpacing/>
        <w:rPr>
          <w:rFonts w:ascii="仿宋" w:hAnsi="仿宋" w:eastAsia="仿宋"/>
          <w:i w:val="0"/>
          <w:color w:val="auto"/>
          <w:highlight w:val="none"/>
          <w:lang w:eastAsia="zh-CN"/>
        </w:rPr>
      </w:pPr>
      <w:r>
        <w:rPr>
          <w:rFonts w:hint="eastAsia" w:ascii="仿宋" w:hAnsi="仿宋" w:eastAsia="仿宋"/>
          <w:i w:val="0"/>
          <w:color w:val="auto"/>
          <w:highlight w:val="none"/>
          <w:lang w:eastAsia="zh-CN"/>
        </w:rPr>
        <w:t>（12）法律法规规定的其他情形。</w:t>
      </w:r>
    </w:p>
    <w:p>
      <w:pPr>
        <w:pStyle w:val="56"/>
        <w:contextualSpacing/>
        <w:rPr>
          <w:rFonts w:ascii="仿宋" w:hAnsi="仿宋" w:eastAsia="仿宋"/>
          <w:i w:val="0"/>
          <w:color w:val="auto"/>
          <w:highlight w:val="none"/>
          <w:lang w:eastAsia="zh-CN"/>
        </w:rPr>
      </w:pPr>
      <w:r>
        <w:rPr>
          <w:rFonts w:hint="eastAsia" w:ascii="仿宋" w:hAnsi="仿宋" w:eastAsia="仿宋"/>
          <w:i w:val="0"/>
          <w:color w:val="auto"/>
          <w:highlight w:val="none"/>
          <w:lang w:eastAsia="zh-CN"/>
        </w:rPr>
        <w:t>投标人有上述情形的，按照规定追究法律责任，具备（1）-（10）条情形之一的，同时将取消中标资格或者认定中标无效。</w:t>
      </w:r>
    </w:p>
    <w:p>
      <w:pPr>
        <w:keepNext/>
        <w:keepLines/>
        <w:spacing w:after="120" w:line="360" w:lineRule="auto"/>
        <w:outlineLvl w:val="2"/>
        <w:rPr>
          <w:rFonts w:ascii="仿宋" w:hAnsi="仿宋" w:eastAsia="仿宋"/>
          <w:b/>
          <w:i w:val="0"/>
          <w:color w:val="auto"/>
          <w:sz w:val="24"/>
          <w:szCs w:val="24"/>
          <w:highlight w:val="none"/>
          <w:lang w:eastAsia="zh-CN"/>
        </w:rPr>
      </w:pPr>
      <w:bookmarkStart w:id="376" w:name="_Toc507188735"/>
      <w:r>
        <w:rPr>
          <w:rFonts w:hint="eastAsia" w:ascii="仿宋" w:hAnsi="仿宋" w:eastAsia="仿宋"/>
          <w:b/>
          <w:i w:val="0"/>
          <w:color w:val="auto"/>
          <w:sz w:val="24"/>
          <w:szCs w:val="24"/>
          <w:highlight w:val="none"/>
          <w:lang w:eastAsia="zh-CN"/>
        </w:rPr>
        <w:t>39.投标人有下列情形之一的，视为投标人串通投标，其投标无效：</w:t>
      </w:r>
      <w:bookmarkEnd w:id="376"/>
    </w:p>
    <w:p>
      <w:pPr>
        <w:spacing w:after="120"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（1）不同投标人的投标文件由同一单位或者个人编制；</w:t>
      </w:r>
    </w:p>
    <w:p>
      <w:pPr>
        <w:spacing w:after="120"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（2）不同投标人委托同一单位或者个人办理投标事宜；</w:t>
      </w:r>
    </w:p>
    <w:p>
      <w:pPr>
        <w:spacing w:after="120"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（3）不同投标人的投标文件载明的项目管理成员或者联系人员为同一人；</w:t>
      </w:r>
    </w:p>
    <w:p>
      <w:pPr>
        <w:spacing w:after="120"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（4）不同投标人的投标文件异常一致或者投标报价呈规律性差异；</w:t>
      </w:r>
    </w:p>
    <w:p>
      <w:pPr>
        <w:spacing w:after="120"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（5）不同投标人的投标文件相互混装；</w:t>
      </w:r>
    </w:p>
    <w:p>
      <w:pPr>
        <w:spacing w:after="120"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（6）不同投标人的投标保证金从同一单位或者个人的账户转出。（本项目不收取投标保证金）</w:t>
      </w:r>
    </w:p>
    <w:p>
      <w:pPr>
        <w:pStyle w:val="4"/>
        <w:rPr>
          <w:i w:val="0"/>
          <w:color w:val="auto"/>
          <w:highlight w:val="none"/>
          <w:lang w:eastAsia="zh-CN"/>
        </w:rPr>
      </w:pPr>
      <w:bookmarkStart w:id="377" w:name="_Toc395625056"/>
      <w:bookmarkStart w:id="378" w:name="_Toc511558657"/>
      <w:bookmarkStart w:id="379" w:name="_Toc217446078"/>
      <w:bookmarkStart w:id="380" w:name="_Toc16545"/>
      <w:bookmarkStart w:id="381" w:name="_Toc524910117"/>
      <w:bookmarkStart w:id="382" w:name="_Toc468331101"/>
      <w:bookmarkStart w:id="383" w:name="_Toc468346392"/>
      <w:r>
        <w:rPr>
          <w:rFonts w:hint="eastAsia"/>
          <w:i w:val="0"/>
          <w:color w:val="auto"/>
          <w:highlight w:val="none"/>
          <w:lang w:eastAsia="zh-CN"/>
        </w:rPr>
        <w:t>八、质疑和投诉</w:t>
      </w:r>
      <w:bookmarkEnd w:id="377"/>
      <w:bookmarkEnd w:id="378"/>
      <w:bookmarkEnd w:id="379"/>
      <w:bookmarkEnd w:id="380"/>
      <w:bookmarkEnd w:id="381"/>
      <w:bookmarkEnd w:id="382"/>
      <w:bookmarkEnd w:id="383"/>
    </w:p>
    <w:p>
      <w:pPr>
        <w:pStyle w:val="5"/>
        <w:rPr>
          <w:rFonts w:ascii="仿宋" w:hAnsi="仿宋"/>
          <w:i w:val="0"/>
          <w:color w:val="auto"/>
          <w:highlight w:val="none"/>
          <w:lang w:eastAsia="zh-CN"/>
        </w:rPr>
      </w:pPr>
      <w:bookmarkStart w:id="384" w:name="_Toc497752251"/>
      <w:bookmarkStart w:id="385" w:name="_Toc468640396"/>
      <w:bookmarkStart w:id="386" w:name="_Toc468346393"/>
      <w:bookmarkStart w:id="387" w:name="_Toc468320470"/>
      <w:bookmarkStart w:id="388" w:name="_Toc511558658"/>
      <w:bookmarkStart w:id="389" w:name="_Toc468654159"/>
      <w:bookmarkStart w:id="390" w:name="_Toc468331102"/>
      <w:bookmarkStart w:id="391" w:name="_Toc505762751"/>
      <w:bookmarkStart w:id="392" w:name="_Toc468641517"/>
      <w:r>
        <w:rPr>
          <w:rFonts w:hint="eastAsia" w:ascii="仿宋" w:hAnsi="仿宋"/>
          <w:i w:val="0"/>
          <w:color w:val="auto"/>
          <w:highlight w:val="none"/>
          <w:lang w:eastAsia="zh-CN"/>
        </w:rPr>
        <w:t>40、质疑、投诉的处理方式</w:t>
      </w:r>
      <w:bookmarkEnd w:id="384"/>
      <w:bookmarkEnd w:id="385"/>
      <w:bookmarkEnd w:id="386"/>
      <w:bookmarkEnd w:id="387"/>
      <w:bookmarkEnd w:id="388"/>
      <w:bookmarkEnd w:id="389"/>
      <w:bookmarkEnd w:id="390"/>
      <w:bookmarkEnd w:id="391"/>
      <w:bookmarkEnd w:id="392"/>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质疑、投诉的接收和处理严格按照《中华人民共和国政府采购法》、《中华人民共和国政府采购法实施条例》、《政府采购货物和服务招标投标管理办法》、《政府采购质疑和投诉办法》、《</w:t>
      </w:r>
      <w:r>
        <w:rPr>
          <w:rFonts w:ascii="仿宋" w:hAnsi="仿宋" w:eastAsia="仿宋"/>
          <w:i w:val="0"/>
          <w:color w:val="auto"/>
          <w:sz w:val="24"/>
          <w:highlight w:val="none"/>
          <w:lang w:eastAsia="zh-CN"/>
        </w:rPr>
        <w:t>财政部关于加强政府采购投标人投诉受理审查工作的通知</w:t>
      </w:r>
      <w:r>
        <w:rPr>
          <w:rFonts w:hint="eastAsia" w:ascii="仿宋" w:hAnsi="仿宋" w:eastAsia="仿宋"/>
          <w:i w:val="0"/>
          <w:color w:val="auto"/>
          <w:sz w:val="24"/>
          <w:highlight w:val="none"/>
          <w:lang w:eastAsia="zh-CN"/>
        </w:rPr>
        <w:t>》的规定办理（详细规定请在四川政府采购网法律法规模块查询）。</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投标人如认为招标文件使自己的合法权益受到损害，可按照以上规定程序和办法提出询</w:t>
      </w:r>
      <w:r>
        <w:rPr>
          <w:rFonts w:ascii="仿宋" w:hAnsi="仿宋" w:eastAsia="仿宋"/>
          <w:i w:val="0"/>
          <w:color w:val="auto"/>
          <w:sz w:val="24"/>
          <w:highlight w:val="none"/>
          <w:lang w:eastAsia="zh-CN"/>
        </w:rPr>
        <w:t>问、</w:t>
      </w:r>
      <w:r>
        <w:rPr>
          <w:rFonts w:hint="eastAsia" w:ascii="仿宋" w:hAnsi="仿宋" w:eastAsia="仿宋"/>
          <w:i w:val="0"/>
          <w:color w:val="auto"/>
          <w:sz w:val="24"/>
          <w:highlight w:val="none"/>
          <w:lang w:eastAsia="zh-CN"/>
        </w:rPr>
        <w:t>质疑。投标人对招标文件的询</w:t>
      </w:r>
      <w:r>
        <w:rPr>
          <w:rFonts w:ascii="仿宋" w:hAnsi="仿宋" w:eastAsia="仿宋"/>
          <w:i w:val="0"/>
          <w:color w:val="auto"/>
          <w:sz w:val="24"/>
          <w:highlight w:val="none"/>
          <w:lang w:eastAsia="zh-CN"/>
        </w:rPr>
        <w:t>问、</w:t>
      </w:r>
      <w:r>
        <w:rPr>
          <w:rFonts w:hint="eastAsia" w:ascii="仿宋" w:hAnsi="仿宋" w:eastAsia="仿宋"/>
          <w:i w:val="0"/>
          <w:color w:val="auto"/>
          <w:sz w:val="24"/>
          <w:highlight w:val="none"/>
          <w:lang w:eastAsia="zh-CN"/>
        </w:rPr>
        <w:t>质疑，应当在自获得招标文件起七个工作日内提出，供应商质疑不得超出采购文件、采购过程、中标或者成交结果使自己的权益受到损害的范围，供应商须在法定质疑期内一次性提出针对同一采购程序环节的质疑。在规定的时间内未提出询问</w:t>
      </w:r>
      <w:r>
        <w:rPr>
          <w:rFonts w:ascii="仿宋" w:hAnsi="仿宋" w:eastAsia="仿宋"/>
          <w:i w:val="0"/>
          <w:color w:val="auto"/>
          <w:sz w:val="24"/>
          <w:highlight w:val="none"/>
          <w:lang w:eastAsia="zh-CN"/>
        </w:rPr>
        <w:t>、</w:t>
      </w:r>
      <w:r>
        <w:rPr>
          <w:rFonts w:hint="eastAsia" w:ascii="仿宋" w:hAnsi="仿宋" w:eastAsia="仿宋"/>
          <w:i w:val="0"/>
          <w:color w:val="auto"/>
          <w:sz w:val="24"/>
          <w:highlight w:val="none"/>
          <w:lang w:eastAsia="zh-CN"/>
        </w:rPr>
        <w:t>质疑的，将视为完全认同本招标文件的要求。</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质疑、投诉应当采用书面形式，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pPr>
        <w:pStyle w:val="4"/>
        <w:rPr>
          <w:i w:val="0"/>
          <w:color w:val="auto"/>
          <w:highlight w:val="none"/>
          <w:lang w:eastAsia="zh-CN"/>
        </w:rPr>
      </w:pPr>
      <w:bookmarkStart w:id="393" w:name="_Toc13900"/>
      <w:bookmarkStart w:id="394" w:name="_Toc468346394"/>
      <w:bookmarkStart w:id="395" w:name="_Toc468331103"/>
      <w:bookmarkStart w:id="396" w:name="_Toc511558659"/>
      <w:bookmarkStart w:id="397" w:name="_Toc524910118"/>
      <w:r>
        <w:rPr>
          <w:rFonts w:hint="eastAsia"/>
          <w:i w:val="0"/>
          <w:color w:val="auto"/>
          <w:highlight w:val="none"/>
          <w:lang w:eastAsia="zh-CN"/>
        </w:rPr>
        <w:t>九、招标代理服务费</w:t>
      </w:r>
      <w:bookmarkEnd w:id="393"/>
      <w:bookmarkEnd w:id="394"/>
      <w:bookmarkEnd w:id="395"/>
      <w:bookmarkEnd w:id="396"/>
      <w:bookmarkEnd w:id="397"/>
    </w:p>
    <w:p>
      <w:pPr>
        <w:keepNext/>
        <w:keepLines/>
        <w:tabs>
          <w:tab w:val="center" w:pos="4890"/>
        </w:tabs>
        <w:spacing w:after="120" w:line="360" w:lineRule="auto"/>
        <w:outlineLvl w:val="2"/>
        <w:rPr>
          <w:rFonts w:ascii="仿宋" w:hAnsi="仿宋" w:eastAsia="仿宋"/>
          <w:b/>
          <w:i w:val="0"/>
          <w:color w:val="auto"/>
          <w:sz w:val="24"/>
          <w:szCs w:val="24"/>
          <w:highlight w:val="none"/>
          <w:lang w:eastAsia="zh-CN"/>
        </w:rPr>
      </w:pPr>
      <w:bookmarkStart w:id="398" w:name="_Toc468654161"/>
      <w:bookmarkStart w:id="399" w:name="_Toc468640398"/>
      <w:bookmarkStart w:id="400" w:name="_Toc505762753"/>
      <w:bookmarkStart w:id="401" w:name="_Toc468331104"/>
      <w:bookmarkStart w:id="402" w:name="_Toc468320472"/>
      <w:bookmarkStart w:id="403" w:name="_Toc468641519"/>
      <w:bookmarkStart w:id="404" w:name="_Toc497752253"/>
      <w:bookmarkStart w:id="405" w:name="_Toc511558660"/>
      <w:bookmarkStart w:id="406" w:name="_Toc468346395"/>
      <w:r>
        <w:rPr>
          <w:rFonts w:hint="eastAsia" w:ascii="仿宋" w:hAnsi="仿宋" w:eastAsia="仿宋"/>
          <w:b/>
          <w:i w:val="0"/>
          <w:color w:val="auto"/>
          <w:sz w:val="24"/>
          <w:szCs w:val="24"/>
          <w:highlight w:val="none"/>
          <w:lang w:eastAsia="zh-CN"/>
        </w:rPr>
        <w:t>41、招标代理服务费</w:t>
      </w:r>
      <w:bookmarkEnd w:id="398"/>
      <w:bookmarkEnd w:id="399"/>
      <w:bookmarkEnd w:id="400"/>
      <w:bookmarkEnd w:id="401"/>
      <w:bookmarkEnd w:id="402"/>
      <w:bookmarkEnd w:id="403"/>
      <w:bookmarkEnd w:id="404"/>
      <w:bookmarkEnd w:id="405"/>
      <w:bookmarkEnd w:id="406"/>
      <w:r>
        <w:rPr>
          <w:rFonts w:ascii="仿宋" w:hAnsi="仿宋" w:eastAsia="仿宋"/>
          <w:b/>
          <w:i w:val="0"/>
          <w:color w:val="auto"/>
          <w:sz w:val="24"/>
          <w:szCs w:val="24"/>
          <w:highlight w:val="none"/>
          <w:lang w:eastAsia="zh-CN"/>
        </w:rPr>
        <w:tab/>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根据成本加合理利润原则，本项目</w:t>
      </w:r>
      <w:r>
        <w:rPr>
          <w:rFonts w:hint="eastAsia" w:ascii="仿宋" w:hAnsi="仿宋" w:eastAsia="仿宋"/>
          <w:i w:val="0"/>
          <w:color w:val="auto"/>
          <w:highlight w:val="none"/>
          <w:lang w:val="en-US" w:eastAsia="zh-CN"/>
        </w:rPr>
        <w:t>以预算金额的1.5%下浮30%</w:t>
      </w:r>
      <w:r>
        <w:rPr>
          <w:rFonts w:hint="eastAsia" w:ascii="仿宋" w:hAnsi="仿宋" w:eastAsia="仿宋"/>
          <w:i w:val="0"/>
          <w:color w:val="auto"/>
          <w:highlight w:val="none"/>
          <w:lang w:eastAsia="zh-CN"/>
        </w:rPr>
        <w:t>定额向中标人收取代理服务费，领取中标通知书前须向代理公司一次性</w:t>
      </w:r>
      <w:r>
        <w:rPr>
          <w:rFonts w:hint="eastAsia" w:ascii="仿宋" w:hAnsi="仿宋" w:eastAsia="仿宋"/>
          <w:i w:val="0"/>
          <w:color w:val="auto"/>
          <w:highlight w:val="none"/>
          <w:lang w:val="en-US" w:eastAsia="zh-CN"/>
        </w:rPr>
        <w:t>支付</w:t>
      </w:r>
      <w:r>
        <w:rPr>
          <w:rFonts w:hint="eastAsia" w:ascii="仿宋" w:hAnsi="仿宋" w:eastAsia="仿宋"/>
          <w:i w:val="0"/>
          <w:color w:val="auto"/>
          <w:highlight w:val="none"/>
          <w:lang w:eastAsia="zh-CN"/>
        </w:rPr>
        <w:t>招标代理服务费用。</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收款单位：四川科薪工程管理有限公司</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开户银行：成都农村商业银行新都汉嘉分理处</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银行账号：022230040120010002314</w:t>
      </w:r>
    </w:p>
    <w:p>
      <w:pPr>
        <w:pStyle w:val="4"/>
        <w:spacing w:line="360" w:lineRule="auto"/>
        <w:rPr>
          <w:i w:val="0"/>
          <w:color w:val="auto"/>
          <w:highlight w:val="none"/>
          <w:lang w:eastAsia="zh-CN" w:bidi="ar-SA"/>
        </w:rPr>
      </w:pPr>
      <w:bookmarkStart w:id="407" w:name="_Toc511558661"/>
      <w:bookmarkStart w:id="408" w:name="_Toc16597"/>
      <w:bookmarkStart w:id="409" w:name="_Toc492856488"/>
      <w:bookmarkStart w:id="410" w:name="_Toc524910119"/>
      <w:r>
        <w:rPr>
          <w:rFonts w:hint="eastAsia"/>
          <w:i w:val="0"/>
          <w:color w:val="auto"/>
          <w:highlight w:val="none"/>
          <w:lang w:eastAsia="zh-CN" w:bidi="ar-SA"/>
        </w:rPr>
        <w:t>十、其他</w:t>
      </w:r>
      <w:bookmarkEnd w:id="407"/>
      <w:bookmarkEnd w:id="408"/>
      <w:bookmarkEnd w:id="409"/>
      <w:bookmarkEnd w:id="410"/>
    </w:p>
    <w:p>
      <w:pPr>
        <w:spacing w:after="120" w:line="360" w:lineRule="auto"/>
        <w:ind w:firstLine="424" w:firstLineChars="177"/>
        <w:rPr>
          <w:rFonts w:ascii="仿宋" w:hAnsi="仿宋" w:eastAsia="仿宋" w:cs="Marigold"/>
          <w:i w:val="0"/>
          <w:color w:val="auto"/>
          <w:sz w:val="24"/>
          <w:szCs w:val="24"/>
          <w:highlight w:val="none"/>
          <w:lang w:eastAsia="zh-CN" w:bidi="ar-SA"/>
        </w:rPr>
      </w:pPr>
      <w:r>
        <w:rPr>
          <w:rFonts w:hint="eastAsia" w:ascii="仿宋" w:hAnsi="仿宋" w:eastAsia="仿宋" w:cs="Marigold"/>
          <w:i w:val="0"/>
          <w:color w:val="auto"/>
          <w:sz w:val="24"/>
          <w:szCs w:val="24"/>
          <w:highlight w:val="none"/>
          <w:lang w:eastAsia="zh-CN" w:bidi="ar-SA"/>
        </w:rPr>
        <w:t>42、本招标文件中所引相关法律制度规定，在政府采购中有变化的，按照变化后的相关法律制度规定执行。本章和第7章中“一、总则，二、评标方法，三、评标程序”规定的内容条款，在本项目投标截止时间届满后，因相关法律制度规定的变化导致不符合相关法律制度规定的，直接按照变化后的相关法律制度规定执行，本招标文件不再做调整。</w:t>
      </w:r>
    </w:p>
    <w:p>
      <w:pPr>
        <w:spacing w:line="360" w:lineRule="auto"/>
        <w:ind w:firstLine="480" w:firstLineChars="200"/>
        <w:contextualSpacing/>
        <w:rPr>
          <w:rFonts w:ascii="仿宋" w:hAnsi="仿宋" w:eastAsia="仿宋" w:cs="Marigold"/>
          <w:i w:val="0"/>
          <w:color w:val="auto"/>
          <w:sz w:val="24"/>
          <w:szCs w:val="24"/>
          <w:highlight w:val="none"/>
          <w:lang w:eastAsia="zh-CN" w:bidi="ar-SA"/>
        </w:rPr>
      </w:pPr>
      <w:r>
        <w:rPr>
          <w:rFonts w:hint="eastAsia" w:ascii="仿宋" w:hAnsi="仿宋" w:eastAsia="仿宋" w:cs="Marigold"/>
          <w:i w:val="0"/>
          <w:color w:val="auto"/>
          <w:sz w:val="24"/>
          <w:szCs w:val="24"/>
          <w:highlight w:val="none"/>
          <w:lang w:eastAsia="zh-CN" w:bidi="ar-SA"/>
        </w:rPr>
        <w:t>本招标文件中未引用的相关法律制度规定，按照中华人民共和国政府采购法及其实施条例，以及其他相关的法律、规章的规定执行。</w:t>
      </w:r>
    </w:p>
    <w:p>
      <w:pPr>
        <w:rPr>
          <w:rFonts w:ascii="仿宋" w:hAnsi="仿宋" w:eastAsia="仿宋" w:cs="Marigold"/>
          <w:i w:val="0"/>
          <w:color w:val="auto"/>
          <w:sz w:val="24"/>
          <w:szCs w:val="24"/>
          <w:highlight w:val="none"/>
          <w:lang w:eastAsia="zh-CN" w:bidi="ar-SA"/>
        </w:rPr>
      </w:pPr>
      <w:r>
        <w:rPr>
          <w:rFonts w:ascii="仿宋" w:hAnsi="仿宋" w:eastAsia="仿宋" w:cs="Marigold"/>
          <w:i w:val="0"/>
          <w:color w:val="auto"/>
          <w:sz w:val="24"/>
          <w:szCs w:val="24"/>
          <w:highlight w:val="none"/>
          <w:lang w:eastAsia="zh-CN" w:bidi="ar-SA"/>
        </w:rPr>
        <w:br w:type="page"/>
      </w:r>
    </w:p>
    <w:p>
      <w:pPr>
        <w:pStyle w:val="3"/>
        <w:rPr>
          <w:rFonts w:ascii="仿宋" w:hAnsi="仿宋" w:cs="Marigold"/>
          <w:i w:val="0"/>
          <w:color w:val="auto"/>
          <w:sz w:val="24"/>
          <w:szCs w:val="24"/>
          <w:highlight w:val="none"/>
          <w:lang w:eastAsia="zh-CN" w:bidi="ar-SA"/>
        </w:rPr>
      </w:pPr>
      <w:bookmarkStart w:id="411" w:name="_Toc511558662"/>
      <w:bookmarkStart w:id="412" w:name="_Toc5063"/>
      <w:bookmarkStart w:id="413" w:name="_Toc38274191"/>
      <w:r>
        <w:rPr>
          <w:rFonts w:hint="eastAsia" w:ascii="仿宋" w:hAnsi="仿宋"/>
          <w:i w:val="0"/>
          <w:color w:val="auto"/>
          <w:highlight w:val="none"/>
          <w:lang w:eastAsia="zh-CN"/>
        </w:rPr>
        <w:t>第三章投标文件格式</w:t>
      </w:r>
      <w:bookmarkEnd w:id="411"/>
      <w:bookmarkEnd w:id="412"/>
      <w:bookmarkEnd w:id="413"/>
    </w:p>
    <w:p>
      <w:pPr>
        <w:pStyle w:val="56"/>
        <w:ind w:firstLine="482"/>
        <w:rPr>
          <w:rFonts w:ascii="仿宋" w:hAnsi="仿宋" w:eastAsia="仿宋"/>
          <w:b/>
          <w:i w:val="0"/>
          <w:color w:val="auto"/>
          <w:szCs w:val="24"/>
          <w:highlight w:val="none"/>
          <w:lang w:eastAsia="zh-CN"/>
        </w:rPr>
      </w:pPr>
      <w:r>
        <w:rPr>
          <w:rFonts w:hint="eastAsia" w:ascii="仿宋" w:hAnsi="仿宋" w:eastAsia="仿宋"/>
          <w:b/>
          <w:i w:val="0"/>
          <w:color w:val="auto"/>
          <w:szCs w:val="24"/>
          <w:highlight w:val="none"/>
          <w:lang w:eastAsia="zh-CN"/>
        </w:rPr>
        <w:t>一、本章所制投标文件格式，除格式中明确将该格式作为实质性要求的，一律不具有强制性，也不是强制适用，是投标人编制具体投标文件的参考，里面内容是可以增减删改的。</w:t>
      </w:r>
    </w:p>
    <w:p>
      <w:pPr>
        <w:pStyle w:val="56"/>
        <w:ind w:firstLine="482"/>
        <w:rPr>
          <w:rFonts w:ascii="仿宋" w:hAnsi="仿宋" w:eastAsia="仿宋"/>
          <w:b/>
          <w:i w:val="0"/>
          <w:color w:val="auto"/>
          <w:szCs w:val="24"/>
          <w:highlight w:val="none"/>
          <w:lang w:eastAsia="zh-CN"/>
        </w:rPr>
      </w:pPr>
      <w:r>
        <w:rPr>
          <w:rFonts w:hint="eastAsia" w:ascii="仿宋" w:hAnsi="仿宋" w:eastAsia="仿宋"/>
          <w:b/>
          <w:i w:val="0"/>
          <w:color w:val="auto"/>
          <w:szCs w:val="24"/>
          <w:highlight w:val="none"/>
          <w:lang w:eastAsia="zh-CN"/>
        </w:rPr>
        <w:t>二、本章所制投标文件格式有关表格中的备注栏，由投标人根据自身投标情况作解释性说明，不作为必填项。</w:t>
      </w:r>
    </w:p>
    <w:p>
      <w:pPr>
        <w:spacing w:line="360" w:lineRule="auto"/>
        <w:ind w:firstLine="482" w:firstLineChars="200"/>
        <w:rPr>
          <w:rFonts w:ascii="仿宋" w:hAnsi="仿宋" w:eastAsia="仿宋"/>
          <w:b/>
          <w:i w:val="0"/>
          <w:color w:val="auto"/>
          <w:sz w:val="24"/>
          <w:szCs w:val="24"/>
          <w:highlight w:val="none"/>
          <w:lang w:eastAsia="zh-CN"/>
        </w:rPr>
      </w:pPr>
      <w:r>
        <w:rPr>
          <w:rFonts w:hint="eastAsia" w:ascii="仿宋" w:hAnsi="仿宋" w:eastAsia="仿宋"/>
          <w:b/>
          <w:i w:val="0"/>
          <w:color w:val="auto"/>
          <w:sz w:val="24"/>
          <w:szCs w:val="24"/>
          <w:highlight w:val="none"/>
          <w:lang w:eastAsia="zh-CN"/>
        </w:rPr>
        <w:t>三、本章所制投标文件格式中需要填写的相关内容事项，可能会与本采购项目无关，在不改变投标文件原义、不影响本项目采购需求的情况下，投标人可以不予填写，但应当注明。</w:t>
      </w:r>
    </w:p>
    <w:p>
      <w:pPr>
        <w:rPr>
          <w:rFonts w:ascii="仿宋" w:hAnsi="仿宋" w:eastAsia="仿宋"/>
          <w:i w:val="0"/>
          <w:color w:val="auto"/>
          <w:szCs w:val="24"/>
          <w:highlight w:val="none"/>
          <w:lang w:eastAsia="zh-CN"/>
        </w:rPr>
      </w:pPr>
      <w:r>
        <w:rPr>
          <w:rFonts w:ascii="仿宋" w:hAnsi="仿宋" w:eastAsia="仿宋"/>
          <w:i w:val="0"/>
          <w:color w:val="auto"/>
          <w:szCs w:val="24"/>
          <w:highlight w:val="none"/>
          <w:lang w:eastAsia="zh-CN"/>
        </w:rPr>
        <w:br w:type="page"/>
      </w:r>
    </w:p>
    <w:p>
      <w:pPr>
        <w:spacing w:line="360" w:lineRule="auto"/>
        <w:jc w:val="center"/>
        <w:rPr>
          <w:rFonts w:ascii="仿宋" w:hAnsi="仿宋" w:eastAsia="仿宋" w:cs="仿宋"/>
          <w:b/>
          <w:i w:val="0"/>
          <w:color w:val="auto"/>
          <w:sz w:val="84"/>
          <w:szCs w:val="84"/>
          <w:highlight w:val="none"/>
          <w:lang w:eastAsia="zh-CN" w:bidi="ar-SA"/>
        </w:rPr>
      </w:pPr>
    </w:p>
    <w:p>
      <w:pPr>
        <w:spacing w:line="360" w:lineRule="auto"/>
        <w:jc w:val="center"/>
        <w:rPr>
          <w:rFonts w:ascii="仿宋" w:hAnsi="仿宋" w:eastAsia="仿宋" w:cs="仿宋"/>
          <w:b/>
          <w:i w:val="0"/>
          <w:color w:val="auto"/>
          <w:sz w:val="84"/>
          <w:szCs w:val="84"/>
          <w:highlight w:val="none"/>
          <w:lang w:eastAsia="zh-CN" w:bidi="ar-SA"/>
        </w:rPr>
      </w:pPr>
      <w:r>
        <w:rPr>
          <w:rFonts w:hint="eastAsia" w:ascii="仿宋" w:hAnsi="仿宋" w:eastAsia="仿宋" w:cs="仿宋"/>
          <w:b/>
          <w:i w:val="0"/>
          <w:color w:val="auto"/>
          <w:sz w:val="84"/>
          <w:szCs w:val="84"/>
          <w:highlight w:val="none"/>
          <w:lang w:eastAsia="zh-CN" w:bidi="ar-SA"/>
        </w:rPr>
        <w:t>投标文件</w:t>
      </w:r>
    </w:p>
    <w:p>
      <w:pPr>
        <w:spacing w:line="360" w:lineRule="auto"/>
        <w:rPr>
          <w:rFonts w:ascii="仿宋" w:hAnsi="仿宋" w:eastAsia="仿宋" w:cs="仿宋"/>
          <w:b/>
          <w:i w:val="0"/>
          <w:color w:val="auto"/>
          <w:sz w:val="32"/>
          <w:szCs w:val="32"/>
          <w:highlight w:val="none"/>
          <w:lang w:eastAsia="zh-CN" w:bidi="ar-SA"/>
        </w:rPr>
      </w:pPr>
    </w:p>
    <w:p>
      <w:pPr>
        <w:spacing w:line="360" w:lineRule="auto"/>
        <w:rPr>
          <w:rFonts w:ascii="仿宋" w:hAnsi="仿宋" w:eastAsia="仿宋" w:cs="仿宋"/>
          <w:b/>
          <w:i w:val="0"/>
          <w:color w:val="auto"/>
          <w:sz w:val="32"/>
          <w:szCs w:val="32"/>
          <w:highlight w:val="none"/>
          <w:lang w:eastAsia="zh-CN" w:bidi="ar-SA"/>
        </w:rPr>
      </w:pPr>
    </w:p>
    <w:p>
      <w:pPr>
        <w:spacing w:line="360" w:lineRule="auto"/>
        <w:rPr>
          <w:rFonts w:ascii="仿宋" w:hAnsi="仿宋" w:eastAsia="仿宋" w:cs="仿宋"/>
          <w:b/>
          <w:i w:val="0"/>
          <w:color w:val="auto"/>
          <w:sz w:val="32"/>
          <w:szCs w:val="32"/>
          <w:highlight w:val="none"/>
          <w:lang w:eastAsia="zh-CN" w:bidi="ar-SA"/>
        </w:rPr>
      </w:pPr>
    </w:p>
    <w:p>
      <w:pPr>
        <w:keepNext/>
        <w:keepLines/>
        <w:spacing w:before="100" w:beforeAutospacing="1" w:after="100" w:afterAutospacing="1" w:line="360" w:lineRule="auto"/>
        <w:jc w:val="center"/>
        <w:outlineLvl w:val="0"/>
        <w:rPr>
          <w:rFonts w:ascii="仿宋" w:hAnsi="仿宋" w:eastAsia="仿宋" w:cs="仿宋"/>
          <w:b/>
          <w:i w:val="0"/>
          <w:color w:val="auto"/>
          <w:kern w:val="44"/>
          <w:sz w:val="32"/>
          <w:szCs w:val="32"/>
          <w:highlight w:val="none"/>
          <w:lang w:eastAsia="zh-CN" w:bidi="ar-SA"/>
        </w:rPr>
      </w:pPr>
      <w:bookmarkStart w:id="414" w:name="_Toc25530"/>
      <w:bookmarkStart w:id="415" w:name="_Toc524910121"/>
      <w:bookmarkStart w:id="416" w:name="_Toc511558663"/>
      <w:bookmarkStart w:id="417" w:name="_Toc492286424"/>
      <w:r>
        <w:rPr>
          <w:rFonts w:hint="eastAsia" w:ascii="仿宋" w:hAnsi="仿宋" w:eastAsia="仿宋" w:cs="仿宋"/>
          <w:b/>
          <w:i w:val="0"/>
          <w:color w:val="auto"/>
          <w:kern w:val="44"/>
          <w:sz w:val="32"/>
          <w:szCs w:val="32"/>
          <w:highlight w:val="none"/>
          <w:lang w:eastAsia="zh-CN" w:bidi="ar-SA"/>
        </w:rPr>
        <w:t>第一册  资格证明文件</w:t>
      </w:r>
      <w:bookmarkEnd w:id="414"/>
      <w:bookmarkEnd w:id="415"/>
      <w:bookmarkEnd w:id="416"/>
      <w:bookmarkEnd w:id="417"/>
    </w:p>
    <w:p>
      <w:pPr>
        <w:rPr>
          <w:rFonts w:ascii="仿宋" w:hAnsi="仿宋" w:eastAsia="仿宋" w:cs="仿宋"/>
          <w:b/>
          <w:i w:val="0"/>
          <w:color w:val="auto"/>
          <w:kern w:val="44"/>
          <w:sz w:val="32"/>
          <w:szCs w:val="32"/>
          <w:highlight w:val="none"/>
          <w:lang w:eastAsia="zh-CN" w:bidi="ar-SA"/>
        </w:rPr>
      </w:pPr>
      <w:r>
        <w:rPr>
          <w:rFonts w:ascii="仿宋" w:hAnsi="仿宋" w:eastAsia="仿宋" w:cs="仿宋"/>
          <w:b/>
          <w:i w:val="0"/>
          <w:color w:val="auto"/>
          <w:kern w:val="44"/>
          <w:sz w:val="32"/>
          <w:szCs w:val="32"/>
          <w:highlight w:val="none"/>
          <w:lang w:eastAsia="zh-CN" w:bidi="ar-SA"/>
        </w:rPr>
        <w:br w:type="page"/>
      </w:r>
    </w:p>
    <w:p>
      <w:pPr>
        <w:pStyle w:val="4"/>
        <w:jc w:val="left"/>
        <w:rPr>
          <w:i w:val="0"/>
          <w:color w:val="auto"/>
          <w:highlight w:val="none"/>
          <w:lang w:eastAsia="zh-CN"/>
        </w:rPr>
      </w:pPr>
      <w:bookmarkStart w:id="418" w:name="_Toc505762757"/>
      <w:bookmarkStart w:id="419" w:name="_Toc524910122"/>
      <w:bookmarkStart w:id="420" w:name="_Toc497752257"/>
      <w:bookmarkStart w:id="421" w:name="_Toc511558664"/>
      <w:bookmarkStart w:id="422" w:name="_Toc30779"/>
      <w:bookmarkStart w:id="423" w:name="_Toc492286425"/>
      <w:bookmarkStart w:id="424" w:name="_Toc499918727"/>
      <w:r>
        <w:rPr>
          <w:rFonts w:hint="eastAsia"/>
          <w:i w:val="0"/>
          <w:color w:val="auto"/>
          <w:highlight w:val="none"/>
          <w:lang w:eastAsia="zh-CN"/>
        </w:rPr>
        <w:t>一、资格证明文件函</w:t>
      </w:r>
      <w:bookmarkEnd w:id="418"/>
      <w:bookmarkEnd w:id="419"/>
      <w:bookmarkEnd w:id="420"/>
      <w:bookmarkEnd w:id="421"/>
      <w:bookmarkEnd w:id="422"/>
      <w:bookmarkEnd w:id="423"/>
      <w:bookmarkEnd w:id="424"/>
    </w:p>
    <w:p>
      <w:pPr>
        <w:pStyle w:val="56"/>
        <w:ind w:firstLine="562"/>
        <w:jc w:val="center"/>
        <w:rPr>
          <w:rFonts w:ascii="仿宋" w:hAnsi="仿宋" w:eastAsia="仿宋"/>
          <w:b/>
          <w:i w:val="0"/>
          <w:color w:val="auto"/>
          <w:sz w:val="28"/>
          <w:highlight w:val="none"/>
          <w:lang w:eastAsia="zh-CN"/>
        </w:rPr>
      </w:pPr>
      <w:r>
        <w:rPr>
          <w:rFonts w:hint="eastAsia" w:ascii="仿宋" w:hAnsi="仿宋" w:eastAsia="仿宋"/>
          <w:b/>
          <w:i w:val="0"/>
          <w:color w:val="auto"/>
          <w:sz w:val="28"/>
          <w:highlight w:val="none"/>
          <w:lang w:eastAsia="zh-CN"/>
        </w:rPr>
        <w:t>资格证明文件函</w:t>
      </w:r>
    </w:p>
    <w:p>
      <w:pPr>
        <w:pStyle w:val="56"/>
        <w:ind w:firstLine="0" w:firstLineChars="0"/>
        <w:rPr>
          <w:rFonts w:ascii="仿宋" w:hAnsi="仿宋" w:eastAsia="仿宋"/>
          <w:i w:val="0"/>
          <w:color w:val="auto"/>
          <w:szCs w:val="24"/>
          <w:highlight w:val="none"/>
          <w:u w:val="single"/>
          <w:lang w:eastAsia="zh-CN"/>
        </w:rPr>
      </w:pPr>
      <w:r>
        <w:rPr>
          <w:rFonts w:hint="eastAsia" w:ascii="仿宋" w:hAnsi="仿宋" w:eastAsia="仿宋"/>
          <w:i w:val="0"/>
          <w:color w:val="auto"/>
          <w:szCs w:val="24"/>
          <w:highlight w:val="none"/>
          <w:u w:val="single"/>
          <w:lang w:eastAsia="zh-CN"/>
        </w:rPr>
        <w:t>四川科薪工程管理有限公司：</w:t>
      </w:r>
    </w:p>
    <w:p>
      <w:pPr>
        <w:pStyle w:val="56"/>
        <w:rPr>
          <w:rFonts w:ascii="仿宋" w:hAnsi="仿宋" w:eastAsia="仿宋"/>
          <w:i w:val="0"/>
          <w:color w:val="auto"/>
          <w:szCs w:val="24"/>
          <w:highlight w:val="none"/>
          <w:lang w:eastAsia="zh-CN"/>
        </w:rPr>
      </w:pPr>
      <w:r>
        <w:rPr>
          <w:rFonts w:hint="eastAsia" w:ascii="仿宋" w:hAnsi="仿宋" w:eastAsia="仿宋"/>
          <w:i w:val="0"/>
          <w:color w:val="auto"/>
          <w:szCs w:val="24"/>
          <w:highlight w:val="none"/>
          <w:lang w:eastAsia="zh-CN"/>
        </w:rPr>
        <w:t xml:space="preserve"> 根据贵公司为</w:t>
      </w:r>
      <w:r>
        <w:rPr>
          <w:rFonts w:hint="eastAsia" w:ascii="仿宋" w:hAnsi="仿宋" w:eastAsia="仿宋"/>
          <w:i w:val="0"/>
          <w:color w:val="auto"/>
          <w:szCs w:val="24"/>
          <w:highlight w:val="none"/>
          <w:u w:val="single"/>
          <w:lang w:eastAsia="zh-CN"/>
        </w:rPr>
        <w:t xml:space="preserve">           </w:t>
      </w:r>
      <w:r>
        <w:rPr>
          <w:rFonts w:hint="eastAsia" w:ascii="仿宋" w:hAnsi="仿宋" w:eastAsia="仿宋"/>
          <w:i w:val="0"/>
          <w:color w:val="auto"/>
          <w:szCs w:val="24"/>
          <w:highlight w:val="none"/>
          <w:lang w:eastAsia="zh-CN"/>
        </w:rPr>
        <w:t>（项目名称）项目招标采购项目的投标邀请</w:t>
      </w:r>
      <w:r>
        <w:rPr>
          <w:rFonts w:hint="eastAsia" w:ascii="仿宋" w:hAnsi="仿宋" w:eastAsia="仿宋"/>
          <w:i w:val="0"/>
          <w:color w:val="auto"/>
          <w:szCs w:val="24"/>
          <w:highlight w:val="none"/>
          <w:u w:val="single"/>
          <w:lang w:eastAsia="zh-CN"/>
        </w:rPr>
        <w:t xml:space="preserve">       </w:t>
      </w:r>
      <w:r>
        <w:rPr>
          <w:rFonts w:hint="eastAsia" w:ascii="仿宋" w:hAnsi="仿宋" w:eastAsia="仿宋"/>
          <w:i w:val="0"/>
          <w:color w:val="auto"/>
          <w:szCs w:val="24"/>
          <w:highlight w:val="none"/>
          <w:lang w:eastAsia="zh-CN"/>
        </w:rPr>
        <w:t>（招标编号），授权代表</w:t>
      </w:r>
      <w:r>
        <w:rPr>
          <w:rFonts w:hint="eastAsia" w:ascii="仿宋" w:hAnsi="仿宋" w:eastAsia="仿宋"/>
          <w:i w:val="0"/>
          <w:color w:val="auto"/>
          <w:szCs w:val="24"/>
          <w:highlight w:val="none"/>
          <w:u w:val="single"/>
          <w:lang w:eastAsia="zh-CN"/>
        </w:rPr>
        <w:t xml:space="preserve">      </w:t>
      </w:r>
      <w:r>
        <w:rPr>
          <w:rFonts w:hint="eastAsia" w:ascii="仿宋" w:hAnsi="仿宋" w:eastAsia="仿宋"/>
          <w:i w:val="0"/>
          <w:color w:val="auto"/>
          <w:szCs w:val="24"/>
          <w:highlight w:val="none"/>
          <w:lang w:eastAsia="zh-CN"/>
        </w:rPr>
        <w:t>（姓名、职务） 经正式授权并代表投标人</w:t>
      </w:r>
      <w:r>
        <w:rPr>
          <w:rFonts w:hint="eastAsia" w:ascii="仿宋" w:hAnsi="仿宋" w:eastAsia="仿宋"/>
          <w:i w:val="0"/>
          <w:color w:val="auto"/>
          <w:szCs w:val="24"/>
          <w:highlight w:val="none"/>
          <w:u w:val="single"/>
          <w:lang w:eastAsia="zh-CN"/>
        </w:rPr>
        <w:t xml:space="preserve">       </w:t>
      </w:r>
      <w:r>
        <w:rPr>
          <w:rFonts w:hint="eastAsia" w:ascii="仿宋" w:hAnsi="仿宋" w:eastAsia="仿宋"/>
          <w:i w:val="0"/>
          <w:color w:val="auto"/>
          <w:szCs w:val="24"/>
          <w:highlight w:val="none"/>
          <w:lang w:eastAsia="zh-CN"/>
        </w:rPr>
        <w:t>（投标人名称、地址）提交资格证明文件。</w:t>
      </w:r>
    </w:p>
    <w:p>
      <w:pPr>
        <w:pStyle w:val="56"/>
        <w:rPr>
          <w:rFonts w:ascii="仿宋" w:hAnsi="仿宋" w:eastAsia="仿宋"/>
          <w:i w:val="0"/>
          <w:color w:val="auto"/>
          <w:szCs w:val="24"/>
          <w:highlight w:val="none"/>
          <w:lang w:eastAsia="zh-CN"/>
        </w:rPr>
      </w:pPr>
    </w:p>
    <w:p>
      <w:pPr>
        <w:pStyle w:val="56"/>
        <w:rPr>
          <w:rFonts w:ascii="仿宋" w:hAnsi="仿宋" w:eastAsia="仿宋"/>
          <w:i w:val="0"/>
          <w:color w:val="auto"/>
          <w:szCs w:val="24"/>
          <w:highlight w:val="none"/>
          <w:lang w:eastAsia="zh-CN"/>
        </w:rPr>
      </w:pPr>
    </w:p>
    <w:p>
      <w:pPr>
        <w:pStyle w:val="56"/>
        <w:rPr>
          <w:rFonts w:ascii="仿宋" w:hAnsi="仿宋" w:eastAsia="仿宋"/>
          <w:i w:val="0"/>
          <w:color w:val="auto"/>
          <w:szCs w:val="24"/>
          <w:highlight w:val="none"/>
          <w:lang w:eastAsia="zh-CN"/>
        </w:rPr>
      </w:pPr>
      <w:r>
        <w:rPr>
          <w:rFonts w:hint="eastAsia" w:ascii="仿宋" w:hAnsi="仿宋" w:eastAsia="仿宋"/>
          <w:i w:val="0"/>
          <w:color w:val="auto"/>
          <w:szCs w:val="24"/>
          <w:highlight w:val="none"/>
          <w:lang w:eastAsia="zh-CN"/>
        </w:rPr>
        <w:t>本资格证明文件中所有内容均为其有效组成部分，投标人对其真实性承担完全责任。</w:t>
      </w:r>
    </w:p>
    <w:p>
      <w:pPr>
        <w:pStyle w:val="56"/>
        <w:rPr>
          <w:rFonts w:ascii="仿宋" w:hAnsi="仿宋" w:eastAsia="仿宋"/>
          <w:i w:val="0"/>
          <w:color w:val="auto"/>
          <w:szCs w:val="24"/>
          <w:highlight w:val="none"/>
          <w:lang w:eastAsia="zh-CN"/>
        </w:rPr>
      </w:pPr>
    </w:p>
    <w:p>
      <w:pPr>
        <w:pStyle w:val="56"/>
        <w:rPr>
          <w:rFonts w:ascii="仿宋" w:hAnsi="仿宋" w:eastAsia="仿宋"/>
          <w:i w:val="0"/>
          <w:color w:val="auto"/>
          <w:szCs w:val="24"/>
          <w:highlight w:val="none"/>
          <w:lang w:eastAsia="zh-CN"/>
        </w:rPr>
      </w:pPr>
    </w:p>
    <w:p>
      <w:pPr>
        <w:pStyle w:val="56"/>
        <w:rPr>
          <w:rFonts w:ascii="仿宋" w:hAnsi="仿宋" w:eastAsia="仿宋"/>
          <w:i w:val="0"/>
          <w:color w:val="auto"/>
          <w:szCs w:val="24"/>
          <w:highlight w:val="none"/>
          <w:lang w:eastAsia="zh-CN"/>
        </w:rPr>
      </w:pPr>
      <w:r>
        <w:rPr>
          <w:rFonts w:hint="eastAsia" w:ascii="仿宋" w:hAnsi="仿宋" w:eastAsia="仿宋"/>
          <w:i w:val="0"/>
          <w:color w:val="auto"/>
          <w:szCs w:val="24"/>
          <w:highlight w:val="none"/>
          <w:lang w:eastAsia="zh-CN"/>
        </w:rPr>
        <w:t>投标人名称（盖单位章）:</w:t>
      </w:r>
      <w:r>
        <w:rPr>
          <w:rFonts w:hint="eastAsia" w:ascii="仿宋" w:hAnsi="仿宋" w:eastAsia="仿宋"/>
          <w:i w:val="0"/>
          <w:color w:val="auto"/>
          <w:szCs w:val="24"/>
          <w:highlight w:val="none"/>
          <w:u w:val="single"/>
          <w:lang w:eastAsia="zh-CN"/>
        </w:rPr>
        <w:t xml:space="preserve">                           </w:t>
      </w:r>
    </w:p>
    <w:p>
      <w:pPr>
        <w:pStyle w:val="56"/>
        <w:rPr>
          <w:rFonts w:ascii="仿宋" w:hAnsi="仿宋" w:eastAsia="仿宋"/>
          <w:i w:val="0"/>
          <w:color w:val="auto"/>
          <w:szCs w:val="24"/>
          <w:highlight w:val="none"/>
          <w:lang w:eastAsia="zh-CN"/>
        </w:rPr>
      </w:pPr>
      <w:r>
        <w:rPr>
          <w:rFonts w:hint="eastAsia" w:ascii="仿宋" w:hAnsi="仿宋" w:eastAsia="仿宋"/>
          <w:i w:val="0"/>
          <w:color w:val="auto"/>
          <w:highlight w:val="none"/>
          <w:lang w:eastAsia="zh-CN"/>
        </w:rPr>
        <w:t>法定代表人或其委托代理人</w:t>
      </w:r>
      <w:r>
        <w:rPr>
          <w:rFonts w:hint="eastAsia" w:ascii="仿宋" w:hAnsi="仿宋" w:eastAsia="仿宋"/>
          <w:i w:val="0"/>
          <w:color w:val="auto"/>
          <w:szCs w:val="24"/>
          <w:highlight w:val="none"/>
          <w:lang w:eastAsia="zh-CN"/>
        </w:rPr>
        <w:t>（签字或加盖个人名章）:</w:t>
      </w:r>
      <w:r>
        <w:rPr>
          <w:rFonts w:hint="eastAsia" w:ascii="仿宋" w:hAnsi="仿宋" w:eastAsia="仿宋"/>
          <w:i w:val="0"/>
          <w:color w:val="auto"/>
          <w:szCs w:val="24"/>
          <w:highlight w:val="none"/>
          <w:u w:val="single"/>
          <w:lang w:eastAsia="zh-CN"/>
        </w:rPr>
        <w:t xml:space="preserve">                 </w:t>
      </w:r>
    </w:p>
    <w:p>
      <w:pPr>
        <w:pStyle w:val="56"/>
        <w:rPr>
          <w:rFonts w:ascii="仿宋" w:hAnsi="仿宋" w:eastAsia="仿宋"/>
          <w:i w:val="0"/>
          <w:color w:val="auto"/>
          <w:szCs w:val="24"/>
          <w:highlight w:val="none"/>
          <w:u w:val="single"/>
          <w:lang w:eastAsia="zh-CN"/>
        </w:rPr>
      </w:pPr>
      <w:r>
        <w:rPr>
          <w:rFonts w:hint="eastAsia" w:ascii="仿宋" w:hAnsi="仿宋" w:eastAsia="仿宋"/>
          <w:i w:val="0"/>
          <w:color w:val="auto"/>
          <w:szCs w:val="24"/>
          <w:highlight w:val="none"/>
          <w:lang w:eastAsia="zh-CN"/>
        </w:rPr>
        <w:t xml:space="preserve">日期: </w:t>
      </w:r>
      <w:r>
        <w:rPr>
          <w:rFonts w:hint="eastAsia" w:ascii="仿宋" w:hAnsi="仿宋" w:eastAsia="仿宋"/>
          <w:i w:val="0"/>
          <w:color w:val="auto"/>
          <w:szCs w:val="24"/>
          <w:highlight w:val="none"/>
          <w:u w:val="single"/>
          <w:lang w:eastAsia="zh-CN"/>
        </w:rPr>
        <w:t xml:space="preserve">                          </w:t>
      </w:r>
    </w:p>
    <w:p>
      <w:pPr>
        <w:pStyle w:val="56"/>
        <w:rPr>
          <w:rFonts w:ascii="仿宋" w:hAnsi="仿宋" w:eastAsia="仿宋"/>
          <w:i w:val="0"/>
          <w:color w:val="auto"/>
          <w:szCs w:val="24"/>
          <w:highlight w:val="none"/>
          <w:lang w:eastAsia="zh-CN"/>
        </w:rPr>
      </w:pPr>
      <w:r>
        <w:rPr>
          <w:rFonts w:hint="eastAsia" w:ascii="仿宋" w:hAnsi="仿宋" w:eastAsia="仿宋"/>
          <w:i w:val="0"/>
          <w:color w:val="auto"/>
          <w:szCs w:val="24"/>
          <w:highlight w:val="none"/>
          <w:lang w:eastAsia="zh-CN"/>
        </w:rPr>
        <w:t>地址 ：</w:t>
      </w:r>
      <w:r>
        <w:rPr>
          <w:rFonts w:hint="eastAsia" w:ascii="仿宋" w:hAnsi="仿宋" w:eastAsia="仿宋"/>
          <w:i w:val="0"/>
          <w:color w:val="auto"/>
          <w:szCs w:val="24"/>
          <w:highlight w:val="none"/>
          <w:u w:val="single"/>
          <w:lang w:eastAsia="zh-CN"/>
        </w:rPr>
        <w:t xml:space="preserve">                           </w:t>
      </w:r>
      <w:r>
        <w:rPr>
          <w:rFonts w:hint="eastAsia" w:ascii="仿宋" w:hAnsi="仿宋" w:eastAsia="仿宋"/>
          <w:i w:val="0"/>
          <w:color w:val="auto"/>
          <w:szCs w:val="24"/>
          <w:highlight w:val="none"/>
          <w:lang w:eastAsia="zh-CN"/>
        </w:rPr>
        <w:t xml:space="preserve"> 传真：</w:t>
      </w:r>
      <w:r>
        <w:rPr>
          <w:rFonts w:hint="eastAsia" w:ascii="仿宋" w:hAnsi="仿宋" w:eastAsia="仿宋"/>
          <w:i w:val="0"/>
          <w:color w:val="auto"/>
          <w:szCs w:val="24"/>
          <w:highlight w:val="none"/>
          <w:u w:val="single"/>
          <w:lang w:eastAsia="zh-CN"/>
        </w:rPr>
        <w:t xml:space="preserve">                       </w:t>
      </w:r>
    </w:p>
    <w:p>
      <w:pPr>
        <w:pStyle w:val="56"/>
        <w:rPr>
          <w:rFonts w:ascii="仿宋" w:hAnsi="仿宋" w:eastAsia="仿宋"/>
          <w:i w:val="0"/>
          <w:color w:val="auto"/>
          <w:szCs w:val="24"/>
          <w:highlight w:val="none"/>
          <w:u w:val="single"/>
          <w:lang w:eastAsia="zh-CN"/>
        </w:rPr>
      </w:pPr>
      <w:r>
        <w:rPr>
          <w:rFonts w:hint="eastAsia" w:ascii="仿宋" w:hAnsi="仿宋" w:eastAsia="仿宋"/>
          <w:i w:val="0"/>
          <w:color w:val="auto"/>
          <w:szCs w:val="24"/>
          <w:highlight w:val="none"/>
          <w:lang w:eastAsia="zh-CN"/>
        </w:rPr>
        <w:t>联系方式 ：</w:t>
      </w:r>
      <w:r>
        <w:rPr>
          <w:rFonts w:hint="eastAsia" w:ascii="仿宋" w:hAnsi="仿宋" w:eastAsia="仿宋"/>
          <w:i w:val="0"/>
          <w:color w:val="auto"/>
          <w:szCs w:val="24"/>
          <w:highlight w:val="none"/>
          <w:u w:val="single"/>
          <w:lang w:eastAsia="zh-CN"/>
        </w:rPr>
        <w:t xml:space="preserve">                       </w:t>
      </w:r>
      <w:r>
        <w:rPr>
          <w:rFonts w:hint="eastAsia" w:ascii="仿宋" w:hAnsi="仿宋" w:eastAsia="仿宋"/>
          <w:i w:val="0"/>
          <w:color w:val="auto"/>
          <w:szCs w:val="24"/>
          <w:highlight w:val="none"/>
          <w:lang w:eastAsia="zh-CN"/>
        </w:rPr>
        <w:t xml:space="preserve"> 电子邮箱：</w:t>
      </w:r>
      <w:r>
        <w:rPr>
          <w:rFonts w:hint="eastAsia" w:ascii="仿宋" w:hAnsi="仿宋" w:eastAsia="仿宋"/>
          <w:i w:val="0"/>
          <w:color w:val="auto"/>
          <w:szCs w:val="24"/>
          <w:highlight w:val="none"/>
          <w:u w:val="single"/>
          <w:lang w:eastAsia="zh-CN"/>
        </w:rPr>
        <w:t xml:space="preserve">                   </w:t>
      </w:r>
    </w:p>
    <w:p>
      <w:pPr>
        <w:pStyle w:val="63"/>
        <w:rPr>
          <w:i w:val="0"/>
          <w:color w:val="auto"/>
          <w:highlight w:val="none"/>
          <w:lang w:eastAsia="zh-CN"/>
        </w:rPr>
      </w:pPr>
      <w:r>
        <w:rPr>
          <w:i w:val="0"/>
          <w:color w:val="auto"/>
          <w:highlight w:val="none"/>
          <w:lang w:eastAsia="zh-CN"/>
        </w:rPr>
        <w:br w:type="page"/>
      </w:r>
    </w:p>
    <w:p>
      <w:pPr>
        <w:pStyle w:val="4"/>
        <w:jc w:val="left"/>
        <w:rPr>
          <w:i w:val="0"/>
          <w:color w:val="auto"/>
          <w:highlight w:val="none"/>
          <w:lang w:eastAsia="zh-CN"/>
        </w:rPr>
      </w:pPr>
      <w:bookmarkStart w:id="425" w:name="_Toc505762758"/>
      <w:bookmarkStart w:id="426" w:name="_Toc524910123"/>
      <w:bookmarkStart w:id="427" w:name="_Toc511558665"/>
      <w:bookmarkStart w:id="428" w:name="_Toc499918728"/>
      <w:bookmarkStart w:id="429" w:name="_Toc492286427"/>
      <w:bookmarkStart w:id="430" w:name="_Toc497752258"/>
      <w:bookmarkStart w:id="431" w:name="_Toc20895"/>
      <w:r>
        <w:rPr>
          <w:rFonts w:hint="eastAsia"/>
          <w:i w:val="0"/>
          <w:color w:val="auto"/>
          <w:highlight w:val="none"/>
          <w:lang w:eastAsia="zh-CN"/>
        </w:rPr>
        <w:t>二、</w:t>
      </w:r>
      <w:bookmarkEnd w:id="425"/>
      <w:bookmarkEnd w:id="426"/>
      <w:bookmarkEnd w:id="427"/>
      <w:bookmarkEnd w:id="428"/>
      <w:bookmarkEnd w:id="429"/>
      <w:bookmarkEnd w:id="430"/>
      <w:r>
        <w:rPr>
          <w:rFonts w:hint="eastAsia"/>
          <w:i w:val="0"/>
          <w:color w:val="auto"/>
          <w:highlight w:val="none"/>
          <w:lang w:eastAsia="zh-CN"/>
        </w:rPr>
        <w:t>法定代表人授权书</w:t>
      </w:r>
      <w:bookmarkEnd w:id="431"/>
    </w:p>
    <w:p>
      <w:pPr>
        <w:pStyle w:val="61"/>
        <w:numPr>
          <w:ilvl w:val="0"/>
          <w:numId w:val="0"/>
        </w:numPr>
        <w:spacing w:before="46" w:after="46"/>
        <w:ind w:left="988" w:hanging="420"/>
        <w:rPr>
          <w:rFonts w:ascii="仿宋" w:hAnsi="仿宋" w:eastAsia="仿宋"/>
          <w:b/>
          <w:i w:val="0"/>
          <w:color w:val="auto"/>
          <w:sz w:val="24"/>
          <w:highlight w:val="none"/>
          <w:lang w:eastAsia="zh-CN"/>
        </w:rPr>
      </w:pPr>
    </w:p>
    <w:p>
      <w:pPr>
        <w:pStyle w:val="60"/>
        <w:spacing w:line="360" w:lineRule="auto"/>
        <w:jc w:val="center"/>
        <w:rPr>
          <w:rFonts w:ascii="仿宋" w:hAnsi="仿宋" w:eastAsia="仿宋"/>
          <w:b/>
          <w:iCs/>
          <w:color w:val="auto"/>
          <w:sz w:val="28"/>
          <w:szCs w:val="28"/>
          <w:highlight w:val="none"/>
        </w:rPr>
      </w:pPr>
      <w:r>
        <w:rPr>
          <w:rFonts w:hint="eastAsia" w:ascii="仿宋" w:hAnsi="仿宋" w:eastAsia="仿宋"/>
          <w:b/>
          <w:iCs/>
          <w:color w:val="auto"/>
          <w:sz w:val="28"/>
          <w:szCs w:val="28"/>
          <w:highlight w:val="none"/>
        </w:rPr>
        <w:t>法定代表人授权书</w:t>
      </w:r>
    </w:p>
    <w:p>
      <w:pPr>
        <w:pStyle w:val="56"/>
        <w:ind w:firstLine="0" w:firstLineChars="0"/>
        <w:rPr>
          <w:rFonts w:ascii="仿宋" w:hAnsi="仿宋" w:eastAsia="仿宋"/>
          <w:i w:val="0"/>
          <w:color w:val="auto"/>
          <w:szCs w:val="24"/>
          <w:highlight w:val="none"/>
          <w:u w:val="single"/>
          <w:lang w:eastAsia="zh-CN"/>
        </w:rPr>
      </w:pPr>
      <w:r>
        <w:rPr>
          <w:rFonts w:hint="eastAsia" w:ascii="仿宋" w:hAnsi="仿宋" w:eastAsia="仿宋"/>
          <w:i w:val="0"/>
          <w:color w:val="auto"/>
          <w:szCs w:val="24"/>
          <w:highlight w:val="none"/>
          <w:u w:val="single"/>
          <w:lang w:eastAsia="zh-CN"/>
        </w:rPr>
        <w:t>四川科薪工程管理有限公司</w:t>
      </w:r>
    </w:p>
    <w:p>
      <w:pPr>
        <w:widowControl w:val="0"/>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本授权声明：</w:t>
      </w:r>
      <w:r>
        <w:rPr>
          <w:rFonts w:hint="eastAsia" w:ascii="仿宋" w:hAnsi="仿宋" w:eastAsia="仿宋" w:cs="Marigold"/>
          <w:i w:val="0"/>
          <w:color w:val="auto"/>
          <w:sz w:val="24"/>
          <w:szCs w:val="24"/>
          <w:highlight w:val="none"/>
          <w:u w:val="single"/>
          <w:lang w:eastAsia="zh-CN"/>
        </w:rPr>
        <w:t xml:space="preserve">                  </w:t>
      </w:r>
      <w:r>
        <w:rPr>
          <w:rFonts w:hint="eastAsia" w:ascii="仿宋" w:hAnsi="仿宋" w:eastAsia="仿宋" w:cs="Marigold"/>
          <w:i w:val="0"/>
          <w:color w:val="auto"/>
          <w:sz w:val="24"/>
          <w:szCs w:val="24"/>
          <w:highlight w:val="none"/>
          <w:lang w:eastAsia="zh-CN"/>
        </w:rPr>
        <w:t>（投标人名称）</w:t>
      </w:r>
      <w:r>
        <w:rPr>
          <w:rFonts w:hint="eastAsia" w:ascii="仿宋" w:hAnsi="仿宋" w:eastAsia="仿宋" w:cs="Marigold"/>
          <w:i w:val="0"/>
          <w:color w:val="auto"/>
          <w:sz w:val="24"/>
          <w:szCs w:val="24"/>
          <w:highlight w:val="none"/>
          <w:u w:val="single"/>
          <w:lang w:eastAsia="zh-CN"/>
        </w:rPr>
        <w:t xml:space="preserve">          </w:t>
      </w:r>
      <w:r>
        <w:rPr>
          <w:rFonts w:hint="eastAsia" w:ascii="仿宋" w:hAnsi="仿宋" w:eastAsia="仿宋" w:cs="Marigold"/>
          <w:i w:val="0"/>
          <w:color w:val="auto"/>
          <w:sz w:val="24"/>
          <w:szCs w:val="24"/>
          <w:highlight w:val="none"/>
          <w:lang w:eastAsia="zh-CN"/>
        </w:rPr>
        <w:t>（法定代表人姓名、职务）授权</w:t>
      </w:r>
      <w:r>
        <w:rPr>
          <w:rFonts w:hint="eastAsia" w:ascii="仿宋" w:hAnsi="仿宋" w:eastAsia="仿宋" w:cs="Marigold"/>
          <w:i w:val="0"/>
          <w:color w:val="auto"/>
          <w:sz w:val="24"/>
          <w:szCs w:val="24"/>
          <w:highlight w:val="none"/>
          <w:u w:val="single"/>
          <w:lang w:eastAsia="zh-CN"/>
        </w:rPr>
        <w:t xml:space="preserve">                        </w:t>
      </w:r>
      <w:r>
        <w:rPr>
          <w:rFonts w:hint="eastAsia" w:ascii="仿宋" w:hAnsi="仿宋" w:eastAsia="仿宋" w:cs="Marigold"/>
          <w:i w:val="0"/>
          <w:color w:val="auto"/>
          <w:sz w:val="24"/>
          <w:szCs w:val="24"/>
          <w:highlight w:val="none"/>
          <w:lang w:eastAsia="zh-CN"/>
        </w:rPr>
        <w:t>（被授权人姓名、职务）为我方 “</w:t>
      </w:r>
      <w:r>
        <w:rPr>
          <w:rFonts w:hint="eastAsia" w:ascii="仿宋" w:hAnsi="仿宋" w:eastAsia="仿宋"/>
          <w:bCs/>
          <w:i w:val="0"/>
          <w:color w:val="auto"/>
          <w:sz w:val="24"/>
          <w:szCs w:val="24"/>
          <w:highlight w:val="none"/>
          <w:u w:val="single"/>
          <w:lang w:eastAsia="zh-CN"/>
        </w:rPr>
        <w:t xml:space="preserve">          </w:t>
      </w:r>
      <w:r>
        <w:rPr>
          <w:rFonts w:ascii="仿宋" w:hAnsi="仿宋" w:eastAsia="仿宋"/>
          <w:bCs/>
          <w:i w:val="0"/>
          <w:color w:val="auto"/>
          <w:sz w:val="24"/>
          <w:szCs w:val="24"/>
          <w:highlight w:val="none"/>
          <w:u w:val="single"/>
          <w:lang w:eastAsia="zh-CN"/>
        </w:rPr>
        <w:t xml:space="preserve">   </w:t>
      </w:r>
      <w:r>
        <w:rPr>
          <w:rFonts w:hint="eastAsia" w:ascii="仿宋" w:hAnsi="仿宋" w:eastAsia="仿宋"/>
          <w:bCs/>
          <w:i w:val="0"/>
          <w:color w:val="auto"/>
          <w:sz w:val="24"/>
          <w:szCs w:val="24"/>
          <w:highlight w:val="none"/>
          <w:u w:val="single"/>
          <w:lang w:eastAsia="zh-CN"/>
        </w:rPr>
        <w:t xml:space="preserve">   </w:t>
      </w:r>
      <w:r>
        <w:rPr>
          <w:rFonts w:hint="eastAsia" w:ascii="仿宋" w:hAnsi="仿宋" w:eastAsia="仿宋"/>
          <w:bCs/>
          <w:i w:val="0"/>
          <w:color w:val="auto"/>
          <w:sz w:val="24"/>
          <w:szCs w:val="24"/>
          <w:highlight w:val="none"/>
          <w:lang w:eastAsia="zh-CN"/>
        </w:rPr>
        <w:t>”项目</w:t>
      </w:r>
      <w:r>
        <w:rPr>
          <w:rFonts w:hint="eastAsia" w:ascii="仿宋" w:hAnsi="仿宋" w:eastAsia="仿宋" w:cs="Marigold"/>
          <w:i w:val="0"/>
          <w:color w:val="auto"/>
          <w:sz w:val="24"/>
          <w:szCs w:val="24"/>
          <w:highlight w:val="none"/>
          <w:lang w:eastAsia="zh-CN"/>
        </w:rPr>
        <w:t>（招标编号</w:t>
      </w:r>
      <w:r>
        <w:rPr>
          <w:rFonts w:hint="eastAsia" w:ascii="仿宋" w:hAnsi="仿宋" w:eastAsia="仿宋" w:cs="Marigold"/>
          <w:i w:val="0"/>
          <w:color w:val="auto"/>
          <w:sz w:val="24"/>
          <w:szCs w:val="24"/>
          <w:highlight w:val="none"/>
          <w:u w:val="single"/>
          <w:lang w:eastAsia="zh-CN"/>
        </w:rPr>
        <w:t xml:space="preserve">             </w:t>
      </w:r>
      <w:r>
        <w:rPr>
          <w:rFonts w:hint="eastAsia" w:ascii="仿宋" w:hAnsi="仿宋" w:eastAsia="仿宋" w:cs="Marigold"/>
          <w:i w:val="0"/>
          <w:color w:val="auto"/>
          <w:sz w:val="24"/>
          <w:szCs w:val="24"/>
          <w:highlight w:val="none"/>
          <w:lang w:eastAsia="zh-CN"/>
        </w:rPr>
        <w:t>）投标活动的合法代表，以我方名义全权处理该项目有关投标、签订合同以及执行合同等一切事宜。</w:t>
      </w:r>
    </w:p>
    <w:p>
      <w:pPr>
        <w:widowControl w:val="0"/>
        <w:spacing w:after="120"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特此声明。</w:t>
      </w:r>
    </w:p>
    <w:p>
      <w:pPr>
        <w:widowControl w:val="0"/>
        <w:spacing w:after="120" w:line="500" w:lineRule="exact"/>
        <w:rPr>
          <w:rFonts w:ascii="仿宋" w:hAnsi="仿宋" w:eastAsia="仿宋" w:cs="Marigold"/>
          <w:i w:val="0"/>
          <w:color w:val="auto"/>
          <w:sz w:val="24"/>
          <w:szCs w:val="24"/>
          <w:highlight w:val="none"/>
          <w:lang w:eastAsia="zh-CN"/>
        </w:rPr>
      </w:pPr>
    </w:p>
    <w:p>
      <w:pPr>
        <w:widowControl w:val="0"/>
        <w:spacing w:after="120" w:line="360" w:lineRule="auto"/>
        <w:rPr>
          <w:rFonts w:ascii="仿宋" w:hAnsi="仿宋" w:eastAsia="仿宋" w:cs="Marigold"/>
          <w:i w:val="0"/>
          <w:color w:val="auto"/>
          <w:sz w:val="24"/>
          <w:szCs w:val="24"/>
          <w:highlight w:val="none"/>
          <w:lang w:eastAsia="zh-CN"/>
        </w:rPr>
      </w:pPr>
    </w:p>
    <w:p>
      <w:pPr>
        <w:widowControl w:val="0"/>
        <w:spacing w:after="120" w:line="360" w:lineRule="auto"/>
        <w:rPr>
          <w:rFonts w:ascii="仿宋" w:hAnsi="仿宋" w:eastAsia="仿宋" w:cs="Marigold"/>
          <w:i w:val="0"/>
          <w:color w:val="auto"/>
          <w:sz w:val="24"/>
          <w:szCs w:val="24"/>
          <w:highlight w:val="none"/>
          <w:lang w:eastAsia="zh-CN"/>
        </w:rPr>
      </w:pPr>
    </w:p>
    <w:p>
      <w:pPr>
        <w:widowControl w:val="0"/>
        <w:spacing w:after="120" w:line="360" w:lineRule="auto"/>
        <w:ind w:firstLine="240" w:firstLineChars="1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法定代表人签字或加盖个人名章：</w:t>
      </w:r>
    </w:p>
    <w:p>
      <w:pPr>
        <w:widowControl w:val="0"/>
        <w:spacing w:after="120" w:line="360" w:lineRule="auto"/>
        <w:ind w:firstLine="240" w:firstLineChars="100"/>
        <w:rPr>
          <w:rFonts w:ascii="仿宋" w:hAnsi="仿宋" w:eastAsia="仿宋" w:cs="Marigold"/>
          <w:i w:val="0"/>
          <w:color w:val="auto"/>
          <w:sz w:val="24"/>
          <w:szCs w:val="24"/>
          <w:highlight w:val="none"/>
          <w:lang w:eastAsia="zh-CN"/>
        </w:rPr>
      </w:pPr>
      <w:r>
        <w:rPr>
          <w:rFonts w:hint="eastAsia" w:ascii="仿宋" w:hAnsi="仿宋" w:eastAsia="仿宋"/>
          <w:i w:val="0"/>
          <w:color w:val="auto"/>
          <w:sz w:val="24"/>
          <w:szCs w:val="24"/>
          <w:highlight w:val="none"/>
          <w:lang w:eastAsia="zh-CN"/>
        </w:rPr>
        <w:t>投标人名称：</w:t>
      </w:r>
      <w:r>
        <w:rPr>
          <w:rFonts w:hint="eastAsia" w:ascii="仿宋" w:hAnsi="仿宋" w:eastAsia="仿宋"/>
          <w:i w:val="0"/>
          <w:color w:val="auto"/>
          <w:sz w:val="24"/>
          <w:szCs w:val="24"/>
          <w:highlight w:val="none"/>
          <w:u w:val="single"/>
          <w:lang w:eastAsia="zh-CN"/>
        </w:rPr>
        <w:t xml:space="preserve">        </w:t>
      </w:r>
      <w:r>
        <w:rPr>
          <w:rFonts w:hint="eastAsia" w:ascii="仿宋" w:hAnsi="仿宋" w:eastAsia="仿宋"/>
          <w:i w:val="0"/>
          <w:color w:val="auto"/>
          <w:sz w:val="24"/>
          <w:szCs w:val="24"/>
          <w:highlight w:val="none"/>
          <w:lang w:eastAsia="zh-CN"/>
        </w:rPr>
        <w:t>（单位公章</w:t>
      </w:r>
      <w:r>
        <w:rPr>
          <w:rFonts w:hint="eastAsia" w:ascii="仿宋" w:hAnsi="仿宋" w:eastAsia="仿宋" w:cs="Marigold"/>
          <w:i w:val="0"/>
          <w:color w:val="auto"/>
          <w:sz w:val="24"/>
          <w:szCs w:val="24"/>
          <w:highlight w:val="none"/>
          <w:lang w:eastAsia="zh-CN"/>
        </w:rPr>
        <w:t>）</w:t>
      </w:r>
    </w:p>
    <w:p>
      <w:pPr>
        <w:widowControl w:val="0"/>
        <w:spacing w:after="120" w:line="360" w:lineRule="auto"/>
        <w:ind w:firstLine="240" w:firstLineChars="100"/>
        <w:rPr>
          <w:rFonts w:ascii="仿宋" w:hAnsi="仿宋" w:eastAsia="仿宋" w:cs="Marigold"/>
          <w:bCs/>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日    期：</w:t>
      </w:r>
      <w:r>
        <w:rPr>
          <w:rFonts w:hint="eastAsia" w:ascii="仿宋" w:hAnsi="仿宋" w:eastAsia="仿宋" w:cs="Marigold"/>
          <w:bCs/>
          <w:i w:val="0"/>
          <w:color w:val="auto"/>
          <w:sz w:val="24"/>
          <w:szCs w:val="24"/>
          <w:highlight w:val="none"/>
          <w:lang w:eastAsia="zh-CN"/>
        </w:rPr>
        <w:t xml:space="preserve">     年    月    日</w:t>
      </w:r>
    </w:p>
    <w:p>
      <w:pPr>
        <w:widowControl w:val="0"/>
        <w:spacing w:after="120" w:line="360" w:lineRule="auto"/>
        <w:rPr>
          <w:rFonts w:ascii="仿宋" w:hAnsi="仿宋" w:eastAsia="仿宋" w:cs="Marigold"/>
          <w:i w:val="0"/>
          <w:color w:val="auto"/>
          <w:szCs w:val="21"/>
          <w:highlight w:val="none"/>
          <w:lang w:eastAsia="zh-CN"/>
        </w:rPr>
      </w:pPr>
    </w:p>
    <w:p>
      <w:pPr>
        <w:widowControl w:val="0"/>
        <w:spacing w:after="120" w:line="360" w:lineRule="auto"/>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说明：后附</w:t>
      </w:r>
      <w:r>
        <w:rPr>
          <w:rFonts w:ascii="仿宋" w:hAnsi="仿宋" w:eastAsia="仿宋" w:cs="Marigold"/>
          <w:i w:val="0"/>
          <w:color w:val="auto"/>
          <w:sz w:val="24"/>
          <w:szCs w:val="24"/>
          <w:highlight w:val="none"/>
          <w:lang w:eastAsia="zh-CN"/>
        </w:rPr>
        <w:t>法定代表人</w:t>
      </w:r>
      <w:r>
        <w:rPr>
          <w:rFonts w:hint="eastAsia" w:ascii="仿宋" w:hAnsi="仿宋" w:eastAsia="仿宋" w:cs="Marigold"/>
          <w:i w:val="0"/>
          <w:color w:val="auto"/>
          <w:sz w:val="24"/>
          <w:szCs w:val="24"/>
          <w:highlight w:val="none"/>
          <w:lang w:eastAsia="zh-CN"/>
        </w:rPr>
        <w:t>和</w:t>
      </w:r>
      <w:r>
        <w:rPr>
          <w:rFonts w:ascii="仿宋" w:hAnsi="仿宋" w:eastAsia="仿宋" w:cs="Marigold"/>
          <w:i w:val="0"/>
          <w:color w:val="auto"/>
          <w:sz w:val="24"/>
          <w:szCs w:val="24"/>
          <w:highlight w:val="none"/>
          <w:lang w:eastAsia="zh-CN"/>
        </w:rPr>
        <w:t>授权代表身份证（身份证</w:t>
      </w:r>
      <w:r>
        <w:rPr>
          <w:rFonts w:hint="eastAsia" w:ascii="仿宋" w:hAnsi="仿宋" w:eastAsia="仿宋" w:cs="Marigold"/>
          <w:i w:val="0"/>
          <w:color w:val="auto"/>
          <w:sz w:val="24"/>
          <w:szCs w:val="24"/>
          <w:highlight w:val="none"/>
          <w:lang w:eastAsia="zh-CN"/>
        </w:rPr>
        <w:t>两面均应复印或</w:t>
      </w:r>
      <w:r>
        <w:rPr>
          <w:rFonts w:ascii="仿宋" w:hAnsi="仿宋" w:eastAsia="仿宋" w:cs="Marigold"/>
          <w:i w:val="0"/>
          <w:color w:val="auto"/>
          <w:sz w:val="24"/>
          <w:szCs w:val="24"/>
          <w:highlight w:val="none"/>
          <w:lang w:eastAsia="zh-CN"/>
        </w:rPr>
        <w:t>扫描</w:t>
      </w:r>
      <w:r>
        <w:rPr>
          <w:rFonts w:hint="eastAsia" w:ascii="仿宋" w:hAnsi="仿宋" w:eastAsia="仿宋" w:cs="Marigold"/>
          <w:i w:val="0"/>
          <w:color w:val="auto"/>
          <w:sz w:val="24"/>
          <w:szCs w:val="24"/>
          <w:highlight w:val="none"/>
          <w:lang w:eastAsia="zh-CN"/>
        </w:rPr>
        <w:t>件</w:t>
      </w:r>
      <w:r>
        <w:rPr>
          <w:rFonts w:ascii="仿宋" w:hAnsi="仿宋" w:eastAsia="仿宋" w:cs="Marigold"/>
          <w:i w:val="0"/>
          <w:color w:val="auto"/>
          <w:sz w:val="24"/>
          <w:szCs w:val="24"/>
          <w:highlight w:val="none"/>
          <w:lang w:eastAsia="zh-CN"/>
        </w:rPr>
        <w:t>）</w:t>
      </w:r>
      <w:r>
        <w:rPr>
          <w:rFonts w:hint="eastAsia" w:ascii="仿宋" w:hAnsi="仿宋" w:eastAsia="仿宋" w:cs="Marigold"/>
          <w:i w:val="0"/>
          <w:color w:val="auto"/>
          <w:sz w:val="24"/>
          <w:szCs w:val="24"/>
          <w:highlight w:val="none"/>
          <w:lang w:eastAsia="zh-CN"/>
        </w:rPr>
        <w:t>或护照（投标人的法定代表人为外籍人士的，则提供护照复印或扫描件）</w:t>
      </w:r>
      <w:r>
        <w:rPr>
          <w:rFonts w:ascii="仿宋" w:hAnsi="仿宋" w:eastAsia="仿宋" w:cs="Marigold"/>
          <w:i w:val="0"/>
          <w:color w:val="auto"/>
          <w:sz w:val="24"/>
          <w:szCs w:val="24"/>
          <w:highlight w:val="none"/>
          <w:lang w:eastAsia="zh-CN"/>
        </w:rPr>
        <w:t>时才能生效</w:t>
      </w:r>
      <w:r>
        <w:rPr>
          <w:rFonts w:hint="eastAsia" w:ascii="仿宋" w:hAnsi="仿宋" w:eastAsia="仿宋" w:cs="Marigold"/>
          <w:i w:val="0"/>
          <w:color w:val="auto"/>
          <w:sz w:val="24"/>
          <w:szCs w:val="24"/>
          <w:highlight w:val="none"/>
          <w:lang w:eastAsia="zh-CN"/>
        </w:rPr>
        <w:t>，复印或扫描件盖有投标人公章</w:t>
      </w:r>
      <w:r>
        <w:rPr>
          <w:rFonts w:ascii="仿宋" w:hAnsi="仿宋" w:eastAsia="仿宋" w:cs="Marigold"/>
          <w:i w:val="0"/>
          <w:color w:val="auto"/>
          <w:sz w:val="24"/>
          <w:szCs w:val="24"/>
          <w:highlight w:val="none"/>
          <w:lang w:eastAsia="zh-CN"/>
        </w:rPr>
        <w:t>。</w:t>
      </w:r>
    </w:p>
    <w:p>
      <w:pPr>
        <w:pStyle w:val="60"/>
        <w:spacing w:line="360" w:lineRule="auto"/>
        <w:jc w:val="center"/>
        <w:rPr>
          <w:rFonts w:ascii="仿宋" w:hAnsi="仿宋" w:eastAsia="仿宋" w:cs="Marigold"/>
          <w:b/>
          <w:color w:val="auto"/>
          <w:sz w:val="24"/>
          <w:szCs w:val="24"/>
          <w:highlight w:val="none"/>
        </w:rPr>
      </w:pPr>
    </w:p>
    <w:p>
      <w:pPr>
        <w:widowControl w:val="0"/>
        <w:spacing w:after="120" w:line="360" w:lineRule="auto"/>
        <w:rPr>
          <w:rFonts w:ascii="仿宋" w:hAnsi="仿宋" w:eastAsia="仿宋" w:cs="Marigold"/>
          <w:b/>
          <w:i w:val="0"/>
          <w:color w:val="auto"/>
          <w:sz w:val="24"/>
          <w:szCs w:val="24"/>
          <w:highlight w:val="none"/>
          <w:lang w:eastAsia="zh-CN"/>
        </w:rPr>
      </w:pPr>
    </w:p>
    <w:p>
      <w:pPr>
        <w:rPr>
          <w:rFonts w:ascii="仿宋" w:hAnsi="仿宋" w:eastAsia="仿宋" w:cs="Marigold"/>
          <w:b/>
          <w:i w:val="0"/>
          <w:color w:val="auto"/>
          <w:sz w:val="24"/>
          <w:szCs w:val="24"/>
          <w:highlight w:val="none"/>
          <w:lang w:eastAsia="zh-CN"/>
        </w:rPr>
      </w:pPr>
      <w:r>
        <w:rPr>
          <w:rFonts w:ascii="仿宋" w:hAnsi="仿宋" w:eastAsia="仿宋" w:cs="Marigold"/>
          <w:b/>
          <w:i w:val="0"/>
          <w:color w:val="auto"/>
          <w:sz w:val="24"/>
          <w:szCs w:val="24"/>
          <w:highlight w:val="none"/>
          <w:lang w:eastAsia="zh-CN"/>
        </w:rPr>
        <w:br w:type="page"/>
      </w:r>
    </w:p>
    <w:p>
      <w:pPr>
        <w:pStyle w:val="4"/>
        <w:jc w:val="left"/>
        <w:rPr>
          <w:i w:val="0"/>
          <w:color w:val="auto"/>
          <w:highlight w:val="none"/>
          <w:lang w:eastAsia="zh-CN"/>
        </w:rPr>
      </w:pPr>
      <w:bookmarkStart w:id="432" w:name="_Toc524910124"/>
      <w:bookmarkStart w:id="433" w:name="_Toc21741"/>
      <w:r>
        <w:rPr>
          <w:rFonts w:hint="eastAsia"/>
          <w:i w:val="0"/>
          <w:color w:val="auto"/>
          <w:highlight w:val="none"/>
          <w:lang w:eastAsia="zh-CN"/>
        </w:rPr>
        <w:t>三、承诺函</w:t>
      </w:r>
      <w:bookmarkEnd w:id="432"/>
      <w:bookmarkEnd w:id="433"/>
    </w:p>
    <w:p>
      <w:pPr>
        <w:pStyle w:val="56"/>
        <w:ind w:firstLine="0" w:firstLineChars="0"/>
        <w:jc w:val="center"/>
        <w:rPr>
          <w:rFonts w:ascii="仿宋" w:hAnsi="仿宋" w:eastAsia="仿宋"/>
          <w:b/>
          <w:i w:val="0"/>
          <w:color w:val="auto"/>
          <w:sz w:val="28"/>
          <w:highlight w:val="none"/>
          <w:lang w:eastAsia="zh-CN" w:bidi="ar-SA"/>
        </w:rPr>
      </w:pPr>
      <w:r>
        <w:rPr>
          <w:rFonts w:hint="eastAsia" w:ascii="仿宋" w:hAnsi="仿宋" w:eastAsia="仿宋"/>
          <w:b/>
          <w:i w:val="0"/>
          <w:color w:val="auto"/>
          <w:sz w:val="28"/>
          <w:highlight w:val="none"/>
          <w:lang w:eastAsia="zh-CN" w:bidi="ar-SA"/>
        </w:rPr>
        <w:t>承诺函</w:t>
      </w:r>
    </w:p>
    <w:p>
      <w:pPr>
        <w:pStyle w:val="56"/>
        <w:ind w:firstLine="0" w:firstLineChars="0"/>
        <w:rPr>
          <w:rFonts w:ascii="仿宋" w:hAnsi="仿宋" w:eastAsia="仿宋"/>
          <w:i w:val="0"/>
          <w:color w:val="auto"/>
          <w:szCs w:val="24"/>
          <w:highlight w:val="none"/>
          <w:u w:val="single"/>
          <w:lang w:eastAsia="zh-CN"/>
        </w:rPr>
      </w:pPr>
      <w:bookmarkStart w:id="434" w:name="_Toc507188767"/>
      <w:r>
        <w:rPr>
          <w:rFonts w:hint="eastAsia" w:ascii="仿宋" w:hAnsi="仿宋" w:eastAsia="仿宋"/>
          <w:i w:val="0"/>
          <w:color w:val="auto"/>
          <w:szCs w:val="24"/>
          <w:highlight w:val="none"/>
          <w:u w:val="single"/>
          <w:lang w:eastAsia="zh-CN"/>
        </w:rPr>
        <w:t>四川科薪工程管理有限公司</w:t>
      </w:r>
    </w:p>
    <w:p>
      <w:pPr>
        <w:pStyle w:val="56"/>
        <w:rPr>
          <w:rFonts w:ascii="仿宋" w:hAnsi="仿宋" w:eastAsia="仿宋"/>
          <w:i w:val="0"/>
          <w:color w:val="auto"/>
          <w:highlight w:val="none"/>
          <w:lang w:eastAsia="zh-CN" w:bidi="ar-SA"/>
        </w:rPr>
      </w:pPr>
      <w:r>
        <w:rPr>
          <w:rFonts w:hint="eastAsia" w:ascii="仿宋" w:hAnsi="仿宋" w:eastAsia="仿宋"/>
          <w:i w:val="0"/>
          <w:color w:val="auto"/>
          <w:highlight w:val="none"/>
          <w:lang w:eastAsia="zh-CN" w:bidi="ar-SA"/>
        </w:rPr>
        <w:t>公司作为本次采购项目的投标人，根据招标文件要求，现郑重承诺如下：</w:t>
      </w:r>
    </w:p>
    <w:p>
      <w:pPr>
        <w:pStyle w:val="56"/>
        <w:rPr>
          <w:rFonts w:ascii="仿宋" w:hAnsi="仿宋" w:eastAsia="仿宋"/>
          <w:i w:val="0"/>
          <w:color w:val="auto"/>
          <w:highlight w:val="none"/>
          <w:lang w:eastAsia="zh-CN" w:bidi="ar-SA"/>
        </w:rPr>
      </w:pPr>
      <w:r>
        <w:rPr>
          <w:rFonts w:hint="eastAsia" w:ascii="仿宋" w:hAnsi="仿宋" w:eastAsia="仿宋"/>
          <w:i w:val="0"/>
          <w:color w:val="auto"/>
          <w:highlight w:val="none"/>
          <w:lang w:eastAsia="zh-CN" w:bidi="ar-SA"/>
        </w:rPr>
        <w:t>一</w:t>
      </w:r>
      <w:r>
        <w:rPr>
          <w:rFonts w:ascii="仿宋" w:hAnsi="仿宋" w:eastAsia="仿宋"/>
          <w:i w:val="0"/>
          <w:color w:val="auto"/>
          <w:highlight w:val="none"/>
          <w:lang w:eastAsia="zh-CN" w:bidi="ar-SA"/>
        </w:rPr>
        <w:t>、</w:t>
      </w:r>
      <w:bookmarkEnd w:id="434"/>
      <w:r>
        <w:rPr>
          <w:rFonts w:hint="eastAsia" w:ascii="仿宋" w:hAnsi="仿宋" w:eastAsia="仿宋"/>
          <w:i w:val="0"/>
          <w:color w:val="auto"/>
          <w:highlight w:val="none"/>
          <w:lang w:eastAsia="zh-CN" w:bidi="ar-SA"/>
        </w:rPr>
        <w:t>如对招标文件有异议，已经在投标截止时间届满前依法进行维权救济，不存在对招标文件有异议的同时又参加投标以求侥幸中标或者为实现其他非法目的的行为。</w:t>
      </w:r>
    </w:p>
    <w:p>
      <w:pPr>
        <w:pStyle w:val="56"/>
        <w:rPr>
          <w:rFonts w:ascii="仿宋" w:hAnsi="仿宋" w:eastAsia="仿宋"/>
          <w:i w:val="0"/>
          <w:color w:val="auto"/>
          <w:highlight w:val="none"/>
          <w:lang w:eastAsia="zh-CN" w:bidi="ar-SA"/>
        </w:rPr>
      </w:pPr>
      <w:bookmarkStart w:id="435" w:name="_Toc507188768"/>
      <w:r>
        <w:rPr>
          <w:rFonts w:hint="eastAsia" w:ascii="仿宋" w:hAnsi="仿宋" w:eastAsia="仿宋"/>
          <w:i w:val="0"/>
          <w:color w:val="auto"/>
          <w:highlight w:val="none"/>
          <w:lang w:eastAsia="zh-CN" w:bidi="ar-SA"/>
        </w:rPr>
        <w:t>二、参加本次招标采购活动，不存在与单位负责人为同一人或者存在直接控股、管理关系的其他供应商参与同一合同项下的政府采购活动的行为。</w:t>
      </w:r>
      <w:bookmarkEnd w:id="435"/>
    </w:p>
    <w:p>
      <w:pPr>
        <w:pStyle w:val="56"/>
        <w:rPr>
          <w:rFonts w:ascii="仿宋" w:hAnsi="仿宋" w:eastAsia="仿宋"/>
          <w:i w:val="0"/>
          <w:color w:val="auto"/>
          <w:highlight w:val="none"/>
          <w:lang w:eastAsia="zh-CN" w:bidi="ar-SA"/>
        </w:rPr>
      </w:pPr>
      <w:bookmarkStart w:id="436" w:name="_Toc507188769"/>
      <w:r>
        <w:rPr>
          <w:rFonts w:hint="eastAsia" w:ascii="仿宋" w:hAnsi="仿宋" w:eastAsia="仿宋"/>
          <w:i w:val="0"/>
          <w:color w:val="auto"/>
          <w:highlight w:val="none"/>
          <w:lang w:eastAsia="zh-CN" w:bidi="ar-SA"/>
        </w:rPr>
        <w:t>三、参加本次招标采购活动，不存在和其他供应商在同一合同项下的采购项目中，同时委托同一个自然人、同一家庭的人员、同一单位的人员作为代理人的行为。</w:t>
      </w:r>
      <w:bookmarkEnd w:id="436"/>
    </w:p>
    <w:p>
      <w:pPr>
        <w:pStyle w:val="56"/>
        <w:rPr>
          <w:rFonts w:ascii="仿宋" w:hAnsi="仿宋" w:eastAsia="仿宋"/>
          <w:i w:val="0"/>
          <w:color w:val="auto"/>
          <w:highlight w:val="none"/>
          <w:lang w:eastAsia="zh-CN" w:bidi="ar-SA"/>
        </w:rPr>
      </w:pPr>
      <w:bookmarkStart w:id="437" w:name="_Toc507188770"/>
      <w:r>
        <w:rPr>
          <w:rFonts w:hint="eastAsia" w:ascii="仿宋" w:hAnsi="仿宋" w:eastAsia="仿宋"/>
          <w:i w:val="0"/>
          <w:color w:val="auto"/>
          <w:highlight w:val="none"/>
          <w:lang w:eastAsia="zh-CN" w:bidi="ar-SA"/>
        </w:rPr>
        <w:t>四、</w:t>
      </w:r>
      <w:bookmarkEnd w:id="437"/>
      <w:bookmarkStart w:id="438" w:name="_Toc507188771"/>
      <w:r>
        <w:rPr>
          <w:rFonts w:hint="eastAsia" w:ascii="仿宋" w:hAnsi="仿宋" w:eastAsia="仿宋"/>
          <w:i w:val="0"/>
          <w:color w:val="auto"/>
          <w:highlight w:val="none"/>
          <w:lang w:eastAsia="zh-CN" w:bidi="ar-SA"/>
        </w:rPr>
        <w:t>投标文件中提供的能够给予我公司带来优惠、好处的任何材料资料和技术、服务、商务等响应承诺情况都是真实的、有效的、合法的。</w:t>
      </w:r>
      <w:bookmarkEnd w:id="438"/>
    </w:p>
    <w:p>
      <w:pPr>
        <w:pStyle w:val="56"/>
        <w:rPr>
          <w:rFonts w:ascii="仿宋" w:hAnsi="仿宋" w:eastAsia="仿宋"/>
          <w:i w:val="0"/>
          <w:color w:val="auto"/>
          <w:highlight w:val="none"/>
          <w:lang w:eastAsia="zh-CN" w:bidi="ar-SA"/>
        </w:rPr>
      </w:pPr>
      <w:r>
        <w:rPr>
          <w:rFonts w:hint="eastAsia" w:ascii="仿宋" w:hAnsi="仿宋" w:eastAsia="仿宋" w:cs="Marigold"/>
          <w:i w:val="0"/>
          <w:color w:val="auto"/>
          <w:highlight w:val="none"/>
          <w:lang w:eastAsia="zh-CN"/>
        </w:rPr>
        <w:t>五、我单位没有向采购项目提供整体设计、规范编制或者项目管理、监理、检测等服务。（供应商为采购人、采购代理机构在确定采购需求、编制投标文件过程中提供咨询论证，其提供的咨询论证意见成为投标文件中规定的供应商资格条件、技术服务商务要求、评审因素和标准、政府采购合同等实质性内容条款的，视同为采购项目提供规范编制。）</w:t>
      </w:r>
    </w:p>
    <w:p>
      <w:pPr>
        <w:pStyle w:val="56"/>
        <w:rPr>
          <w:rFonts w:ascii="仿宋" w:hAnsi="仿宋" w:eastAsia="仿宋"/>
          <w:i w:val="0"/>
          <w:color w:val="auto"/>
          <w:highlight w:val="none"/>
          <w:lang w:eastAsia="zh-CN" w:bidi="ar-SA"/>
        </w:rPr>
      </w:pPr>
      <w:bookmarkStart w:id="439" w:name="_Toc507188773"/>
      <w:r>
        <w:rPr>
          <w:rFonts w:hint="eastAsia" w:ascii="仿宋" w:hAnsi="仿宋" w:eastAsia="仿宋"/>
          <w:i w:val="0"/>
          <w:color w:val="auto"/>
          <w:highlight w:val="none"/>
          <w:lang w:eastAsia="zh-CN" w:bidi="ar-SA"/>
        </w:rPr>
        <w:t>本公司对上述承诺的内容事项真实性负责。如经查实上述承诺的内容事项存在虚假，我公司愿意接受以提供虚假材料谋取中标追究法律责任。</w:t>
      </w:r>
      <w:bookmarkEnd w:id="439"/>
    </w:p>
    <w:p>
      <w:pPr>
        <w:pStyle w:val="56"/>
        <w:ind w:firstLine="0" w:firstLineChars="0"/>
        <w:rPr>
          <w:rFonts w:ascii="仿宋" w:hAnsi="仿宋" w:eastAsia="仿宋"/>
          <w:i w:val="0"/>
          <w:color w:val="auto"/>
          <w:highlight w:val="none"/>
          <w:lang w:eastAsia="zh-CN" w:bidi="ar-SA"/>
        </w:rPr>
      </w:pPr>
    </w:p>
    <w:p>
      <w:pPr>
        <w:pStyle w:val="56"/>
        <w:rPr>
          <w:rFonts w:ascii="仿宋" w:hAnsi="仿宋" w:eastAsia="仿宋"/>
          <w:i w:val="0"/>
          <w:color w:val="auto"/>
          <w:highlight w:val="none"/>
          <w:lang w:eastAsia="zh-CN" w:bidi="ar-SA"/>
        </w:rPr>
      </w:pPr>
      <w:bookmarkStart w:id="440" w:name="_Toc507188774"/>
      <w:r>
        <w:rPr>
          <w:rFonts w:hint="eastAsia" w:ascii="仿宋" w:hAnsi="仿宋" w:eastAsia="仿宋"/>
          <w:i w:val="0"/>
          <w:color w:val="auto"/>
          <w:highlight w:val="none"/>
          <w:lang w:eastAsia="zh-CN" w:bidi="ar-SA"/>
        </w:rPr>
        <w:t>投标人名称：（单位公章）</w:t>
      </w:r>
      <w:bookmarkEnd w:id="440"/>
    </w:p>
    <w:p>
      <w:pPr>
        <w:pStyle w:val="56"/>
        <w:rPr>
          <w:rFonts w:ascii="仿宋" w:hAnsi="仿宋" w:eastAsia="仿宋"/>
          <w:i w:val="0"/>
          <w:color w:val="auto"/>
          <w:highlight w:val="none"/>
          <w:lang w:eastAsia="zh-CN" w:bidi="ar-SA"/>
        </w:rPr>
      </w:pPr>
      <w:bookmarkStart w:id="441" w:name="_Toc507188775"/>
      <w:r>
        <w:rPr>
          <w:rFonts w:hint="eastAsia" w:ascii="仿宋" w:hAnsi="仿宋" w:eastAsia="仿宋"/>
          <w:i w:val="0"/>
          <w:color w:val="auto"/>
          <w:highlight w:val="none"/>
          <w:lang w:eastAsia="zh-CN" w:bidi="ar-SA"/>
        </w:rPr>
        <w:t>法定代表人或授权代表（签字或加盖个人名章）：</w:t>
      </w:r>
      <w:bookmarkEnd w:id="441"/>
    </w:p>
    <w:p>
      <w:pPr>
        <w:pStyle w:val="56"/>
        <w:rPr>
          <w:color w:val="auto"/>
          <w:highlight w:val="none"/>
          <w:lang w:eastAsia="zh-CN"/>
        </w:rPr>
      </w:pPr>
      <w:bookmarkStart w:id="442" w:name="_Toc507188776"/>
      <w:r>
        <w:rPr>
          <w:rFonts w:hint="eastAsia" w:ascii="仿宋" w:hAnsi="仿宋" w:eastAsia="仿宋"/>
          <w:i w:val="0"/>
          <w:color w:val="auto"/>
          <w:highlight w:val="none"/>
          <w:lang w:eastAsia="zh-CN" w:bidi="ar-SA"/>
        </w:rPr>
        <w:t>日    期：</w:t>
      </w:r>
      <w:bookmarkEnd w:id="442"/>
      <w:bookmarkStart w:id="443" w:name="_Toc497752261"/>
      <w:bookmarkEnd w:id="443"/>
      <w:bookmarkStart w:id="444" w:name="_Toc524910125"/>
      <w:bookmarkStart w:id="445" w:name="_Toc505762760"/>
      <w:bookmarkStart w:id="446" w:name="_Toc511558667"/>
    </w:p>
    <w:p>
      <w:pPr>
        <w:widowControl w:val="0"/>
        <w:tabs>
          <w:tab w:val="left" w:pos="4860"/>
        </w:tabs>
        <w:spacing w:line="588" w:lineRule="exact"/>
        <w:ind w:right="1560" w:firstLine="504" w:firstLineChars="200"/>
        <w:jc w:val="center"/>
        <w:rPr>
          <w:rFonts w:ascii="仿宋_GB2312" w:eastAsia="仿宋_GB2312"/>
          <w:i w:val="0"/>
          <w:color w:val="auto"/>
          <w:spacing w:val="6"/>
          <w:sz w:val="24"/>
          <w:szCs w:val="24"/>
          <w:highlight w:val="none"/>
          <w:lang w:eastAsia="zh-CN" w:bidi="ar-SA"/>
        </w:rPr>
      </w:pPr>
      <w:bookmarkStart w:id="447" w:name="_Toc468331120"/>
      <w:bookmarkStart w:id="448" w:name="_Toc468346411"/>
      <w:bookmarkStart w:id="449" w:name="_Toc471381167"/>
    </w:p>
    <w:p>
      <w:pPr>
        <w:widowControl w:val="0"/>
        <w:tabs>
          <w:tab w:val="left" w:pos="4860"/>
        </w:tabs>
        <w:spacing w:line="588" w:lineRule="exact"/>
        <w:ind w:right="1560" w:firstLine="504" w:firstLineChars="200"/>
        <w:jc w:val="center"/>
        <w:rPr>
          <w:rFonts w:ascii="仿宋_GB2312" w:eastAsia="仿宋_GB2312"/>
          <w:i w:val="0"/>
          <w:color w:val="auto"/>
          <w:spacing w:val="6"/>
          <w:sz w:val="24"/>
          <w:szCs w:val="24"/>
          <w:highlight w:val="none"/>
          <w:lang w:eastAsia="zh-CN" w:bidi="ar-SA"/>
        </w:rPr>
      </w:pPr>
    </w:p>
    <w:p>
      <w:pPr>
        <w:rPr>
          <w:rFonts w:ascii="仿宋" w:hAnsi="仿宋" w:eastAsia="仿宋" w:cs="Marigold"/>
          <w:bCs/>
          <w:i w:val="0"/>
          <w:color w:val="auto"/>
          <w:sz w:val="24"/>
          <w:szCs w:val="24"/>
          <w:highlight w:val="none"/>
          <w:lang w:eastAsia="zh-CN"/>
        </w:rPr>
      </w:pPr>
      <w:r>
        <w:rPr>
          <w:rFonts w:ascii="仿宋_GB2312" w:eastAsia="仿宋_GB2312"/>
          <w:i w:val="0"/>
          <w:color w:val="auto"/>
          <w:spacing w:val="6"/>
          <w:sz w:val="24"/>
          <w:szCs w:val="24"/>
          <w:highlight w:val="none"/>
          <w:lang w:eastAsia="zh-CN" w:bidi="ar-SA"/>
        </w:rPr>
        <w:br w:type="page"/>
      </w:r>
      <w:bookmarkEnd w:id="447"/>
      <w:bookmarkEnd w:id="448"/>
      <w:bookmarkEnd w:id="449"/>
    </w:p>
    <w:p>
      <w:pPr>
        <w:pStyle w:val="4"/>
        <w:jc w:val="left"/>
        <w:rPr>
          <w:i w:val="0"/>
          <w:color w:val="auto"/>
          <w:highlight w:val="none"/>
          <w:lang w:eastAsia="zh-CN"/>
        </w:rPr>
      </w:pPr>
      <w:bookmarkStart w:id="450" w:name="_Toc24580"/>
      <w:r>
        <w:rPr>
          <w:rFonts w:hint="eastAsia"/>
          <w:i w:val="0"/>
          <w:color w:val="auto"/>
          <w:highlight w:val="none"/>
          <w:lang w:val="en-US" w:eastAsia="zh-CN"/>
        </w:rPr>
        <w:t>四</w:t>
      </w:r>
      <w:r>
        <w:rPr>
          <w:rFonts w:hint="eastAsia"/>
          <w:i w:val="0"/>
          <w:color w:val="auto"/>
          <w:highlight w:val="none"/>
          <w:lang w:eastAsia="zh-CN"/>
        </w:rPr>
        <w:t>、招标文件要求递交其他的材料或文件</w:t>
      </w:r>
      <w:bookmarkEnd w:id="444"/>
      <w:bookmarkEnd w:id="445"/>
      <w:bookmarkEnd w:id="446"/>
      <w:bookmarkEnd w:id="450"/>
    </w:p>
    <w:p>
      <w:pPr>
        <w:pStyle w:val="4"/>
        <w:jc w:val="left"/>
        <w:rPr>
          <w:i w:val="0"/>
          <w:color w:val="auto"/>
          <w:highlight w:val="none"/>
          <w:lang w:eastAsia="zh-CN"/>
        </w:rPr>
      </w:pPr>
      <w:bookmarkStart w:id="451" w:name="_Toc505762761"/>
      <w:bookmarkStart w:id="452" w:name="_Toc30057"/>
      <w:bookmarkStart w:id="453" w:name="_Toc524910126"/>
      <w:bookmarkStart w:id="454" w:name="_Toc511558668"/>
      <w:r>
        <w:rPr>
          <w:rFonts w:hint="eastAsia"/>
          <w:i w:val="0"/>
          <w:color w:val="auto"/>
          <w:highlight w:val="none"/>
          <w:lang w:val="en-US" w:eastAsia="zh-CN"/>
        </w:rPr>
        <w:t>五</w:t>
      </w:r>
      <w:r>
        <w:rPr>
          <w:i w:val="0"/>
          <w:color w:val="auto"/>
          <w:highlight w:val="none"/>
          <w:lang w:eastAsia="zh-CN"/>
        </w:rPr>
        <w:t>、</w:t>
      </w:r>
      <w:r>
        <w:rPr>
          <w:rFonts w:hint="eastAsia"/>
          <w:i w:val="0"/>
          <w:color w:val="auto"/>
          <w:highlight w:val="none"/>
          <w:lang w:eastAsia="zh-CN"/>
        </w:rPr>
        <w:t>其它投标人认为需要递交的材料或文件</w:t>
      </w:r>
      <w:bookmarkEnd w:id="451"/>
      <w:bookmarkEnd w:id="452"/>
      <w:bookmarkEnd w:id="453"/>
      <w:bookmarkEnd w:id="454"/>
    </w:p>
    <w:p>
      <w:pPr>
        <w:pStyle w:val="56"/>
        <w:rPr>
          <w:rFonts w:ascii="仿宋" w:hAnsi="仿宋" w:eastAsia="仿宋"/>
          <w:i w:val="0"/>
          <w:color w:val="auto"/>
          <w:szCs w:val="24"/>
          <w:highlight w:val="none"/>
          <w:lang w:eastAsia="zh-CN"/>
        </w:rPr>
      </w:pPr>
    </w:p>
    <w:p>
      <w:pPr>
        <w:pStyle w:val="56"/>
        <w:rPr>
          <w:rFonts w:ascii="仿宋" w:hAnsi="仿宋" w:eastAsia="仿宋"/>
          <w:i w:val="0"/>
          <w:color w:val="auto"/>
          <w:szCs w:val="24"/>
          <w:highlight w:val="none"/>
          <w:lang w:eastAsia="zh-CN"/>
        </w:rPr>
      </w:pPr>
    </w:p>
    <w:p>
      <w:pPr>
        <w:pStyle w:val="56"/>
        <w:rPr>
          <w:rFonts w:ascii="仿宋" w:hAnsi="仿宋" w:eastAsia="仿宋"/>
          <w:i w:val="0"/>
          <w:color w:val="auto"/>
          <w:szCs w:val="24"/>
          <w:highlight w:val="none"/>
          <w:lang w:eastAsia="zh-CN"/>
        </w:rPr>
      </w:pPr>
    </w:p>
    <w:p>
      <w:pPr>
        <w:pStyle w:val="56"/>
        <w:rPr>
          <w:rFonts w:ascii="仿宋" w:hAnsi="仿宋" w:eastAsia="仿宋"/>
          <w:i w:val="0"/>
          <w:color w:val="auto"/>
          <w:szCs w:val="24"/>
          <w:highlight w:val="none"/>
          <w:lang w:eastAsia="zh-CN"/>
        </w:rPr>
      </w:pPr>
    </w:p>
    <w:p>
      <w:pPr>
        <w:spacing w:line="360" w:lineRule="auto"/>
        <w:rPr>
          <w:rFonts w:ascii="仿宋" w:hAnsi="仿宋" w:eastAsia="仿宋" w:cs="仿宋"/>
          <w:b/>
          <w:i w:val="0"/>
          <w:color w:val="auto"/>
          <w:sz w:val="32"/>
          <w:szCs w:val="32"/>
          <w:highlight w:val="none"/>
          <w:lang w:eastAsia="zh-CN" w:bidi="ar-SA"/>
        </w:rPr>
      </w:pPr>
    </w:p>
    <w:p>
      <w:pPr>
        <w:rPr>
          <w:rFonts w:ascii="仿宋" w:hAnsi="仿宋" w:eastAsia="仿宋" w:cs="仿宋"/>
          <w:b/>
          <w:i w:val="0"/>
          <w:color w:val="auto"/>
          <w:sz w:val="84"/>
          <w:szCs w:val="84"/>
          <w:highlight w:val="none"/>
          <w:lang w:eastAsia="zh-CN" w:bidi="ar-SA"/>
        </w:rPr>
      </w:pPr>
      <w:r>
        <w:rPr>
          <w:rFonts w:ascii="仿宋" w:hAnsi="仿宋" w:eastAsia="仿宋" w:cs="仿宋"/>
          <w:b/>
          <w:i w:val="0"/>
          <w:color w:val="auto"/>
          <w:sz w:val="84"/>
          <w:szCs w:val="84"/>
          <w:highlight w:val="none"/>
          <w:lang w:eastAsia="zh-CN" w:bidi="ar-SA"/>
        </w:rPr>
        <w:br w:type="page"/>
      </w:r>
    </w:p>
    <w:p>
      <w:pPr>
        <w:spacing w:line="360" w:lineRule="auto"/>
        <w:jc w:val="center"/>
        <w:rPr>
          <w:rFonts w:ascii="仿宋" w:hAnsi="仿宋" w:eastAsia="仿宋" w:cs="仿宋"/>
          <w:b/>
          <w:i w:val="0"/>
          <w:color w:val="auto"/>
          <w:sz w:val="84"/>
          <w:szCs w:val="84"/>
          <w:highlight w:val="none"/>
          <w:lang w:eastAsia="zh-CN" w:bidi="ar-SA"/>
        </w:rPr>
      </w:pPr>
    </w:p>
    <w:p>
      <w:pPr>
        <w:spacing w:line="360" w:lineRule="auto"/>
        <w:jc w:val="center"/>
        <w:rPr>
          <w:rFonts w:ascii="仿宋" w:hAnsi="仿宋" w:eastAsia="仿宋" w:cs="仿宋"/>
          <w:b/>
          <w:i w:val="0"/>
          <w:color w:val="auto"/>
          <w:sz w:val="84"/>
          <w:szCs w:val="84"/>
          <w:highlight w:val="none"/>
          <w:lang w:eastAsia="zh-CN" w:bidi="ar-SA"/>
        </w:rPr>
      </w:pPr>
    </w:p>
    <w:p>
      <w:pPr>
        <w:spacing w:line="360" w:lineRule="auto"/>
        <w:jc w:val="center"/>
        <w:rPr>
          <w:rFonts w:ascii="仿宋" w:hAnsi="仿宋" w:eastAsia="仿宋" w:cs="仿宋"/>
          <w:b/>
          <w:i w:val="0"/>
          <w:color w:val="auto"/>
          <w:sz w:val="84"/>
          <w:szCs w:val="84"/>
          <w:highlight w:val="none"/>
          <w:lang w:eastAsia="zh-CN" w:bidi="ar-SA"/>
        </w:rPr>
      </w:pPr>
      <w:r>
        <w:rPr>
          <w:rFonts w:hint="eastAsia" w:ascii="仿宋" w:hAnsi="仿宋" w:eastAsia="仿宋" w:cs="仿宋"/>
          <w:b/>
          <w:i w:val="0"/>
          <w:color w:val="auto"/>
          <w:sz w:val="84"/>
          <w:szCs w:val="84"/>
          <w:highlight w:val="none"/>
          <w:lang w:eastAsia="zh-CN" w:bidi="ar-SA"/>
        </w:rPr>
        <w:t>投标文件</w:t>
      </w:r>
    </w:p>
    <w:p>
      <w:pPr>
        <w:spacing w:line="360" w:lineRule="auto"/>
        <w:jc w:val="center"/>
        <w:rPr>
          <w:rFonts w:ascii="仿宋" w:hAnsi="仿宋" w:eastAsia="仿宋" w:cs="仿宋"/>
          <w:b/>
          <w:i w:val="0"/>
          <w:color w:val="auto"/>
          <w:sz w:val="84"/>
          <w:szCs w:val="84"/>
          <w:highlight w:val="none"/>
          <w:lang w:eastAsia="zh-CN" w:bidi="ar-SA"/>
        </w:rPr>
      </w:pPr>
    </w:p>
    <w:p>
      <w:pPr>
        <w:keepNext/>
        <w:keepLines/>
        <w:spacing w:before="100" w:beforeAutospacing="1" w:after="100" w:afterAutospacing="1" w:line="360" w:lineRule="auto"/>
        <w:jc w:val="center"/>
        <w:outlineLvl w:val="0"/>
        <w:rPr>
          <w:rFonts w:ascii="仿宋" w:hAnsi="仿宋" w:eastAsia="仿宋" w:cs="仿宋"/>
          <w:b/>
          <w:i w:val="0"/>
          <w:color w:val="auto"/>
          <w:kern w:val="44"/>
          <w:sz w:val="32"/>
          <w:szCs w:val="32"/>
          <w:highlight w:val="none"/>
          <w:lang w:eastAsia="zh-CN" w:bidi="ar-SA"/>
        </w:rPr>
      </w:pPr>
      <w:bookmarkStart w:id="455" w:name="_Toc28713"/>
      <w:bookmarkStart w:id="456" w:name="_Toc511558669"/>
      <w:bookmarkStart w:id="457" w:name="_Toc492286431"/>
      <w:bookmarkStart w:id="458" w:name="_Toc524910127"/>
      <w:r>
        <w:rPr>
          <w:rFonts w:hint="eastAsia" w:ascii="仿宋" w:hAnsi="仿宋" w:eastAsia="仿宋" w:cs="仿宋"/>
          <w:b/>
          <w:i w:val="0"/>
          <w:color w:val="auto"/>
          <w:kern w:val="44"/>
          <w:sz w:val="32"/>
          <w:szCs w:val="32"/>
          <w:highlight w:val="none"/>
          <w:lang w:eastAsia="zh-CN" w:bidi="ar-SA"/>
        </w:rPr>
        <w:t>第二册 商务和技术文件</w:t>
      </w:r>
      <w:bookmarkEnd w:id="455"/>
      <w:bookmarkEnd w:id="456"/>
      <w:bookmarkEnd w:id="457"/>
      <w:bookmarkEnd w:id="458"/>
    </w:p>
    <w:p>
      <w:pPr>
        <w:rPr>
          <w:rFonts w:ascii="仿宋" w:hAnsi="仿宋" w:eastAsia="仿宋" w:cs="仿宋"/>
          <w:b/>
          <w:i w:val="0"/>
          <w:color w:val="auto"/>
          <w:sz w:val="84"/>
          <w:szCs w:val="84"/>
          <w:highlight w:val="none"/>
          <w:lang w:eastAsia="zh-CN" w:bidi="ar-SA"/>
        </w:rPr>
      </w:pPr>
    </w:p>
    <w:p>
      <w:pPr>
        <w:rPr>
          <w:i w:val="0"/>
          <w:color w:val="auto"/>
          <w:highlight w:val="none"/>
          <w:lang w:eastAsia="zh-CN"/>
        </w:rPr>
      </w:pPr>
      <w:r>
        <w:rPr>
          <w:i w:val="0"/>
          <w:color w:val="auto"/>
          <w:highlight w:val="none"/>
          <w:lang w:eastAsia="zh-CN"/>
        </w:rPr>
        <w:br w:type="page"/>
      </w:r>
    </w:p>
    <w:p>
      <w:pPr>
        <w:pStyle w:val="4"/>
        <w:jc w:val="left"/>
        <w:rPr>
          <w:i w:val="0"/>
          <w:color w:val="auto"/>
          <w:highlight w:val="none"/>
          <w:lang w:eastAsia="zh-CN"/>
        </w:rPr>
      </w:pPr>
      <w:bookmarkStart w:id="459" w:name="_Toc511558670"/>
      <w:bookmarkStart w:id="460" w:name="_Toc505762763"/>
      <w:bookmarkStart w:id="461" w:name="_Toc468346397"/>
      <w:bookmarkStart w:id="462" w:name="_Toc217446082"/>
      <w:bookmarkStart w:id="463" w:name="_Toc395625058"/>
      <w:bookmarkStart w:id="464" w:name="_Toc497752263"/>
      <w:bookmarkStart w:id="465" w:name="_Toc468331106"/>
      <w:bookmarkStart w:id="466" w:name="_Toc29260"/>
      <w:bookmarkStart w:id="467" w:name="_Toc524910128"/>
      <w:r>
        <w:rPr>
          <w:rFonts w:hint="eastAsia"/>
          <w:i w:val="0"/>
          <w:color w:val="auto"/>
          <w:highlight w:val="none"/>
          <w:lang w:eastAsia="zh-CN"/>
        </w:rPr>
        <w:t>一、投标函</w:t>
      </w:r>
      <w:bookmarkEnd w:id="459"/>
      <w:bookmarkEnd w:id="460"/>
      <w:bookmarkEnd w:id="461"/>
      <w:bookmarkEnd w:id="462"/>
      <w:bookmarkEnd w:id="463"/>
      <w:bookmarkEnd w:id="464"/>
      <w:bookmarkEnd w:id="465"/>
      <w:r>
        <w:rPr>
          <w:rFonts w:hint="eastAsia"/>
          <w:i w:val="0"/>
          <w:color w:val="auto"/>
          <w:highlight w:val="none"/>
          <w:lang w:eastAsia="zh-CN"/>
        </w:rPr>
        <w:t>（实质性要求）</w:t>
      </w:r>
      <w:bookmarkEnd w:id="466"/>
      <w:bookmarkEnd w:id="467"/>
    </w:p>
    <w:p>
      <w:pPr>
        <w:jc w:val="center"/>
        <w:rPr>
          <w:rFonts w:ascii="仿宋" w:hAnsi="仿宋" w:eastAsia="仿宋"/>
          <w:b/>
          <w:i w:val="0"/>
          <w:color w:val="auto"/>
          <w:sz w:val="28"/>
          <w:highlight w:val="none"/>
          <w:lang w:eastAsia="zh-CN"/>
        </w:rPr>
      </w:pPr>
      <w:r>
        <w:rPr>
          <w:rFonts w:hint="eastAsia" w:ascii="仿宋" w:hAnsi="仿宋" w:eastAsia="仿宋"/>
          <w:b/>
          <w:i w:val="0"/>
          <w:color w:val="auto"/>
          <w:sz w:val="28"/>
          <w:highlight w:val="none"/>
          <w:lang w:eastAsia="zh-CN"/>
        </w:rPr>
        <w:t>投标函</w:t>
      </w:r>
    </w:p>
    <w:p>
      <w:pPr>
        <w:pStyle w:val="56"/>
        <w:ind w:firstLine="0" w:firstLineChars="0"/>
        <w:rPr>
          <w:rFonts w:ascii="仿宋" w:hAnsi="仿宋" w:eastAsia="仿宋"/>
          <w:i w:val="0"/>
          <w:color w:val="auto"/>
          <w:szCs w:val="24"/>
          <w:highlight w:val="none"/>
          <w:u w:val="single"/>
          <w:lang w:eastAsia="zh-CN"/>
        </w:rPr>
      </w:pPr>
      <w:r>
        <w:rPr>
          <w:rFonts w:hint="eastAsia" w:ascii="仿宋" w:hAnsi="仿宋" w:eastAsia="仿宋"/>
          <w:i w:val="0"/>
          <w:color w:val="auto"/>
          <w:szCs w:val="24"/>
          <w:highlight w:val="none"/>
          <w:u w:val="single"/>
          <w:lang w:eastAsia="zh-CN"/>
        </w:rPr>
        <w:t>四川科薪工程管理有限公司</w:t>
      </w:r>
    </w:p>
    <w:p>
      <w:pPr>
        <w:spacing w:after="120" w:line="276" w:lineRule="auto"/>
        <w:ind w:firstLine="480" w:firstLineChars="200"/>
        <w:rPr>
          <w:rFonts w:ascii="仿宋" w:hAnsi="仿宋" w:eastAsia="仿宋"/>
          <w:bCs/>
          <w:i w:val="0"/>
          <w:color w:val="auto"/>
          <w:sz w:val="24"/>
          <w:szCs w:val="24"/>
          <w:highlight w:val="none"/>
          <w:lang w:eastAsia="zh-CN"/>
        </w:rPr>
      </w:pPr>
      <w:r>
        <w:rPr>
          <w:rFonts w:hint="eastAsia" w:ascii="仿宋" w:hAnsi="仿宋" w:eastAsia="仿宋"/>
          <w:bCs/>
          <w:i w:val="0"/>
          <w:color w:val="auto"/>
          <w:sz w:val="24"/>
          <w:szCs w:val="24"/>
          <w:highlight w:val="none"/>
          <w:lang w:eastAsia="zh-CN"/>
        </w:rPr>
        <w:t>我方全面研究了 “</w:t>
      </w:r>
      <w:r>
        <w:rPr>
          <w:rFonts w:hint="eastAsia" w:ascii="仿宋" w:hAnsi="仿宋" w:eastAsia="仿宋"/>
          <w:bCs/>
          <w:i w:val="0"/>
          <w:color w:val="auto"/>
          <w:sz w:val="24"/>
          <w:szCs w:val="24"/>
          <w:highlight w:val="none"/>
          <w:u w:val="single"/>
          <w:lang w:eastAsia="zh-CN"/>
        </w:rPr>
        <w:t xml:space="preserve">           </w:t>
      </w:r>
      <w:r>
        <w:rPr>
          <w:rFonts w:ascii="仿宋" w:hAnsi="仿宋" w:eastAsia="仿宋"/>
          <w:bCs/>
          <w:i w:val="0"/>
          <w:color w:val="auto"/>
          <w:sz w:val="24"/>
          <w:szCs w:val="24"/>
          <w:highlight w:val="none"/>
          <w:u w:val="single"/>
          <w:lang w:eastAsia="zh-CN"/>
        </w:rPr>
        <w:t xml:space="preserve">     </w:t>
      </w:r>
      <w:r>
        <w:rPr>
          <w:rFonts w:hint="eastAsia" w:ascii="仿宋" w:hAnsi="仿宋" w:eastAsia="仿宋"/>
          <w:bCs/>
          <w:i w:val="0"/>
          <w:color w:val="auto"/>
          <w:sz w:val="24"/>
          <w:szCs w:val="24"/>
          <w:highlight w:val="none"/>
          <w:u w:val="single"/>
          <w:lang w:eastAsia="zh-CN"/>
        </w:rPr>
        <w:t xml:space="preserve">   </w:t>
      </w:r>
      <w:r>
        <w:rPr>
          <w:rFonts w:hint="eastAsia" w:ascii="仿宋" w:hAnsi="仿宋" w:eastAsia="仿宋"/>
          <w:bCs/>
          <w:i w:val="0"/>
          <w:color w:val="auto"/>
          <w:sz w:val="24"/>
          <w:szCs w:val="24"/>
          <w:highlight w:val="none"/>
          <w:lang w:eastAsia="zh-CN"/>
        </w:rPr>
        <w:t>”项目（招标编号</w:t>
      </w:r>
      <w:r>
        <w:rPr>
          <w:rFonts w:hint="eastAsia" w:ascii="仿宋" w:hAnsi="仿宋" w:eastAsia="仿宋"/>
          <w:bCs/>
          <w:i w:val="0"/>
          <w:color w:val="auto"/>
          <w:sz w:val="24"/>
          <w:szCs w:val="24"/>
          <w:highlight w:val="none"/>
          <w:u w:val="single"/>
          <w:lang w:eastAsia="zh-CN"/>
        </w:rPr>
        <w:t xml:space="preserve">        </w:t>
      </w:r>
      <w:r>
        <w:rPr>
          <w:rFonts w:hint="eastAsia" w:ascii="仿宋" w:hAnsi="仿宋" w:eastAsia="仿宋"/>
          <w:bCs/>
          <w:i w:val="0"/>
          <w:color w:val="auto"/>
          <w:sz w:val="24"/>
          <w:szCs w:val="24"/>
          <w:highlight w:val="none"/>
          <w:lang w:eastAsia="zh-CN"/>
        </w:rPr>
        <w:t>），决定参加贵单位组织的本项目投标。我方授权</w:t>
      </w:r>
      <w:r>
        <w:rPr>
          <w:rFonts w:hint="eastAsia" w:ascii="仿宋" w:hAnsi="仿宋" w:eastAsia="仿宋"/>
          <w:bCs/>
          <w:i w:val="0"/>
          <w:color w:val="auto"/>
          <w:sz w:val="24"/>
          <w:szCs w:val="24"/>
          <w:highlight w:val="none"/>
          <w:u w:val="single"/>
          <w:lang w:eastAsia="zh-CN"/>
        </w:rPr>
        <w:t xml:space="preserve">            </w:t>
      </w:r>
      <w:r>
        <w:rPr>
          <w:rFonts w:hint="eastAsia" w:ascii="仿宋" w:hAnsi="仿宋" w:eastAsia="仿宋"/>
          <w:bCs/>
          <w:i w:val="0"/>
          <w:color w:val="auto"/>
          <w:sz w:val="24"/>
          <w:szCs w:val="24"/>
          <w:highlight w:val="none"/>
          <w:lang w:eastAsia="zh-CN"/>
        </w:rPr>
        <w:t>（姓名、职务）代表我方</w:t>
      </w:r>
      <w:r>
        <w:rPr>
          <w:rFonts w:hint="eastAsia" w:ascii="仿宋" w:hAnsi="仿宋" w:eastAsia="仿宋"/>
          <w:bCs/>
          <w:i w:val="0"/>
          <w:color w:val="auto"/>
          <w:sz w:val="24"/>
          <w:szCs w:val="24"/>
          <w:highlight w:val="none"/>
          <w:u w:val="single"/>
          <w:lang w:eastAsia="zh-CN"/>
        </w:rPr>
        <w:t xml:space="preserve">              </w:t>
      </w:r>
      <w:r>
        <w:rPr>
          <w:rFonts w:hint="eastAsia" w:ascii="仿宋" w:hAnsi="仿宋" w:eastAsia="仿宋"/>
          <w:bCs/>
          <w:i w:val="0"/>
          <w:color w:val="auto"/>
          <w:sz w:val="24"/>
          <w:szCs w:val="24"/>
          <w:highlight w:val="none"/>
          <w:lang w:eastAsia="zh-CN"/>
        </w:rPr>
        <w:t>（投标单位的名称）全权处理本次采购项目投标的有关事宜。</w:t>
      </w:r>
    </w:p>
    <w:p>
      <w:pPr>
        <w:spacing w:after="120" w:line="276" w:lineRule="auto"/>
        <w:ind w:firstLine="480" w:firstLineChars="200"/>
        <w:rPr>
          <w:rFonts w:ascii="仿宋" w:hAnsi="仿宋" w:eastAsia="仿宋"/>
          <w:bCs/>
          <w:i w:val="0"/>
          <w:color w:val="auto"/>
          <w:sz w:val="24"/>
          <w:szCs w:val="24"/>
          <w:highlight w:val="none"/>
          <w:lang w:eastAsia="zh-CN"/>
        </w:rPr>
      </w:pPr>
      <w:r>
        <w:rPr>
          <w:rFonts w:hint="eastAsia" w:ascii="仿宋" w:hAnsi="仿宋" w:eastAsia="仿宋"/>
          <w:bCs/>
          <w:i w:val="0"/>
          <w:color w:val="auto"/>
          <w:sz w:val="24"/>
          <w:szCs w:val="24"/>
          <w:highlight w:val="none"/>
          <w:lang w:eastAsia="zh-CN"/>
        </w:rPr>
        <w:t>1、我方自愿按照招标文件规定的各项要求向采购人提供所需服务/货物，投标报价为</w:t>
      </w:r>
      <w:r>
        <w:rPr>
          <w:rFonts w:hint="eastAsia" w:ascii="仿宋" w:hAnsi="仿宋" w:eastAsia="仿宋"/>
          <w:bCs/>
          <w:i w:val="0"/>
          <w:color w:val="auto"/>
          <w:sz w:val="24"/>
          <w:szCs w:val="24"/>
          <w:highlight w:val="none"/>
          <w:u w:val="single"/>
          <w:lang w:eastAsia="zh-CN"/>
        </w:rPr>
        <w:t xml:space="preserve">  </w:t>
      </w:r>
      <w:r>
        <w:rPr>
          <w:rFonts w:ascii="仿宋" w:hAnsi="仿宋" w:eastAsia="仿宋"/>
          <w:bCs/>
          <w:i w:val="0"/>
          <w:color w:val="auto"/>
          <w:sz w:val="24"/>
          <w:szCs w:val="24"/>
          <w:highlight w:val="none"/>
          <w:u w:val="single"/>
          <w:lang w:eastAsia="zh-CN"/>
        </w:rPr>
        <w:t xml:space="preserve">   </w:t>
      </w:r>
      <w:r>
        <w:rPr>
          <w:rFonts w:hint="eastAsia" w:ascii="仿宋" w:hAnsi="仿宋" w:eastAsia="仿宋"/>
          <w:bCs/>
          <w:i w:val="0"/>
          <w:color w:val="auto"/>
          <w:sz w:val="24"/>
          <w:szCs w:val="24"/>
          <w:highlight w:val="none"/>
          <w:lang w:eastAsia="zh-CN"/>
        </w:rPr>
        <w:t>。</w:t>
      </w:r>
    </w:p>
    <w:p>
      <w:pPr>
        <w:spacing w:after="120" w:line="276" w:lineRule="auto"/>
        <w:ind w:firstLine="480" w:firstLineChars="200"/>
        <w:rPr>
          <w:rFonts w:ascii="仿宋" w:hAnsi="仿宋" w:eastAsia="仿宋"/>
          <w:bCs/>
          <w:i w:val="0"/>
          <w:color w:val="auto"/>
          <w:sz w:val="24"/>
          <w:szCs w:val="24"/>
          <w:highlight w:val="none"/>
          <w:lang w:eastAsia="zh-CN"/>
        </w:rPr>
      </w:pPr>
      <w:r>
        <w:rPr>
          <w:rFonts w:hint="eastAsia" w:ascii="仿宋" w:hAnsi="仿宋" w:eastAsia="仿宋"/>
          <w:bCs/>
          <w:i w:val="0"/>
          <w:color w:val="auto"/>
          <w:sz w:val="24"/>
          <w:szCs w:val="24"/>
          <w:highlight w:val="none"/>
          <w:lang w:eastAsia="zh-CN"/>
        </w:rPr>
        <w:t>2、一旦我方中标，我方将严格履行合同规定的责任和义务，保证在规定时间内完成应尽义务，并交付采购人验收、使用。</w:t>
      </w:r>
    </w:p>
    <w:p>
      <w:pPr>
        <w:spacing w:after="120" w:line="276" w:lineRule="auto"/>
        <w:ind w:firstLine="480" w:firstLineChars="200"/>
        <w:rPr>
          <w:rFonts w:ascii="仿宋" w:hAnsi="仿宋" w:eastAsia="仿宋"/>
          <w:bCs/>
          <w:i w:val="0"/>
          <w:color w:val="auto"/>
          <w:sz w:val="24"/>
          <w:szCs w:val="24"/>
          <w:highlight w:val="none"/>
          <w:lang w:eastAsia="zh-CN"/>
        </w:rPr>
      </w:pPr>
      <w:r>
        <w:rPr>
          <w:rFonts w:hint="eastAsia" w:ascii="仿宋" w:hAnsi="仿宋" w:eastAsia="仿宋"/>
          <w:i w:val="0"/>
          <w:color w:val="auto"/>
          <w:sz w:val="24"/>
          <w:szCs w:val="24"/>
          <w:highlight w:val="none"/>
          <w:lang w:eastAsia="zh-CN"/>
        </w:rPr>
        <w:t>3、我方同意本招标文件依据政府采购法等相关法律法规对我方可能存在的失信行为进行的惩戒。</w:t>
      </w:r>
    </w:p>
    <w:p>
      <w:pPr>
        <w:spacing w:after="120" w:line="276" w:lineRule="auto"/>
        <w:ind w:firstLine="480" w:firstLineChars="200"/>
        <w:rPr>
          <w:rFonts w:ascii="仿宋" w:hAnsi="仿宋" w:eastAsia="仿宋"/>
          <w:bCs/>
          <w:i w:val="0"/>
          <w:color w:val="auto"/>
          <w:sz w:val="24"/>
          <w:szCs w:val="24"/>
          <w:highlight w:val="none"/>
          <w:lang w:eastAsia="zh-CN"/>
        </w:rPr>
      </w:pPr>
      <w:r>
        <w:rPr>
          <w:rFonts w:hint="eastAsia" w:ascii="仿宋" w:hAnsi="仿宋" w:eastAsia="仿宋"/>
          <w:bCs/>
          <w:i w:val="0"/>
          <w:color w:val="auto"/>
          <w:sz w:val="24"/>
          <w:szCs w:val="24"/>
          <w:highlight w:val="none"/>
          <w:lang w:eastAsia="zh-CN"/>
        </w:rPr>
        <w:t>4、我方为本次采购项目提交的资格证明1份；商务和技术文件1份；用于唱标的“开标一览表”</w:t>
      </w:r>
      <w:r>
        <w:rPr>
          <w:rFonts w:ascii="仿宋" w:hAnsi="仿宋" w:eastAsia="仿宋"/>
          <w:bCs/>
          <w:i w:val="0"/>
          <w:color w:val="auto"/>
          <w:sz w:val="24"/>
          <w:szCs w:val="24"/>
          <w:highlight w:val="none"/>
          <w:lang w:eastAsia="zh-CN"/>
        </w:rPr>
        <w:t>1</w:t>
      </w:r>
      <w:r>
        <w:rPr>
          <w:rFonts w:hint="eastAsia" w:ascii="仿宋" w:hAnsi="仿宋" w:eastAsia="仿宋"/>
          <w:bCs/>
          <w:i w:val="0"/>
          <w:color w:val="auto"/>
          <w:sz w:val="24"/>
          <w:szCs w:val="24"/>
          <w:highlight w:val="none"/>
          <w:lang w:eastAsia="zh-CN"/>
        </w:rPr>
        <w:t>份。</w:t>
      </w:r>
    </w:p>
    <w:p>
      <w:pPr>
        <w:spacing w:after="120" w:line="276" w:lineRule="auto"/>
        <w:ind w:firstLine="480" w:firstLineChars="200"/>
        <w:rPr>
          <w:rFonts w:ascii="仿宋" w:hAnsi="仿宋" w:eastAsia="仿宋"/>
          <w:bCs/>
          <w:i w:val="0"/>
          <w:color w:val="auto"/>
          <w:sz w:val="24"/>
          <w:szCs w:val="24"/>
          <w:highlight w:val="none"/>
          <w:lang w:eastAsia="zh-CN"/>
        </w:rPr>
      </w:pPr>
      <w:r>
        <w:rPr>
          <w:rFonts w:hint="eastAsia" w:ascii="仿宋" w:hAnsi="仿宋" w:eastAsia="仿宋"/>
          <w:bCs/>
          <w:i w:val="0"/>
          <w:color w:val="auto"/>
          <w:sz w:val="24"/>
          <w:szCs w:val="24"/>
          <w:highlight w:val="none"/>
          <w:lang w:eastAsia="zh-CN"/>
        </w:rPr>
        <w:t>5、我方愿意提供贵单位可能另外要求的，与投标有关的文件资料，并保证我方已提供和将要提供的文件资料是真实、准确的。</w:t>
      </w:r>
    </w:p>
    <w:p>
      <w:pPr>
        <w:spacing w:after="120" w:line="276" w:lineRule="auto"/>
        <w:ind w:firstLine="480" w:firstLineChars="200"/>
        <w:rPr>
          <w:rFonts w:ascii="仿宋" w:hAnsi="仿宋" w:eastAsia="仿宋"/>
          <w:bCs/>
          <w:i w:val="0"/>
          <w:color w:val="auto"/>
          <w:sz w:val="24"/>
          <w:szCs w:val="24"/>
          <w:highlight w:val="none"/>
          <w:lang w:eastAsia="zh-CN"/>
        </w:rPr>
      </w:pPr>
      <w:r>
        <w:rPr>
          <w:rFonts w:hint="eastAsia" w:ascii="仿宋" w:hAnsi="仿宋" w:eastAsia="仿宋"/>
          <w:bCs/>
          <w:i w:val="0"/>
          <w:color w:val="auto"/>
          <w:sz w:val="24"/>
          <w:szCs w:val="24"/>
          <w:highlight w:val="none"/>
          <w:lang w:eastAsia="zh-CN"/>
        </w:rPr>
        <w:t>6、我方完全理解采购人不一定将合同授予最低报价的投标人的行为。</w:t>
      </w:r>
    </w:p>
    <w:p>
      <w:pPr>
        <w:spacing w:after="120" w:line="276" w:lineRule="auto"/>
        <w:ind w:firstLine="480" w:firstLineChars="200"/>
        <w:rPr>
          <w:rFonts w:ascii="仿宋" w:hAnsi="仿宋" w:eastAsia="仿宋"/>
          <w:bCs/>
          <w:i w:val="0"/>
          <w:color w:val="auto"/>
          <w:sz w:val="24"/>
          <w:szCs w:val="24"/>
          <w:highlight w:val="none"/>
          <w:lang w:eastAsia="zh-CN"/>
        </w:rPr>
      </w:pPr>
    </w:p>
    <w:p>
      <w:pPr>
        <w:spacing w:after="120" w:line="276" w:lineRule="auto"/>
        <w:ind w:firstLine="566" w:firstLineChars="236"/>
        <w:rPr>
          <w:rFonts w:ascii="仿宋" w:hAnsi="仿宋" w:eastAsia="仿宋" w:cs="Marigold"/>
          <w:i w:val="0"/>
          <w:color w:val="auto"/>
          <w:sz w:val="24"/>
          <w:szCs w:val="24"/>
          <w:highlight w:val="none"/>
          <w:lang w:eastAsia="zh-CN"/>
        </w:rPr>
      </w:pPr>
      <w:r>
        <w:rPr>
          <w:rFonts w:hint="eastAsia" w:ascii="仿宋" w:hAnsi="仿宋" w:eastAsia="仿宋"/>
          <w:i w:val="0"/>
          <w:color w:val="auto"/>
          <w:sz w:val="24"/>
          <w:szCs w:val="24"/>
          <w:highlight w:val="none"/>
          <w:lang w:eastAsia="zh-CN"/>
        </w:rPr>
        <w:t>投标人名称：</w:t>
      </w:r>
      <w:r>
        <w:rPr>
          <w:rFonts w:ascii="仿宋" w:hAnsi="仿宋" w:eastAsia="仿宋"/>
          <w:i w:val="0"/>
          <w:color w:val="auto"/>
          <w:sz w:val="24"/>
          <w:szCs w:val="24"/>
          <w:highlight w:val="none"/>
          <w:lang w:eastAsia="zh-CN"/>
        </w:rPr>
        <w:t xml:space="preserve"> </w:t>
      </w:r>
      <w:r>
        <w:rPr>
          <w:rFonts w:hint="eastAsia" w:ascii="仿宋" w:hAnsi="仿宋" w:eastAsia="仿宋"/>
          <w:i w:val="0"/>
          <w:color w:val="auto"/>
          <w:sz w:val="24"/>
          <w:szCs w:val="24"/>
          <w:highlight w:val="none"/>
          <w:lang w:eastAsia="zh-CN"/>
        </w:rPr>
        <w:t xml:space="preserve">              （单位公章</w:t>
      </w:r>
      <w:r>
        <w:rPr>
          <w:rFonts w:hint="eastAsia" w:ascii="仿宋" w:hAnsi="仿宋" w:eastAsia="仿宋" w:cs="Marigold"/>
          <w:i w:val="0"/>
          <w:color w:val="auto"/>
          <w:sz w:val="24"/>
          <w:szCs w:val="24"/>
          <w:highlight w:val="none"/>
          <w:lang w:eastAsia="zh-CN"/>
        </w:rPr>
        <w:t>）</w:t>
      </w:r>
    </w:p>
    <w:p>
      <w:pPr>
        <w:spacing w:after="120" w:line="276" w:lineRule="auto"/>
        <w:ind w:firstLine="566" w:firstLineChars="236"/>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法定代表人（签字或加盖个人名章）：</w:t>
      </w:r>
    </w:p>
    <w:p>
      <w:pPr>
        <w:spacing w:after="120" w:line="276" w:lineRule="auto"/>
        <w:ind w:firstLine="566" w:firstLineChars="236"/>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 xml:space="preserve">通讯地址： </w:t>
      </w:r>
    </w:p>
    <w:p>
      <w:pPr>
        <w:spacing w:after="120" w:line="276" w:lineRule="auto"/>
        <w:ind w:firstLine="566" w:firstLineChars="236"/>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邮政编码：</w:t>
      </w:r>
    </w:p>
    <w:p>
      <w:pPr>
        <w:spacing w:after="120" w:line="276" w:lineRule="auto"/>
        <w:ind w:firstLine="566" w:firstLineChars="236"/>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联系电话：</w:t>
      </w:r>
    </w:p>
    <w:p>
      <w:pPr>
        <w:spacing w:after="120" w:line="276" w:lineRule="auto"/>
        <w:ind w:firstLine="566" w:firstLineChars="236"/>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传    真：</w:t>
      </w:r>
    </w:p>
    <w:p>
      <w:pPr>
        <w:spacing w:after="120" w:line="276" w:lineRule="auto"/>
        <w:ind w:firstLine="566" w:firstLineChars="236"/>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日    期：    年    月   日</w:t>
      </w:r>
    </w:p>
    <w:p>
      <w:pPr>
        <w:pStyle w:val="4"/>
        <w:jc w:val="left"/>
        <w:rPr>
          <w:i w:val="0"/>
          <w:color w:val="auto"/>
          <w:highlight w:val="none"/>
          <w:lang w:eastAsia="zh-CN"/>
        </w:rPr>
      </w:pPr>
      <w:r>
        <w:rPr>
          <w:rFonts w:hint="eastAsia" w:ascii="仿宋" w:hAnsi="仿宋" w:cs="仿宋"/>
          <w:i w:val="0"/>
          <w:color w:val="auto"/>
          <w:sz w:val="21"/>
          <w:szCs w:val="21"/>
          <w:highlight w:val="none"/>
          <w:lang w:eastAsia="zh-CN"/>
        </w:rPr>
        <w:br w:type="page"/>
      </w:r>
      <w:bookmarkStart w:id="468" w:name="_Toc524910129"/>
      <w:bookmarkStart w:id="469" w:name="_Toc27436"/>
      <w:r>
        <w:rPr>
          <w:rFonts w:hint="eastAsia"/>
          <w:i w:val="0"/>
          <w:color w:val="auto"/>
          <w:highlight w:val="none"/>
          <w:lang w:eastAsia="zh-CN"/>
        </w:rPr>
        <w:t>二、开标一览表（实质性要求）</w:t>
      </w:r>
      <w:bookmarkEnd w:id="468"/>
      <w:bookmarkEnd w:id="469"/>
    </w:p>
    <w:p>
      <w:pPr>
        <w:jc w:val="center"/>
        <w:rPr>
          <w:rFonts w:ascii="仿宋" w:hAnsi="仿宋" w:eastAsia="仿宋"/>
          <w:b/>
          <w:i w:val="0"/>
          <w:color w:val="auto"/>
          <w:sz w:val="28"/>
          <w:szCs w:val="28"/>
          <w:highlight w:val="none"/>
          <w:lang w:eastAsia="zh-CN"/>
        </w:rPr>
      </w:pPr>
      <w:r>
        <w:rPr>
          <w:rFonts w:hint="eastAsia" w:ascii="仿宋" w:hAnsi="仿宋" w:eastAsia="仿宋"/>
          <w:b/>
          <w:i w:val="0"/>
          <w:color w:val="auto"/>
          <w:sz w:val="28"/>
          <w:szCs w:val="28"/>
          <w:highlight w:val="none"/>
          <w:lang w:eastAsia="zh-CN"/>
        </w:rPr>
        <w:t>开标一览表</w:t>
      </w:r>
    </w:p>
    <w:tbl>
      <w:tblPr>
        <w:tblStyle w:val="24"/>
        <w:tblW w:w="8662" w:type="dxa"/>
        <w:tblInd w:w="93" w:type="dxa"/>
        <w:tblLayout w:type="fixed"/>
        <w:tblCellMar>
          <w:top w:w="0" w:type="dxa"/>
          <w:left w:w="108" w:type="dxa"/>
          <w:bottom w:w="0" w:type="dxa"/>
          <w:right w:w="108" w:type="dxa"/>
        </w:tblCellMar>
      </w:tblPr>
      <w:tblGrid>
        <w:gridCol w:w="1008"/>
        <w:gridCol w:w="1884"/>
        <w:gridCol w:w="1376"/>
        <w:gridCol w:w="2551"/>
        <w:gridCol w:w="1843"/>
      </w:tblGrid>
      <w:tr>
        <w:tblPrEx>
          <w:tblCellMar>
            <w:top w:w="0" w:type="dxa"/>
            <w:left w:w="108" w:type="dxa"/>
            <w:bottom w:w="0" w:type="dxa"/>
            <w:right w:w="108" w:type="dxa"/>
          </w:tblCellMar>
        </w:tblPrEx>
        <w:trPr>
          <w:trHeight w:val="751" w:hRule="atLeast"/>
        </w:trPr>
        <w:tc>
          <w:tcPr>
            <w:tcW w:w="28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i w:val="0"/>
                <w:color w:val="auto"/>
                <w:kern w:val="0"/>
                <w:sz w:val="24"/>
                <w:highlight w:val="none"/>
              </w:rPr>
            </w:pPr>
            <w:r>
              <w:rPr>
                <w:rFonts w:hint="eastAsia" w:ascii="仿宋" w:hAnsi="仿宋" w:eastAsia="仿宋" w:cs="宋体"/>
                <w:i w:val="0"/>
                <w:color w:val="auto"/>
                <w:kern w:val="0"/>
                <w:sz w:val="24"/>
                <w:highlight w:val="none"/>
              </w:rPr>
              <w:t>项目名称</w:t>
            </w:r>
          </w:p>
        </w:tc>
        <w:tc>
          <w:tcPr>
            <w:tcW w:w="5770" w:type="dxa"/>
            <w:gridSpan w:val="3"/>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s="宋体"/>
                <w:i w:val="0"/>
                <w:color w:val="auto"/>
                <w:kern w:val="0"/>
                <w:sz w:val="24"/>
                <w:highlight w:val="none"/>
              </w:rPr>
            </w:pPr>
          </w:p>
        </w:tc>
      </w:tr>
      <w:tr>
        <w:tblPrEx>
          <w:tblCellMar>
            <w:top w:w="0" w:type="dxa"/>
            <w:left w:w="108" w:type="dxa"/>
            <w:bottom w:w="0" w:type="dxa"/>
            <w:right w:w="108" w:type="dxa"/>
          </w:tblCellMar>
        </w:tblPrEx>
        <w:trPr>
          <w:trHeight w:val="846" w:hRule="atLeast"/>
        </w:trPr>
        <w:tc>
          <w:tcPr>
            <w:tcW w:w="28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i w:val="0"/>
                <w:color w:val="auto"/>
                <w:kern w:val="0"/>
                <w:sz w:val="24"/>
                <w:highlight w:val="none"/>
              </w:rPr>
            </w:pPr>
            <w:r>
              <w:rPr>
                <w:rFonts w:hint="eastAsia" w:ascii="仿宋" w:hAnsi="仿宋" w:eastAsia="仿宋" w:cs="宋体"/>
                <w:i w:val="0"/>
                <w:color w:val="auto"/>
                <w:kern w:val="0"/>
                <w:sz w:val="24"/>
                <w:highlight w:val="none"/>
              </w:rPr>
              <w:t>招标编号</w:t>
            </w:r>
          </w:p>
        </w:tc>
        <w:tc>
          <w:tcPr>
            <w:tcW w:w="5770" w:type="dxa"/>
            <w:gridSpan w:val="3"/>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i w:val="0"/>
                <w:color w:val="auto"/>
                <w:kern w:val="0"/>
                <w:sz w:val="24"/>
                <w:highlight w:val="none"/>
              </w:rPr>
            </w:pPr>
          </w:p>
        </w:tc>
      </w:tr>
      <w:tr>
        <w:tblPrEx>
          <w:tblCellMar>
            <w:top w:w="0" w:type="dxa"/>
            <w:left w:w="108" w:type="dxa"/>
            <w:bottom w:w="0" w:type="dxa"/>
            <w:right w:w="108" w:type="dxa"/>
          </w:tblCellMar>
        </w:tblPrEx>
        <w:trPr>
          <w:trHeight w:val="96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Cs/>
                <w:i w:val="0"/>
                <w:color w:val="auto"/>
                <w:kern w:val="0"/>
                <w:sz w:val="24"/>
                <w:highlight w:val="none"/>
                <w:lang w:eastAsia="zh-CN"/>
              </w:rPr>
            </w:pPr>
            <w:r>
              <w:rPr>
                <w:rFonts w:hint="eastAsia" w:ascii="仿宋" w:hAnsi="仿宋" w:eastAsia="仿宋" w:cs="宋体"/>
                <w:bCs/>
                <w:i w:val="0"/>
                <w:color w:val="auto"/>
                <w:kern w:val="0"/>
                <w:sz w:val="24"/>
                <w:highlight w:val="none"/>
              </w:rPr>
              <w:t>序号</w:t>
            </w:r>
          </w:p>
        </w:tc>
        <w:tc>
          <w:tcPr>
            <w:tcW w:w="326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宋体"/>
                <w:bCs/>
                <w:i w:val="0"/>
                <w:color w:val="auto"/>
                <w:kern w:val="0"/>
                <w:sz w:val="24"/>
                <w:highlight w:val="none"/>
                <w:lang w:eastAsia="zh-CN"/>
              </w:rPr>
            </w:pPr>
            <w:r>
              <w:rPr>
                <w:rFonts w:hint="eastAsia" w:ascii="仿宋" w:hAnsi="仿宋" w:eastAsia="仿宋" w:cs="宋体"/>
                <w:bCs/>
                <w:i w:val="0"/>
                <w:color w:val="auto"/>
                <w:kern w:val="0"/>
                <w:sz w:val="24"/>
                <w:highlight w:val="none"/>
                <w:lang w:eastAsia="zh-CN"/>
              </w:rPr>
              <w:t>采购内容</w:t>
            </w:r>
          </w:p>
        </w:tc>
        <w:tc>
          <w:tcPr>
            <w:tcW w:w="255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宋体"/>
                <w:bCs/>
                <w:i w:val="0"/>
                <w:color w:val="auto"/>
                <w:kern w:val="0"/>
                <w:sz w:val="24"/>
                <w:highlight w:val="none"/>
                <w:lang w:eastAsia="zh-CN"/>
              </w:rPr>
            </w:pPr>
            <w:r>
              <w:rPr>
                <w:rFonts w:hint="eastAsia" w:ascii="仿宋" w:hAnsi="仿宋" w:eastAsia="仿宋" w:cs="宋体"/>
                <w:bCs/>
                <w:i w:val="0"/>
                <w:color w:val="auto"/>
                <w:kern w:val="0"/>
                <w:sz w:val="24"/>
                <w:highlight w:val="none"/>
                <w:lang w:eastAsia="zh-CN"/>
              </w:rPr>
              <w:t>投标报价（</w:t>
            </w:r>
            <w:r>
              <w:rPr>
                <w:rFonts w:hint="eastAsia" w:ascii="仿宋" w:hAnsi="仿宋" w:eastAsia="仿宋" w:cs="宋体"/>
                <w:bCs/>
                <w:i w:val="0"/>
                <w:color w:val="auto"/>
                <w:kern w:val="0"/>
                <w:sz w:val="24"/>
                <w:highlight w:val="none"/>
                <w:lang w:val="en-US" w:eastAsia="zh-CN"/>
              </w:rPr>
              <w:t>%</w:t>
            </w:r>
            <w:r>
              <w:rPr>
                <w:rFonts w:hint="eastAsia" w:ascii="仿宋" w:hAnsi="仿宋" w:eastAsia="仿宋" w:cs="宋体"/>
                <w:bCs/>
                <w:i w:val="0"/>
                <w:color w:val="auto"/>
                <w:kern w:val="0"/>
                <w:sz w:val="24"/>
                <w:highlight w:val="none"/>
                <w:lang w:eastAsia="zh-CN"/>
              </w:rPr>
              <w:t>）</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宋体"/>
                <w:bCs/>
                <w:i w:val="0"/>
                <w:color w:val="auto"/>
                <w:kern w:val="0"/>
                <w:sz w:val="24"/>
                <w:highlight w:val="none"/>
                <w:lang w:eastAsia="zh-CN"/>
              </w:rPr>
            </w:pPr>
            <w:r>
              <w:rPr>
                <w:rFonts w:hint="eastAsia" w:ascii="仿宋" w:hAnsi="仿宋" w:eastAsia="仿宋" w:cs="宋体"/>
                <w:bCs/>
                <w:i w:val="0"/>
                <w:color w:val="auto"/>
                <w:kern w:val="0"/>
                <w:sz w:val="24"/>
                <w:highlight w:val="none"/>
                <w:lang w:val="en-US" w:eastAsia="zh-CN"/>
              </w:rPr>
              <w:t>备注</w:t>
            </w:r>
          </w:p>
        </w:tc>
      </w:tr>
      <w:tr>
        <w:tblPrEx>
          <w:tblCellMar>
            <w:top w:w="0" w:type="dxa"/>
            <w:left w:w="108" w:type="dxa"/>
            <w:bottom w:w="0" w:type="dxa"/>
            <w:right w:w="108" w:type="dxa"/>
          </w:tblCellMar>
        </w:tblPrEx>
        <w:trPr>
          <w:trHeight w:val="1566"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Cs/>
                <w:i w:val="0"/>
                <w:color w:val="auto"/>
                <w:kern w:val="0"/>
                <w:sz w:val="24"/>
                <w:highlight w:val="none"/>
                <w:lang w:eastAsia="zh-CN"/>
              </w:rPr>
            </w:pPr>
          </w:p>
        </w:tc>
        <w:tc>
          <w:tcPr>
            <w:tcW w:w="326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 w:hAnsi="仿宋" w:eastAsia="仿宋" w:cs="宋体"/>
                <w:bCs/>
                <w:i w:val="0"/>
                <w:color w:val="auto"/>
                <w:kern w:val="0"/>
                <w:sz w:val="24"/>
                <w:highlight w:val="none"/>
                <w:lang w:val="en-US" w:eastAsia="zh-CN"/>
              </w:rPr>
            </w:pPr>
          </w:p>
        </w:tc>
        <w:tc>
          <w:tcPr>
            <w:tcW w:w="2551"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s="宋体"/>
                <w:bCs/>
                <w:i w:val="0"/>
                <w:color w:val="auto"/>
                <w:kern w:val="0"/>
                <w:sz w:val="24"/>
                <w:highlight w:val="none"/>
                <w:lang w:eastAsia="zh-CN"/>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宋体"/>
                <w:bCs/>
                <w:i w:val="0"/>
                <w:color w:val="auto"/>
                <w:kern w:val="0"/>
                <w:sz w:val="24"/>
                <w:highlight w:val="none"/>
                <w:u w:val="single"/>
                <w:lang w:eastAsia="zh-CN"/>
              </w:rPr>
            </w:pPr>
          </w:p>
        </w:tc>
      </w:tr>
    </w:tbl>
    <w:p>
      <w:pPr>
        <w:spacing w:line="360" w:lineRule="auto"/>
        <w:ind w:firstLine="440" w:firstLineChars="200"/>
        <w:rPr>
          <w:rFonts w:ascii="仿宋" w:hAnsi="仿宋" w:eastAsia="仿宋" w:cs="Marigold"/>
          <w:i w:val="0"/>
          <w:color w:val="auto"/>
          <w:szCs w:val="24"/>
          <w:highlight w:val="none"/>
          <w:lang w:eastAsia="zh-CN"/>
        </w:rPr>
      </w:pPr>
      <w:r>
        <w:rPr>
          <w:rFonts w:hint="eastAsia" w:ascii="仿宋" w:hAnsi="仿宋" w:eastAsia="仿宋" w:cs="Marigold"/>
          <w:i w:val="0"/>
          <w:color w:val="auto"/>
          <w:szCs w:val="24"/>
          <w:highlight w:val="none"/>
          <w:lang w:eastAsia="zh-CN"/>
        </w:rPr>
        <w:t>注： 1. 报价应是最终用户验收合格后的总价，包括但不限于</w:t>
      </w:r>
      <w:r>
        <w:rPr>
          <w:rFonts w:hint="eastAsia" w:ascii="仿宋" w:hAnsi="仿宋" w:eastAsia="仿宋" w:cs="Marigold"/>
          <w:i w:val="0"/>
          <w:color w:val="auto"/>
          <w:szCs w:val="24"/>
          <w:highlight w:val="none"/>
          <w:lang w:val="en-US" w:eastAsia="zh-CN"/>
        </w:rPr>
        <w:t>车辆费用</w:t>
      </w:r>
      <w:r>
        <w:rPr>
          <w:rFonts w:hint="eastAsia" w:ascii="仿宋" w:hAnsi="仿宋" w:eastAsia="仿宋" w:cs="Marigold"/>
          <w:i w:val="0"/>
          <w:color w:val="auto"/>
          <w:szCs w:val="24"/>
          <w:highlight w:val="none"/>
          <w:lang w:eastAsia="zh-CN"/>
        </w:rPr>
        <w:t>、保险、代理、培训、材料损耗和设备折旧成本、投入项目人员的工资、福利、社保等人工成本，税金及附加、销售费用、管理费用、财务费用等多种构成因素、采购文件规定的其它一切费用。</w:t>
      </w:r>
    </w:p>
    <w:p>
      <w:pPr>
        <w:spacing w:line="360" w:lineRule="auto"/>
        <w:ind w:firstLine="440" w:firstLineChars="200"/>
        <w:rPr>
          <w:rFonts w:ascii="仿宋" w:hAnsi="仿宋" w:eastAsia="仿宋" w:cs="Marigold"/>
          <w:i w:val="0"/>
          <w:color w:val="auto"/>
          <w:szCs w:val="24"/>
          <w:highlight w:val="none"/>
          <w:lang w:eastAsia="zh-CN"/>
        </w:rPr>
      </w:pPr>
      <w:r>
        <w:rPr>
          <w:rFonts w:hint="eastAsia" w:ascii="仿宋" w:hAnsi="仿宋" w:eastAsia="仿宋" w:cs="Marigold"/>
          <w:i w:val="0"/>
          <w:color w:val="auto"/>
          <w:szCs w:val="24"/>
          <w:highlight w:val="none"/>
          <w:lang w:eastAsia="zh-CN"/>
        </w:rPr>
        <w:t>2. 以上表格如不能完全表达清楚投标人认为必要的费用明细，报价人可自行补充。“开标一览表”为多页的，每页均需由法定代表人或授权代表签字或加盖个人名章并盖投标人公章。</w:t>
      </w:r>
    </w:p>
    <w:p>
      <w:pPr>
        <w:spacing w:line="360" w:lineRule="auto"/>
        <w:ind w:firstLine="440" w:firstLineChars="200"/>
        <w:rPr>
          <w:rFonts w:ascii="仿宋" w:hAnsi="仿宋" w:eastAsia="仿宋" w:cs="Marigold"/>
          <w:i w:val="0"/>
          <w:color w:val="auto"/>
          <w:szCs w:val="24"/>
          <w:highlight w:val="none"/>
          <w:lang w:eastAsia="zh-CN"/>
        </w:rPr>
      </w:pPr>
      <w:r>
        <w:rPr>
          <w:rFonts w:hint="eastAsia" w:ascii="仿宋" w:hAnsi="仿宋" w:eastAsia="仿宋" w:cs="Marigold"/>
          <w:i w:val="0"/>
          <w:color w:val="auto"/>
          <w:szCs w:val="24"/>
          <w:highlight w:val="none"/>
          <w:lang w:eastAsia="zh-CN"/>
        </w:rPr>
        <w:t>3.</w:t>
      </w:r>
      <w:r>
        <w:rPr>
          <w:rFonts w:ascii="仿宋" w:hAnsi="仿宋" w:eastAsia="仿宋" w:cs="Marigold"/>
          <w:i w:val="0"/>
          <w:color w:val="auto"/>
          <w:szCs w:val="24"/>
          <w:highlight w:val="none"/>
          <w:lang w:eastAsia="zh-CN"/>
        </w:rPr>
        <w:t xml:space="preserve"> </w:t>
      </w:r>
      <w:r>
        <w:rPr>
          <w:rFonts w:hint="eastAsia" w:ascii="仿宋" w:hAnsi="仿宋" w:eastAsia="仿宋" w:cs="Marigold"/>
          <w:i w:val="0"/>
          <w:color w:val="auto"/>
          <w:szCs w:val="24"/>
          <w:highlight w:val="none"/>
          <w:lang w:eastAsia="zh-CN"/>
        </w:rPr>
        <w:t>“开标一览表”投标报价应与“分项报价表”分项报价合计一致。</w:t>
      </w:r>
    </w:p>
    <w:p>
      <w:pPr>
        <w:spacing w:line="360" w:lineRule="auto"/>
        <w:ind w:firstLine="44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Cs w:val="24"/>
          <w:highlight w:val="none"/>
          <w:lang w:eastAsia="zh-CN"/>
        </w:rPr>
        <w:t>4．如投标文件中未对第1条做出明确承诺，视为默认。</w:t>
      </w:r>
    </w:p>
    <w:p>
      <w:pPr>
        <w:spacing w:line="360" w:lineRule="auto"/>
        <w:ind w:firstLine="840" w:firstLineChars="350"/>
        <w:rPr>
          <w:rFonts w:ascii="仿宋" w:hAnsi="仿宋" w:eastAsia="仿宋" w:cs="Marigold"/>
          <w:i w:val="0"/>
          <w:color w:val="auto"/>
          <w:sz w:val="24"/>
          <w:szCs w:val="24"/>
          <w:highlight w:val="none"/>
          <w:lang w:eastAsia="zh-CN"/>
        </w:rPr>
      </w:pPr>
    </w:p>
    <w:p>
      <w:pPr>
        <w:spacing w:line="360" w:lineRule="auto"/>
        <w:ind w:firstLine="840" w:firstLineChars="350"/>
        <w:rPr>
          <w:rFonts w:ascii="仿宋" w:hAnsi="仿宋" w:eastAsia="仿宋" w:cs="Marigold"/>
          <w:i w:val="0"/>
          <w:color w:val="auto"/>
          <w:sz w:val="24"/>
          <w:szCs w:val="24"/>
          <w:highlight w:val="none"/>
          <w:lang w:eastAsia="zh-CN"/>
        </w:rPr>
      </w:pPr>
    </w:p>
    <w:p>
      <w:pPr>
        <w:spacing w:after="120" w:line="360" w:lineRule="auto"/>
        <w:ind w:firstLine="424" w:firstLineChars="177"/>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投标人名称：（单位公章）</w:t>
      </w:r>
    </w:p>
    <w:p>
      <w:pPr>
        <w:adjustRightInd w:val="0"/>
        <w:spacing w:after="120" w:line="360" w:lineRule="auto"/>
        <w:ind w:firstLine="424" w:firstLineChars="177"/>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法定代表人或授权代表（签字或加盖个人名章）：</w:t>
      </w:r>
    </w:p>
    <w:p>
      <w:pPr>
        <w:ind w:firstLine="480" w:firstLineChars="200"/>
        <w:rPr>
          <w:i w:val="0"/>
          <w:color w:val="auto"/>
          <w:highlight w:val="none"/>
          <w:lang w:eastAsia="zh-CN"/>
        </w:rPr>
      </w:pPr>
      <w:r>
        <w:rPr>
          <w:rFonts w:hint="eastAsia" w:ascii="仿宋" w:hAnsi="仿宋" w:eastAsia="仿宋" w:cs="Marigold"/>
          <w:i w:val="0"/>
          <w:color w:val="auto"/>
          <w:sz w:val="24"/>
          <w:szCs w:val="24"/>
          <w:highlight w:val="none"/>
          <w:lang w:eastAsia="zh-CN"/>
        </w:rPr>
        <w:t>投标</w:t>
      </w:r>
      <w:r>
        <w:rPr>
          <w:rFonts w:hint="eastAsia" w:ascii="仿宋" w:hAnsi="仿宋" w:eastAsia="仿宋" w:cs="Marigold"/>
          <w:bCs/>
          <w:i w:val="0"/>
          <w:color w:val="auto"/>
          <w:sz w:val="24"/>
          <w:szCs w:val="24"/>
          <w:highlight w:val="none"/>
          <w:lang w:eastAsia="zh-CN"/>
        </w:rPr>
        <w:t>日期</w:t>
      </w:r>
      <w:r>
        <w:rPr>
          <w:rFonts w:ascii="仿宋" w:hAnsi="仿宋" w:eastAsia="仿宋" w:cs="Marigold"/>
          <w:bCs/>
          <w:i w:val="0"/>
          <w:color w:val="auto"/>
          <w:sz w:val="24"/>
          <w:szCs w:val="24"/>
          <w:highlight w:val="none"/>
          <w:lang w:eastAsia="zh-CN"/>
        </w:rPr>
        <w:t>:</w:t>
      </w:r>
      <w:r>
        <w:rPr>
          <w:rFonts w:hint="eastAsia" w:ascii="仿宋" w:hAnsi="仿宋" w:eastAsia="仿宋" w:cs="Marigold"/>
          <w:bCs/>
          <w:i w:val="0"/>
          <w:color w:val="auto"/>
          <w:sz w:val="24"/>
          <w:szCs w:val="24"/>
          <w:highlight w:val="none"/>
          <w:lang w:eastAsia="zh-CN"/>
        </w:rPr>
        <w:t xml:space="preserve">      年    月    日</w:t>
      </w:r>
    </w:p>
    <w:p>
      <w:pPr>
        <w:rPr>
          <w:rFonts w:ascii="Cambria" w:hAnsi="Cambria" w:eastAsia="仿宋" w:cs="黑体"/>
          <w:b/>
          <w:bCs/>
          <w:i w:val="0"/>
          <w:color w:val="auto"/>
          <w:sz w:val="28"/>
          <w:szCs w:val="32"/>
          <w:highlight w:val="none"/>
          <w:lang w:eastAsia="zh-CN"/>
        </w:rPr>
      </w:pPr>
      <w:r>
        <w:rPr>
          <w:i w:val="0"/>
          <w:color w:val="auto"/>
          <w:highlight w:val="none"/>
          <w:lang w:eastAsia="zh-CN"/>
        </w:rPr>
        <w:br w:type="page"/>
      </w:r>
    </w:p>
    <w:p>
      <w:pPr>
        <w:pStyle w:val="4"/>
        <w:jc w:val="left"/>
        <w:rPr>
          <w:i w:val="0"/>
          <w:color w:val="auto"/>
          <w:highlight w:val="none"/>
          <w:lang w:eastAsia="zh-CN"/>
        </w:rPr>
      </w:pPr>
      <w:bookmarkStart w:id="470" w:name="_Toc16229"/>
      <w:r>
        <w:rPr>
          <w:rFonts w:hint="eastAsia"/>
          <w:i w:val="0"/>
          <w:color w:val="auto"/>
          <w:highlight w:val="none"/>
          <w:lang w:eastAsia="zh-CN"/>
        </w:rPr>
        <w:t>三、分项报价表</w:t>
      </w:r>
      <w:bookmarkEnd w:id="470"/>
    </w:p>
    <w:p>
      <w:pPr>
        <w:spacing w:line="400" w:lineRule="exact"/>
        <w:jc w:val="center"/>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仅作参考，投标人可自行拟定格式</w:t>
      </w:r>
    </w:p>
    <w:tbl>
      <w:tblPr>
        <w:tblStyle w:val="24"/>
        <w:tblW w:w="8768" w:type="dxa"/>
        <w:tblInd w:w="93" w:type="dxa"/>
        <w:tblLayout w:type="fixed"/>
        <w:tblCellMar>
          <w:top w:w="0" w:type="dxa"/>
          <w:left w:w="108" w:type="dxa"/>
          <w:bottom w:w="0" w:type="dxa"/>
          <w:right w:w="108" w:type="dxa"/>
        </w:tblCellMar>
      </w:tblPr>
      <w:tblGrid>
        <w:gridCol w:w="820"/>
        <w:gridCol w:w="2702"/>
        <w:gridCol w:w="958"/>
        <w:gridCol w:w="1388"/>
        <w:gridCol w:w="1062"/>
        <w:gridCol w:w="950"/>
        <w:gridCol w:w="888"/>
      </w:tblGrid>
      <w:tr>
        <w:tblPrEx>
          <w:tblCellMar>
            <w:top w:w="0" w:type="dxa"/>
            <w:left w:w="108" w:type="dxa"/>
            <w:bottom w:w="0" w:type="dxa"/>
            <w:right w:w="108" w:type="dxa"/>
          </w:tblCellMar>
        </w:tblPrEx>
        <w:trPr>
          <w:trHeight w:val="960" w:hRule="atLeast"/>
        </w:trPr>
        <w:tc>
          <w:tcPr>
            <w:tcW w:w="8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r>
              <w:rPr>
                <w:rFonts w:ascii="仿宋" w:hAnsi="仿宋" w:eastAsia="仿宋"/>
                <w:bCs/>
                <w:i w:val="0"/>
                <w:color w:val="auto"/>
                <w:sz w:val="24"/>
                <w:highlight w:val="none"/>
              </w:rPr>
              <w:t>序号</w:t>
            </w:r>
          </w:p>
        </w:tc>
        <w:tc>
          <w:tcPr>
            <w:tcW w:w="270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r>
              <w:rPr>
                <w:rFonts w:hint="eastAsia" w:ascii="仿宋" w:hAnsi="仿宋" w:eastAsia="仿宋" w:cs="仿宋"/>
                <w:i w:val="0"/>
                <w:color w:val="auto"/>
                <w:sz w:val="24"/>
                <w:szCs w:val="24"/>
                <w:highlight w:val="none"/>
                <w:lang w:eastAsia="zh-CN"/>
              </w:rPr>
              <w:t>服务内容</w:t>
            </w:r>
          </w:p>
        </w:tc>
        <w:tc>
          <w:tcPr>
            <w:tcW w:w="9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bCs/>
                <w:i w:val="0"/>
                <w:color w:val="auto"/>
                <w:sz w:val="24"/>
                <w:highlight w:val="none"/>
                <w:lang w:val="en-US" w:eastAsia="zh-CN"/>
              </w:rPr>
            </w:pPr>
            <w:r>
              <w:rPr>
                <w:rFonts w:hint="eastAsia" w:ascii="仿宋" w:hAnsi="仿宋" w:eastAsia="仿宋"/>
                <w:bCs/>
                <w:i w:val="0"/>
                <w:color w:val="auto"/>
                <w:sz w:val="24"/>
                <w:highlight w:val="none"/>
                <w:lang w:val="en-US" w:eastAsia="zh-CN"/>
              </w:rPr>
              <w:t>折扣（%）</w:t>
            </w:r>
          </w:p>
        </w:tc>
        <w:tc>
          <w:tcPr>
            <w:tcW w:w="1388"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 w:hAnsi="仿宋" w:eastAsia="仿宋"/>
                <w:bCs/>
                <w:i w:val="0"/>
                <w:color w:val="auto"/>
                <w:sz w:val="24"/>
                <w:highlight w:val="none"/>
                <w:lang w:val="en-US" w:eastAsia="zh-CN"/>
              </w:rPr>
            </w:pPr>
            <w:r>
              <w:rPr>
                <w:rFonts w:hint="eastAsia" w:ascii="仿宋" w:hAnsi="仿宋" w:eastAsia="仿宋"/>
                <w:bCs/>
                <w:i w:val="0"/>
                <w:color w:val="auto"/>
                <w:sz w:val="24"/>
                <w:highlight w:val="none"/>
                <w:lang w:val="en-US" w:eastAsia="zh-CN"/>
              </w:rPr>
              <w:t>单价报价金额</w:t>
            </w:r>
          </w:p>
        </w:tc>
        <w:tc>
          <w:tcPr>
            <w:tcW w:w="1062"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 w:hAnsi="仿宋" w:eastAsia="仿宋"/>
                <w:bCs/>
                <w:i w:val="0"/>
                <w:color w:val="auto"/>
                <w:sz w:val="24"/>
                <w:highlight w:val="none"/>
                <w:lang w:val="en-US" w:eastAsia="zh-CN"/>
              </w:rPr>
            </w:pPr>
            <w:r>
              <w:rPr>
                <w:rFonts w:hint="eastAsia" w:ascii="仿宋" w:hAnsi="仿宋" w:eastAsia="仿宋"/>
                <w:bCs/>
                <w:i w:val="0"/>
                <w:color w:val="auto"/>
                <w:sz w:val="24"/>
                <w:highlight w:val="none"/>
                <w:lang w:val="en-US" w:eastAsia="zh-CN"/>
              </w:rPr>
              <w:t>数量</w:t>
            </w:r>
          </w:p>
        </w:tc>
        <w:tc>
          <w:tcPr>
            <w:tcW w:w="95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bCs/>
                <w:i w:val="0"/>
                <w:color w:val="auto"/>
                <w:sz w:val="24"/>
                <w:highlight w:val="none"/>
                <w:lang w:val="en-US" w:eastAsia="zh-CN"/>
              </w:rPr>
            </w:pPr>
            <w:r>
              <w:rPr>
                <w:rFonts w:hint="eastAsia" w:ascii="仿宋" w:hAnsi="仿宋" w:eastAsia="仿宋"/>
                <w:bCs/>
                <w:i w:val="0"/>
                <w:color w:val="auto"/>
                <w:sz w:val="24"/>
                <w:highlight w:val="none"/>
                <w:lang w:val="en-US" w:eastAsia="zh-CN"/>
              </w:rPr>
              <w:t>金额</w:t>
            </w:r>
          </w:p>
        </w:tc>
        <w:tc>
          <w:tcPr>
            <w:tcW w:w="88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bCs/>
                <w:i w:val="0"/>
                <w:color w:val="auto"/>
                <w:sz w:val="24"/>
                <w:highlight w:val="none"/>
                <w:lang w:val="en-US" w:eastAsia="zh-CN"/>
              </w:rPr>
            </w:pPr>
            <w:r>
              <w:rPr>
                <w:rFonts w:hint="eastAsia" w:ascii="仿宋" w:hAnsi="仿宋" w:eastAsia="仿宋"/>
                <w:bCs/>
                <w:i w:val="0"/>
                <w:color w:val="auto"/>
                <w:sz w:val="24"/>
                <w:highlight w:val="none"/>
                <w:lang w:val="en-US" w:eastAsia="zh-CN"/>
              </w:rPr>
              <w:t>备注</w:t>
            </w:r>
          </w:p>
        </w:tc>
      </w:tr>
      <w:tr>
        <w:tblPrEx>
          <w:tblCellMar>
            <w:top w:w="0" w:type="dxa"/>
            <w:left w:w="108" w:type="dxa"/>
            <w:bottom w:w="0" w:type="dxa"/>
            <w:right w:w="108" w:type="dxa"/>
          </w:tblCellMar>
        </w:tblPrEx>
        <w:trPr>
          <w:trHeight w:val="597" w:hRule="atLeast"/>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r>
              <w:rPr>
                <w:rFonts w:ascii="仿宋" w:hAnsi="仿宋" w:eastAsia="仿宋"/>
                <w:bCs/>
                <w:i w:val="0"/>
                <w:color w:val="auto"/>
                <w:sz w:val="24"/>
                <w:highlight w:val="none"/>
              </w:rPr>
              <w:t>1</w:t>
            </w:r>
          </w:p>
        </w:tc>
        <w:tc>
          <w:tcPr>
            <w:tcW w:w="2702" w:type="dxa"/>
            <w:tcBorders>
              <w:top w:val="nil"/>
              <w:left w:val="nil"/>
              <w:bottom w:val="single" w:color="auto" w:sz="4" w:space="0"/>
              <w:right w:val="single" w:color="auto" w:sz="4" w:space="0"/>
            </w:tcBorders>
            <w:vAlign w:val="center"/>
          </w:tcPr>
          <w:p>
            <w:pPr>
              <w:spacing w:line="360" w:lineRule="auto"/>
              <w:jc w:val="both"/>
              <w:rPr>
                <w:rFonts w:ascii="仿宋" w:hAnsi="仿宋" w:eastAsia="仿宋"/>
                <w:bCs/>
                <w:i w:val="0"/>
                <w:color w:val="auto"/>
                <w:sz w:val="24"/>
                <w:highlight w:val="none"/>
              </w:rPr>
            </w:pPr>
            <w:r>
              <w:rPr>
                <w:rFonts w:hint="eastAsia" w:ascii="仿宋" w:hAnsi="仿宋" w:eastAsia="仿宋" w:cs="仿宋"/>
                <w:i w:val="0"/>
                <w:color w:val="auto"/>
                <w:sz w:val="24"/>
                <w:szCs w:val="24"/>
                <w:highlight w:val="none"/>
                <w:lang w:eastAsia="zh-CN"/>
              </w:rPr>
              <w:t>清扫保洁</w:t>
            </w:r>
            <w:r>
              <w:rPr>
                <w:rFonts w:hint="eastAsia" w:ascii="仿宋" w:hAnsi="仿宋" w:eastAsia="仿宋"/>
                <w:i w:val="0"/>
                <w:color w:val="auto"/>
                <w:sz w:val="24"/>
                <w:highlight w:val="none"/>
                <w:lang w:eastAsia="zh-CN"/>
              </w:rPr>
              <w:t>服务</w:t>
            </w:r>
          </w:p>
        </w:tc>
        <w:tc>
          <w:tcPr>
            <w:tcW w:w="95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c>
          <w:tcPr>
            <w:tcW w:w="138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c>
          <w:tcPr>
            <w:tcW w:w="106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c>
          <w:tcPr>
            <w:tcW w:w="950"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c>
          <w:tcPr>
            <w:tcW w:w="88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r>
      <w:tr>
        <w:tblPrEx>
          <w:tblCellMar>
            <w:top w:w="0" w:type="dxa"/>
            <w:left w:w="108" w:type="dxa"/>
            <w:bottom w:w="0" w:type="dxa"/>
            <w:right w:w="108" w:type="dxa"/>
          </w:tblCellMar>
        </w:tblPrEx>
        <w:trPr>
          <w:trHeight w:val="691" w:hRule="atLeast"/>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r>
              <w:rPr>
                <w:rFonts w:ascii="仿宋" w:hAnsi="仿宋" w:eastAsia="仿宋"/>
                <w:bCs/>
                <w:i w:val="0"/>
                <w:color w:val="auto"/>
                <w:sz w:val="24"/>
                <w:highlight w:val="none"/>
              </w:rPr>
              <w:t>2</w:t>
            </w:r>
          </w:p>
        </w:tc>
        <w:tc>
          <w:tcPr>
            <w:tcW w:w="2702" w:type="dxa"/>
            <w:tcBorders>
              <w:top w:val="nil"/>
              <w:left w:val="nil"/>
              <w:bottom w:val="single" w:color="auto" w:sz="4" w:space="0"/>
              <w:right w:val="single" w:color="auto" w:sz="4" w:space="0"/>
            </w:tcBorders>
            <w:vAlign w:val="center"/>
          </w:tcPr>
          <w:p>
            <w:pPr>
              <w:spacing w:line="360" w:lineRule="auto"/>
              <w:jc w:val="both"/>
              <w:rPr>
                <w:rFonts w:ascii="仿宋" w:hAnsi="仿宋" w:eastAsia="仿宋"/>
                <w:bCs/>
                <w:i w:val="0"/>
                <w:color w:val="auto"/>
                <w:sz w:val="24"/>
                <w:highlight w:val="none"/>
              </w:rPr>
            </w:pPr>
            <w:r>
              <w:rPr>
                <w:rFonts w:hint="eastAsia" w:ascii="仿宋" w:hAnsi="仿宋" w:eastAsia="仿宋" w:cs="仿宋"/>
                <w:i w:val="0"/>
                <w:color w:val="auto"/>
                <w:sz w:val="24"/>
                <w:szCs w:val="24"/>
                <w:highlight w:val="none"/>
                <w:lang w:eastAsia="zh-CN"/>
              </w:rPr>
              <w:t>生活垃圾收运服务</w:t>
            </w:r>
          </w:p>
        </w:tc>
        <w:tc>
          <w:tcPr>
            <w:tcW w:w="95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c>
          <w:tcPr>
            <w:tcW w:w="138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c>
          <w:tcPr>
            <w:tcW w:w="106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c>
          <w:tcPr>
            <w:tcW w:w="950"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c>
          <w:tcPr>
            <w:tcW w:w="88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r>
      <w:tr>
        <w:tblPrEx>
          <w:tblCellMar>
            <w:top w:w="0" w:type="dxa"/>
            <w:left w:w="108" w:type="dxa"/>
            <w:bottom w:w="0" w:type="dxa"/>
            <w:right w:w="108" w:type="dxa"/>
          </w:tblCellMar>
        </w:tblPrEx>
        <w:trPr>
          <w:trHeight w:val="691" w:hRule="atLeast"/>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r>
              <w:rPr>
                <w:rFonts w:ascii="仿宋" w:hAnsi="仿宋" w:eastAsia="仿宋"/>
                <w:bCs/>
                <w:i w:val="0"/>
                <w:color w:val="auto"/>
                <w:sz w:val="24"/>
                <w:highlight w:val="none"/>
              </w:rPr>
              <w:t>3</w:t>
            </w:r>
          </w:p>
        </w:tc>
        <w:tc>
          <w:tcPr>
            <w:tcW w:w="2702" w:type="dxa"/>
            <w:tcBorders>
              <w:top w:val="nil"/>
              <w:left w:val="nil"/>
              <w:bottom w:val="single" w:color="auto" w:sz="4" w:space="0"/>
              <w:right w:val="single" w:color="auto" w:sz="4" w:space="0"/>
            </w:tcBorders>
            <w:vAlign w:val="center"/>
          </w:tcPr>
          <w:p>
            <w:pPr>
              <w:spacing w:line="360" w:lineRule="auto"/>
              <w:jc w:val="both"/>
              <w:rPr>
                <w:rFonts w:ascii="仿宋" w:hAnsi="仿宋" w:eastAsia="仿宋"/>
                <w:bCs/>
                <w:i w:val="0"/>
                <w:color w:val="auto"/>
                <w:sz w:val="24"/>
                <w:highlight w:val="none"/>
              </w:rPr>
            </w:pPr>
            <w:r>
              <w:rPr>
                <w:rFonts w:hint="eastAsia" w:ascii="仿宋" w:hAnsi="仿宋" w:eastAsia="仿宋" w:cs="仿宋"/>
                <w:i w:val="0"/>
                <w:color w:val="auto"/>
                <w:sz w:val="24"/>
                <w:szCs w:val="24"/>
                <w:highlight w:val="none"/>
                <w:lang w:eastAsia="zh-CN"/>
              </w:rPr>
              <w:t>地埋式收集站管理服务</w:t>
            </w:r>
          </w:p>
        </w:tc>
        <w:tc>
          <w:tcPr>
            <w:tcW w:w="95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c>
          <w:tcPr>
            <w:tcW w:w="138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c>
          <w:tcPr>
            <w:tcW w:w="106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c>
          <w:tcPr>
            <w:tcW w:w="950"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c>
          <w:tcPr>
            <w:tcW w:w="88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r>
      <w:tr>
        <w:tblPrEx>
          <w:tblCellMar>
            <w:top w:w="0" w:type="dxa"/>
            <w:left w:w="108" w:type="dxa"/>
            <w:bottom w:w="0" w:type="dxa"/>
            <w:right w:w="108" w:type="dxa"/>
          </w:tblCellMar>
        </w:tblPrEx>
        <w:trPr>
          <w:trHeight w:val="691" w:hRule="atLeast"/>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bCs/>
                <w:i w:val="0"/>
                <w:iCs/>
                <w:color w:val="auto"/>
                <w:kern w:val="2"/>
                <w:sz w:val="24"/>
                <w:szCs w:val="22"/>
                <w:highlight w:val="none"/>
                <w:lang w:val="en-US" w:eastAsia="zh-CN" w:bidi="en-US"/>
              </w:rPr>
            </w:pPr>
            <w:r>
              <w:rPr>
                <w:rFonts w:hint="eastAsia" w:ascii="仿宋" w:hAnsi="仿宋" w:eastAsia="仿宋"/>
                <w:bCs/>
                <w:i w:val="0"/>
                <w:color w:val="auto"/>
                <w:sz w:val="24"/>
                <w:highlight w:val="none"/>
                <w:lang w:val="en-US" w:eastAsia="zh-CN"/>
              </w:rPr>
              <w:t>4</w:t>
            </w:r>
          </w:p>
        </w:tc>
        <w:tc>
          <w:tcPr>
            <w:tcW w:w="2702" w:type="dxa"/>
            <w:tcBorders>
              <w:top w:val="nil"/>
              <w:left w:val="nil"/>
              <w:bottom w:val="single" w:color="auto" w:sz="4" w:space="0"/>
              <w:right w:val="single" w:color="auto" w:sz="4" w:space="0"/>
            </w:tcBorders>
            <w:vAlign w:val="center"/>
          </w:tcPr>
          <w:p>
            <w:pPr>
              <w:spacing w:line="360" w:lineRule="auto"/>
              <w:jc w:val="both"/>
              <w:rPr>
                <w:rFonts w:hint="eastAsia" w:ascii="仿宋" w:hAnsi="仿宋" w:eastAsia="仿宋" w:cs="Times New Roman"/>
                <w:bCs/>
                <w:i w:val="0"/>
                <w:iCs/>
                <w:color w:val="auto"/>
                <w:kern w:val="2"/>
                <w:sz w:val="24"/>
                <w:szCs w:val="22"/>
                <w:highlight w:val="none"/>
                <w:lang w:val="en-US" w:eastAsia="zh-CN" w:bidi="en-US"/>
              </w:rPr>
            </w:pPr>
            <w:r>
              <w:rPr>
                <w:rFonts w:hint="eastAsia" w:ascii="仿宋" w:hAnsi="仿宋" w:eastAsia="仿宋" w:cs="仿宋"/>
                <w:i w:val="0"/>
                <w:color w:val="auto"/>
                <w:sz w:val="24"/>
                <w:szCs w:val="24"/>
                <w:highlight w:val="none"/>
                <w:lang w:eastAsia="zh-CN"/>
              </w:rPr>
              <w:t>公厕管护服务</w:t>
            </w:r>
          </w:p>
        </w:tc>
        <w:tc>
          <w:tcPr>
            <w:tcW w:w="95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c>
          <w:tcPr>
            <w:tcW w:w="138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c>
          <w:tcPr>
            <w:tcW w:w="106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c>
          <w:tcPr>
            <w:tcW w:w="950"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c>
          <w:tcPr>
            <w:tcW w:w="88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Cs/>
                <w:i w:val="0"/>
                <w:color w:val="auto"/>
                <w:sz w:val="24"/>
                <w:highlight w:val="none"/>
              </w:rPr>
            </w:pPr>
          </w:p>
        </w:tc>
      </w:tr>
      <w:tr>
        <w:tblPrEx>
          <w:tblCellMar>
            <w:top w:w="0" w:type="dxa"/>
            <w:left w:w="108" w:type="dxa"/>
            <w:bottom w:w="0" w:type="dxa"/>
            <w:right w:w="108" w:type="dxa"/>
          </w:tblCellMar>
        </w:tblPrEx>
        <w:trPr>
          <w:trHeight w:val="691" w:hRule="atLeast"/>
        </w:trPr>
        <w:tc>
          <w:tcPr>
            <w:tcW w:w="8768" w:type="dxa"/>
            <w:gridSpan w:val="7"/>
            <w:tcBorders>
              <w:top w:val="nil"/>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bCs/>
                <w:i w:val="0"/>
                <w:color w:val="auto"/>
                <w:sz w:val="24"/>
                <w:highlight w:val="none"/>
                <w:lang w:val="en-US" w:eastAsia="zh-CN"/>
              </w:rPr>
            </w:pPr>
            <w:r>
              <w:rPr>
                <w:rFonts w:hint="eastAsia" w:ascii="仿宋" w:hAnsi="仿宋" w:eastAsia="仿宋"/>
                <w:bCs/>
                <w:i w:val="0"/>
                <w:color w:val="auto"/>
                <w:sz w:val="24"/>
                <w:highlight w:val="none"/>
                <w:lang w:val="en-US" w:eastAsia="zh-CN"/>
              </w:rPr>
              <w:t>合计金额：</w:t>
            </w:r>
          </w:p>
        </w:tc>
      </w:tr>
    </w:tbl>
    <w:p>
      <w:pPr>
        <w:spacing w:line="400" w:lineRule="exact"/>
        <w:rPr>
          <w:rFonts w:ascii="仿宋" w:hAnsi="仿宋" w:eastAsia="仿宋"/>
          <w:i w:val="0"/>
          <w:color w:val="auto"/>
          <w:sz w:val="24"/>
          <w:highlight w:val="none"/>
          <w:lang w:eastAsia="zh-CN"/>
        </w:rPr>
      </w:pP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textAlignment w:val="auto"/>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注：1、 报价应是最终用户验收合格后的总价，包括但不限于</w:t>
      </w:r>
      <w:r>
        <w:rPr>
          <w:rFonts w:hint="eastAsia" w:ascii="仿宋" w:hAnsi="仿宋" w:eastAsia="仿宋"/>
          <w:i w:val="0"/>
          <w:color w:val="auto"/>
          <w:sz w:val="24"/>
          <w:highlight w:val="none"/>
          <w:lang w:val="en-US" w:eastAsia="zh-CN"/>
        </w:rPr>
        <w:t>车辆费用</w:t>
      </w:r>
      <w:r>
        <w:rPr>
          <w:rFonts w:hint="eastAsia" w:ascii="仿宋" w:hAnsi="仿宋" w:eastAsia="仿宋"/>
          <w:i w:val="0"/>
          <w:color w:val="auto"/>
          <w:sz w:val="24"/>
          <w:highlight w:val="none"/>
          <w:lang w:eastAsia="zh-CN"/>
        </w:rPr>
        <w:t>、保险、代理、培训、材料损耗和设备折旧成本、投入项目人员的工资、福利、社保等人工成本，税金及附加、销售费用、管理费用、财务费用等多种构成因素、采购文件规定的其它一切费用。</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textAlignment w:val="auto"/>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2、“分项报价表”各分项报价合计应当与“开标一览表”报价合计相等。</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textAlignment w:val="auto"/>
        <w:rPr>
          <w:rFonts w:ascii="仿宋" w:hAnsi="仿宋" w:eastAsia="仿宋"/>
          <w:i w:val="0"/>
          <w:iCs w:val="0"/>
          <w:color w:val="auto"/>
          <w:sz w:val="28"/>
          <w:szCs w:val="28"/>
          <w:highlight w:val="none"/>
          <w:lang w:eastAsia="zh-CN"/>
        </w:rPr>
      </w:pPr>
      <w:r>
        <w:rPr>
          <w:rFonts w:hint="eastAsia" w:ascii="仿宋" w:hAnsi="仿宋" w:eastAsia="仿宋"/>
          <w:i w:val="0"/>
          <w:color w:val="auto"/>
          <w:sz w:val="24"/>
          <w:highlight w:val="none"/>
          <w:lang w:eastAsia="zh-CN"/>
        </w:rPr>
        <w:t>3、“分项报价表”为多页的，每页均需由法定代表人或授权代表签字或加盖个人名章并盖投标人公章。</w:t>
      </w:r>
    </w:p>
    <w:p>
      <w:pPr>
        <w:spacing w:line="400" w:lineRule="exact"/>
        <w:rPr>
          <w:rFonts w:ascii="仿宋" w:hAnsi="仿宋" w:eastAsia="仿宋"/>
          <w:i w:val="0"/>
          <w:color w:val="auto"/>
          <w:sz w:val="24"/>
          <w:highlight w:val="none"/>
          <w:lang w:eastAsia="zh-CN"/>
        </w:rPr>
      </w:pPr>
    </w:p>
    <w:p>
      <w:pPr>
        <w:adjustRightInd w:val="0"/>
        <w:spacing w:line="360" w:lineRule="auto"/>
        <w:rPr>
          <w:rFonts w:ascii="仿宋" w:hAnsi="仿宋" w:eastAsia="仿宋"/>
          <w:i w:val="0"/>
          <w:color w:val="auto"/>
          <w:sz w:val="36"/>
          <w:highlight w:val="none"/>
          <w:lang w:eastAsia="zh-CN" w:bidi="ar-SA"/>
        </w:rPr>
      </w:pPr>
    </w:p>
    <w:p>
      <w:pPr>
        <w:adjustRightInd w:val="0"/>
        <w:spacing w:line="360" w:lineRule="auto"/>
        <w:rPr>
          <w:rFonts w:ascii="仿宋" w:hAnsi="仿宋" w:eastAsia="仿宋"/>
          <w:i w:val="0"/>
          <w:color w:val="auto"/>
          <w:sz w:val="24"/>
          <w:highlight w:val="none"/>
          <w:lang w:eastAsia="zh-CN" w:bidi="ar-SA"/>
        </w:rPr>
      </w:pPr>
      <w:r>
        <w:rPr>
          <w:rFonts w:hint="eastAsia" w:ascii="仿宋" w:hAnsi="仿宋" w:eastAsia="仿宋"/>
          <w:i w:val="0"/>
          <w:color w:val="auto"/>
          <w:sz w:val="24"/>
          <w:highlight w:val="none"/>
          <w:lang w:eastAsia="zh-CN" w:bidi="ar-SA"/>
        </w:rPr>
        <w:t>投标人名称：（单位公章）</w:t>
      </w:r>
    </w:p>
    <w:p>
      <w:pPr>
        <w:adjustRightInd w:val="0"/>
        <w:spacing w:line="360" w:lineRule="auto"/>
        <w:rPr>
          <w:rFonts w:ascii="仿宋" w:hAnsi="仿宋" w:eastAsia="仿宋"/>
          <w:i w:val="0"/>
          <w:color w:val="auto"/>
          <w:sz w:val="24"/>
          <w:highlight w:val="none"/>
          <w:lang w:eastAsia="zh-CN" w:bidi="ar-SA"/>
        </w:rPr>
      </w:pPr>
      <w:r>
        <w:rPr>
          <w:rFonts w:hint="eastAsia" w:ascii="仿宋" w:hAnsi="仿宋" w:eastAsia="仿宋"/>
          <w:i w:val="0"/>
          <w:color w:val="auto"/>
          <w:sz w:val="24"/>
          <w:highlight w:val="none"/>
          <w:lang w:eastAsia="zh-CN" w:bidi="ar-SA"/>
        </w:rPr>
        <w:t>法定代表人或授权代表（签字或加盖个人名章）：</w:t>
      </w:r>
    </w:p>
    <w:p>
      <w:pPr>
        <w:spacing w:line="360" w:lineRule="auto"/>
        <w:rPr>
          <w:rFonts w:ascii="仿宋" w:hAnsi="仿宋" w:eastAsia="仿宋"/>
          <w:bCs/>
          <w:i w:val="0"/>
          <w:color w:val="auto"/>
          <w:sz w:val="24"/>
          <w:highlight w:val="none"/>
          <w:lang w:eastAsia="zh-CN" w:bidi="ar-SA"/>
        </w:rPr>
      </w:pPr>
      <w:r>
        <w:rPr>
          <w:rFonts w:hint="eastAsia" w:ascii="仿宋" w:hAnsi="仿宋" w:eastAsia="仿宋"/>
          <w:i w:val="0"/>
          <w:color w:val="auto"/>
          <w:sz w:val="24"/>
          <w:highlight w:val="none"/>
          <w:lang w:eastAsia="zh-CN" w:bidi="ar-SA"/>
        </w:rPr>
        <w:t>投标</w:t>
      </w:r>
      <w:r>
        <w:rPr>
          <w:rFonts w:hint="eastAsia" w:ascii="仿宋" w:hAnsi="仿宋" w:eastAsia="仿宋"/>
          <w:bCs/>
          <w:i w:val="0"/>
          <w:color w:val="auto"/>
          <w:sz w:val="24"/>
          <w:highlight w:val="none"/>
          <w:lang w:eastAsia="zh-CN" w:bidi="ar-SA"/>
        </w:rPr>
        <w:t>日期</w:t>
      </w:r>
      <w:r>
        <w:rPr>
          <w:rFonts w:ascii="仿宋" w:hAnsi="仿宋" w:eastAsia="仿宋"/>
          <w:bCs/>
          <w:i w:val="0"/>
          <w:color w:val="auto"/>
          <w:sz w:val="24"/>
          <w:highlight w:val="none"/>
          <w:lang w:eastAsia="zh-CN" w:bidi="ar-SA"/>
        </w:rPr>
        <w:t>:</w:t>
      </w:r>
      <w:r>
        <w:rPr>
          <w:rFonts w:hint="eastAsia" w:ascii="仿宋" w:hAnsi="仿宋" w:eastAsia="仿宋"/>
          <w:bCs/>
          <w:i w:val="0"/>
          <w:color w:val="auto"/>
          <w:sz w:val="24"/>
          <w:highlight w:val="none"/>
          <w:lang w:eastAsia="zh-CN" w:bidi="ar-SA"/>
        </w:rPr>
        <w:t xml:space="preserve">      年    月   日</w:t>
      </w:r>
    </w:p>
    <w:p>
      <w:pPr>
        <w:rPr>
          <w:rFonts w:ascii="Cambria" w:hAnsi="Cambria" w:eastAsia="仿宋" w:cs="黑体"/>
          <w:b/>
          <w:bCs/>
          <w:i w:val="0"/>
          <w:color w:val="auto"/>
          <w:sz w:val="28"/>
          <w:szCs w:val="32"/>
          <w:highlight w:val="none"/>
          <w:lang w:eastAsia="zh-CN"/>
        </w:rPr>
      </w:pPr>
      <w:bookmarkStart w:id="471" w:name="_Toc524910131"/>
      <w:bookmarkStart w:id="472" w:name="_Toc505762766"/>
      <w:bookmarkStart w:id="473" w:name="_Toc468346403"/>
      <w:bookmarkStart w:id="474" w:name="_Toc497752266"/>
      <w:bookmarkStart w:id="475" w:name="_Toc468331112"/>
      <w:bookmarkStart w:id="476" w:name="_Toc511558673"/>
      <w:bookmarkStart w:id="477" w:name="_Toc38274202"/>
    </w:p>
    <w:p>
      <w:pPr>
        <w:rPr>
          <w:rFonts w:ascii="Cambria" w:hAnsi="Cambria" w:eastAsia="仿宋" w:cs="黑体"/>
          <w:b/>
          <w:bCs/>
          <w:i w:val="0"/>
          <w:color w:val="auto"/>
          <w:sz w:val="28"/>
          <w:szCs w:val="32"/>
          <w:highlight w:val="none"/>
          <w:lang w:eastAsia="zh-CN"/>
        </w:rPr>
      </w:pPr>
      <w:r>
        <w:rPr>
          <w:i w:val="0"/>
          <w:color w:val="auto"/>
          <w:highlight w:val="none"/>
          <w:lang w:eastAsia="zh-CN"/>
        </w:rPr>
        <w:br w:type="page"/>
      </w:r>
    </w:p>
    <w:p>
      <w:pPr>
        <w:pStyle w:val="4"/>
        <w:jc w:val="left"/>
        <w:rPr>
          <w:rFonts w:ascii="仿宋" w:hAnsi="仿宋"/>
          <w:i w:val="0"/>
          <w:color w:val="auto"/>
          <w:sz w:val="24"/>
          <w:highlight w:val="none"/>
          <w:lang w:eastAsia="zh-CN" w:bidi="ar-SA"/>
        </w:rPr>
      </w:pPr>
      <w:bookmarkStart w:id="478" w:name="_Toc4124"/>
      <w:r>
        <w:rPr>
          <w:rFonts w:hint="eastAsia"/>
          <w:i w:val="0"/>
          <w:color w:val="auto"/>
          <w:highlight w:val="none"/>
          <w:lang w:eastAsia="zh-CN"/>
        </w:rPr>
        <w:t>四、商务应答</w:t>
      </w:r>
      <w:bookmarkEnd w:id="471"/>
      <w:bookmarkEnd w:id="472"/>
      <w:bookmarkEnd w:id="473"/>
      <w:bookmarkEnd w:id="474"/>
      <w:bookmarkEnd w:id="475"/>
      <w:bookmarkEnd w:id="476"/>
      <w:bookmarkEnd w:id="477"/>
      <w:bookmarkEnd w:id="478"/>
    </w:p>
    <w:p>
      <w:pPr>
        <w:jc w:val="center"/>
        <w:rPr>
          <w:rFonts w:ascii="仿宋" w:hAnsi="仿宋" w:eastAsia="仿宋"/>
          <w:b/>
          <w:i w:val="0"/>
          <w:color w:val="auto"/>
          <w:sz w:val="28"/>
          <w:szCs w:val="28"/>
          <w:highlight w:val="none"/>
          <w:lang w:val="zh-CN" w:eastAsia="zh-CN" w:bidi="ar-SA"/>
        </w:rPr>
      </w:pPr>
      <w:r>
        <w:rPr>
          <w:rFonts w:hint="eastAsia" w:ascii="仿宋" w:hAnsi="仿宋" w:eastAsia="仿宋"/>
          <w:b/>
          <w:i w:val="0"/>
          <w:color w:val="auto"/>
          <w:sz w:val="28"/>
          <w:szCs w:val="28"/>
          <w:highlight w:val="none"/>
          <w:lang w:val="zh-CN" w:eastAsia="zh-CN" w:bidi="ar-SA"/>
        </w:rPr>
        <w:t>商务应答表</w:t>
      </w:r>
    </w:p>
    <w:tbl>
      <w:tblPr>
        <w:tblStyle w:val="24"/>
        <w:tblW w:w="8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914"/>
        <w:gridCol w:w="2771"/>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7" w:type="dxa"/>
            <w:vAlign w:val="center"/>
          </w:tcPr>
          <w:p>
            <w:pPr>
              <w:spacing w:after="156" w:line="360" w:lineRule="auto"/>
              <w:jc w:val="center"/>
              <w:rPr>
                <w:rFonts w:ascii="仿宋" w:hAnsi="仿宋" w:eastAsia="仿宋" w:cs="Marigold"/>
                <w:b/>
                <w:i w:val="0"/>
                <w:color w:val="auto"/>
                <w:sz w:val="24"/>
                <w:szCs w:val="24"/>
                <w:highlight w:val="none"/>
                <w:lang w:eastAsia="zh-CN"/>
              </w:rPr>
            </w:pPr>
            <w:r>
              <w:rPr>
                <w:rFonts w:hint="eastAsia" w:ascii="仿宋" w:hAnsi="仿宋" w:eastAsia="仿宋" w:cs="Marigold"/>
                <w:b/>
                <w:i w:val="0"/>
                <w:color w:val="auto"/>
                <w:sz w:val="24"/>
                <w:szCs w:val="24"/>
                <w:highlight w:val="none"/>
                <w:lang w:eastAsia="zh-CN"/>
              </w:rPr>
              <w:t>序号</w:t>
            </w:r>
          </w:p>
        </w:tc>
        <w:tc>
          <w:tcPr>
            <w:tcW w:w="2914" w:type="dxa"/>
            <w:vAlign w:val="center"/>
          </w:tcPr>
          <w:p>
            <w:pPr>
              <w:spacing w:after="156" w:line="360" w:lineRule="auto"/>
              <w:jc w:val="center"/>
              <w:rPr>
                <w:rFonts w:ascii="仿宋" w:hAnsi="仿宋" w:eastAsia="仿宋" w:cs="Marigold"/>
                <w:b/>
                <w:i w:val="0"/>
                <w:color w:val="auto"/>
                <w:sz w:val="24"/>
                <w:szCs w:val="24"/>
                <w:highlight w:val="none"/>
              </w:rPr>
            </w:pPr>
            <w:r>
              <w:rPr>
                <w:rFonts w:hint="eastAsia" w:ascii="仿宋" w:hAnsi="仿宋" w:eastAsia="仿宋" w:cs="Marigold"/>
                <w:b/>
                <w:i w:val="0"/>
                <w:color w:val="auto"/>
                <w:sz w:val="24"/>
                <w:szCs w:val="24"/>
                <w:highlight w:val="none"/>
              </w:rPr>
              <w:t>招标</w:t>
            </w:r>
            <w:r>
              <w:rPr>
                <w:rFonts w:ascii="仿宋" w:hAnsi="仿宋" w:eastAsia="仿宋" w:cs="Marigold"/>
                <w:b/>
                <w:i w:val="0"/>
                <w:color w:val="auto"/>
                <w:sz w:val="24"/>
                <w:szCs w:val="24"/>
                <w:highlight w:val="none"/>
              </w:rPr>
              <w:t>要求</w:t>
            </w:r>
          </w:p>
        </w:tc>
        <w:tc>
          <w:tcPr>
            <w:tcW w:w="2771" w:type="dxa"/>
            <w:vAlign w:val="center"/>
          </w:tcPr>
          <w:p>
            <w:pPr>
              <w:spacing w:after="156" w:line="360" w:lineRule="auto"/>
              <w:jc w:val="center"/>
              <w:rPr>
                <w:rFonts w:ascii="仿宋" w:hAnsi="仿宋" w:eastAsia="仿宋" w:cs="Marigold"/>
                <w:b/>
                <w:i w:val="0"/>
                <w:color w:val="auto"/>
                <w:sz w:val="24"/>
                <w:szCs w:val="24"/>
                <w:highlight w:val="none"/>
              </w:rPr>
            </w:pPr>
            <w:r>
              <w:rPr>
                <w:rFonts w:hint="eastAsia" w:ascii="仿宋" w:hAnsi="仿宋" w:eastAsia="仿宋" w:cs="Marigold"/>
                <w:b/>
                <w:i w:val="0"/>
                <w:color w:val="auto"/>
                <w:sz w:val="24"/>
                <w:szCs w:val="24"/>
                <w:highlight w:val="none"/>
              </w:rPr>
              <w:t>投标</w:t>
            </w:r>
            <w:r>
              <w:rPr>
                <w:rFonts w:ascii="仿宋" w:hAnsi="仿宋" w:eastAsia="仿宋" w:cs="Marigold"/>
                <w:b/>
                <w:i w:val="0"/>
                <w:color w:val="auto"/>
                <w:sz w:val="24"/>
                <w:szCs w:val="24"/>
                <w:highlight w:val="none"/>
              </w:rPr>
              <w:t>应</w:t>
            </w:r>
            <w:r>
              <w:rPr>
                <w:rFonts w:hint="eastAsia" w:ascii="仿宋" w:hAnsi="仿宋" w:eastAsia="仿宋" w:cs="Marigold"/>
                <w:b/>
                <w:i w:val="0"/>
                <w:color w:val="auto"/>
                <w:sz w:val="24"/>
                <w:szCs w:val="24"/>
                <w:highlight w:val="none"/>
              </w:rPr>
              <w:t>答</w:t>
            </w:r>
          </w:p>
        </w:tc>
        <w:tc>
          <w:tcPr>
            <w:tcW w:w="1831" w:type="dxa"/>
            <w:vAlign w:val="center"/>
          </w:tcPr>
          <w:p>
            <w:pPr>
              <w:spacing w:after="156" w:line="360" w:lineRule="auto"/>
              <w:jc w:val="center"/>
              <w:rPr>
                <w:rFonts w:ascii="仿宋" w:hAnsi="仿宋" w:eastAsia="仿宋" w:cs="Marigold"/>
                <w:b/>
                <w:i w:val="0"/>
                <w:color w:val="auto"/>
                <w:sz w:val="24"/>
                <w:szCs w:val="24"/>
                <w:highlight w:val="none"/>
              </w:rPr>
            </w:pPr>
            <w:r>
              <w:rPr>
                <w:rFonts w:hint="eastAsia" w:ascii="仿宋" w:hAnsi="仿宋" w:eastAsia="仿宋" w:cs="Marigold"/>
                <w:b/>
                <w:i w:val="0"/>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7" w:type="dxa"/>
          </w:tcPr>
          <w:p>
            <w:pPr>
              <w:spacing w:after="156" w:line="360" w:lineRule="auto"/>
              <w:rPr>
                <w:rFonts w:ascii="仿宋" w:hAnsi="仿宋" w:eastAsia="仿宋" w:cs="Marigold"/>
                <w:i w:val="0"/>
                <w:color w:val="auto"/>
                <w:sz w:val="24"/>
                <w:szCs w:val="24"/>
                <w:highlight w:val="none"/>
              </w:rPr>
            </w:pPr>
          </w:p>
        </w:tc>
        <w:tc>
          <w:tcPr>
            <w:tcW w:w="2914" w:type="dxa"/>
          </w:tcPr>
          <w:p>
            <w:pPr>
              <w:spacing w:after="156" w:line="360" w:lineRule="auto"/>
              <w:rPr>
                <w:rFonts w:ascii="仿宋" w:hAnsi="仿宋" w:eastAsia="仿宋" w:cs="Marigold"/>
                <w:i w:val="0"/>
                <w:color w:val="auto"/>
                <w:sz w:val="24"/>
                <w:szCs w:val="24"/>
                <w:highlight w:val="none"/>
              </w:rPr>
            </w:pPr>
          </w:p>
        </w:tc>
        <w:tc>
          <w:tcPr>
            <w:tcW w:w="2771" w:type="dxa"/>
          </w:tcPr>
          <w:p>
            <w:pPr>
              <w:spacing w:after="156" w:line="360" w:lineRule="auto"/>
              <w:rPr>
                <w:rFonts w:ascii="仿宋" w:hAnsi="仿宋" w:eastAsia="仿宋" w:cs="Marigold"/>
                <w:i w:val="0"/>
                <w:color w:val="auto"/>
                <w:sz w:val="24"/>
                <w:szCs w:val="24"/>
                <w:highlight w:val="none"/>
              </w:rPr>
            </w:pPr>
          </w:p>
        </w:tc>
        <w:tc>
          <w:tcPr>
            <w:tcW w:w="1831" w:type="dxa"/>
          </w:tcPr>
          <w:p>
            <w:pPr>
              <w:spacing w:after="156" w:line="360" w:lineRule="auto"/>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7" w:type="dxa"/>
          </w:tcPr>
          <w:p>
            <w:pPr>
              <w:spacing w:after="156" w:line="360" w:lineRule="auto"/>
              <w:rPr>
                <w:rFonts w:ascii="仿宋" w:hAnsi="仿宋" w:eastAsia="仿宋" w:cs="Marigold"/>
                <w:i w:val="0"/>
                <w:color w:val="auto"/>
                <w:sz w:val="24"/>
                <w:szCs w:val="24"/>
                <w:highlight w:val="none"/>
              </w:rPr>
            </w:pPr>
          </w:p>
        </w:tc>
        <w:tc>
          <w:tcPr>
            <w:tcW w:w="2914" w:type="dxa"/>
          </w:tcPr>
          <w:p>
            <w:pPr>
              <w:spacing w:after="156" w:line="360" w:lineRule="auto"/>
              <w:rPr>
                <w:rFonts w:ascii="仿宋" w:hAnsi="仿宋" w:eastAsia="仿宋" w:cs="Marigold"/>
                <w:i w:val="0"/>
                <w:color w:val="auto"/>
                <w:sz w:val="24"/>
                <w:szCs w:val="24"/>
                <w:highlight w:val="none"/>
              </w:rPr>
            </w:pPr>
          </w:p>
        </w:tc>
        <w:tc>
          <w:tcPr>
            <w:tcW w:w="2771" w:type="dxa"/>
          </w:tcPr>
          <w:p>
            <w:pPr>
              <w:spacing w:after="156" w:line="360" w:lineRule="auto"/>
              <w:rPr>
                <w:rFonts w:ascii="仿宋" w:hAnsi="仿宋" w:eastAsia="仿宋" w:cs="Marigold"/>
                <w:i w:val="0"/>
                <w:color w:val="auto"/>
                <w:sz w:val="24"/>
                <w:szCs w:val="24"/>
                <w:highlight w:val="none"/>
              </w:rPr>
            </w:pPr>
          </w:p>
        </w:tc>
        <w:tc>
          <w:tcPr>
            <w:tcW w:w="1831" w:type="dxa"/>
          </w:tcPr>
          <w:p>
            <w:pPr>
              <w:spacing w:after="156" w:line="360" w:lineRule="auto"/>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7" w:type="dxa"/>
          </w:tcPr>
          <w:p>
            <w:pPr>
              <w:spacing w:after="156" w:line="360" w:lineRule="auto"/>
              <w:rPr>
                <w:rFonts w:ascii="仿宋" w:hAnsi="仿宋" w:eastAsia="仿宋" w:cs="Marigold"/>
                <w:i w:val="0"/>
                <w:color w:val="auto"/>
                <w:sz w:val="24"/>
                <w:szCs w:val="24"/>
                <w:highlight w:val="none"/>
              </w:rPr>
            </w:pPr>
          </w:p>
        </w:tc>
        <w:tc>
          <w:tcPr>
            <w:tcW w:w="2914" w:type="dxa"/>
          </w:tcPr>
          <w:p>
            <w:pPr>
              <w:spacing w:after="156" w:line="360" w:lineRule="auto"/>
              <w:rPr>
                <w:rFonts w:ascii="仿宋" w:hAnsi="仿宋" w:eastAsia="仿宋" w:cs="Marigold"/>
                <w:i w:val="0"/>
                <w:color w:val="auto"/>
                <w:sz w:val="24"/>
                <w:szCs w:val="24"/>
                <w:highlight w:val="none"/>
              </w:rPr>
            </w:pPr>
          </w:p>
        </w:tc>
        <w:tc>
          <w:tcPr>
            <w:tcW w:w="2771" w:type="dxa"/>
          </w:tcPr>
          <w:p>
            <w:pPr>
              <w:spacing w:after="156" w:line="360" w:lineRule="auto"/>
              <w:rPr>
                <w:rFonts w:ascii="仿宋" w:hAnsi="仿宋" w:eastAsia="仿宋" w:cs="Marigold"/>
                <w:i w:val="0"/>
                <w:color w:val="auto"/>
                <w:sz w:val="24"/>
                <w:szCs w:val="24"/>
                <w:highlight w:val="none"/>
              </w:rPr>
            </w:pPr>
          </w:p>
        </w:tc>
        <w:tc>
          <w:tcPr>
            <w:tcW w:w="1831" w:type="dxa"/>
          </w:tcPr>
          <w:p>
            <w:pPr>
              <w:spacing w:after="156" w:line="360" w:lineRule="auto"/>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7" w:type="dxa"/>
          </w:tcPr>
          <w:p>
            <w:pPr>
              <w:spacing w:after="156" w:line="360" w:lineRule="auto"/>
              <w:rPr>
                <w:rFonts w:ascii="仿宋" w:hAnsi="仿宋" w:eastAsia="仿宋" w:cs="Marigold"/>
                <w:i w:val="0"/>
                <w:color w:val="auto"/>
                <w:sz w:val="24"/>
                <w:szCs w:val="24"/>
                <w:highlight w:val="none"/>
              </w:rPr>
            </w:pPr>
          </w:p>
        </w:tc>
        <w:tc>
          <w:tcPr>
            <w:tcW w:w="2914" w:type="dxa"/>
          </w:tcPr>
          <w:p>
            <w:pPr>
              <w:spacing w:after="156" w:line="360" w:lineRule="auto"/>
              <w:rPr>
                <w:rFonts w:ascii="仿宋" w:hAnsi="仿宋" w:eastAsia="仿宋" w:cs="Marigold"/>
                <w:i w:val="0"/>
                <w:color w:val="auto"/>
                <w:sz w:val="24"/>
                <w:szCs w:val="24"/>
                <w:highlight w:val="none"/>
              </w:rPr>
            </w:pPr>
          </w:p>
        </w:tc>
        <w:tc>
          <w:tcPr>
            <w:tcW w:w="2771" w:type="dxa"/>
          </w:tcPr>
          <w:p>
            <w:pPr>
              <w:spacing w:after="156" w:line="360" w:lineRule="auto"/>
              <w:rPr>
                <w:rFonts w:ascii="仿宋" w:hAnsi="仿宋" w:eastAsia="仿宋" w:cs="Marigold"/>
                <w:i w:val="0"/>
                <w:color w:val="auto"/>
                <w:sz w:val="24"/>
                <w:szCs w:val="24"/>
                <w:highlight w:val="none"/>
              </w:rPr>
            </w:pPr>
          </w:p>
        </w:tc>
        <w:tc>
          <w:tcPr>
            <w:tcW w:w="1831" w:type="dxa"/>
          </w:tcPr>
          <w:p>
            <w:pPr>
              <w:spacing w:after="156" w:line="360" w:lineRule="auto"/>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7" w:type="dxa"/>
          </w:tcPr>
          <w:p>
            <w:pPr>
              <w:spacing w:after="156" w:line="360" w:lineRule="auto"/>
              <w:rPr>
                <w:rFonts w:ascii="仿宋" w:hAnsi="仿宋" w:eastAsia="仿宋" w:cs="Marigold"/>
                <w:i w:val="0"/>
                <w:color w:val="auto"/>
                <w:sz w:val="24"/>
                <w:szCs w:val="24"/>
                <w:highlight w:val="none"/>
              </w:rPr>
            </w:pPr>
          </w:p>
        </w:tc>
        <w:tc>
          <w:tcPr>
            <w:tcW w:w="2914" w:type="dxa"/>
          </w:tcPr>
          <w:p>
            <w:pPr>
              <w:spacing w:after="156" w:line="360" w:lineRule="auto"/>
              <w:rPr>
                <w:rFonts w:ascii="仿宋" w:hAnsi="仿宋" w:eastAsia="仿宋" w:cs="Marigold"/>
                <w:i w:val="0"/>
                <w:color w:val="auto"/>
                <w:sz w:val="24"/>
                <w:szCs w:val="24"/>
                <w:highlight w:val="none"/>
              </w:rPr>
            </w:pPr>
          </w:p>
        </w:tc>
        <w:tc>
          <w:tcPr>
            <w:tcW w:w="2771" w:type="dxa"/>
          </w:tcPr>
          <w:p>
            <w:pPr>
              <w:spacing w:after="156" w:line="360" w:lineRule="auto"/>
              <w:rPr>
                <w:rFonts w:ascii="仿宋" w:hAnsi="仿宋" w:eastAsia="仿宋" w:cs="Marigold"/>
                <w:i w:val="0"/>
                <w:color w:val="auto"/>
                <w:sz w:val="24"/>
                <w:szCs w:val="24"/>
                <w:highlight w:val="none"/>
              </w:rPr>
            </w:pPr>
          </w:p>
        </w:tc>
        <w:tc>
          <w:tcPr>
            <w:tcW w:w="1831" w:type="dxa"/>
          </w:tcPr>
          <w:p>
            <w:pPr>
              <w:spacing w:after="156" w:line="360" w:lineRule="auto"/>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7" w:type="dxa"/>
          </w:tcPr>
          <w:p>
            <w:pPr>
              <w:spacing w:after="156" w:line="360" w:lineRule="auto"/>
              <w:rPr>
                <w:rFonts w:ascii="仿宋" w:hAnsi="仿宋" w:eastAsia="仿宋" w:cs="Marigold"/>
                <w:i w:val="0"/>
                <w:color w:val="auto"/>
                <w:sz w:val="24"/>
                <w:szCs w:val="24"/>
                <w:highlight w:val="none"/>
              </w:rPr>
            </w:pPr>
          </w:p>
        </w:tc>
        <w:tc>
          <w:tcPr>
            <w:tcW w:w="2914" w:type="dxa"/>
          </w:tcPr>
          <w:p>
            <w:pPr>
              <w:spacing w:after="156" w:line="360" w:lineRule="auto"/>
              <w:rPr>
                <w:rFonts w:ascii="仿宋" w:hAnsi="仿宋" w:eastAsia="仿宋" w:cs="Marigold"/>
                <w:i w:val="0"/>
                <w:color w:val="auto"/>
                <w:sz w:val="24"/>
                <w:szCs w:val="24"/>
                <w:highlight w:val="none"/>
              </w:rPr>
            </w:pPr>
          </w:p>
        </w:tc>
        <w:tc>
          <w:tcPr>
            <w:tcW w:w="2771" w:type="dxa"/>
          </w:tcPr>
          <w:p>
            <w:pPr>
              <w:spacing w:after="156" w:line="360" w:lineRule="auto"/>
              <w:rPr>
                <w:rFonts w:ascii="仿宋" w:hAnsi="仿宋" w:eastAsia="仿宋" w:cs="Marigold"/>
                <w:i w:val="0"/>
                <w:color w:val="auto"/>
                <w:sz w:val="24"/>
                <w:szCs w:val="24"/>
                <w:highlight w:val="none"/>
              </w:rPr>
            </w:pPr>
          </w:p>
        </w:tc>
        <w:tc>
          <w:tcPr>
            <w:tcW w:w="1831" w:type="dxa"/>
          </w:tcPr>
          <w:p>
            <w:pPr>
              <w:spacing w:after="156" w:line="360" w:lineRule="auto"/>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7" w:type="dxa"/>
          </w:tcPr>
          <w:p>
            <w:pPr>
              <w:spacing w:after="156" w:line="360" w:lineRule="auto"/>
              <w:rPr>
                <w:rFonts w:ascii="仿宋" w:hAnsi="仿宋" w:eastAsia="仿宋" w:cs="Marigold"/>
                <w:i w:val="0"/>
                <w:color w:val="auto"/>
                <w:sz w:val="24"/>
                <w:szCs w:val="24"/>
                <w:highlight w:val="none"/>
              </w:rPr>
            </w:pPr>
          </w:p>
        </w:tc>
        <w:tc>
          <w:tcPr>
            <w:tcW w:w="2914" w:type="dxa"/>
          </w:tcPr>
          <w:p>
            <w:pPr>
              <w:spacing w:after="156" w:line="360" w:lineRule="auto"/>
              <w:rPr>
                <w:rFonts w:ascii="仿宋" w:hAnsi="仿宋" w:eastAsia="仿宋" w:cs="Marigold"/>
                <w:i w:val="0"/>
                <w:color w:val="auto"/>
                <w:sz w:val="24"/>
                <w:szCs w:val="24"/>
                <w:highlight w:val="none"/>
              </w:rPr>
            </w:pPr>
          </w:p>
        </w:tc>
        <w:tc>
          <w:tcPr>
            <w:tcW w:w="2771" w:type="dxa"/>
          </w:tcPr>
          <w:p>
            <w:pPr>
              <w:spacing w:after="156" w:line="360" w:lineRule="auto"/>
              <w:rPr>
                <w:rFonts w:ascii="仿宋" w:hAnsi="仿宋" w:eastAsia="仿宋" w:cs="Marigold"/>
                <w:i w:val="0"/>
                <w:color w:val="auto"/>
                <w:sz w:val="24"/>
                <w:szCs w:val="24"/>
                <w:highlight w:val="none"/>
              </w:rPr>
            </w:pPr>
          </w:p>
        </w:tc>
        <w:tc>
          <w:tcPr>
            <w:tcW w:w="1831" w:type="dxa"/>
          </w:tcPr>
          <w:p>
            <w:pPr>
              <w:spacing w:after="156" w:line="360" w:lineRule="auto"/>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7" w:type="dxa"/>
          </w:tcPr>
          <w:p>
            <w:pPr>
              <w:spacing w:after="156" w:line="360" w:lineRule="auto"/>
              <w:rPr>
                <w:rFonts w:ascii="仿宋" w:hAnsi="仿宋" w:eastAsia="仿宋" w:cs="Marigold"/>
                <w:i w:val="0"/>
                <w:color w:val="auto"/>
                <w:sz w:val="24"/>
                <w:szCs w:val="24"/>
                <w:highlight w:val="none"/>
              </w:rPr>
            </w:pPr>
          </w:p>
        </w:tc>
        <w:tc>
          <w:tcPr>
            <w:tcW w:w="2914" w:type="dxa"/>
          </w:tcPr>
          <w:p>
            <w:pPr>
              <w:spacing w:after="156" w:line="360" w:lineRule="auto"/>
              <w:rPr>
                <w:rFonts w:ascii="仿宋" w:hAnsi="仿宋" w:eastAsia="仿宋" w:cs="Marigold"/>
                <w:i w:val="0"/>
                <w:color w:val="auto"/>
                <w:sz w:val="24"/>
                <w:szCs w:val="24"/>
                <w:highlight w:val="none"/>
              </w:rPr>
            </w:pPr>
          </w:p>
        </w:tc>
        <w:tc>
          <w:tcPr>
            <w:tcW w:w="2771" w:type="dxa"/>
          </w:tcPr>
          <w:p>
            <w:pPr>
              <w:spacing w:after="156" w:line="360" w:lineRule="auto"/>
              <w:rPr>
                <w:rFonts w:ascii="仿宋" w:hAnsi="仿宋" w:eastAsia="仿宋" w:cs="Marigold"/>
                <w:i w:val="0"/>
                <w:color w:val="auto"/>
                <w:sz w:val="24"/>
                <w:szCs w:val="24"/>
                <w:highlight w:val="none"/>
              </w:rPr>
            </w:pPr>
          </w:p>
        </w:tc>
        <w:tc>
          <w:tcPr>
            <w:tcW w:w="1831" w:type="dxa"/>
          </w:tcPr>
          <w:p>
            <w:pPr>
              <w:spacing w:after="156" w:line="360" w:lineRule="auto"/>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7" w:type="dxa"/>
          </w:tcPr>
          <w:p>
            <w:pPr>
              <w:spacing w:after="156" w:line="360" w:lineRule="auto"/>
              <w:rPr>
                <w:rFonts w:ascii="仿宋" w:hAnsi="仿宋" w:eastAsia="仿宋" w:cs="Marigold"/>
                <w:i w:val="0"/>
                <w:color w:val="auto"/>
                <w:sz w:val="24"/>
                <w:szCs w:val="24"/>
                <w:highlight w:val="none"/>
              </w:rPr>
            </w:pPr>
          </w:p>
        </w:tc>
        <w:tc>
          <w:tcPr>
            <w:tcW w:w="2914" w:type="dxa"/>
          </w:tcPr>
          <w:p>
            <w:pPr>
              <w:spacing w:after="156" w:line="360" w:lineRule="auto"/>
              <w:rPr>
                <w:rFonts w:ascii="仿宋" w:hAnsi="仿宋" w:eastAsia="仿宋" w:cs="Marigold"/>
                <w:i w:val="0"/>
                <w:color w:val="auto"/>
                <w:sz w:val="24"/>
                <w:szCs w:val="24"/>
                <w:highlight w:val="none"/>
              </w:rPr>
            </w:pPr>
          </w:p>
        </w:tc>
        <w:tc>
          <w:tcPr>
            <w:tcW w:w="2771" w:type="dxa"/>
          </w:tcPr>
          <w:p>
            <w:pPr>
              <w:spacing w:after="156" w:line="360" w:lineRule="auto"/>
              <w:rPr>
                <w:rFonts w:ascii="仿宋" w:hAnsi="仿宋" w:eastAsia="仿宋" w:cs="Marigold"/>
                <w:i w:val="0"/>
                <w:color w:val="auto"/>
                <w:sz w:val="24"/>
                <w:szCs w:val="24"/>
                <w:highlight w:val="none"/>
              </w:rPr>
            </w:pPr>
          </w:p>
        </w:tc>
        <w:tc>
          <w:tcPr>
            <w:tcW w:w="1831" w:type="dxa"/>
          </w:tcPr>
          <w:p>
            <w:pPr>
              <w:spacing w:after="156" w:line="360" w:lineRule="auto"/>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7" w:type="dxa"/>
          </w:tcPr>
          <w:p>
            <w:pPr>
              <w:spacing w:after="156" w:line="360" w:lineRule="auto"/>
              <w:rPr>
                <w:rFonts w:ascii="仿宋" w:hAnsi="仿宋" w:eastAsia="仿宋" w:cs="Marigold"/>
                <w:i w:val="0"/>
                <w:color w:val="auto"/>
                <w:sz w:val="24"/>
                <w:szCs w:val="24"/>
                <w:highlight w:val="none"/>
              </w:rPr>
            </w:pPr>
          </w:p>
        </w:tc>
        <w:tc>
          <w:tcPr>
            <w:tcW w:w="2914" w:type="dxa"/>
          </w:tcPr>
          <w:p>
            <w:pPr>
              <w:spacing w:after="156" w:line="360" w:lineRule="auto"/>
              <w:rPr>
                <w:rFonts w:ascii="仿宋" w:hAnsi="仿宋" w:eastAsia="仿宋" w:cs="Marigold"/>
                <w:i w:val="0"/>
                <w:color w:val="auto"/>
                <w:sz w:val="24"/>
                <w:szCs w:val="24"/>
                <w:highlight w:val="none"/>
              </w:rPr>
            </w:pPr>
          </w:p>
        </w:tc>
        <w:tc>
          <w:tcPr>
            <w:tcW w:w="2771" w:type="dxa"/>
          </w:tcPr>
          <w:p>
            <w:pPr>
              <w:spacing w:after="156" w:line="360" w:lineRule="auto"/>
              <w:rPr>
                <w:rFonts w:ascii="仿宋" w:hAnsi="仿宋" w:eastAsia="仿宋" w:cs="Marigold"/>
                <w:i w:val="0"/>
                <w:color w:val="auto"/>
                <w:sz w:val="24"/>
                <w:szCs w:val="24"/>
                <w:highlight w:val="none"/>
              </w:rPr>
            </w:pPr>
          </w:p>
        </w:tc>
        <w:tc>
          <w:tcPr>
            <w:tcW w:w="1831" w:type="dxa"/>
          </w:tcPr>
          <w:p>
            <w:pPr>
              <w:spacing w:after="156" w:line="360" w:lineRule="auto"/>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7" w:type="dxa"/>
          </w:tcPr>
          <w:p>
            <w:pPr>
              <w:spacing w:after="156" w:line="360" w:lineRule="auto"/>
              <w:rPr>
                <w:rFonts w:ascii="仿宋" w:hAnsi="仿宋" w:eastAsia="仿宋" w:cs="Marigold"/>
                <w:i w:val="0"/>
                <w:color w:val="auto"/>
                <w:sz w:val="24"/>
                <w:szCs w:val="24"/>
                <w:highlight w:val="none"/>
              </w:rPr>
            </w:pPr>
          </w:p>
        </w:tc>
        <w:tc>
          <w:tcPr>
            <w:tcW w:w="2914" w:type="dxa"/>
          </w:tcPr>
          <w:p>
            <w:pPr>
              <w:spacing w:after="156" w:line="360" w:lineRule="auto"/>
              <w:rPr>
                <w:rFonts w:ascii="仿宋" w:hAnsi="仿宋" w:eastAsia="仿宋" w:cs="Marigold"/>
                <w:i w:val="0"/>
                <w:color w:val="auto"/>
                <w:sz w:val="24"/>
                <w:szCs w:val="24"/>
                <w:highlight w:val="none"/>
              </w:rPr>
            </w:pPr>
          </w:p>
        </w:tc>
        <w:tc>
          <w:tcPr>
            <w:tcW w:w="2771" w:type="dxa"/>
          </w:tcPr>
          <w:p>
            <w:pPr>
              <w:spacing w:after="156" w:line="360" w:lineRule="auto"/>
              <w:rPr>
                <w:rFonts w:ascii="仿宋" w:hAnsi="仿宋" w:eastAsia="仿宋" w:cs="Marigold"/>
                <w:i w:val="0"/>
                <w:color w:val="auto"/>
                <w:sz w:val="24"/>
                <w:szCs w:val="24"/>
                <w:highlight w:val="none"/>
              </w:rPr>
            </w:pPr>
          </w:p>
        </w:tc>
        <w:tc>
          <w:tcPr>
            <w:tcW w:w="1831" w:type="dxa"/>
          </w:tcPr>
          <w:p>
            <w:pPr>
              <w:spacing w:after="156" w:line="360" w:lineRule="auto"/>
              <w:rPr>
                <w:rFonts w:ascii="仿宋" w:hAnsi="仿宋" w:eastAsia="仿宋" w:cs="Marigold"/>
                <w:i w:val="0"/>
                <w:color w:val="auto"/>
                <w:sz w:val="24"/>
                <w:szCs w:val="24"/>
                <w:highlight w:val="none"/>
              </w:rPr>
            </w:pPr>
          </w:p>
        </w:tc>
      </w:tr>
    </w:tbl>
    <w:p>
      <w:pPr>
        <w:pStyle w:val="56"/>
        <w:rPr>
          <w:rFonts w:hint="eastAsia" w:ascii="仿宋" w:hAnsi="仿宋" w:eastAsia="仿宋"/>
          <w:i w:val="0"/>
          <w:color w:val="auto"/>
          <w:highlight w:val="none"/>
          <w:lang w:eastAsia="zh-CN"/>
        </w:rPr>
      </w:pPr>
      <w:r>
        <w:rPr>
          <w:rFonts w:hint="eastAsia" w:ascii="仿宋" w:hAnsi="仿宋" w:eastAsia="仿宋"/>
          <w:i w:val="0"/>
          <w:color w:val="auto"/>
          <w:highlight w:val="none"/>
          <w:lang w:eastAsia="zh-CN"/>
        </w:rPr>
        <w:t>注：1. 本表只填写投标文件中与招标文件有偏离（包括正偏离和负偏离）的内容，投标文件中商务</w:t>
      </w:r>
      <w:r>
        <w:rPr>
          <w:rFonts w:hint="eastAsia" w:ascii="仿宋" w:hAnsi="仿宋" w:eastAsia="仿宋"/>
          <w:i w:val="0"/>
          <w:color w:val="auto"/>
          <w:highlight w:val="none"/>
          <w:lang w:val="en-US" w:eastAsia="zh-CN"/>
        </w:rPr>
        <w:t>条款</w:t>
      </w:r>
      <w:r>
        <w:rPr>
          <w:rFonts w:hint="eastAsia" w:ascii="仿宋" w:hAnsi="仿宋" w:eastAsia="仿宋"/>
          <w:i w:val="0"/>
          <w:color w:val="auto"/>
          <w:highlight w:val="none"/>
          <w:lang w:eastAsia="zh-CN"/>
        </w:rPr>
        <w:t>响应与招标文件要求完全一致的，可以不用在此表中列出。如有偏离条款，请将偏离条款逐条应答，未明确偏离的条款，均视为默认接受，投标人不得借未作答而拒不接受。</w:t>
      </w:r>
    </w:p>
    <w:p>
      <w:pPr>
        <w:pStyle w:val="56"/>
        <w:rPr>
          <w:rFonts w:hint="eastAsia" w:ascii="仿宋" w:hAnsi="仿宋" w:eastAsia="仿宋"/>
          <w:i w:val="0"/>
          <w:color w:val="auto"/>
          <w:highlight w:val="none"/>
          <w:lang w:eastAsia="zh-CN"/>
        </w:rPr>
      </w:pPr>
      <w:r>
        <w:rPr>
          <w:rFonts w:hint="eastAsia" w:ascii="仿宋" w:hAnsi="仿宋" w:eastAsia="仿宋"/>
          <w:i w:val="0"/>
          <w:color w:val="auto"/>
          <w:highlight w:val="none"/>
          <w:lang w:eastAsia="zh-CN"/>
        </w:rPr>
        <w:t xml:space="preserve">   2、投标人必须据实填写，不得虚假应答，否则将取消其投标或中标资格。</w:t>
      </w:r>
    </w:p>
    <w:p>
      <w:pPr>
        <w:rPr>
          <w:rFonts w:ascii="仿宋" w:hAnsi="仿宋" w:eastAsia="仿宋" w:cs="Marigold"/>
          <w:bCs/>
          <w:i w:val="0"/>
          <w:color w:val="auto"/>
          <w:sz w:val="24"/>
          <w:szCs w:val="24"/>
          <w:highlight w:val="none"/>
          <w:lang w:eastAsia="zh-CN"/>
        </w:rPr>
      </w:pPr>
    </w:p>
    <w:p>
      <w:pPr>
        <w:rPr>
          <w:rFonts w:ascii="仿宋" w:hAnsi="仿宋" w:eastAsia="仿宋" w:cs="Marigold"/>
          <w:bCs/>
          <w:i w:val="0"/>
          <w:color w:val="auto"/>
          <w:sz w:val="24"/>
          <w:szCs w:val="24"/>
          <w:highlight w:val="none"/>
          <w:lang w:eastAsia="zh-CN"/>
        </w:rPr>
      </w:pPr>
    </w:p>
    <w:p>
      <w:pPr>
        <w:adjustRightInd w:val="0"/>
        <w:spacing w:after="156" w:line="360" w:lineRule="auto"/>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投标人名称：（单位公章）</w:t>
      </w:r>
    </w:p>
    <w:p>
      <w:pPr>
        <w:adjustRightInd w:val="0"/>
        <w:spacing w:after="156" w:line="360" w:lineRule="auto"/>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法定代表人或授权代表（签字或加盖个人名章）：</w:t>
      </w:r>
    </w:p>
    <w:p>
      <w:pPr>
        <w:spacing w:line="360" w:lineRule="auto"/>
        <w:rPr>
          <w:rFonts w:ascii="仿宋" w:hAnsi="仿宋" w:eastAsia="仿宋" w:cs="Marigold"/>
          <w:bCs/>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投标</w:t>
      </w:r>
      <w:r>
        <w:rPr>
          <w:rFonts w:hint="eastAsia" w:ascii="仿宋" w:hAnsi="仿宋" w:eastAsia="仿宋" w:cs="Marigold"/>
          <w:bCs/>
          <w:i w:val="0"/>
          <w:color w:val="auto"/>
          <w:sz w:val="24"/>
          <w:szCs w:val="24"/>
          <w:highlight w:val="none"/>
          <w:lang w:eastAsia="zh-CN"/>
        </w:rPr>
        <w:t>日期</w:t>
      </w:r>
      <w:r>
        <w:rPr>
          <w:rFonts w:ascii="仿宋" w:hAnsi="仿宋" w:eastAsia="仿宋" w:cs="Marigold"/>
          <w:bCs/>
          <w:i w:val="0"/>
          <w:color w:val="auto"/>
          <w:sz w:val="24"/>
          <w:szCs w:val="24"/>
          <w:highlight w:val="none"/>
          <w:lang w:eastAsia="zh-CN"/>
        </w:rPr>
        <w:t>:</w:t>
      </w:r>
      <w:r>
        <w:rPr>
          <w:rFonts w:hint="eastAsia" w:ascii="仿宋" w:hAnsi="仿宋" w:eastAsia="仿宋" w:cs="Marigold"/>
          <w:bCs/>
          <w:i w:val="0"/>
          <w:color w:val="auto"/>
          <w:sz w:val="24"/>
          <w:szCs w:val="24"/>
          <w:highlight w:val="none"/>
          <w:lang w:eastAsia="zh-CN"/>
        </w:rPr>
        <w:t xml:space="preserve">      年    月    日</w:t>
      </w:r>
    </w:p>
    <w:p>
      <w:pPr>
        <w:spacing w:line="360" w:lineRule="auto"/>
        <w:rPr>
          <w:rFonts w:ascii="仿宋" w:hAnsi="仿宋" w:eastAsia="仿宋" w:cs="Marigold"/>
          <w:bCs/>
          <w:i w:val="0"/>
          <w:color w:val="auto"/>
          <w:sz w:val="24"/>
          <w:szCs w:val="24"/>
          <w:highlight w:val="none"/>
          <w:lang w:eastAsia="zh-CN"/>
        </w:rPr>
      </w:pPr>
      <w:r>
        <w:rPr>
          <w:rFonts w:ascii="仿宋" w:hAnsi="仿宋" w:eastAsia="仿宋" w:cs="Marigold"/>
          <w:bCs/>
          <w:i w:val="0"/>
          <w:color w:val="auto"/>
          <w:sz w:val="24"/>
          <w:szCs w:val="24"/>
          <w:highlight w:val="none"/>
          <w:lang w:eastAsia="zh-CN"/>
        </w:rPr>
        <w:br w:type="page"/>
      </w:r>
    </w:p>
    <w:p>
      <w:pPr>
        <w:pStyle w:val="4"/>
        <w:jc w:val="left"/>
        <w:rPr>
          <w:rFonts w:ascii="仿宋" w:hAnsi="仿宋" w:cs="Marigold"/>
          <w:i w:val="0"/>
          <w:color w:val="auto"/>
          <w:sz w:val="24"/>
          <w:szCs w:val="24"/>
          <w:highlight w:val="none"/>
          <w:lang w:eastAsia="zh-CN"/>
        </w:rPr>
      </w:pPr>
      <w:bookmarkStart w:id="479" w:name="_Toc524910132"/>
      <w:bookmarkStart w:id="480" w:name="_Toc468346404"/>
      <w:bookmarkStart w:id="481" w:name="_Toc395625064"/>
      <w:bookmarkStart w:id="482" w:name="_Toc217446088"/>
      <w:bookmarkStart w:id="483" w:name="_Toc511558674"/>
      <w:bookmarkStart w:id="484" w:name="_Toc505762767"/>
      <w:bookmarkStart w:id="485" w:name="_Toc497752267"/>
      <w:bookmarkStart w:id="486" w:name="_Toc468331113"/>
      <w:bookmarkStart w:id="487" w:name="_Toc22528"/>
      <w:bookmarkStart w:id="488" w:name="_Toc38274203"/>
      <w:r>
        <w:rPr>
          <w:rFonts w:hint="eastAsia"/>
          <w:i w:val="0"/>
          <w:color w:val="auto"/>
          <w:highlight w:val="none"/>
          <w:lang w:eastAsia="zh-CN"/>
        </w:rPr>
        <w:t>五、投标人基本情</w:t>
      </w:r>
      <w:bookmarkEnd w:id="479"/>
      <w:bookmarkEnd w:id="480"/>
      <w:bookmarkEnd w:id="481"/>
      <w:bookmarkEnd w:id="482"/>
      <w:bookmarkEnd w:id="483"/>
      <w:bookmarkEnd w:id="484"/>
      <w:bookmarkEnd w:id="485"/>
      <w:bookmarkEnd w:id="486"/>
      <w:r>
        <w:rPr>
          <w:rFonts w:hint="eastAsia"/>
          <w:i w:val="0"/>
          <w:color w:val="auto"/>
          <w:highlight w:val="none"/>
          <w:lang w:eastAsia="zh-CN"/>
        </w:rPr>
        <w:t>况</w:t>
      </w:r>
      <w:bookmarkEnd w:id="487"/>
      <w:bookmarkEnd w:id="488"/>
    </w:p>
    <w:p>
      <w:pPr>
        <w:jc w:val="center"/>
        <w:rPr>
          <w:rFonts w:ascii="仿宋" w:hAnsi="仿宋" w:eastAsia="仿宋"/>
          <w:b/>
          <w:i w:val="0"/>
          <w:color w:val="auto"/>
          <w:sz w:val="28"/>
          <w:szCs w:val="28"/>
          <w:highlight w:val="none"/>
          <w:lang w:eastAsia="zh-CN"/>
        </w:rPr>
      </w:pPr>
      <w:r>
        <w:rPr>
          <w:rFonts w:hint="eastAsia" w:ascii="仿宋" w:hAnsi="仿宋" w:eastAsia="仿宋"/>
          <w:b/>
          <w:i w:val="0"/>
          <w:color w:val="auto"/>
          <w:sz w:val="28"/>
          <w:szCs w:val="28"/>
          <w:highlight w:val="none"/>
          <w:lang w:eastAsia="zh-CN"/>
        </w:rPr>
        <w:t>投标人基本情况表</w:t>
      </w:r>
    </w:p>
    <w:tbl>
      <w:tblPr>
        <w:tblStyle w:val="24"/>
        <w:tblW w:w="82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846"/>
        <w:gridCol w:w="266"/>
        <w:gridCol w:w="523"/>
        <w:gridCol w:w="719"/>
        <w:gridCol w:w="34"/>
        <w:gridCol w:w="560"/>
        <w:gridCol w:w="857"/>
        <w:gridCol w:w="986"/>
        <w:gridCol w:w="1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exact"/>
          <w:jc w:val="center"/>
        </w:trPr>
        <w:tc>
          <w:tcPr>
            <w:tcW w:w="1844" w:type="dxa"/>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投标人名称</w:t>
            </w:r>
          </w:p>
        </w:tc>
        <w:tc>
          <w:tcPr>
            <w:tcW w:w="6406" w:type="dxa"/>
            <w:gridSpan w:val="9"/>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exact"/>
          <w:jc w:val="center"/>
        </w:trPr>
        <w:tc>
          <w:tcPr>
            <w:tcW w:w="1844" w:type="dxa"/>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注册地址</w:t>
            </w:r>
          </w:p>
        </w:tc>
        <w:tc>
          <w:tcPr>
            <w:tcW w:w="2388" w:type="dxa"/>
            <w:gridSpan w:val="5"/>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1417" w:type="dxa"/>
            <w:gridSpan w:val="2"/>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邮政编码</w:t>
            </w:r>
          </w:p>
        </w:tc>
        <w:tc>
          <w:tcPr>
            <w:tcW w:w="2601" w:type="dxa"/>
            <w:gridSpan w:val="2"/>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exact"/>
          <w:jc w:val="center"/>
        </w:trPr>
        <w:tc>
          <w:tcPr>
            <w:tcW w:w="1844" w:type="dxa"/>
            <w:vMerge w:val="restart"/>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联系方式</w:t>
            </w:r>
          </w:p>
        </w:tc>
        <w:tc>
          <w:tcPr>
            <w:tcW w:w="1112" w:type="dxa"/>
            <w:gridSpan w:val="2"/>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联系人</w:t>
            </w:r>
          </w:p>
        </w:tc>
        <w:tc>
          <w:tcPr>
            <w:tcW w:w="1276" w:type="dxa"/>
            <w:gridSpan w:val="3"/>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1417" w:type="dxa"/>
            <w:gridSpan w:val="2"/>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电话</w:t>
            </w:r>
          </w:p>
        </w:tc>
        <w:tc>
          <w:tcPr>
            <w:tcW w:w="2601" w:type="dxa"/>
            <w:gridSpan w:val="2"/>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exact"/>
          <w:jc w:val="center"/>
        </w:trPr>
        <w:tc>
          <w:tcPr>
            <w:tcW w:w="1844" w:type="dxa"/>
            <w:vMerge w:val="continue"/>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p>
        </w:tc>
        <w:tc>
          <w:tcPr>
            <w:tcW w:w="1112" w:type="dxa"/>
            <w:gridSpan w:val="2"/>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传真</w:t>
            </w:r>
          </w:p>
        </w:tc>
        <w:tc>
          <w:tcPr>
            <w:tcW w:w="1276" w:type="dxa"/>
            <w:gridSpan w:val="3"/>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1417" w:type="dxa"/>
            <w:gridSpan w:val="2"/>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网址</w:t>
            </w:r>
          </w:p>
        </w:tc>
        <w:tc>
          <w:tcPr>
            <w:tcW w:w="2601" w:type="dxa"/>
            <w:gridSpan w:val="2"/>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exact"/>
          <w:jc w:val="center"/>
        </w:trPr>
        <w:tc>
          <w:tcPr>
            <w:tcW w:w="1844" w:type="dxa"/>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组织结构</w:t>
            </w:r>
          </w:p>
        </w:tc>
        <w:tc>
          <w:tcPr>
            <w:tcW w:w="6406" w:type="dxa"/>
            <w:gridSpan w:val="9"/>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exact"/>
          <w:jc w:val="center"/>
        </w:trPr>
        <w:tc>
          <w:tcPr>
            <w:tcW w:w="1844" w:type="dxa"/>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法定代表人</w:t>
            </w:r>
          </w:p>
        </w:tc>
        <w:tc>
          <w:tcPr>
            <w:tcW w:w="846" w:type="dxa"/>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姓名</w:t>
            </w:r>
          </w:p>
        </w:tc>
        <w:tc>
          <w:tcPr>
            <w:tcW w:w="789" w:type="dxa"/>
            <w:gridSpan w:val="2"/>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1313" w:type="dxa"/>
            <w:gridSpan w:val="3"/>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技术职称</w:t>
            </w:r>
          </w:p>
        </w:tc>
        <w:tc>
          <w:tcPr>
            <w:tcW w:w="857" w:type="dxa"/>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986" w:type="dxa"/>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电话</w:t>
            </w:r>
          </w:p>
        </w:tc>
        <w:tc>
          <w:tcPr>
            <w:tcW w:w="1615" w:type="dxa"/>
            <w:vAlign w:val="center"/>
          </w:tcPr>
          <w:p>
            <w:pPr>
              <w:autoSpaceDE w:val="0"/>
              <w:autoSpaceDN w:val="0"/>
              <w:adjustRightInd w:val="0"/>
              <w:spacing w:after="156" w:line="240" w:lineRule="atLeast"/>
              <w:rPr>
                <w:rFonts w:ascii="仿宋" w:hAnsi="仿宋" w:eastAsia="仿宋" w:cs="Marigold"/>
                <w:b/>
                <w:bCs/>
                <w:i w:val="0"/>
                <w:color w:val="auto"/>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exact"/>
          <w:jc w:val="center"/>
        </w:trPr>
        <w:tc>
          <w:tcPr>
            <w:tcW w:w="1844" w:type="dxa"/>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技术负责人</w:t>
            </w:r>
          </w:p>
        </w:tc>
        <w:tc>
          <w:tcPr>
            <w:tcW w:w="846" w:type="dxa"/>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姓名</w:t>
            </w:r>
          </w:p>
        </w:tc>
        <w:tc>
          <w:tcPr>
            <w:tcW w:w="789" w:type="dxa"/>
            <w:gridSpan w:val="2"/>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1313" w:type="dxa"/>
            <w:gridSpan w:val="3"/>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技术职称</w:t>
            </w:r>
          </w:p>
        </w:tc>
        <w:tc>
          <w:tcPr>
            <w:tcW w:w="857" w:type="dxa"/>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986" w:type="dxa"/>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电话</w:t>
            </w:r>
          </w:p>
        </w:tc>
        <w:tc>
          <w:tcPr>
            <w:tcW w:w="1615" w:type="dxa"/>
            <w:vAlign w:val="center"/>
          </w:tcPr>
          <w:p>
            <w:pPr>
              <w:autoSpaceDE w:val="0"/>
              <w:autoSpaceDN w:val="0"/>
              <w:adjustRightInd w:val="0"/>
              <w:spacing w:after="156" w:line="240" w:lineRule="atLeast"/>
              <w:rPr>
                <w:rFonts w:ascii="仿宋" w:hAnsi="仿宋" w:eastAsia="仿宋" w:cs="Marigold"/>
                <w:b/>
                <w:bCs/>
                <w:i w:val="0"/>
                <w:color w:val="auto"/>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exact"/>
          <w:jc w:val="center"/>
        </w:trPr>
        <w:tc>
          <w:tcPr>
            <w:tcW w:w="1844" w:type="dxa"/>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成立时间</w:t>
            </w:r>
          </w:p>
        </w:tc>
        <w:tc>
          <w:tcPr>
            <w:tcW w:w="1635" w:type="dxa"/>
            <w:gridSpan w:val="3"/>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4771" w:type="dxa"/>
            <w:gridSpan w:val="6"/>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员工总人数：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exact"/>
          <w:jc w:val="center"/>
        </w:trPr>
        <w:tc>
          <w:tcPr>
            <w:tcW w:w="1844" w:type="dxa"/>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企业资质等级</w:t>
            </w:r>
          </w:p>
        </w:tc>
        <w:tc>
          <w:tcPr>
            <w:tcW w:w="1635" w:type="dxa"/>
            <w:gridSpan w:val="3"/>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719" w:type="dxa"/>
            <w:vMerge w:val="restart"/>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其中</w:t>
            </w:r>
          </w:p>
        </w:tc>
        <w:tc>
          <w:tcPr>
            <w:tcW w:w="2437" w:type="dxa"/>
            <w:gridSpan w:val="4"/>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项目经理</w:t>
            </w:r>
          </w:p>
        </w:tc>
        <w:tc>
          <w:tcPr>
            <w:tcW w:w="1615" w:type="dxa"/>
            <w:vAlign w:val="center"/>
          </w:tcPr>
          <w:p>
            <w:pPr>
              <w:autoSpaceDE w:val="0"/>
              <w:autoSpaceDN w:val="0"/>
              <w:adjustRightInd w:val="0"/>
              <w:spacing w:after="156" w:line="240" w:lineRule="atLeast"/>
              <w:rPr>
                <w:rFonts w:ascii="仿宋" w:hAnsi="仿宋" w:eastAsia="仿宋" w:cs="Marigold"/>
                <w:b/>
                <w:bCs/>
                <w:i w:val="0"/>
                <w:color w:val="auto"/>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exact"/>
          <w:jc w:val="center"/>
        </w:trPr>
        <w:tc>
          <w:tcPr>
            <w:tcW w:w="1844" w:type="dxa"/>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营业执照号</w:t>
            </w:r>
          </w:p>
        </w:tc>
        <w:tc>
          <w:tcPr>
            <w:tcW w:w="1635" w:type="dxa"/>
            <w:gridSpan w:val="3"/>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719" w:type="dxa"/>
            <w:vMerge w:val="continue"/>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2437" w:type="dxa"/>
            <w:gridSpan w:val="4"/>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高级职称人员</w:t>
            </w:r>
          </w:p>
        </w:tc>
        <w:tc>
          <w:tcPr>
            <w:tcW w:w="1615" w:type="dxa"/>
            <w:vAlign w:val="center"/>
          </w:tcPr>
          <w:p>
            <w:pPr>
              <w:autoSpaceDE w:val="0"/>
              <w:autoSpaceDN w:val="0"/>
              <w:adjustRightInd w:val="0"/>
              <w:spacing w:after="156" w:line="240" w:lineRule="atLeast"/>
              <w:rPr>
                <w:rFonts w:ascii="仿宋" w:hAnsi="仿宋" w:eastAsia="仿宋" w:cs="Marigold"/>
                <w:b/>
                <w:bCs/>
                <w:i w:val="0"/>
                <w:color w:val="auto"/>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exact"/>
          <w:jc w:val="center"/>
        </w:trPr>
        <w:tc>
          <w:tcPr>
            <w:tcW w:w="1844" w:type="dxa"/>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注册资金</w:t>
            </w:r>
          </w:p>
        </w:tc>
        <w:tc>
          <w:tcPr>
            <w:tcW w:w="1635" w:type="dxa"/>
            <w:gridSpan w:val="3"/>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719" w:type="dxa"/>
            <w:vMerge w:val="continue"/>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2437" w:type="dxa"/>
            <w:gridSpan w:val="4"/>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中级职称人员</w:t>
            </w:r>
          </w:p>
        </w:tc>
        <w:tc>
          <w:tcPr>
            <w:tcW w:w="1615" w:type="dxa"/>
            <w:vAlign w:val="center"/>
          </w:tcPr>
          <w:p>
            <w:pPr>
              <w:autoSpaceDE w:val="0"/>
              <w:autoSpaceDN w:val="0"/>
              <w:adjustRightInd w:val="0"/>
              <w:spacing w:after="156" w:line="240" w:lineRule="atLeast"/>
              <w:rPr>
                <w:rFonts w:ascii="仿宋" w:hAnsi="仿宋" w:eastAsia="仿宋" w:cs="Marigold"/>
                <w:b/>
                <w:bCs/>
                <w:i w:val="0"/>
                <w:color w:val="auto"/>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exact"/>
          <w:jc w:val="center"/>
        </w:trPr>
        <w:tc>
          <w:tcPr>
            <w:tcW w:w="1844" w:type="dxa"/>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开户银行</w:t>
            </w:r>
          </w:p>
        </w:tc>
        <w:tc>
          <w:tcPr>
            <w:tcW w:w="1635" w:type="dxa"/>
            <w:gridSpan w:val="3"/>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719" w:type="dxa"/>
            <w:vMerge w:val="continue"/>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2437" w:type="dxa"/>
            <w:gridSpan w:val="4"/>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初级职称人员</w:t>
            </w:r>
          </w:p>
        </w:tc>
        <w:tc>
          <w:tcPr>
            <w:tcW w:w="1615" w:type="dxa"/>
            <w:vAlign w:val="center"/>
          </w:tcPr>
          <w:p>
            <w:pPr>
              <w:autoSpaceDE w:val="0"/>
              <w:autoSpaceDN w:val="0"/>
              <w:adjustRightInd w:val="0"/>
              <w:spacing w:after="156" w:line="240" w:lineRule="atLeast"/>
              <w:rPr>
                <w:rFonts w:ascii="仿宋" w:hAnsi="仿宋" w:eastAsia="仿宋" w:cs="Marigold"/>
                <w:b/>
                <w:bCs/>
                <w:i w:val="0"/>
                <w:color w:val="auto"/>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exact"/>
          <w:jc w:val="center"/>
        </w:trPr>
        <w:tc>
          <w:tcPr>
            <w:tcW w:w="1844" w:type="dxa"/>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账号</w:t>
            </w:r>
          </w:p>
        </w:tc>
        <w:tc>
          <w:tcPr>
            <w:tcW w:w="1635" w:type="dxa"/>
            <w:gridSpan w:val="3"/>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719" w:type="dxa"/>
            <w:vMerge w:val="continue"/>
            <w:vAlign w:val="center"/>
          </w:tcPr>
          <w:p>
            <w:pPr>
              <w:autoSpaceDE w:val="0"/>
              <w:autoSpaceDN w:val="0"/>
              <w:adjustRightInd w:val="0"/>
              <w:spacing w:after="156" w:line="240" w:lineRule="atLeast"/>
              <w:rPr>
                <w:rFonts w:ascii="仿宋" w:hAnsi="仿宋" w:eastAsia="仿宋" w:cs="Marigold"/>
                <w:i w:val="0"/>
                <w:color w:val="auto"/>
                <w:kern w:val="0"/>
                <w:sz w:val="24"/>
                <w:szCs w:val="24"/>
                <w:highlight w:val="none"/>
              </w:rPr>
            </w:pPr>
          </w:p>
        </w:tc>
        <w:tc>
          <w:tcPr>
            <w:tcW w:w="2437" w:type="dxa"/>
            <w:gridSpan w:val="4"/>
            <w:vAlign w:val="center"/>
          </w:tcPr>
          <w:p>
            <w:pPr>
              <w:autoSpaceDE w:val="0"/>
              <w:autoSpaceDN w:val="0"/>
              <w:adjustRightInd w:val="0"/>
              <w:spacing w:after="156" w:line="240" w:lineRule="atLeast"/>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技工</w:t>
            </w:r>
          </w:p>
        </w:tc>
        <w:tc>
          <w:tcPr>
            <w:tcW w:w="1615" w:type="dxa"/>
            <w:vAlign w:val="center"/>
          </w:tcPr>
          <w:p>
            <w:pPr>
              <w:autoSpaceDE w:val="0"/>
              <w:autoSpaceDN w:val="0"/>
              <w:adjustRightInd w:val="0"/>
              <w:spacing w:after="156" w:line="240" w:lineRule="atLeast"/>
              <w:rPr>
                <w:rFonts w:ascii="仿宋" w:hAnsi="仿宋" w:eastAsia="仿宋" w:cs="Marigold"/>
                <w:b/>
                <w:bCs/>
                <w:i w:val="0"/>
                <w:color w:val="auto"/>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67" w:hRule="atLeast"/>
          <w:jc w:val="center"/>
        </w:trPr>
        <w:tc>
          <w:tcPr>
            <w:tcW w:w="1844" w:type="dxa"/>
            <w:vAlign w:val="center"/>
          </w:tcPr>
          <w:p>
            <w:pPr>
              <w:autoSpaceDE w:val="0"/>
              <w:autoSpaceDN w:val="0"/>
              <w:adjustRightInd w:val="0"/>
              <w:spacing w:after="156" w:line="360" w:lineRule="auto"/>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经营范围</w:t>
            </w:r>
          </w:p>
        </w:tc>
        <w:tc>
          <w:tcPr>
            <w:tcW w:w="6406" w:type="dxa"/>
            <w:gridSpan w:val="9"/>
            <w:vAlign w:val="center"/>
          </w:tcPr>
          <w:p>
            <w:pPr>
              <w:autoSpaceDE w:val="0"/>
              <w:autoSpaceDN w:val="0"/>
              <w:adjustRightInd w:val="0"/>
              <w:spacing w:after="156" w:line="360" w:lineRule="auto"/>
              <w:rPr>
                <w:rFonts w:ascii="仿宋" w:hAnsi="仿宋" w:eastAsia="仿宋" w:cs="Marigold"/>
                <w:b/>
                <w:bCs/>
                <w:i w:val="0"/>
                <w:color w:val="auto"/>
                <w:kern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1" w:hRule="atLeast"/>
          <w:jc w:val="center"/>
        </w:trPr>
        <w:tc>
          <w:tcPr>
            <w:tcW w:w="1844" w:type="dxa"/>
            <w:vAlign w:val="center"/>
          </w:tcPr>
          <w:p>
            <w:pPr>
              <w:autoSpaceDE w:val="0"/>
              <w:autoSpaceDN w:val="0"/>
              <w:adjustRightInd w:val="0"/>
              <w:spacing w:after="156" w:line="360" w:lineRule="auto"/>
              <w:jc w:val="center"/>
              <w:rPr>
                <w:rFonts w:ascii="仿宋" w:hAnsi="仿宋" w:eastAsia="仿宋" w:cs="Marigold"/>
                <w:i w:val="0"/>
                <w:color w:val="auto"/>
                <w:kern w:val="0"/>
                <w:sz w:val="24"/>
                <w:szCs w:val="24"/>
                <w:highlight w:val="none"/>
              </w:rPr>
            </w:pPr>
            <w:r>
              <w:rPr>
                <w:rFonts w:hint="eastAsia" w:ascii="仿宋" w:hAnsi="仿宋" w:eastAsia="仿宋" w:cs="Marigold"/>
                <w:i w:val="0"/>
                <w:color w:val="auto"/>
                <w:kern w:val="0"/>
                <w:sz w:val="24"/>
                <w:szCs w:val="24"/>
                <w:highlight w:val="none"/>
              </w:rPr>
              <w:t>备注</w:t>
            </w:r>
          </w:p>
        </w:tc>
        <w:tc>
          <w:tcPr>
            <w:tcW w:w="6406" w:type="dxa"/>
            <w:gridSpan w:val="9"/>
            <w:vAlign w:val="center"/>
          </w:tcPr>
          <w:p>
            <w:pPr>
              <w:autoSpaceDE w:val="0"/>
              <w:autoSpaceDN w:val="0"/>
              <w:adjustRightInd w:val="0"/>
              <w:spacing w:after="156" w:line="360" w:lineRule="auto"/>
              <w:rPr>
                <w:rFonts w:ascii="仿宋" w:hAnsi="仿宋" w:eastAsia="仿宋" w:cs="Marigold"/>
                <w:b/>
                <w:bCs/>
                <w:i w:val="0"/>
                <w:color w:val="auto"/>
                <w:kern w:val="0"/>
                <w:sz w:val="24"/>
                <w:szCs w:val="24"/>
                <w:highlight w:val="none"/>
              </w:rPr>
            </w:pPr>
          </w:p>
        </w:tc>
      </w:tr>
    </w:tbl>
    <w:p>
      <w:pPr>
        <w:adjustRightInd w:val="0"/>
        <w:spacing w:after="156" w:line="360" w:lineRule="auto"/>
        <w:rPr>
          <w:rFonts w:ascii="仿宋" w:hAnsi="仿宋" w:eastAsia="仿宋"/>
          <w:i w:val="0"/>
          <w:color w:val="auto"/>
          <w:sz w:val="24"/>
          <w:szCs w:val="24"/>
          <w:highlight w:val="none"/>
          <w:lang w:eastAsia="zh-CN"/>
        </w:rPr>
      </w:pPr>
    </w:p>
    <w:p>
      <w:pPr>
        <w:adjustRightInd w:val="0"/>
        <w:spacing w:after="156" w:line="360" w:lineRule="auto"/>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投标人名称：（单位公章）</w:t>
      </w:r>
    </w:p>
    <w:p>
      <w:pPr>
        <w:adjustRightInd w:val="0"/>
        <w:spacing w:after="156" w:line="360" w:lineRule="auto"/>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法定代表人或授权代表（签字或加盖个人名章）：</w:t>
      </w:r>
    </w:p>
    <w:p>
      <w:pPr>
        <w:spacing w:line="360" w:lineRule="auto"/>
        <w:rPr>
          <w:rFonts w:ascii="仿宋" w:hAnsi="仿宋" w:eastAsia="仿宋" w:cs="Marigold"/>
          <w:bCs/>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投标</w:t>
      </w:r>
      <w:r>
        <w:rPr>
          <w:rFonts w:hint="eastAsia" w:ascii="仿宋" w:hAnsi="仿宋" w:eastAsia="仿宋" w:cs="Marigold"/>
          <w:bCs/>
          <w:i w:val="0"/>
          <w:color w:val="auto"/>
          <w:sz w:val="24"/>
          <w:szCs w:val="24"/>
          <w:highlight w:val="none"/>
          <w:lang w:eastAsia="zh-CN"/>
        </w:rPr>
        <w:t>日期</w:t>
      </w:r>
      <w:r>
        <w:rPr>
          <w:rFonts w:ascii="仿宋" w:hAnsi="仿宋" w:eastAsia="仿宋" w:cs="Marigold"/>
          <w:bCs/>
          <w:i w:val="0"/>
          <w:color w:val="auto"/>
          <w:sz w:val="24"/>
          <w:szCs w:val="24"/>
          <w:highlight w:val="none"/>
          <w:lang w:eastAsia="zh-CN"/>
        </w:rPr>
        <w:t>:</w:t>
      </w:r>
      <w:r>
        <w:rPr>
          <w:rFonts w:hint="eastAsia" w:ascii="仿宋" w:hAnsi="仿宋" w:eastAsia="仿宋" w:cs="Marigold"/>
          <w:bCs/>
          <w:i w:val="0"/>
          <w:color w:val="auto"/>
          <w:sz w:val="24"/>
          <w:szCs w:val="24"/>
          <w:highlight w:val="none"/>
          <w:lang w:eastAsia="zh-CN"/>
        </w:rPr>
        <w:t xml:space="preserve">      年    月    日</w:t>
      </w:r>
    </w:p>
    <w:p>
      <w:pPr>
        <w:rPr>
          <w:rFonts w:ascii="仿宋" w:hAnsi="仿宋" w:eastAsia="仿宋" w:cs="Marigold"/>
          <w:bCs/>
          <w:i w:val="0"/>
          <w:color w:val="auto"/>
          <w:sz w:val="24"/>
          <w:szCs w:val="24"/>
          <w:highlight w:val="none"/>
          <w:lang w:eastAsia="zh-CN"/>
        </w:rPr>
      </w:pPr>
      <w:r>
        <w:rPr>
          <w:rFonts w:ascii="仿宋" w:hAnsi="仿宋" w:eastAsia="仿宋" w:cs="Marigold"/>
          <w:bCs/>
          <w:i w:val="0"/>
          <w:color w:val="auto"/>
          <w:sz w:val="24"/>
          <w:szCs w:val="24"/>
          <w:highlight w:val="none"/>
          <w:lang w:eastAsia="zh-CN"/>
        </w:rPr>
        <w:br w:type="page"/>
      </w:r>
    </w:p>
    <w:p>
      <w:pPr>
        <w:pStyle w:val="4"/>
        <w:jc w:val="left"/>
        <w:rPr>
          <w:rFonts w:ascii="仿宋" w:hAnsi="仿宋" w:cs="Marigold"/>
          <w:i w:val="0"/>
          <w:color w:val="auto"/>
          <w:sz w:val="24"/>
          <w:szCs w:val="24"/>
          <w:highlight w:val="none"/>
          <w:lang w:eastAsia="zh-CN"/>
        </w:rPr>
      </w:pPr>
      <w:bookmarkStart w:id="489" w:name="_Toc505762768"/>
      <w:bookmarkStart w:id="490" w:name="_Toc38274204"/>
      <w:bookmarkStart w:id="491" w:name="_Toc511558675"/>
      <w:bookmarkStart w:id="492" w:name="_Toc524910133"/>
      <w:bookmarkStart w:id="493" w:name="_Toc11179"/>
      <w:bookmarkStart w:id="494" w:name="_Toc497752268"/>
      <w:r>
        <w:rPr>
          <w:rFonts w:hint="eastAsia"/>
          <w:i w:val="0"/>
          <w:color w:val="auto"/>
          <w:highlight w:val="none"/>
          <w:lang w:eastAsia="zh-CN"/>
        </w:rPr>
        <w:t>六、技术/服务应答</w:t>
      </w:r>
      <w:bookmarkEnd w:id="489"/>
      <w:bookmarkEnd w:id="490"/>
      <w:bookmarkEnd w:id="491"/>
      <w:bookmarkEnd w:id="492"/>
      <w:bookmarkEnd w:id="493"/>
      <w:bookmarkEnd w:id="494"/>
    </w:p>
    <w:p>
      <w:pPr>
        <w:jc w:val="center"/>
        <w:rPr>
          <w:rFonts w:ascii="仿宋" w:hAnsi="仿宋" w:eastAsia="仿宋"/>
          <w:b/>
          <w:i w:val="0"/>
          <w:color w:val="auto"/>
          <w:sz w:val="28"/>
          <w:szCs w:val="28"/>
          <w:highlight w:val="none"/>
          <w:lang w:eastAsia="zh-CN"/>
        </w:rPr>
      </w:pPr>
      <w:r>
        <w:rPr>
          <w:rFonts w:hint="eastAsia" w:ascii="仿宋" w:hAnsi="仿宋" w:eastAsia="仿宋"/>
          <w:b/>
          <w:i w:val="0"/>
          <w:color w:val="auto"/>
          <w:sz w:val="28"/>
          <w:szCs w:val="28"/>
          <w:highlight w:val="none"/>
          <w:lang w:eastAsia="zh-CN"/>
        </w:rPr>
        <w:t>技术/服务应答表</w:t>
      </w:r>
    </w:p>
    <w:tbl>
      <w:tblPr>
        <w:tblStyle w:val="24"/>
        <w:tblW w:w="8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524"/>
        <w:gridCol w:w="3258"/>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044" w:type="dxa"/>
            <w:vAlign w:val="center"/>
          </w:tcPr>
          <w:p>
            <w:pPr>
              <w:tabs>
                <w:tab w:val="left" w:pos="6880"/>
              </w:tabs>
              <w:spacing w:line="360" w:lineRule="auto"/>
              <w:jc w:val="center"/>
              <w:rPr>
                <w:rFonts w:ascii="仿宋" w:hAnsi="仿宋" w:eastAsia="仿宋" w:cs="宋体"/>
                <w:b/>
                <w:i w:val="0"/>
                <w:color w:val="auto"/>
                <w:kern w:val="0"/>
                <w:sz w:val="24"/>
                <w:szCs w:val="24"/>
                <w:highlight w:val="none"/>
              </w:rPr>
            </w:pPr>
            <w:r>
              <w:rPr>
                <w:rFonts w:hint="eastAsia" w:ascii="仿宋" w:hAnsi="仿宋" w:eastAsia="仿宋" w:cs="宋体"/>
                <w:b/>
                <w:i w:val="0"/>
                <w:color w:val="auto"/>
                <w:kern w:val="0"/>
                <w:sz w:val="24"/>
                <w:szCs w:val="24"/>
                <w:highlight w:val="none"/>
              </w:rPr>
              <w:t>序号</w:t>
            </w:r>
          </w:p>
        </w:tc>
        <w:tc>
          <w:tcPr>
            <w:tcW w:w="2524" w:type="dxa"/>
            <w:vAlign w:val="center"/>
          </w:tcPr>
          <w:p>
            <w:pPr>
              <w:tabs>
                <w:tab w:val="left" w:pos="6880"/>
              </w:tabs>
              <w:spacing w:line="360" w:lineRule="auto"/>
              <w:jc w:val="center"/>
              <w:rPr>
                <w:rFonts w:ascii="仿宋" w:hAnsi="仿宋" w:eastAsia="仿宋" w:cs="宋体"/>
                <w:b/>
                <w:i w:val="0"/>
                <w:color w:val="auto"/>
                <w:kern w:val="0"/>
                <w:sz w:val="24"/>
                <w:szCs w:val="24"/>
                <w:highlight w:val="none"/>
              </w:rPr>
            </w:pPr>
            <w:r>
              <w:rPr>
                <w:rFonts w:hint="eastAsia" w:ascii="仿宋" w:hAnsi="仿宋" w:eastAsia="仿宋" w:cs="宋体"/>
                <w:b/>
                <w:i w:val="0"/>
                <w:color w:val="auto"/>
                <w:kern w:val="0"/>
                <w:sz w:val="24"/>
                <w:szCs w:val="24"/>
                <w:highlight w:val="none"/>
              </w:rPr>
              <w:t>招标文件要求</w:t>
            </w:r>
          </w:p>
        </w:tc>
        <w:tc>
          <w:tcPr>
            <w:tcW w:w="3258" w:type="dxa"/>
            <w:vAlign w:val="center"/>
          </w:tcPr>
          <w:p>
            <w:pPr>
              <w:tabs>
                <w:tab w:val="left" w:pos="6880"/>
              </w:tabs>
              <w:spacing w:line="360" w:lineRule="auto"/>
              <w:jc w:val="center"/>
              <w:rPr>
                <w:rFonts w:ascii="仿宋" w:hAnsi="仿宋" w:eastAsia="仿宋" w:cs="宋体"/>
                <w:b/>
                <w:i w:val="0"/>
                <w:color w:val="auto"/>
                <w:kern w:val="0"/>
                <w:sz w:val="24"/>
                <w:szCs w:val="24"/>
                <w:highlight w:val="none"/>
              </w:rPr>
            </w:pPr>
            <w:r>
              <w:rPr>
                <w:rFonts w:hint="eastAsia" w:ascii="仿宋" w:hAnsi="仿宋" w:eastAsia="仿宋" w:cs="宋体"/>
                <w:b/>
                <w:i w:val="0"/>
                <w:color w:val="auto"/>
                <w:kern w:val="0"/>
                <w:sz w:val="24"/>
                <w:szCs w:val="24"/>
                <w:highlight w:val="none"/>
              </w:rPr>
              <w:t>技术</w:t>
            </w:r>
            <w:r>
              <w:rPr>
                <w:rFonts w:hint="eastAsia" w:ascii="仿宋" w:hAnsi="仿宋" w:eastAsia="仿宋" w:cs="宋体"/>
                <w:b/>
                <w:i w:val="0"/>
                <w:color w:val="auto"/>
                <w:kern w:val="0"/>
                <w:sz w:val="24"/>
                <w:szCs w:val="24"/>
                <w:highlight w:val="none"/>
                <w:lang w:eastAsia="zh-CN"/>
              </w:rPr>
              <w:t>/</w:t>
            </w:r>
            <w:r>
              <w:rPr>
                <w:rFonts w:hint="eastAsia" w:ascii="仿宋" w:hAnsi="仿宋" w:eastAsia="仿宋" w:cs="宋体"/>
                <w:b/>
                <w:i w:val="0"/>
                <w:color w:val="auto"/>
                <w:kern w:val="0"/>
                <w:sz w:val="24"/>
                <w:szCs w:val="24"/>
                <w:highlight w:val="none"/>
              </w:rPr>
              <w:t>服务应答</w:t>
            </w:r>
          </w:p>
        </w:tc>
        <w:tc>
          <w:tcPr>
            <w:tcW w:w="1244" w:type="dxa"/>
            <w:vAlign w:val="center"/>
          </w:tcPr>
          <w:p>
            <w:pPr>
              <w:tabs>
                <w:tab w:val="left" w:pos="6880"/>
              </w:tabs>
              <w:spacing w:line="360" w:lineRule="auto"/>
              <w:jc w:val="center"/>
              <w:rPr>
                <w:rFonts w:ascii="仿宋" w:hAnsi="仿宋" w:eastAsia="仿宋" w:cs="宋体"/>
                <w:b/>
                <w:i w:val="0"/>
                <w:color w:val="auto"/>
                <w:kern w:val="0"/>
                <w:sz w:val="24"/>
                <w:szCs w:val="24"/>
                <w:highlight w:val="none"/>
              </w:rPr>
            </w:pPr>
            <w:r>
              <w:rPr>
                <w:rFonts w:hint="eastAsia" w:ascii="仿宋" w:hAnsi="仿宋" w:eastAsia="仿宋" w:cs="宋体"/>
                <w:b/>
                <w:i w:val="0"/>
                <w:color w:val="auto"/>
                <w:kern w:val="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44" w:type="dxa"/>
            <w:vAlign w:val="center"/>
          </w:tcPr>
          <w:p>
            <w:pPr>
              <w:tabs>
                <w:tab w:val="left" w:pos="34"/>
              </w:tabs>
              <w:spacing w:line="360" w:lineRule="auto"/>
              <w:jc w:val="center"/>
              <w:rPr>
                <w:rFonts w:ascii="仿宋" w:hAnsi="仿宋" w:eastAsia="仿宋" w:cs="宋体"/>
                <w:i w:val="0"/>
                <w:color w:val="auto"/>
                <w:kern w:val="0"/>
                <w:sz w:val="24"/>
                <w:szCs w:val="24"/>
                <w:highlight w:val="none"/>
              </w:rPr>
            </w:pPr>
            <w:r>
              <w:rPr>
                <w:rFonts w:hint="eastAsia" w:ascii="仿宋" w:hAnsi="仿宋" w:eastAsia="仿宋" w:cs="宋体"/>
                <w:i w:val="0"/>
                <w:color w:val="auto"/>
                <w:kern w:val="0"/>
                <w:sz w:val="24"/>
                <w:szCs w:val="24"/>
                <w:highlight w:val="none"/>
              </w:rPr>
              <w:t>1</w:t>
            </w:r>
          </w:p>
        </w:tc>
        <w:tc>
          <w:tcPr>
            <w:tcW w:w="2524"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c>
          <w:tcPr>
            <w:tcW w:w="3258"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c>
          <w:tcPr>
            <w:tcW w:w="1244"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44" w:type="dxa"/>
            <w:vAlign w:val="center"/>
          </w:tcPr>
          <w:p>
            <w:pPr>
              <w:tabs>
                <w:tab w:val="left" w:pos="34"/>
              </w:tabs>
              <w:spacing w:line="360" w:lineRule="auto"/>
              <w:jc w:val="center"/>
              <w:rPr>
                <w:rFonts w:ascii="仿宋" w:hAnsi="仿宋" w:eastAsia="仿宋" w:cs="宋体"/>
                <w:i w:val="0"/>
                <w:color w:val="auto"/>
                <w:kern w:val="0"/>
                <w:sz w:val="24"/>
                <w:szCs w:val="24"/>
                <w:highlight w:val="none"/>
              </w:rPr>
            </w:pPr>
            <w:r>
              <w:rPr>
                <w:rFonts w:hint="eastAsia" w:ascii="仿宋" w:hAnsi="仿宋" w:eastAsia="仿宋" w:cs="宋体"/>
                <w:i w:val="0"/>
                <w:color w:val="auto"/>
                <w:kern w:val="0"/>
                <w:sz w:val="24"/>
                <w:szCs w:val="24"/>
                <w:highlight w:val="none"/>
              </w:rPr>
              <w:t>2</w:t>
            </w:r>
          </w:p>
        </w:tc>
        <w:tc>
          <w:tcPr>
            <w:tcW w:w="2524"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c>
          <w:tcPr>
            <w:tcW w:w="3258"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c>
          <w:tcPr>
            <w:tcW w:w="1244"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44" w:type="dxa"/>
            <w:vAlign w:val="center"/>
          </w:tcPr>
          <w:p>
            <w:pPr>
              <w:tabs>
                <w:tab w:val="left" w:pos="34"/>
              </w:tabs>
              <w:spacing w:line="360" w:lineRule="auto"/>
              <w:jc w:val="center"/>
              <w:rPr>
                <w:rFonts w:ascii="仿宋" w:hAnsi="仿宋" w:eastAsia="仿宋" w:cs="宋体"/>
                <w:i w:val="0"/>
                <w:color w:val="auto"/>
                <w:kern w:val="0"/>
                <w:sz w:val="24"/>
                <w:szCs w:val="24"/>
                <w:highlight w:val="none"/>
              </w:rPr>
            </w:pPr>
            <w:r>
              <w:rPr>
                <w:rFonts w:hint="eastAsia" w:ascii="仿宋" w:hAnsi="仿宋" w:eastAsia="仿宋" w:cs="宋体"/>
                <w:i w:val="0"/>
                <w:color w:val="auto"/>
                <w:kern w:val="0"/>
                <w:sz w:val="24"/>
                <w:szCs w:val="24"/>
                <w:highlight w:val="none"/>
              </w:rPr>
              <w:t>3</w:t>
            </w:r>
          </w:p>
        </w:tc>
        <w:tc>
          <w:tcPr>
            <w:tcW w:w="2524"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c>
          <w:tcPr>
            <w:tcW w:w="3258"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c>
          <w:tcPr>
            <w:tcW w:w="1244"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44" w:type="dxa"/>
            <w:vAlign w:val="center"/>
          </w:tcPr>
          <w:p>
            <w:pPr>
              <w:tabs>
                <w:tab w:val="left" w:pos="34"/>
              </w:tabs>
              <w:spacing w:line="360" w:lineRule="auto"/>
              <w:jc w:val="center"/>
              <w:rPr>
                <w:rFonts w:ascii="仿宋" w:hAnsi="仿宋" w:eastAsia="仿宋" w:cs="宋体"/>
                <w:i w:val="0"/>
                <w:color w:val="auto"/>
                <w:kern w:val="0"/>
                <w:sz w:val="24"/>
                <w:szCs w:val="24"/>
                <w:highlight w:val="none"/>
              </w:rPr>
            </w:pPr>
            <w:r>
              <w:rPr>
                <w:rFonts w:hint="eastAsia" w:ascii="仿宋" w:hAnsi="仿宋" w:eastAsia="仿宋" w:cs="宋体"/>
                <w:i w:val="0"/>
                <w:color w:val="auto"/>
                <w:kern w:val="0"/>
                <w:sz w:val="24"/>
                <w:szCs w:val="24"/>
                <w:highlight w:val="none"/>
              </w:rPr>
              <w:t>4</w:t>
            </w:r>
          </w:p>
        </w:tc>
        <w:tc>
          <w:tcPr>
            <w:tcW w:w="2524"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c>
          <w:tcPr>
            <w:tcW w:w="3258"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c>
          <w:tcPr>
            <w:tcW w:w="1244"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44" w:type="dxa"/>
            <w:vAlign w:val="center"/>
          </w:tcPr>
          <w:p>
            <w:pPr>
              <w:tabs>
                <w:tab w:val="left" w:pos="34"/>
              </w:tabs>
              <w:spacing w:line="360" w:lineRule="auto"/>
              <w:jc w:val="center"/>
              <w:rPr>
                <w:rFonts w:ascii="仿宋" w:hAnsi="仿宋" w:eastAsia="仿宋" w:cs="宋体"/>
                <w:i w:val="0"/>
                <w:color w:val="auto"/>
                <w:kern w:val="0"/>
                <w:sz w:val="24"/>
                <w:szCs w:val="24"/>
                <w:highlight w:val="none"/>
              </w:rPr>
            </w:pPr>
            <w:r>
              <w:rPr>
                <w:rFonts w:hint="eastAsia" w:ascii="仿宋" w:hAnsi="仿宋" w:eastAsia="仿宋" w:cs="宋体"/>
                <w:i w:val="0"/>
                <w:color w:val="auto"/>
                <w:kern w:val="0"/>
                <w:sz w:val="24"/>
                <w:szCs w:val="24"/>
                <w:highlight w:val="none"/>
              </w:rPr>
              <w:t>5</w:t>
            </w:r>
          </w:p>
        </w:tc>
        <w:tc>
          <w:tcPr>
            <w:tcW w:w="2524"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c>
          <w:tcPr>
            <w:tcW w:w="3258"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c>
          <w:tcPr>
            <w:tcW w:w="1244"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44" w:type="dxa"/>
            <w:vAlign w:val="center"/>
          </w:tcPr>
          <w:p>
            <w:pPr>
              <w:tabs>
                <w:tab w:val="left" w:pos="34"/>
              </w:tabs>
              <w:spacing w:line="360" w:lineRule="auto"/>
              <w:jc w:val="center"/>
              <w:rPr>
                <w:rFonts w:ascii="仿宋" w:hAnsi="仿宋" w:eastAsia="仿宋" w:cs="宋体"/>
                <w:i w:val="0"/>
                <w:color w:val="auto"/>
                <w:kern w:val="0"/>
                <w:sz w:val="24"/>
                <w:szCs w:val="24"/>
                <w:highlight w:val="none"/>
              </w:rPr>
            </w:pPr>
            <w:r>
              <w:rPr>
                <w:rFonts w:ascii="仿宋" w:hAnsi="仿宋" w:eastAsia="仿宋"/>
                <w:i w:val="0"/>
                <w:color w:val="auto"/>
                <w:kern w:val="0"/>
                <w:sz w:val="24"/>
                <w:szCs w:val="24"/>
                <w:highlight w:val="none"/>
              </w:rPr>
              <w:t>…</w:t>
            </w:r>
          </w:p>
        </w:tc>
        <w:tc>
          <w:tcPr>
            <w:tcW w:w="2524"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c>
          <w:tcPr>
            <w:tcW w:w="3258"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c>
          <w:tcPr>
            <w:tcW w:w="1244"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44" w:type="dxa"/>
            <w:vAlign w:val="center"/>
          </w:tcPr>
          <w:p>
            <w:pPr>
              <w:tabs>
                <w:tab w:val="left" w:pos="34"/>
              </w:tabs>
              <w:spacing w:line="360" w:lineRule="auto"/>
              <w:jc w:val="center"/>
              <w:rPr>
                <w:rFonts w:ascii="仿宋" w:hAnsi="仿宋" w:eastAsia="仿宋" w:cs="宋体"/>
                <w:i w:val="0"/>
                <w:color w:val="auto"/>
                <w:kern w:val="0"/>
                <w:sz w:val="24"/>
                <w:szCs w:val="24"/>
                <w:highlight w:val="none"/>
              </w:rPr>
            </w:pPr>
          </w:p>
        </w:tc>
        <w:tc>
          <w:tcPr>
            <w:tcW w:w="2524"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c>
          <w:tcPr>
            <w:tcW w:w="3258"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c>
          <w:tcPr>
            <w:tcW w:w="1244"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44" w:type="dxa"/>
            <w:vAlign w:val="center"/>
          </w:tcPr>
          <w:p>
            <w:pPr>
              <w:tabs>
                <w:tab w:val="left" w:pos="34"/>
              </w:tabs>
              <w:spacing w:line="360" w:lineRule="auto"/>
              <w:jc w:val="center"/>
              <w:rPr>
                <w:rFonts w:ascii="仿宋" w:hAnsi="仿宋" w:eastAsia="仿宋" w:cs="宋体"/>
                <w:i w:val="0"/>
                <w:color w:val="auto"/>
                <w:kern w:val="0"/>
                <w:sz w:val="24"/>
                <w:szCs w:val="24"/>
                <w:highlight w:val="none"/>
              </w:rPr>
            </w:pPr>
          </w:p>
        </w:tc>
        <w:tc>
          <w:tcPr>
            <w:tcW w:w="2524"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c>
          <w:tcPr>
            <w:tcW w:w="3258"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c>
          <w:tcPr>
            <w:tcW w:w="1244" w:type="dxa"/>
            <w:vAlign w:val="center"/>
          </w:tcPr>
          <w:p>
            <w:pPr>
              <w:tabs>
                <w:tab w:val="left" w:pos="6880"/>
              </w:tabs>
              <w:spacing w:line="360" w:lineRule="auto"/>
              <w:jc w:val="center"/>
              <w:rPr>
                <w:rFonts w:ascii="仿宋" w:hAnsi="仿宋" w:eastAsia="仿宋" w:cs="宋体"/>
                <w:i w:val="0"/>
                <w:color w:val="auto"/>
                <w:kern w:val="0"/>
                <w:sz w:val="24"/>
                <w:szCs w:val="24"/>
                <w:highlight w:val="none"/>
              </w:rPr>
            </w:pPr>
          </w:p>
        </w:tc>
      </w:tr>
    </w:tbl>
    <w:p>
      <w:pPr>
        <w:pStyle w:val="56"/>
        <w:rPr>
          <w:rFonts w:hint="eastAsia" w:ascii="仿宋" w:hAnsi="仿宋" w:eastAsia="仿宋"/>
          <w:i w:val="0"/>
          <w:color w:val="auto"/>
          <w:highlight w:val="none"/>
          <w:lang w:eastAsia="zh-CN"/>
        </w:rPr>
      </w:pPr>
      <w:r>
        <w:rPr>
          <w:rFonts w:hint="eastAsia" w:ascii="仿宋" w:hAnsi="仿宋" w:eastAsia="仿宋"/>
          <w:i w:val="0"/>
          <w:color w:val="auto"/>
          <w:highlight w:val="none"/>
          <w:lang w:eastAsia="zh-CN"/>
        </w:rPr>
        <w:t xml:space="preserve">注：1. </w:t>
      </w:r>
      <w:bookmarkStart w:id="495" w:name="OLE_LINK37"/>
      <w:r>
        <w:rPr>
          <w:rFonts w:hint="eastAsia" w:ascii="仿宋" w:hAnsi="仿宋" w:eastAsia="仿宋"/>
          <w:i w:val="0"/>
          <w:color w:val="auto"/>
          <w:highlight w:val="none"/>
          <w:lang w:eastAsia="zh-CN"/>
        </w:rPr>
        <w:t>本表只填写投标文件中与招标文件有偏离（包括正偏离和负偏离）的内容，投标文件中技术/服务响应与招标文件要求完全一致的，可以不用在此表中列出。</w:t>
      </w:r>
      <w:bookmarkEnd w:id="495"/>
      <w:r>
        <w:rPr>
          <w:rFonts w:hint="eastAsia" w:ascii="仿宋" w:hAnsi="仿宋" w:eastAsia="仿宋"/>
          <w:i w:val="0"/>
          <w:color w:val="auto"/>
          <w:highlight w:val="none"/>
          <w:lang w:eastAsia="zh-CN"/>
        </w:rPr>
        <w:t>如有偏离条款，请将偏离条款逐条应答，未明确偏离的条款，均视为默认接受，投标人不得借未作答而拒不接受。</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val="en-US" w:eastAsia="zh-CN"/>
        </w:rPr>
        <w:t>2</w:t>
      </w:r>
      <w:r>
        <w:rPr>
          <w:rFonts w:hint="eastAsia" w:ascii="仿宋" w:hAnsi="仿宋" w:eastAsia="仿宋"/>
          <w:i w:val="0"/>
          <w:color w:val="auto"/>
          <w:highlight w:val="none"/>
          <w:lang w:eastAsia="zh-CN"/>
        </w:rPr>
        <w:t>．投标人必须据实填写，不得虚假填写，否则将取消其投标或中标资格。</w:t>
      </w:r>
    </w:p>
    <w:p>
      <w:pPr>
        <w:rPr>
          <w:i w:val="0"/>
          <w:color w:val="auto"/>
          <w:highlight w:val="none"/>
          <w:lang w:eastAsia="zh-CN"/>
        </w:rPr>
      </w:pPr>
    </w:p>
    <w:p>
      <w:pPr>
        <w:rPr>
          <w:i w:val="0"/>
          <w:color w:val="auto"/>
          <w:highlight w:val="none"/>
          <w:lang w:eastAsia="zh-CN"/>
        </w:rPr>
      </w:pPr>
    </w:p>
    <w:p>
      <w:pPr>
        <w:rPr>
          <w:i w:val="0"/>
          <w:color w:val="auto"/>
          <w:highlight w:val="none"/>
          <w:lang w:eastAsia="zh-CN"/>
        </w:rPr>
      </w:pPr>
    </w:p>
    <w:p>
      <w:pPr>
        <w:adjustRightInd w:val="0"/>
        <w:spacing w:after="156" w:line="360" w:lineRule="auto"/>
        <w:ind w:firstLine="424" w:firstLineChars="177"/>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投标人名称：（单位公章）</w:t>
      </w:r>
    </w:p>
    <w:p>
      <w:pPr>
        <w:adjustRightInd w:val="0"/>
        <w:spacing w:after="156" w:line="360" w:lineRule="auto"/>
        <w:ind w:firstLine="424" w:firstLineChars="177"/>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法定代表人或授权代表（签字或加盖个人名章）：</w:t>
      </w:r>
    </w:p>
    <w:p>
      <w:pPr>
        <w:adjustRightInd w:val="0"/>
        <w:spacing w:after="156" w:line="360" w:lineRule="auto"/>
        <w:ind w:firstLine="424" w:firstLineChars="177"/>
        <w:rPr>
          <w:rFonts w:ascii="仿宋" w:hAnsi="仿宋" w:eastAsia="仿宋" w:cs="Marigold"/>
          <w:bCs/>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投标</w:t>
      </w:r>
      <w:r>
        <w:rPr>
          <w:rFonts w:hint="eastAsia" w:ascii="仿宋" w:hAnsi="仿宋" w:eastAsia="仿宋" w:cs="Marigold"/>
          <w:bCs/>
          <w:i w:val="0"/>
          <w:color w:val="auto"/>
          <w:sz w:val="24"/>
          <w:szCs w:val="24"/>
          <w:highlight w:val="none"/>
          <w:lang w:eastAsia="zh-CN"/>
        </w:rPr>
        <w:t>日期</w:t>
      </w:r>
      <w:r>
        <w:rPr>
          <w:rFonts w:ascii="仿宋" w:hAnsi="仿宋" w:eastAsia="仿宋" w:cs="Marigold"/>
          <w:bCs/>
          <w:i w:val="0"/>
          <w:color w:val="auto"/>
          <w:sz w:val="24"/>
          <w:szCs w:val="24"/>
          <w:highlight w:val="none"/>
          <w:lang w:eastAsia="zh-CN"/>
        </w:rPr>
        <w:t>:</w:t>
      </w:r>
      <w:r>
        <w:rPr>
          <w:rFonts w:hint="eastAsia" w:ascii="仿宋" w:hAnsi="仿宋" w:eastAsia="仿宋" w:cs="Marigold"/>
          <w:bCs/>
          <w:i w:val="0"/>
          <w:color w:val="auto"/>
          <w:sz w:val="24"/>
          <w:szCs w:val="24"/>
          <w:highlight w:val="none"/>
          <w:lang w:eastAsia="zh-CN"/>
        </w:rPr>
        <w:t xml:space="preserve">      年    月    日</w:t>
      </w:r>
    </w:p>
    <w:p>
      <w:pPr>
        <w:rPr>
          <w:i w:val="0"/>
          <w:color w:val="auto"/>
          <w:highlight w:val="none"/>
          <w:lang w:eastAsia="zh-CN"/>
        </w:rPr>
      </w:pPr>
      <w:r>
        <w:rPr>
          <w:i w:val="0"/>
          <w:color w:val="auto"/>
          <w:highlight w:val="none"/>
          <w:lang w:eastAsia="zh-CN"/>
        </w:rPr>
        <w:br w:type="page"/>
      </w:r>
    </w:p>
    <w:p>
      <w:pPr>
        <w:pStyle w:val="4"/>
        <w:jc w:val="left"/>
        <w:rPr>
          <w:i w:val="0"/>
          <w:color w:val="auto"/>
          <w:highlight w:val="none"/>
          <w:lang w:eastAsia="zh-CN"/>
        </w:rPr>
      </w:pPr>
      <w:bookmarkStart w:id="496" w:name="_Toc25167"/>
      <w:bookmarkStart w:id="497" w:name="_Toc524910134"/>
      <w:bookmarkStart w:id="498" w:name="_Toc505762769"/>
      <w:bookmarkStart w:id="499" w:name="_Toc511558676"/>
      <w:bookmarkStart w:id="500" w:name="_Toc38274205"/>
      <w:bookmarkStart w:id="501" w:name="_Toc497752269"/>
      <w:r>
        <w:rPr>
          <w:rFonts w:hint="eastAsia"/>
          <w:i w:val="0"/>
          <w:color w:val="auto"/>
          <w:highlight w:val="none"/>
          <w:lang w:eastAsia="zh-CN"/>
        </w:rPr>
        <w:t>七、投标人本项目管理、技术、服务人员情况</w:t>
      </w:r>
      <w:bookmarkEnd w:id="496"/>
      <w:bookmarkEnd w:id="497"/>
      <w:bookmarkEnd w:id="498"/>
      <w:bookmarkEnd w:id="499"/>
      <w:bookmarkEnd w:id="500"/>
      <w:bookmarkEnd w:id="501"/>
    </w:p>
    <w:p>
      <w:pPr>
        <w:rPr>
          <w:i w:val="0"/>
          <w:color w:val="auto"/>
          <w:highlight w:val="none"/>
          <w:lang w:eastAsia="zh-CN"/>
        </w:rPr>
      </w:pPr>
    </w:p>
    <w:p>
      <w:pPr>
        <w:jc w:val="center"/>
        <w:rPr>
          <w:rFonts w:ascii="仿宋" w:hAnsi="仿宋" w:eastAsia="仿宋"/>
          <w:b/>
          <w:i w:val="0"/>
          <w:color w:val="auto"/>
          <w:sz w:val="28"/>
          <w:szCs w:val="28"/>
          <w:highlight w:val="none"/>
          <w:lang w:eastAsia="zh-CN"/>
        </w:rPr>
      </w:pPr>
      <w:r>
        <w:rPr>
          <w:rFonts w:hint="eastAsia" w:ascii="仿宋" w:hAnsi="仿宋" w:eastAsia="仿宋"/>
          <w:b/>
          <w:i w:val="0"/>
          <w:color w:val="auto"/>
          <w:sz w:val="28"/>
          <w:szCs w:val="28"/>
          <w:highlight w:val="none"/>
          <w:lang w:eastAsia="zh-CN"/>
        </w:rPr>
        <w:t>投标人本项目管理、技术、服务人员情况表</w:t>
      </w:r>
    </w:p>
    <w:tbl>
      <w:tblPr>
        <w:tblStyle w:val="2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921"/>
        <w:gridCol w:w="921"/>
        <w:gridCol w:w="921"/>
        <w:gridCol w:w="921"/>
        <w:gridCol w:w="1202"/>
        <w:gridCol w:w="844"/>
        <w:gridCol w:w="961"/>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070" w:type="dxa"/>
            <w:vMerge w:val="restart"/>
            <w:vAlign w:val="center"/>
          </w:tcPr>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类别</w:t>
            </w:r>
          </w:p>
        </w:tc>
        <w:tc>
          <w:tcPr>
            <w:tcW w:w="921" w:type="dxa"/>
            <w:vMerge w:val="restart"/>
            <w:vAlign w:val="center"/>
          </w:tcPr>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职务</w:t>
            </w:r>
          </w:p>
        </w:tc>
        <w:tc>
          <w:tcPr>
            <w:tcW w:w="921" w:type="dxa"/>
            <w:vMerge w:val="restart"/>
            <w:vAlign w:val="center"/>
          </w:tcPr>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姓名</w:t>
            </w:r>
          </w:p>
        </w:tc>
        <w:tc>
          <w:tcPr>
            <w:tcW w:w="921" w:type="dxa"/>
            <w:vMerge w:val="restart"/>
            <w:vAlign w:val="center"/>
          </w:tcPr>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职称</w:t>
            </w:r>
          </w:p>
        </w:tc>
        <w:tc>
          <w:tcPr>
            <w:tcW w:w="921" w:type="dxa"/>
            <w:vMerge w:val="restart"/>
            <w:vAlign w:val="center"/>
          </w:tcPr>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常住地</w:t>
            </w:r>
          </w:p>
        </w:tc>
        <w:tc>
          <w:tcPr>
            <w:tcW w:w="3855" w:type="dxa"/>
            <w:gridSpan w:val="4"/>
            <w:vAlign w:val="center"/>
          </w:tcPr>
          <w:p>
            <w:pPr>
              <w:spacing w:after="156"/>
              <w:jc w:val="center"/>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070" w:type="dxa"/>
            <w:vMerge w:val="continue"/>
            <w:vAlign w:val="center"/>
          </w:tcPr>
          <w:p>
            <w:pPr>
              <w:spacing w:after="156"/>
              <w:jc w:val="center"/>
              <w:rPr>
                <w:rFonts w:ascii="仿宋" w:hAnsi="仿宋" w:eastAsia="仿宋" w:cs="Marigold"/>
                <w:i w:val="0"/>
                <w:color w:val="auto"/>
                <w:sz w:val="24"/>
                <w:szCs w:val="24"/>
                <w:highlight w:val="none"/>
                <w:lang w:eastAsia="zh-CN"/>
              </w:rPr>
            </w:pPr>
          </w:p>
        </w:tc>
        <w:tc>
          <w:tcPr>
            <w:tcW w:w="921" w:type="dxa"/>
            <w:vMerge w:val="continue"/>
            <w:vAlign w:val="center"/>
          </w:tcPr>
          <w:p>
            <w:pPr>
              <w:spacing w:after="156"/>
              <w:jc w:val="center"/>
              <w:rPr>
                <w:rFonts w:ascii="仿宋" w:hAnsi="仿宋" w:eastAsia="仿宋" w:cs="Marigold"/>
                <w:i w:val="0"/>
                <w:color w:val="auto"/>
                <w:sz w:val="24"/>
                <w:szCs w:val="24"/>
                <w:highlight w:val="none"/>
                <w:lang w:eastAsia="zh-CN"/>
              </w:rPr>
            </w:pPr>
          </w:p>
        </w:tc>
        <w:tc>
          <w:tcPr>
            <w:tcW w:w="921" w:type="dxa"/>
            <w:vMerge w:val="continue"/>
            <w:vAlign w:val="center"/>
          </w:tcPr>
          <w:p>
            <w:pPr>
              <w:spacing w:after="156"/>
              <w:jc w:val="center"/>
              <w:rPr>
                <w:rFonts w:ascii="仿宋" w:hAnsi="仿宋" w:eastAsia="仿宋" w:cs="Marigold"/>
                <w:i w:val="0"/>
                <w:color w:val="auto"/>
                <w:sz w:val="24"/>
                <w:szCs w:val="24"/>
                <w:highlight w:val="none"/>
                <w:lang w:eastAsia="zh-CN"/>
              </w:rPr>
            </w:pPr>
          </w:p>
        </w:tc>
        <w:tc>
          <w:tcPr>
            <w:tcW w:w="921" w:type="dxa"/>
            <w:vMerge w:val="continue"/>
            <w:vAlign w:val="center"/>
          </w:tcPr>
          <w:p>
            <w:pPr>
              <w:spacing w:after="156"/>
              <w:jc w:val="center"/>
              <w:rPr>
                <w:rFonts w:ascii="仿宋" w:hAnsi="仿宋" w:eastAsia="仿宋" w:cs="Marigold"/>
                <w:i w:val="0"/>
                <w:color w:val="auto"/>
                <w:sz w:val="24"/>
                <w:szCs w:val="24"/>
                <w:highlight w:val="none"/>
                <w:lang w:eastAsia="zh-CN"/>
              </w:rPr>
            </w:pPr>
          </w:p>
        </w:tc>
        <w:tc>
          <w:tcPr>
            <w:tcW w:w="921" w:type="dxa"/>
            <w:vMerge w:val="continue"/>
            <w:vAlign w:val="center"/>
          </w:tcPr>
          <w:p>
            <w:pPr>
              <w:spacing w:after="156"/>
              <w:jc w:val="center"/>
              <w:rPr>
                <w:rFonts w:ascii="仿宋" w:hAnsi="仿宋" w:eastAsia="仿宋" w:cs="Marigold"/>
                <w:i w:val="0"/>
                <w:color w:val="auto"/>
                <w:sz w:val="24"/>
                <w:szCs w:val="24"/>
                <w:highlight w:val="none"/>
                <w:lang w:eastAsia="zh-CN"/>
              </w:rPr>
            </w:pPr>
          </w:p>
        </w:tc>
        <w:tc>
          <w:tcPr>
            <w:tcW w:w="1202" w:type="dxa"/>
            <w:vAlign w:val="center"/>
          </w:tcPr>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证书名称</w:t>
            </w:r>
          </w:p>
        </w:tc>
        <w:tc>
          <w:tcPr>
            <w:tcW w:w="844" w:type="dxa"/>
            <w:vAlign w:val="center"/>
          </w:tcPr>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级别</w:t>
            </w:r>
          </w:p>
        </w:tc>
        <w:tc>
          <w:tcPr>
            <w:tcW w:w="961" w:type="dxa"/>
            <w:vAlign w:val="center"/>
          </w:tcPr>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证号</w:t>
            </w:r>
          </w:p>
        </w:tc>
        <w:tc>
          <w:tcPr>
            <w:tcW w:w="848" w:type="dxa"/>
            <w:vAlign w:val="center"/>
          </w:tcPr>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070" w:type="dxa"/>
            <w:vMerge w:val="restart"/>
            <w:vAlign w:val="center"/>
          </w:tcPr>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管</w:t>
            </w:r>
          </w:p>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理</w:t>
            </w:r>
          </w:p>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人</w:t>
            </w:r>
          </w:p>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员</w:t>
            </w: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1202" w:type="dxa"/>
          </w:tcPr>
          <w:p>
            <w:pPr>
              <w:spacing w:after="156"/>
              <w:jc w:val="center"/>
              <w:rPr>
                <w:rFonts w:ascii="仿宋" w:hAnsi="仿宋" w:eastAsia="仿宋" w:cs="Marigold"/>
                <w:i w:val="0"/>
                <w:color w:val="auto"/>
                <w:sz w:val="24"/>
                <w:szCs w:val="24"/>
                <w:highlight w:val="none"/>
              </w:rPr>
            </w:pPr>
          </w:p>
        </w:tc>
        <w:tc>
          <w:tcPr>
            <w:tcW w:w="844" w:type="dxa"/>
          </w:tcPr>
          <w:p>
            <w:pPr>
              <w:spacing w:after="156"/>
              <w:jc w:val="center"/>
              <w:rPr>
                <w:rFonts w:ascii="仿宋" w:hAnsi="仿宋" w:eastAsia="仿宋" w:cs="Marigold"/>
                <w:i w:val="0"/>
                <w:color w:val="auto"/>
                <w:sz w:val="24"/>
                <w:szCs w:val="24"/>
                <w:highlight w:val="none"/>
              </w:rPr>
            </w:pPr>
          </w:p>
        </w:tc>
        <w:tc>
          <w:tcPr>
            <w:tcW w:w="961" w:type="dxa"/>
          </w:tcPr>
          <w:p>
            <w:pPr>
              <w:spacing w:after="156"/>
              <w:jc w:val="center"/>
              <w:rPr>
                <w:rFonts w:ascii="仿宋" w:hAnsi="仿宋" w:eastAsia="仿宋" w:cs="Marigold"/>
                <w:i w:val="0"/>
                <w:color w:val="auto"/>
                <w:sz w:val="24"/>
                <w:szCs w:val="24"/>
                <w:highlight w:val="none"/>
              </w:rPr>
            </w:pPr>
          </w:p>
        </w:tc>
        <w:tc>
          <w:tcPr>
            <w:tcW w:w="848" w:type="dxa"/>
          </w:tcPr>
          <w:p>
            <w:pPr>
              <w:spacing w:after="156"/>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070" w:type="dxa"/>
            <w:vMerge w:val="continue"/>
            <w:vAlign w:val="center"/>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1202" w:type="dxa"/>
          </w:tcPr>
          <w:p>
            <w:pPr>
              <w:spacing w:after="156"/>
              <w:jc w:val="center"/>
              <w:rPr>
                <w:rFonts w:ascii="仿宋" w:hAnsi="仿宋" w:eastAsia="仿宋" w:cs="Marigold"/>
                <w:i w:val="0"/>
                <w:color w:val="auto"/>
                <w:sz w:val="24"/>
                <w:szCs w:val="24"/>
                <w:highlight w:val="none"/>
              </w:rPr>
            </w:pPr>
          </w:p>
        </w:tc>
        <w:tc>
          <w:tcPr>
            <w:tcW w:w="844" w:type="dxa"/>
          </w:tcPr>
          <w:p>
            <w:pPr>
              <w:spacing w:after="156"/>
              <w:jc w:val="center"/>
              <w:rPr>
                <w:rFonts w:ascii="仿宋" w:hAnsi="仿宋" w:eastAsia="仿宋" w:cs="Marigold"/>
                <w:i w:val="0"/>
                <w:color w:val="auto"/>
                <w:sz w:val="24"/>
                <w:szCs w:val="24"/>
                <w:highlight w:val="none"/>
              </w:rPr>
            </w:pPr>
          </w:p>
        </w:tc>
        <w:tc>
          <w:tcPr>
            <w:tcW w:w="961" w:type="dxa"/>
          </w:tcPr>
          <w:p>
            <w:pPr>
              <w:spacing w:after="156"/>
              <w:jc w:val="center"/>
              <w:rPr>
                <w:rFonts w:ascii="仿宋" w:hAnsi="仿宋" w:eastAsia="仿宋" w:cs="Marigold"/>
                <w:i w:val="0"/>
                <w:color w:val="auto"/>
                <w:sz w:val="24"/>
                <w:szCs w:val="24"/>
                <w:highlight w:val="none"/>
              </w:rPr>
            </w:pPr>
          </w:p>
        </w:tc>
        <w:tc>
          <w:tcPr>
            <w:tcW w:w="848" w:type="dxa"/>
          </w:tcPr>
          <w:p>
            <w:pPr>
              <w:spacing w:after="156"/>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070" w:type="dxa"/>
            <w:vMerge w:val="continue"/>
            <w:vAlign w:val="center"/>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1202" w:type="dxa"/>
          </w:tcPr>
          <w:p>
            <w:pPr>
              <w:spacing w:after="156"/>
              <w:jc w:val="center"/>
              <w:rPr>
                <w:rFonts w:ascii="仿宋" w:hAnsi="仿宋" w:eastAsia="仿宋" w:cs="Marigold"/>
                <w:i w:val="0"/>
                <w:color w:val="auto"/>
                <w:sz w:val="24"/>
                <w:szCs w:val="24"/>
                <w:highlight w:val="none"/>
              </w:rPr>
            </w:pPr>
          </w:p>
        </w:tc>
        <w:tc>
          <w:tcPr>
            <w:tcW w:w="844" w:type="dxa"/>
          </w:tcPr>
          <w:p>
            <w:pPr>
              <w:spacing w:after="156"/>
              <w:jc w:val="center"/>
              <w:rPr>
                <w:rFonts w:ascii="仿宋" w:hAnsi="仿宋" w:eastAsia="仿宋" w:cs="Marigold"/>
                <w:i w:val="0"/>
                <w:color w:val="auto"/>
                <w:sz w:val="24"/>
                <w:szCs w:val="24"/>
                <w:highlight w:val="none"/>
              </w:rPr>
            </w:pPr>
          </w:p>
        </w:tc>
        <w:tc>
          <w:tcPr>
            <w:tcW w:w="961" w:type="dxa"/>
          </w:tcPr>
          <w:p>
            <w:pPr>
              <w:spacing w:after="156"/>
              <w:jc w:val="center"/>
              <w:rPr>
                <w:rFonts w:ascii="仿宋" w:hAnsi="仿宋" w:eastAsia="仿宋" w:cs="Marigold"/>
                <w:i w:val="0"/>
                <w:color w:val="auto"/>
                <w:sz w:val="24"/>
                <w:szCs w:val="24"/>
                <w:highlight w:val="none"/>
              </w:rPr>
            </w:pPr>
          </w:p>
        </w:tc>
        <w:tc>
          <w:tcPr>
            <w:tcW w:w="848" w:type="dxa"/>
          </w:tcPr>
          <w:p>
            <w:pPr>
              <w:spacing w:after="156"/>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070" w:type="dxa"/>
            <w:vMerge w:val="restart"/>
            <w:vAlign w:val="center"/>
          </w:tcPr>
          <w:p>
            <w:pPr>
              <w:spacing w:after="156"/>
              <w:jc w:val="center"/>
              <w:rPr>
                <w:rFonts w:hint="eastAsia" w:ascii="仿宋" w:hAnsi="仿宋" w:eastAsia="仿宋" w:cs="Marigold"/>
                <w:i w:val="0"/>
                <w:color w:val="auto"/>
                <w:sz w:val="24"/>
                <w:szCs w:val="24"/>
                <w:highlight w:val="none"/>
                <w:lang w:val="en-US" w:eastAsia="zh-CN"/>
              </w:rPr>
            </w:pPr>
            <w:r>
              <w:rPr>
                <w:rFonts w:hint="eastAsia" w:ascii="仿宋" w:hAnsi="仿宋" w:eastAsia="仿宋" w:cs="Marigold"/>
                <w:i w:val="0"/>
                <w:color w:val="auto"/>
                <w:sz w:val="24"/>
                <w:szCs w:val="24"/>
                <w:highlight w:val="none"/>
                <w:lang w:val="en-US" w:eastAsia="zh-CN"/>
              </w:rPr>
              <w:t>服</w:t>
            </w:r>
          </w:p>
          <w:p>
            <w:pPr>
              <w:spacing w:after="156"/>
              <w:jc w:val="center"/>
              <w:rPr>
                <w:rFonts w:hint="eastAsia" w:ascii="仿宋" w:hAnsi="仿宋" w:eastAsia="仿宋" w:cs="Marigold"/>
                <w:i w:val="0"/>
                <w:color w:val="auto"/>
                <w:sz w:val="24"/>
                <w:szCs w:val="24"/>
                <w:highlight w:val="none"/>
                <w:lang w:val="en-US" w:eastAsia="zh-CN"/>
              </w:rPr>
            </w:pPr>
            <w:r>
              <w:rPr>
                <w:rFonts w:hint="eastAsia" w:ascii="仿宋" w:hAnsi="仿宋" w:eastAsia="仿宋" w:cs="Marigold"/>
                <w:i w:val="0"/>
                <w:color w:val="auto"/>
                <w:sz w:val="24"/>
                <w:szCs w:val="24"/>
                <w:highlight w:val="none"/>
                <w:lang w:val="en-US" w:eastAsia="zh-CN"/>
              </w:rPr>
              <w:t>务</w:t>
            </w:r>
          </w:p>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人</w:t>
            </w:r>
          </w:p>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员</w:t>
            </w: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1202" w:type="dxa"/>
          </w:tcPr>
          <w:p>
            <w:pPr>
              <w:spacing w:after="156"/>
              <w:jc w:val="center"/>
              <w:rPr>
                <w:rFonts w:ascii="仿宋" w:hAnsi="仿宋" w:eastAsia="仿宋" w:cs="Marigold"/>
                <w:i w:val="0"/>
                <w:color w:val="auto"/>
                <w:sz w:val="24"/>
                <w:szCs w:val="24"/>
                <w:highlight w:val="none"/>
              </w:rPr>
            </w:pPr>
          </w:p>
        </w:tc>
        <w:tc>
          <w:tcPr>
            <w:tcW w:w="844" w:type="dxa"/>
          </w:tcPr>
          <w:p>
            <w:pPr>
              <w:spacing w:after="156"/>
              <w:jc w:val="center"/>
              <w:rPr>
                <w:rFonts w:ascii="仿宋" w:hAnsi="仿宋" w:eastAsia="仿宋" w:cs="Marigold"/>
                <w:i w:val="0"/>
                <w:color w:val="auto"/>
                <w:sz w:val="24"/>
                <w:szCs w:val="24"/>
                <w:highlight w:val="none"/>
              </w:rPr>
            </w:pPr>
          </w:p>
        </w:tc>
        <w:tc>
          <w:tcPr>
            <w:tcW w:w="961" w:type="dxa"/>
          </w:tcPr>
          <w:p>
            <w:pPr>
              <w:spacing w:after="156"/>
              <w:jc w:val="center"/>
              <w:rPr>
                <w:rFonts w:ascii="仿宋" w:hAnsi="仿宋" w:eastAsia="仿宋" w:cs="Marigold"/>
                <w:i w:val="0"/>
                <w:color w:val="auto"/>
                <w:sz w:val="24"/>
                <w:szCs w:val="24"/>
                <w:highlight w:val="none"/>
              </w:rPr>
            </w:pPr>
          </w:p>
        </w:tc>
        <w:tc>
          <w:tcPr>
            <w:tcW w:w="848" w:type="dxa"/>
          </w:tcPr>
          <w:p>
            <w:pPr>
              <w:spacing w:after="156"/>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070" w:type="dxa"/>
            <w:vMerge w:val="continue"/>
            <w:vAlign w:val="center"/>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1202" w:type="dxa"/>
          </w:tcPr>
          <w:p>
            <w:pPr>
              <w:spacing w:after="156"/>
              <w:jc w:val="center"/>
              <w:rPr>
                <w:rFonts w:ascii="仿宋" w:hAnsi="仿宋" w:eastAsia="仿宋" w:cs="Marigold"/>
                <w:i w:val="0"/>
                <w:color w:val="auto"/>
                <w:sz w:val="24"/>
                <w:szCs w:val="24"/>
                <w:highlight w:val="none"/>
              </w:rPr>
            </w:pPr>
          </w:p>
        </w:tc>
        <w:tc>
          <w:tcPr>
            <w:tcW w:w="844" w:type="dxa"/>
          </w:tcPr>
          <w:p>
            <w:pPr>
              <w:spacing w:after="156"/>
              <w:jc w:val="center"/>
              <w:rPr>
                <w:rFonts w:ascii="仿宋" w:hAnsi="仿宋" w:eastAsia="仿宋" w:cs="Marigold"/>
                <w:i w:val="0"/>
                <w:color w:val="auto"/>
                <w:sz w:val="24"/>
                <w:szCs w:val="24"/>
                <w:highlight w:val="none"/>
              </w:rPr>
            </w:pPr>
          </w:p>
        </w:tc>
        <w:tc>
          <w:tcPr>
            <w:tcW w:w="961" w:type="dxa"/>
          </w:tcPr>
          <w:p>
            <w:pPr>
              <w:spacing w:after="156"/>
              <w:jc w:val="center"/>
              <w:rPr>
                <w:rFonts w:ascii="仿宋" w:hAnsi="仿宋" w:eastAsia="仿宋" w:cs="Marigold"/>
                <w:i w:val="0"/>
                <w:color w:val="auto"/>
                <w:sz w:val="24"/>
                <w:szCs w:val="24"/>
                <w:highlight w:val="none"/>
              </w:rPr>
            </w:pPr>
          </w:p>
        </w:tc>
        <w:tc>
          <w:tcPr>
            <w:tcW w:w="848" w:type="dxa"/>
          </w:tcPr>
          <w:p>
            <w:pPr>
              <w:spacing w:after="156"/>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070" w:type="dxa"/>
            <w:vMerge w:val="continue"/>
            <w:vAlign w:val="center"/>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1202" w:type="dxa"/>
          </w:tcPr>
          <w:p>
            <w:pPr>
              <w:spacing w:after="156"/>
              <w:jc w:val="center"/>
              <w:rPr>
                <w:rFonts w:ascii="仿宋" w:hAnsi="仿宋" w:eastAsia="仿宋" w:cs="Marigold"/>
                <w:i w:val="0"/>
                <w:color w:val="auto"/>
                <w:sz w:val="24"/>
                <w:szCs w:val="24"/>
                <w:highlight w:val="none"/>
              </w:rPr>
            </w:pPr>
          </w:p>
        </w:tc>
        <w:tc>
          <w:tcPr>
            <w:tcW w:w="844" w:type="dxa"/>
          </w:tcPr>
          <w:p>
            <w:pPr>
              <w:spacing w:after="156"/>
              <w:jc w:val="center"/>
              <w:rPr>
                <w:rFonts w:ascii="仿宋" w:hAnsi="仿宋" w:eastAsia="仿宋" w:cs="Marigold"/>
                <w:i w:val="0"/>
                <w:color w:val="auto"/>
                <w:sz w:val="24"/>
                <w:szCs w:val="24"/>
                <w:highlight w:val="none"/>
              </w:rPr>
            </w:pPr>
          </w:p>
        </w:tc>
        <w:tc>
          <w:tcPr>
            <w:tcW w:w="961" w:type="dxa"/>
          </w:tcPr>
          <w:p>
            <w:pPr>
              <w:spacing w:after="156"/>
              <w:jc w:val="center"/>
              <w:rPr>
                <w:rFonts w:ascii="仿宋" w:hAnsi="仿宋" w:eastAsia="仿宋" w:cs="Marigold"/>
                <w:i w:val="0"/>
                <w:color w:val="auto"/>
                <w:sz w:val="24"/>
                <w:szCs w:val="24"/>
                <w:highlight w:val="none"/>
              </w:rPr>
            </w:pPr>
          </w:p>
        </w:tc>
        <w:tc>
          <w:tcPr>
            <w:tcW w:w="848" w:type="dxa"/>
          </w:tcPr>
          <w:p>
            <w:pPr>
              <w:spacing w:after="156"/>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070" w:type="dxa"/>
            <w:vMerge w:val="restart"/>
            <w:vAlign w:val="center"/>
          </w:tcPr>
          <w:p>
            <w:pPr>
              <w:spacing w:after="156"/>
              <w:jc w:val="center"/>
              <w:rPr>
                <w:rFonts w:hint="eastAsia" w:ascii="仿宋" w:hAnsi="仿宋" w:eastAsia="仿宋" w:cs="Marigold"/>
                <w:i w:val="0"/>
                <w:color w:val="auto"/>
                <w:sz w:val="24"/>
                <w:szCs w:val="24"/>
                <w:highlight w:val="none"/>
                <w:lang w:val="en-US" w:eastAsia="zh-CN"/>
              </w:rPr>
            </w:pPr>
            <w:r>
              <w:rPr>
                <w:rFonts w:hint="eastAsia" w:ascii="仿宋" w:hAnsi="仿宋" w:eastAsia="仿宋" w:cs="Marigold"/>
                <w:i w:val="0"/>
                <w:color w:val="auto"/>
                <w:sz w:val="24"/>
                <w:szCs w:val="24"/>
                <w:highlight w:val="none"/>
                <w:lang w:val="en-US" w:eastAsia="zh-CN"/>
              </w:rPr>
              <w:t>其</w:t>
            </w:r>
          </w:p>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lang w:val="en-US" w:eastAsia="zh-CN"/>
              </w:rPr>
              <w:t>他</w:t>
            </w:r>
          </w:p>
          <w:p>
            <w:pPr>
              <w:spacing w:after="156"/>
              <w:jc w:val="center"/>
              <w:rPr>
                <w:rFonts w:hint="eastAsia"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人</w:t>
            </w:r>
          </w:p>
          <w:p>
            <w:pPr>
              <w:spacing w:after="156"/>
              <w:jc w:val="center"/>
              <w:rPr>
                <w:rFonts w:ascii="仿宋" w:hAnsi="仿宋" w:eastAsia="仿宋" w:cs="Marigold"/>
                <w:i w:val="0"/>
                <w:color w:val="auto"/>
                <w:sz w:val="24"/>
                <w:szCs w:val="24"/>
                <w:highlight w:val="none"/>
              </w:rPr>
            </w:pPr>
            <w:r>
              <w:rPr>
                <w:rFonts w:hint="eastAsia" w:ascii="仿宋" w:hAnsi="仿宋" w:eastAsia="仿宋" w:cs="Marigold"/>
                <w:i w:val="0"/>
                <w:color w:val="auto"/>
                <w:sz w:val="24"/>
                <w:szCs w:val="24"/>
                <w:highlight w:val="none"/>
              </w:rPr>
              <w:t>员</w:t>
            </w: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1202" w:type="dxa"/>
          </w:tcPr>
          <w:p>
            <w:pPr>
              <w:spacing w:after="156"/>
              <w:jc w:val="center"/>
              <w:rPr>
                <w:rFonts w:ascii="仿宋" w:hAnsi="仿宋" w:eastAsia="仿宋" w:cs="Marigold"/>
                <w:i w:val="0"/>
                <w:color w:val="auto"/>
                <w:sz w:val="24"/>
                <w:szCs w:val="24"/>
                <w:highlight w:val="none"/>
              </w:rPr>
            </w:pPr>
          </w:p>
        </w:tc>
        <w:tc>
          <w:tcPr>
            <w:tcW w:w="844" w:type="dxa"/>
          </w:tcPr>
          <w:p>
            <w:pPr>
              <w:spacing w:after="156"/>
              <w:jc w:val="center"/>
              <w:rPr>
                <w:rFonts w:ascii="仿宋" w:hAnsi="仿宋" w:eastAsia="仿宋" w:cs="Marigold"/>
                <w:i w:val="0"/>
                <w:color w:val="auto"/>
                <w:sz w:val="24"/>
                <w:szCs w:val="24"/>
                <w:highlight w:val="none"/>
              </w:rPr>
            </w:pPr>
          </w:p>
        </w:tc>
        <w:tc>
          <w:tcPr>
            <w:tcW w:w="961" w:type="dxa"/>
          </w:tcPr>
          <w:p>
            <w:pPr>
              <w:spacing w:after="156"/>
              <w:jc w:val="center"/>
              <w:rPr>
                <w:rFonts w:ascii="仿宋" w:hAnsi="仿宋" w:eastAsia="仿宋" w:cs="Marigold"/>
                <w:i w:val="0"/>
                <w:color w:val="auto"/>
                <w:sz w:val="24"/>
                <w:szCs w:val="24"/>
                <w:highlight w:val="none"/>
              </w:rPr>
            </w:pPr>
          </w:p>
        </w:tc>
        <w:tc>
          <w:tcPr>
            <w:tcW w:w="848" w:type="dxa"/>
          </w:tcPr>
          <w:p>
            <w:pPr>
              <w:spacing w:after="156"/>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070" w:type="dxa"/>
            <w:vMerge w:val="continue"/>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b/>
                <w:bCs/>
                <w:i w:val="0"/>
                <w:color w:val="auto"/>
                <w:sz w:val="24"/>
                <w:szCs w:val="24"/>
                <w:highlight w:val="none"/>
              </w:rPr>
            </w:pPr>
          </w:p>
        </w:tc>
        <w:tc>
          <w:tcPr>
            <w:tcW w:w="921" w:type="dxa"/>
          </w:tcPr>
          <w:p>
            <w:pPr>
              <w:spacing w:after="156"/>
              <w:jc w:val="center"/>
              <w:rPr>
                <w:rFonts w:ascii="仿宋" w:hAnsi="仿宋" w:eastAsia="仿宋" w:cs="Marigold"/>
                <w:b/>
                <w:bCs/>
                <w:i w:val="0"/>
                <w:color w:val="auto"/>
                <w:sz w:val="24"/>
                <w:szCs w:val="24"/>
                <w:highlight w:val="none"/>
              </w:rPr>
            </w:pPr>
          </w:p>
        </w:tc>
        <w:tc>
          <w:tcPr>
            <w:tcW w:w="921" w:type="dxa"/>
          </w:tcPr>
          <w:p>
            <w:pPr>
              <w:spacing w:after="156"/>
              <w:jc w:val="center"/>
              <w:rPr>
                <w:rFonts w:ascii="仿宋" w:hAnsi="仿宋" w:eastAsia="仿宋" w:cs="Marigold"/>
                <w:b/>
                <w:bCs/>
                <w:i w:val="0"/>
                <w:color w:val="auto"/>
                <w:sz w:val="24"/>
                <w:szCs w:val="24"/>
                <w:highlight w:val="none"/>
              </w:rPr>
            </w:pPr>
          </w:p>
        </w:tc>
        <w:tc>
          <w:tcPr>
            <w:tcW w:w="1202" w:type="dxa"/>
          </w:tcPr>
          <w:p>
            <w:pPr>
              <w:spacing w:after="156"/>
              <w:jc w:val="center"/>
              <w:rPr>
                <w:rFonts w:ascii="仿宋" w:hAnsi="仿宋" w:eastAsia="仿宋" w:cs="Marigold"/>
                <w:b/>
                <w:bCs/>
                <w:i w:val="0"/>
                <w:color w:val="auto"/>
                <w:sz w:val="24"/>
                <w:szCs w:val="24"/>
                <w:highlight w:val="none"/>
              </w:rPr>
            </w:pPr>
          </w:p>
        </w:tc>
        <w:tc>
          <w:tcPr>
            <w:tcW w:w="844" w:type="dxa"/>
          </w:tcPr>
          <w:p>
            <w:pPr>
              <w:spacing w:after="156"/>
              <w:jc w:val="center"/>
              <w:rPr>
                <w:rFonts w:ascii="仿宋" w:hAnsi="仿宋" w:eastAsia="仿宋" w:cs="Marigold"/>
                <w:b/>
                <w:bCs/>
                <w:i w:val="0"/>
                <w:color w:val="auto"/>
                <w:sz w:val="24"/>
                <w:szCs w:val="24"/>
                <w:highlight w:val="none"/>
              </w:rPr>
            </w:pPr>
          </w:p>
        </w:tc>
        <w:tc>
          <w:tcPr>
            <w:tcW w:w="961" w:type="dxa"/>
          </w:tcPr>
          <w:p>
            <w:pPr>
              <w:spacing w:after="156"/>
              <w:jc w:val="center"/>
              <w:rPr>
                <w:rFonts w:ascii="仿宋" w:hAnsi="仿宋" w:eastAsia="仿宋" w:cs="Marigold"/>
                <w:b/>
                <w:bCs/>
                <w:i w:val="0"/>
                <w:color w:val="auto"/>
                <w:sz w:val="24"/>
                <w:szCs w:val="24"/>
                <w:highlight w:val="none"/>
              </w:rPr>
            </w:pPr>
          </w:p>
        </w:tc>
        <w:tc>
          <w:tcPr>
            <w:tcW w:w="848" w:type="dxa"/>
          </w:tcPr>
          <w:p>
            <w:pPr>
              <w:spacing w:after="156"/>
              <w:jc w:val="center"/>
              <w:rPr>
                <w:rFonts w:ascii="仿宋" w:hAnsi="仿宋" w:eastAsia="仿宋" w:cs="Marigold"/>
                <w:b/>
                <w:bCs/>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070" w:type="dxa"/>
            <w:vMerge w:val="continue"/>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i w:val="0"/>
                <w:color w:val="auto"/>
                <w:sz w:val="24"/>
                <w:szCs w:val="24"/>
                <w:highlight w:val="none"/>
              </w:rPr>
            </w:pPr>
          </w:p>
        </w:tc>
        <w:tc>
          <w:tcPr>
            <w:tcW w:w="921" w:type="dxa"/>
          </w:tcPr>
          <w:p>
            <w:pPr>
              <w:spacing w:after="156"/>
              <w:jc w:val="center"/>
              <w:rPr>
                <w:rFonts w:ascii="仿宋" w:hAnsi="仿宋" w:eastAsia="仿宋" w:cs="Marigold"/>
                <w:b/>
                <w:bCs/>
                <w:i w:val="0"/>
                <w:color w:val="auto"/>
                <w:sz w:val="24"/>
                <w:szCs w:val="24"/>
                <w:highlight w:val="none"/>
              </w:rPr>
            </w:pPr>
          </w:p>
        </w:tc>
        <w:tc>
          <w:tcPr>
            <w:tcW w:w="921" w:type="dxa"/>
          </w:tcPr>
          <w:p>
            <w:pPr>
              <w:spacing w:after="156"/>
              <w:jc w:val="center"/>
              <w:rPr>
                <w:rFonts w:ascii="仿宋" w:hAnsi="仿宋" w:eastAsia="仿宋" w:cs="Marigold"/>
                <w:b/>
                <w:bCs/>
                <w:i w:val="0"/>
                <w:color w:val="auto"/>
                <w:sz w:val="24"/>
                <w:szCs w:val="24"/>
                <w:highlight w:val="none"/>
              </w:rPr>
            </w:pPr>
          </w:p>
        </w:tc>
        <w:tc>
          <w:tcPr>
            <w:tcW w:w="921" w:type="dxa"/>
          </w:tcPr>
          <w:p>
            <w:pPr>
              <w:spacing w:after="156"/>
              <w:jc w:val="center"/>
              <w:rPr>
                <w:rFonts w:ascii="仿宋" w:hAnsi="仿宋" w:eastAsia="仿宋" w:cs="Marigold"/>
                <w:b/>
                <w:bCs/>
                <w:i w:val="0"/>
                <w:color w:val="auto"/>
                <w:sz w:val="24"/>
                <w:szCs w:val="24"/>
                <w:highlight w:val="none"/>
              </w:rPr>
            </w:pPr>
          </w:p>
        </w:tc>
        <w:tc>
          <w:tcPr>
            <w:tcW w:w="1202" w:type="dxa"/>
          </w:tcPr>
          <w:p>
            <w:pPr>
              <w:spacing w:after="156"/>
              <w:jc w:val="center"/>
              <w:rPr>
                <w:rFonts w:ascii="仿宋" w:hAnsi="仿宋" w:eastAsia="仿宋" w:cs="Marigold"/>
                <w:b/>
                <w:bCs/>
                <w:i w:val="0"/>
                <w:color w:val="auto"/>
                <w:sz w:val="24"/>
                <w:szCs w:val="24"/>
                <w:highlight w:val="none"/>
              </w:rPr>
            </w:pPr>
          </w:p>
        </w:tc>
        <w:tc>
          <w:tcPr>
            <w:tcW w:w="844" w:type="dxa"/>
          </w:tcPr>
          <w:p>
            <w:pPr>
              <w:spacing w:after="156"/>
              <w:jc w:val="center"/>
              <w:rPr>
                <w:rFonts w:ascii="仿宋" w:hAnsi="仿宋" w:eastAsia="仿宋" w:cs="Marigold"/>
                <w:b/>
                <w:bCs/>
                <w:i w:val="0"/>
                <w:color w:val="auto"/>
                <w:sz w:val="24"/>
                <w:szCs w:val="24"/>
                <w:highlight w:val="none"/>
              </w:rPr>
            </w:pPr>
          </w:p>
        </w:tc>
        <w:tc>
          <w:tcPr>
            <w:tcW w:w="961" w:type="dxa"/>
          </w:tcPr>
          <w:p>
            <w:pPr>
              <w:spacing w:after="156"/>
              <w:jc w:val="center"/>
              <w:rPr>
                <w:rFonts w:ascii="仿宋" w:hAnsi="仿宋" w:eastAsia="仿宋" w:cs="Marigold"/>
                <w:b/>
                <w:bCs/>
                <w:i w:val="0"/>
                <w:color w:val="auto"/>
                <w:sz w:val="24"/>
                <w:szCs w:val="24"/>
                <w:highlight w:val="none"/>
              </w:rPr>
            </w:pPr>
          </w:p>
        </w:tc>
        <w:tc>
          <w:tcPr>
            <w:tcW w:w="848" w:type="dxa"/>
          </w:tcPr>
          <w:p>
            <w:pPr>
              <w:spacing w:after="156"/>
              <w:jc w:val="center"/>
              <w:rPr>
                <w:rFonts w:ascii="仿宋" w:hAnsi="仿宋" w:eastAsia="仿宋" w:cs="Marigold"/>
                <w:b/>
                <w:bCs/>
                <w:i w:val="0"/>
                <w:color w:val="auto"/>
                <w:sz w:val="24"/>
                <w:szCs w:val="24"/>
                <w:highlight w:val="none"/>
              </w:rPr>
            </w:pPr>
          </w:p>
        </w:tc>
      </w:tr>
    </w:tbl>
    <w:p>
      <w:pPr>
        <w:adjustRightInd w:val="0"/>
        <w:spacing w:after="156"/>
        <w:rPr>
          <w:rFonts w:ascii="仿宋" w:hAnsi="仿宋" w:eastAsia="仿宋"/>
          <w:i w:val="0"/>
          <w:color w:val="auto"/>
          <w:sz w:val="24"/>
          <w:szCs w:val="24"/>
          <w:highlight w:val="none"/>
          <w:lang w:eastAsia="zh-CN"/>
        </w:rPr>
      </w:pPr>
    </w:p>
    <w:p>
      <w:pPr>
        <w:adjustRightInd w:val="0"/>
        <w:spacing w:after="156"/>
        <w:rPr>
          <w:rFonts w:ascii="仿宋" w:hAnsi="仿宋" w:eastAsia="仿宋"/>
          <w:i w:val="0"/>
          <w:color w:val="auto"/>
          <w:sz w:val="24"/>
          <w:szCs w:val="24"/>
          <w:highlight w:val="none"/>
          <w:lang w:eastAsia="zh-CN"/>
        </w:rPr>
      </w:pPr>
    </w:p>
    <w:p>
      <w:pPr>
        <w:adjustRightInd w:val="0"/>
        <w:spacing w:after="156" w:line="360" w:lineRule="auto"/>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投标人名称：（单位公章）</w:t>
      </w:r>
    </w:p>
    <w:p>
      <w:pPr>
        <w:adjustRightInd w:val="0"/>
        <w:spacing w:after="156" w:line="360" w:lineRule="auto"/>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法定代表人或授权代表（签字或加盖个人名章）：</w:t>
      </w:r>
    </w:p>
    <w:p>
      <w:pPr>
        <w:adjustRightInd w:val="0"/>
        <w:spacing w:after="156" w:line="360" w:lineRule="auto"/>
        <w:rPr>
          <w:rFonts w:ascii="仿宋" w:hAnsi="仿宋" w:eastAsia="仿宋" w:cs="Marigold"/>
          <w:bCs/>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投标</w:t>
      </w:r>
      <w:r>
        <w:rPr>
          <w:rFonts w:hint="eastAsia" w:ascii="仿宋" w:hAnsi="仿宋" w:eastAsia="仿宋" w:cs="Marigold"/>
          <w:bCs/>
          <w:i w:val="0"/>
          <w:color w:val="auto"/>
          <w:sz w:val="24"/>
          <w:szCs w:val="24"/>
          <w:highlight w:val="none"/>
          <w:lang w:eastAsia="zh-CN"/>
        </w:rPr>
        <w:t>日期</w:t>
      </w:r>
      <w:r>
        <w:rPr>
          <w:rFonts w:ascii="仿宋" w:hAnsi="仿宋" w:eastAsia="仿宋" w:cs="Marigold"/>
          <w:bCs/>
          <w:i w:val="0"/>
          <w:color w:val="auto"/>
          <w:sz w:val="24"/>
          <w:szCs w:val="24"/>
          <w:highlight w:val="none"/>
          <w:lang w:eastAsia="zh-CN"/>
        </w:rPr>
        <w:t>:</w:t>
      </w:r>
      <w:r>
        <w:rPr>
          <w:rFonts w:hint="eastAsia" w:ascii="仿宋" w:hAnsi="仿宋" w:eastAsia="仿宋" w:cs="Marigold"/>
          <w:bCs/>
          <w:i w:val="0"/>
          <w:color w:val="auto"/>
          <w:sz w:val="24"/>
          <w:szCs w:val="24"/>
          <w:highlight w:val="none"/>
          <w:lang w:eastAsia="zh-CN"/>
        </w:rPr>
        <w:t xml:space="preserve">      年    月    日</w:t>
      </w:r>
    </w:p>
    <w:p>
      <w:pPr>
        <w:rPr>
          <w:i w:val="0"/>
          <w:color w:val="auto"/>
          <w:highlight w:val="none"/>
          <w:lang w:eastAsia="zh-CN"/>
        </w:rPr>
      </w:pPr>
      <w:r>
        <w:rPr>
          <w:i w:val="0"/>
          <w:color w:val="auto"/>
          <w:highlight w:val="none"/>
          <w:lang w:eastAsia="zh-CN"/>
        </w:rPr>
        <w:br w:type="page"/>
      </w:r>
    </w:p>
    <w:p>
      <w:pPr>
        <w:pStyle w:val="4"/>
        <w:jc w:val="left"/>
        <w:rPr>
          <w:i w:val="0"/>
          <w:color w:val="auto"/>
          <w:highlight w:val="none"/>
          <w:lang w:eastAsia="zh-CN"/>
        </w:rPr>
      </w:pPr>
      <w:bookmarkStart w:id="502" w:name="_Toc38274206"/>
      <w:bookmarkStart w:id="503" w:name="_Toc505762770"/>
      <w:bookmarkStart w:id="504" w:name="_Toc497752270"/>
      <w:bookmarkStart w:id="505" w:name="_Toc524910135"/>
      <w:bookmarkStart w:id="506" w:name="_Toc20069"/>
      <w:bookmarkStart w:id="507" w:name="_Toc511558677"/>
      <w:r>
        <w:rPr>
          <w:rFonts w:hint="eastAsia"/>
          <w:i w:val="0"/>
          <w:color w:val="auto"/>
          <w:highlight w:val="none"/>
          <w:lang w:eastAsia="zh-CN"/>
        </w:rPr>
        <w:t>八、投标人类似业绩</w:t>
      </w:r>
      <w:bookmarkEnd w:id="502"/>
      <w:bookmarkEnd w:id="503"/>
      <w:bookmarkEnd w:id="504"/>
      <w:bookmarkEnd w:id="505"/>
      <w:bookmarkEnd w:id="506"/>
      <w:bookmarkEnd w:id="507"/>
    </w:p>
    <w:p>
      <w:pPr>
        <w:jc w:val="center"/>
        <w:rPr>
          <w:rFonts w:ascii="仿宋" w:hAnsi="仿宋" w:eastAsia="仿宋"/>
          <w:b/>
          <w:i w:val="0"/>
          <w:color w:val="auto"/>
          <w:sz w:val="28"/>
          <w:szCs w:val="28"/>
          <w:highlight w:val="none"/>
          <w:lang w:eastAsia="zh-CN"/>
        </w:rPr>
      </w:pPr>
      <w:r>
        <w:rPr>
          <w:rFonts w:hint="eastAsia" w:ascii="仿宋" w:hAnsi="仿宋" w:eastAsia="仿宋"/>
          <w:b/>
          <w:i w:val="0"/>
          <w:color w:val="auto"/>
          <w:sz w:val="28"/>
          <w:szCs w:val="28"/>
          <w:highlight w:val="none"/>
          <w:lang w:eastAsia="zh-CN"/>
        </w:rPr>
        <w:t>投标人类似业绩一览表</w:t>
      </w:r>
    </w:p>
    <w:tbl>
      <w:tblPr>
        <w:tblStyle w:val="24"/>
        <w:tblW w:w="801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22"/>
        <w:gridCol w:w="2888"/>
        <w:gridCol w:w="1593"/>
        <w:gridCol w:w="1275"/>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3" w:hRule="atLeast"/>
          <w:jc w:val="center"/>
        </w:trPr>
        <w:tc>
          <w:tcPr>
            <w:tcW w:w="1122" w:type="dxa"/>
            <w:tcBorders>
              <w:top w:val="single" w:color="auto" w:sz="4" w:space="0"/>
            </w:tcBorders>
            <w:vAlign w:val="center"/>
          </w:tcPr>
          <w:p>
            <w:pPr>
              <w:spacing w:after="156" w:line="360" w:lineRule="auto"/>
              <w:ind w:firstLine="120" w:firstLineChars="50"/>
              <w:jc w:val="center"/>
              <w:rPr>
                <w:rFonts w:ascii="仿宋" w:hAnsi="仿宋" w:eastAsia="仿宋" w:cs="Marigold"/>
                <w:b/>
                <w:i w:val="0"/>
                <w:color w:val="auto"/>
                <w:sz w:val="24"/>
                <w:szCs w:val="24"/>
                <w:highlight w:val="none"/>
              </w:rPr>
            </w:pPr>
            <w:r>
              <w:rPr>
                <w:rFonts w:hint="eastAsia" w:ascii="仿宋" w:hAnsi="仿宋" w:eastAsia="仿宋" w:cs="Marigold"/>
                <w:b/>
                <w:i w:val="0"/>
                <w:color w:val="auto"/>
                <w:sz w:val="24"/>
                <w:szCs w:val="24"/>
                <w:highlight w:val="none"/>
              </w:rPr>
              <w:t>年份</w:t>
            </w:r>
          </w:p>
        </w:tc>
        <w:tc>
          <w:tcPr>
            <w:tcW w:w="2888" w:type="dxa"/>
            <w:vAlign w:val="center"/>
          </w:tcPr>
          <w:p>
            <w:pPr>
              <w:spacing w:after="156" w:line="360" w:lineRule="auto"/>
              <w:jc w:val="center"/>
              <w:rPr>
                <w:rFonts w:ascii="仿宋" w:hAnsi="仿宋" w:eastAsia="仿宋" w:cs="Marigold"/>
                <w:b/>
                <w:i w:val="0"/>
                <w:color w:val="auto"/>
                <w:sz w:val="24"/>
                <w:szCs w:val="24"/>
                <w:highlight w:val="none"/>
              </w:rPr>
            </w:pPr>
            <w:r>
              <w:rPr>
                <w:rFonts w:hint="eastAsia" w:ascii="仿宋" w:hAnsi="仿宋" w:eastAsia="仿宋" w:cs="Marigold"/>
                <w:b/>
                <w:i w:val="0"/>
                <w:color w:val="auto"/>
                <w:sz w:val="24"/>
                <w:szCs w:val="24"/>
                <w:highlight w:val="none"/>
              </w:rPr>
              <w:t>用户名称</w:t>
            </w:r>
          </w:p>
        </w:tc>
        <w:tc>
          <w:tcPr>
            <w:tcW w:w="1593" w:type="dxa"/>
            <w:vAlign w:val="center"/>
          </w:tcPr>
          <w:p>
            <w:pPr>
              <w:spacing w:after="156" w:line="360" w:lineRule="auto"/>
              <w:jc w:val="center"/>
              <w:rPr>
                <w:rFonts w:ascii="仿宋" w:hAnsi="仿宋" w:eastAsia="仿宋" w:cs="Marigold"/>
                <w:b/>
                <w:i w:val="0"/>
                <w:color w:val="auto"/>
                <w:sz w:val="24"/>
                <w:szCs w:val="24"/>
                <w:highlight w:val="none"/>
              </w:rPr>
            </w:pPr>
            <w:r>
              <w:rPr>
                <w:rFonts w:ascii="仿宋" w:hAnsi="仿宋" w:eastAsia="仿宋" w:cs="Marigold"/>
                <w:b/>
                <w:i w:val="0"/>
                <w:color w:val="auto"/>
                <w:sz w:val="24"/>
                <w:szCs w:val="24"/>
                <w:highlight w:val="none"/>
              </w:rPr>
              <w:t>项目名称</w:t>
            </w:r>
          </w:p>
        </w:tc>
        <w:tc>
          <w:tcPr>
            <w:tcW w:w="1275" w:type="dxa"/>
            <w:vAlign w:val="center"/>
          </w:tcPr>
          <w:p>
            <w:pPr>
              <w:spacing w:after="156" w:line="360" w:lineRule="auto"/>
              <w:ind w:firstLine="120" w:firstLineChars="50"/>
              <w:jc w:val="center"/>
              <w:rPr>
                <w:rFonts w:ascii="仿宋" w:hAnsi="仿宋" w:eastAsia="仿宋" w:cs="Marigold"/>
                <w:b/>
                <w:i w:val="0"/>
                <w:color w:val="auto"/>
                <w:sz w:val="24"/>
                <w:szCs w:val="24"/>
                <w:highlight w:val="none"/>
              </w:rPr>
            </w:pPr>
            <w:r>
              <w:rPr>
                <w:rFonts w:ascii="仿宋" w:hAnsi="仿宋" w:eastAsia="仿宋" w:cs="Marigold"/>
                <w:b/>
                <w:i w:val="0"/>
                <w:color w:val="auto"/>
                <w:sz w:val="24"/>
                <w:szCs w:val="24"/>
                <w:highlight w:val="none"/>
              </w:rPr>
              <w:t>合同金额</w:t>
            </w:r>
          </w:p>
        </w:tc>
        <w:tc>
          <w:tcPr>
            <w:tcW w:w="1134" w:type="dxa"/>
            <w:tcBorders>
              <w:left w:val="single" w:color="auto" w:sz="4" w:space="0"/>
            </w:tcBorders>
            <w:vAlign w:val="center"/>
          </w:tcPr>
          <w:p>
            <w:pPr>
              <w:spacing w:after="156" w:line="360" w:lineRule="auto"/>
              <w:jc w:val="center"/>
              <w:rPr>
                <w:rFonts w:ascii="仿宋" w:hAnsi="仿宋" w:eastAsia="仿宋" w:cs="Marigold"/>
                <w:b/>
                <w:i w:val="0"/>
                <w:color w:val="auto"/>
                <w:sz w:val="24"/>
                <w:szCs w:val="24"/>
                <w:highlight w:val="none"/>
              </w:rPr>
            </w:pPr>
            <w:r>
              <w:rPr>
                <w:rFonts w:hint="eastAsia" w:ascii="仿宋" w:hAnsi="仿宋" w:eastAsia="仿宋" w:cs="Marigold"/>
                <w:b/>
                <w:i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397" w:hRule="exact"/>
          <w:jc w:val="center"/>
        </w:trPr>
        <w:tc>
          <w:tcPr>
            <w:tcW w:w="1122" w:type="dxa"/>
            <w:vAlign w:val="center"/>
          </w:tcPr>
          <w:p>
            <w:pPr>
              <w:spacing w:after="156" w:line="240" w:lineRule="atLeast"/>
              <w:jc w:val="center"/>
              <w:rPr>
                <w:rFonts w:ascii="仿宋" w:hAnsi="仿宋" w:eastAsia="仿宋" w:cs="Marigold"/>
                <w:i w:val="0"/>
                <w:color w:val="auto"/>
                <w:sz w:val="24"/>
                <w:szCs w:val="24"/>
                <w:highlight w:val="none"/>
              </w:rPr>
            </w:pPr>
          </w:p>
        </w:tc>
        <w:tc>
          <w:tcPr>
            <w:tcW w:w="2888" w:type="dxa"/>
            <w:vAlign w:val="center"/>
          </w:tcPr>
          <w:p>
            <w:pPr>
              <w:spacing w:after="156" w:line="240" w:lineRule="atLeast"/>
              <w:jc w:val="center"/>
              <w:rPr>
                <w:rFonts w:ascii="仿宋" w:hAnsi="仿宋" w:eastAsia="仿宋" w:cs="Marigold"/>
                <w:i w:val="0"/>
                <w:color w:val="auto"/>
                <w:sz w:val="24"/>
                <w:szCs w:val="24"/>
                <w:highlight w:val="none"/>
              </w:rPr>
            </w:pPr>
          </w:p>
        </w:tc>
        <w:tc>
          <w:tcPr>
            <w:tcW w:w="1593" w:type="dxa"/>
            <w:vAlign w:val="center"/>
          </w:tcPr>
          <w:p>
            <w:pPr>
              <w:spacing w:after="156" w:line="240" w:lineRule="atLeast"/>
              <w:jc w:val="center"/>
              <w:rPr>
                <w:rFonts w:ascii="仿宋" w:hAnsi="仿宋" w:eastAsia="仿宋" w:cs="Marigold"/>
                <w:i w:val="0"/>
                <w:color w:val="auto"/>
                <w:sz w:val="24"/>
                <w:szCs w:val="24"/>
                <w:highlight w:val="none"/>
              </w:rPr>
            </w:pPr>
          </w:p>
        </w:tc>
        <w:tc>
          <w:tcPr>
            <w:tcW w:w="1275" w:type="dxa"/>
            <w:vAlign w:val="center"/>
          </w:tcPr>
          <w:p>
            <w:pPr>
              <w:spacing w:after="156" w:line="240" w:lineRule="atLeast"/>
              <w:jc w:val="center"/>
              <w:rPr>
                <w:rFonts w:ascii="仿宋" w:hAnsi="仿宋" w:eastAsia="仿宋" w:cs="Marigold"/>
                <w:i w:val="0"/>
                <w:color w:val="auto"/>
                <w:sz w:val="24"/>
                <w:szCs w:val="24"/>
                <w:highlight w:val="none"/>
              </w:rPr>
            </w:pPr>
          </w:p>
        </w:tc>
        <w:tc>
          <w:tcPr>
            <w:tcW w:w="1134" w:type="dxa"/>
            <w:tcBorders>
              <w:lef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397" w:hRule="exact"/>
          <w:jc w:val="center"/>
        </w:trPr>
        <w:tc>
          <w:tcPr>
            <w:tcW w:w="1122" w:type="dxa"/>
            <w:vAlign w:val="center"/>
          </w:tcPr>
          <w:p>
            <w:pPr>
              <w:spacing w:after="156" w:line="240" w:lineRule="atLeast"/>
              <w:jc w:val="center"/>
              <w:rPr>
                <w:rFonts w:ascii="仿宋" w:hAnsi="仿宋" w:eastAsia="仿宋" w:cs="Marigold"/>
                <w:i w:val="0"/>
                <w:color w:val="auto"/>
                <w:sz w:val="24"/>
                <w:szCs w:val="24"/>
                <w:highlight w:val="none"/>
              </w:rPr>
            </w:pPr>
          </w:p>
        </w:tc>
        <w:tc>
          <w:tcPr>
            <w:tcW w:w="2888" w:type="dxa"/>
            <w:vAlign w:val="center"/>
          </w:tcPr>
          <w:p>
            <w:pPr>
              <w:spacing w:after="156" w:line="240" w:lineRule="atLeast"/>
              <w:jc w:val="center"/>
              <w:rPr>
                <w:rFonts w:ascii="仿宋" w:hAnsi="仿宋" w:eastAsia="仿宋" w:cs="Marigold"/>
                <w:i w:val="0"/>
                <w:color w:val="auto"/>
                <w:sz w:val="24"/>
                <w:szCs w:val="24"/>
                <w:highlight w:val="none"/>
              </w:rPr>
            </w:pPr>
          </w:p>
        </w:tc>
        <w:tc>
          <w:tcPr>
            <w:tcW w:w="1593" w:type="dxa"/>
            <w:vAlign w:val="center"/>
          </w:tcPr>
          <w:p>
            <w:pPr>
              <w:spacing w:after="156" w:line="240" w:lineRule="atLeast"/>
              <w:jc w:val="center"/>
              <w:rPr>
                <w:rFonts w:ascii="仿宋" w:hAnsi="仿宋" w:eastAsia="仿宋" w:cs="Marigold"/>
                <w:i w:val="0"/>
                <w:color w:val="auto"/>
                <w:sz w:val="24"/>
                <w:szCs w:val="24"/>
                <w:highlight w:val="none"/>
              </w:rPr>
            </w:pPr>
          </w:p>
        </w:tc>
        <w:tc>
          <w:tcPr>
            <w:tcW w:w="1275" w:type="dxa"/>
            <w:vAlign w:val="center"/>
          </w:tcPr>
          <w:p>
            <w:pPr>
              <w:spacing w:after="156" w:line="240" w:lineRule="atLeast"/>
              <w:jc w:val="center"/>
              <w:rPr>
                <w:rFonts w:ascii="仿宋" w:hAnsi="仿宋" w:eastAsia="仿宋" w:cs="Marigold"/>
                <w:i w:val="0"/>
                <w:color w:val="auto"/>
                <w:sz w:val="24"/>
                <w:szCs w:val="24"/>
                <w:highlight w:val="none"/>
              </w:rPr>
            </w:pPr>
          </w:p>
        </w:tc>
        <w:tc>
          <w:tcPr>
            <w:tcW w:w="1134" w:type="dxa"/>
            <w:tcBorders>
              <w:lef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397" w:hRule="exact"/>
          <w:jc w:val="center"/>
        </w:trPr>
        <w:tc>
          <w:tcPr>
            <w:tcW w:w="1122" w:type="dxa"/>
            <w:vAlign w:val="center"/>
          </w:tcPr>
          <w:p>
            <w:pPr>
              <w:spacing w:after="156" w:line="240" w:lineRule="atLeast"/>
              <w:jc w:val="center"/>
              <w:rPr>
                <w:rFonts w:ascii="仿宋" w:hAnsi="仿宋" w:eastAsia="仿宋" w:cs="Marigold"/>
                <w:i w:val="0"/>
                <w:color w:val="auto"/>
                <w:sz w:val="24"/>
                <w:szCs w:val="24"/>
                <w:highlight w:val="none"/>
              </w:rPr>
            </w:pPr>
          </w:p>
        </w:tc>
        <w:tc>
          <w:tcPr>
            <w:tcW w:w="2888" w:type="dxa"/>
            <w:vAlign w:val="center"/>
          </w:tcPr>
          <w:p>
            <w:pPr>
              <w:spacing w:after="156" w:line="240" w:lineRule="atLeast"/>
              <w:jc w:val="center"/>
              <w:rPr>
                <w:rFonts w:ascii="仿宋" w:hAnsi="仿宋" w:eastAsia="仿宋" w:cs="Marigold"/>
                <w:i w:val="0"/>
                <w:color w:val="auto"/>
                <w:sz w:val="24"/>
                <w:szCs w:val="24"/>
                <w:highlight w:val="none"/>
              </w:rPr>
            </w:pPr>
          </w:p>
        </w:tc>
        <w:tc>
          <w:tcPr>
            <w:tcW w:w="1593" w:type="dxa"/>
            <w:vAlign w:val="center"/>
          </w:tcPr>
          <w:p>
            <w:pPr>
              <w:spacing w:after="156" w:line="240" w:lineRule="atLeast"/>
              <w:jc w:val="center"/>
              <w:rPr>
                <w:rFonts w:ascii="仿宋" w:hAnsi="仿宋" w:eastAsia="仿宋" w:cs="Marigold"/>
                <w:i w:val="0"/>
                <w:color w:val="auto"/>
                <w:sz w:val="24"/>
                <w:szCs w:val="24"/>
                <w:highlight w:val="none"/>
              </w:rPr>
            </w:pPr>
          </w:p>
        </w:tc>
        <w:tc>
          <w:tcPr>
            <w:tcW w:w="1275" w:type="dxa"/>
            <w:vAlign w:val="center"/>
          </w:tcPr>
          <w:p>
            <w:pPr>
              <w:spacing w:after="156" w:line="240" w:lineRule="atLeast"/>
              <w:jc w:val="center"/>
              <w:rPr>
                <w:rFonts w:ascii="仿宋" w:hAnsi="仿宋" w:eastAsia="仿宋" w:cs="Marigold"/>
                <w:i w:val="0"/>
                <w:color w:val="auto"/>
                <w:sz w:val="24"/>
                <w:szCs w:val="24"/>
                <w:highlight w:val="none"/>
              </w:rPr>
            </w:pPr>
          </w:p>
        </w:tc>
        <w:tc>
          <w:tcPr>
            <w:tcW w:w="1134" w:type="dxa"/>
            <w:tcBorders>
              <w:lef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397" w:hRule="exact"/>
          <w:jc w:val="center"/>
        </w:trPr>
        <w:tc>
          <w:tcPr>
            <w:tcW w:w="1122" w:type="dxa"/>
            <w:vAlign w:val="center"/>
          </w:tcPr>
          <w:p>
            <w:pPr>
              <w:spacing w:after="156" w:line="240" w:lineRule="atLeast"/>
              <w:jc w:val="center"/>
              <w:rPr>
                <w:rFonts w:ascii="仿宋" w:hAnsi="仿宋" w:eastAsia="仿宋" w:cs="Marigold"/>
                <w:i w:val="0"/>
                <w:color w:val="auto"/>
                <w:sz w:val="24"/>
                <w:szCs w:val="24"/>
                <w:highlight w:val="none"/>
              </w:rPr>
            </w:pPr>
          </w:p>
        </w:tc>
        <w:tc>
          <w:tcPr>
            <w:tcW w:w="2888" w:type="dxa"/>
            <w:tcBorders>
              <w:righ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593" w:type="dxa"/>
            <w:tcBorders>
              <w:lef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275" w:type="dxa"/>
            <w:vAlign w:val="center"/>
          </w:tcPr>
          <w:p>
            <w:pPr>
              <w:spacing w:after="156" w:line="240" w:lineRule="atLeast"/>
              <w:jc w:val="center"/>
              <w:rPr>
                <w:rFonts w:ascii="仿宋" w:hAnsi="仿宋" w:eastAsia="仿宋" w:cs="Marigold"/>
                <w:i w:val="0"/>
                <w:color w:val="auto"/>
                <w:sz w:val="24"/>
                <w:szCs w:val="24"/>
                <w:highlight w:val="none"/>
              </w:rPr>
            </w:pPr>
          </w:p>
        </w:tc>
        <w:tc>
          <w:tcPr>
            <w:tcW w:w="1134" w:type="dxa"/>
            <w:tcBorders>
              <w:lef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397" w:hRule="exact"/>
          <w:jc w:val="center"/>
        </w:trPr>
        <w:tc>
          <w:tcPr>
            <w:tcW w:w="1122" w:type="dxa"/>
            <w:tcBorders>
              <w:righ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2888" w:type="dxa"/>
            <w:tcBorders>
              <w:left w:val="single" w:color="auto" w:sz="4" w:space="0"/>
              <w:righ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593" w:type="dxa"/>
            <w:tcBorders>
              <w:left w:val="single" w:color="auto" w:sz="4" w:space="0"/>
              <w:righ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275" w:type="dxa"/>
            <w:tcBorders>
              <w:left w:val="single" w:color="auto" w:sz="4" w:space="0"/>
              <w:righ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134" w:type="dxa"/>
            <w:tcBorders>
              <w:lef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397" w:hRule="exact"/>
          <w:jc w:val="center"/>
        </w:trPr>
        <w:tc>
          <w:tcPr>
            <w:tcW w:w="1122" w:type="dxa"/>
            <w:vAlign w:val="center"/>
          </w:tcPr>
          <w:p>
            <w:pPr>
              <w:spacing w:after="156" w:line="240" w:lineRule="atLeast"/>
              <w:jc w:val="center"/>
              <w:rPr>
                <w:rFonts w:ascii="仿宋" w:hAnsi="仿宋" w:eastAsia="仿宋" w:cs="Marigold"/>
                <w:i w:val="0"/>
                <w:color w:val="auto"/>
                <w:sz w:val="24"/>
                <w:szCs w:val="24"/>
                <w:highlight w:val="none"/>
              </w:rPr>
            </w:pPr>
          </w:p>
        </w:tc>
        <w:tc>
          <w:tcPr>
            <w:tcW w:w="2888" w:type="dxa"/>
            <w:vAlign w:val="center"/>
          </w:tcPr>
          <w:p>
            <w:pPr>
              <w:spacing w:after="156" w:line="240" w:lineRule="atLeast"/>
              <w:jc w:val="center"/>
              <w:rPr>
                <w:rFonts w:ascii="仿宋" w:hAnsi="仿宋" w:eastAsia="仿宋" w:cs="Marigold"/>
                <w:i w:val="0"/>
                <w:color w:val="auto"/>
                <w:sz w:val="24"/>
                <w:szCs w:val="24"/>
                <w:highlight w:val="none"/>
              </w:rPr>
            </w:pPr>
          </w:p>
        </w:tc>
        <w:tc>
          <w:tcPr>
            <w:tcW w:w="1593" w:type="dxa"/>
            <w:vAlign w:val="center"/>
          </w:tcPr>
          <w:p>
            <w:pPr>
              <w:spacing w:after="156" w:line="240" w:lineRule="atLeast"/>
              <w:jc w:val="center"/>
              <w:rPr>
                <w:rFonts w:ascii="仿宋" w:hAnsi="仿宋" w:eastAsia="仿宋" w:cs="Marigold"/>
                <w:i w:val="0"/>
                <w:color w:val="auto"/>
                <w:sz w:val="24"/>
                <w:szCs w:val="24"/>
                <w:highlight w:val="none"/>
              </w:rPr>
            </w:pPr>
          </w:p>
        </w:tc>
        <w:tc>
          <w:tcPr>
            <w:tcW w:w="1275" w:type="dxa"/>
            <w:tcBorders>
              <w:righ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134" w:type="dxa"/>
            <w:tcBorders>
              <w:lef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397" w:hRule="exact"/>
          <w:jc w:val="center"/>
        </w:trPr>
        <w:tc>
          <w:tcPr>
            <w:tcW w:w="1122" w:type="dxa"/>
            <w:vAlign w:val="center"/>
          </w:tcPr>
          <w:p>
            <w:pPr>
              <w:spacing w:after="156" w:line="240" w:lineRule="atLeast"/>
              <w:jc w:val="center"/>
              <w:rPr>
                <w:rFonts w:ascii="仿宋" w:hAnsi="仿宋" w:eastAsia="仿宋" w:cs="Marigold"/>
                <w:i w:val="0"/>
                <w:color w:val="auto"/>
                <w:sz w:val="24"/>
                <w:szCs w:val="24"/>
                <w:highlight w:val="none"/>
              </w:rPr>
            </w:pPr>
          </w:p>
        </w:tc>
        <w:tc>
          <w:tcPr>
            <w:tcW w:w="2888" w:type="dxa"/>
            <w:vAlign w:val="center"/>
          </w:tcPr>
          <w:p>
            <w:pPr>
              <w:spacing w:after="156" w:line="240" w:lineRule="atLeast"/>
              <w:jc w:val="center"/>
              <w:rPr>
                <w:rFonts w:ascii="仿宋" w:hAnsi="仿宋" w:eastAsia="仿宋" w:cs="Marigold"/>
                <w:i w:val="0"/>
                <w:color w:val="auto"/>
                <w:sz w:val="24"/>
                <w:szCs w:val="24"/>
                <w:highlight w:val="none"/>
              </w:rPr>
            </w:pPr>
          </w:p>
        </w:tc>
        <w:tc>
          <w:tcPr>
            <w:tcW w:w="1593" w:type="dxa"/>
            <w:vAlign w:val="center"/>
          </w:tcPr>
          <w:p>
            <w:pPr>
              <w:spacing w:after="156" w:line="240" w:lineRule="atLeast"/>
              <w:jc w:val="center"/>
              <w:rPr>
                <w:rFonts w:ascii="仿宋" w:hAnsi="仿宋" w:eastAsia="仿宋" w:cs="Marigold"/>
                <w:i w:val="0"/>
                <w:color w:val="auto"/>
                <w:sz w:val="24"/>
                <w:szCs w:val="24"/>
                <w:highlight w:val="none"/>
              </w:rPr>
            </w:pPr>
          </w:p>
        </w:tc>
        <w:tc>
          <w:tcPr>
            <w:tcW w:w="1275" w:type="dxa"/>
            <w:tcBorders>
              <w:righ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134" w:type="dxa"/>
            <w:tcBorders>
              <w:lef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397" w:hRule="exact"/>
          <w:jc w:val="center"/>
        </w:trPr>
        <w:tc>
          <w:tcPr>
            <w:tcW w:w="1122" w:type="dxa"/>
            <w:vAlign w:val="center"/>
          </w:tcPr>
          <w:p>
            <w:pPr>
              <w:spacing w:after="156" w:line="240" w:lineRule="atLeast"/>
              <w:jc w:val="center"/>
              <w:rPr>
                <w:rFonts w:ascii="仿宋" w:hAnsi="仿宋" w:eastAsia="仿宋" w:cs="Marigold"/>
                <w:i w:val="0"/>
                <w:color w:val="auto"/>
                <w:sz w:val="24"/>
                <w:szCs w:val="24"/>
                <w:highlight w:val="none"/>
              </w:rPr>
            </w:pPr>
          </w:p>
        </w:tc>
        <w:tc>
          <w:tcPr>
            <w:tcW w:w="2888" w:type="dxa"/>
            <w:vAlign w:val="center"/>
          </w:tcPr>
          <w:p>
            <w:pPr>
              <w:spacing w:after="156" w:line="240" w:lineRule="atLeast"/>
              <w:jc w:val="center"/>
              <w:rPr>
                <w:rFonts w:ascii="仿宋" w:hAnsi="仿宋" w:eastAsia="仿宋" w:cs="Marigold"/>
                <w:i w:val="0"/>
                <w:color w:val="auto"/>
                <w:sz w:val="24"/>
                <w:szCs w:val="24"/>
                <w:highlight w:val="none"/>
              </w:rPr>
            </w:pPr>
          </w:p>
        </w:tc>
        <w:tc>
          <w:tcPr>
            <w:tcW w:w="1593" w:type="dxa"/>
            <w:vAlign w:val="center"/>
          </w:tcPr>
          <w:p>
            <w:pPr>
              <w:spacing w:after="156" w:line="240" w:lineRule="atLeast"/>
              <w:jc w:val="center"/>
              <w:rPr>
                <w:rFonts w:ascii="仿宋" w:hAnsi="仿宋" w:eastAsia="仿宋" w:cs="Marigold"/>
                <w:i w:val="0"/>
                <w:color w:val="auto"/>
                <w:sz w:val="24"/>
                <w:szCs w:val="24"/>
                <w:highlight w:val="none"/>
              </w:rPr>
            </w:pPr>
          </w:p>
        </w:tc>
        <w:tc>
          <w:tcPr>
            <w:tcW w:w="1275" w:type="dxa"/>
            <w:tcBorders>
              <w:righ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134" w:type="dxa"/>
            <w:tcBorders>
              <w:lef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397" w:hRule="exact"/>
          <w:jc w:val="center"/>
        </w:trPr>
        <w:tc>
          <w:tcPr>
            <w:tcW w:w="1122" w:type="dxa"/>
            <w:tcBorders>
              <w:bottom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2888" w:type="dxa"/>
            <w:tcBorders>
              <w:bottom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593" w:type="dxa"/>
            <w:tcBorders>
              <w:bottom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275" w:type="dxa"/>
            <w:tcBorders>
              <w:bottom w:val="single" w:color="auto" w:sz="4" w:space="0"/>
              <w:righ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134" w:type="dxa"/>
            <w:tcBorders>
              <w:left w:val="single" w:color="auto" w:sz="4" w:space="0"/>
              <w:bottom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397" w:hRule="exact"/>
          <w:jc w:val="center"/>
        </w:trPr>
        <w:tc>
          <w:tcPr>
            <w:tcW w:w="1122" w:type="dxa"/>
            <w:tcBorders>
              <w:top w:val="single" w:color="auto" w:sz="4" w:space="0"/>
              <w:bottom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2888" w:type="dxa"/>
            <w:tcBorders>
              <w:top w:val="single" w:color="auto" w:sz="4" w:space="0"/>
              <w:bottom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593" w:type="dxa"/>
            <w:tcBorders>
              <w:top w:val="single" w:color="auto" w:sz="4" w:space="0"/>
              <w:bottom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275" w:type="dxa"/>
            <w:tcBorders>
              <w:top w:val="single" w:color="auto" w:sz="4" w:space="0"/>
              <w:bottom w:val="single" w:color="auto" w:sz="4" w:space="0"/>
              <w:righ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134" w:type="dxa"/>
            <w:tcBorders>
              <w:top w:val="single" w:color="auto" w:sz="4" w:space="0"/>
              <w:left w:val="single" w:color="auto" w:sz="4" w:space="0"/>
              <w:bottom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397" w:hRule="exact"/>
          <w:jc w:val="center"/>
        </w:trPr>
        <w:tc>
          <w:tcPr>
            <w:tcW w:w="1122" w:type="dxa"/>
            <w:tcBorders>
              <w:top w:val="single" w:color="auto" w:sz="4" w:space="0"/>
              <w:bottom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2888" w:type="dxa"/>
            <w:tcBorders>
              <w:top w:val="single" w:color="auto" w:sz="4" w:space="0"/>
              <w:bottom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593" w:type="dxa"/>
            <w:tcBorders>
              <w:top w:val="single" w:color="auto" w:sz="4" w:space="0"/>
              <w:bottom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275" w:type="dxa"/>
            <w:tcBorders>
              <w:top w:val="single" w:color="auto" w:sz="4" w:space="0"/>
              <w:bottom w:val="single" w:color="auto" w:sz="4" w:space="0"/>
              <w:righ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134" w:type="dxa"/>
            <w:tcBorders>
              <w:top w:val="single" w:color="auto" w:sz="4" w:space="0"/>
              <w:left w:val="single" w:color="auto" w:sz="4" w:space="0"/>
              <w:bottom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397" w:hRule="exact"/>
          <w:jc w:val="center"/>
        </w:trPr>
        <w:tc>
          <w:tcPr>
            <w:tcW w:w="1122" w:type="dxa"/>
            <w:tcBorders>
              <w:top w:val="single" w:color="auto" w:sz="4" w:space="0"/>
              <w:bottom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2888" w:type="dxa"/>
            <w:tcBorders>
              <w:top w:val="single" w:color="auto" w:sz="4" w:space="0"/>
              <w:bottom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593" w:type="dxa"/>
            <w:tcBorders>
              <w:top w:val="single" w:color="auto" w:sz="4" w:space="0"/>
              <w:bottom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275" w:type="dxa"/>
            <w:tcBorders>
              <w:top w:val="single" w:color="auto" w:sz="4" w:space="0"/>
              <w:bottom w:val="single" w:color="auto" w:sz="4" w:space="0"/>
              <w:righ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134" w:type="dxa"/>
            <w:tcBorders>
              <w:top w:val="single" w:color="auto" w:sz="4" w:space="0"/>
              <w:left w:val="single" w:color="auto" w:sz="4" w:space="0"/>
              <w:bottom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397" w:hRule="exact"/>
          <w:jc w:val="center"/>
        </w:trPr>
        <w:tc>
          <w:tcPr>
            <w:tcW w:w="1122" w:type="dxa"/>
            <w:tcBorders>
              <w:top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2888" w:type="dxa"/>
            <w:tcBorders>
              <w:top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593" w:type="dxa"/>
            <w:tcBorders>
              <w:top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275" w:type="dxa"/>
            <w:tcBorders>
              <w:top w:val="single" w:color="auto" w:sz="4" w:space="0"/>
              <w:righ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c>
          <w:tcPr>
            <w:tcW w:w="1134" w:type="dxa"/>
            <w:tcBorders>
              <w:top w:val="single" w:color="auto" w:sz="4" w:space="0"/>
              <w:left w:val="single" w:color="auto" w:sz="4" w:space="0"/>
            </w:tcBorders>
            <w:vAlign w:val="center"/>
          </w:tcPr>
          <w:p>
            <w:pPr>
              <w:spacing w:after="156" w:line="240" w:lineRule="atLeast"/>
              <w:jc w:val="center"/>
              <w:rPr>
                <w:rFonts w:ascii="仿宋" w:hAnsi="仿宋" w:eastAsia="仿宋" w:cs="Marigold"/>
                <w:i w:val="0"/>
                <w:color w:val="auto"/>
                <w:sz w:val="24"/>
                <w:szCs w:val="24"/>
                <w:highlight w:val="none"/>
              </w:rPr>
            </w:pPr>
          </w:p>
        </w:tc>
      </w:tr>
    </w:tbl>
    <w:p>
      <w:pPr>
        <w:rPr>
          <w:i w:val="0"/>
          <w:color w:val="auto"/>
          <w:highlight w:val="none"/>
          <w:lang w:eastAsia="zh-CN"/>
        </w:rPr>
      </w:pPr>
    </w:p>
    <w:p>
      <w:pPr>
        <w:rPr>
          <w:i w:val="0"/>
          <w:color w:val="auto"/>
          <w:highlight w:val="none"/>
          <w:lang w:eastAsia="zh-CN"/>
        </w:rPr>
      </w:pPr>
    </w:p>
    <w:p>
      <w:pPr>
        <w:rPr>
          <w:i w:val="0"/>
          <w:color w:val="auto"/>
          <w:highlight w:val="none"/>
          <w:lang w:eastAsia="zh-CN"/>
        </w:rPr>
      </w:pPr>
    </w:p>
    <w:p>
      <w:pPr>
        <w:adjustRightInd w:val="0"/>
        <w:spacing w:after="156" w:line="440" w:lineRule="exact"/>
        <w:ind w:firstLine="424" w:firstLineChars="177"/>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投标人名称：（单位公章）</w:t>
      </w:r>
    </w:p>
    <w:p>
      <w:pPr>
        <w:adjustRightInd w:val="0"/>
        <w:spacing w:after="156" w:line="440" w:lineRule="exact"/>
        <w:ind w:firstLine="424" w:firstLineChars="177"/>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法定代表人或授权代表（签字或加盖个人名章）：</w:t>
      </w:r>
    </w:p>
    <w:p>
      <w:pPr>
        <w:adjustRightInd w:val="0"/>
        <w:spacing w:after="156" w:line="440" w:lineRule="exact"/>
        <w:ind w:firstLine="424" w:firstLineChars="177"/>
        <w:rPr>
          <w:rFonts w:ascii="仿宋" w:hAnsi="仿宋" w:eastAsia="仿宋" w:cs="Marigold"/>
          <w:bCs/>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投标</w:t>
      </w:r>
      <w:r>
        <w:rPr>
          <w:rFonts w:hint="eastAsia" w:ascii="仿宋" w:hAnsi="仿宋" w:eastAsia="仿宋" w:cs="Marigold"/>
          <w:bCs/>
          <w:i w:val="0"/>
          <w:color w:val="auto"/>
          <w:sz w:val="24"/>
          <w:szCs w:val="24"/>
          <w:highlight w:val="none"/>
          <w:lang w:eastAsia="zh-CN"/>
        </w:rPr>
        <w:t>日期</w:t>
      </w:r>
      <w:r>
        <w:rPr>
          <w:rFonts w:ascii="仿宋" w:hAnsi="仿宋" w:eastAsia="仿宋" w:cs="Marigold"/>
          <w:bCs/>
          <w:i w:val="0"/>
          <w:color w:val="auto"/>
          <w:sz w:val="24"/>
          <w:szCs w:val="24"/>
          <w:highlight w:val="none"/>
          <w:lang w:eastAsia="zh-CN"/>
        </w:rPr>
        <w:t>:</w:t>
      </w:r>
      <w:r>
        <w:rPr>
          <w:rFonts w:hint="eastAsia" w:ascii="仿宋" w:hAnsi="仿宋" w:eastAsia="仿宋" w:cs="Marigold"/>
          <w:bCs/>
          <w:i w:val="0"/>
          <w:color w:val="auto"/>
          <w:sz w:val="24"/>
          <w:szCs w:val="24"/>
          <w:highlight w:val="none"/>
          <w:lang w:eastAsia="zh-CN"/>
        </w:rPr>
        <w:t xml:space="preserve">      年    月    日</w:t>
      </w:r>
    </w:p>
    <w:p>
      <w:pPr>
        <w:rPr>
          <w:i w:val="0"/>
          <w:color w:val="auto"/>
          <w:highlight w:val="none"/>
          <w:lang w:eastAsia="zh-CN"/>
        </w:rPr>
      </w:pPr>
      <w:r>
        <w:rPr>
          <w:i w:val="0"/>
          <w:color w:val="auto"/>
          <w:highlight w:val="none"/>
          <w:lang w:eastAsia="zh-CN"/>
        </w:rPr>
        <w:br w:type="page"/>
      </w:r>
    </w:p>
    <w:p>
      <w:pPr>
        <w:pStyle w:val="4"/>
        <w:jc w:val="left"/>
        <w:rPr>
          <w:i w:val="0"/>
          <w:color w:val="auto"/>
          <w:highlight w:val="none"/>
          <w:lang w:eastAsia="zh-CN"/>
        </w:rPr>
      </w:pPr>
      <w:bookmarkStart w:id="508" w:name="_Toc11084"/>
      <w:bookmarkStart w:id="509" w:name="_Toc497752276"/>
      <w:bookmarkStart w:id="510" w:name="_Toc505762774"/>
      <w:bookmarkStart w:id="511" w:name="_Toc511558681"/>
      <w:bookmarkStart w:id="512" w:name="_Toc524910139"/>
      <w:r>
        <w:rPr>
          <w:rFonts w:hint="eastAsia"/>
          <w:i w:val="0"/>
          <w:color w:val="auto"/>
          <w:highlight w:val="none"/>
          <w:lang w:eastAsia="zh-CN"/>
        </w:rPr>
        <w:t>九</w:t>
      </w:r>
      <w:r>
        <w:rPr>
          <w:i w:val="0"/>
          <w:color w:val="auto"/>
          <w:highlight w:val="none"/>
          <w:lang w:eastAsia="zh-CN"/>
        </w:rPr>
        <w:t>、</w:t>
      </w:r>
      <w:bookmarkStart w:id="513" w:name="_Toc524910136"/>
      <w:bookmarkStart w:id="514" w:name="_Toc497752272"/>
      <w:bookmarkStart w:id="515" w:name="_Toc505762771"/>
      <w:bookmarkStart w:id="516" w:name="_Toc38274207"/>
      <w:bookmarkStart w:id="517" w:name="_Toc511558678"/>
      <w:r>
        <w:rPr>
          <w:rFonts w:hint="eastAsia"/>
          <w:i w:val="0"/>
          <w:color w:val="auto"/>
          <w:highlight w:val="none"/>
          <w:lang w:eastAsia="zh-CN"/>
        </w:rPr>
        <w:t>中小企业证明材料（仅限</w:t>
      </w:r>
      <w:r>
        <w:rPr>
          <w:i w:val="0"/>
          <w:color w:val="auto"/>
          <w:highlight w:val="none"/>
          <w:lang w:eastAsia="zh-CN"/>
        </w:rPr>
        <w:t>符合要求的投标人）</w:t>
      </w:r>
      <w:bookmarkEnd w:id="508"/>
      <w:bookmarkEnd w:id="513"/>
      <w:bookmarkEnd w:id="514"/>
      <w:bookmarkEnd w:id="515"/>
      <w:bookmarkEnd w:id="516"/>
      <w:bookmarkEnd w:id="517"/>
    </w:p>
    <w:p>
      <w:pPr>
        <w:jc w:val="center"/>
        <w:rPr>
          <w:rFonts w:ascii="仿宋" w:hAnsi="仿宋" w:eastAsia="仿宋"/>
          <w:b/>
          <w:i w:val="0"/>
          <w:color w:val="auto"/>
          <w:sz w:val="28"/>
          <w:szCs w:val="28"/>
          <w:highlight w:val="none"/>
          <w:lang w:eastAsia="zh-CN"/>
        </w:rPr>
      </w:pPr>
      <w:r>
        <w:rPr>
          <w:rFonts w:hint="eastAsia" w:ascii="仿宋" w:hAnsi="仿宋" w:eastAsia="仿宋"/>
          <w:b/>
          <w:i w:val="0"/>
          <w:color w:val="auto"/>
          <w:sz w:val="28"/>
          <w:szCs w:val="28"/>
          <w:highlight w:val="none"/>
          <w:lang w:eastAsia="zh-CN"/>
        </w:rPr>
        <w:t>中小企业声明函</w:t>
      </w:r>
    </w:p>
    <w:p>
      <w:pPr>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本公司郑重声明，根据《政府采购促进中小企业发展管理办法》（财库﹝2020﹞46 号）的规定，本公司参加</w:t>
      </w:r>
      <w:r>
        <w:rPr>
          <w:rFonts w:hint="eastAsia" w:ascii="仿宋" w:hAnsi="仿宋" w:eastAsia="仿宋" w:cs="仿宋"/>
          <w:i w:val="0"/>
          <w:iCs w:val="0"/>
          <w:color w:val="auto"/>
          <w:sz w:val="24"/>
          <w:highlight w:val="none"/>
          <w:u w:val="single"/>
        </w:rPr>
        <w:t xml:space="preserve">      （单位名称）</w:t>
      </w:r>
      <w:r>
        <w:rPr>
          <w:rFonts w:hint="eastAsia" w:ascii="仿宋" w:hAnsi="仿宋" w:eastAsia="仿宋" w:cs="仿宋"/>
          <w:i w:val="0"/>
          <w:iCs w:val="0"/>
          <w:color w:val="auto"/>
          <w:sz w:val="24"/>
          <w:highlight w:val="none"/>
        </w:rPr>
        <w:t>的</w:t>
      </w:r>
      <w:r>
        <w:rPr>
          <w:rFonts w:hint="eastAsia" w:ascii="仿宋" w:hAnsi="仿宋" w:eastAsia="仿宋" w:cs="仿宋"/>
          <w:i w:val="0"/>
          <w:iCs w:val="0"/>
          <w:color w:val="auto"/>
          <w:sz w:val="24"/>
          <w:highlight w:val="none"/>
          <w:u w:val="single"/>
        </w:rPr>
        <w:t xml:space="preserve">        （项目名称）</w:t>
      </w:r>
      <w:r>
        <w:rPr>
          <w:rFonts w:hint="eastAsia" w:ascii="仿宋" w:hAnsi="仿宋" w:eastAsia="仿宋" w:cs="仿宋"/>
          <w:i w:val="0"/>
          <w:iCs w:val="0"/>
          <w:color w:val="auto"/>
          <w:sz w:val="24"/>
          <w:highlight w:val="none"/>
        </w:rPr>
        <w:t>采购活动，服务全部由符合政策要求的中小企业承接。相关企业的具体情况如下：</w:t>
      </w:r>
    </w:p>
    <w:p>
      <w:pPr>
        <w:spacing w:line="360" w:lineRule="auto"/>
        <w:ind w:firstLine="720" w:firstLineChars="3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u w:val="single"/>
        </w:rPr>
        <w:t xml:space="preserve">          （标的名称）</w:t>
      </w:r>
      <w:r>
        <w:rPr>
          <w:rFonts w:hint="eastAsia" w:ascii="仿宋" w:hAnsi="仿宋" w:eastAsia="仿宋" w:cs="仿宋"/>
          <w:i w:val="0"/>
          <w:iCs w:val="0"/>
          <w:color w:val="auto"/>
          <w:sz w:val="24"/>
          <w:highlight w:val="none"/>
        </w:rPr>
        <w:t>，属于</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（采购文件中明确的所属行业）；承接企业为</w:t>
      </w:r>
      <w:r>
        <w:rPr>
          <w:rFonts w:hint="eastAsia" w:ascii="仿宋" w:hAnsi="仿宋" w:eastAsia="仿宋" w:cs="仿宋"/>
          <w:i w:val="0"/>
          <w:iCs w:val="0"/>
          <w:color w:val="auto"/>
          <w:sz w:val="24"/>
          <w:highlight w:val="none"/>
          <w:u w:val="single"/>
        </w:rPr>
        <w:t xml:space="preserve">           （企业名称）</w:t>
      </w:r>
      <w:r>
        <w:rPr>
          <w:rFonts w:hint="eastAsia" w:ascii="仿宋" w:hAnsi="仿宋" w:eastAsia="仿宋" w:cs="仿宋"/>
          <w:i w:val="0"/>
          <w:iCs w:val="0"/>
          <w:color w:val="auto"/>
          <w:sz w:val="24"/>
          <w:highlight w:val="none"/>
        </w:rPr>
        <w:t>，从业人员</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人，营业收入为</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万元，资产总额为</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万元，属于</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（中型企业、小型企业、微型企业）。</w:t>
      </w:r>
    </w:p>
    <w:p>
      <w:pPr>
        <w:spacing w:line="360" w:lineRule="auto"/>
        <w:ind w:firstLine="720" w:firstLineChars="3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w:t>
      </w:r>
      <w:r>
        <w:rPr>
          <w:rFonts w:hint="eastAsia" w:ascii="仿宋" w:hAnsi="仿宋" w:eastAsia="仿宋" w:cs="仿宋"/>
          <w:i w:val="0"/>
          <w:iCs w:val="0"/>
          <w:color w:val="auto"/>
          <w:sz w:val="24"/>
          <w:highlight w:val="none"/>
          <w:u w:val="single"/>
        </w:rPr>
        <w:t xml:space="preserve">          （标的名称）</w:t>
      </w:r>
      <w:r>
        <w:rPr>
          <w:rFonts w:hint="eastAsia" w:ascii="仿宋" w:hAnsi="仿宋" w:eastAsia="仿宋" w:cs="仿宋"/>
          <w:i w:val="0"/>
          <w:iCs w:val="0"/>
          <w:color w:val="auto"/>
          <w:sz w:val="24"/>
          <w:highlight w:val="none"/>
        </w:rPr>
        <w:t xml:space="preserve"> ，属于</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（采购文件中明确的所属行业）；承接企业为</w:t>
      </w:r>
      <w:r>
        <w:rPr>
          <w:rFonts w:hint="eastAsia" w:ascii="仿宋" w:hAnsi="仿宋" w:eastAsia="仿宋" w:cs="仿宋"/>
          <w:i w:val="0"/>
          <w:iCs w:val="0"/>
          <w:color w:val="auto"/>
          <w:sz w:val="24"/>
          <w:highlight w:val="none"/>
          <w:u w:val="single"/>
        </w:rPr>
        <w:t xml:space="preserve">           （企业名称）</w:t>
      </w:r>
      <w:r>
        <w:rPr>
          <w:rFonts w:hint="eastAsia" w:ascii="仿宋" w:hAnsi="仿宋" w:eastAsia="仿宋" w:cs="仿宋"/>
          <w:i w:val="0"/>
          <w:iCs w:val="0"/>
          <w:color w:val="auto"/>
          <w:sz w:val="24"/>
          <w:highlight w:val="none"/>
        </w:rPr>
        <w:t>，从业人员</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人，营业收入为</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万元，资产总额为</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万元，属于</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（中型企业、小型企业、微型企业）。</w:t>
      </w:r>
    </w:p>
    <w:p>
      <w:pPr>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p>
    <w:p>
      <w:pPr>
        <w:spacing w:line="360" w:lineRule="auto"/>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以上企业，不属于大企业的分支机构，不存在控股股东为大企业的情形，也不存在与大企业的负责人为同一人的情形。 </w:t>
      </w:r>
    </w:p>
    <w:p>
      <w:pPr>
        <w:spacing w:line="360" w:lineRule="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本企业对上述声明内容的真实性负责。如有虚假，将依法承担相应责任。</w:t>
      </w:r>
    </w:p>
    <w:p>
      <w:pPr>
        <w:pStyle w:val="13"/>
        <w:rPr>
          <w:rFonts w:hint="eastAsia" w:ascii="仿宋" w:hAnsi="仿宋" w:eastAsia="仿宋" w:cs="仿宋"/>
          <w:i w:val="0"/>
          <w:iCs w:val="0"/>
          <w:color w:val="auto"/>
          <w:sz w:val="24"/>
          <w:highlight w:val="none"/>
        </w:rPr>
      </w:pPr>
    </w:p>
    <w:p>
      <w:pPr>
        <w:rPr>
          <w:rFonts w:hint="eastAsia" w:ascii="仿宋" w:hAnsi="仿宋" w:eastAsia="仿宋" w:cs="仿宋"/>
          <w:i w:val="0"/>
          <w:iCs w:val="0"/>
          <w:color w:val="auto"/>
          <w:sz w:val="24"/>
          <w:highlight w:val="none"/>
        </w:rPr>
      </w:pPr>
    </w:p>
    <w:p>
      <w:pPr>
        <w:pStyle w:val="13"/>
        <w:rPr>
          <w:rFonts w:hint="eastAsia" w:ascii="仿宋" w:hAnsi="仿宋" w:eastAsia="仿宋" w:cs="仿宋"/>
          <w:i w:val="0"/>
          <w:iCs w:val="0"/>
          <w:color w:val="auto"/>
          <w:sz w:val="24"/>
          <w:highlight w:val="none"/>
        </w:rPr>
      </w:pPr>
    </w:p>
    <w:p>
      <w:pPr>
        <w:rPr>
          <w:color w:val="auto"/>
          <w:highlight w:val="none"/>
        </w:rPr>
      </w:pP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企业名称（盖单位公章）：</w:t>
      </w:r>
    </w:p>
    <w:p>
      <w:pPr>
        <w:spacing w:line="360" w:lineRule="auto"/>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 期：</w:t>
      </w:r>
    </w:p>
    <w:p>
      <w:pPr>
        <w:spacing w:line="360" w:lineRule="auto"/>
        <w:ind w:firstLine="480" w:firstLineChars="20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rPr>
        <w:t>注：</w:t>
      </w:r>
      <w:r>
        <w:rPr>
          <w:rFonts w:hint="eastAsia" w:ascii="仿宋" w:hAnsi="仿宋" w:eastAsia="仿宋" w:cs="仿宋"/>
          <w:i w:val="0"/>
          <w:iCs w:val="0"/>
          <w:color w:val="auto"/>
          <w:sz w:val="24"/>
          <w:highlight w:val="none"/>
          <w:lang w:val="zh-CN"/>
        </w:rPr>
        <w:t>1.</w:t>
      </w:r>
      <w:r>
        <w:rPr>
          <w:rFonts w:hint="eastAsia" w:ascii="仿宋" w:hAnsi="仿宋" w:eastAsia="仿宋" w:cs="仿宋"/>
          <w:i w:val="0"/>
          <w:iCs w:val="0"/>
          <w:color w:val="auto"/>
          <w:sz w:val="24"/>
          <w:highlight w:val="none"/>
        </w:rPr>
        <w:t>投标人</w:t>
      </w:r>
      <w:r>
        <w:rPr>
          <w:rFonts w:hint="eastAsia" w:ascii="仿宋" w:hAnsi="仿宋" w:eastAsia="仿宋" w:cs="仿宋"/>
          <w:i w:val="0"/>
          <w:iCs w:val="0"/>
          <w:color w:val="auto"/>
          <w:sz w:val="24"/>
          <w:highlight w:val="none"/>
          <w:lang w:val="zh-CN"/>
        </w:rPr>
        <w:t>须如实提供并填写本声明函，如</w:t>
      </w:r>
      <w:r>
        <w:rPr>
          <w:rFonts w:hint="eastAsia" w:ascii="仿宋" w:hAnsi="仿宋" w:eastAsia="仿宋" w:cs="仿宋"/>
          <w:i w:val="0"/>
          <w:iCs w:val="0"/>
          <w:color w:val="auto"/>
          <w:sz w:val="24"/>
          <w:highlight w:val="none"/>
        </w:rPr>
        <w:t>投标人</w:t>
      </w:r>
      <w:r>
        <w:rPr>
          <w:rFonts w:hint="eastAsia" w:ascii="仿宋" w:hAnsi="仿宋" w:eastAsia="仿宋" w:cs="仿宋"/>
          <w:i w:val="0"/>
          <w:iCs w:val="0"/>
          <w:color w:val="auto"/>
          <w:sz w:val="24"/>
          <w:highlight w:val="none"/>
          <w:lang w:val="zh-CN"/>
        </w:rPr>
        <w:t>未提供本声明函或未填写本声明函内容，视为非中小企业。</w:t>
      </w:r>
    </w:p>
    <w:p>
      <w:pPr>
        <w:spacing w:line="360" w:lineRule="auto"/>
        <w:ind w:firstLine="480" w:firstLineChars="20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2.</w:t>
      </w:r>
      <w:r>
        <w:rPr>
          <w:rFonts w:hint="eastAsia" w:ascii="仿宋" w:hAnsi="仿宋" w:eastAsia="仿宋" w:cs="仿宋"/>
          <w:i w:val="0"/>
          <w:iCs w:val="0"/>
          <w:color w:val="auto"/>
          <w:sz w:val="24"/>
          <w:highlight w:val="none"/>
        </w:rPr>
        <w:t>投标人</w:t>
      </w:r>
      <w:r>
        <w:rPr>
          <w:rFonts w:hint="eastAsia" w:ascii="仿宋" w:hAnsi="仿宋" w:eastAsia="仿宋" w:cs="仿宋"/>
          <w:i w:val="0"/>
          <w:iCs w:val="0"/>
          <w:color w:val="auto"/>
          <w:sz w:val="24"/>
          <w:highlight w:val="none"/>
          <w:lang w:val="zh-CN"/>
        </w:rPr>
        <w:t>为企业（包括有限责任公司或股份有限公司、合伙企业、个人独资企业）或个体工商户的可以提供本声明函；如虚假承诺，按照《政府采购法》有关提供虚假材料的规定给予处罚。</w:t>
      </w:r>
    </w:p>
    <w:p>
      <w:pPr>
        <w:spacing w:line="360" w:lineRule="auto"/>
        <w:ind w:firstLine="480" w:firstLineChars="20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3.监狱企业视同小型、微型企业。监狱企业参加</w:t>
      </w:r>
      <w:r>
        <w:rPr>
          <w:rFonts w:hint="eastAsia" w:ascii="仿宋" w:hAnsi="仿宋" w:eastAsia="仿宋" w:cs="仿宋"/>
          <w:i w:val="0"/>
          <w:iCs w:val="0"/>
          <w:color w:val="auto"/>
          <w:sz w:val="24"/>
          <w:highlight w:val="none"/>
        </w:rPr>
        <w:t>公开招标</w:t>
      </w:r>
      <w:r>
        <w:rPr>
          <w:rFonts w:hint="eastAsia" w:ascii="仿宋" w:hAnsi="仿宋" w:eastAsia="仿宋" w:cs="仿宋"/>
          <w:i w:val="0"/>
          <w:iCs w:val="0"/>
          <w:color w:val="auto"/>
          <w:sz w:val="24"/>
          <w:highlight w:val="none"/>
          <w:lang w:val="zh-CN"/>
        </w:rPr>
        <w:t>采购活动时，应当提供由省级以上监狱管理局、戒毒管理局（含新疆生产建设兵团）出具的属于监狱企业的证明文件。</w:t>
      </w:r>
    </w:p>
    <w:p>
      <w:pPr>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根据《工业和信息化部、国家统计局、国家发展和改革委员会、财政部关于印发中小企业划型标准规定的通知》（工信部联企业〔2011〕300号）规定的划分标准，（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i w:val="0"/>
          <w:color w:val="auto"/>
          <w:highlight w:val="none"/>
          <w:lang w:eastAsia="zh-CN"/>
        </w:rPr>
      </w:pPr>
      <w:r>
        <w:rPr>
          <w:rFonts w:hint="eastAsia" w:ascii="仿宋" w:hAnsi="仿宋" w:eastAsia="仿宋" w:cs="仿宋"/>
          <w:i w:val="0"/>
          <w:iCs w:val="0"/>
          <w:color w:val="auto"/>
          <w:sz w:val="24"/>
          <w:highlight w:val="none"/>
          <w:lang w:val="en-US" w:eastAsia="zh-CN"/>
        </w:rPr>
        <w:t>5</w:t>
      </w:r>
      <w:r>
        <w:rPr>
          <w:rFonts w:hint="eastAsia" w:ascii="仿宋" w:hAnsi="仿宋" w:eastAsia="仿宋" w:cs="仿宋"/>
          <w:i w:val="0"/>
          <w:iCs w:val="0"/>
          <w:color w:val="auto"/>
          <w:sz w:val="24"/>
          <w:highlight w:val="none"/>
        </w:rPr>
        <w:t>.从业人员、营业收入、资产总额填报上一年度数据，无上一年度数据的新成立企业可不填报。</w:t>
      </w:r>
      <w:r>
        <w:rPr>
          <w:i w:val="0"/>
          <w:color w:val="auto"/>
          <w:highlight w:val="none"/>
          <w:lang w:eastAsia="zh-CN"/>
        </w:rPr>
        <w:br w:type="page"/>
      </w:r>
    </w:p>
    <w:p>
      <w:pPr>
        <w:pStyle w:val="4"/>
        <w:jc w:val="left"/>
        <w:rPr>
          <w:i w:val="0"/>
          <w:color w:val="auto"/>
          <w:highlight w:val="none"/>
          <w:lang w:eastAsia="zh-CN"/>
        </w:rPr>
      </w:pPr>
      <w:bookmarkStart w:id="518" w:name="_Toc524910137"/>
      <w:bookmarkStart w:id="519" w:name="_Toc38274208"/>
      <w:bookmarkStart w:id="520" w:name="_Toc505762772"/>
      <w:bookmarkStart w:id="521" w:name="_Toc32144"/>
      <w:bookmarkStart w:id="522" w:name="_Toc494034632"/>
      <w:bookmarkStart w:id="523" w:name="_Toc497752273"/>
      <w:bookmarkStart w:id="524" w:name="_Toc511558679"/>
      <w:r>
        <w:rPr>
          <w:rFonts w:hint="eastAsia"/>
          <w:i w:val="0"/>
          <w:color w:val="auto"/>
          <w:highlight w:val="none"/>
          <w:lang w:val="en-US" w:eastAsia="zh-CN"/>
        </w:rPr>
        <w:t>十</w:t>
      </w:r>
      <w:r>
        <w:rPr>
          <w:rFonts w:hint="eastAsia"/>
          <w:i w:val="0"/>
          <w:color w:val="auto"/>
          <w:highlight w:val="none"/>
          <w:lang w:eastAsia="zh-CN"/>
        </w:rPr>
        <w:t>、监狱企业证明材料（仅限</w:t>
      </w:r>
      <w:r>
        <w:rPr>
          <w:i w:val="0"/>
          <w:color w:val="auto"/>
          <w:highlight w:val="none"/>
          <w:lang w:eastAsia="zh-CN"/>
        </w:rPr>
        <w:t>符合要求的投标人）</w:t>
      </w:r>
      <w:bookmarkEnd w:id="518"/>
      <w:bookmarkEnd w:id="519"/>
      <w:bookmarkEnd w:id="520"/>
      <w:bookmarkEnd w:id="521"/>
      <w:bookmarkEnd w:id="522"/>
      <w:bookmarkEnd w:id="523"/>
      <w:bookmarkEnd w:id="524"/>
    </w:p>
    <w:p>
      <w:pPr>
        <w:widowControl w:val="0"/>
        <w:spacing w:line="360" w:lineRule="auto"/>
        <w:jc w:val="center"/>
        <w:rPr>
          <w:rFonts w:ascii="仿宋" w:hAnsi="仿宋" w:eastAsia="仿宋"/>
          <w:b/>
          <w:i w:val="0"/>
          <w:color w:val="auto"/>
          <w:sz w:val="28"/>
          <w:szCs w:val="28"/>
          <w:highlight w:val="none"/>
          <w:lang w:eastAsia="zh-CN" w:bidi="ar-SA"/>
        </w:rPr>
      </w:pPr>
      <w:r>
        <w:rPr>
          <w:rFonts w:hint="eastAsia" w:ascii="仿宋" w:hAnsi="仿宋" w:eastAsia="仿宋"/>
          <w:b/>
          <w:i w:val="0"/>
          <w:color w:val="auto"/>
          <w:sz w:val="28"/>
          <w:szCs w:val="28"/>
          <w:highlight w:val="none"/>
          <w:lang w:eastAsia="zh-CN" w:bidi="ar-SA"/>
        </w:rPr>
        <w:t>监狱企业证明</w:t>
      </w:r>
    </w:p>
    <w:p>
      <w:pPr>
        <w:widowControl w:val="0"/>
        <w:rPr>
          <w:i w:val="0"/>
          <w:color w:val="auto"/>
          <w:sz w:val="21"/>
          <w:highlight w:val="none"/>
          <w:lang w:eastAsia="zh-CN" w:bidi="ar-SA"/>
        </w:rPr>
      </w:pPr>
    </w:p>
    <w:p>
      <w:pPr>
        <w:widowControl w:val="0"/>
        <w:spacing w:line="360" w:lineRule="auto"/>
        <w:rPr>
          <w:i w:val="0"/>
          <w:color w:val="auto"/>
          <w:sz w:val="24"/>
          <w:szCs w:val="21"/>
          <w:highlight w:val="none"/>
          <w:lang w:eastAsia="zh-CN" w:bidi="ar-SA"/>
        </w:rPr>
      </w:pPr>
    </w:p>
    <w:p>
      <w:pPr>
        <w:widowControl w:val="0"/>
        <w:rPr>
          <w:i w:val="0"/>
          <w:color w:val="auto"/>
          <w:sz w:val="21"/>
          <w:highlight w:val="none"/>
          <w:lang w:eastAsia="zh-CN" w:bidi="ar-SA"/>
        </w:rPr>
      </w:pPr>
    </w:p>
    <w:p>
      <w:pPr>
        <w:widowControl w:val="0"/>
        <w:spacing w:after="120" w:line="480" w:lineRule="auto"/>
        <w:jc w:val="both"/>
        <w:rPr>
          <w:rFonts w:ascii="仿宋" w:hAnsi="仿宋" w:eastAsia="仿宋"/>
          <w:i w:val="0"/>
          <w:color w:val="auto"/>
          <w:kern w:val="0"/>
          <w:sz w:val="24"/>
          <w:szCs w:val="24"/>
          <w:highlight w:val="none"/>
          <w:u w:val="single"/>
          <w:lang w:eastAsia="zh-CN" w:bidi="ar-SA"/>
        </w:rPr>
      </w:pPr>
    </w:p>
    <w:p>
      <w:pPr>
        <w:widowControl w:val="0"/>
        <w:spacing w:after="120" w:line="360" w:lineRule="auto"/>
        <w:ind w:firstLine="480" w:firstLineChars="200"/>
        <w:jc w:val="both"/>
        <w:rPr>
          <w:rFonts w:ascii="仿宋" w:hAnsi="仿宋" w:eastAsia="仿宋"/>
          <w:i w:val="0"/>
          <w:color w:val="auto"/>
          <w:kern w:val="0"/>
          <w:sz w:val="24"/>
          <w:szCs w:val="24"/>
          <w:highlight w:val="none"/>
          <w:lang w:eastAsia="zh-CN" w:bidi="ar-SA"/>
        </w:rPr>
      </w:pPr>
      <w:r>
        <w:rPr>
          <w:rFonts w:hint="eastAsia" w:ascii="仿宋" w:hAnsi="仿宋" w:eastAsia="仿宋"/>
          <w:i w:val="0"/>
          <w:color w:val="auto"/>
          <w:kern w:val="0"/>
          <w:sz w:val="24"/>
          <w:szCs w:val="24"/>
          <w:highlight w:val="none"/>
          <w:lang w:eastAsia="zh-CN" w:bidi="ar-SA"/>
        </w:rPr>
        <w:t>参加政府采购活动的监狱企业应当提供省级以上监狱管理局、戒毒管理局（含新疆生产建设兵团）出具的属于监狱企业的证明文件复印件加盖投标人公章，原件备查。</w:t>
      </w:r>
    </w:p>
    <w:p>
      <w:pPr>
        <w:widowControl w:val="0"/>
        <w:rPr>
          <w:i w:val="0"/>
          <w:color w:val="auto"/>
          <w:sz w:val="21"/>
          <w:highlight w:val="none"/>
          <w:lang w:eastAsia="zh-CN" w:bidi="ar-SA"/>
        </w:rPr>
      </w:pPr>
    </w:p>
    <w:p>
      <w:pPr>
        <w:widowControl w:val="0"/>
        <w:spacing w:after="156"/>
        <w:rPr>
          <w:rFonts w:ascii="仿宋" w:hAnsi="仿宋" w:eastAsia="仿宋" w:cs="Marigold"/>
          <w:i w:val="0"/>
          <w:color w:val="auto"/>
          <w:sz w:val="24"/>
          <w:szCs w:val="24"/>
          <w:highlight w:val="none"/>
          <w:lang w:eastAsia="zh-CN" w:bidi="ar-SA"/>
        </w:rPr>
      </w:pPr>
    </w:p>
    <w:p>
      <w:pPr>
        <w:widowControl w:val="0"/>
        <w:spacing w:after="156"/>
        <w:rPr>
          <w:rFonts w:ascii="仿宋" w:hAnsi="仿宋" w:eastAsia="仿宋" w:cs="Marigold"/>
          <w:i w:val="0"/>
          <w:color w:val="auto"/>
          <w:sz w:val="24"/>
          <w:szCs w:val="24"/>
          <w:highlight w:val="none"/>
          <w:lang w:eastAsia="zh-CN" w:bidi="ar-SA"/>
        </w:rPr>
      </w:pPr>
    </w:p>
    <w:p>
      <w:pPr>
        <w:widowControl w:val="0"/>
        <w:spacing w:after="156"/>
        <w:rPr>
          <w:rFonts w:ascii="仿宋" w:hAnsi="仿宋" w:eastAsia="仿宋" w:cs="Marigold"/>
          <w:i w:val="0"/>
          <w:color w:val="auto"/>
          <w:sz w:val="24"/>
          <w:szCs w:val="24"/>
          <w:highlight w:val="none"/>
          <w:lang w:eastAsia="zh-CN" w:bidi="ar-SA"/>
        </w:rPr>
      </w:pPr>
    </w:p>
    <w:p>
      <w:pPr>
        <w:widowControl w:val="0"/>
        <w:spacing w:after="156"/>
        <w:rPr>
          <w:rFonts w:ascii="仿宋" w:hAnsi="仿宋" w:eastAsia="仿宋" w:cs="Marigold"/>
          <w:i w:val="0"/>
          <w:color w:val="auto"/>
          <w:sz w:val="24"/>
          <w:szCs w:val="24"/>
          <w:highlight w:val="none"/>
          <w:lang w:eastAsia="zh-CN" w:bidi="ar-SA"/>
        </w:rPr>
      </w:pPr>
    </w:p>
    <w:p>
      <w:pPr>
        <w:widowControl w:val="0"/>
        <w:spacing w:after="156"/>
        <w:rPr>
          <w:rFonts w:ascii="仿宋" w:hAnsi="仿宋" w:eastAsia="仿宋" w:cs="Marigold"/>
          <w:i w:val="0"/>
          <w:color w:val="auto"/>
          <w:sz w:val="24"/>
          <w:szCs w:val="24"/>
          <w:highlight w:val="none"/>
          <w:lang w:eastAsia="zh-CN" w:bidi="ar-SA"/>
        </w:rPr>
      </w:pPr>
      <w:r>
        <w:rPr>
          <w:rFonts w:hint="eastAsia" w:ascii="仿宋" w:hAnsi="仿宋" w:eastAsia="仿宋" w:cs="Marigold"/>
          <w:i w:val="0"/>
          <w:color w:val="auto"/>
          <w:sz w:val="24"/>
          <w:szCs w:val="24"/>
          <w:highlight w:val="none"/>
          <w:lang w:eastAsia="zh-CN" w:bidi="ar-SA"/>
        </w:rPr>
        <w:t>注</w:t>
      </w:r>
      <w:r>
        <w:rPr>
          <w:rFonts w:ascii="仿宋" w:hAnsi="仿宋" w:eastAsia="仿宋" w:cs="Marigold"/>
          <w:i w:val="0"/>
          <w:color w:val="auto"/>
          <w:sz w:val="24"/>
          <w:szCs w:val="24"/>
          <w:highlight w:val="none"/>
          <w:lang w:eastAsia="zh-CN" w:bidi="ar-SA"/>
        </w:rPr>
        <w:t>：</w:t>
      </w:r>
      <w:r>
        <w:rPr>
          <w:rFonts w:hint="eastAsia" w:ascii="仿宋" w:hAnsi="仿宋" w:eastAsia="仿宋" w:cs="Marigold"/>
          <w:i w:val="0"/>
          <w:color w:val="auto"/>
          <w:sz w:val="24"/>
          <w:szCs w:val="24"/>
          <w:highlight w:val="none"/>
          <w:lang w:eastAsia="zh-CN" w:bidi="ar-SA"/>
        </w:rPr>
        <w:t>在政府采购活动中，监狱企业视同小型、微型企业，享受预留份额、评审中价格扣除等政府采购促进中小企业发展的政府采购政策。</w:t>
      </w:r>
    </w:p>
    <w:p>
      <w:pPr>
        <w:widowControl w:val="0"/>
        <w:spacing w:after="156"/>
        <w:rPr>
          <w:rFonts w:ascii="仿宋" w:hAnsi="仿宋" w:eastAsia="仿宋" w:cs="Marigold"/>
          <w:i w:val="0"/>
          <w:color w:val="auto"/>
          <w:sz w:val="24"/>
          <w:szCs w:val="24"/>
          <w:highlight w:val="none"/>
          <w:lang w:eastAsia="zh-CN" w:bidi="ar-SA"/>
        </w:rPr>
      </w:pPr>
    </w:p>
    <w:p>
      <w:pPr>
        <w:widowControl w:val="0"/>
        <w:spacing w:line="360" w:lineRule="auto"/>
        <w:ind w:firstLine="480" w:firstLineChars="200"/>
        <w:rPr>
          <w:i w:val="0"/>
          <w:color w:val="auto"/>
          <w:highlight w:val="none"/>
          <w:lang w:eastAsia="zh-CN"/>
        </w:rPr>
      </w:pPr>
      <w:r>
        <w:rPr>
          <w:i w:val="0"/>
          <w:color w:val="auto"/>
          <w:sz w:val="24"/>
          <w:szCs w:val="21"/>
          <w:highlight w:val="none"/>
          <w:lang w:eastAsia="zh-CN" w:bidi="ar-SA"/>
        </w:rPr>
        <w:br w:type="page"/>
      </w:r>
    </w:p>
    <w:p>
      <w:pPr>
        <w:pStyle w:val="4"/>
        <w:jc w:val="left"/>
        <w:rPr>
          <w:i w:val="0"/>
          <w:color w:val="auto"/>
          <w:highlight w:val="none"/>
          <w:lang w:eastAsia="zh-CN"/>
        </w:rPr>
      </w:pPr>
      <w:bookmarkStart w:id="525" w:name="_Toc38274209"/>
      <w:bookmarkStart w:id="526" w:name="_Toc524910138"/>
      <w:bookmarkStart w:id="527" w:name="_Toc511558680"/>
      <w:bookmarkStart w:id="528" w:name="_Toc497752274"/>
      <w:bookmarkStart w:id="529" w:name="_Toc505762773"/>
      <w:bookmarkStart w:id="530" w:name="_Toc9870"/>
      <w:r>
        <w:rPr>
          <w:rFonts w:hint="eastAsia"/>
          <w:i w:val="0"/>
          <w:color w:val="auto"/>
          <w:highlight w:val="none"/>
          <w:lang w:val="en-US" w:eastAsia="zh-CN"/>
        </w:rPr>
        <w:t>十一</w:t>
      </w:r>
      <w:r>
        <w:rPr>
          <w:rFonts w:hint="eastAsia"/>
          <w:i w:val="0"/>
          <w:color w:val="auto"/>
          <w:highlight w:val="none"/>
          <w:lang w:eastAsia="zh-CN"/>
        </w:rPr>
        <w:t>、残疾人福利性单位证明材料（仅限</w:t>
      </w:r>
      <w:r>
        <w:rPr>
          <w:i w:val="0"/>
          <w:color w:val="auto"/>
          <w:highlight w:val="none"/>
          <w:lang w:eastAsia="zh-CN"/>
        </w:rPr>
        <w:t>符合要求的投标人）</w:t>
      </w:r>
      <w:bookmarkEnd w:id="525"/>
      <w:bookmarkEnd w:id="526"/>
      <w:bookmarkEnd w:id="527"/>
      <w:bookmarkEnd w:id="528"/>
      <w:bookmarkEnd w:id="529"/>
      <w:bookmarkEnd w:id="530"/>
    </w:p>
    <w:p>
      <w:pPr>
        <w:widowControl w:val="0"/>
        <w:spacing w:line="588" w:lineRule="exact"/>
        <w:jc w:val="center"/>
        <w:rPr>
          <w:rFonts w:ascii="仿宋_GB2312" w:eastAsia="仿宋_GB2312"/>
          <w:b/>
          <w:i w:val="0"/>
          <w:color w:val="auto"/>
          <w:spacing w:val="6"/>
          <w:sz w:val="30"/>
          <w:szCs w:val="30"/>
          <w:highlight w:val="none"/>
          <w:lang w:eastAsia="zh-CN" w:bidi="ar-SA"/>
        </w:rPr>
      </w:pPr>
      <w:r>
        <w:rPr>
          <w:rFonts w:hint="eastAsia" w:ascii="仿宋_GB2312" w:eastAsia="仿宋_GB2312"/>
          <w:b/>
          <w:i w:val="0"/>
          <w:color w:val="auto"/>
          <w:spacing w:val="6"/>
          <w:sz w:val="30"/>
          <w:szCs w:val="30"/>
          <w:highlight w:val="none"/>
          <w:lang w:eastAsia="zh-CN" w:bidi="ar-SA"/>
        </w:rPr>
        <w:t>残疾人福利性单位声明函</w:t>
      </w:r>
    </w:p>
    <w:p>
      <w:pPr>
        <w:widowControl w:val="0"/>
        <w:spacing w:line="588" w:lineRule="exact"/>
        <w:jc w:val="both"/>
        <w:rPr>
          <w:rFonts w:ascii="仿宋_GB2312" w:eastAsia="仿宋_GB2312"/>
          <w:b/>
          <w:i w:val="0"/>
          <w:color w:val="auto"/>
          <w:spacing w:val="6"/>
          <w:sz w:val="30"/>
          <w:szCs w:val="30"/>
          <w:highlight w:val="none"/>
          <w:lang w:eastAsia="zh-CN" w:bidi="ar-SA"/>
        </w:rPr>
      </w:pPr>
    </w:p>
    <w:p>
      <w:pPr>
        <w:spacing w:line="360" w:lineRule="auto"/>
        <w:ind w:firstLine="480" w:firstLineChars="200"/>
        <w:contextualSpacing/>
        <w:rPr>
          <w:rFonts w:ascii="仿宋" w:hAnsi="仿宋" w:eastAsia="仿宋"/>
          <w:i w:val="0"/>
          <w:color w:val="auto"/>
          <w:sz w:val="24"/>
          <w:highlight w:val="none"/>
          <w:lang w:eastAsia="zh-CN" w:bidi="ar-SA"/>
        </w:rPr>
      </w:pPr>
      <w:r>
        <w:rPr>
          <w:rFonts w:hint="eastAsia" w:ascii="仿宋" w:hAnsi="仿宋" w:eastAsia="仿宋"/>
          <w:i w:val="0"/>
          <w:color w:val="auto"/>
          <w:sz w:val="24"/>
          <w:highlight w:val="none"/>
          <w:lang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contextualSpacing/>
        <w:rPr>
          <w:rFonts w:ascii="仿宋" w:hAnsi="仿宋" w:eastAsia="仿宋"/>
          <w:i w:val="0"/>
          <w:color w:val="auto"/>
          <w:sz w:val="24"/>
          <w:highlight w:val="none"/>
          <w:lang w:eastAsia="zh-CN" w:bidi="ar-SA"/>
        </w:rPr>
      </w:pPr>
      <w:r>
        <w:rPr>
          <w:rFonts w:hint="eastAsia" w:ascii="仿宋" w:hAnsi="仿宋" w:eastAsia="仿宋"/>
          <w:i w:val="0"/>
          <w:color w:val="auto"/>
          <w:sz w:val="24"/>
          <w:highlight w:val="none"/>
          <w:lang w:eastAsia="zh-CN" w:bidi="ar-SA"/>
        </w:rPr>
        <w:t>本单位对上述声明的真实性负责。如有虚假，将依法承担相应责任。</w:t>
      </w:r>
    </w:p>
    <w:p>
      <w:pPr>
        <w:spacing w:line="360" w:lineRule="auto"/>
        <w:contextualSpacing/>
        <w:rPr>
          <w:rFonts w:ascii="仿宋" w:hAnsi="仿宋" w:eastAsia="仿宋"/>
          <w:i w:val="0"/>
          <w:color w:val="auto"/>
          <w:sz w:val="24"/>
          <w:highlight w:val="none"/>
          <w:lang w:eastAsia="zh-CN" w:bidi="ar-SA"/>
        </w:rPr>
      </w:pPr>
    </w:p>
    <w:p>
      <w:pPr>
        <w:spacing w:line="360" w:lineRule="auto"/>
        <w:contextualSpacing/>
        <w:rPr>
          <w:rFonts w:ascii="仿宋" w:hAnsi="仿宋" w:eastAsia="仿宋"/>
          <w:i w:val="0"/>
          <w:color w:val="auto"/>
          <w:sz w:val="24"/>
          <w:highlight w:val="none"/>
          <w:lang w:eastAsia="zh-CN" w:bidi="ar-SA"/>
        </w:rPr>
      </w:pPr>
    </w:p>
    <w:p>
      <w:pPr>
        <w:spacing w:line="360" w:lineRule="auto"/>
        <w:contextualSpacing/>
        <w:rPr>
          <w:rFonts w:ascii="仿宋" w:hAnsi="仿宋" w:eastAsia="仿宋"/>
          <w:i w:val="0"/>
          <w:color w:val="auto"/>
          <w:sz w:val="24"/>
          <w:highlight w:val="none"/>
          <w:lang w:eastAsia="zh-CN" w:bidi="ar-SA"/>
        </w:rPr>
      </w:pPr>
      <w:r>
        <w:rPr>
          <w:rFonts w:hint="eastAsia" w:ascii="仿宋" w:hAnsi="仿宋" w:eastAsia="仿宋"/>
          <w:i w:val="0"/>
          <w:color w:val="auto"/>
          <w:sz w:val="24"/>
          <w:highlight w:val="none"/>
          <w:lang w:eastAsia="zh-CN" w:bidi="ar-SA"/>
        </w:rPr>
        <w:t xml:space="preserve">       单位名称（盖章）</w:t>
      </w:r>
    </w:p>
    <w:p>
      <w:pPr>
        <w:spacing w:line="360" w:lineRule="auto"/>
        <w:ind w:firstLine="960" w:firstLineChars="400"/>
        <w:contextualSpacing/>
        <w:rPr>
          <w:rFonts w:ascii="仿宋" w:hAnsi="仿宋" w:eastAsia="仿宋" w:cs="宋体"/>
          <w:i w:val="0"/>
          <w:color w:val="auto"/>
          <w:sz w:val="24"/>
          <w:highlight w:val="none"/>
          <w:lang w:eastAsia="zh-CN"/>
        </w:rPr>
      </w:pPr>
      <w:r>
        <w:rPr>
          <w:rFonts w:hint="eastAsia" w:ascii="仿宋" w:hAnsi="仿宋" w:eastAsia="仿宋"/>
          <w:i w:val="0"/>
          <w:color w:val="auto"/>
          <w:sz w:val="24"/>
          <w:highlight w:val="none"/>
          <w:lang w:eastAsia="zh-CN" w:bidi="ar-SA"/>
        </w:rPr>
        <w:t>投标日期：</w:t>
      </w:r>
    </w:p>
    <w:p>
      <w:pPr>
        <w:spacing w:line="360" w:lineRule="auto"/>
        <w:rPr>
          <w:rFonts w:ascii="仿宋" w:hAnsi="仿宋" w:eastAsia="仿宋" w:cs="宋体"/>
          <w:i w:val="0"/>
          <w:color w:val="auto"/>
          <w:sz w:val="24"/>
          <w:highlight w:val="none"/>
          <w:lang w:eastAsia="zh-CN"/>
        </w:rPr>
      </w:pPr>
    </w:p>
    <w:p>
      <w:pPr>
        <w:spacing w:line="360" w:lineRule="auto"/>
        <w:ind w:firstLine="480" w:firstLineChars="200"/>
        <w:rPr>
          <w:rFonts w:ascii="仿宋" w:hAnsi="仿宋" w:eastAsia="仿宋" w:cs="宋体"/>
          <w:i w:val="0"/>
          <w:color w:val="auto"/>
          <w:sz w:val="24"/>
          <w:highlight w:val="none"/>
          <w:lang w:eastAsia="zh-CN"/>
        </w:rPr>
      </w:pPr>
      <w:r>
        <w:rPr>
          <w:rFonts w:hint="eastAsia" w:ascii="仿宋" w:hAnsi="仿宋" w:eastAsia="仿宋" w:cs="宋体"/>
          <w:i w:val="0"/>
          <w:color w:val="auto"/>
          <w:sz w:val="24"/>
          <w:highlight w:val="none"/>
          <w:lang w:eastAsia="zh-CN"/>
        </w:rPr>
        <w:t>注：1、残疾人福利性单位视同小型、微型企业，享受预留份额、评审中价格扣除等促进中小企业发展的政府采购政策。残疾人福利性单位属于小型、微型企业的，不重复享受政策。</w:t>
      </w:r>
    </w:p>
    <w:p>
      <w:pPr>
        <w:widowControl w:val="0"/>
        <w:spacing w:line="360" w:lineRule="auto"/>
        <w:ind w:firstLine="600" w:firstLineChars="250"/>
        <w:jc w:val="both"/>
        <w:rPr>
          <w:rFonts w:ascii="仿宋" w:hAnsi="仿宋" w:eastAsia="仿宋" w:cs="宋体"/>
          <w:i w:val="0"/>
          <w:color w:val="auto"/>
          <w:sz w:val="24"/>
          <w:highlight w:val="none"/>
          <w:lang w:eastAsia="zh-CN"/>
        </w:rPr>
      </w:pPr>
      <w:r>
        <w:rPr>
          <w:rFonts w:hint="eastAsia" w:ascii="仿宋" w:hAnsi="仿宋" w:eastAsia="仿宋" w:cs="宋体"/>
          <w:i w:val="0"/>
          <w:color w:val="auto"/>
          <w:sz w:val="24"/>
          <w:highlight w:val="none"/>
          <w:lang w:eastAsia="zh-CN"/>
        </w:rPr>
        <w:t>2、投标人为非残疾人福利性单位的，可不提供此声明。</w:t>
      </w:r>
    </w:p>
    <w:p>
      <w:pPr>
        <w:widowControl w:val="0"/>
        <w:tabs>
          <w:tab w:val="left" w:pos="4860"/>
        </w:tabs>
        <w:spacing w:line="588" w:lineRule="exact"/>
        <w:ind w:right="1560" w:firstLine="504" w:firstLineChars="200"/>
        <w:rPr>
          <w:rFonts w:ascii="仿宋_GB2312" w:eastAsia="仿宋_GB2312"/>
          <w:i w:val="0"/>
          <w:color w:val="auto"/>
          <w:spacing w:val="6"/>
          <w:sz w:val="24"/>
          <w:szCs w:val="24"/>
          <w:highlight w:val="none"/>
          <w:lang w:eastAsia="zh-CN" w:bidi="ar-SA"/>
        </w:rPr>
      </w:pPr>
    </w:p>
    <w:p>
      <w:pPr>
        <w:rPr>
          <w:rFonts w:hint="eastAsia"/>
          <w:i w:val="0"/>
          <w:color w:val="auto"/>
          <w:highlight w:val="none"/>
          <w:lang w:eastAsia="zh-CN"/>
        </w:rPr>
      </w:pPr>
      <w:r>
        <w:rPr>
          <w:rFonts w:hint="eastAsia"/>
          <w:i w:val="0"/>
          <w:color w:val="auto"/>
          <w:highlight w:val="none"/>
          <w:lang w:eastAsia="zh-CN"/>
        </w:rPr>
        <w:br w:type="page"/>
      </w:r>
    </w:p>
    <w:p>
      <w:pPr>
        <w:pStyle w:val="4"/>
        <w:rPr>
          <w:i w:val="0"/>
          <w:color w:val="auto"/>
          <w:highlight w:val="none"/>
          <w:lang w:eastAsia="zh-CN"/>
        </w:rPr>
      </w:pPr>
      <w:bookmarkStart w:id="531" w:name="_Toc31780"/>
      <w:r>
        <w:rPr>
          <w:rFonts w:hint="eastAsia"/>
          <w:i w:val="0"/>
          <w:color w:val="auto"/>
          <w:highlight w:val="none"/>
          <w:lang w:val="en-US" w:eastAsia="zh-CN"/>
        </w:rPr>
        <w:t>十二、</w:t>
      </w:r>
      <w:r>
        <w:rPr>
          <w:rFonts w:hint="eastAsia"/>
          <w:i w:val="0"/>
          <w:color w:val="auto"/>
          <w:highlight w:val="none"/>
          <w:lang w:eastAsia="zh-CN"/>
        </w:rPr>
        <w:t>其它投标人认为需要递交的材料或文件</w:t>
      </w:r>
      <w:bookmarkEnd w:id="509"/>
      <w:bookmarkEnd w:id="510"/>
      <w:bookmarkEnd w:id="511"/>
      <w:bookmarkEnd w:id="512"/>
      <w:bookmarkEnd w:id="531"/>
    </w:p>
    <w:p>
      <w:pPr>
        <w:spacing w:after="156"/>
        <w:jc w:val="center"/>
        <w:rPr>
          <w:rFonts w:ascii="仿宋" w:hAnsi="仿宋" w:eastAsia="仿宋" w:cs="Marigold"/>
          <w:bCs/>
          <w:i w:val="0"/>
          <w:color w:val="auto"/>
          <w:sz w:val="24"/>
          <w:szCs w:val="24"/>
          <w:highlight w:val="none"/>
          <w:lang w:eastAsia="zh-CN"/>
        </w:rPr>
      </w:pPr>
      <w:r>
        <w:rPr>
          <w:rFonts w:hint="eastAsia" w:ascii="仿宋" w:hAnsi="仿宋" w:eastAsia="仿宋" w:cs="Marigold"/>
          <w:bCs/>
          <w:i w:val="0"/>
          <w:color w:val="auto"/>
          <w:sz w:val="24"/>
          <w:szCs w:val="24"/>
          <w:highlight w:val="none"/>
          <w:lang w:eastAsia="zh-CN"/>
        </w:rPr>
        <w:t>（格式自拟）</w:t>
      </w:r>
    </w:p>
    <w:p>
      <w:pPr>
        <w:spacing w:after="156"/>
        <w:rPr>
          <w:rFonts w:ascii="仿宋" w:hAnsi="仿宋" w:eastAsia="仿宋" w:cs="Marigold"/>
          <w:bCs/>
          <w:i w:val="0"/>
          <w:color w:val="auto"/>
          <w:sz w:val="24"/>
          <w:szCs w:val="24"/>
          <w:highlight w:val="none"/>
          <w:lang w:eastAsia="zh-CN"/>
        </w:rPr>
      </w:pPr>
    </w:p>
    <w:p>
      <w:pPr>
        <w:pStyle w:val="4"/>
        <w:rPr>
          <w:i w:val="0"/>
          <w:color w:val="auto"/>
          <w:highlight w:val="none"/>
          <w:lang w:eastAsia="zh-CN"/>
        </w:rPr>
      </w:pPr>
      <w:bookmarkStart w:id="532" w:name="_Toc511558682"/>
      <w:bookmarkStart w:id="533" w:name="_Toc468346412"/>
      <w:bookmarkStart w:id="534" w:name="_Toc505762775"/>
      <w:bookmarkStart w:id="535" w:name="_Toc524910140"/>
      <w:bookmarkStart w:id="536" w:name="_Toc497752277"/>
      <w:bookmarkStart w:id="537" w:name="_Toc468331121"/>
      <w:bookmarkStart w:id="538" w:name="_Toc14822"/>
      <w:r>
        <w:rPr>
          <w:rFonts w:hint="eastAsia"/>
          <w:i w:val="0"/>
          <w:color w:val="auto"/>
          <w:highlight w:val="none"/>
          <w:lang w:eastAsia="zh-CN"/>
        </w:rPr>
        <w:t>十</w:t>
      </w:r>
      <w:r>
        <w:rPr>
          <w:rFonts w:hint="eastAsia"/>
          <w:i w:val="0"/>
          <w:color w:val="auto"/>
          <w:highlight w:val="none"/>
          <w:lang w:val="en-US" w:eastAsia="zh-CN"/>
        </w:rPr>
        <w:t>三</w:t>
      </w:r>
      <w:r>
        <w:rPr>
          <w:rFonts w:hint="eastAsia"/>
          <w:i w:val="0"/>
          <w:color w:val="auto"/>
          <w:highlight w:val="none"/>
          <w:lang w:eastAsia="zh-CN"/>
        </w:rPr>
        <w:t>、招标文件要求递交其他的材料或文件</w:t>
      </w:r>
      <w:bookmarkEnd w:id="532"/>
      <w:bookmarkEnd w:id="533"/>
      <w:bookmarkEnd w:id="534"/>
      <w:bookmarkEnd w:id="535"/>
      <w:bookmarkEnd w:id="536"/>
      <w:bookmarkEnd w:id="537"/>
      <w:bookmarkEnd w:id="538"/>
    </w:p>
    <w:p>
      <w:pPr>
        <w:spacing w:after="156"/>
        <w:jc w:val="center"/>
        <w:rPr>
          <w:rFonts w:ascii="仿宋" w:hAnsi="仿宋" w:eastAsia="仿宋" w:cs="Marigold"/>
          <w:bCs/>
          <w:i w:val="0"/>
          <w:color w:val="auto"/>
          <w:sz w:val="24"/>
          <w:szCs w:val="24"/>
          <w:highlight w:val="none"/>
          <w:lang w:eastAsia="zh-CN"/>
        </w:rPr>
      </w:pPr>
      <w:r>
        <w:rPr>
          <w:rFonts w:hint="eastAsia" w:ascii="仿宋" w:hAnsi="仿宋" w:eastAsia="仿宋" w:cs="Marigold"/>
          <w:bCs/>
          <w:i w:val="0"/>
          <w:color w:val="auto"/>
          <w:sz w:val="24"/>
          <w:szCs w:val="24"/>
          <w:highlight w:val="none"/>
          <w:lang w:eastAsia="zh-CN"/>
        </w:rPr>
        <w:t>（格式自拟）</w:t>
      </w:r>
    </w:p>
    <w:p>
      <w:pPr>
        <w:spacing w:after="156" w:line="360" w:lineRule="auto"/>
        <w:rPr>
          <w:rFonts w:ascii="仿宋" w:hAnsi="仿宋" w:eastAsia="仿宋" w:cs="Marigold"/>
          <w:b/>
          <w:bCs/>
          <w:i w:val="0"/>
          <w:color w:val="auto"/>
          <w:kern w:val="0"/>
          <w:sz w:val="24"/>
          <w:szCs w:val="24"/>
          <w:highlight w:val="none"/>
          <w:lang w:eastAsia="zh-CN"/>
        </w:rPr>
      </w:pPr>
    </w:p>
    <w:p>
      <w:pPr>
        <w:spacing w:after="156" w:line="360" w:lineRule="auto"/>
        <w:rPr>
          <w:rFonts w:ascii="仿宋" w:hAnsi="仿宋" w:eastAsia="仿宋" w:cs="Marigold"/>
          <w:b/>
          <w:bCs/>
          <w:i w:val="0"/>
          <w:color w:val="auto"/>
          <w:kern w:val="0"/>
          <w:sz w:val="24"/>
          <w:szCs w:val="24"/>
          <w:highlight w:val="none"/>
          <w:lang w:eastAsia="zh-CN"/>
        </w:rPr>
      </w:pPr>
    </w:p>
    <w:p>
      <w:pPr>
        <w:spacing w:after="156" w:line="360" w:lineRule="auto"/>
        <w:rPr>
          <w:rFonts w:ascii="仿宋" w:hAnsi="仿宋" w:eastAsia="仿宋" w:cs="Marigold"/>
          <w:b/>
          <w:bCs/>
          <w:i w:val="0"/>
          <w:color w:val="auto"/>
          <w:kern w:val="0"/>
          <w:sz w:val="24"/>
          <w:szCs w:val="24"/>
          <w:highlight w:val="none"/>
          <w:lang w:eastAsia="zh-CN"/>
        </w:rPr>
      </w:pPr>
    </w:p>
    <w:p>
      <w:pPr>
        <w:spacing w:after="156" w:line="360" w:lineRule="auto"/>
        <w:rPr>
          <w:rFonts w:ascii="仿宋" w:hAnsi="仿宋" w:eastAsia="仿宋" w:cs="Marigold"/>
          <w:b/>
          <w:bCs/>
          <w:i w:val="0"/>
          <w:color w:val="auto"/>
          <w:kern w:val="0"/>
          <w:sz w:val="24"/>
          <w:szCs w:val="24"/>
          <w:highlight w:val="none"/>
          <w:lang w:eastAsia="zh-CN"/>
        </w:rPr>
      </w:pPr>
    </w:p>
    <w:p>
      <w:pPr>
        <w:spacing w:after="156" w:line="360" w:lineRule="auto"/>
        <w:rPr>
          <w:rFonts w:ascii="仿宋" w:hAnsi="仿宋" w:eastAsia="仿宋" w:cs="Marigold"/>
          <w:b/>
          <w:bCs/>
          <w:i w:val="0"/>
          <w:color w:val="auto"/>
          <w:kern w:val="0"/>
          <w:sz w:val="24"/>
          <w:szCs w:val="24"/>
          <w:highlight w:val="none"/>
          <w:lang w:eastAsia="zh-CN"/>
        </w:rPr>
      </w:pPr>
    </w:p>
    <w:p>
      <w:pPr>
        <w:spacing w:after="156" w:line="360" w:lineRule="auto"/>
        <w:rPr>
          <w:rFonts w:ascii="仿宋" w:hAnsi="仿宋" w:eastAsia="仿宋" w:cs="Marigold"/>
          <w:b/>
          <w:bCs/>
          <w:i w:val="0"/>
          <w:color w:val="auto"/>
          <w:kern w:val="0"/>
          <w:sz w:val="24"/>
          <w:szCs w:val="24"/>
          <w:highlight w:val="none"/>
          <w:lang w:eastAsia="zh-CN"/>
        </w:rPr>
      </w:pPr>
    </w:p>
    <w:p>
      <w:pPr>
        <w:spacing w:after="156" w:line="360" w:lineRule="auto"/>
        <w:rPr>
          <w:rFonts w:ascii="仿宋" w:hAnsi="仿宋" w:eastAsia="仿宋" w:cs="Marigold"/>
          <w:b/>
          <w:bCs/>
          <w:i w:val="0"/>
          <w:color w:val="auto"/>
          <w:kern w:val="0"/>
          <w:sz w:val="24"/>
          <w:szCs w:val="24"/>
          <w:highlight w:val="none"/>
          <w:lang w:eastAsia="zh-CN"/>
        </w:rPr>
      </w:pPr>
    </w:p>
    <w:p>
      <w:pPr>
        <w:rPr>
          <w:rFonts w:ascii="仿宋" w:hAnsi="仿宋" w:eastAsia="仿宋" w:cs="Marigold"/>
          <w:b/>
          <w:bCs/>
          <w:i w:val="0"/>
          <w:color w:val="auto"/>
          <w:kern w:val="0"/>
          <w:sz w:val="24"/>
          <w:szCs w:val="24"/>
          <w:highlight w:val="none"/>
          <w:lang w:eastAsia="zh-CN"/>
        </w:rPr>
      </w:pPr>
      <w:r>
        <w:rPr>
          <w:rFonts w:ascii="仿宋" w:hAnsi="仿宋" w:eastAsia="仿宋" w:cs="Marigold"/>
          <w:b/>
          <w:bCs/>
          <w:i w:val="0"/>
          <w:color w:val="auto"/>
          <w:kern w:val="0"/>
          <w:sz w:val="24"/>
          <w:szCs w:val="24"/>
          <w:highlight w:val="none"/>
          <w:lang w:eastAsia="zh-CN"/>
        </w:rPr>
        <w:br w:type="page"/>
      </w:r>
    </w:p>
    <w:p>
      <w:pPr>
        <w:pStyle w:val="3"/>
        <w:rPr>
          <w:i w:val="0"/>
          <w:color w:val="auto"/>
          <w:highlight w:val="none"/>
          <w:lang w:eastAsia="zh-CN"/>
        </w:rPr>
      </w:pPr>
      <w:bookmarkStart w:id="539" w:name="_Toc29824"/>
      <w:r>
        <w:rPr>
          <w:rFonts w:hint="eastAsia"/>
          <w:i w:val="0"/>
          <w:color w:val="auto"/>
          <w:highlight w:val="none"/>
          <w:lang w:eastAsia="zh-CN"/>
        </w:rPr>
        <w:t>第四章 投标人和投标产品（如涉及）的资格、资质性及其他类似效力要求</w:t>
      </w:r>
      <w:bookmarkEnd w:id="539"/>
    </w:p>
    <w:p>
      <w:pPr>
        <w:pStyle w:val="4"/>
        <w:jc w:val="left"/>
        <w:rPr>
          <w:rFonts w:ascii="仿宋" w:hAnsi="仿宋"/>
          <w:i w:val="0"/>
          <w:color w:val="auto"/>
          <w:sz w:val="24"/>
          <w:szCs w:val="24"/>
          <w:highlight w:val="none"/>
          <w:lang w:eastAsia="zh-CN"/>
        </w:rPr>
      </w:pPr>
      <w:bookmarkStart w:id="540" w:name="_Toc6848"/>
      <w:bookmarkStart w:id="541" w:name="_Toc82856428"/>
      <w:bookmarkStart w:id="542" w:name="_Toc81362800"/>
      <w:bookmarkStart w:id="543" w:name="_Toc511558685"/>
      <w:r>
        <w:rPr>
          <w:rFonts w:hint="eastAsia" w:ascii="仿宋" w:hAnsi="仿宋"/>
          <w:i w:val="0"/>
          <w:color w:val="auto"/>
          <w:sz w:val="24"/>
          <w:szCs w:val="24"/>
          <w:highlight w:val="none"/>
          <w:lang w:eastAsia="zh-CN"/>
        </w:rPr>
        <w:t>一、《中华人民共和国政府采购法》第二十二条第一款第（一）至（五）规定的条件：</w:t>
      </w:r>
      <w:bookmarkEnd w:id="540"/>
      <w:bookmarkEnd w:id="541"/>
      <w:bookmarkEnd w:id="542"/>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1、具有独立承担民事责任的能力；</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2、具有良好的商业信誉和健全的财务会计制度；</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3、具有履行合同所必需的设备和专业技术能力；</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4、有依法缴纳税收和社会保障资金的良好记录；</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5、参加政府采购活动前三年内，在经营活动中没有重大违法记录。</w:t>
      </w:r>
    </w:p>
    <w:p>
      <w:pPr>
        <w:pStyle w:val="4"/>
        <w:jc w:val="left"/>
        <w:rPr>
          <w:rFonts w:ascii="仿宋" w:hAnsi="仿宋"/>
          <w:i w:val="0"/>
          <w:color w:val="auto"/>
          <w:sz w:val="24"/>
          <w:szCs w:val="24"/>
          <w:highlight w:val="none"/>
          <w:shd w:val="clear" w:color="auto" w:fill="FFFFFF"/>
          <w:lang w:eastAsia="zh-CN"/>
        </w:rPr>
      </w:pPr>
      <w:bookmarkStart w:id="544" w:name="_Toc81362801"/>
      <w:bookmarkStart w:id="545" w:name="_Toc82856429"/>
      <w:bookmarkStart w:id="546" w:name="_Toc20677"/>
      <w:r>
        <w:rPr>
          <w:rFonts w:hint="eastAsia" w:ascii="仿宋" w:hAnsi="仿宋"/>
          <w:i w:val="0"/>
          <w:color w:val="auto"/>
          <w:sz w:val="24"/>
          <w:szCs w:val="24"/>
          <w:highlight w:val="none"/>
          <w:shd w:val="clear" w:color="auto" w:fill="FFFFFF"/>
          <w:lang w:eastAsia="zh-CN"/>
        </w:rPr>
        <w:t>二、法律、行政法规规定的其他条件：</w:t>
      </w:r>
      <w:bookmarkEnd w:id="544"/>
      <w:bookmarkEnd w:id="545"/>
      <w:bookmarkEnd w:id="546"/>
      <w:r>
        <w:rPr>
          <w:rFonts w:hint="eastAsia" w:ascii="仿宋" w:hAnsi="仿宋"/>
          <w:i w:val="0"/>
          <w:color w:val="auto"/>
          <w:sz w:val="24"/>
          <w:szCs w:val="24"/>
          <w:highlight w:val="none"/>
          <w:shd w:val="clear" w:color="auto" w:fill="FFFFFF"/>
          <w:lang w:eastAsia="zh-CN"/>
        </w:rPr>
        <w:t xml:space="preserve"> </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1、投标人单位及其现任法定代表人/主要负责人不得具有行贿犯罪记录；</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2、单位负责人为同一人或者存在控股、管理关系的不同投标人，不得参加同一合同项下的政府采购活动；</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 xml:space="preserve">3、投标人未对本次采购项目提供过整体设计、规范编制或者项目管理、监理、检测等服务； </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4、投标人应列明其存在直接控股、管理关系的相关供应商名单；</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5、投标人不得为“信用中国”网站(www.creditchina.gov.cn)、“成都信用”网站（</w:t>
      </w:r>
      <w:r>
        <w:rPr>
          <w:rFonts w:ascii="仿宋" w:hAnsi="仿宋" w:eastAsia="仿宋" w:cs="仿宋"/>
          <w:bCs/>
          <w:i w:val="0"/>
          <w:color w:val="auto"/>
          <w:sz w:val="24"/>
          <w:szCs w:val="24"/>
          <w:highlight w:val="none"/>
          <w:lang w:eastAsia="zh-CN"/>
        </w:rPr>
        <w:t>credit.chengdu.gov.cn</w:t>
      </w:r>
      <w:r>
        <w:rPr>
          <w:rFonts w:hint="eastAsia" w:ascii="仿宋" w:hAnsi="仿宋" w:eastAsia="仿宋"/>
          <w:i w:val="0"/>
          <w:color w:val="auto"/>
          <w:sz w:val="24"/>
          <w:highlight w:val="none"/>
          <w:lang w:eastAsia="zh-CN"/>
        </w:rPr>
        <w:t>）列入失信被执行人、重大税收违法案件当事人名单的投标人，不得为中国政府采购网(www.ccgp.gov.cn)、四川政府采购网曝光台（</w:t>
      </w:r>
      <w:r>
        <w:rPr>
          <w:rFonts w:ascii="仿宋" w:hAnsi="仿宋" w:eastAsia="仿宋"/>
          <w:i w:val="0"/>
          <w:color w:val="auto"/>
          <w:sz w:val="24"/>
          <w:highlight w:val="none"/>
          <w:lang w:eastAsia="zh-CN"/>
        </w:rPr>
        <w:t>www.ccgp-sichuan.gov.cn</w:t>
      </w:r>
      <w:r>
        <w:rPr>
          <w:rFonts w:hint="eastAsia" w:ascii="仿宋" w:hAnsi="仿宋" w:eastAsia="仿宋"/>
          <w:i w:val="0"/>
          <w:color w:val="auto"/>
          <w:sz w:val="24"/>
          <w:highlight w:val="none"/>
          <w:lang w:eastAsia="zh-CN"/>
        </w:rPr>
        <w:t>）政府采购严重违法失信行为记录名单中被财政部门禁止参加政府采购活动的投标人（处罚决定规定的时间和地域范围内）。信用信息查询截止时点：同投标截止日；</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6、（除本项1-5点规定以外的）法律、行政法规规定的其他条件。</w:t>
      </w:r>
    </w:p>
    <w:p>
      <w:pPr>
        <w:spacing w:line="360" w:lineRule="auto"/>
        <w:ind w:firstLine="480" w:firstLineChars="200"/>
        <w:contextualSpacing/>
        <w:rPr>
          <w:rFonts w:ascii="仿宋" w:hAnsi="仿宋" w:eastAsia="仿宋"/>
          <w:i w:val="0"/>
          <w:color w:val="auto"/>
          <w:sz w:val="24"/>
          <w:highlight w:val="none"/>
          <w:lang w:eastAsia="zh-CN"/>
        </w:rPr>
      </w:pPr>
    </w:p>
    <w:p>
      <w:pPr>
        <w:pStyle w:val="4"/>
        <w:jc w:val="left"/>
        <w:rPr>
          <w:rFonts w:ascii="仿宋" w:hAnsi="仿宋"/>
          <w:i w:val="0"/>
          <w:color w:val="auto"/>
          <w:sz w:val="24"/>
          <w:szCs w:val="24"/>
          <w:highlight w:val="none"/>
          <w:shd w:val="clear" w:color="auto" w:fill="FFFFFF"/>
          <w:lang w:eastAsia="zh-CN"/>
        </w:rPr>
      </w:pPr>
      <w:bookmarkStart w:id="547" w:name="_Toc29589"/>
      <w:bookmarkStart w:id="548" w:name="_Toc82856430"/>
      <w:r>
        <w:rPr>
          <w:rFonts w:hint="eastAsia" w:ascii="仿宋" w:hAnsi="仿宋"/>
          <w:i w:val="0"/>
          <w:color w:val="auto"/>
          <w:sz w:val="24"/>
          <w:szCs w:val="24"/>
          <w:highlight w:val="none"/>
          <w:shd w:val="clear" w:color="auto" w:fill="FFFFFF"/>
          <w:lang w:eastAsia="zh-CN"/>
        </w:rPr>
        <w:t>三、资格证明文件函</w:t>
      </w:r>
      <w:bookmarkEnd w:id="547"/>
      <w:bookmarkEnd w:id="548"/>
      <w:r>
        <w:rPr>
          <w:rFonts w:hint="eastAsia" w:ascii="仿宋" w:hAnsi="仿宋"/>
          <w:i w:val="0"/>
          <w:color w:val="auto"/>
          <w:sz w:val="24"/>
          <w:szCs w:val="24"/>
          <w:highlight w:val="none"/>
          <w:shd w:val="clear" w:color="auto" w:fill="FFFFFF"/>
          <w:lang w:eastAsia="zh-CN"/>
        </w:rPr>
        <w:t xml:space="preserve"> </w:t>
      </w:r>
    </w:p>
    <w:p>
      <w:pPr>
        <w:pStyle w:val="4"/>
        <w:jc w:val="left"/>
        <w:rPr>
          <w:rFonts w:ascii="仿宋" w:hAnsi="仿宋"/>
          <w:i w:val="0"/>
          <w:color w:val="auto"/>
          <w:sz w:val="24"/>
          <w:szCs w:val="24"/>
          <w:highlight w:val="none"/>
          <w:shd w:val="clear" w:color="auto" w:fill="FFFFFF"/>
          <w:lang w:eastAsia="zh-CN"/>
        </w:rPr>
      </w:pPr>
      <w:bookmarkStart w:id="549" w:name="_Toc82856431"/>
      <w:bookmarkStart w:id="550" w:name="_Toc16123"/>
      <w:r>
        <w:rPr>
          <w:rFonts w:hint="eastAsia" w:ascii="仿宋" w:hAnsi="仿宋"/>
          <w:i w:val="0"/>
          <w:color w:val="auto"/>
          <w:sz w:val="24"/>
          <w:szCs w:val="24"/>
          <w:highlight w:val="none"/>
          <w:shd w:val="clear" w:color="auto" w:fill="FFFFFF"/>
          <w:lang w:eastAsia="zh-CN"/>
        </w:rPr>
        <w:t>四、法定代表人授权书</w:t>
      </w:r>
      <w:bookmarkEnd w:id="549"/>
      <w:bookmarkEnd w:id="550"/>
      <w:r>
        <w:rPr>
          <w:rFonts w:hint="eastAsia" w:ascii="仿宋" w:hAnsi="仿宋"/>
          <w:i w:val="0"/>
          <w:color w:val="auto"/>
          <w:sz w:val="24"/>
          <w:szCs w:val="24"/>
          <w:highlight w:val="none"/>
          <w:shd w:val="clear" w:color="auto" w:fill="FFFFFF"/>
          <w:lang w:eastAsia="zh-CN"/>
        </w:rPr>
        <w:t xml:space="preserve"> </w:t>
      </w:r>
    </w:p>
    <w:p>
      <w:pPr>
        <w:pStyle w:val="4"/>
        <w:jc w:val="left"/>
        <w:rPr>
          <w:rFonts w:eastAsia="仿宋"/>
          <w:b/>
          <w:bCs/>
          <w:i w:val="0"/>
          <w:color w:val="auto"/>
          <w:kern w:val="44"/>
          <w:sz w:val="28"/>
          <w:szCs w:val="44"/>
          <w:highlight w:val="none"/>
          <w:lang w:eastAsia="zh-CN"/>
        </w:rPr>
      </w:pPr>
      <w:bookmarkStart w:id="551" w:name="_Toc82856432"/>
      <w:bookmarkStart w:id="552" w:name="_Toc31223"/>
      <w:r>
        <w:rPr>
          <w:rFonts w:hint="eastAsia" w:ascii="仿宋" w:hAnsi="仿宋"/>
          <w:i w:val="0"/>
          <w:color w:val="auto"/>
          <w:sz w:val="24"/>
          <w:szCs w:val="24"/>
          <w:highlight w:val="none"/>
          <w:shd w:val="clear" w:color="auto" w:fill="FFFFFF"/>
          <w:lang w:eastAsia="zh-CN"/>
        </w:rPr>
        <w:t>五、承诺函</w:t>
      </w:r>
      <w:bookmarkEnd w:id="551"/>
      <w:r>
        <w:rPr>
          <w:rFonts w:hint="eastAsia" w:ascii="仿宋" w:hAnsi="仿宋"/>
          <w:i w:val="0"/>
          <w:color w:val="auto"/>
          <w:sz w:val="24"/>
          <w:szCs w:val="24"/>
          <w:highlight w:val="none"/>
          <w:shd w:val="clear" w:color="auto" w:fill="FFFFFF"/>
          <w:lang w:eastAsia="zh-CN"/>
        </w:rPr>
        <w:t xml:space="preserve"> </w:t>
      </w:r>
      <w:r>
        <w:rPr>
          <w:i w:val="0"/>
          <w:color w:val="auto"/>
          <w:highlight w:val="none"/>
          <w:lang w:eastAsia="zh-CN"/>
        </w:rPr>
        <w:br w:type="page"/>
      </w:r>
      <w:bookmarkEnd w:id="552"/>
    </w:p>
    <w:p>
      <w:pPr>
        <w:pStyle w:val="3"/>
        <w:rPr>
          <w:i w:val="0"/>
          <w:color w:val="auto"/>
          <w:highlight w:val="none"/>
          <w:lang w:eastAsia="zh-CN"/>
        </w:rPr>
      </w:pPr>
      <w:bookmarkStart w:id="553" w:name="_Toc1900"/>
      <w:r>
        <w:rPr>
          <w:rFonts w:hint="eastAsia"/>
          <w:i w:val="0"/>
          <w:color w:val="auto"/>
          <w:highlight w:val="none"/>
          <w:lang w:eastAsia="zh-CN"/>
        </w:rPr>
        <w:t>第五章投标人应当提供的资格、资质性及其他类似效力要求的相关证明材料</w:t>
      </w:r>
      <w:bookmarkEnd w:id="543"/>
      <w:bookmarkEnd w:id="553"/>
    </w:p>
    <w:p>
      <w:pPr>
        <w:pStyle w:val="4"/>
        <w:jc w:val="left"/>
        <w:rPr>
          <w:rFonts w:ascii="仿宋" w:hAnsi="仿宋"/>
          <w:i w:val="0"/>
          <w:color w:val="auto"/>
          <w:sz w:val="24"/>
          <w:highlight w:val="none"/>
          <w:lang w:eastAsia="zh-CN"/>
        </w:rPr>
      </w:pPr>
      <w:bookmarkStart w:id="554" w:name="_Toc8702"/>
      <w:bookmarkStart w:id="555" w:name="_Toc82856434"/>
      <w:r>
        <w:rPr>
          <w:rFonts w:hint="eastAsia" w:ascii="仿宋" w:hAnsi="仿宋"/>
          <w:i w:val="0"/>
          <w:color w:val="auto"/>
          <w:sz w:val="24"/>
          <w:highlight w:val="none"/>
          <w:lang w:eastAsia="zh-CN"/>
        </w:rPr>
        <w:t>一、具有独立承担民事责任的能力</w:t>
      </w:r>
      <w:bookmarkEnd w:id="554"/>
      <w:bookmarkEnd w:id="555"/>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投标人提供营业执照、税务登记证及组织机构代码证副本复印件；</w:t>
      </w:r>
      <w:r>
        <w:rPr>
          <w:rFonts w:hint="eastAsia" w:ascii="仿宋" w:hAnsi="仿宋" w:eastAsia="仿宋" w:cs="仿宋"/>
          <w:i w:val="0"/>
          <w:color w:val="auto"/>
          <w:highlight w:val="none"/>
          <w:lang w:eastAsia="zh-CN"/>
        </w:rPr>
        <w:t>对</w:t>
      </w:r>
      <w:r>
        <w:rPr>
          <w:rFonts w:hint="eastAsia" w:ascii="仿宋" w:hAnsi="仿宋" w:eastAsia="仿宋"/>
          <w:i w:val="0"/>
          <w:color w:val="auto"/>
          <w:highlight w:val="none"/>
          <w:lang w:eastAsia="zh-CN"/>
        </w:rPr>
        <w:t>于已完成“多证合一”登记制度改革的投标人，提供由相关政府部门核发的已加载法人和其他组织统一社会信用代码的营业执照副本复印件；投标人为机关、事业单位和社会团体法人的提供法人证书复印件；投标人为自然人的提供身份证复印件；</w:t>
      </w:r>
    </w:p>
    <w:p>
      <w:pPr>
        <w:pStyle w:val="4"/>
        <w:jc w:val="left"/>
        <w:rPr>
          <w:rFonts w:ascii="仿宋" w:hAnsi="仿宋"/>
          <w:i w:val="0"/>
          <w:color w:val="auto"/>
          <w:sz w:val="24"/>
          <w:highlight w:val="none"/>
          <w:lang w:eastAsia="zh-CN"/>
        </w:rPr>
      </w:pPr>
      <w:bookmarkStart w:id="556" w:name="_Toc20192"/>
      <w:bookmarkStart w:id="557" w:name="_Toc82856435"/>
      <w:r>
        <w:rPr>
          <w:rFonts w:hint="eastAsia" w:ascii="仿宋" w:hAnsi="仿宋"/>
          <w:i w:val="0"/>
          <w:color w:val="auto"/>
          <w:sz w:val="24"/>
          <w:highlight w:val="none"/>
          <w:lang w:eastAsia="zh-CN"/>
        </w:rPr>
        <w:t>二、具有履行合同所必需的设备和专业技术能力</w:t>
      </w:r>
      <w:bookmarkEnd w:id="556"/>
      <w:bookmarkEnd w:id="557"/>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投标人提供承诺函，承诺函格式自拟；</w:t>
      </w:r>
    </w:p>
    <w:p>
      <w:pPr>
        <w:pStyle w:val="4"/>
        <w:jc w:val="left"/>
        <w:rPr>
          <w:rFonts w:ascii="仿宋" w:hAnsi="仿宋"/>
          <w:i w:val="0"/>
          <w:color w:val="auto"/>
          <w:sz w:val="24"/>
          <w:highlight w:val="none"/>
          <w:lang w:eastAsia="zh-CN"/>
        </w:rPr>
      </w:pPr>
      <w:bookmarkStart w:id="558" w:name="_Toc16930"/>
      <w:bookmarkStart w:id="559" w:name="_Toc82856436"/>
      <w:r>
        <w:rPr>
          <w:rFonts w:hint="eastAsia" w:ascii="仿宋" w:hAnsi="仿宋"/>
          <w:i w:val="0"/>
          <w:color w:val="auto"/>
          <w:sz w:val="24"/>
          <w:highlight w:val="none"/>
          <w:lang w:eastAsia="zh-CN"/>
        </w:rPr>
        <w:t>三、</w:t>
      </w:r>
      <w:r>
        <w:rPr>
          <w:rFonts w:hint="eastAsia" w:ascii="仿宋" w:hAnsi="仿宋"/>
          <w:i w:val="0"/>
          <w:color w:val="auto"/>
          <w:sz w:val="24"/>
          <w:szCs w:val="24"/>
          <w:highlight w:val="none"/>
          <w:lang w:eastAsia="zh-CN"/>
        </w:rPr>
        <w:t>具有良好的商业信誉和健全的财务会计制度</w:t>
      </w:r>
      <w:bookmarkEnd w:id="558"/>
      <w:bookmarkEnd w:id="559"/>
    </w:p>
    <w:p>
      <w:pPr>
        <w:pStyle w:val="56"/>
        <w:rPr>
          <w:rFonts w:hint="eastAsia" w:ascii="仿宋" w:hAnsi="仿宋" w:eastAsia="仿宋"/>
          <w:i w:val="0"/>
          <w:color w:val="auto"/>
          <w:highlight w:val="none"/>
          <w:lang w:eastAsia="zh-CN"/>
        </w:rPr>
      </w:pPr>
      <w:r>
        <w:rPr>
          <w:rFonts w:hint="eastAsia" w:ascii="仿宋" w:hAnsi="仿宋" w:eastAsia="仿宋"/>
          <w:i w:val="0"/>
          <w:color w:val="auto"/>
          <w:highlight w:val="none"/>
          <w:lang w:eastAsia="zh-CN"/>
        </w:rPr>
        <w:t>具有良好的商业信誉，投标人提供承诺函，承诺函格式自拟；</w:t>
      </w:r>
    </w:p>
    <w:p>
      <w:pPr>
        <w:pStyle w:val="56"/>
        <w:rPr>
          <w:rFonts w:ascii="仿宋" w:hAnsi="仿宋" w:eastAsia="仿宋"/>
          <w:i w:val="0"/>
          <w:color w:val="auto"/>
          <w:highlight w:val="none"/>
          <w:lang w:eastAsia="zh-CN"/>
        </w:rPr>
      </w:pPr>
      <w:r>
        <w:rPr>
          <w:rFonts w:hint="eastAsia" w:ascii="仿宋" w:hAnsi="仿宋" w:eastAsia="仿宋" w:cs="仿宋"/>
          <w:b w:val="0"/>
          <w:bCs w:val="0"/>
          <w:i w:val="0"/>
          <w:color w:val="auto"/>
          <w:kern w:val="2"/>
          <w:sz w:val="24"/>
          <w:szCs w:val="21"/>
          <w:highlight w:val="none"/>
          <w:lang w:val="en-US" w:eastAsia="zh-CN" w:bidi="ar-SA"/>
        </w:rPr>
        <w:t>具有健全的财务会计制度，投标人①可提供2019年以来经审计的财务报告复印件（包含审计报告和审计报告中所涉及的财务报表和报表附注），②可提供2019年以来供应商内部的财务报表复印件（至少包含资产负债表），③可提供截至响应文件递交截止日一年内银行出具的资信证明（复印件），④供应商注册时间截至响应文件递交截止日不足一年的，也可提供在工商备案的公司章程（复印件）。</w:t>
      </w:r>
    </w:p>
    <w:p>
      <w:pPr>
        <w:pStyle w:val="4"/>
        <w:jc w:val="left"/>
        <w:rPr>
          <w:rFonts w:ascii="仿宋" w:hAnsi="仿宋"/>
          <w:i w:val="0"/>
          <w:color w:val="auto"/>
          <w:sz w:val="24"/>
          <w:szCs w:val="24"/>
          <w:highlight w:val="none"/>
          <w:lang w:eastAsia="zh-CN"/>
        </w:rPr>
      </w:pPr>
      <w:bookmarkStart w:id="560" w:name="_Toc27543"/>
      <w:bookmarkStart w:id="561" w:name="_Toc81362809"/>
      <w:bookmarkStart w:id="562" w:name="_Toc82856437"/>
      <w:r>
        <w:rPr>
          <w:rFonts w:hint="eastAsia" w:ascii="仿宋" w:hAnsi="仿宋"/>
          <w:i w:val="0"/>
          <w:color w:val="auto"/>
          <w:sz w:val="24"/>
          <w:szCs w:val="24"/>
          <w:highlight w:val="none"/>
          <w:lang w:eastAsia="zh-CN"/>
        </w:rPr>
        <w:t>四、有依法缴纳税收</w:t>
      </w:r>
      <w:r>
        <w:rPr>
          <w:rFonts w:ascii="仿宋" w:hAnsi="仿宋"/>
          <w:i w:val="0"/>
          <w:color w:val="auto"/>
          <w:sz w:val="24"/>
          <w:szCs w:val="24"/>
          <w:highlight w:val="none"/>
          <w:lang w:eastAsia="zh-CN"/>
        </w:rPr>
        <w:t>的</w:t>
      </w:r>
      <w:r>
        <w:rPr>
          <w:rFonts w:hint="eastAsia" w:ascii="仿宋" w:hAnsi="仿宋"/>
          <w:i w:val="0"/>
          <w:color w:val="auto"/>
          <w:sz w:val="24"/>
          <w:szCs w:val="24"/>
          <w:highlight w:val="none"/>
          <w:lang w:eastAsia="zh-CN"/>
        </w:rPr>
        <w:t>良好记录</w:t>
      </w:r>
      <w:bookmarkEnd w:id="560"/>
      <w:bookmarkEnd w:id="561"/>
      <w:bookmarkEnd w:id="562"/>
    </w:p>
    <w:p>
      <w:pPr>
        <w:pStyle w:val="56"/>
        <w:rPr>
          <w:rFonts w:hint="eastAsia" w:ascii="仿宋" w:hAnsi="仿宋" w:eastAsia="仿宋" w:cs="仿宋"/>
          <w:i w:val="0"/>
          <w:color w:val="auto"/>
          <w:highlight w:val="none"/>
          <w:lang w:eastAsia="zh-CN"/>
        </w:rPr>
      </w:pPr>
      <w:bookmarkStart w:id="563" w:name="_Toc82856438"/>
      <w:bookmarkStart w:id="564" w:name="_Toc81362810"/>
      <w:r>
        <w:rPr>
          <w:rFonts w:hint="eastAsia" w:ascii="仿宋" w:hAnsi="仿宋" w:eastAsia="仿宋" w:cs="仿宋"/>
          <w:i w:val="0"/>
          <w:color w:val="auto"/>
          <w:highlight w:val="none"/>
          <w:lang w:eastAsia="zh-CN"/>
        </w:rPr>
        <w:t>投标人提供承诺函，承诺函格式自拟。</w:t>
      </w:r>
    </w:p>
    <w:p>
      <w:pPr>
        <w:pStyle w:val="4"/>
        <w:jc w:val="left"/>
        <w:rPr>
          <w:rFonts w:ascii="仿宋" w:hAnsi="仿宋"/>
          <w:i w:val="0"/>
          <w:color w:val="auto"/>
          <w:sz w:val="24"/>
          <w:szCs w:val="24"/>
          <w:highlight w:val="none"/>
          <w:lang w:eastAsia="zh-CN"/>
        </w:rPr>
      </w:pPr>
      <w:bookmarkStart w:id="565" w:name="_Toc21179"/>
      <w:r>
        <w:rPr>
          <w:rFonts w:hint="eastAsia" w:ascii="仿宋" w:hAnsi="仿宋"/>
          <w:i w:val="0"/>
          <w:color w:val="auto"/>
          <w:sz w:val="24"/>
          <w:szCs w:val="24"/>
          <w:highlight w:val="none"/>
          <w:lang w:eastAsia="zh-CN"/>
        </w:rPr>
        <w:t>五、</w:t>
      </w:r>
      <w:r>
        <w:rPr>
          <w:rFonts w:ascii="仿宋" w:hAnsi="仿宋"/>
          <w:i w:val="0"/>
          <w:color w:val="auto"/>
          <w:sz w:val="24"/>
          <w:szCs w:val="24"/>
          <w:highlight w:val="none"/>
          <w:lang w:eastAsia="zh-CN"/>
        </w:rPr>
        <w:t>有</w:t>
      </w:r>
      <w:r>
        <w:rPr>
          <w:rFonts w:hint="eastAsia" w:ascii="仿宋" w:hAnsi="仿宋"/>
          <w:i w:val="0"/>
          <w:color w:val="auto"/>
          <w:sz w:val="24"/>
          <w:szCs w:val="24"/>
          <w:highlight w:val="none"/>
          <w:lang w:eastAsia="zh-CN"/>
        </w:rPr>
        <w:t>依法缴纳社会保障资金的良好记录</w:t>
      </w:r>
      <w:bookmarkEnd w:id="563"/>
      <w:bookmarkEnd w:id="564"/>
      <w:bookmarkEnd w:id="565"/>
    </w:p>
    <w:p>
      <w:pPr>
        <w:pStyle w:val="56"/>
        <w:rPr>
          <w:rFonts w:hint="eastAsia" w:ascii="仿宋" w:hAnsi="仿宋" w:eastAsia="仿宋" w:cs="仿宋"/>
          <w:i w:val="0"/>
          <w:color w:val="auto"/>
          <w:highlight w:val="none"/>
          <w:lang w:eastAsia="zh-CN"/>
        </w:rPr>
      </w:pPr>
      <w:bookmarkStart w:id="566" w:name="_Toc82856439"/>
      <w:bookmarkStart w:id="567" w:name="_Toc81362811"/>
      <w:r>
        <w:rPr>
          <w:rFonts w:hint="eastAsia" w:ascii="仿宋" w:hAnsi="仿宋" w:eastAsia="仿宋" w:cs="仿宋"/>
          <w:i w:val="0"/>
          <w:color w:val="auto"/>
          <w:highlight w:val="none"/>
          <w:lang w:eastAsia="zh-CN"/>
        </w:rPr>
        <w:t>投标人提供承诺函，承诺函格式自拟。</w:t>
      </w:r>
    </w:p>
    <w:p>
      <w:pPr>
        <w:pStyle w:val="4"/>
        <w:jc w:val="left"/>
        <w:rPr>
          <w:rFonts w:ascii="仿宋" w:hAnsi="仿宋"/>
          <w:i w:val="0"/>
          <w:color w:val="auto"/>
          <w:sz w:val="24"/>
          <w:szCs w:val="24"/>
          <w:highlight w:val="none"/>
          <w:lang w:eastAsia="zh-CN"/>
        </w:rPr>
      </w:pPr>
      <w:bookmarkStart w:id="568" w:name="_Toc27444"/>
      <w:r>
        <w:rPr>
          <w:rFonts w:hint="eastAsia" w:ascii="仿宋" w:hAnsi="仿宋"/>
          <w:i w:val="0"/>
          <w:color w:val="auto"/>
          <w:sz w:val="24"/>
          <w:szCs w:val="24"/>
          <w:highlight w:val="none"/>
          <w:lang w:eastAsia="zh-CN"/>
        </w:rPr>
        <w:t>六、参加政府采购活动前三年内，在经营活动中没有重大违法记录</w:t>
      </w:r>
      <w:bookmarkEnd w:id="566"/>
      <w:bookmarkEnd w:id="567"/>
      <w:bookmarkEnd w:id="568"/>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投标人提供承诺函，承诺函格式自拟；</w:t>
      </w:r>
    </w:p>
    <w:p>
      <w:pPr>
        <w:pStyle w:val="4"/>
        <w:jc w:val="left"/>
        <w:rPr>
          <w:rFonts w:ascii="仿宋" w:hAnsi="仿宋"/>
          <w:i w:val="0"/>
          <w:color w:val="auto"/>
          <w:sz w:val="24"/>
          <w:szCs w:val="24"/>
          <w:highlight w:val="none"/>
          <w:lang w:eastAsia="zh-CN"/>
        </w:rPr>
      </w:pPr>
      <w:bookmarkStart w:id="569" w:name="_Toc81362812"/>
      <w:bookmarkStart w:id="570" w:name="_Toc3785"/>
      <w:bookmarkStart w:id="571" w:name="_Toc82856440"/>
      <w:r>
        <w:rPr>
          <w:rFonts w:hint="eastAsia" w:ascii="仿宋" w:hAnsi="仿宋"/>
          <w:i w:val="0"/>
          <w:color w:val="auto"/>
          <w:sz w:val="24"/>
          <w:szCs w:val="24"/>
          <w:highlight w:val="none"/>
          <w:lang w:eastAsia="zh-CN"/>
        </w:rPr>
        <w:t>七、法律、行政法规规定的其他条件</w:t>
      </w:r>
      <w:bookmarkEnd w:id="569"/>
      <w:bookmarkEnd w:id="570"/>
      <w:bookmarkEnd w:id="571"/>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1、投标人单位及其现任法定代表人、主要负责人不得具有行贿犯罪记录；</w:t>
      </w:r>
      <w:r>
        <w:rPr>
          <w:rFonts w:ascii="仿宋" w:hAnsi="仿宋" w:eastAsia="仿宋"/>
          <w:i w:val="0"/>
          <w:color w:val="auto"/>
          <w:highlight w:val="none"/>
          <w:lang w:eastAsia="zh-CN"/>
        </w:rPr>
        <w:t xml:space="preserve"> </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2、单位负责人为同一人或者存在控股、管理关系的不同投标人，不得参加同一合同项下的政府采购活动；</w:t>
      </w:r>
      <w:r>
        <w:rPr>
          <w:rFonts w:ascii="仿宋" w:hAnsi="仿宋" w:eastAsia="仿宋"/>
          <w:i w:val="0"/>
          <w:color w:val="auto"/>
          <w:highlight w:val="none"/>
          <w:lang w:eastAsia="zh-CN"/>
        </w:rPr>
        <w:t xml:space="preserve"> </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3、投标人未对本次采购项目提供过整体设计、规范编制或者项目管理、监理、检测等服务；</w:t>
      </w:r>
      <w:r>
        <w:rPr>
          <w:rFonts w:ascii="仿宋" w:hAnsi="仿宋" w:eastAsia="仿宋"/>
          <w:i w:val="0"/>
          <w:color w:val="auto"/>
          <w:highlight w:val="none"/>
          <w:lang w:eastAsia="zh-CN"/>
        </w:rPr>
        <w:t xml:space="preserve"> </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4、投标人应列明其存在直接控股、管理关系的相关供应商名单；</w:t>
      </w:r>
    </w:p>
    <w:p>
      <w:pPr>
        <w:pStyle w:val="56"/>
        <w:rPr>
          <w:rFonts w:hint="default" w:ascii="仿宋" w:hAnsi="仿宋" w:eastAsia="仿宋"/>
          <w:i w:val="0"/>
          <w:color w:val="auto"/>
          <w:highlight w:val="none"/>
          <w:lang w:val="en-US" w:eastAsia="zh-CN"/>
        </w:rPr>
      </w:pPr>
      <w:r>
        <w:rPr>
          <w:rFonts w:hint="eastAsia" w:ascii="仿宋" w:hAnsi="仿宋" w:eastAsia="仿宋"/>
          <w:i w:val="0"/>
          <w:color w:val="auto"/>
          <w:highlight w:val="none"/>
          <w:lang w:eastAsia="zh-CN"/>
        </w:rPr>
        <w:t>5、投标人不得为“信用中国”网站(www.creditchina.gov.cn)、“成都信用”网站（credit.chengdu.gov.cn）列入失信被执行人、重大税收违法案件当事人名单的投标人，不得为中国政府采购网(www.ccgp.gov.cn)、四川政府采购网曝光台（www.ccgp-sichuan.gov.cn）政府采购严重违法失信行为记录名单中被财政部门禁止参加政府采购活动的投标人（处罚决定规定的时间和地域范围内）。信用信息查询截止时点：同投标截止日。</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6、（除本项1-5点规定以外的）法律、行政法规规定的其他条件。</w:t>
      </w:r>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投标人提供承诺函，承诺函格式自拟。</w:t>
      </w:r>
    </w:p>
    <w:p>
      <w:pPr>
        <w:pStyle w:val="4"/>
        <w:jc w:val="left"/>
        <w:rPr>
          <w:rFonts w:ascii="仿宋" w:hAnsi="仿宋"/>
          <w:i w:val="0"/>
          <w:color w:val="auto"/>
          <w:sz w:val="24"/>
          <w:szCs w:val="24"/>
          <w:highlight w:val="none"/>
          <w:lang w:eastAsia="zh-CN"/>
        </w:rPr>
      </w:pPr>
      <w:bookmarkStart w:id="572" w:name="_Toc82856441"/>
      <w:bookmarkStart w:id="573" w:name="_Toc6399"/>
      <w:bookmarkStart w:id="574" w:name="_Toc81362813"/>
      <w:r>
        <w:rPr>
          <w:rFonts w:hint="eastAsia" w:ascii="仿宋" w:hAnsi="仿宋"/>
          <w:i w:val="0"/>
          <w:color w:val="auto"/>
          <w:sz w:val="24"/>
          <w:szCs w:val="24"/>
          <w:highlight w:val="none"/>
          <w:lang w:eastAsia="zh-CN"/>
        </w:rPr>
        <w:t>八、资格证明文件函</w:t>
      </w:r>
      <w:bookmarkEnd w:id="572"/>
      <w:bookmarkEnd w:id="573"/>
      <w:bookmarkEnd w:id="574"/>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格式见本招标文件第三章 一、资格证明文件函格式；</w:t>
      </w:r>
    </w:p>
    <w:p>
      <w:pPr>
        <w:pStyle w:val="4"/>
        <w:jc w:val="left"/>
        <w:rPr>
          <w:rFonts w:ascii="仿宋" w:hAnsi="仿宋"/>
          <w:i w:val="0"/>
          <w:color w:val="auto"/>
          <w:sz w:val="24"/>
          <w:szCs w:val="24"/>
          <w:highlight w:val="none"/>
          <w:lang w:eastAsia="zh-CN"/>
        </w:rPr>
      </w:pPr>
      <w:bookmarkStart w:id="575" w:name="_Toc81362814"/>
      <w:bookmarkStart w:id="576" w:name="_Toc82856442"/>
      <w:bookmarkStart w:id="577" w:name="_Toc10158"/>
      <w:r>
        <w:rPr>
          <w:rFonts w:hint="eastAsia" w:ascii="仿宋" w:hAnsi="仿宋"/>
          <w:i w:val="0"/>
          <w:color w:val="auto"/>
          <w:sz w:val="24"/>
          <w:szCs w:val="24"/>
          <w:highlight w:val="none"/>
          <w:lang w:eastAsia="zh-CN"/>
        </w:rPr>
        <w:t>九、法定代表人授权书</w:t>
      </w:r>
      <w:bookmarkEnd w:id="575"/>
      <w:bookmarkEnd w:id="576"/>
      <w:bookmarkEnd w:id="577"/>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格式见本招标文件第三章 二、法定代表人授权书；</w:t>
      </w:r>
    </w:p>
    <w:p>
      <w:pPr>
        <w:pStyle w:val="4"/>
        <w:jc w:val="left"/>
        <w:rPr>
          <w:rFonts w:ascii="仿宋" w:hAnsi="仿宋"/>
          <w:i w:val="0"/>
          <w:color w:val="auto"/>
          <w:sz w:val="24"/>
          <w:szCs w:val="24"/>
          <w:highlight w:val="none"/>
          <w:lang w:eastAsia="zh-CN"/>
        </w:rPr>
      </w:pPr>
      <w:bookmarkStart w:id="578" w:name="_Toc82856443"/>
      <w:bookmarkStart w:id="579" w:name="_Toc3871"/>
      <w:bookmarkStart w:id="580" w:name="_Toc81362815"/>
      <w:r>
        <w:rPr>
          <w:rFonts w:hint="eastAsia" w:ascii="仿宋" w:hAnsi="仿宋"/>
          <w:i w:val="0"/>
          <w:color w:val="auto"/>
          <w:sz w:val="24"/>
          <w:szCs w:val="24"/>
          <w:highlight w:val="none"/>
          <w:lang w:eastAsia="zh-CN"/>
        </w:rPr>
        <w:t>十、承诺函</w:t>
      </w:r>
      <w:bookmarkEnd w:id="578"/>
      <w:bookmarkEnd w:id="579"/>
      <w:bookmarkEnd w:id="580"/>
    </w:p>
    <w:p>
      <w:pPr>
        <w:pStyle w:val="56"/>
        <w:rPr>
          <w:rFonts w:ascii="仿宋" w:hAnsi="仿宋" w:eastAsia="仿宋"/>
          <w:i w:val="0"/>
          <w:color w:val="auto"/>
          <w:highlight w:val="none"/>
          <w:lang w:eastAsia="zh-CN"/>
        </w:rPr>
      </w:pPr>
      <w:r>
        <w:rPr>
          <w:rFonts w:hint="eastAsia" w:ascii="仿宋" w:hAnsi="仿宋" w:eastAsia="仿宋"/>
          <w:i w:val="0"/>
          <w:color w:val="auto"/>
          <w:highlight w:val="none"/>
          <w:lang w:eastAsia="zh-CN"/>
        </w:rPr>
        <w:t>格式见本招标文件第三章 三、承诺函。</w:t>
      </w:r>
    </w:p>
    <w:p>
      <w:pPr>
        <w:pStyle w:val="56"/>
        <w:rPr>
          <w:rFonts w:ascii="仿宋" w:hAnsi="仿宋" w:eastAsia="仿宋"/>
          <w:i w:val="0"/>
          <w:color w:val="auto"/>
          <w:highlight w:val="none"/>
          <w:lang w:eastAsia="zh-CN"/>
        </w:rPr>
      </w:pPr>
    </w:p>
    <w:p>
      <w:pPr>
        <w:spacing w:line="360" w:lineRule="auto"/>
        <w:ind w:firstLine="422" w:firstLineChars="200"/>
        <w:rPr>
          <w:rFonts w:ascii="仿宋" w:hAnsi="仿宋" w:eastAsia="仿宋" w:cs="仿宋"/>
          <w:b/>
          <w:i w:val="0"/>
          <w:color w:val="auto"/>
          <w:sz w:val="21"/>
          <w:szCs w:val="21"/>
          <w:highlight w:val="none"/>
          <w:lang w:eastAsia="zh-CN"/>
        </w:rPr>
      </w:pPr>
    </w:p>
    <w:p>
      <w:pPr>
        <w:spacing w:line="360" w:lineRule="auto"/>
        <w:ind w:firstLine="422" w:firstLineChars="200"/>
        <w:rPr>
          <w:rFonts w:ascii="仿宋" w:hAnsi="仿宋" w:eastAsia="仿宋" w:cs="仿宋"/>
          <w:b/>
          <w:i w:val="0"/>
          <w:color w:val="auto"/>
          <w:sz w:val="21"/>
          <w:szCs w:val="21"/>
          <w:highlight w:val="none"/>
          <w:lang w:eastAsia="zh-CN"/>
        </w:rPr>
      </w:pPr>
      <w:r>
        <w:rPr>
          <w:rFonts w:hint="eastAsia" w:ascii="仿宋" w:hAnsi="仿宋" w:eastAsia="仿宋" w:cs="仿宋"/>
          <w:b/>
          <w:i w:val="0"/>
          <w:color w:val="auto"/>
          <w:sz w:val="21"/>
          <w:szCs w:val="21"/>
          <w:highlight w:val="none"/>
          <w:lang w:eastAsia="zh-CN"/>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pPr>
        <w:spacing w:line="360" w:lineRule="auto"/>
        <w:ind w:firstLine="422" w:firstLineChars="200"/>
        <w:rPr>
          <w:rFonts w:ascii="仿宋" w:hAnsi="仿宋" w:eastAsia="仿宋" w:cs="仿宋"/>
          <w:b/>
          <w:i w:val="0"/>
          <w:color w:val="auto"/>
          <w:sz w:val="21"/>
          <w:szCs w:val="21"/>
          <w:highlight w:val="none"/>
          <w:lang w:eastAsia="zh-CN"/>
        </w:rPr>
      </w:pPr>
      <w:r>
        <w:rPr>
          <w:rFonts w:hint="eastAsia" w:ascii="仿宋" w:hAnsi="仿宋" w:eastAsia="仿宋" w:cs="仿宋"/>
          <w:b/>
          <w:i w:val="0"/>
          <w:color w:val="auto"/>
          <w:sz w:val="21"/>
          <w:szCs w:val="21"/>
          <w:highlight w:val="none"/>
          <w:lang w:eastAsia="zh-CN"/>
        </w:rPr>
        <w:t>2.本章为资格审查的主要依据，采购人和采购代理机构会将核实投标人所作承诺的真实性，确保投标人诚信承诺。</w:t>
      </w:r>
    </w:p>
    <w:p>
      <w:pPr>
        <w:spacing w:line="360" w:lineRule="auto"/>
        <w:ind w:firstLine="422" w:firstLineChars="200"/>
        <w:rPr>
          <w:rFonts w:ascii="仿宋" w:hAnsi="仿宋" w:eastAsia="仿宋" w:cs="仿宋"/>
          <w:b/>
          <w:i w:val="0"/>
          <w:color w:val="auto"/>
          <w:sz w:val="21"/>
          <w:szCs w:val="21"/>
          <w:highlight w:val="none"/>
          <w:lang w:eastAsia="zh-CN"/>
        </w:rPr>
      </w:pPr>
      <w:r>
        <w:rPr>
          <w:rFonts w:hint="eastAsia" w:ascii="仿宋" w:hAnsi="仿宋" w:eastAsia="仿宋" w:cs="仿宋"/>
          <w:b/>
          <w:i w:val="0"/>
          <w:color w:val="auto"/>
          <w:sz w:val="21"/>
          <w:szCs w:val="21"/>
          <w:highlight w:val="none"/>
          <w:lang w:eastAsia="zh-CN"/>
        </w:rPr>
        <w:t>3.以上证明材料均须加盖投标人公章。</w:t>
      </w:r>
    </w:p>
    <w:p>
      <w:pPr>
        <w:spacing w:line="360" w:lineRule="auto"/>
        <w:ind w:firstLine="422" w:firstLineChars="200"/>
        <w:rPr>
          <w:rFonts w:ascii="仿宋" w:hAnsi="仿宋" w:eastAsia="仿宋" w:cs="仿宋"/>
          <w:b/>
          <w:i w:val="0"/>
          <w:color w:val="auto"/>
          <w:sz w:val="21"/>
          <w:szCs w:val="21"/>
          <w:highlight w:val="none"/>
          <w:lang w:eastAsia="zh-CN"/>
        </w:rPr>
      </w:pPr>
      <w:r>
        <w:rPr>
          <w:rFonts w:hint="eastAsia" w:ascii="仿宋" w:hAnsi="仿宋" w:eastAsia="仿宋" w:cs="仿宋"/>
          <w:b/>
          <w:i w:val="0"/>
          <w:color w:val="auto"/>
          <w:sz w:val="21"/>
          <w:szCs w:val="21"/>
          <w:highlight w:val="none"/>
          <w:lang w:eastAsia="zh-CN"/>
        </w:rPr>
        <w:t>4. 投标人严禁提供虚假承诺，如提供虚假承诺将报告监管部门严肃追究法律责任。</w:t>
      </w:r>
    </w:p>
    <w:p>
      <w:pPr>
        <w:spacing w:line="360" w:lineRule="auto"/>
        <w:ind w:firstLine="422" w:firstLineChars="200"/>
        <w:rPr>
          <w:rFonts w:ascii="仿宋" w:hAnsi="仿宋" w:eastAsia="仿宋" w:cs="仿宋"/>
          <w:b/>
          <w:i w:val="0"/>
          <w:color w:val="auto"/>
          <w:sz w:val="21"/>
          <w:szCs w:val="21"/>
          <w:highlight w:val="none"/>
          <w:lang w:eastAsia="zh-CN"/>
        </w:rPr>
      </w:pPr>
      <w:r>
        <w:rPr>
          <w:rFonts w:hint="eastAsia" w:ascii="仿宋" w:hAnsi="仿宋" w:eastAsia="仿宋" w:cs="仿宋"/>
          <w:b/>
          <w:i w:val="0"/>
          <w:color w:val="auto"/>
          <w:sz w:val="21"/>
          <w:szCs w:val="21"/>
          <w:highlight w:val="none"/>
          <w:lang w:eastAsia="zh-CN"/>
        </w:rPr>
        <w:t>5. 供应商在前三年政府采购合同履约过程中及其他经营活动履约过程中未依法履约被有关部门处理的，本项目不认定其具有良好的商业信誉。若虚假响应，取消中标资格。</w:t>
      </w:r>
    </w:p>
    <w:p>
      <w:pPr>
        <w:spacing w:line="360" w:lineRule="auto"/>
        <w:ind w:firstLine="422" w:firstLineChars="200"/>
        <w:rPr>
          <w:rFonts w:ascii="仿宋" w:hAnsi="仿宋" w:eastAsia="仿宋" w:cs="仿宋"/>
          <w:b/>
          <w:i w:val="0"/>
          <w:color w:val="auto"/>
          <w:sz w:val="21"/>
          <w:szCs w:val="21"/>
          <w:highlight w:val="none"/>
          <w:lang w:eastAsia="zh-CN"/>
        </w:rPr>
      </w:pPr>
      <w:r>
        <w:rPr>
          <w:rFonts w:hint="eastAsia" w:ascii="仿宋" w:hAnsi="仿宋" w:eastAsia="仿宋" w:cs="仿宋"/>
          <w:b/>
          <w:i w:val="0"/>
          <w:color w:val="auto"/>
          <w:sz w:val="21"/>
          <w:szCs w:val="21"/>
          <w:highlight w:val="none"/>
          <w:lang w:eastAsia="zh-CN"/>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spacing w:line="360" w:lineRule="auto"/>
        <w:ind w:firstLine="422" w:firstLineChars="200"/>
        <w:rPr>
          <w:rFonts w:ascii="仿宋" w:hAnsi="仿宋" w:eastAsia="仿宋"/>
          <w:i w:val="0"/>
          <w:color w:val="auto"/>
          <w:sz w:val="21"/>
          <w:szCs w:val="21"/>
          <w:highlight w:val="none"/>
          <w:lang w:eastAsia="zh-CN"/>
        </w:rPr>
      </w:pPr>
      <w:r>
        <w:rPr>
          <w:rFonts w:hint="eastAsia" w:ascii="仿宋" w:hAnsi="仿宋" w:eastAsia="仿宋" w:cs="仿宋"/>
          <w:b/>
          <w:i w:val="0"/>
          <w:color w:val="auto"/>
          <w:sz w:val="21"/>
          <w:szCs w:val="21"/>
          <w:highlight w:val="none"/>
          <w:lang w:eastAsia="zh-CN"/>
        </w:rPr>
        <w:t>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rPr>
          <w:rFonts w:ascii="仿宋" w:hAnsi="仿宋" w:eastAsia="仿宋"/>
          <w:i w:val="0"/>
          <w:color w:val="auto"/>
          <w:szCs w:val="24"/>
          <w:highlight w:val="none"/>
          <w:lang w:eastAsia="zh-CN"/>
        </w:rPr>
      </w:pPr>
      <w:r>
        <w:rPr>
          <w:rFonts w:ascii="仿宋" w:hAnsi="仿宋" w:eastAsia="仿宋"/>
          <w:i w:val="0"/>
          <w:color w:val="auto"/>
          <w:szCs w:val="24"/>
          <w:highlight w:val="none"/>
          <w:lang w:eastAsia="zh-CN"/>
        </w:rPr>
        <w:br w:type="page"/>
      </w:r>
    </w:p>
    <w:p>
      <w:pPr>
        <w:pStyle w:val="3"/>
        <w:spacing w:line="360" w:lineRule="auto"/>
        <w:rPr>
          <w:i w:val="0"/>
          <w:color w:val="auto"/>
          <w:highlight w:val="none"/>
          <w:lang w:eastAsia="zh-CN"/>
        </w:rPr>
      </w:pPr>
      <w:bookmarkStart w:id="581" w:name="_Toc511558686"/>
      <w:bookmarkStart w:id="582" w:name="_Toc450817312"/>
      <w:bookmarkStart w:id="583" w:name="_Toc3070"/>
      <w:r>
        <w:rPr>
          <w:rFonts w:hint="eastAsia"/>
          <w:i w:val="0"/>
          <w:color w:val="auto"/>
          <w:highlight w:val="none"/>
          <w:lang w:eastAsia="zh-CN"/>
        </w:rPr>
        <w:t>第六章招标项目技术、服务、商务及其他要求</w:t>
      </w:r>
      <w:bookmarkEnd w:id="581"/>
      <w:bookmarkEnd w:id="582"/>
      <w:bookmarkEnd w:id="583"/>
      <w:bookmarkStart w:id="584" w:name="_Toc511558695"/>
    </w:p>
    <w:p>
      <w:pPr>
        <w:pStyle w:val="4"/>
        <w:spacing w:line="360" w:lineRule="auto"/>
        <w:jc w:val="left"/>
        <w:rPr>
          <w:rFonts w:ascii="仿宋" w:hAnsi="仿宋"/>
          <w:i w:val="0"/>
          <w:color w:val="auto"/>
          <w:sz w:val="24"/>
          <w:szCs w:val="28"/>
          <w:highlight w:val="none"/>
          <w:lang w:eastAsia="zh-CN"/>
        </w:rPr>
      </w:pPr>
      <w:bookmarkStart w:id="585" w:name="_Toc82856445"/>
      <w:bookmarkStart w:id="586" w:name="_Toc29375"/>
      <w:r>
        <w:rPr>
          <w:rFonts w:hint="eastAsia" w:ascii="仿宋" w:hAnsi="仿宋"/>
          <w:i w:val="0"/>
          <w:color w:val="auto"/>
          <w:sz w:val="24"/>
          <w:szCs w:val="28"/>
          <w:highlight w:val="none"/>
          <w:lang w:eastAsia="zh-CN"/>
        </w:rPr>
        <w:t>一、</w:t>
      </w:r>
      <w:bookmarkEnd w:id="585"/>
      <w:r>
        <w:rPr>
          <w:rFonts w:hint="eastAsia" w:ascii="仿宋" w:hAnsi="仿宋"/>
          <w:i w:val="0"/>
          <w:color w:val="auto"/>
          <w:sz w:val="24"/>
          <w:szCs w:val="28"/>
          <w:highlight w:val="none"/>
          <w:lang w:eastAsia="zh-CN"/>
        </w:rPr>
        <w:t>采购概述</w:t>
      </w:r>
      <w:bookmarkEnd w:id="586"/>
    </w:p>
    <w:p>
      <w:pPr>
        <w:pStyle w:val="59"/>
        <w:numPr>
          <w:ilvl w:val="0"/>
          <w:numId w:val="0"/>
        </w:numPr>
        <w:ind w:left="420" w:hanging="420"/>
        <w:rPr>
          <w:b/>
          <w:i w:val="0"/>
          <w:color w:val="auto"/>
          <w:highlight w:val="none"/>
          <w:lang w:eastAsia="zh-CN"/>
        </w:rPr>
      </w:pPr>
      <w:r>
        <w:rPr>
          <w:rFonts w:hint="eastAsia"/>
          <w:b/>
          <w:i w:val="0"/>
          <w:color w:val="auto"/>
          <w:highlight w:val="none"/>
          <w:lang w:eastAsia="zh-CN"/>
        </w:rPr>
        <w:t>（一）采购背景</w:t>
      </w:r>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根据《成都市市容和环境卫生管理条例》《成都市环卫</w:t>
      </w:r>
      <w:r>
        <w:rPr>
          <w:rFonts w:hint="eastAsia" w:ascii="仿宋" w:hAnsi="仿宋" w:eastAsia="仿宋"/>
          <w:i w:val="0"/>
          <w:color w:val="auto"/>
          <w:sz w:val="24"/>
          <w:highlight w:val="none"/>
          <w:lang w:val="en-US" w:eastAsia="zh-CN"/>
        </w:rPr>
        <w:t>清扫</w:t>
      </w:r>
      <w:r>
        <w:rPr>
          <w:rFonts w:hint="eastAsia" w:ascii="仿宋" w:hAnsi="仿宋" w:eastAsia="仿宋"/>
          <w:i w:val="0"/>
          <w:color w:val="auto"/>
          <w:sz w:val="24"/>
          <w:highlight w:val="none"/>
          <w:lang w:eastAsia="zh-CN"/>
        </w:rPr>
        <w:t>保洁精细化作业规则》《成都市环卫</w:t>
      </w:r>
      <w:r>
        <w:rPr>
          <w:rFonts w:hint="eastAsia" w:ascii="仿宋" w:hAnsi="仿宋" w:eastAsia="仿宋"/>
          <w:i w:val="0"/>
          <w:color w:val="auto"/>
          <w:sz w:val="24"/>
          <w:highlight w:val="none"/>
          <w:lang w:val="en-US" w:eastAsia="zh-CN"/>
        </w:rPr>
        <w:t>清扫</w:t>
      </w:r>
      <w:r>
        <w:rPr>
          <w:rFonts w:hint="eastAsia" w:ascii="仿宋" w:hAnsi="仿宋" w:eastAsia="仿宋"/>
          <w:i w:val="0"/>
          <w:color w:val="auto"/>
          <w:sz w:val="24"/>
          <w:highlight w:val="none"/>
          <w:lang w:eastAsia="zh-CN"/>
        </w:rPr>
        <w:t>保洁精细化监督管理办法》等文件的相关规定，彭州市综合行政执法局现拟采购2022年彭州市城区环卫作业服务政府采购项目。</w:t>
      </w:r>
    </w:p>
    <w:p>
      <w:pPr>
        <w:pStyle w:val="59"/>
        <w:numPr>
          <w:ilvl w:val="0"/>
          <w:numId w:val="0"/>
        </w:numPr>
        <w:ind w:left="420" w:hanging="420"/>
        <w:rPr>
          <w:b/>
          <w:i w:val="0"/>
          <w:color w:val="auto"/>
          <w:highlight w:val="none"/>
          <w:lang w:eastAsia="zh-CN"/>
        </w:rPr>
      </w:pPr>
      <w:r>
        <w:rPr>
          <w:rFonts w:hint="eastAsia"/>
          <w:b/>
          <w:i w:val="0"/>
          <w:color w:val="auto"/>
          <w:highlight w:val="none"/>
          <w:lang w:eastAsia="zh-CN"/>
        </w:rPr>
        <w:t>（二）最高限价及报价方式（实质性要求）</w:t>
      </w:r>
    </w:p>
    <w:p>
      <w:pPr>
        <w:spacing w:line="360" w:lineRule="auto"/>
        <w:ind w:firstLine="480" w:firstLineChars="200"/>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1、本次</w:t>
      </w:r>
      <w:r>
        <w:rPr>
          <w:rFonts w:hint="eastAsia" w:ascii="仿宋" w:hAnsi="仿宋" w:eastAsia="仿宋"/>
          <w:i w:val="0"/>
          <w:color w:val="auto"/>
          <w:sz w:val="24"/>
          <w:highlight w:val="none"/>
          <w:lang w:eastAsia="zh-CN"/>
        </w:rPr>
        <w:t>环卫作业市场化服务包含清扫保洁服务、</w:t>
      </w:r>
      <w:r>
        <w:rPr>
          <w:rFonts w:hint="eastAsia" w:ascii="仿宋" w:hAnsi="仿宋" w:eastAsia="仿宋" w:cs="仿宋"/>
          <w:i w:val="0"/>
          <w:color w:val="auto"/>
          <w:sz w:val="24"/>
          <w:szCs w:val="24"/>
          <w:highlight w:val="none"/>
          <w:lang w:eastAsia="zh-CN"/>
        </w:rPr>
        <w:t>生活垃圾收运服务、地埋式收集站管理服务、公厕管护服务。</w:t>
      </w:r>
    </w:p>
    <w:tbl>
      <w:tblPr>
        <w:tblStyle w:val="2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2"/>
        <w:gridCol w:w="255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采购标的</w:t>
            </w:r>
          </w:p>
        </w:tc>
        <w:tc>
          <w:tcPr>
            <w:tcW w:w="340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具体服务内容</w:t>
            </w:r>
          </w:p>
        </w:tc>
        <w:tc>
          <w:tcPr>
            <w:tcW w:w="255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最高限价</w:t>
            </w:r>
          </w:p>
        </w:tc>
        <w:tc>
          <w:tcPr>
            <w:tcW w:w="1134"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i w:val="0"/>
                <w:color w:val="auto"/>
                <w:sz w:val="24"/>
                <w:highlight w:val="none"/>
                <w:lang w:eastAsia="zh-CN"/>
              </w:rPr>
              <w:t>总预算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i w:val="0"/>
                <w:color w:val="auto"/>
                <w:sz w:val="24"/>
                <w:highlight w:val="none"/>
                <w:lang w:eastAsia="zh-CN"/>
              </w:rPr>
              <w:t>环卫作业市场化服务</w:t>
            </w:r>
          </w:p>
        </w:tc>
        <w:tc>
          <w:tcPr>
            <w:tcW w:w="340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清扫保洁</w:t>
            </w:r>
            <w:r>
              <w:rPr>
                <w:rFonts w:hint="eastAsia" w:ascii="仿宋" w:hAnsi="仿宋" w:eastAsia="仿宋"/>
                <w:i w:val="0"/>
                <w:color w:val="auto"/>
                <w:sz w:val="24"/>
                <w:highlight w:val="none"/>
                <w:lang w:eastAsia="zh-CN"/>
              </w:rPr>
              <w:t>服务</w:t>
            </w:r>
          </w:p>
        </w:tc>
        <w:tc>
          <w:tcPr>
            <w:tcW w:w="2552" w:type="dxa"/>
            <w:vAlign w:val="center"/>
          </w:tcPr>
          <w:p>
            <w:pPr>
              <w:spacing w:line="360" w:lineRule="auto"/>
              <w:jc w:val="both"/>
              <w:rPr>
                <w:rFonts w:hint="default" w:ascii="仿宋" w:hAnsi="仿宋" w:eastAsia="仿宋" w:cs="仿宋"/>
                <w:i w:val="0"/>
                <w:color w:val="auto"/>
                <w:sz w:val="24"/>
                <w:szCs w:val="24"/>
                <w:highlight w:val="none"/>
                <w:lang w:val="en-US" w:eastAsia="zh-CN"/>
              </w:rPr>
            </w:pPr>
            <w:r>
              <w:rPr>
                <w:rFonts w:hint="eastAsia" w:ascii="仿宋" w:hAnsi="仿宋" w:eastAsia="仿宋" w:cs="仿宋"/>
                <w:i w:val="0"/>
                <w:color w:val="auto"/>
                <w:sz w:val="24"/>
                <w:szCs w:val="24"/>
                <w:highlight w:val="none"/>
                <w:lang w:eastAsia="zh-CN"/>
              </w:rPr>
              <w:t>6149.69万元</w:t>
            </w:r>
            <w:r>
              <w:rPr>
                <w:rFonts w:hint="eastAsia" w:ascii="仿宋" w:hAnsi="仿宋" w:eastAsia="仿宋" w:cs="仿宋"/>
                <w:i w:val="0"/>
                <w:color w:val="auto"/>
                <w:sz w:val="24"/>
                <w:szCs w:val="24"/>
                <w:highlight w:val="none"/>
                <w:lang w:val="en-US" w:eastAsia="zh-CN"/>
              </w:rPr>
              <w:t>/年</w:t>
            </w:r>
          </w:p>
        </w:tc>
        <w:tc>
          <w:tcPr>
            <w:tcW w:w="1134" w:type="dxa"/>
            <w:vMerge w:val="restart"/>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i w:val="0"/>
                <w:color w:val="auto"/>
                <w:sz w:val="24"/>
                <w:highlight w:val="none"/>
                <w:lang w:val="en-US" w:eastAsia="zh-CN"/>
              </w:rPr>
              <w:t>7967.78</w:t>
            </w:r>
            <w:r>
              <w:rPr>
                <w:rFonts w:hint="eastAsia" w:ascii="仿宋" w:hAnsi="仿宋" w:eastAsia="仿宋"/>
                <w:i w:val="0"/>
                <w:color w:val="auto"/>
                <w:sz w:val="24"/>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both"/>
              <w:rPr>
                <w:rFonts w:ascii="仿宋" w:hAnsi="仿宋" w:eastAsia="仿宋" w:cs="仿宋"/>
                <w:i w:val="0"/>
                <w:color w:val="auto"/>
                <w:sz w:val="24"/>
                <w:szCs w:val="24"/>
                <w:highlight w:val="none"/>
                <w:lang w:eastAsia="zh-CN"/>
              </w:rPr>
            </w:pPr>
          </w:p>
        </w:tc>
        <w:tc>
          <w:tcPr>
            <w:tcW w:w="340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生活垃圾收运服务</w:t>
            </w:r>
          </w:p>
        </w:tc>
        <w:tc>
          <w:tcPr>
            <w:tcW w:w="2552" w:type="dxa"/>
            <w:vAlign w:val="center"/>
          </w:tcPr>
          <w:p>
            <w:pPr>
              <w:spacing w:line="360" w:lineRule="auto"/>
              <w:jc w:val="both"/>
              <w:rPr>
                <w:rFonts w:ascii="仿宋" w:hAnsi="仿宋" w:eastAsia="仿宋" w:cs="仿宋"/>
                <w:i w:val="0"/>
                <w:color w:val="auto"/>
                <w:sz w:val="24"/>
                <w:szCs w:val="24"/>
                <w:highlight w:val="none"/>
                <w:lang w:eastAsia="zh-CN"/>
              </w:rPr>
            </w:pPr>
            <w:r>
              <w:rPr>
                <w:rFonts w:ascii="仿宋" w:hAnsi="仿宋" w:eastAsia="仿宋" w:cs="仿宋"/>
                <w:i w:val="0"/>
                <w:color w:val="auto"/>
                <w:sz w:val="24"/>
                <w:szCs w:val="24"/>
                <w:highlight w:val="none"/>
                <w:lang w:eastAsia="zh-CN"/>
              </w:rPr>
              <w:t>87.15</w:t>
            </w:r>
            <w:r>
              <w:rPr>
                <w:rFonts w:hint="eastAsia" w:ascii="仿宋" w:hAnsi="仿宋" w:eastAsia="仿宋" w:cs="仿宋"/>
                <w:i w:val="0"/>
                <w:color w:val="auto"/>
                <w:sz w:val="24"/>
                <w:szCs w:val="24"/>
                <w:highlight w:val="none"/>
                <w:lang w:eastAsia="zh-CN"/>
              </w:rPr>
              <w:t>元/吨</w:t>
            </w:r>
          </w:p>
        </w:tc>
        <w:tc>
          <w:tcPr>
            <w:tcW w:w="1134" w:type="dxa"/>
            <w:vMerge w:val="continue"/>
            <w:vAlign w:val="center"/>
          </w:tcPr>
          <w:p>
            <w:pPr>
              <w:spacing w:line="360" w:lineRule="auto"/>
              <w:jc w:val="both"/>
              <w:rPr>
                <w:rFonts w:ascii="仿宋" w:hAnsi="仿宋" w:eastAsia="仿宋" w:cs="仿宋"/>
                <w:i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both"/>
              <w:rPr>
                <w:rFonts w:ascii="仿宋" w:hAnsi="仿宋" w:eastAsia="仿宋" w:cs="仿宋"/>
                <w:i w:val="0"/>
                <w:color w:val="auto"/>
                <w:sz w:val="24"/>
                <w:szCs w:val="24"/>
                <w:highlight w:val="none"/>
                <w:lang w:eastAsia="zh-CN"/>
              </w:rPr>
            </w:pPr>
          </w:p>
        </w:tc>
        <w:tc>
          <w:tcPr>
            <w:tcW w:w="340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地埋式收集站管理服务</w:t>
            </w:r>
          </w:p>
        </w:tc>
        <w:tc>
          <w:tcPr>
            <w:tcW w:w="255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val="en-US" w:eastAsia="zh-CN"/>
              </w:rPr>
              <w:t>12.9384</w:t>
            </w:r>
            <w:r>
              <w:rPr>
                <w:rFonts w:hint="eastAsia" w:ascii="仿宋" w:hAnsi="仿宋" w:eastAsia="仿宋" w:cs="仿宋"/>
                <w:i w:val="0"/>
                <w:color w:val="auto"/>
                <w:sz w:val="24"/>
                <w:szCs w:val="24"/>
                <w:highlight w:val="none"/>
                <w:lang w:eastAsia="zh-CN"/>
              </w:rPr>
              <w:t>万元/</w:t>
            </w:r>
            <w:r>
              <w:rPr>
                <w:rFonts w:hint="eastAsia" w:ascii="仿宋" w:hAnsi="仿宋" w:eastAsia="仿宋" w:cs="仿宋"/>
                <w:i w:val="0"/>
                <w:color w:val="auto"/>
                <w:sz w:val="24"/>
                <w:szCs w:val="24"/>
                <w:highlight w:val="none"/>
                <w:lang w:val="en-US" w:eastAsia="zh-CN"/>
              </w:rPr>
              <w:t>座/年</w:t>
            </w:r>
          </w:p>
        </w:tc>
        <w:tc>
          <w:tcPr>
            <w:tcW w:w="1134" w:type="dxa"/>
            <w:vMerge w:val="continue"/>
            <w:vAlign w:val="center"/>
          </w:tcPr>
          <w:p>
            <w:pPr>
              <w:spacing w:line="360" w:lineRule="auto"/>
              <w:jc w:val="both"/>
              <w:rPr>
                <w:rFonts w:ascii="仿宋" w:hAnsi="仿宋" w:eastAsia="仿宋" w:cs="仿宋"/>
                <w:i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360" w:lineRule="auto"/>
              <w:jc w:val="both"/>
              <w:rPr>
                <w:rFonts w:ascii="仿宋" w:hAnsi="仿宋" w:eastAsia="仿宋" w:cs="仿宋"/>
                <w:i w:val="0"/>
                <w:color w:val="auto"/>
                <w:sz w:val="24"/>
                <w:szCs w:val="24"/>
                <w:highlight w:val="none"/>
                <w:lang w:eastAsia="zh-CN"/>
              </w:rPr>
            </w:pPr>
          </w:p>
        </w:tc>
        <w:tc>
          <w:tcPr>
            <w:tcW w:w="340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公厕管护服务</w:t>
            </w:r>
          </w:p>
        </w:tc>
        <w:tc>
          <w:tcPr>
            <w:tcW w:w="2552" w:type="dxa"/>
            <w:vAlign w:val="center"/>
          </w:tcPr>
          <w:p>
            <w:pPr>
              <w:spacing w:line="360" w:lineRule="auto"/>
              <w:jc w:val="both"/>
              <w:rPr>
                <w:rFonts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val="en-US" w:eastAsia="zh-CN"/>
              </w:rPr>
              <w:t>8.472</w:t>
            </w:r>
            <w:r>
              <w:rPr>
                <w:rFonts w:hint="eastAsia" w:ascii="仿宋" w:hAnsi="仿宋" w:eastAsia="仿宋" w:cs="仿宋"/>
                <w:i w:val="0"/>
                <w:color w:val="auto"/>
                <w:sz w:val="24"/>
                <w:szCs w:val="24"/>
                <w:highlight w:val="none"/>
                <w:lang w:eastAsia="zh-CN"/>
              </w:rPr>
              <w:t>万元/</w:t>
            </w:r>
            <w:r>
              <w:rPr>
                <w:rFonts w:hint="eastAsia" w:ascii="仿宋" w:hAnsi="仿宋" w:eastAsia="仿宋" w:cs="仿宋"/>
                <w:i w:val="0"/>
                <w:color w:val="auto"/>
                <w:sz w:val="24"/>
                <w:szCs w:val="24"/>
                <w:highlight w:val="none"/>
                <w:lang w:val="en-US" w:eastAsia="zh-CN"/>
              </w:rPr>
              <w:t>座/年</w:t>
            </w:r>
          </w:p>
        </w:tc>
        <w:tc>
          <w:tcPr>
            <w:tcW w:w="1134" w:type="dxa"/>
            <w:vMerge w:val="continue"/>
            <w:vAlign w:val="center"/>
          </w:tcPr>
          <w:p>
            <w:pPr>
              <w:spacing w:line="360" w:lineRule="auto"/>
              <w:jc w:val="both"/>
              <w:rPr>
                <w:rFonts w:ascii="仿宋" w:hAnsi="仿宋" w:eastAsia="仿宋" w:cs="仿宋"/>
                <w:i w:val="0"/>
                <w:color w:val="auto"/>
                <w:sz w:val="24"/>
                <w:szCs w:val="24"/>
                <w:highlight w:val="none"/>
                <w:lang w:eastAsia="zh-CN"/>
              </w:rPr>
            </w:pPr>
          </w:p>
        </w:tc>
      </w:tr>
    </w:tbl>
    <w:p>
      <w:pPr>
        <w:spacing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仿宋"/>
          <w:i w:val="0"/>
          <w:color w:val="auto"/>
          <w:sz w:val="24"/>
          <w:szCs w:val="24"/>
          <w:highlight w:val="none"/>
          <w:lang w:eastAsia="zh-CN"/>
        </w:rPr>
        <w:t>2、本项目按照“折扣”进行报价，</w:t>
      </w:r>
      <w:r>
        <w:rPr>
          <w:rFonts w:hint="eastAsia" w:ascii="仿宋" w:hAnsi="仿宋" w:eastAsia="仿宋" w:cs="Marigold"/>
          <w:i w:val="0"/>
          <w:color w:val="auto"/>
          <w:sz w:val="24"/>
          <w:szCs w:val="24"/>
          <w:highlight w:val="none"/>
          <w:lang w:eastAsia="zh-CN"/>
        </w:rPr>
        <w:t>投标人只允许有一个投标报价，</w:t>
      </w:r>
      <w:r>
        <w:rPr>
          <w:rFonts w:hint="eastAsia" w:ascii="仿宋" w:hAnsi="仿宋" w:eastAsia="仿宋" w:cs="Marigold"/>
          <w:i w:val="0"/>
          <w:color w:val="auto"/>
          <w:sz w:val="24"/>
          <w:szCs w:val="24"/>
          <w:highlight w:val="none"/>
          <w:lang w:val="en-US" w:eastAsia="zh-CN"/>
        </w:rPr>
        <w:t>且最高折扣值不超过100%，否则视为无效投标</w:t>
      </w:r>
      <w:r>
        <w:rPr>
          <w:rFonts w:hint="eastAsia" w:ascii="仿宋" w:hAnsi="仿宋" w:eastAsia="仿宋" w:cs="Marigold"/>
          <w:i w:val="0"/>
          <w:color w:val="auto"/>
          <w:sz w:val="24"/>
          <w:szCs w:val="24"/>
          <w:highlight w:val="none"/>
          <w:lang w:eastAsia="zh-CN"/>
        </w:rPr>
        <w:t>。“折扣</w:t>
      </w:r>
      <w:r>
        <w:rPr>
          <w:rFonts w:ascii="仿宋" w:hAnsi="仿宋" w:eastAsia="仿宋" w:cs="Marigold"/>
          <w:i w:val="0"/>
          <w:color w:val="auto"/>
          <w:sz w:val="24"/>
          <w:szCs w:val="24"/>
          <w:highlight w:val="none"/>
          <w:lang w:eastAsia="zh-CN"/>
        </w:rPr>
        <w:t>”</w:t>
      </w:r>
      <w:r>
        <w:rPr>
          <w:rFonts w:hint="eastAsia" w:ascii="仿宋" w:hAnsi="仿宋" w:eastAsia="仿宋" w:cs="Marigold"/>
          <w:i w:val="0"/>
          <w:color w:val="auto"/>
          <w:sz w:val="24"/>
          <w:szCs w:val="24"/>
          <w:highlight w:val="none"/>
          <w:lang w:eastAsia="zh-CN"/>
        </w:rPr>
        <w:t>是指本项目最高限价的若干成计价。如九折（90%），</w:t>
      </w:r>
      <w:r>
        <w:rPr>
          <w:rFonts w:hint="eastAsia" w:ascii="仿宋" w:hAnsi="仿宋" w:eastAsia="仿宋" w:cs="仿宋"/>
          <w:i w:val="0"/>
          <w:color w:val="auto"/>
          <w:sz w:val="24"/>
          <w:szCs w:val="24"/>
          <w:highlight w:val="none"/>
          <w:lang w:eastAsia="zh-CN"/>
        </w:rPr>
        <w:t>清扫保洁</w:t>
      </w:r>
      <w:r>
        <w:rPr>
          <w:rFonts w:hint="eastAsia" w:ascii="仿宋" w:hAnsi="仿宋" w:eastAsia="仿宋"/>
          <w:i w:val="0"/>
          <w:color w:val="auto"/>
          <w:sz w:val="24"/>
          <w:highlight w:val="none"/>
          <w:lang w:eastAsia="zh-CN"/>
        </w:rPr>
        <w:t>服务</w:t>
      </w:r>
      <w:r>
        <w:rPr>
          <w:rFonts w:hint="eastAsia" w:ascii="仿宋" w:hAnsi="仿宋" w:eastAsia="仿宋" w:cs="Marigold"/>
          <w:i w:val="0"/>
          <w:color w:val="auto"/>
          <w:sz w:val="24"/>
          <w:szCs w:val="24"/>
          <w:highlight w:val="none"/>
          <w:lang w:eastAsia="zh-CN"/>
        </w:rPr>
        <w:t>最终实际结算价＝最高限价×90%</w:t>
      </w:r>
      <w:r>
        <w:rPr>
          <w:rFonts w:hint="eastAsia" w:ascii="仿宋" w:hAnsi="仿宋" w:eastAsia="仿宋" w:cs="仿宋"/>
          <w:i w:val="0"/>
          <w:color w:val="auto"/>
          <w:sz w:val="24"/>
          <w:szCs w:val="24"/>
          <w:highlight w:val="none"/>
          <w:lang w:eastAsia="zh-CN"/>
        </w:rPr>
        <w:t>；生活垃圾收运服务</w:t>
      </w:r>
      <w:r>
        <w:rPr>
          <w:rFonts w:hint="eastAsia" w:ascii="仿宋" w:hAnsi="仿宋" w:eastAsia="仿宋" w:cs="Marigold"/>
          <w:i w:val="0"/>
          <w:color w:val="auto"/>
          <w:sz w:val="24"/>
          <w:szCs w:val="24"/>
          <w:highlight w:val="none"/>
          <w:lang w:eastAsia="zh-CN"/>
        </w:rPr>
        <w:t>最终实际结算价＝最高限价×90%×数量（吨）；</w:t>
      </w:r>
      <w:r>
        <w:rPr>
          <w:rFonts w:hint="eastAsia" w:ascii="仿宋" w:hAnsi="仿宋" w:eastAsia="仿宋" w:cs="仿宋"/>
          <w:i w:val="0"/>
          <w:color w:val="auto"/>
          <w:sz w:val="24"/>
          <w:szCs w:val="24"/>
          <w:highlight w:val="none"/>
          <w:lang w:eastAsia="zh-CN"/>
        </w:rPr>
        <w:t>地埋式收集站管理服务</w:t>
      </w:r>
      <w:r>
        <w:rPr>
          <w:rFonts w:hint="eastAsia" w:ascii="仿宋" w:hAnsi="仿宋" w:eastAsia="仿宋" w:cs="Marigold"/>
          <w:i w:val="0"/>
          <w:color w:val="auto"/>
          <w:sz w:val="24"/>
          <w:szCs w:val="24"/>
          <w:highlight w:val="none"/>
          <w:lang w:eastAsia="zh-CN"/>
        </w:rPr>
        <w:t>最终实际结算价＝最高限价×90%×数量（</w:t>
      </w:r>
      <w:r>
        <w:rPr>
          <w:rFonts w:hint="eastAsia" w:ascii="仿宋" w:hAnsi="仿宋" w:eastAsia="仿宋" w:cs="Marigold"/>
          <w:i w:val="0"/>
          <w:color w:val="auto"/>
          <w:sz w:val="24"/>
          <w:szCs w:val="24"/>
          <w:highlight w:val="none"/>
          <w:lang w:val="en-US" w:eastAsia="zh-CN"/>
        </w:rPr>
        <w:t>座</w:t>
      </w:r>
      <w:r>
        <w:rPr>
          <w:rFonts w:hint="eastAsia" w:ascii="仿宋" w:hAnsi="仿宋" w:eastAsia="仿宋" w:cs="Marigold"/>
          <w:i w:val="0"/>
          <w:color w:val="auto"/>
          <w:sz w:val="24"/>
          <w:szCs w:val="24"/>
          <w:highlight w:val="none"/>
          <w:lang w:eastAsia="zh-CN"/>
        </w:rPr>
        <w:t>）×</w:t>
      </w:r>
      <w:r>
        <w:rPr>
          <w:rFonts w:hint="eastAsia" w:ascii="仿宋" w:hAnsi="仿宋" w:eastAsia="仿宋" w:cs="Marigold"/>
          <w:i w:val="0"/>
          <w:color w:val="auto"/>
          <w:sz w:val="24"/>
          <w:szCs w:val="24"/>
          <w:highlight w:val="none"/>
          <w:lang w:val="en-US" w:eastAsia="zh-CN"/>
        </w:rPr>
        <w:t>年</w:t>
      </w:r>
      <w:r>
        <w:rPr>
          <w:rFonts w:hint="eastAsia" w:ascii="仿宋" w:hAnsi="仿宋" w:eastAsia="仿宋" w:cs="Marigold"/>
          <w:i w:val="0"/>
          <w:color w:val="auto"/>
          <w:sz w:val="24"/>
          <w:szCs w:val="24"/>
          <w:highlight w:val="none"/>
          <w:lang w:eastAsia="zh-CN"/>
        </w:rPr>
        <w:t>；</w:t>
      </w:r>
      <w:r>
        <w:rPr>
          <w:rFonts w:hint="eastAsia" w:ascii="仿宋" w:hAnsi="仿宋" w:eastAsia="仿宋" w:cs="仿宋"/>
          <w:i w:val="0"/>
          <w:color w:val="auto"/>
          <w:sz w:val="24"/>
          <w:szCs w:val="24"/>
          <w:highlight w:val="none"/>
          <w:lang w:eastAsia="zh-CN"/>
        </w:rPr>
        <w:t>公厕管</w:t>
      </w:r>
      <w:r>
        <w:rPr>
          <w:rFonts w:hint="eastAsia" w:ascii="仿宋" w:hAnsi="仿宋" w:eastAsia="仿宋" w:cs="仿宋"/>
          <w:i w:val="0"/>
          <w:color w:val="auto"/>
          <w:sz w:val="24"/>
          <w:szCs w:val="24"/>
          <w:highlight w:val="none"/>
          <w:lang w:val="en-US" w:eastAsia="zh-CN"/>
        </w:rPr>
        <w:t>护</w:t>
      </w:r>
      <w:r>
        <w:rPr>
          <w:rFonts w:hint="eastAsia" w:ascii="仿宋" w:hAnsi="仿宋" w:eastAsia="仿宋" w:cs="Marigold"/>
          <w:i w:val="0"/>
          <w:color w:val="auto"/>
          <w:sz w:val="24"/>
          <w:szCs w:val="24"/>
          <w:highlight w:val="none"/>
          <w:lang w:eastAsia="zh-CN"/>
        </w:rPr>
        <w:t>最终实际结算价＝最高限价×90%×数量（</w:t>
      </w:r>
      <w:r>
        <w:rPr>
          <w:rFonts w:hint="eastAsia" w:ascii="仿宋" w:hAnsi="仿宋" w:eastAsia="仿宋" w:cs="Marigold"/>
          <w:i w:val="0"/>
          <w:color w:val="auto"/>
          <w:sz w:val="24"/>
          <w:szCs w:val="24"/>
          <w:highlight w:val="none"/>
          <w:lang w:val="en-US" w:eastAsia="zh-CN"/>
        </w:rPr>
        <w:t>座</w:t>
      </w:r>
      <w:r>
        <w:rPr>
          <w:rFonts w:hint="eastAsia" w:ascii="仿宋" w:hAnsi="仿宋" w:eastAsia="仿宋" w:cs="Marigold"/>
          <w:i w:val="0"/>
          <w:color w:val="auto"/>
          <w:sz w:val="24"/>
          <w:szCs w:val="24"/>
          <w:highlight w:val="none"/>
          <w:lang w:eastAsia="zh-CN"/>
        </w:rPr>
        <w:t>）×</w:t>
      </w:r>
      <w:r>
        <w:rPr>
          <w:rFonts w:hint="eastAsia" w:ascii="仿宋" w:hAnsi="仿宋" w:eastAsia="仿宋" w:cs="Marigold"/>
          <w:i w:val="0"/>
          <w:color w:val="auto"/>
          <w:sz w:val="24"/>
          <w:szCs w:val="24"/>
          <w:highlight w:val="none"/>
          <w:lang w:val="en-US" w:eastAsia="zh-CN"/>
        </w:rPr>
        <w:t>年</w:t>
      </w:r>
      <w:r>
        <w:rPr>
          <w:rFonts w:hint="eastAsia" w:ascii="仿宋" w:hAnsi="仿宋" w:eastAsia="仿宋" w:cs="Marigold"/>
          <w:i w:val="0"/>
          <w:color w:val="auto"/>
          <w:sz w:val="24"/>
          <w:szCs w:val="24"/>
          <w:highlight w:val="none"/>
          <w:lang w:eastAsia="zh-CN"/>
        </w:rPr>
        <w:t>。</w:t>
      </w:r>
    </w:p>
    <w:p>
      <w:pPr>
        <w:pStyle w:val="59"/>
        <w:numPr>
          <w:ilvl w:val="0"/>
          <w:numId w:val="0"/>
        </w:numPr>
        <w:ind w:left="420" w:hanging="420"/>
        <w:rPr>
          <w:b/>
          <w:i w:val="0"/>
          <w:color w:val="auto"/>
          <w:highlight w:val="none"/>
          <w:lang w:eastAsia="zh-CN"/>
        </w:rPr>
      </w:pPr>
      <w:r>
        <w:rPr>
          <w:rFonts w:hint="eastAsia"/>
          <w:b/>
          <w:i w:val="0"/>
          <w:color w:val="auto"/>
          <w:highlight w:val="none"/>
          <w:lang w:eastAsia="zh-CN"/>
        </w:rPr>
        <w:t>（三）服务范围等级划分</w:t>
      </w:r>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按照《城镇市容环境卫生劳动定额》《城市环境卫生质量标准》的道路保洁等级划分条件，将街道划分为特级街道、一级街道、二级街道、三级街道4个管理等级。</w:t>
      </w:r>
    </w:p>
    <w:p>
      <w:pPr>
        <w:pStyle w:val="59"/>
        <w:numPr>
          <w:ilvl w:val="0"/>
          <w:numId w:val="0"/>
        </w:numPr>
        <w:ind w:left="420" w:hanging="420"/>
        <w:rPr>
          <w:b/>
          <w:i w:val="0"/>
          <w:color w:val="auto"/>
          <w:highlight w:val="none"/>
          <w:lang w:eastAsia="zh-CN"/>
        </w:rPr>
      </w:pPr>
      <w:r>
        <w:rPr>
          <w:rFonts w:hint="eastAsia"/>
          <w:b/>
          <w:i w:val="0"/>
          <w:color w:val="auto"/>
          <w:highlight w:val="none"/>
          <w:lang w:eastAsia="zh-CN"/>
        </w:rPr>
        <w:t>（四）现场踏勘</w:t>
      </w:r>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本项目采购人不组织现场勘查，投标人可自行组织，勘查现场发生的费用自理，勘查现场中所发生的人员伤亡和财产损失全部由投标人自行负责，勘查不能影响采购人工作秩序。</w:t>
      </w:r>
    </w:p>
    <w:p>
      <w:pPr>
        <w:pStyle w:val="59"/>
        <w:numPr>
          <w:ilvl w:val="0"/>
          <w:numId w:val="0"/>
        </w:numPr>
        <w:ind w:left="420" w:hanging="420"/>
        <w:rPr>
          <w:b/>
          <w:i w:val="0"/>
          <w:color w:val="auto"/>
          <w:szCs w:val="24"/>
          <w:highlight w:val="none"/>
          <w:lang w:eastAsia="zh-CN"/>
        </w:rPr>
      </w:pPr>
      <w:r>
        <w:rPr>
          <w:rFonts w:hint="eastAsia"/>
          <w:b/>
          <w:i w:val="0"/>
          <w:color w:val="auto"/>
          <w:szCs w:val="24"/>
          <w:highlight w:val="none"/>
          <w:lang w:eastAsia="zh-CN"/>
        </w:rPr>
        <w:t>（五）采购标的需实现的目标</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优化彭州市区环境品质，持续保持我市城区环卫作业精细化、标准化和专业化管理水平，给市民提供更加干净、舒适、便利、安全的城市环境，实现环卫清扫保洁质量“西部第一、全国一流、国际先进”目标。</w:t>
      </w:r>
    </w:p>
    <w:p>
      <w:pPr>
        <w:pStyle w:val="4"/>
        <w:spacing w:line="360" w:lineRule="auto"/>
        <w:jc w:val="left"/>
        <w:rPr>
          <w:rFonts w:ascii="仿宋" w:hAnsi="仿宋"/>
          <w:i w:val="0"/>
          <w:color w:val="auto"/>
          <w:sz w:val="24"/>
          <w:szCs w:val="24"/>
          <w:highlight w:val="none"/>
          <w:lang w:eastAsia="zh-CN"/>
        </w:rPr>
      </w:pPr>
      <w:bookmarkStart w:id="587" w:name="_Toc82856447"/>
      <w:r>
        <w:rPr>
          <w:rFonts w:hint="eastAsia" w:ascii="仿宋" w:hAnsi="仿宋"/>
          <w:i w:val="0"/>
          <w:color w:val="auto"/>
          <w:sz w:val="24"/>
          <w:szCs w:val="24"/>
          <w:highlight w:val="none"/>
          <w:lang w:eastAsia="zh-CN"/>
        </w:rPr>
        <w:t>二、</w:t>
      </w:r>
      <w:bookmarkEnd w:id="587"/>
      <w:r>
        <w:rPr>
          <w:rFonts w:hint="eastAsia" w:ascii="仿宋" w:hAnsi="仿宋"/>
          <w:i w:val="0"/>
          <w:color w:val="auto"/>
          <w:sz w:val="24"/>
          <w:szCs w:val="24"/>
          <w:highlight w:val="none"/>
          <w:lang w:eastAsia="zh-CN"/>
        </w:rPr>
        <w:t>采购标的需满足的服务标准、期限、效率等要求</w:t>
      </w:r>
    </w:p>
    <w:p>
      <w:pPr>
        <w:pStyle w:val="59"/>
        <w:numPr>
          <w:ilvl w:val="0"/>
          <w:numId w:val="0"/>
        </w:numPr>
        <w:ind w:left="420" w:hanging="420"/>
        <w:rPr>
          <w:b/>
          <w:i w:val="0"/>
          <w:color w:val="auto"/>
          <w:szCs w:val="24"/>
          <w:highlight w:val="none"/>
          <w:lang w:eastAsia="zh-CN"/>
        </w:rPr>
      </w:pPr>
      <w:r>
        <w:rPr>
          <w:rFonts w:hint="eastAsia"/>
          <w:b/>
          <w:i w:val="0"/>
          <w:color w:val="auto"/>
          <w:szCs w:val="24"/>
          <w:highlight w:val="none"/>
          <w:lang w:eastAsia="zh-CN"/>
        </w:rPr>
        <w:t>（一）总体服务内容及要求</w:t>
      </w:r>
    </w:p>
    <w:p>
      <w:pPr>
        <w:spacing w:line="360" w:lineRule="auto"/>
        <w:ind w:firstLine="480" w:firstLineChars="200"/>
        <w:contextualSpacing/>
        <w:textAlignment w:val="center"/>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1.城区市政道路、桥梁、小游园、市政广场、城郊结合部、城中村、出入城通道、公共空间的清扫保洁及上述区域的快速保洁，以及区域内的绿化带捡拾。</w:t>
      </w:r>
    </w:p>
    <w:p>
      <w:pPr>
        <w:spacing w:line="360" w:lineRule="auto"/>
        <w:ind w:firstLine="480" w:firstLineChars="200"/>
        <w:contextualSpacing/>
        <w:textAlignment w:val="center"/>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2.道路冲洗除尘和洒水作业，人行道、路沿石的冲洗。</w:t>
      </w:r>
    </w:p>
    <w:p>
      <w:pPr>
        <w:spacing w:line="360" w:lineRule="auto"/>
        <w:ind w:firstLine="480" w:firstLineChars="200"/>
        <w:contextualSpacing/>
        <w:textAlignment w:val="center"/>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3.市政设施及其他“城市家具”（含街道座椅、隔离栏、公交站台、城市雕塑等）的清洗。</w:t>
      </w:r>
    </w:p>
    <w:p>
      <w:pPr>
        <w:spacing w:line="360" w:lineRule="auto"/>
        <w:ind w:firstLine="480" w:firstLineChars="200"/>
        <w:contextualSpacing/>
        <w:textAlignment w:val="center"/>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4.“牛皮癣”的发现和清理（环卫工人兼具除“癣”任务，配备必要的作业工具）。</w:t>
      </w:r>
    </w:p>
    <w:p>
      <w:pPr>
        <w:spacing w:line="360" w:lineRule="auto"/>
        <w:ind w:firstLine="480" w:firstLineChars="200"/>
        <w:contextualSpacing/>
        <w:textAlignment w:val="center"/>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5.环卫设施的清洗、清掏保洁及消杀灭蝇除臭。</w:t>
      </w:r>
    </w:p>
    <w:p>
      <w:pPr>
        <w:spacing w:line="360" w:lineRule="auto"/>
        <w:ind w:firstLine="480" w:firstLineChars="200"/>
        <w:contextualSpacing/>
        <w:textAlignment w:val="center"/>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6.负责区域内果屑箱、公共区域垃圾房、单位及居民小区垃圾分类收集点、地埋式收集站的生活垃圾的分类收集，按要求转运至指定的分类收集、处置点位（含城区无主垃圾等）。</w:t>
      </w:r>
    </w:p>
    <w:p>
      <w:pPr>
        <w:spacing w:line="360" w:lineRule="auto"/>
        <w:ind w:firstLine="480" w:firstLineChars="200"/>
        <w:contextualSpacing/>
        <w:textAlignment w:val="center"/>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7.果屑箱、垃圾房、垃圾分类收集点（站）、分类收集容器的日常管理及零星维护，确保设施整洁完好。</w:t>
      </w:r>
    </w:p>
    <w:p>
      <w:pPr>
        <w:spacing w:line="360" w:lineRule="auto"/>
        <w:ind w:firstLine="480" w:firstLineChars="200"/>
        <w:contextualSpacing/>
        <w:textAlignment w:val="center"/>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8.服务范围区域内河道、干渠、支渠、沟渠、道路边沟等沿线巡回保洁及河道内杂草、垃圾、漂浮物等清理。</w:t>
      </w:r>
    </w:p>
    <w:p>
      <w:pPr>
        <w:spacing w:line="360" w:lineRule="auto"/>
        <w:ind w:firstLine="480" w:firstLineChars="200"/>
        <w:contextualSpacing/>
        <w:textAlignment w:val="center"/>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9.公厕管理维护服务，包括但不限于公厕的清扫保洁、耗材供应、小型维修维护、中型（除公厕整体提档升级改造和小型维修维护以外）维修维护。</w:t>
      </w:r>
    </w:p>
    <w:p>
      <w:pPr>
        <w:pStyle w:val="59"/>
        <w:numPr>
          <w:ilvl w:val="0"/>
          <w:numId w:val="0"/>
        </w:numPr>
        <w:ind w:left="420" w:hanging="420"/>
        <w:rPr>
          <w:b/>
          <w:i w:val="0"/>
          <w:color w:val="auto"/>
          <w:highlight w:val="none"/>
          <w:lang w:eastAsia="zh-CN"/>
        </w:rPr>
      </w:pPr>
      <w:r>
        <w:rPr>
          <w:rFonts w:hint="eastAsia"/>
          <w:b/>
          <w:i w:val="0"/>
          <w:color w:val="auto"/>
          <w:highlight w:val="none"/>
          <w:lang w:eastAsia="zh-CN"/>
        </w:rPr>
        <w:t>（二）服务标准及服务要求</w:t>
      </w:r>
    </w:p>
    <w:p>
      <w:pPr>
        <w:pStyle w:val="7"/>
        <w:spacing w:line="360" w:lineRule="auto"/>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1、清扫保洁</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1.1机动车道、非机动车道、人行道路面，人行天桥、雨水篦无堆积物、无砖瓦土石、无果皮纸屑、无塑料袋、无烟蒂、无痰迹、无积泥积尘、无污水、无灰带等。绿化带、行道树池内无堆积物、无塑料袋、无纸屑等废弃物。果屑箱（垃圾桶）内垃圾及时清除、无满溢，箱体周围地面无抛撒存留垃圾、无污渍，箱体外观完好整洁。</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1.2立交桥、人行天桥栏杆和隔离栏、隔离墩（桩、墙）、公交站台、配电箱外围、隔音墙（板）无积泥积尘。</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1.3保洁人员不得拍打树叶；不得焚烧垃圾。不得将垃圾扫（倒）入绿化带、下水道、河道、沟渠。不得翻捡垃圾。</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2、冲洗除尘</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2.1机动车道、非机动车道、路沿石应无积泥、积尘、积水，无残留垃圾，雨水箅表面洁净，交通标志线无污渍，现本色。</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2.2人行道、护栏基座、人行天桥、广场无积泥、积尘、积水、残留垃圾、油渍污垢、口香糖等，现本色。行道树树池无弃物、污渍。</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3、生活垃圾收运</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3.1生活垃圾收运应做到密闭转运，日产日清。</w:t>
      </w:r>
    </w:p>
    <w:p>
      <w:pPr>
        <w:spacing w:line="360" w:lineRule="auto"/>
        <w:ind w:firstLine="480" w:firstLineChars="200"/>
        <w:rPr>
          <w:rFonts w:hint="eastAsia"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3.2应文明安全作业，不得粗暴、野蛮作业。收运作业时规范操作，不得破袋翻拣、野蛮装卸，收集压缩装置严格按照使用规范操作，避免人为损坏；转运装填完成后，应当及时清理转运现场，确保清洁无味。垃圾运输车辆整洁干净、厢体外无吊挂垃圾、无滴漏，接水槽干净、无积存垃圾，集水箱中渗沥液应在转运站点和处置场（厂）规范排放。</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3.3垃圾收集转运区域与清扫保洁区域保持一致，实现清扫保洁与垃圾收集转运的无缝衔接。</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4、垃圾容器管理</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4.1果屑箱、垃圾桶内的垃圾日产日清，无满溢现象，投放口周边整洁，无垃圾悬挂；箱（桶）体周围地面无撒落存留垃圾、无陈旧油污，箱（桶）体无破损、无锈迹、无污垢、无污渍，外观干净整洁。</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4.2不得有用水冲洗电力箱（柜）等存在安全隐患的行为。</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5、垃圾收集、转运站（点）管理</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5.1站（点）内地面全部硬化并做防渗处理，地面平整，通风良好，立面内、外贴瓷砖到顶，给排水设施运行正常并保持外部整洁。站应设置操作规范、作业流程和工作职责等上墙制度；收集点应设置告示栏，明确管理责任人，清运时间、频次，服务单位及电话等基本信息。</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5.2站（点）内及周边地整洁清爽，无撒落垃圾和堆积杂物，无积留污水，墙面无明显污迹、积尘，无明显异味。</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5.3站内有防噪、降尘、除臭、排污设施设备且运行良好，噪音、灰尘、臭气、污水和渗滤液等处置应当符合环境保护技术规范，污水排放标识清晰醒目。</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5.4站内严格按照生活垃圾分类相关规定进行分捡作业，严禁站外破袋翻捡垃圾。</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5.5站应建立规范车辆管理制度，进入站内的运输车辆应当进行登记，对车容不整、车箱未密闭、垃圾外漏的运输车辆建立问题抄告制度，定期向所属主管部门报送信息。由主管部门对问题车辆业主单位进行通报批评，并视情节轻重，实施罚款、降级警示、降级直至市场禁入等处罚。</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5.6有条件的站内应设置垃圾运输车辆冲洗设施，所有垃圾转运车辆出场必须冲洗，保持车容整洁。</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5.7</w:t>
      </w:r>
      <w:r>
        <w:rPr>
          <w:rFonts w:hint="eastAsia" w:ascii="仿宋" w:hAnsi="仿宋" w:eastAsia="仿宋"/>
          <w:i w:val="0"/>
          <w:color w:val="auto"/>
          <w:sz w:val="24"/>
          <w:szCs w:val="24"/>
          <w:highlight w:val="none"/>
          <w:lang w:eastAsia="zh-CN"/>
        </w:rPr>
        <w:t>垃圾收集点（房）不得出现爆桶等现象。</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6、环卫工人作息房管理</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6.1环卫工人作息房内部家具摆放整齐，表面干净无灰尘；地面、墙面和各类电器洁净无尘，窗帘定期清洗；外墙、屋顶及责任区域内整洁，无杂物堆积，墙面光洁完好，无污蚀，无渗漏，窗栅、门窗玻璃无破损。外部环境整洁，无卫生死角和乱堆杂物现象。</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7、公厕管护服务</w:t>
      </w:r>
    </w:p>
    <w:p>
      <w:pPr>
        <w:spacing w:line="360" w:lineRule="auto"/>
        <w:ind w:firstLine="480" w:firstLineChars="200"/>
        <w:rPr>
          <w:rFonts w:hint="eastAsia"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7.1公厕管护应达到“四净三无二通一明”要求。即：地面净、墙壁净、厕位净、周边净，无溢流、无蚊蝇、无臭味，水通、电通，灯明。</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7.2提供公厕清扫保洁服务。做到室内：公厕无明显异味，无蚊蝇；地面光洁干净，无积水，无烟头，无纸屑，无痰迹和其他杂物；墙面、天花板、门窗和隔断板洁净，无积灰，无污迹，无蛛网，无乱涂乱画，无破损；卫生洁具整洁，大、小便器内无积存物，无粪便痕迹，无积尿积水，管道畅通、无堵塞，公厕标志牌、公示牌洁净，无积尘。</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7.3提供设施管理。公厕导向牌、标志牌、公示牌、内外部照明灯具、洗手器具、镜子、挂衣钩、烘手器、厕纸机、洗手液盒、便器、冲水设施、厕位门、隔断板、门窗、天花板、废纸容器、</w:t>
      </w:r>
      <w:r>
        <w:rPr>
          <w:rFonts w:hint="eastAsia" w:ascii="仿宋" w:hAnsi="仿宋" w:eastAsia="仿宋"/>
          <w:i w:val="0"/>
          <w:color w:val="auto"/>
          <w:sz w:val="24"/>
          <w:szCs w:val="24"/>
          <w:highlight w:val="none"/>
          <w:lang w:val="en-US" w:eastAsia="zh-CN" w:bidi="ar-SA"/>
        </w:rPr>
        <w:t>热水设施、</w:t>
      </w:r>
      <w:r>
        <w:rPr>
          <w:rFonts w:hint="eastAsia" w:ascii="仿宋" w:hAnsi="仿宋" w:eastAsia="仿宋"/>
          <w:i w:val="0"/>
          <w:color w:val="auto"/>
          <w:sz w:val="24"/>
          <w:szCs w:val="24"/>
          <w:highlight w:val="none"/>
          <w:lang w:eastAsia="zh-CN" w:bidi="ar-SA"/>
        </w:rPr>
        <w:t>无障碍设施等完好；墙砖、地砖无脱落、缺损、松动、破裂、渗漏等；地漏、</w:t>
      </w:r>
      <w:r>
        <w:rPr>
          <w:rFonts w:hint="eastAsia" w:ascii="仿宋" w:hAnsi="仿宋" w:eastAsia="仿宋"/>
          <w:i w:val="0"/>
          <w:color w:val="auto"/>
          <w:sz w:val="24"/>
          <w:szCs w:val="24"/>
          <w:highlight w:val="none"/>
          <w:lang w:val="en-US" w:eastAsia="zh-CN" w:bidi="ar-SA"/>
        </w:rPr>
        <w:t>厕位</w:t>
      </w:r>
      <w:r>
        <w:rPr>
          <w:rFonts w:hint="eastAsia" w:ascii="仿宋" w:hAnsi="仿宋" w:eastAsia="仿宋"/>
          <w:i w:val="0"/>
          <w:color w:val="auto"/>
          <w:sz w:val="24"/>
          <w:szCs w:val="24"/>
          <w:highlight w:val="none"/>
          <w:lang w:eastAsia="zh-CN" w:bidi="ar-SA"/>
        </w:rPr>
        <w:t>无堵塞；化粪池窨井盖完好，无满溢。</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7.4提供耗材管理。使用的厕纸、洗手液需提供产品合格证书，保证产品质量。</w:t>
      </w:r>
    </w:p>
    <w:p>
      <w:pPr>
        <w:spacing w:line="360" w:lineRule="auto"/>
        <w:ind w:firstLine="480" w:firstLineChars="200"/>
        <w:rPr>
          <w:rFonts w:hint="eastAsia"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7.5提供工具管理。管理间（工具间）物品摆放整洁有序，无杂物，无闲杂人员，无挪作他用。提供必备的作业工具：塑料扫帚、拖把、撮箕、垃圾袋、毛巾、硬质塑料刷、橡胶手套或一次性手套、水刮器、消毒剂、清洁剂、空气清新剂、檀香、防疫消杀药剂等。</w:t>
      </w:r>
    </w:p>
    <w:p>
      <w:pPr>
        <w:pStyle w:val="59"/>
        <w:numPr>
          <w:ilvl w:val="0"/>
          <w:numId w:val="0"/>
        </w:numPr>
        <w:ind w:left="420" w:hanging="420"/>
        <w:rPr>
          <w:b/>
          <w:i w:val="0"/>
          <w:color w:val="auto"/>
          <w:highlight w:val="none"/>
          <w:lang w:eastAsia="zh-CN"/>
        </w:rPr>
      </w:pPr>
      <w:r>
        <w:rPr>
          <w:rFonts w:hint="eastAsia"/>
          <w:b/>
          <w:i w:val="0"/>
          <w:color w:val="auto"/>
          <w:highlight w:val="none"/>
          <w:lang w:eastAsia="zh-CN"/>
        </w:rPr>
        <w:t>（三）服务效率</w:t>
      </w:r>
    </w:p>
    <w:p>
      <w:pPr>
        <w:pStyle w:val="7"/>
        <w:spacing w:line="360" w:lineRule="auto"/>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1、清扫保洁</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1.1特级道路、一级道路（区域）应于每日07:00前完成普扫作业，二、三级道路（区域）应于每日07:30前完成普扫作业，四级道路（区域）冬季</w:t>
      </w:r>
      <w:r>
        <w:rPr>
          <w:rFonts w:hint="eastAsia" w:ascii="仿宋" w:hAnsi="仿宋" w:eastAsia="仿宋"/>
          <w:i w:val="0"/>
          <w:color w:val="auto"/>
          <w:sz w:val="24"/>
          <w:szCs w:val="24"/>
          <w:highlight w:val="none"/>
          <w:lang w:val="en-US" w:eastAsia="zh-CN" w:bidi="ar-SA"/>
        </w:rPr>
        <w:t>08</w:t>
      </w:r>
      <w:r>
        <w:rPr>
          <w:rFonts w:hint="eastAsia" w:ascii="仿宋" w:hAnsi="仿宋" w:eastAsia="仿宋"/>
          <w:i w:val="0"/>
          <w:color w:val="auto"/>
          <w:sz w:val="24"/>
          <w:szCs w:val="24"/>
          <w:highlight w:val="none"/>
          <w:lang w:eastAsia="zh-CN" w:bidi="ar-SA"/>
        </w:rPr>
        <w:t>:</w:t>
      </w:r>
      <w:r>
        <w:rPr>
          <w:rFonts w:hint="eastAsia" w:ascii="仿宋" w:hAnsi="仿宋" w:eastAsia="仿宋"/>
          <w:i w:val="0"/>
          <w:color w:val="auto"/>
          <w:sz w:val="24"/>
          <w:szCs w:val="24"/>
          <w:highlight w:val="none"/>
          <w:lang w:val="en-US" w:eastAsia="zh-CN" w:bidi="ar-SA"/>
        </w:rPr>
        <w:t>3</w:t>
      </w:r>
      <w:r>
        <w:rPr>
          <w:rFonts w:hint="eastAsia" w:ascii="仿宋" w:hAnsi="仿宋" w:eastAsia="仿宋"/>
          <w:i w:val="0"/>
          <w:color w:val="auto"/>
          <w:sz w:val="24"/>
          <w:szCs w:val="24"/>
          <w:highlight w:val="none"/>
          <w:lang w:eastAsia="zh-CN" w:bidi="ar-SA"/>
        </w:rPr>
        <w:t>0和夏季08:</w:t>
      </w:r>
      <w:r>
        <w:rPr>
          <w:rFonts w:hint="eastAsia" w:ascii="仿宋" w:hAnsi="仿宋" w:eastAsia="仿宋"/>
          <w:i w:val="0"/>
          <w:color w:val="auto"/>
          <w:sz w:val="24"/>
          <w:szCs w:val="24"/>
          <w:highlight w:val="none"/>
          <w:lang w:val="en-US" w:eastAsia="zh-CN" w:bidi="ar-SA"/>
        </w:rPr>
        <w:t>0</w:t>
      </w:r>
      <w:r>
        <w:rPr>
          <w:rFonts w:hint="eastAsia" w:ascii="仿宋" w:hAnsi="仿宋" w:eastAsia="仿宋"/>
          <w:i w:val="0"/>
          <w:color w:val="auto"/>
          <w:sz w:val="24"/>
          <w:szCs w:val="24"/>
          <w:highlight w:val="none"/>
          <w:lang w:eastAsia="zh-CN" w:bidi="ar-SA"/>
        </w:rPr>
        <w:t>0前完成普扫作业。</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1.2特级道路、一、二级道路（区域）实行每日24小时保洁制，三级道路每日05:00至22:00保洁，其中，机动车道保洁以机械化错峰作业为主。四级道路适时巡回保洁。</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1.3特级道路，一级道路（区域）主、辅道机械吸（洗）扫作业每日不少于4次。每日05:00-07:00、19:00-21:00每条车道全覆盖作业；09:30-11:30、12:00-15:30双向左右两侧车行道、单向车行道两侧道路各增加作业1次；1月-3月，10月-12月适时增加作业次数，清理落叶和灰带。</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1.4二级道路（区域）机械吸（洗）扫作业每日不少于3次。每日05:00-07:00、19:00-21:00每条车道全覆盖作业；12:30-15:30双向左右两侧车行道、单向车行道两侧道路各增加作业1次；1月-3月，10月-12月适时增加作业次数，清理落叶和灰带。</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1.5三级道路（区域）机械吸（洗）扫作业每日不少于2次。每日05:00-07:00、19:00-21:00各作业1次；1月-3月，10月-12月适时增加作业次数，清理落叶和灰带。</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1.6四级道路采取人工清扫和冲洗作业相结合方式，冬季</w:t>
      </w:r>
      <w:r>
        <w:rPr>
          <w:rFonts w:hint="eastAsia" w:ascii="仿宋" w:hAnsi="仿宋" w:eastAsia="仿宋"/>
          <w:i w:val="0"/>
          <w:color w:val="auto"/>
          <w:sz w:val="24"/>
          <w:szCs w:val="24"/>
          <w:highlight w:val="none"/>
          <w:lang w:val="en-US" w:eastAsia="zh-CN" w:bidi="ar-SA"/>
        </w:rPr>
        <w:t>08</w:t>
      </w:r>
      <w:r>
        <w:rPr>
          <w:rFonts w:hint="eastAsia" w:ascii="仿宋" w:hAnsi="仿宋" w:eastAsia="仿宋"/>
          <w:i w:val="0"/>
          <w:color w:val="auto"/>
          <w:sz w:val="24"/>
          <w:szCs w:val="24"/>
          <w:highlight w:val="none"/>
          <w:lang w:eastAsia="zh-CN" w:bidi="ar-SA"/>
        </w:rPr>
        <w:t>:</w:t>
      </w:r>
      <w:r>
        <w:rPr>
          <w:rFonts w:hint="eastAsia" w:ascii="仿宋" w:hAnsi="仿宋" w:eastAsia="仿宋"/>
          <w:i w:val="0"/>
          <w:color w:val="auto"/>
          <w:sz w:val="24"/>
          <w:szCs w:val="24"/>
          <w:highlight w:val="none"/>
          <w:lang w:val="en-US" w:eastAsia="zh-CN" w:bidi="ar-SA"/>
        </w:rPr>
        <w:t>3</w:t>
      </w:r>
      <w:r>
        <w:rPr>
          <w:rFonts w:hint="eastAsia" w:ascii="仿宋" w:hAnsi="仿宋" w:eastAsia="仿宋"/>
          <w:i w:val="0"/>
          <w:color w:val="auto"/>
          <w:sz w:val="24"/>
          <w:szCs w:val="24"/>
          <w:highlight w:val="none"/>
          <w:lang w:eastAsia="zh-CN" w:bidi="ar-SA"/>
        </w:rPr>
        <w:t>0和夏季8:</w:t>
      </w:r>
      <w:r>
        <w:rPr>
          <w:rFonts w:hint="eastAsia" w:ascii="仿宋" w:hAnsi="仿宋" w:eastAsia="仿宋"/>
          <w:i w:val="0"/>
          <w:color w:val="auto"/>
          <w:sz w:val="24"/>
          <w:szCs w:val="24"/>
          <w:highlight w:val="none"/>
          <w:lang w:val="en-US" w:eastAsia="zh-CN" w:bidi="ar-SA"/>
        </w:rPr>
        <w:t>0</w:t>
      </w:r>
      <w:r>
        <w:rPr>
          <w:rFonts w:hint="eastAsia" w:ascii="仿宋" w:hAnsi="仿宋" w:eastAsia="仿宋"/>
          <w:i w:val="0"/>
          <w:color w:val="auto"/>
          <w:sz w:val="24"/>
          <w:szCs w:val="24"/>
          <w:highlight w:val="none"/>
          <w:lang w:eastAsia="zh-CN" w:bidi="ar-SA"/>
        </w:rPr>
        <w:t>0前作业1次，并适时巡回捡拾。</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1.7特级道路非机动车道、人行道、十字路口、人行天桥、绿化带花台、树池、桌椅、果屑箱（垃圾桶）、雨水篦、井盖表面等局部污渍清洗，其巡回保洁和快捡在15分钟内处理。一、二、三级道路（区域）非机动车道、人行道、十字路口、人行天桥、绿化带花台、树池、桌椅、果屑箱（垃圾桶）、雨水篦、井盖表面等局部污渍清洗，餐饮饭店、集贸市场、车站、医院等人流密集场所和建设工地周边，其巡回保洁和快捡在20分钟内处理。四级道路适时巡回保洁。巡回保洁中发现的污渍污迹，在20分钟内实施处置。</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1.8特级道路、一、二级道路（区域）立交桥、人行天桥栏杆，隔离栏、隔离墩（桩）清洁除尘，每日不少于1次，三级道路（区域）立交桥、人行天桥栏杆，隔离栏、隔离墩（桩）、公交站台、配电箱外围清洁除尘，每两日不少于1次。</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2、冲洗除尘</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2.1三级以上道路（区域）冲洗除尘作业应在每日22:00－次日06:00进行，</w:t>
      </w:r>
      <w:r>
        <w:rPr>
          <w:rFonts w:hint="eastAsia" w:ascii="仿宋" w:hAnsi="仿宋" w:eastAsia="仿宋"/>
          <w:i w:val="0"/>
          <w:color w:val="auto"/>
          <w:sz w:val="24"/>
          <w:szCs w:val="24"/>
          <w:highlight w:val="none"/>
          <w:lang w:val="en-US" w:eastAsia="zh-CN" w:bidi="ar-SA"/>
        </w:rPr>
        <w:t>每日不低于3次，</w:t>
      </w:r>
      <w:r>
        <w:rPr>
          <w:rFonts w:hint="eastAsia" w:ascii="仿宋" w:hAnsi="仿宋" w:eastAsia="仿宋"/>
          <w:i w:val="0"/>
          <w:color w:val="auto"/>
          <w:sz w:val="24"/>
          <w:szCs w:val="24"/>
          <w:highlight w:val="none"/>
          <w:lang w:eastAsia="zh-CN" w:bidi="ar-SA"/>
        </w:rPr>
        <w:t>除道路污染应急处置、重大保障和重污染天气等特殊情况外，原则上不得白天作业。特殊情况确需白天作业时要错开早晚交通高峰段（7:30-9:00，17:30-19:00），作业时注意避让车辆和行人，以洒水作业为主。四级道路（区域）根据污染情况适时冲洗除尘。</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2.2特级道路、一级道路（区域）机动车道每日冲洗除尘1次，非机动车道、路沿石每两日冲洗除尘1次，人行道、护栏基座、人行天桥、广场地面每两周洗刷1次，随时清除污垢、污渍。</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2.3二级道路（区域）机动车道每日冲洗除尘1次，非机动车道和路沿石每三日冲洗除尘1次，人行道、护栏基座、人行天桥、广场地面每两周洗刷1次，随时清除污垢、污渍。</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2.4三级道路（区域）机动车道每两日冲洗除尘1次，非机动车道和路沿石每周冲洗除尘1次，人行道、护栏基座、人行天桥、广场地面每两周洗刷1次，随时清除污垢、污渍。</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2.4冬季气温低于2℃时，暂停冲洗作业，以免路面结冰影响交通安全。夏季气温超过35℃时，应当采取换班轮休等方式，缩短劳动者连续作业时间，加强机械化作业，日最高气温达到40℃以上时，应当停止人工作业。其他特殊天气作业时间和频次另行规定。</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2.5遇重污染天气，应按要求加密冲洗除尘频次。</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3、生活垃圾收运</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3.1生活垃圾转运作业原则上在05:30-23:00进行，并避开交通高峰时段（07:30-9:00，17:30-19:00）。确需其它时段作业的应避免扰民。</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3.2居民住宅小区、单位、营业场所、公共场所等区域的生活垃圾实行定人定时</w:t>
      </w:r>
      <w:r>
        <w:rPr>
          <w:rFonts w:hint="eastAsia" w:ascii="仿宋" w:hAnsi="仿宋" w:eastAsia="仿宋"/>
          <w:i w:val="0"/>
          <w:color w:val="auto"/>
          <w:sz w:val="24"/>
          <w:szCs w:val="24"/>
          <w:highlight w:val="none"/>
          <w:lang w:val="en-US" w:eastAsia="zh-CN" w:bidi="ar-SA"/>
        </w:rPr>
        <w:t>定线路</w:t>
      </w:r>
      <w:r>
        <w:rPr>
          <w:rFonts w:hint="eastAsia" w:ascii="仿宋" w:hAnsi="仿宋" w:eastAsia="仿宋"/>
          <w:i w:val="0"/>
          <w:color w:val="auto"/>
          <w:sz w:val="24"/>
          <w:szCs w:val="24"/>
          <w:highlight w:val="none"/>
          <w:lang w:eastAsia="zh-CN" w:bidi="ar-SA"/>
        </w:rPr>
        <w:t>收运，原则上早、中、晚各1次，根据不同区域、不同季节生活垃圾日产生量，适时调整增加或减少收运频次；临街店铺生活垃圾实行定人定时</w:t>
      </w:r>
      <w:r>
        <w:rPr>
          <w:rFonts w:hint="eastAsia" w:ascii="仿宋" w:hAnsi="仿宋" w:eastAsia="仿宋"/>
          <w:i w:val="0"/>
          <w:color w:val="auto"/>
          <w:sz w:val="24"/>
          <w:szCs w:val="24"/>
          <w:highlight w:val="none"/>
          <w:lang w:val="en-US" w:eastAsia="zh-CN" w:bidi="ar-SA"/>
        </w:rPr>
        <w:t>定线路</w:t>
      </w:r>
      <w:r>
        <w:rPr>
          <w:rFonts w:hint="eastAsia" w:ascii="仿宋" w:hAnsi="仿宋" w:eastAsia="仿宋"/>
          <w:i w:val="0"/>
          <w:color w:val="auto"/>
          <w:sz w:val="24"/>
          <w:szCs w:val="24"/>
          <w:highlight w:val="none"/>
          <w:lang w:eastAsia="zh-CN" w:bidi="ar-SA"/>
        </w:rPr>
        <w:t>循环收运，原则上每日不少于2次。</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4、垃圾容器管理</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4.1特级道路、一、二级道路（区域）果屑箱应当每日内部清掏、外部保洁，清掏和保洁每日不少于4次，即07:00-09:00、12:00-14:00、17:00-19:00、21:00-23:00。公交站台、小饮食店、繁华商业区等人口密集区域，应增加清掏、保洁频次。</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4.2三级道路（区域）果屑箱每日清掏和保洁不少于3次，即07:00-09:00、12:00-14:00、18:00-20:00；并根据箱体内垃圾存量随时清掏、保洁。四级道路（区域）果屑箱每日清掏、保洁不少于1次。</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4.3垃圾桶内的垃圾收运每日不少于3次：即05:00-07:00、12:00-14:00、20:00-22:00，并根据桶内垃圾存量随时收运，收运后应对桶体及地面进行保洁。</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5、垃圾收集、转运站（点）管理</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5.1站（点）的开放时间应根据服务半径内的垃圾收集、清运作业的时间确定。原则上为每日5:30-23:00，其他时间确需作业的要避免扰民。</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6、环卫工人作息房管理</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6.1环卫工人作息房开放时间按照环卫工人作业时间确定，与社区服务中心、环卫公厕、垃圾转运站等环卫设施配建的作息房，开放时间与相关设施开放时间一致。</w:t>
      </w:r>
    </w:p>
    <w:p>
      <w:pPr>
        <w:pStyle w:val="7"/>
        <w:spacing w:line="360" w:lineRule="auto"/>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7、公厕管护服务</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7.1管理人员在岗时间：6:00-23:00(冬季7:00-22:00)。</w:t>
      </w:r>
    </w:p>
    <w:p>
      <w:pPr>
        <w:spacing w:line="360" w:lineRule="auto"/>
        <w:ind w:firstLine="480" w:firstLineChars="200"/>
        <w:rPr>
          <w:rFonts w:hint="default" w:ascii="仿宋" w:hAnsi="仿宋" w:eastAsia="仿宋"/>
          <w:i w:val="0"/>
          <w:color w:val="auto"/>
          <w:sz w:val="24"/>
          <w:szCs w:val="24"/>
          <w:highlight w:val="none"/>
          <w:lang w:val="en-US" w:eastAsia="zh-CN" w:bidi="ar-SA"/>
        </w:rPr>
      </w:pPr>
      <w:r>
        <w:rPr>
          <w:rFonts w:hint="eastAsia" w:ascii="仿宋" w:hAnsi="仿宋" w:eastAsia="仿宋"/>
          <w:i w:val="0"/>
          <w:color w:val="auto"/>
          <w:sz w:val="24"/>
          <w:szCs w:val="24"/>
          <w:highlight w:val="none"/>
          <w:lang w:eastAsia="zh-CN" w:bidi="ar-SA"/>
        </w:rPr>
        <w:t>7.2</w:t>
      </w:r>
      <w:r>
        <w:rPr>
          <w:rFonts w:hint="eastAsia" w:ascii="仿宋" w:hAnsi="仿宋" w:eastAsia="仿宋"/>
          <w:i w:val="0"/>
          <w:color w:val="auto"/>
          <w:sz w:val="24"/>
          <w:szCs w:val="24"/>
          <w:highlight w:val="none"/>
          <w:lang w:val="en-US" w:eastAsia="zh-CN" w:bidi="ar-SA"/>
        </w:rPr>
        <w:t>日常保洁管理工作中如发现公厕设施损坏影响正常使用功能或有碍观瞻的，要及时进行维护和更换。公厕内水龙头、照明灯具、厕纸机、洗手液盒、烘手器、标志牌等小型设施损坏应在2小时内完成维修。公厕隔断、墙面、地面、门窗、便器、洗手台（盆）、拖把池等大型设施损坏应在24小时内完成维修。中型维修维护应在接到派单之后1-7个工作日内完成。如遇特殊情况不能在规定时间内完成维修的，需要延时的，应提前征得采购人的同意。</w:t>
      </w:r>
    </w:p>
    <w:p>
      <w:pPr>
        <w:spacing w:line="360" w:lineRule="auto"/>
        <w:ind w:firstLine="480" w:firstLineChars="200"/>
        <w:rPr>
          <w:rFonts w:hint="eastAsia"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7.3耗材24小时不间断供应，不得随意停供。</w:t>
      </w:r>
    </w:p>
    <w:p>
      <w:pPr>
        <w:pStyle w:val="59"/>
        <w:numPr>
          <w:ilvl w:val="0"/>
          <w:numId w:val="0"/>
        </w:numPr>
        <w:ind w:left="420" w:hanging="420"/>
        <w:rPr>
          <w:b/>
          <w:i w:val="0"/>
          <w:color w:val="auto"/>
          <w:highlight w:val="none"/>
          <w:lang w:eastAsia="zh-CN"/>
        </w:rPr>
      </w:pPr>
      <w:r>
        <w:rPr>
          <w:rFonts w:hint="eastAsia"/>
          <w:b/>
          <w:i w:val="0"/>
          <w:color w:val="auto"/>
          <w:highlight w:val="none"/>
          <w:lang w:eastAsia="zh-CN"/>
        </w:rPr>
        <w:t>（四）服务方式</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1、清扫保洁</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1.1机动车道、立交桥、高架桥、跨线桥、非机动车道、人行道、人行天桥、广场及栏杆、隔离墩（桩、墙）等环卫清扫保洁，适合机械清扫的，应当以大、中、小型吸扫车或吸洗扫一体车作业为主；不适合机械清扫作业的，应匹配相应作业人员，实行人工清扫作业。人工清扫作业主要采用防尘软扫帚，避免产生扬尘。雨后应及时进行路面积水清除作业，宜开展机械洗扫作业。</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1.2机械清扫作业时可根据路面污染情况选用一挡或二档。清扫作业时选用一挡，行驶速度不超过8公里/小时，副机转速不超过2000转/分；保洁作业时选用二挡，行驶速度不超过15公里/小时，副机转速不超过1800转/分。</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1.3机械清扫作业时应严格按照放刷、喷水、调整箱体压力和刷盘转速、清扫的顺序进行操作；非特殊气候情况下，避免“干扫”；作业时禁止扫刷、吸嘴不落地。作业完毕后应及时到指定场所排放污水和卸清垃圾。</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1.4绿化带、花台、树池杂物清理，果屑箱清掏、外部保洁实行人工与小型机械相结合方式作业。</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2、冲洗除尘</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2.1道路冲洗除尘根据不同道路（区域）等级，制定清洗除尘方案。所有道路（区域）应以冲洗除尘为主，冲洗作业时车辆行驶速度为5-8公里/小时，出水口与地面之间角度调至最佳冲洗位置，压力不小于300kPa，开启警示灯应急灯（大车）、鸣放提示音乐。在22:00-07:00、12:00-15:00（启动应急预案需白天作业时），应停用提示音乐，避免噪音扰民。</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2.2道路冲洗除尘作业应当实行机械冲洗与机械化吸扫和人工辅助清扫相结合的方式，确保冲洗效果。</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2.3道路冲洗除尘实行定人、定车、定时、定标、定责“五定”制度。作业单位应当将道路冲洗除尘班组责任人 、项目经理、作业车辆、驾驶员、辅助人员等信息列入工作方案，明确作业时间、进度、范围、规范和责任。</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2.4每条道路（区域）应有冲洗前的清晰图片（图片须显示作业日期、小时、分钟以及周边明显参照物），冲洗作业过程及冲洗后的效果资料。</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2.5作业单位应当备存作业机具、人员的作业场景图片、有关人员签字记录、作业车辆车牌号和司机、辅助人员签字记录、作业车辆行驶轨迹记录等有关图、表、文字、影像记载。</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3、生活垃圾收运</w:t>
      </w:r>
    </w:p>
    <w:p>
      <w:pPr>
        <w:spacing w:line="360" w:lineRule="auto"/>
        <w:ind w:firstLine="480" w:firstLineChars="200"/>
        <w:rPr>
          <w:rFonts w:hint="eastAsia"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3.1生活垃圾收运应采用一级转运（收集点-垃圾转运站-垃圾末端处置）和直收直运（收集点-垃圾末端处置）为主，二级转运为辅（收集点-小型垃圾转运站-大型垃圾转运站-垃圾末端处置）的方式。</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3.2实施生活垃圾分类投放、分类收集、分类运输和分类处置，</w:t>
      </w:r>
      <w:r>
        <w:rPr>
          <w:rFonts w:hint="eastAsia" w:ascii="仿宋" w:hAnsi="仿宋" w:eastAsia="仿宋"/>
          <w:i w:val="0"/>
          <w:color w:val="auto"/>
          <w:sz w:val="24"/>
          <w:szCs w:val="24"/>
          <w:highlight w:val="none"/>
          <w:lang w:val="en-US" w:eastAsia="zh-CN" w:bidi="ar-SA"/>
        </w:rPr>
        <w:t>逐步提高生活垃圾减量化、资源化、无害化水平</w:t>
      </w:r>
      <w:r>
        <w:rPr>
          <w:rFonts w:hint="eastAsia" w:ascii="仿宋" w:hAnsi="仿宋" w:eastAsia="仿宋"/>
          <w:i w:val="0"/>
          <w:color w:val="auto"/>
          <w:sz w:val="24"/>
          <w:szCs w:val="24"/>
          <w:highlight w:val="none"/>
          <w:lang w:eastAsia="zh-CN" w:bidi="ar-SA"/>
        </w:rPr>
        <w:t>。</w:t>
      </w:r>
    </w:p>
    <w:p>
      <w:pPr>
        <w:spacing w:line="360" w:lineRule="auto"/>
        <w:ind w:firstLine="480" w:firstLineChars="200"/>
        <w:rPr>
          <w:rFonts w:hint="eastAsia"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3.3生活垃圾分为“可回收物、餐厨垃圾、有害垃圾和其它垃圾”四类，农村散居区域可分为“可回收物、有害垃圾、其他垃圾”三类，采用专用容器套袋收集，分类投放，定人定时分类收集，分类密闭运输。</w:t>
      </w:r>
    </w:p>
    <w:p>
      <w:pPr>
        <w:pStyle w:val="13"/>
        <w:rPr>
          <w:rFonts w:hint="default"/>
          <w:color w:val="auto"/>
          <w:highlight w:val="none"/>
          <w:lang w:val="en-US" w:eastAsia="zh-CN"/>
        </w:rPr>
      </w:pPr>
      <w:r>
        <w:rPr>
          <w:rFonts w:hint="eastAsia" w:ascii="仿宋" w:hAnsi="仿宋" w:eastAsia="仿宋"/>
          <w:i w:val="0"/>
          <w:color w:val="auto"/>
          <w:sz w:val="24"/>
          <w:szCs w:val="24"/>
          <w:highlight w:val="none"/>
          <w:lang w:val="en-US" w:eastAsia="zh-CN" w:bidi="ar-SA"/>
        </w:rPr>
        <w:t xml:space="preserve">    3.4严格遵守上级部门对疫情防控的相关要求，建立专职收运队伍和专人、专车、专线路收运机制，并完善标识、台账等。</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4、垃圾容器管理</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4.1果屑箱的内桶应套装专用垃圾袋，清掏时扎口连袋收运，禁止将零散垃圾直接倒入收集车内。</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4.2连袋清掏垃圾后内桶重新套装专用垃圾袋，须将重新套好垃圾袋的内桶复位并关闭箱门，再对箱体及地面进行保洁。</w:t>
      </w:r>
    </w:p>
    <w:p>
      <w:pPr>
        <w:spacing w:line="360" w:lineRule="auto"/>
        <w:ind w:firstLine="480" w:firstLineChars="200"/>
        <w:rPr>
          <w:rFonts w:hint="eastAsia"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4.3垃圾桶根据其形状、规格和尺寸，能够套袋的应套装垃圾袋，无法套袋的应将桶内及周边地面垃圾清理干净。</w:t>
      </w:r>
    </w:p>
    <w:p>
      <w:pPr>
        <w:pStyle w:val="13"/>
        <w:rPr>
          <w:rFonts w:hint="default"/>
          <w:color w:val="auto"/>
          <w:highlight w:val="none"/>
          <w:lang w:val="en-US" w:eastAsia="zh-CN"/>
        </w:rPr>
      </w:pPr>
      <w:r>
        <w:rPr>
          <w:rFonts w:hint="eastAsia" w:ascii="仿宋" w:hAnsi="仿宋" w:eastAsia="仿宋"/>
          <w:i w:val="0"/>
          <w:color w:val="auto"/>
          <w:sz w:val="24"/>
          <w:szCs w:val="24"/>
          <w:highlight w:val="none"/>
          <w:lang w:val="en-US" w:eastAsia="zh-CN" w:bidi="ar-SA"/>
        </w:rPr>
        <w:t xml:space="preserve">    4.4每日不少于6次消杀。</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5、垃圾收集转运站（点）管理</w:t>
      </w:r>
    </w:p>
    <w:p>
      <w:pPr>
        <w:spacing w:line="360" w:lineRule="auto"/>
        <w:ind w:firstLine="480" w:firstLineChars="200"/>
        <w:rPr>
          <w:rFonts w:ascii="仿宋" w:hAnsi="仿宋" w:eastAsia="仿宋"/>
          <w:i w:val="0"/>
          <w:color w:val="auto"/>
          <w:sz w:val="24"/>
          <w:szCs w:val="32"/>
          <w:highlight w:val="none"/>
          <w:lang w:eastAsia="zh-CN"/>
        </w:rPr>
      </w:pPr>
      <w:r>
        <w:rPr>
          <w:rFonts w:hint="eastAsia" w:ascii="仿宋" w:hAnsi="仿宋" w:eastAsia="仿宋"/>
          <w:bCs/>
          <w:i w:val="0"/>
          <w:color w:val="auto"/>
          <w:sz w:val="24"/>
          <w:szCs w:val="32"/>
          <w:highlight w:val="none"/>
          <w:lang w:eastAsia="zh-CN"/>
        </w:rPr>
        <w:t>5.1站（点）垃圾随到随压（运），并密闭储存，站（点）内无散露积存垃圾。每次压缩流程和转运作业完成后，应对操作场地、压缩箱体、墙面及地面进行清洗、消杀、除臭，</w:t>
      </w:r>
      <w:r>
        <w:rPr>
          <w:rFonts w:hint="eastAsia" w:ascii="仿宋" w:hAnsi="仿宋" w:eastAsia="仿宋"/>
          <w:bCs/>
          <w:i w:val="0"/>
          <w:color w:val="auto"/>
          <w:sz w:val="24"/>
          <w:szCs w:val="32"/>
          <w:highlight w:val="none"/>
          <w:lang w:val="en-US" w:eastAsia="zh-CN"/>
        </w:rPr>
        <w:t>每日不少于6次</w:t>
      </w:r>
      <w:r>
        <w:rPr>
          <w:rFonts w:hint="eastAsia" w:ascii="仿宋" w:hAnsi="仿宋" w:eastAsia="仿宋"/>
          <w:bCs/>
          <w:i w:val="0"/>
          <w:color w:val="auto"/>
          <w:sz w:val="24"/>
          <w:szCs w:val="32"/>
          <w:highlight w:val="none"/>
          <w:lang w:eastAsia="zh-CN"/>
        </w:rPr>
        <w:t>。</w:t>
      </w:r>
    </w:p>
    <w:p>
      <w:pPr>
        <w:pStyle w:val="7"/>
        <w:spacing w:line="360" w:lineRule="auto"/>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6、环卫工人作息房管理</w:t>
      </w:r>
    </w:p>
    <w:p>
      <w:pPr>
        <w:adjustRightInd w:val="0"/>
        <w:snapToGrid w:val="0"/>
        <w:spacing w:line="360" w:lineRule="auto"/>
        <w:ind w:firstLine="480" w:firstLineChars="200"/>
        <w:rPr>
          <w:rFonts w:ascii="仿宋" w:hAnsi="仿宋" w:eastAsia="仿宋" w:cs="仿宋"/>
          <w:bCs/>
          <w:i w:val="0"/>
          <w:color w:val="auto"/>
          <w:kern w:val="0"/>
          <w:sz w:val="24"/>
          <w:szCs w:val="32"/>
          <w:highlight w:val="none"/>
          <w:shd w:val="clear" w:color="auto" w:fill="FFFFFF"/>
          <w:lang w:eastAsia="zh-CN"/>
        </w:rPr>
      </w:pPr>
      <w:r>
        <w:rPr>
          <w:rFonts w:hint="eastAsia" w:ascii="仿宋" w:hAnsi="仿宋" w:eastAsia="仿宋" w:cs="仿宋"/>
          <w:bCs/>
          <w:i w:val="0"/>
          <w:color w:val="auto"/>
          <w:kern w:val="0"/>
          <w:sz w:val="24"/>
          <w:szCs w:val="32"/>
          <w:highlight w:val="none"/>
          <w:shd w:val="clear" w:color="auto" w:fill="FFFFFF"/>
          <w:lang w:eastAsia="zh-CN"/>
        </w:rPr>
        <w:t>6.1环卫工作息房应</w:t>
      </w:r>
      <w:r>
        <w:rPr>
          <w:rFonts w:ascii="仿宋" w:hAnsi="仿宋" w:eastAsia="仿宋" w:cs="仿宋"/>
          <w:bCs/>
          <w:i w:val="0"/>
          <w:color w:val="auto"/>
          <w:kern w:val="0"/>
          <w:sz w:val="24"/>
          <w:szCs w:val="32"/>
          <w:highlight w:val="none"/>
          <w:shd w:val="clear" w:color="auto" w:fill="FFFFFF"/>
          <w:lang w:eastAsia="zh-CN"/>
        </w:rPr>
        <w:t>配置必要的防暑、防寒、应急药品、清洁饮水、</w:t>
      </w:r>
      <w:r>
        <w:rPr>
          <w:rFonts w:hint="eastAsia" w:ascii="仿宋" w:hAnsi="仿宋" w:eastAsia="仿宋" w:cs="仿宋"/>
          <w:bCs/>
          <w:i w:val="0"/>
          <w:color w:val="auto"/>
          <w:kern w:val="0"/>
          <w:sz w:val="24"/>
          <w:szCs w:val="32"/>
          <w:highlight w:val="none"/>
          <w:shd w:val="clear" w:color="auto" w:fill="FFFFFF"/>
          <w:lang w:eastAsia="zh-CN"/>
        </w:rPr>
        <w:t>加热饭菜</w:t>
      </w:r>
      <w:r>
        <w:rPr>
          <w:rFonts w:ascii="仿宋" w:hAnsi="仿宋" w:eastAsia="仿宋" w:cs="仿宋"/>
          <w:bCs/>
          <w:i w:val="0"/>
          <w:color w:val="auto"/>
          <w:kern w:val="0"/>
          <w:sz w:val="24"/>
          <w:szCs w:val="32"/>
          <w:highlight w:val="none"/>
          <w:shd w:val="clear" w:color="auto" w:fill="FFFFFF"/>
          <w:lang w:eastAsia="zh-CN"/>
        </w:rPr>
        <w:t>等设施，</w:t>
      </w:r>
      <w:r>
        <w:rPr>
          <w:rFonts w:hint="eastAsia" w:ascii="仿宋" w:hAnsi="仿宋" w:eastAsia="仿宋" w:cs="仿宋"/>
          <w:bCs/>
          <w:i w:val="0"/>
          <w:color w:val="auto"/>
          <w:kern w:val="0"/>
          <w:sz w:val="24"/>
          <w:szCs w:val="32"/>
          <w:highlight w:val="none"/>
          <w:shd w:val="clear" w:color="auto" w:fill="FFFFFF"/>
          <w:lang w:eastAsia="zh-CN"/>
        </w:rPr>
        <w:t>并定期进行维护保养，设施、设备使用后应恢复原状。保持房内外清洁卫生，每日清扫保洁一次，每周大扫除一次，</w:t>
      </w:r>
      <w:r>
        <w:rPr>
          <w:rFonts w:hint="eastAsia" w:ascii="仿宋" w:hAnsi="仿宋" w:eastAsia="仿宋" w:cs="仿宋"/>
          <w:bCs/>
          <w:i w:val="0"/>
          <w:color w:val="auto"/>
          <w:kern w:val="0"/>
          <w:sz w:val="24"/>
          <w:szCs w:val="32"/>
          <w:highlight w:val="none"/>
          <w:shd w:val="clear" w:color="auto" w:fill="FFFFFF"/>
          <w:lang w:val="en-US" w:eastAsia="zh-CN"/>
        </w:rPr>
        <w:t>并完成消杀</w:t>
      </w:r>
      <w:r>
        <w:rPr>
          <w:rFonts w:hint="eastAsia" w:ascii="仿宋" w:hAnsi="仿宋" w:eastAsia="仿宋" w:cs="仿宋"/>
          <w:bCs/>
          <w:i w:val="0"/>
          <w:color w:val="auto"/>
          <w:kern w:val="0"/>
          <w:sz w:val="24"/>
          <w:szCs w:val="32"/>
          <w:highlight w:val="none"/>
          <w:shd w:val="clear" w:color="auto" w:fill="FFFFFF"/>
          <w:lang w:eastAsia="zh-CN"/>
        </w:rPr>
        <w:t>。</w:t>
      </w:r>
    </w:p>
    <w:p>
      <w:pPr>
        <w:spacing w:line="360" w:lineRule="auto"/>
        <w:ind w:firstLine="480" w:firstLineChars="200"/>
        <w:rPr>
          <w:rFonts w:ascii="仿宋" w:hAnsi="仿宋" w:eastAsia="仿宋" w:cs="仿宋"/>
          <w:bCs/>
          <w:i w:val="0"/>
          <w:color w:val="auto"/>
          <w:kern w:val="0"/>
          <w:sz w:val="24"/>
          <w:szCs w:val="32"/>
          <w:highlight w:val="none"/>
          <w:shd w:val="clear" w:color="auto" w:fill="FFFFFF"/>
          <w:lang w:eastAsia="zh-CN"/>
        </w:rPr>
      </w:pPr>
      <w:r>
        <w:rPr>
          <w:rFonts w:hint="eastAsia" w:ascii="仿宋" w:hAnsi="仿宋" w:eastAsia="仿宋" w:cs="仿宋"/>
          <w:bCs/>
          <w:i w:val="0"/>
          <w:color w:val="auto"/>
          <w:kern w:val="0"/>
          <w:sz w:val="24"/>
          <w:szCs w:val="32"/>
          <w:highlight w:val="none"/>
          <w:shd w:val="clear" w:color="auto" w:fill="FFFFFF"/>
          <w:lang w:eastAsia="zh-CN"/>
        </w:rPr>
        <w:t>6.2开放时注意通风、防潮，晚关闭时注意关闭所有用电设施电源，并关闭门窗。要定期对电器、电路进行必要的检测，排除隐患，确保安全。</w:t>
      </w:r>
    </w:p>
    <w:p>
      <w:pPr>
        <w:pStyle w:val="7"/>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7、公厕管护服务</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7.1提供厕所内外环境卫生的维护。</w:t>
      </w:r>
    </w:p>
    <w:p>
      <w:pPr>
        <w:spacing w:line="360" w:lineRule="auto"/>
        <w:ind w:firstLine="480" w:firstLineChars="200"/>
        <w:rPr>
          <w:rFonts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7.2提供厕纸、洗手液、作业工具和劳保用品等耗材供应。</w:t>
      </w:r>
    </w:p>
    <w:p>
      <w:pPr>
        <w:spacing w:line="360" w:lineRule="auto"/>
        <w:ind w:firstLine="480" w:firstLineChars="200"/>
        <w:rPr>
          <w:rFonts w:hint="eastAsia" w:ascii="仿宋" w:hAnsi="仿宋" w:eastAsia="仿宋"/>
          <w:i w:val="0"/>
          <w:color w:val="auto"/>
          <w:sz w:val="24"/>
          <w:szCs w:val="24"/>
          <w:highlight w:val="none"/>
          <w:lang w:eastAsia="zh-CN" w:bidi="ar-SA"/>
        </w:rPr>
      </w:pPr>
      <w:r>
        <w:rPr>
          <w:rFonts w:hint="eastAsia" w:ascii="仿宋" w:hAnsi="仿宋" w:eastAsia="仿宋"/>
          <w:i w:val="0"/>
          <w:color w:val="auto"/>
          <w:sz w:val="24"/>
          <w:szCs w:val="24"/>
          <w:highlight w:val="none"/>
          <w:lang w:eastAsia="zh-CN" w:bidi="ar-SA"/>
        </w:rPr>
        <w:t>7.3提供公厕小型维护服务，公厕内门锁、水龙头、冲水箱、灯具等内部设施设备维修，公厕导向牌标志牌管理、厕位清掏 等小型维护，按照每座公厕每月不高于300元定性为小型维护范畴。</w:t>
      </w:r>
    </w:p>
    <w:p>
      <w:pPr>
        <w:spacing w:line="360" w:lineRule="auto"/>
        <w:ind w:firstLine="480" w:firstLineChars="200"/>
        <w:rPr>
          <w:rFonts w:hint="eastAsia"/>
          <w:color w:val="auto"/>
          <w:highlight w:val="none"/>
          <w:lang w:eastAsia="zh-CN"/>
        </w:rPr>
      </w:pPr>
      <w:r>
        <w:rPr>
          <w:rFonts w:hint="eastAsia" w:ascii="仿宋" w:hAnsi="仿宋" w:eastAsia="仿宋"/>
          <w:i w:val="0"/>
          <w:color w:val="auto"/>
          <w:sz w:val="24"/>
          <w:szCs w:val="24"/>
          <w:highlight w:val="none"/>
          <w:lang w:val="en-US" w:eastAsia="zh-CN" w:bidi="ar-SA"/>
        </w:rPr>
        <w:t>7.4 提供中型维修服务，</w:t>
      </w:r>
      <w:r>
        <w:rPr>
          <w:rFonts w:hint="eastAsia" w:ascii="仿宋" w:hAnsi="仿宋" w:eastAsia="仿宋" w:cs="Times New Roman"/>
          <w:i w:val="0"/>
          <w:color w:val="auto"/>
          <w:sz w:val="24"/>
          <w:szCs w:val="24"/>
          <w:highlight w:val="none"/>
          <w:lang w:val="en-US" w:eastAsia="zh-CN" w:bidi="ar-SA"/>
        </w:rPr>
        <w:t>除公厕整体提档升级改造和小型维修维护以外的其他维修维护，蹲位隔板更换、部分墙面粉刷、屋面防水、防盗门维修及更换、墙地砖更换、望顶维修及更换、大小便器更换、洗手台面维护、入口及无障碍通道优化、环卫工人休息室维修维护和其他设施设备新增等，通过派件方式进行处置。</w:t>
      </w:r>
    </w:p>
    <w:p>
      <w:pPr>
        <w:pStyle w:val="59"/>
        <w:numPr>
          <w:ilvl w:val="0"/>
          <w:numId w:val="0"/>
        </w:numPr>
        <w:ind w:left="420" w:hanging="420"/>
        <w:rPr>
          <w:b/>
          <w:i w:val="0"/>
          <w:color w:val="auto"/>
          <w:highlight w:val="none"/>
          <w:lang w:eastAsia="zh-CN"/>
        </w:rPr>
      </w:pPr>
      <w:r>
        <w:rPr>
          <w:rFonts w:hint="eastAsia"/>
          <w:b/>
          <w:i w:val="0"/>
          <w:color w:val="auto"/>
          <w:highlight w:val="none"/>
          <w:lang w:eastAsia="zh-CN"/>
        </w:rPr>
        <w:t>（五）详细服务内容及要求</w:t>
      </w:r>
    </w:p>
    <w:p>
      <w:pPr>
        <w:pStyle w:val="7"/>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1、作业人员及作业机具要求</w:t>
      </w:r>
    </w:p>
    <w:tbl>
      <w:tblPr>
        <w:tblStyle w:val="25"/>
        <w:tblW w:w="8465"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58"/>
        <w:gridCol w:w="2403"/>
        <w:gridCol w:w="1"/>
        <w:gridCol w:w="1911"/>
        <w:gridCol w:w="1"/>
        <w:gridCol w:w="190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90" w:type="dxa"/>
            <w:vAlign w:val="center"/>
          </w:tcPr>
          <w:p>
            <w:pPr>
              <w:pStyle w:val="13"/>
              <w:spacing w:line="360" w:lineRule="exact"/>
              <w:jc w:val="center"/>
              <w:rPr>
                <w:rFonts w:ascii="仿宋" w:hAnsi="仿宋" w:eastAsia="仿宋" w:cs="黑体"/>
                <w:i w:val="0"/>
                <w:color w:val="auto"/>
                <w:szCs w:val="21"/>
                <w:highlight w:val="none"/>
              </w:rPr>
            </w:pPr>
            <w:r>
              <w:rPr>
                <w:rFonts w:hint="eastAsia" w:ascii="仿宋" w:hAnsi="仿宋" w:eastAsia="仿宋" w:cs="黑体"/>
                <w:i w:val="0"/>
                <w:color w:val="auto"/>
                <w:szCs w:val="21"/>
                <w:highlight w:val="none"/>
                <w:lang w:eastAsia="zh-CN"/>
              </w:rPr>
              <w:t>序号</w:t>
            </w:r>
          </w:p>
        </w:tc>
        <w:tc>
          <w:tcPr>
            <w:tcW w:w="3962" w:type="dxa"/>
            <w:gridSpan w:val="3"/>
            <w:vAlign w:val="center"/>
          </w:tcPr>
          <w:p>
            <w:pPr>
              <w:pStyle w:val="13"/>
              <w:spacing w:line="360" w:lineRule="exact"/>
              <w:jc w:val="center"/>
              <w:rPr>
                <w:rFonts w:ascii="仿宋" w:hAnsi="仿宋" w:eastAsia="仿宋" w:cs="黑体"/>
                <w:i w:val="0"/>
                <w:color w:val="auto"/>
                <w:szCs w:val="21"/>
                <w:highlight w:val="none"/>
              </w:rPr>
            </w:pPr>
            <w:r>
              <w:rPr>
                <w:rFonts w:hint="eastAsia" w:ascii="仿宋" w:hAnsi="仿宋" w:eastAsia="仿宋" w:cs="黑体"/>
                <w:i w:val="0"/>
                <w:color w:val="auto"/>
                <w:szCs w:val="21"/>
                <w:highlight w:val="none"/>
                <w:lang w:eastAsia="zh-CN"/>
              </w:rPr>
              <w:t>类别</w:t>
            </w:r>
          </w:p>
        </w:tc>
        <w:tc>
          <w:tcPr>
            <w:tcW w:w="1912" w:type="dxa"/>
            <w:gridSpan w:val="2"/>
            <w:vAlign w:val="center"/>
          </w:tcPr>
          <w:p>
            <w:pPr>
              <w:pStyle w:val="13"/>
              <w:spacing w:line="360" w:lineRule="exact"/>
              <w:jc w:val="center"/>
              <w:rPr>
                <w:rFonts w:ascii="仿宋" w:hAnsi="仿宋" w:eastAsia="仿宋" w:cs="黑体"/>
                <w:i w:val="0"/>
                <w:color w:val="auto"/>
                <w:szCs w:val="21"/>
                <w:highlight w:val="none"/>
              </w:rPr>
            </w:pPr>
            <w:r>
              <w:rPr>
                <w:rFonts w:hint="eastAsia" w:ascii="仿宋" w:hAnsi="仿宋" w:eastAsia="仿宋" w:cs="黑体"/>
                <w:i w:val="0"/>
                <w:color w:val="auto"/>
                <w:szCs w:val="21"/>
                <w:highlight w:val="none"/>
                <w:lang w:eastAsia="zh-CN"/>
              </w:rPr>
              <w:t>数量</w:t>
            </w:r>
          </w:p>
        </w:tc>
        <w:tc>
          <w:tcPr>
            <w:tcW w:w="1901" w:type="dxa"/>
            <w:gridSpan w:val="2"/>
            <w:vAlign w:val="center"/>
          </w:tcPr>
          <w:p>
            <w:pPr>
              <w:pStyle w:val="13"/>
              <w:spacing w:line="360" w:lineRule="exact"/>
              <w:jc w:val="center"/>
              <w:rPr>
                <w:rFonts w:hint="default" w:ascii="仿宋" w:hAnsi="仿宋" w:eastAsia="仿宋" w:cs="黑体"/>
                <w:i w:val="0"/>
                <w:color w:val="auto"/>
                <w:szCs w:val="21"/>
                <w:highlight w:val="none"/>
                <w:lang w:val="en-US" w:eastAsia="zh-CN"/>
              </w:rPr>
            </w:pPr>
            <w:r>
              <w:rPr>
                <w:rFonts w:hint="eastAsia" w:ascii="仿宋" w:hAnsi="仿宋" w:eastAsia="仿宋" w:cs="黑体"/>
                <w:i w:val="0"/>
                <w:color w:val="auto"/>
                <w:szCs w:val="21"/>
                <w:highlight w:val="none"/>
                <w:lang w:val="en-US" w:eastAsia="zh-CN"/>
              </w:rPr>
              <w:t>核定载质量/规格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0"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1</w:t>
            </w:r>
          </w:p>
        </w:tc>
        <w:tc>
          <w:tcPr>
            <w:tcW w:w="3962" w:type="dxa"/>
            <w:gridSpan w:val="3"/>
            <w:vAlign w:val="center"/>
          </w:tcPr>
          <w:p>
            <w:pPr>
              <w:pStyle w:val="13"/>
              <w:spacing w:line="280" w:lineRule="exact"/>
              <w:jc w:val="center"/>
              <w:rPr>
                <w:rFonts w:hint="default" w:ascii="仿宋" w:hAnsi="仿宋" w:eastAsia="仿宋" w:cs="仿宋_GB2312"/>
                <w:i w:val="0"/>
                <w:color w:val="auto"/>
                <w:szCs w:val="21"/>
                <w:highlight w:val="none"/>
                <w:lang w:val="en-US"/>
              </w:rPr>
            </w:pPr>
            <w:r>
              <w:rPr>
                <w:rFonts w:hint="eastAsia" w:ascii="仿宋" w:hAnsi="仿宋" w:eastAsia="仿宋" w:cs="仿宋_GB2312"/>
                <w:i w:val="0"/>
                <w:color w:val="auto"/>
                <w:szCs w:val="21"/>
                <w:highlight w:val="none"/>
                <w:lang w:val="en-US" w:eastAsia="zh-CN"/>
              </w:rPr>
              <w:t>新能源</w:t>
            </w:r>
            <w:r>
              <w:rPr>
                <w:rFonts w:hint="eastAsia" w:ascii="仿宋" w:hAnsi="仿宋" w:eastAsia="仿宋" w:cs="仿宋_GB2312"/>
                <w:i w:val="0"/>
                <w:color w:val="auto"/>
                <w:szCs w:val="21"/>
                <w:highlight w:val="none"/>
                <w:lang w:eastAsia="zh-CN"/>
              </w:rPr>
              <w:t>多功能洗扫车（</w:t>
            </w:r>
            <w:r>
              <w:rPr>
                <w:rFonts w:hint="eastAsia" w:ascii="仿宋" w:hAnsi="仿宋" w:eastAsia="仿宋" w:cs="仿宋_GB2312"/>
                <w:i w:val="0"/>
                <w:color w:val="auto"/>
                <w:szCs w:val="21"/>
                <w:highlight w:val="none"/>
                <w:lang w:val="en-US" w:eastAsia="zh-CN"/>
              </w:rPr>
              <w:t>可加装护栏清洗设备）</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15</w:t>
            </w:r>
          </w:p>
        </w:tc>
        <w:tc>
          <w:tcPr>
            <w:tcW w:w="1901" w:type="dxa"/>
            <w:gridSpan w:val="2"/>
            <w:vAlign w:val="center"/>
          </w:tcPr>
          <w:p>
            <w:pPr>
              <w:pStyle w:val="13"/>
              <w:spacing w:line="280" w:lineRule="exact"/>
              <w:jc w:val="center"/>
              <w:rPr>
                <w:rFonts w:hint="default" w:ascii="仿宋" w:hAnsi="仿宋" w:eastAsia="仿宋" w:cs="仿宋"/>
                <w:i w:val="0"/>
                <w:color w:val="auto"/>
                <w:szCs w:val="21"/>
                <w:highlight w:val="none"/>
                <w:lang w:val="en-US" w:eastAsia="zh-CN"/>
              </w:rPr>
            </w:pPr>
            <w:r>
              <w:rPr>
                <w:rFonts w:hint="eastAsia" w:ascii="仿宋" w:hAnsi="仿宋" w:eastAsia="仿宋" w:cs="仿宋_GB2312"/>
                <w:i w:val="0"/>
                <w:color w:val="auto"/>
                <w:szCs w:val="21"/>
                <w:highlight w:val="none"/>
                <w:lang w:val="en-US" w:eastAsia="zh-CN"/>
              </w:rPr>
              <w:t>10辆</w:t>
            </w:r>
            <w:r>
              <w:rPr>
                <w:rFonts w:hint="default" w:ascii="Arial" w:hAnsi="Arial" w:eastAsia="仿宋" w:cs="Arial"/>
                <w:i w:val="0"/>
                <w:color w:val="auto"/>
                <w:szCs w:val="21"/>
                <w:highlight w:val="none"/>
                <w:lang w:val="en-US" w:eastAsia="zh-CN"/>
              </w:rPr>
              <w:t>≥</w:t>
            </w:r>
            <w:r>
              <w:rPr>
                <w:rFonts w:hint="eastAsia" w:ascii="仿宋" w:hAnsi="仿宋" w:eastAsia="仿宋" w:cs="仿宋_GB2312"/>
                <w:i w:val="0"/>
                <w:color w:val="auto"/>
                <w:szCs w:val="21"/>
                <w:highlight w:val="none"/>
                <w:lang w:val="en-US" w:eastAsia="zh-CN"/>
              </w:rPr>
              <w:t>4000</w:t>
            </w:r>
            <w:r>
              <w:rPr>
                <w:rFonts w:hint="eastAsia" w:ascii="宋体" w:hAnsi="宋体" w:eastAsia="宋体" w:cs="宋体"/>
                <w:i w:val="0"/>
                <w:color w:val="auto"/>
                <w:szCs w:val="21"/>
                <w:highlight w:val="none"/>
                <w:lang w:val="en-US" w:eastAsia="zh-CN"/>
              </w:rPr>
              <w:t>㎏</w:t>
            </w:r>
            <w:r>
              <w:rPr>
                <w:rFonts w:hint="eastAsia" w:ascii="仿宋" w:hAnsi="仿宋" w:eastAsia="仿宋" w:cs="仿宋"/>
                <w:i w:val="0"/>
                <w:color w:val="auto"/>
                <w:szCs w:val="21"/>
                <w:highlight w:val="none"/>
                <w:lang w:val="en-US" w:eastAsia="zh-CN"/>
              </w:rPr>
              <w:t>；5辆</w:t>
            </w:r>
            <w:r>
              <w:rPr>
                <w:rFonts w:hint="default" w:ascii="Arial" w:hAnsi="Arial" w:eastAsia="仿宋" w:cs="Arial"/>
                <w:i w:val="0"/>
                <w:color w:val="auto"/>
                <w:szCs w:val="21"/>
                <w:highlight w:val="none"/>
                <w:lang w:val="en-US" w:eastAsia="zh-CN"/>
              </w:rPr>
              <w:t>≥</w:t>
            </w:r>
            <w:r>
              <w:rPr>
                <w:rFonts w:hint="eastAsia" w:ascii="仿宋" w:hAnsi="仿宋" w:eastAsia="仿宋" w:cs="仿宋_GB2312"/>
                <w:i w:val="0"/>
                <w:color w:val="auto"/>
                <w:szCs w:val="21"/>
                <w:highlight w:val="none"/>
                <w:lang w:val="en-US" w:eastAsia="zh-CN"/>
              </w:rPr>
              <w:t>1500</w:t>
            </w:r>
            <w:r>
              <w:rPr>
                <w:rFonts w:hint="eastAsia" w:ascii="宋体" w:hAnsi="宋体" w:eastAsia="宋体" w:cs="宋体"/>
                <w:i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0"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2</w:t>
            </w:r>
          </w:p>
        </w:tc>
        <w:tc>
          <w:tcPr>
            <w:tcW w:w="3962" w:type="dxa"/>
            <w:gridSpan w:val="3"/>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电动</w:t>
            </w:r>
            <w:r>
              <w:rPr>
                <w:rFonts w:hint="eastAsia" w:ascii="仿宋" w:hAnsi="仿宋" w:eastAsia="仿宋" w:cs="仿宋_GB2312"/>
                <w:i w:val="0"/>
                <w:color w:val="auto"/>
                <w:szCs w:val="21"/>
                <w:highlight w:val="none"/>
                <w:lang w:eastAsia="zh-CN"/>
              </w:rPr>
              <w:t>小型吸扫车</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21</w:t>
            </w:r>
          </w:p>
        </w:tc>
        <w:tc>
          <w:tcPr>
            <w:tcW w:w="1901" w:type="dxa"/>
            <w:gridSpan w:val="2"/>
            <w:vAlign w:val="center"/>
          </w:tcPr>
          <w:p>
            <w:pPr>
              <w:pStyle w:val="13"/>
              <w:spacing w:line="280" w:lineRule="exact"/>
              <w:jc w:val="center"/>
              <w:rPr>
                <w:rFonts w:hint="eastAsia" w:ascii="仿宋" w:hAnsi="仿宋" w:eastAsia="仿宋" w:cs="仿宋_GB2312"/>
                <w:i w:val="0"/>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0"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3</w:t>
            </w:r>
          </w:p>
        </w:tc>
        <w:tc>
          <w:tcPr>
            <w:tcW w:w="3962" w:type="dxa"/>
            <w:gridSpan w:val="3"/>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新能源</w:t>
            </w:r>
            <w:r>
              <w:rPr>
                <w:rFonts w:hint="eastAsia" w:ascii="仿宋" w:hAnsi="仿宋" w:eastAsia="仿宋" w:cs="仿宋_GB2312"/>
                <w:i w:val="0"/>
                <w:color w:val="auto"/>
                <w:szCs w:val="21"/>
                <w:highlight w:val="none"/>
                <w:lang w:eastAsia="zh-CN"/>
              </w:rPr>
              <w:t>洒水车</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16</w:t>
            </w:r>
          </w:p>
        </w:tc>
        <w:tc>
          <w:tcPr>
            <w:tcW w:w="1901" w:type="dxa"/>
            <w:gridSpan w:val="2"/>
            <w:vAlign w:val="center"/>
          </w:tcPr>
          <w:p>
            <w:pPr>
              <w:pStyle w:val="13"/>
              <w:spacing w:line="280" w:lineRule="exact"/>
              <w:jc w:val="center"/>
              <w:rPr>
                <w:rFonts w:hint="eastAsia" w:ascii="仿宋" w:hAnsi="仿宋" w:eastAsia="仿宋" w:cs="仿宋_GB2312"/>
                <w:i w:val="0"/>
                <w:color w:val="auto"/>
                <w:szCs w:val="21"/>
                <w:highlight w:val="none"/>
                <w:lang w:eastAsia="zh-CN"/>
              </w:rPr>
            </w:pPr>
            <w:r>
              <w:rPr>
                <w:rFonts w:hint="eastAsia" w:ascii="仿宋" w:hAnsi="仿宋" w:eastAsia="仿宋" w:cs="仿宋_GB2312"/>
                <w:i w:val="0"/>
                <w:color w:val="auto"/>
                <w:szCs w:val="21"/>
                <w:highlight w:val="none"/>
                <w:lang w:val="en-US" w:eastAsia="zh-CN"/>
              </w:rPr>
              <w:t>8辆</w:t>
            </w:r>
            <w:r>
              <w:rPr>
                <w:rFonts w:hint="default" w:ascii="Arial" w:hAnsi="Arial" w:eastAsia="仿宋" w:cs="Arial"/>
                <w:i w:val="0"/>
                <w:color w:val="auto"/>
                <w:szCs w:val="21"/>
                <w:highlight w:val="none"/>
                <w:lang w:val="en-US" w:eastAsia="zh-CN"/>
              </w:rPr>
              <w:t>≥</w:t>
            </w:r>
            <w:r>
              <w:rPr>
                <w:rFonts w:hint="eastAsia" w:ascii="仿宋" w:hAnsi="仿宋" w:eastAsia="仿宋" w:cs="仿宋_GB2312"/>
                <w:i w:val="0"/>
                <w:color w:val="auto"/>
                <w:szCs w:val="21"/>
                <w:highlight w:val="none"/>
                <w:lang w:val="en-US" w:eastAsia="zh-CN"/>
              </w:rPr>
              <w:t>12000</w:t>
            </w:r>
            <w:r>
              <w:rPr>
                <w:rFonts w:hint="eastAsia" w:ascii="宋体" w:hAnsi="宋体" w:eastAsia="宋体" w:cs="宋体"/>
                <w:i w:val="0"/>
                <w:color w:val="auto"/>
                <w:szCs w:val="21"/>
                <w:highlight w:val="none"/>
                <w:lang w:val="en-US" w:eastAsia="zh-CN"/>
              </w:rPr>
              <w:t>㎏</w:t>
            </w:r>
            <w:r>
              <w:rPr>
                <w:rFonts w:hint="eastAsia" w:ascii="仿宋" w:hAnsi="仿宋" w:eastAsia="仿宋" w:cs="仿宋"/>
                <w:i w:val="0"/>
                <w:color w:val="auto"/>
                <w:szCs w:val="21"/>
                <w:highlight w:val="none"/>
                <w:lang w:val="en-US" w:eastAsia="zh-CN"/>
              </w:rPr>
              <w:t>；8辆</w:t>
            </w:r>
            <w:r>
              <w:rPr>
                <w:rFonts w:hint="default" w:ascii="Arial" w:hAnsi="Arial" w:eastAsia="仿宋" w:cs="Arial"/>
                <w:i w:val="0"/>
                <w:color w:val="auto"/>
                <w:szCs w:val="21"/>
                <w:highlight w:val="none"/>
                <w:lang w:val="en-US" w:eastAsia="zh-CN"/>
              </w:rPr>
              <w:t>≥</w:t>
            </w:r>
            <w:r>
              <w:rPr>
                <w:rFonts w:hint="eastAsia" w:ascii="仿宋" w:hAnsi="仿宋" w:eastAsia="仿宋" w:cs="仿宋_GB2312"/>
                <w:i w:val="0"/>
                <w:color w:val="auto"/>
                <w:szCs w:val="21"/>
                <w:highlight w:val="none"/>
                <w:lang w:val="en-US" w:eastAsia="zh-CN"/>
              </w:rPr>
              <w:t>7000</w:t>
            </w:r>
            <w:r>
              <w:rPr>
                <w:rFonts w:hint="eastAsia" w:ascii="宋体" w:hAnsi="宋体" w:eastAsia="宋体" w:cs="宋体"/>
                <w:i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0"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4</w:t>
            </w:r>
          </w:p>
        </w:tc>
        <w:tc>
          <w:tcPr>
            <w:tcW w:w="3962" w:type="dxa"/>
            <w:gridSpan w:val="3"/>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新能源</w:t>
            </w:r>
            <w:r>
              <w:rPr>
                <w:rFonts w:hint="eastAsia" w:ascii="仿宋" w:hAnsi="仿宋" w:eastAsia="仿宋" w:cs="仿宋_GB2312"/>
                <w:i w:val="0"/>
                <w:color w:val="auto"/>
                <w:szCs w:val="21"/>
                <w:highlight w:val="none"/>
                <w:lang w:eastAsia="zh-CN"/>
              </w:rPr>
              <w:t>多功能抑尘车</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4</w:t>
            </w:r>
          </w:p>
        </w:tc>
        <w:tc>
          <w:tcPr>
            <w:tcW w:w="1901" w:type="dxa"/>
            <w:gridSpan w:val="2"/>
            <w:vAlign w:val="center"/>
          </w:tcPr>
          <w:p>
            <w:pPr>
              <w:pStyle w:val="13"/>
              <w:spacing w:line="280" w:lineRule="exact"/>
              <w:jc w:val="center"/>
              <w:rPr>
                <w:rFonts w:hint="default" w:ascii="仿宋" w:hAnsi="仿宋" w:eastAsia="仿宋" w:cs="仿宋_GB2312"/>
                <w:i w:val="0"/>
                <w:color w:val="auto"/>
                <w:szCs w:val="21"/>
                <w:highlight w:val="none"/>
                <w:lang w:val="en-US" w:eastAsia="zh-CN"/>
              </w:rPr>
            </w:pPr>
            <w:r>
              <w:rPr>
                <w:rFonts w:hint="default" w:ascii="Arial" w:hAnsi="Arial" w:eastAsia="仿宋" w:cs="Arial"/>
                <w:i w:val="0"/>
                <w:color w:val="auto"/>
                <w:szCs w:val="21"/>
                <w:highlight w:val="none"/>
                <w:lang w:val="en-US" w:eastAsia="zh-CN"/>
              </w:rPr>
              <w:t>≥</w:t>
            </w:r>
            <w:r>
              <w:rPr>
                <w:rFonts w:hint="eastAsia" w:ascii="仿宋" w:hAnsi="仿宋" w:eastAsia="仿宋" w:cs="仿宋_GB2312"/>
                <w:i w:val="0"/>
                <w:color w:val="auto"/>
                <w:szCs w:val="21"/>
                <w:highlight w:val="none"/>
                <w:lang w:val="en-US" w:eastAsia="zh-CN"/>
              </w:rPr>
              <w:t>9000</w:t>
            </w:r>
            <w:r>
              <w:rPr>
                <w:rFonts w:hint="eastAsia" w:ascii="宋体" w:hAnsi="宋体" w:eastAsia="宋体" w:cs="宋体"/>
                <w:i w:val="0"/>
                <w:color w:val="auto"/>
                <w:szCs w:val="21"/>
                <w:highlight w:val="none"/>
                <w:lang w:val="en-US" w:eastAsia="zh-CN"/>
              </w:rPr>
              <w:t>㎏</w:t>
            </w:r>
            <w:r>
              <w:rPr>
                <w:rFonts w:hint="eastAsia" w:ascii="宋体" w:hAnsi="宋体" w:cs="宋体"/>
                <w:i w:val="0"/>
                <w:color w:val="auto"/>
                <w:szCs w:val="21"/>
                <w:highlight w:val="none"/>
                <w:lang w:val="en-US" w:eastAsia="zh-CN"/>
              </w:rPr>
              <w:t>，射程</w:t>
            </w:r>
            <w:r>
              <w:rPr>
                <w:rFonts w:hint="default" w:ascii="Arial" w:hAnsi="Arial" w:eastAsia="仿宋" w:cs="Arial"/>
                <w:i w:val="0"/>
                <w:color w:val="auto"/>
                <w:szCs w:val="21"/>
                <w:highlight w:val="none"/>
                <w:lang w:val="en-US" w:eastAsia="zh-CN"/>
              </w:rPr>
              <w:t>≥</w:t>
            </w:r>
            <w:r>
              <w:rPr>
                <w:rFonts w:hint="eastAsia" w:ascii="仿宋" w:hAnsi="仿宋" w:eastAsia="仿宋" w:cs="仿宋"/>
                <w:i w:val="0"/>
                <w:color w:val="auto"/>
                <w:szCs w:val="21"/>
                <w:highlight w:val="none"/>
                <w:lang w:val="en-US" w:eastAsia="zh-CN"/>
              </w:rPr>
              <w:t>80m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0"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5</w:t>
            </w:r>
          </w:p>
        </w:tc>
        <w:tc>
          <w:tcPr>
            <w:tcW w:w="3962" w:type="dxa"/>
            <w:gridSpan w:val="3"/>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新能源</w:t>
            </w:r>
            <w:r>
              <w:rPr>
                <w:rFonts w:hint="eastAsia" w:ascii="仿宋" w:hAnsi="仿宋" w:eastAsia="仿宋" w:cs="仿宋_GB2312"/>
                <w:i w:val="0"/>
                <w:color w:val="auto"/>
                <w:szCs w:val="21"/>
                <w:highlight w:val="none"/>
                <w:lang w:eastAsia="zh-CN"/>
              </w:rPr>
              <w:t>道路养护车</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18</w:t>
            </w:r>
          </w:p>
        </w:tc>
        <w:tc>
          <w:tcPr>
            <w:tcW w:w="1901" w:type="dxa"/>
            <w:gridSpan w:val="2"/>
            <w:vAlign w:val="center"/>
          </w:tcPr>
          <w:p>
            <w:pPr>
              <w:pStyle w:val="13"/>
              <w:spacing w:line="280" w:lineRule="exact"/>
              <w:jc w:val="center"/>
              <w:rPr>
                <w:rFonts w:hint="eastAsia" w:ascii="仿宋" w:hAnsi="仿宋" w:eastAsia="仿宋" w:cs="仿宋_GB2312"/>
                <w:i w:val="0"/>
                <w:color w:val="auto"/>
                <w:szCs w:val="21"/>
                <w:highlight w:val="none"/>
                <w:lang w:eastAsia="zh-CN"/>
              </w:rPr>
            </w:pPr>
            <w:r>
              <w:rPr>
                <w:rFonts w:hint="default" w:ascii="Arial" w:hAnsi="Arial" w:eastAsia="仿宋" w:cs="Arial"/>
                <w:i w:val="0"/>
                <w:color w:val="auto"/>
                <w:szCs w:val="21"/>
                <w:highlight w:val="none"/>
                <w:lang w:val="en-US" w:eastAsia="zh-CN"/>
              </w:rPr>
              <w:t>≥</w:t>
            </w:r>
            <w:r>
              <w:rPr>
                <w:rFonts w:hint="eastAsia" w:ascii="仿宋" w:hAnsi="仿宋" w:eastAsia="仿宋" w:cs="仿宋_GB2312"/>
                <w:i w:val="0"/>
                <w:color w:val="auto"/>
                <w:szCs w:val="21"/>
                <w:highlight w:val="none"/>
                <w:lang w:val="en-US" w:eastAsia="zh-CN"/>
              </w:rPr>
              <w:t>1400</w:t>
            </w:r>
            <w:r>
              <w:rPr>
                <w:rFonts w:hint="eastAsia" w:ascii="宋体" w:hAnsi="宋体" w:eastAsia="宋体" w:cs="宋体"/>
                <w:i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0"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6</w:t>
            </w:r>
          </w:p>
        </w:tc>
        <w:tc>
          <w:tcPr>
            <w:tcW w:w="3962" w:type="dxa"/>
            <w:gridSpan w:val="3"/>
            <w:vAlign w:val="center"/>
          </w:tcPr>
          <w:p>
            <w:pPr>
              <w:pStyle w:val="13"/>
              <w:spacing w:line="280" w:lineRule="exact"/>
              <w:jc w:val="center"/>
              <w:rPr>
                <w:rFonts w:ascii="仿宋" w:hAnsi="仿宋" w:eastAsia="仿宋" w:cs="仿宋_GB2312"/>
                <w:i w:val="0"/>
                <w:color w:val="auto"/>
                <w:szCs w:val="21"/>
                <w:highlight w:val="none"/>
                <w:lang w:eastAsia="zh-CN"/>
              </w:rPr>
            </w:pPr>
            <w:r>
              <w:rPr>
                <w:rFonts w:hint="eastAsia" w:ascii="仿宋" w:hAnsi="仿宋" w:eastAsia="仿宋" w:cs="仿宋_GB2312"/>
                <w:i w:val="0"/>
                <w:color w:val="auto"/>
                <w:szCs w:val="21"/>
                <w:highlight w:val="none"/>
                <w:lang w:val="en-US" w:eastAsia="zh-CN"/>
              </w:rPr>
              <w:t>电动</w:t>
            </w:r>
            <w:r>
              <w:rPr>
                <w:rFonts w:hint="eastAsia" w:ascii="仿宋" w:hAnsi="仿宋" w:eastAsia="仿宋" w:cs="仿宋_GB2312"/>
                <w:i w:val="0"/>
                <w:color w:val="auto"/>
                <w:szCs w:val="21"/>
                <w:highlight w:val="none"/>
                <w:lang w:eastAsia="zh-CN"/>
              </w:rPr>
              <w:t>快速保洁车</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lang w:eastAsia="zh-CN"/>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230</w:t>
            </w:r>
          </w:p>
        </w:tc>
        <w:tc>
          <w:tcPr>
            <w:tcW w:w="1901" w:type="dxa"/>
            <w:gridSpan w:val="2"/>
            <w:vAlign w:val="center"/>
          </w:tcPr>
          <w:p>
            <w:pPr>
              <w:pStyle w:val="13"/>
              <w:spacing w:line="280" w:lineRule="exact"/>
              <w:jc w:val="center"/>
              <w:rPr>
                <w:rFonts w:hint="default" w:ascii="仿宋" w:hAnsi="仿宋" w:eastAsia="仿宋" w:cs="仿宋_GB2312"/>
                <w:i w:val="0"/>
                <w:color w:val="auto"/>
                <w:szCs w:val="21"/>
                <w:highlight w:val="none"/>
                <w:lang w:val="en-US" w:eastAsia="zh-CN"/>
              </w:rPr>
            </w:pPr>
            <w:r>
              <w:rPr>
                <w:rFonts w:hint="eastAsia" w:ascii="仿宋" w:hAnsi="仿宋" w:eastAsia="仿宋" w:cs="仿宋_GB2312"/>
                <w:i w:val="0"/>
                <w:color w:val="auto"/>
                <w:szCs w:val="21"/>
                <w:highlight w:val="none"/>
                <w:lang w:eastAsia="zh-CN"/>
              </w:rPr>
              <w:t>电动集装厢式三分类车</w:t>
            </w:r>
            <w:r>
              <w:rPr>
                <w:rFonts w:hint="eastAsia" w:ascii="仿宋" w:hAnsi="仿宋" w:eastAsia="仿宋" w:cs="仿宋_GB2312"/>
                <w:i w:val="0"/>
                <w:color w:val="auto"/>
                <w:szCs w:val="21"/>
                <w:highlight w:val="none"/>
                <w:lang w:val="en-US" w:eastAsia="zh-CN"/>
              </w:rPr>
              <w:t>数量不低于30%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0"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7</w:t>
            </w:r>
          </w:p>
        </w:tc>
        <w:tc>
          <w:tcPr>
            <w:tcW w:w="3962" w:type="dxa"/>
            <w:gridSpan w:val="3"/>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电动</w:t>
            </w:r>
            <w:r>
              <w:rPr>
                <w:rFonts w:hint="eastAsia" w:ascii="仿宋" w:hAnsi="仿宋" w:eastAsia="仿宋" w:cs="仿宋_GB2312"/>
                <w:i w:val="0"/>
                <w:color w:val="auto"/>
                <w:szCs w:val="21"/>
                <w:highlight w:val="none"/>
                <w:lang w:eastAsia="zh-CN"/>
              </w:rPr>
              <w:t>小型高压清洗车</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40</w:t>
            </w:r>
          </w:p>
        </w:tc>
        <w:tc>
          <w:tcPr>
            <w:tcW w:w="1901" w:type="dxa"/>
            <w:gridSpan w:val="2"/>
            <w:vAlign w:val="center"/>
          </w:tcPr>
          <w:p>
            <w:pPr>
              <w:pStyle w:val="13"/>
              <w:spacing w:line="280" w:lineRule="exact"/>
              <w:jc w:val="center"/>
              <w:rPr>
                <w:rFonts w:hint="eastAsia" w:ascii="仿宋" w:hAnsi="仿宋" w:eastAsia="仿宋" w:cs="仿宋_GB2312"/>
                <w:i w:val="0"/>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95" w:hRule="atLeast"/>
        </w:trPr>
        <w:tc>
          <w:tcPr>
            <w:tcW w:w="690" w:type="dxa"/>
            <w:vMerge w:val="restart"/>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8</w:t>
            </w:r>
          </w:p>
        </w:tc>
        <w:tc>
          <w:tcPr>
            <w:tcW w:w="1558" w:type="dxa"/>
            <w:vMerge w:val="restart"/>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电动四轮收运车</w:t>
            </w:r>
          </w:p>
        </w:tc>
        <w:tc>
          <w:tcPr>
            <w:tcW w:w="2403"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其他垃圾收运车</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55</w:t>
            </w:r>
          </w:p>
        </w:tc>
        <w:tc>
          <w:tcPr>
            <w:tcW w:w="1901" w:type="dxa"/>
            <w:gridSpan w:val="2"/>
            <w:vAlign w:val="center"/>
          </w:tcPr>
          <w:p>
            <w:pPr>
              <w:pStyle w:val="13"/>
              <w:spacing w:line="280" w:lineRule="exact"/>
              <w:jc w:val="center"/>
              <w:rPr>
                <w:rFonts w:hint="eastAsia" w:ascii="仿宋" w:hAnsi="仿宋" w:eastAsia="仿宋" w:cs="仿宋_GB2312"/>
                <w:i w:val="0"/>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8" w:hRule="atLeast"/>
        </w:trPr>
        <w:tc>
          <w:tcPr>
            <w:tcW w:w="690" w:type="dxa"/>
            <w:vMerge w:val="continue"/>
            <w:vAlign w:val="center"/>
          </w:tcPr>
          <w:p>
            <w:pPr>
              <w:pStyle w:val="13"/>
              <w:spacing w:line="280" w:lineRule="exact"/>
              <w:jc w:val="center"/>
              <w:rPr>
                <w:rFonts w:ascii="仿宋" w:hAnsi="仿宋" w:eastAsia="仿宋" w:cs="仿宋_GB2312"/>
                <w:i w:val="0"/>
                <w:color w:val="auto"/>
                <w:szCs w:val="21"/>
                <w:highlight w:val="none"/>
              </w:rPr>
            </w:pPr>
          </w:p>
        </w:tc>
        <w:tc>
          <w:tcPr>
            <w:tcW w:w="1558" w:type="dxa"/>
            <w:vMerge w:val="continue"/>
            <w:vAlign w:val="center"/>
          </w:tcPr>
          <w:p>
            <w:pPr>
              <w:pStyle w:val="13"/>
              <w:spacing w:line="280" w:lineRule="exact"/>
              <w:jc w:val="center"/>
              <w:rPr>
                <w:rFonts w:ascii="仿宋" w:hAnsi="仿宋" w:eastAsia="仿宋" w:cs="仿宋_GB2312"/>
                <w:i w:val="0"/>
                <w:color w:val="auto"/>
                <w:szCs w:val="21"/>
                <w:highlight w:val="none"/>
              </w:rPr>
            </w:pPr>
          </w:p>
        </w:tc>
        <w:tc>
          <w:tcPr>
            <w:tcW w:w="2403" w:type="dxa"/>
            <w:vAlign w:val="center"/>
          </w:tcPr>
          <w:p>
            <w:pPr>
              <w:pStyle w:val="13"/>
              <w:spacing w:line="280" w:lineRule="exact"/>
              <w:jc w:val="center"/>
              <w:rPr>
                <w:rFonts w:ascii="仿宋" w:hAnsi="仿宋" w:eastAsia="仿宋" w:cs="仿宋_GB2312"/>
                <w:i w:val="0"/>
                <w:color w:val="auto"/>
                <w:szCs w:val="21"/>
                <w:highlight w:val="none"/>
                <w:lang w:eastAsia="zh-CN"/>
              </w:rPr>
            </w:pPr>
            <w:r>
              <w:rPr>
                <w:rFonts w:hint="eastAsia" w:ascii="仿宋" w:hAnsi="仿宋" w:eastAsia="仿宋" w:cs="仿宋_GB2312"/>
                <w:i w:val="0"/>
                <w:color w:val="auto"/>
                <w:szCs w:val="21"/>
                <w:highlight w:val="none"/>
                <w:lang w:eastAsia="zh-CN"/>
              </w:rPr>
              <w:t>密闭式厨余垃圾收运车</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36</w:t>
            </w:r>
          </w:p>
        </w:tc>
        <w:tc>
          <w:tcPr>
            <w:tcW w:w="1901" w:type="dxa"/>
            <w:gridSpan w:val="2"/>
            <w:vAlign w:val="center"/>
          </w:tcPr>
          <w:p>
            <w:pPr>
              <w:pStyle w:val="13"/>
              <w:spacing w:line="280" w:lineRule="exact"/>
              <w:jc w:val="center"/>
              <w:rPr>
                <w:rFonts w:hint="eastAsia" w:ascii="仿宋" w:hAnsi="仿宋" w:eastAsia="仿宋" w:cs="仿宋_GB2312"/>
                <w:i w:val="0"/>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95" w:hRule="atLeast"/>
        </w:trPr>
        <w:tc>
          <w:tcPr>
            <w:tcW w:w="690" w:type="dxa"/>
            <w:vMerge w:val="continue"/>
            <w:vAlign w:val="center"/>
          </w:tcPr>
          <w:p>
            <w:pPr>
              <w:pStyle w:val="13"/>
              <w:spacing w:line="280" w:lineRule="exact"/>
              <w:jc w:val="center"/>
              <w:rPr>
                <w:rFonts w:ascii="仿宋" w:hAnsi="仿宋" w:eastAsia="仿宋" w:cs="仿宋_GB2312"/>
                <w:i w:val="0"/>
                <w:color w:val="auto"/>
                <w:szCs w:val="21"/>
                <w:highlight w:val="none"/>
              </w:rPr>
            </w:pPr>
          </w:p>
        </w:tc>
        <w:tc>
          <w:tcPr>
            <w:tcW w:w="1558" w:type="dxa"/>
            <w:vMerge w:val="continue"/>
            <w:vAlign w:val="center"/>
          </w:tcPr>
          <w:p>
            <w:pPr>
              <w:pStyle w:val="13"/>
              <w:spacing w:line="280" w:lineRule="exact"/>
              <w:jc w:val="center"/>
              <w:rPr>
                <w:rFonts w:ascii="仿宋" w:hAnsi="仿宋" w:eastAsia="仿宋" w:cs="仿宋_GB2312"/>
                <w:i w:val="0"/>
                <w:color w:val="auto"/>
                <w:szCs w:val="21"/>
                <w:highlight w:val="none"/>
              </w:rPr>
            </w:pPr>
          </w:p>
        </w:tc>
        <w:tc>
          <w:tcPr>
            <w:tcW w:w="2403"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板式厨余垃圾收运车</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4</w:t>
            </w:r>
          </w:p>
        </w:tc>
        <w:tc>
          <w:tcPr>
            <w:tcW w:w="1901" w:type="dxa"/>
            <w:gridSpan w:val="2"/>
            <w:vAlign w:val="center"/>
          </w:tcPr>
          <w:p>
            <w:pPr>
              <w:pStyle w:val="13"/>
              <w:spacing w:line="280" w:lineRule="exact"/>
              <w:jc w:val="center"/>
              <w:rPr>
                <w:rFonts w:hint="eastAsia" w:ascii="仿宋" w:hAnsi="仿宋" w:eastAsia="仿宋" w:cs="仿宋_GB2312"/>
                <w:i w:val="0"/>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95" w:hRule="atLeast"/>
        </w:trPr>
        <w:tc>
          <w:tcPr>
            <w:tcW w:w="690" w:type="dxa"/>
            <w:vMerge w:val="continue"/>
            <w:vAlign w:val="center"/>
          </w:tcPr>
          <w:p>
            <w:pPr>
              <w:pStyle w:val="13"/>
              <w:spacing w:line="280" w:lineRule="exact"/>
              <w:jc w:val="center"/>
              <w:rPr>
                <w:rFonts w:ascii="仿宋" w:hAnsi="仿宋" w:eastAsia="仿宋" w:cs="仿宋_GB2312"/>
                <w:i w:val="0"/>
                <w:color w:val="auto"/>
                <w:szCs w:val="21"/>
                <w:highlight w:val="none"/>
              </w:rPr>
            </w:pPr>
          </w:p>
        </w:tc>
        <w:tc>
          <w:tcPr>
            <w:tcW w:w="1558" w:type="dxa"/>
            <w:vMerge w:val="continue"/>
            <w:vAlign w:val="center"/>
          </w:tcPr>
          <w:p>
            <w:pPr>
              <w:pStyle w:val="13"/>
              <w:spacing w:line="280" w:lineRule="exact"/>
              <w:jc w:val="center"/>
              <w:rPr>
                <w:rFonts w:ascii="仿宋" w:hAnsi="仿宋" w:eastAsia="仿宋" w:cs="仿宋_GB2312"/>
                <w:i w:val="0"/>
                <w:color w:val="auto"/>
                <w:szCs w:val="21"/>
                <w:highlight w:val="none"/>
              </w:rPr>
            </w:pPr>
          </w:p>
        </w:tc>
        <w:tc>
          <w:tcPr>
            <w:tcW w:w="2403"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有害垃圾收运车</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2</w:t>
            </w:r>
          </w:p>
        </w:tc>
        <w:tc>
          <w:tcPr>
            <w:tcW w:w="1901" w:type="dxa"/>
            <w:gridSpan w:val="2"/>
            <w:vAlign w:val="center"/>
          </w:tcPr>
          <w:p>
            <w:pPr>
              <w:pStyle w:val="13"/>
              <w:spacing w:line="280" w:lineRule="exact"/>
              <w:jc w:val="center"/>
              <w:rPr>
                <w:rFonts w:hint="eastAsia" w:ascii="仿宋" w:hAnsi="仿宋" w:eastAsia="仿宋" w:cs="仿宋_GB2312"/>
                <w:i w:val="0"/>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95" w:hRule="atLeast"/>
        </w:trPr>
        <w:tc>
          <w:tcPr>
            <w:tcW w:w="690"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9</w:t>
            </w:r>
          </w:p>
        </w:tc>
        <w:tc>
          <w:tcPr>
            <w:tcW w:w="3961"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新能源</w:t>
            </w:r>
            <w:r>
              <w:rPr>
                <w:rFonts w:hint="eastAsia" w:ascii="仿宋" w:hAnsi="仿宋" w:eastAsia="仿宋" w:cs="仿宋_GB2312"/>
                <w:i w:val="0"/>
                <w:color w:val="auto"/>
                <w:szCs w:val="21"/>
                <w:highlight w:val="none"/>
                <w:lang w:eastAsia="zh-CN"/>
              </w:rPr>
              <w:t>垃圾压缩车</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≥1</w:t>
            </w:r>
            <w:r>
              <w:rPr>
                <w:rFonts w:hint="eastAsia" w:ascii="仿宋" w:hAnsi="仿宋" w:eastAsia="仿宋" w:cs="仿宋_GB2312"/>
                <w:i w:val="0"/>
                <w:color w:val="auto"/>
                <w:szCs w:val="21"/>
                <w:highlight w:val="none"/>
                <w:lang w:eastAsia="zh-CN"/>
              </w:rPr>
              <w:t>4</w:t>
            </w:r>
          </w:p>
        </w:tc>
        <w:tc>
          <w:tcPr>
            <w:tcW w:w="1901" w:type="dxa"/>
            <w:gridSpan w:val="2"/>
            <w:vAlign w:val="center"/>
          </w:tcPr>
          <w:p>
            <w:pPr>
              <w:pStyle w:val="13"/>
              <w:spacing w:line="280" w:lineRule="exact"/>
              <w:jc w:val="center"/>
              <w:rPr>
                <w:rFonts w:hint="eastAsia" w:ascii="仿宋" w:hAnsi="仿宋" w:eastAsia="仿宋" w:cs="仿宋_GB2312"/>
                <w:i w:val="0"/>
                <w:color w:val="auto"/>
                <w:szCs w:val="21"/>
                <w:highlight w:val="none"/>
                <w:lang w:eastAsia="zh-CN"/>
              </w:rPr>
            </w:pPr>
            <w:r>
              <w:rPr>
                <w:rFonts w:hint="eastAsia" w:ascii="仿宋" w:hAnsi="仿宋" w:eastAsia="仿宋" w:cs="仿宋_GB2312"/>
                <w:i w:val="0"/>
                <w:color w:val="auto"/>
                <w:szCs w:val="21"/>
                <w:highlight w:val="none"/>
                <w:lang w:val="en-US" w:eastAsia="zh-CN"/>
              </w:rPr>
              <w:t>4辆</w:t>
            </w:r>
            <w:r>
              <w:rPr>
                <w:rFonts w:hint="default" w:ascii="Arial" w:hAnsi="Arial" w:eastAsia="仿宋" w:cs="Arial"/>
                <w:i w:val="0"/>
                <w:color w:val="auto"/>
                <w:szCs w:val="21"/>
                <w:highlight w:val="none"/>
                <w:lang w:val="en-US" w:eastAsia="zh-CN"/>
              </w:rPr>
              <w:t>≥</w:t>
            </w:r>
            <w:r>
              <w:rPr>
                <w:rFonts w:hint="eastAsia" w:ascii="仿宋" w:hAnsi="仿宋" w:eastAsia="仿宋" w:cs="仿宋_GB2312"/>
                <w:i w:val="0"/>
                <w:color w:val="auto"/>
                <w:szCs w:val="21"/>
                <w:highlight w:val="none"/>
                <w:lang w:val="en-US" w:eastAsia="zh-CN"/>
              </w:rPr>
              <w:t>10000</w:t>
            </w:r>
            <w:r>
              <w:rPr>
                <w:rFonts w:hint="eastAsia" w:ascii="宋体" w:hAnsi="宋体" w:eastAsia="宋体" w:cs="宋体"/>
                <w:i w:val="0"/>
                <w:color w:val="auto"/>
                <w:szCs w:val="21"/>
                <w:highlight w:val="none"/>
                <w:lang w:val="en-US" w:eastAsia="zh-CN"/>
              </w:rPr>
              <w:t>㎏</w:t>
            </w:r>
            <w:r>
              <w:rPr>
                <w:rFonts w:hint="eastAsia" w:ascii="仿宋" w:hAnsi="仿宋" w:eastAsia="仿宋" w:cs="仿宋"/>
                <w:i w:val="0"/>
                <w:color w:val="auto"/>
                <w:szCs w:val="21"/>
                <w:highlight w:val="none"/>
                <w:lang w:val="en-US" w:eastAsia="zh-CN"/>
              </w:rPr>
              <w:t>；10辆</w:t>
            </w:r>
            <w:r>
              <w:rPr>
                <w:rFonts w:hint="default" w:ascii="Arial" w:hAnsi="Arial" w:eastAsia="仿宋" w:cs="Arial"/>
                <w:i w:val="0"/>
                <w:color w:val="auto"/>
                <w:szCs w:val="21"/>
                <w:highlight w:val="none"/>
                <w:lang w:val="en-US" w:eastAsia="zh-CN"/>
              </w:rPr>
              <w:t>≥</w:t>
            </w:r>
            <w:r>
              <w:rPr>
                <w:rFonts w:hint="eastAsia" w:ascii="仿宋" w:hAnsi="仿宋" w:eastAsia="仿宋" w:cs="仿宋_GB2312"/>
                <w:i w:val="0"/>
                <w:color w:val="auto"/>
                <w:szCs w:val="21"/>
                <w:highlight w:val="none"/>
                <w:lang w:val="en-US" w:eastAsia="zh-CN"/>
              </w:rPr>
              <w:t>5000</w:t>
            </w:r>
            <w:r>
              <w:rPr>
                <w:rFonts w:hint="eastAsia" w:ascii="宋体" w:hAnsi="宋体" w:eastAsia="宋体" w:cs="宋体"/>
                <w:i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0"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10</w:t>
            </w:r>
          </w:p>
        </w:tc>
        <w:tc>
          <w:tcPr>
            <w:tcW w:w="3962" w:type="dxa"/>
            <w:gridSpan w:val="3"/>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新能源护</w:t>
            </w:r>
            <w:r>
              <w:rPr>
                <w:rFonts w:hint="eastAsia" w:ascii="仿宋" w:hAnsi="仿宋" w:eastAsia="仿宋" w:cs="仿宋_GB2312"/>
                <w:i w:val="0"/>
                <w:color w:val="auto"/>
                <w:szCs w:val="21"/>
                <w:highlight w:val="none"/>
                <w:lang w:eastAsia="zh-CN"/>
              </w:rPr>
              <w:t>栏清洗车</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4</w:t>
            </w:r>
          </w:p>
        </w:tc>
        <w:tc>
          <w:tcPr>
            <w:tcW w:w="1901" w:type="dxa"/>
            <w:gridSpan w:val="2"/>
            <w:vAlign w:val="center"/>
          </w:tcPr>
          <w:p>
            <w:pPr>
              <w:pStyle w:val="13"/>
              <w:spacing w:line="280" w:lineRule="exact"/>
              <w:jc w:val="center"/>
              <w:rPr>
                <w:rFonts w:hint="eastAsia" w:ascii="仿宋" w:hAnsi="仿宋" w:eastAsia="仿宋" w:cs="仿宋_GB2312"/>
                <w:i w:val="0"/>
                <w:color w:val="auto"/>
                <w:szCs w:val="21"/>
                <w:highlight w:val="none"/>
                <w:lang w:eastAsia="zh-CN"/>
              </w:rPr>
            </w:pPr>
            <w:r>
              <w:rPr>
                <w:rFonts w:hint="default" w:ascii="Arial" w:hAnsi="Arial" w:eastAsia="仿宋" w:cs="Arial"/>
                <w:i w:val="0"/>
                <w:color w:val="auto"/>
                <w:szCs w:val="21"/>
                <w:highlight w:val="none"/>
                <w:lang w:val="en-US" w:eastAsia="zh-CN"/>
              </w:rPr>
              <w:t>≥</w:t>
            </w:r>
            <w:r>
              <w:rPr>
                <w:rFonts w:hint="eastAsia" w:ascii="仿宋" w:hAnsi="仿宋" w:eastAsia="仿宋" w:cs="仿宋_GB2312"/>
                <w:i w:val="0"/>
                <w:color w:val="auto"/>
                <w:szCs w:val="21"/>
                <w:highlight w:val="none"/>
                <w:lang w:val="en-US" w:eastAsia="zh-CN"/>
              </w:rPr>
              <w:t>1900</w:t>
            </w:r>
            <w:r>
              <w:rPr>
                <w:rFonts w:hint="eastAsia" w:ascii="宋体" w:hAnsi="宋体" w:eastAsia="宋体" w:cs="宋体"/>
                <w:i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0"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11</w:t>
            </w:r>
          </w:p>
        </w:tc>
        <w:tc>
          <w:tcPr>
            <w:tcW w:w="3962" w:type="dxa"/>
            <w:gridSpan w:val="3"/>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吸污车</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1</w:t>
            </w:r>
          </w:p>
        </w:tc>
        <w:tc>
          <w:tcPr>
            <w:tcW w:w="1901" w:type="dxa"/>
            <w:gridSpan w:val="2"/>
            <w:vAlign w:val="center"/>
          </w:tcPr>
          <w:p>
            <w:pPr>
              <w:pStyle w:val="13"/>
              <w:spacing w:line="280" w:lineRule="exact"/>
              <w:jc w:val="center"/>
              <w:rPr>
                <w:rFonts w:hint="eastAsia" w:ascii="仿宋" w:hAnsi="仿宋" w:eastAsia="仿宋" w:cs="仿宋_GB2312"/>
                <w:i w:val="0"/>
                <w:color w:val="auto"/>
                <w:szCs w:val="21"/>
                <w:highlight w:val="none"/>
                <w:lang w:eastAsia="zh-CN"/>
              </w:rPr>
            </w:pPr>
            <w:r>
              <w:rPr>
                <w:rFonts w:hint="default" w:ascii="Arial" w:hAnsi="Arial" w:eastAsia="仿宋" w:cs="Arial"/>
                <w:i w:val="0"/>
                <w:color w:val="auto"/>
                <w:szCs w:val="21"/>
                <w:highlight w:val="none"/>
                <w:lang w:val="en-US" w:eastAsia="zh-CN"/>
              </w:rPr>
              <w:t>≥</w:t>
            </w:r>
            <w:r>
              <w:rPr>
                <w:rFonts w:hint="eastAsia" w:ascii="仿宋" w:hAnsi="仿宋" w:eastAsia="仿宋" w:cs="仿宋_GB2312"/>
                <w:i w:val="0"/>
                <w:color w:val="auto"/>
                <w:szCs w:val="21"/>
                <w:highlight w:val="none"/>
                <w:lang w:val="en-US" w:eastAsia="zh-CN"/>
              </w:rPr>
              <w:t>3500</w:t>
            </w:r>
            <w:r>
              <w:rPr>
                <w:rFonts w:hint="eastAsia" w:ascii="宋体" w:hAnsi="宋体" w:eastAsia="宋体" w:cs="宋体"/>
                <w:i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0"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12</w:t>
            </w:r>
          </w:p>
        </w:tc>
        <w:tc>
          <w:tcPr>
            <w:tcW w:w="3962" w:type="dxa"/>
            <w:gridSpan w:val="3"/>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清洗吸污车</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1</w:t>
            </w:r>
          </w:p>
        </w:tc>
        <w:tc>
          <w:tcPr>
            <w:tcW w:w="1901" w:type="dxa"/>
            <w:gridSpan w:val="2"/>
            <w:vAlign w:val="center"/>
          </w:tcPr>
          <w:p>
            <w:pPr>
              <w:pStyle w:val="13"/>
              <w:spacing w:line="280" w:lineRule="exact"/>
              <w:jc w:val="center"/>
              <w:rPr>
                <w:rFonts w:hint="eastAsia" w:ascii="仿宋" w:hAnsi="仿宋" w:eastAsia="仿宋" w:cs="仿宋_GB2312"/>
                <w:i w:val="0"/>
                <w:color w:val="auto"/>
                <w:szCs w:val="21"/>
                <w:highlight w:val="none"/>
                <w:lang w:eastAsia="zh-CN"/>
              </w:rPr>
            </w:pPr>
            <w:r>
              <w:rPr>
                <w:rFonts w:hint="default" w:ascii="Arial" w:hAnsi="Arial" w:eastAsia="仿宋" w:cs="Arial"/>
                <w:i w:val="0"/>
                <w:color w:val="auto"/>
                <w:szCs w:val="21"/>
                <w:highlight w:val="none"/>
                <w:lang w:val="en-US" w:eastAsia="zh-CN"/>
              </w:rPr>
              <w:t>≥</w:t>
            </w:r>
            <w:r>
              <w:rPr>
                <w:rFonts w:hint="eastAsia" w:ascii="仿宋" w:hAnsi="仿宋" w:eastAsia="仿宋" w:cs="仿宋_GB2312"/>
                <w:i w:val="0"/>
                <w:color w:val="auto"/>
                <w:szCs w:val="21"/>
                <w:highlight w:val="none"/>
                <w:lang w:val="en-US" w:eastAsia="zh-CN"/>
              </w:rPr>
              <w:t>10000</w:t>
            </w:r>
            <w:r>
              <w:rPr>
                <w:rFonts w:hint="eastAsia" w:ascii="宋体" w:hAnsi="宋体" w:eastAsia="宋体" w:cs="宋体"/>
                <w:i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0"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13</w:t>
            </w:r>
          </w:p>
        </w:tc>
        <w:tc>
          <w:tcPr>
            <w:tcW w:w="3962" w:type="dxa"/>
            <w:gridSpan w:val="3"/>
            <w:vAlign w:val="center"/>
          </w:tcPr>
          <w:p>
            <w:pPr>
              <w:pStyle w:val="13"/>
              <w:spacing w:line="280" w:lineRule="exact"/>
              <w:jc w:val="center"/>
              <w:rPr>
                <w:rFonts w:ascii="仿宋" w:hAnsi="仿宋" w:eastAsia="仿宋" w:cs="仿宋_GB2312"/>
                <w:i w:val="0"/>
                <w:color w:val="auto"/>
                <w:szCs w:val="21"/>
                <w:highlight w:val="none"/>
                <w:lang w:eastAsia="zh-CN"/>
              </w:rPr>
            </w:pPr>
            <w:r>
              <w:rPr>
                <w:rFonts w:hint="eastAsia" w:ascii="仿宋" w:hAnsi="仿宋" w:eastAsia="仿宋" w:cs="仿宋_GB2312"/>
                <w:i w:val="0"/>
                <w:color w:val="auto"/>
                <w:szCs w:val="21"/>
                <w:highlight w:val="none"/>
                <w:lang w:eastAsia="zh-CN"/>
              </w:rPr>
              <w:t>车厢可卸式垃圾车（地埋站专用）</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3</w:t>
            </w:r>
          </w:p>
        </w:tc>
        <w:tc>
          <w:tcPr>
            <w:tcW w:w="1901" w:type="dxa"/>
            <w:gridSpan w:val="2"/>
            <w:vAlign w:val="center"/>
          </w:tcPr>
          <w:p>
            <w:pPr>
              <w:pStyle w:val="13"/>
              <w:spacing w:line="280" w:lineRule="exact"/>
              <w:jc w:val="center"/>
              <w:rPr>
                <w:rFonts w:hint="eastAsia" w:ascii="仿宋" w:hAnsi="仿宋" w:eastAsia="仿宋" w:cs="仿宋_GB2312"/>
                <w:i w:val="0"/>
                <w:color w:val="auto"/>
                <w:szCs w:val="21"/>
                <w:highlight w:val="none"/>
                <w:lang w:eastAsia="zh-CN"/>
              </w:rPr>
            </w:pPr>
            <w:r>
              <w:rPr>
                <w:rFonts w:hint="default" w:ascii="Arial" w:hAnsi="Arial" w:eastAsia="仿宋" w:cs="Arial"/>
                <w:i w:val="0"/>
                <w:color w:val="auto"/>
                <w:szCs w:val="21"/>
                <w:highlight w:val="none"/>
                <w:lang w:val="en-US" w:eastAsia="zh-CN"/>
              </w:rPr>
              <w:t>≥</w:t>
            </w:r>
            <w:r>
              <w:rPr>
                <w:rFonts w:hint="eastAsia" w:ascii="仿宋" w:hAnsi="仿宋" w:eastAsia="仿宋" w:cs="仿宋_GB2312"/>
                <w:i w:val="0"/>
                <w:color w:val="auto"/>
                <w:szCs w:val="21"/>
                <w:highlight w:val="none"/>
                <w:lang w:val="en-US" w:eastAsia="zh-CN"/>
              </w:rPr>
              <w:t>9000</w:t>
            </w:r>
            <w:r>
              <w:rPr>
                <w:rFonts w:hint="eastAsia" w:ascii="宋体" w:hAnsi="宋体" w:eastAsia="宋体" w:cs="宋体"/>
                <w:i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0"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14</w:t>
            </w:r>
          </w:p>
        </w:tc>
        <w:tc>
          <w:tcPr>
            <w:tcW w:w="3962" w:type="dxa"/>
            <w:gridSpan w:val="3"/>
            <w:vAlign w:val="center"/>
          </w:tcPr>
          <w:p>
            <w:pPr>
              <w:pStyle w:val="13"/>
              <w:spacing w:line="280" w:lineRule="exact"/>
              <w:jc w:val="center"/>
              <w:rPr>
                <w:rFonts w:ascii="仿宋" w:hAnsi="仿宋" w:eastAsia="仿宋" w:cs="仿宋_GB2312"/>
                <w:i w:val="0"/>
                <w:color w:val="auto"/>
                <w:szCs w:val="21"/>
                <w:highlight w:val="none"/>
                <w:lang w:eastAsia="zh-CN"/>
              </w:rPr>
            </w:pPr>
            <w:r>
              <w:rPr>
                <w:rFonts w:hint="eastAsia" w:ascii="仿宋" w:hAnsi="仿宋" w:eastAsia="仿宋" w:cs="仿宋_GB2312"/>
                <w:i w:val="0"/>
                <w:color w:val="auto"/>
                <w:szCs w:val="21"/>
                <w:highlight w:val="none"/>
                <w:lang w:eastAsia="zh-CN"/>
              </w:rPr>
              <w:t>智能清扫车</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2</w:t>
            </w:r>
          </w:p>
        </w:tc>
        <w:tc>
          <w:tcPr>
            <w:tcW w:w="1901" w:type="dxa"/>
            <w:gridSpan w:val="2"/>
            <w:vAlign w:val="center"/>
          </w:tcPr>
          <w:p>
            <w:pPr>
              <w:pStyle w:val="13"/>
              <w:spacing w:line="280" w:lineRule="exact"/>
              <w:jc w:val="center"/>
              <w:rPr>
                <w:rFonts w:hint="eastAsia" w:ascii="仿宋" w:hAnsi="仿宋" w:eastAsia="仿宋" w:cs="仿宋_GB2312"/>
                <w:i w:val="0"/>
                <w:color w:val="auto"/>
                <w:szCs w:val="21"/>
                <w:highlight w:val="none"/>
                <w:lang w:eastAsia="zh-CN"/>
              </w:rPr>
            </w:pPr>
            <w:r>
              <w:rPr>
                <w:rFonts w:hint="eastAsia" w:ascii="仿宋" w:hAnsi="仿宋" w:eastAsia="仿宋" w:cs="仿宋_GB2312"/>
                <w:i w:val="0"/>
                <w:color w:val="auto"/>
                <w:szCs w:val="21"/>
                <w:highlight w:val="none"/>
                <w:lang w:eastAsia="zh-CN"/>
              </w:rPr>
              <w:t>5G无人扫地车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0"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15</w:t>
            </w:r>
          </w:p>
        </w:tc>
        <w:tc>
          <w:tcPr>
            <w:tcW w:w="3962" w:type="dxa"/>
            <w:gridSpan w:val="3"/>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伸缩</w:t>
            </w:r>
            <w:r>
              <w:rPr>
                <w:rFonts w:hint="eastAsia" w:ascii="仿宋" w:hAnsi="仿宋" w:eastAsia="仿宋" w:cs="仿宋_GB2312"/>
                <w:i w:val="0"/>
                <w:color w:val="auto"/>
                <w:szCs w:val="21"/>
                <w:highlight w:val="none"/>
                <w:lang w:eastAsia="zh-CN"/>
              </w:rPr>
              <w:t>式高空作业车</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1</w:t>
            </w:r>
          </w:p>
        </w:tc>
        <w:tc>
          <w:tcPr>
            <w:tcW w:w="1901" w:type="dxa"/>
            <w:gridSpan w:val="2"/>
            <w:vAlign w:val="center"/>
          </w:tcPr>
          <w:p>
            <w:pPr>
              <w:pStyle w:val="13"/>
              <w:spacing w:line="280" w:lineRule="exact"/>
              <w:jc w:val="center"/>
              <w:rPr>
                <w:rFonts w:hint="default" w:ascii="仿宋" w:hAnsi="仿宋" w:eastAsia="仿宋" w:cs="仿宋_GB2312"/>
                <w:i w:val="0"/>
                <w:color w:val="auto"/>
                <w:szCs w:val="21"/>
                <w:highlight w:val="none"/>
                <w:lang w:val="en-US" w:eastAsia="zh-CN"/>
              </w:rPr>
            </w:pPr>
            <w:r>
              <w:rPr>
                <w:rFonts w:hint="eastAsia" w:ascii="仿宋" w:hAnsi="仿宋" w:eastAsia="仿宋" w:cs="仿宋_GB2312"/>
                <w:i w:val="0"/>
                <w:color w:val="auto"/>
                <w:szCs w:val="21"/>
                <w:highlight w:val="none"/>
                <w:lang w:val="en-US" w:eastAsia="zh-CN"/>
              </w:rPr>
              <w:t>伸缩臂</w:t>
            </w:r>
            <w:r>
              <w:rPr>
                <w:rFonts w:hint="default" w:ascii="Arial" w:hAnsi="Arial" w:eastAsia="仿宋" w:cs="Arial"/>
                <w:i w:val="0"/>
                <w:color w:val="auto"/>
                <w:szCs w:val="21"/>
                <w:highlight w:val="none"/>
                <w:lang w:val="en-US" w:eastAsia="zh-CN"/>
              </w:rPr>
              <w:t>≥</w:t>
            </w:r>
            <w:r>
              <w:rPr>
                <w:rFonts w:hint="eastAsia" w:ascii="仿宋" w:hAnsi="仿宋" w:eastAsia="仿宋" w:cs="仿宋_GB2312"/>
                <w:i w:val="0"/>
                <w:color w:val="auto"/>
                <w:szCs w:val="21"/>
                <w:highlight w:val="none"/>
                <w:lang w:val="en-US" w:eastAsia="zh-CN"/>
              </w:rPr>
              <w:t>18米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0" w:type="dxa"/>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16</w:t>
            </w:r>
          </w:p>
        </w:tc>
        <w:tc>
          <w:tcPr>
            <w:tcW w:w="3962" w:type="dxa"/>
            <w:gridSpan w:val="3"/>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eastAsia="zh-CN"/>
              </w:rPr>
              <w:t>清扫保洁人员</w:t>
            </w:r>
          </w:p>
        </w:tc>
        <w:tc>
          <w:tcPr>
            <w:tcW w:w="1912" w:type="dxa"/>
            <w:gridSpan w:val="2"/>
            <w:vAlign w:val="center"/>
          </w:tcPr>
          <w:p>
            <w:pPr>
              <w:pStyle w:val="13"/>
              <w:spacing w:line="280" w:lineRule="exact"/>
              <w:jc w:val="center"/>
              <w:rPr>
                <w:rFonts w:ascii="仿宋" w:hAnsi="仿宋" w:eastAsia="仿宋" w:cs="仿宋_GB2312"/>
                <w:i w:val="0"/>
                <w:color w:val="auto"/>
                <w:szCs w:val="21"/>
                <w:highlight w:val="none"/>
              </w:rPr>
            </w:pPr>
            <w:r>
              <w:rPr>
                <w:rFonts w:hint="eastAsia" w:ascii="仿宋" w:hAnsi="仿宋" w:eastAsia="仿宋" w:cs="仿宋_GB2312"/>
                <w:i w:val="0"/>
                <w:color w:val="auto"/>
                <w:szCs w:val="21"/>
                <w:highlight w:val="none"/>
                <w:lang w:val="en-US" w:eastAsia="zh-CN"/>
              </w:rPr>
              <w:t>≥</w:t>
            </w:r>
            <w:r>
              <w:rPr>
                <w:rFonts w:hint="eastAsia" w:ascii="仿宋" w:hAnsi="仿宋" w:eastAsia="仿宋" w:cs="仿宋_GB2312"/>
                <w:i w:val="0"/>
                <w:color w:val="auto"/>
                <w:szCs w:val="21"/>
                <w:highlight w:val="none"/>
                <w:lang w:eastAsia="zh-CN"/>
              </w:rPr>
              <w:t>716</w:t>
            </w:r>
          </w:p>
        </w:tc>
        <w:tc>
          <w:tcPr>
            <w:tcW w:w="1901" w:type="dxa"/>
            <w:gridSpan w:val="2"/>
            <w:vAlign w:val="center"/>
          </w:tcPr>
          <w:p>
            <w:pPr>
              <w:pStyle w:val="13"/>
              <w:spacing w:line="280" w:lineRule="exact"/>
              <w:jc w:val="center"/>
              <w:rPr>
                <w:rFonts w:hint="eastAsia" w:ascii="仿宋" w:hAnsi="仿宋" w:eastAsia="仿宋" w:cs="仿宋_GB2312"/>
                <w:i w:val="0"/>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0" w:type="dxa"/>
            <w:vAlign w:val="center"/>
          </w:tcPr>
          <w:p>
            <w:pPr>
              <w:pStyle w:val="13"/>
              <w:spacing w:line="280" w:lineRule="exact"/>
              <w:jc w:val="center"/>
              <w:rPr>
                <w:rFonts w:hint="default" w:ascii="仿宋" w:hAnsi="仿宋" w:eastAsia="仿宋" w:cs="仿宋_GB2312"/>
                <w:i w:val="0"/>
                <w:color w:val="auto"/>
                <w:szCs w:val="21"/>
                <w:highlight w:val="none"/>
                <w:lang w:val="en-US" w:eastAsia="zh-CN"/>
              </w:rPr>
            </w:pPr>
            <w:r>
              <w:rPr>
                <w:rFonts w:hint="eastAsia" w:ascii="仿宋" w:hAnsi="仿宋" w:eastAsia="仿宋" w:cs="仿宋_GB2312"/>
                <w:i w:val="0"/>
                <w:color w:val="auto"/>
                <w:szCs w:val="21"/>
                <w:highlight w:val="none"/>
                <w:lang w:val="en-US" w:eastAsia="zh-CN"/>
              </w:rPr>
              <w:t>17</w:t>
            </w:r>
          </w:p>
        </w:tc>
        <w:tc>
          <w:tcPr>
            <w:tcW w:w="3962" w:type="dxa"/>
            <w:gridSpan w:val="3"/>
            <w:vAlign w:val="center"/>
          </w:tcPr>
          <w:p>
            <w:pPr>
              <w:pStyle w:val="13"/>
              <w:spacing w:line="280" w:lineRule="exact"/>
              <w:jc w:val="center"/>
              <w:rPr>
                <w:rFonts w:hint="eastAsia" w:ascii="仿宋" w:hAnsi="仿宋" w:eastAsia="仿宋" w:cs="仿宋_GB2312"/>
                <w:i w:val="0"/>
                <w:iCs/>
                <w:color w:val="auto"/>
                <w:kern w:val="2"/>
                <w:sz w:val="24"/>
                <w:szCs w:val="21"/>
                <w:highlight w:val="none"/>
                <w:lang w:val="en-US" w:eastAsia="zh-CN" w:bidi="en-US"/>
              </w:rPr>
            </w:pPr>
            <w:r>
              <w:rPr>
                <w:rFonts w:hint="eastAsia" w:ascii="仿宋" w:hAnsi="仿宋" w:eastAsia="仿宋" w:cs="仿宋_GB2312"/>
                <w:i w:val="0"/>
                <w:color w:val="auto"/>
                <w:szCs w:val="21"/>
                <w:highlight w:val="none"/>
                <w:lang w:val="en-US" w:eastAsia="zh-CN"/>
              </w:rPr>
              <w:t>公厕保洁员</w:t>
            </w:r>
          </w:p>
        </w:tc>
        <w:tc>
          <w:tcPr>
            <w:tcW w:w="1912" w:type="dxa"/>
            <w:gridSpan w:val="2"/>
            <w:vAlign w:val="center"/>
          </w:tcPr>
          <w:p>
            <w:pPr>
              <w:pStyle w:val="13"/>
              <w:spacing w:line="280" w:lineRule="exact"/>
              <w:jc w:val="center"/>
              <w:rPr>
                <w:rFonts w:hint="eastAsia" w:ascii="仿宋" w:hAnsi="仿宋" w:eastAsia="仿宋" w:cs="仿宋_GB2312"/>
                <w:i w:val="0"/>
                <w:iCs/>
                <w:color w:val="auto"/>
                <w:kern w:val="2"/>
                <w:sz w:val="24"/>
                <w:szCs w:val="21"/>
                <w:highlight w:val="none"/>
                <w:lang w:val="en-US" w:eastAsia="zh-CN" w:bidi="en-US"/>
              </w:rPr>
            </w:pPr>
            <w:r>
              <w:rPr>
                <w:rFonts w:hint="eastAsia" w:ascii="仿宋" w:hAnsi="仿宋" w:eastAsia="仿宋" w:cs="仿宋_GB2312"/>
                <w:i w:val="0"/>
                <w:color w:val="auto"/>
                <w:szCs w:val="21"/>
                <w:highlight w:val="none"/>
                <w:lang w:val="en-US" w:eastAsia="zh-CN"/>
              </w:rPr>
              <w:t>不低于管护公厕数量的1.5倍</w:t>
            </w:r>
          </w:p>
        </w:tc>
        <w:tc>
          <w:tcPr>
            <w:tcW w:w="1901" w:type="dxa"/>
            <w:gridSpan w:val="2"/>
            <w:vAlign w:val="center"/>
          </w:tcPr>
          <w:p>
            <w:pPr>
              <w:pStyle w:val="13"/>
              <w:spacing w:line="280" w:lineRule="exact"/>
              <w:jc w:val="center"/>
              <w:rPr>
                <w:rFonts w:hint="eastAsia" w:ascii="仿宋" w:hAnsi="仿宋" w:eastAsia="仿宋" w:cs="仿宋_GB2312"/>
                <w:i w:val="0"/>
                <w:color w:val="auto"/>
                <w:szCs w:val="21"/>
                <w:highlight w:val="none"/>
                <w:lang w:val="en-US" w:eastAsia="zh-CN"/>
              </w:rPr>
            </w:pPr>
          </w:p>
        </w:tc>
      </w:tr>
    </w:tbl>
    <w:p>
      <w:pPr>
        <w:widowControl w:val="0"/>
        <w:jc w:val="both"/>
        <w:rPr>
          <w:rFonts w:hint="eastAsia" w:ascii="仿宋" w:hAnsi="仿宋" w:eastAsia="仿宋" w:cs="仿宋"/>
          <w:b/>
          <w:bCs w:val="0"/>
          <w:i w:val="0"/>
          <w:iCs w:val="0"/>
          <w:color w:val="auto"/>
          <w:sz w:val="20"/>
          <w:szCs w:val="22"/>
          <w:highlight w:val="none"/>
          <w:lang w:val="en-US" w:eastAsia="zh-CN" w:bidi="ar-SA"/>
        </w:rPr>
      </w:pPr>
      <w:r>
        <w:rPr>
          <w:rFonts w:hint="eastAsia" w:ascii="仿宋" w:hAnsi="仿宋" w:eastAsia="仿宋" w:cs="仿宋"/>
          <w:b/>
          <w:bCs w:val="0"/>
          <w:i w:val="0"/>
          <w:iCs w:val="0"/>
          <w:color w:val="auto"/>
          <w:kern w:val="0"/>
          <w:sz w:val="22"/>
          <w:szCs w:val="28"/>
          <w:highlight w:val="none"/>
          <w:shd w:val="clear" w:color="auto" w:fill="FFFFFF"/>
          <w:lang w:val="en-US" w:eastAsia="zh-CN" w:bidi="ar-SA"/>
        </w:rPr>
        <w:t>注：</w:t>
      </w:r>
      <w:r>
        <w:rPr>
          <w:rFonts w:hint="eastAsia" w:ascii="仿宋" w:hAnsi="仿宋" w:eastAsia="仿宋" w:cs="仿宋"/>
          <w:b/>
          <w:bCs w:val="0"/>
          <w:i w:val="0"/>
          <w:iCs w:val="0"/>
          <w:color w:val="auto"/>
          <w:kern w:val="0"/>
          <w:sz w:val="22"/>
          <w:szCs w:val="28"/>
          <w:highlight w:val="none"/>
          <w:shd w:val="clear" w:color="auto" w:fill="FFFFFF"/>
          <w:lang w:eastAsia="zh-CN" w:bidi="ar-SA"/>
        </w:rPr>
        <w:t>投标人应保证设施设备和作业机具的种类、功能、数量在中标后签订合同</w:t>
      </w:r>
      <w:r>
        <w:rPr>
          <w:rFonts w:hint="eastAsia" w:ascii="仿宋" w:hAnsi="仿宋" w:eastAsia="仿宋" w:cs="仿宋"/>
          <w:b/>
          <w:bCs w:val="0"/>
          <w:i w:val="0"/>
          <w:iCs w:val="0"/>
          <w:color w:val="auto"/>
          <w:kern w:val="0"/>
          <w:sz w:val="22"/>
          <w:szCs w:val="28"/>
          <w:highlight w:val="none"/>
          <w:shd w:val="clear" w:color="auto" w:fill="FFFFFF"/>
          <w:lang w:val="en-US" w:eastAsia="zh-CN" w:bidi="ar-SA"/>
        </w:rPr>
        <w:t>前</w:t>
      </w:r>
      <w:r>
        <w:rPr>
          <w:rFonts w:hint="eastAsia" w:ascii="仿宋" w:hAnsi="仿宋" w:eastAsia="仿宋" w:cs="仿宋"/>
          <w:b/>
          <w:bCs w:val="0"/>
          <w:i w:val="0"/>
          <w:iCs w:val="0"/>
          <w:color w:val="auto"/>
          <w:kern w:val="0"/>
          <w:sz w:val="22"/>
          <w:szCs w:val="28"/>
          <w:highlight w:val="none"/>
          <w:shd w:val="clear" w:color="auto" w:fill="FFFFFF"/>
          <w:lang w:eastAsia="zh-CN" w:bidi="ar-SA"/>
        </w:rPr>
        <w:t>配置到位。投标人在中标后应足额配置清扫保洁人员、</w:t>
      </w:r>
      <w:r>
        <w:rPr>
          <w:rFonts w:hint="eastAsia" w:ascii="仿宋" w:hAnsi="仿宋" w:eastAsia="仿宋" w:cs="仿宋"/>
          <w:b/>
          <w:bCs w:val="0"/>
          <w:i w:val="0"/>
          <w:iCs w:val="0"/>
          <w:color w:val="auto"/>
          <w:kern w:val="0"/>
          <w:sz w:val="22"/>
          <w:szCs w:val="28"/>
          <w:highlight w:val="none"/>
          <w:shd w:val="clear" w:color="auto" w:fill="FFFFFF"/>
          <w:lang w:val="en-US" w:eastAsia="zh-CN" w:bidi="ar-SA"/>
        </w:rPr>
        <w:t>公厕保洁员等相关人员（投标人须在投标文件中提供承诺函，格式自拟）。</w:t>
      </w:r>
    </w:p>
    <w:p>
      <w:pPr>
        <w:pStyle w:val="7"/>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2、作业面积</w:t>
      </w:r>
    </w:p>
    <w:tbl>
      <w:tblPr>
        <w:tblStyle w:val="24"/>
        <w:tblW w:w="9215" w:type="dxa"/>
        <w:tblInd w:w="-318" w:type="dxa"/>
        <w:tblLayout w:type="fixed"/>
        <w:tblCellMar>
          <w:top w:w="0" w:type="dxa"/>
          <w:left w:w="108" w:type="dxa"/>
          <w:bottom w:w="0" w:type="dxa"/>
          <w:right w:w="108" w:type="dxa"/>
        </w:tblCellMar>
      </w:tblPr>
      <w:tblGrid>
        <w:gridCol w:w="568"/>
        <w:gridCol w:w="1276"/>
        <w:gridCol w:w="709"/>
        <w:gridCol w:w="708"/>
        <w:gridCol w:w="709"/>
        <w:gridCol w:w="841"/>
        <w:gridCol w:w="577"/>
        <w:gridCol w:w="850"/>
        <w:gridCol w:w="709"/>
        <w:gridCol w:w="679"/>
        <w:gridCol w:w="738"/>
        <w:gridCol w:w="851"/>
      </w:tblGrid>
      <w:tr>
        <w:tblPrEx>
          <w:tblCellMar>
            <w:top w:w="0" w:type="dxa"/>
            <w:left w:w="108" w:type="dxa"/>
            <w:bottom w:w="0" w:type="dxa"/>
            <w:right w:w="108" w:type="dxa"/>
          </w:tblCellMar>
        </w:tblPrEx>
        <w:trPr>
          <w:trHeight w:val="492" w:hRule="atLeast"/>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iCs w:val="0"/>
                <w:color w:val="auto"/>
                <w:kern w:val="0"/>
                <w:sz w:val="18"/>
                <w:szCs w:val="18"/>
                <w:highlight w:val="none"/>
                <w:lang w:eastAsia="zh-CN" w:bidi="ar-SA"/>
              </w:rPr>
            </w:pPr>
            <w:r>
              <w:rPr>
                <w:rFonts w:hint="eastAsia" w:ascii="仿宋" w:hAnsi="仿宋" w:eastAsia="仿宋" w:cs="仿宋"/>
                <w:b/>
                <w:bCs/>
                <w:i w:val="0"/>
                <w:iCs w:val="0"/>
                <w:color w:val="auto"/>
                <w:kern w:val="0"/>
                <w:sz w:val="18"/>
                <w:szCs w:val="18"/>
                <w:highlight w:val="none"/>
                <w:lang w:eastAsia="zh-CN" w:bidi="ar-SA"/>
              </w:rPr>
              <w:t>序号</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iCs w:val="0"/>
                <w:color w:val="auto"/>
                <w:kern w:val="0"/>
                <w:sz w:val="18"/>
                <w:szCs w:val="18"/>
                <w:highlight w:val="none"/>
                <w:lang w:eastAsia="zh-CN" w:bidi="ar-SA"/>
              </w:rPr>
            </w:pPr>
            <w:r>
              <w:rPr>
                <w:rFonts w:hint="eastAsia" w:ascii="仿宋" w:hAnsi="仿宋" w:eastAsia="仿宋" w:cs="仿宋"/>
                <w:b/>
                <w:bCs/>
                <w:i w:val="0"/>
                <w:iCs w:val="0"/>
                <w:color w:val="auto"/>
                <w:kern w:val="0"/>
                <w:sz w:val="18"/>
                <w:szCs w:val="18"/>
                <w:highlight w:val="none"/>
                <w:lang w:eastAsia="zh-CN" w:bidi="ar-SA"/>
              </w:rPr>
              <w:t>道路名称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iCs w:val="0"/>
                <w:color w:val="auto"/>
                <w:kern w:val="0"/>
                <w:sz w:val="18"/>
                <w:szCs w:val="18"/>
                <w:highlight w:val="none"/>
                <w:lang w:eastAsia="zh-CN" w:bidi="ar-SA"/>
              </w:rPr>
            </w:pPr>
            <w:r>
              <w:rPr>
                <w:rFonts w:hint="eastAsia" w:ascii="仿宋" w:hAnsi="仿宋" w:eastAsia="仿宋" w:cs="仿宋"/>
                <w:b/>
                <w:bCs/>
                <w:i w:val="0"/>
                <w:iCs w:val="0"/>
                <w:color w:val="auto"/>
                <w:kern w:val="0"/>
                <w:sz w:val="18"/>
                <w:szCs w:val="18"/>
                <w:highlight w:val="none"/>
                <w:lang w:eastAsia="zh-CN" w:bidi="ar-SA"/>
              </w:rPr>
              <w:t>起 点</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iCs w:val="0"/>
                <w:color w:val="auto"/>
                <w:kern w:val="0"/>
                <w:sz w:val="18"/>
                <w:szCs w:val="18"/>
                <w:highlight w:val="none"/>
                <w:lang w:eastAsia="zh-CN" w:bidi="ar-SA"/>
              </w:rPr>
            </w:pPr>
            <w:r>
              <w:rPr>
                <w:rFonts w:hint="eastAsia" w:ascii="仿宋" w:hAnsi="仿宋" w:eastAsia="仿宋" w:cs="仿宋"/>
                <w:b/>
                <w:bCs/>
                <w:i w:val="0"/>
                <w:iCs w:val="0"/>
                <w:color w:val="auto"/>
                <w:kern w:val="0"/>
                <w:sz w:val="18"/>
                <w:szCs w:val="18"/>
                <w:highlight w:val="none"/>
                <w:lang w:eastAsia="zh-CN" w:bidi="ar-SA"/>
              </w:rPr>
              <w:t>止 点</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iCs w:val="0"/>
                <w:color w:val="auto"/>
                <w:kern w:val="0"/>
                <w:sz w:val="18"/>
                <w:szCs w:val="18"/>
                <w:highlight w:val="none"/>
                <w:lang w:eastAsia="zh-CN" w:bidi="ar-SA"/>
              </w:rPr>
            </w:pPr>
            <w:r>
              <w:rPr>
                <w:rFonts w:hint="eastAsia" w:ascii="仿宋" w:hAnsi="仿宋" w:eastAsia="仿宋" w:cs="仿宋"/>
                <w:b/>
                <w:bCs/>
                <w:i w:val="0"/>
                <w:iCs w:val="0"/>
                <w:color w:val="auto"/>
                <w:kern w:val="0"/>
                <w:sz w:val="18"/>
                <w:szCs w:val="18"/>
                <w:highlight w:val="none"/>
                <w:lang w:eastAsia="zh-CN" w:bidi="ar-SA"/>
              </w:rPr>
              <w:t>街道等级</w:t>
            </w:r>
          </w:p>
        </w:tc>
        <w:tc>
          <w:tcPr>
            <w:tcW w:w="84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
                <w:bCs/>
                <w:i w:val="0"/>
                <w:iCs w:val="0"/>
                <w:color w:val="auto"/>
                <w:kern w:val="0"/>
                <w:sz w:val="18"/>
                <w:szCs w:val="18"/>
                <w:highlight w:val="none"/>
                <w:lang w:eastAsia="zh-CN" w:bidi="ar-SA"/>
              </w:rPr>
            </w:pPr>
            <w:r>
              <w:rPr>
                <w:rFonts w:hint="eastAsia" w:ascii="仿宋" w:hAnsi="仿宋" w:eastAsia="仿宋" w:cs="仿宋"/>
                <w:b/>
                <w:bCs/>
                <w:i w:val="0"/>
                <w:iCs w:val="0"/>
                <w:color w:val="auto"/>
                <w:kern w:val="0"/>
                <w:sz w:val="18"/>
                <w:szCs w:val="18"/>
                <w:highlight w:val="none"/>
                <w:lang w:eastAsia="zh-CN" w:bidi="ar-SA"/>
              </w:rPr>
              <w:t>车行道</w:t>
            </w:r>
          </w:p>
        </w:tc>
        <w:tc>
          <w:tcPr>
            <w:tcW w:w="577"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b/>
                <w:bCs/>
                <w:i w:val="0"/>
                <w:iCs w:val="0"/>
                <w:color w:val="auto"/>
                <w:kern w:val="0"/>
                <w:sz w:val="18"/>
                <w:szCs w:val="18"/>
                <w:highlight w:val="none"/>
                <w:lang w:eastAsia="zh-CN" w:bidi="ar-SA"/>
              </w:rPr>
            </w:pPr>
            <w:r>
              <w:rPr>
                <w:rFonts w:hint="eastAsia" w:ascii="仿宋" w:hAnsi="仿宋" w:eastAsia="仿宋" w:cs="仿宋"/>
                <w:b/>
                <w:bCs/>
                <w:i w:val="0"/>
                <w:iCs w:val="0"/>
                <w:color w:val="auto"/>
                <w:kern w:val="0"/>
                <w:sz w:val="18"/>
                <w:szCs w:val="18"/>
                <w:highlight w:val="none"/>
                <w:lang w:eastAsia="zh-CN" w:bidi="ar-SA"/>
              </w:rPr>
              <w:t>人行道</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iCs w:val="0"/>
                <w:color w:val="auto"/>
                <w:kern w:val="0"/>
                <w:sz w:val="18"/>
                <w:szCs w:val="18"/>
                <w:highlight w:val="none"/>
                <w:lang w:eastAsia="zh-CN" w:bidi="ar-SA"/>
              </w:rPr>
            </w:pPr>
            <w:r>
              <w:rPr>
                <w:rFonts w:hint="eastAsia" w:ascii="仿宋" w:hAnsi="仿宋" w:eastAsia="仿宋" w:cs="仿宋"/>
                <w:b/>
                <w:bCs/>
                <w:i w:val="0"/>
                <w:iCs w:val="0"/>
                <w:color w:val="auto"/>
                <w:kern w:val="0"/>
                <w:sz w:val="18"/>
                <w:szCs w:val="18"/>
                <w:highlight w:val="none"/>
                <w:lang w:eastAsia="zh-CN" w:bidi="ar-SA"/>
              </w:rPr>
              <w:t>辅道</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iCs w:val="0"/>
                <w:color w:val="auto"/>
                <w:kern w:val="0"/>
                <w:sz w:val="18"/>
                <w:szCs w:val="18"/>
                <w:highlight w:val="none"/>
                <w:lang w:eastAsia="zh-CN" w:bidi="ar-SA"/>
              </w:rPr>
            </w:pPr>
            <w:r>
              <w:rPr>
                <w:rFonts w:hint="eastAsia" w:ascii="仿宋" w:hAnsi="仿宋" w:eastAsia="仿宋" w:cs="仿宋"/>
                <w:b/>
                <w:bCs/>
                <w:i w:val="0"/>
                <w:iCs w:val="0"/>
                <w:color w:val="auto"/>
                <w:kern w:val="0"/>
                <w:sz w:val="18"/>
                <w:szCs w:val="18"/>
                <w:highlight w:val="none"/>
                <w:lang w:eastAsia="zh-CN" w:bidi="ar-SA"/>
              </w:rPr>
              <w:t>绿化带面积（m2）</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
                <w:bCs/>
                <w:i w:val="0"/>
                <w:iCs w:val="0"/>
                <w:color w:val="auto"/>
                <w:kern w:val="0"/>
                <w:sz w:val="18"/>
                <w:szCs w:val="18"/>
                <w:highlight w:val="none"/>
                <w:lang w:eastAsia="zh-CN" w:bidi="ar-SA"/>
              </w:rPr>
            </w:pPr>
            <w:r>
              <w:rPr>
                <w:rFonts w:hint="eastAsia" w:ascii="仿宋" w:hAnsi="仿宋" w:eastAsia="仿宋" w:cs="仿宋"/>
                <w:b/>
                <w:bCs/>
                <w:i w:val="0"/>
                <w:iCs w:val="0"/>
                <w:color w:val="auto"/>
                <w:kern w:val="0"/>
                <w:sz w:val="18"/>
                <w:szCs w:val="18"/>
                <w:highlight w:val="none"/>
                <w:lang w:eastAsia="zh-CN" w:bidi="ar-SA"/>
              </w:rPr>
              <w:t>广场</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iCs w:val="0"/>
                <w:color w:val="auto"/>
                <w:kern w:val="0"/>
                <w:sz w:val="18"/>
                <w:szCs w:val="18"/>
                <w:highlight w:val="none"/>
                <w:lang w:eastAsia="zh-CN" w:bidi="ar-SA"/>
              </w:rPr>
            </w:pPr>
            <w:r>
              <w:rPr>
                <w:rFonts w:hint="eastAsia" w:ascii="仿宋" w:hAnsi="仿宋" w:eastAsia="仿宋" w:cs="仿宋"/>
                <w:b/>
                <w:bCs/>
                <w:i w:val="0"/>
                <w:iCs w:val="0"/>
                <w:color w:val="auto"/>
                <w:kern w:val="0"/>
                <w:sz w:val="18"/>
                <w:szCs w:val="18"/>
                <w:highlight w:val="none"/>
                <w:lang w:eastAsia="zh-CN" w:bidi="ar-SA"/>
              </w:rPr>
              <w:t>道路合计面积</w:t>
            </w:r>
          </w:p>
        </w:tc>
      </w:tr>
      <w:tr>
        <w:tblPrEx>
          <w:tblCellMar>
            <w:top w:w="0" w:type="dxa"/>
            <w:left w:w="108" w:type="dxa"/>
            <w:bottom w:w="0" w:type="dxa"/>
            <w:right w:w="108" w:type="dxa"/>
          </w:tblCellMar>
        </w:tblPrEx>
        <w:trPr>
          <w:trHeight w:val="503"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84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iCs w:val="0"/>
                <w:color w:val="auto"/>
                <w:kern w:val="0"/>
                <w:sz w:val="18"/>
                <w:szCs w:val="18"/>
                <w:highlight w:val="none"/>
                <w:lang w:eastAsia="zh-CN" w:bidi="ar-SA"/>
              </w:rPr>
            </w:pPr>
            <w:r>
              <w:rPr>
                <w:rFonts w:hint="eastAsia" w:ascii="仿宋" w:hAnsi="仿宋" w:eastAsia="仿宋" w:cs="仿宋"/>
                <w:b/>
                <w:bCs/>
                <w:i w:val="0"/>
                <w:iCs w:val="0"/>
                <w:color w:val="auto"/>
                <w:kern w:val="0"/>
                <w:sz w:val="18"/>
                <w:szCs w:val="18"/>
                <w:highlight w:val="none"/>
                <w:lang w:eastAsia="zh-CN" w:bidi="ar-SA"/>
              </w:rPr>
              <w:t>面积（m2）</w:t>
            </w:r>
          </w:p>
        </w:tc>
        <w:tc>
          <w:tcPr>
            <w:tcW w:w="57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iCs w:val="0"/>
                <w:color w:val="auto"/>
                <w:kern w:val="0"/>
                <w:sz w:val="18"/>
                <w:szCs w:val="18"/>
                <w:highlight w:val="none"/>
                <w:lang w:eastAsia="zh-CN" w:bidi="ar-SA"/>
              </w:rPr>
            </w:pPr>
            <w:r>
              <w:rPr>
                <w:rFonts w:hint="eastAsia" w:ascii="仿宋" w:hAnsi="仿宋" w:eastAsia="仿宋" w:cs="仿宋"/>
                <w:b/>
                <w:bCs/>
                <w:i w:val="0"/>
                <w:iCs w:val="0"/>
                <w:color w:val="auto"/>
                <w:kern w:val="0"/>
                <w:sz w:val="18"/>
                <w:szCs w:val="18"/>
                <w:highlight w:val="none"/>
                <w:lang w:eastAsia="zh-CN" w:bidi="ar-SA"/>
              </w:rPr>
              <w:t>面积（m2）</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iCs w:val="0"/>
                <w:color w:val="auto"/>
                <w:kern w:val="0"/>
                <w:sz w:val="18"/>
                <w:szCs w:val="18"/>
                <w:highlight w:val="none"/>
                <w:lang w:eastAsia="zh-CN" w:bidi="ar-SA"/>
              </w:rPr>
            </w:pPr>
            <w:r>
              <w:rPr>
                <w:rFonts w:hint="eastAsia" w:ascii="仿宋" w:hAnsi="仿宋" w:eastAsia="仿宋" w:cs="仿宋"/>
                <w:b/>
                <w:bCs/>
                <w:i w:val="0"/>
                <w:iCs w:val="0"/>
                <w:color w:val="auto"/>
                <w:kern w:val="0"/>
                <w:sz w:val="18"/>
                <w:szCs w:val="18"/>
                <w:highlight w:val="none"/>
                <w:lang w:eastAsia="zh-CN" w:bidi="ar-SA"/>
              </w:rPr>
              <w:t>面积（m2）</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iCs w:val="0"/>
                <w:color w:val="auto"/>
                <w:kern w:val="0"/>
                <w:sz w:val="18"/>
                <w:szCs w:val="18"/>
                <w:highlight w:val="none"/>
                <w:lang w:eastAsia="zh-CN" w:bidi="ar-SA"/>
              </w:rPr>
            </w:pPr>
            <w:r>
              <w:rPr>
                <w:rFonts w:hint="eastAsia" w:ascii="仿宋" w:hAnsi="仿宋" w:eastAsia="仿宋" w:cs="仿宋"/>
                <w:b/>
                <w:bCs/>
                <w:i w:val="0"/>
                <w:iCs w:val="0"/>
                <w:color w:val="auto"/>
                <w:kern w:val="0"/>
                <w:sz w:val="18"/>
                <w:szCs w:val="18"/>
                <w:highlight w:val="none"/>
                <w:lang w:eastAsia="zh-CN" w:bidi="ar-SA"/>
              </w:rPr>
              <w:t>绿化面积</w:t>
            </w:r>
          </w:p>
        </w:tc>
        <w:tc>
          <w:tcPr>
            <w:tcW w:w="73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iCs w:val="0"/>
                <w:color w:val="auto"/>
                <w:kern w:val="0"/>
                <w:sz w:val="18"/>
                <w:szCs w:val="18"/>
                <w:highlight w:val="none"/>
                <w:lang w:eastAsia="zh-CN" w:bidi="ar-SA"/>
              </w:rPr>
            </w:pPr>
            <w:r>
              <w:rPr>
                <w:rFonts w:hint="eastAsia" w:ascii="仿宋" w:hAnsi="仿宋" w:eastAsia="仿宋" w:cs="仿宋"/>
                <w:b/>
                <w:bCs/>
                <w:i w:val="0"/>
                <w:iCs w:val="0"/>
                <w:color w:val="auto"/>
                <w:kern w:val="0"/>
                <w:sz w:val="18"/>
                <w:szCs w:val="18"/>
                <w:highlight w:val="none"/>
                <w:lang w:eastAsia="zh-CN" w:bidi="ar-SA"/>
              </w:rPr>
              <w:t>硬化面积</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r>
      <w:tr>
        <w:tblPrEx>
          <w:tblCellMar>
            <w:top w:w="0" w:type="dxa"/>
            <w:left w:w="108" w:type="dxa"/>
            <w:bottom w:w="0" w:type="dxa"/>
            <w:right w:w="108" w:type="dxa"/>
          </w:tblCellMar>
        </w:tblPrEx>
        <w:trPr>
          <w:trHeight w:val="443"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841"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577"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850"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679"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738"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i w:val="0"/>
                <w:iCs w:val="0"/>
                <w:color w:val="auto"/>
                <w:kern w:val="0"/>
                <w:sz w:val="18"/>
                <w:szCs w:val="18"/>
                <w:highlight w:val="none"/>
                <w:lang w:eastAsia="zh-CN" w:bidi="ar-SA"/>
              </w:rPr>
            </w:pP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安仁西街、西海东街与西南市街交叉口</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603.6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603.6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翠湖东路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翠湖西路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广场西街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4591.3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2581.4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7172.7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翠湖路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金彭西路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3838.7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5592.2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9430.9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翠湖西路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翠湖东路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4000.2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2136.0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6136.2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彭白路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11228.1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3394.4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710.3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14622.6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繁江北路、绣城路北段与金彭西路交叉口</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4052.9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4052.9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繁江七巷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1653.6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1653.6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天彭大道</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24819.4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20285.4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1492.0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45104.8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广场西街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翠湖东路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钟楼路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1065.2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986.8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290.6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2052.1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广场西街与小北街交叉口</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472.2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472.2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里仁街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小北街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西北市街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793.5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793.5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里仁街与小北街交叉口</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445.1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445.1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南大街、育才路、新郫彭路与繁江南路交叉口</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9045.2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9045.2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天府西路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天人西二路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天府中路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25404.1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7677.2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5411.9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23193.6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38493.2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天人西二路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安信路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高铁出口</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4921.7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1205.9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6127.6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西北市街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金彭西路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西南市街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6790.2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4172.6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10962.8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西大街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西南市街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繁江南路与繁江北路口</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13355.8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7975.9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21331.7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西大街与西南市街、西北市街交叉口</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1280.2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1280.2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翠湖路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6308.7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4924.2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11232.8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西海西街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安仁东街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1960.2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1927.7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3887.9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天府西路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4097.2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5801.2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72.5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9898.4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绣城路南段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2404.2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1436.0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3840.2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西海西街广场</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735.5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1590.7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1590.7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西南市街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西北市街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南大街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9902.1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5977.1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15879.1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西南市街小游园</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181.8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1292.2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2437.3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2619.1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小北街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金彭西路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西大街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3886.6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574.2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1260.8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4460.8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小北街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金彭西路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里仁街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131.7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412.7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544.4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新郫彭路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南大街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天桂路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64396.7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9105.2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13589.0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18963.0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87090.9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新郫彭路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天桂路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青白江大桥</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88011.1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8239.8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15840.5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3119.0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3.7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112091.4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绣城路北路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绣城路南段</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7851.7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4915.2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190.1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12766.9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迎宾路口小游园</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261.5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517.5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517.5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高铁小游园</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5034.0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5034.0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西海北街左岸游园</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1260.6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1260.6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翠湖路小游园</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2262.0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左岸大道</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连封北街</w:t>
            </w:r>
          </w:p>
        </w:tc>
        <w:tc>
          <w:tcPr>
            <w:tcW w:w="708"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7296.2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5090.0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12386.3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安信路(安彭路)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西大街</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36406.0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2140.7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3107.8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38546.7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长寿南路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长寿中路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天桂路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8043.4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2532.4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10575.8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长寿中路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健康东路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长寿南路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11464.4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2363.0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13827.5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繁兴路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7320.6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7320.6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古城巷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康居北巷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天府西路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1233.4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574.4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1807.8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光明巷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745.6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745.6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建设巷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翠湖西路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西大街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860.1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493.1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1353.2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健康大道（含彭州中学周边配套道路）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彭州中学</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黑水泉小区</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29969.4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18317.8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14267.1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2699.1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62554.3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健康东路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健康西路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长寿中路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5401.3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3204.6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3369.9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675.0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11975.8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健康西路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利民西路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健康东路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6577.6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3300.2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2817.7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580.0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12695.4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康居北巷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西海东街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古城巷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2235.9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2235.9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康居巷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西南市街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2081.9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1926.8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4008.8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来寿路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9795.6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9795.6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利民东路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长寿南路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5518.3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2145.5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7663.8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利民西路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长寿南路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6768.5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2554.7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9323.2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连封北街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新郫彭路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连封中街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9978.3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7075.1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17053.4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连封北一街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连封北街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连封中街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1908.7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1920.4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3829.1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连封南街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新郫彭路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18119.7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5742.3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23862.0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连封中街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新郫彭路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协和路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13473.6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5057.1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18530.8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清洋大街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新郫彭路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环湖路一段</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9317.5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6301.5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15619.0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商家小区无名街（5条）</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西北市街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小北街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3607.0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3607.0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天府西路北侧</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天人西二路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5335.5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5335.5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天府西路南侧</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7253.8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7253.8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天人东一巷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天人东三巷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927.7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927.7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629.4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629.4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天人东一巷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天人东三巷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866.4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866.4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安信路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天人小区</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2921.1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2921.1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天人东四巷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天人路南二巷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968.1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968.1 </w:t>
            </w:r>
          </w:p>
        </w:tc>
      </w:tr>
      <w:tr>
        <w:tblPrEx>
          <w:tblCellMar>
            <w:top w:w="0" w:type="dxa"/>
            <w:left w:w="108" w:type="dxa"/>
            <w:bottom w:w="0" w:type="dxa"/>
            <w:right w:w="108" w:type="dxa"/>
          </w:tblCellMar>
        </w:tblPrEx>
        <w:trPr>
          <w:trHeight w:val="998"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618.5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618.5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天人东一巷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天人东三巷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1282.6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1282.6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繁江北路113号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无名桥</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478.9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478.9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西南市街(综合市场旁)</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789.5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789.5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西海东街104号巷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1107.4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1107.4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西海东街68</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424.3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424.3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西大街至彭州市统一建设办公室无名路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彭州市统一建设办公室</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548.3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548.3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西海东街27号巷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西海东街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康居北巷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863.0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863.0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西海南巷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西海西二巷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747.6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747.6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西海西二巷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西海西街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天府西路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2045.0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2045.0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西海西三巷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西海西街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538.2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538.2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西海西一巷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西海西街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西海南巷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1435.5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1435.5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西南市街至西海东街无名路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西南市街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西海东街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2321.3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2321.3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新润河路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西海北街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绣城路南段</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1548.5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1548.5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兴隆街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南大街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2437.5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134.8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2437.5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绣城南路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6802.8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6802.8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育才路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南大街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15194.1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1174.3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15194.1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园丁街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园丁南巷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南大街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663.3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523.9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1187.2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园丁南巷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天府西路49号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1335.4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1335.4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高铁至顾繁新居已建段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天府西路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已建段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5865.0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2550.0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1785.0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8415.0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万福北中南路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天桂路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里泉西路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14777.0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8444.0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23221.0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里泉西路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高腾路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高才路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10368.4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5924.8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16293.2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高才路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天桂路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万都路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7544.0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2296.0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9840.0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万都路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高才路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高腾路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10374.0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5928.0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16302.0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威亨路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高宾路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高腾路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5180.0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2960.0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8140.0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高宾路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万都路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元都路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13525.0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6492.0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1623.0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21640.0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繁江南路278号巷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862.8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862.8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繁兴路至百顺纸业无名路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繁兴路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百顺纸业</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819.7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819.7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顾福桥小区无名路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天府西路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3069.7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3069.7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天人北巷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821.6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821.6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1367.2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1367.2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天人东六巷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天人西一路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647.7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647.7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天人东七巷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天人西一路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527.9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527.9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97 </w:t>
            </w:r>
          </w:p>
        </w:tc>
        <w:tc>
          <w:tcPr>
            <w:tcW w:w="1276" w:type="dxa"/>
            <w:tcBorders>
              <w:top w:val="nil"/>
              <w:left w:val="nil"/>
              <w:bottom w:val="nil"/>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天人东三巷</w:t>
            </w:r>
          </w:p>
        </w:tc>
        <w:tc>
          <w:tcPr>
            <w:tcW w:w="709" w:type="dxa"/>
            <w:tcBorders>
              <w:top w:val="nil"/>
              <w:left w:val="nil"/>
              <w:bottom w:val="nil"/>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天人西路</w:t>
            </w:r>
          </w:p>
        </w:tc>
        <w:tc>
          <w:tcPr>
            <w:tcW w:w="708" w:type="dxa"/>
            <w:tcBorders>
              <w:top w:val="nil"/>
              <w:left w:val="nil"/>
              <w:bottom w:val="nil"/>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天人东路</w:t>
            </w:r>
          </w:p>
        </w:tc>
        <w:tc>
          <w:tcPr>
            <w:tcW w:w="709" w:type="dxa"/>
            <w:tcBorders>
              <w:top w:val="nil"/>
              <w:left w:val="nil"/>
              <w:bottom w:val="nil"/>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nil"/>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1427.8 </w:t>
            </w:r>
          </w:p>
        </w:tc>
        <w:tc>
          <w:tcPr>
            <w:tcW w:w="577" w:type="dxa"/>
            <w:tcBorders>
              <w:top w:val="nil"/>
              <w:left w:val="nil"/>
              <w:bottom w:val="nil"/>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nil"/>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nil"/>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nil"/>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nil"/>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1427.8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98 </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天人东四巷</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天府西路</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天人路</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2751.0 </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2751.0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99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天人东五巷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天人西一路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853.6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853.6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2121.5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2121.5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天人路南二巷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天人西一路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顾福桥小区无名路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3645.7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3645.7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天人路南一巷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天人路南二巷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天人路南二巷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1661.0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1661.0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天人西一路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天人东四巷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天人路南二巷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1926.6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1926.6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繁江北路111号院</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1455.5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1455.5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繁江路1-7巷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6572.5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6572.5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西大街440号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795.0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795.0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西大街544号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1328.0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1328.0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南大街335号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254.0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254.0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新润河顾福桥段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安信路向内100米</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800.0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800.0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110</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安仁东街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东南市街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南大街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2318.9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865.3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3184.2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111</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安仁西街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西南市街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安仁东街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1821.4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1779.6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3600.9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112</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长江路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10415.4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8030.8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18446.2 </w:t>
            </w:r>
          </w:p>
        </w:tc>
      </w:tr>
      <w:tr>
        <w:tblPrEx>
          <w:tblCellMar>
            <w:top w:w="0" w:type="dxa"/>
            <w:left w:w="108" w:type="dxa"/>
            <w:bottom w:w="0" w:type="dxa"/>
            <w:right w:w="108" w:type="dxa"/>
          </w:tblCellMar>
        </w:tblPrEx>
        <w:trPr>
          <w:trHeight w:val="67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天彭大道</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17078.9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16009.2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1901.4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33088.1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东南市街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6737.3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6168.8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95.4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12906.1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光明路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天彭大道</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牡丹大道南段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6458.7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2359.7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8818.5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广场西街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翠湖东路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钟楼路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2547.4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1196.5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382.3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3743.9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宏升街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泰升街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香溢街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472.5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472.5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金融街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金盛巷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北大街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2105.8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2105.8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119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金盛巷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里仁街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鑫盛街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1170.0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1170.0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九江北路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九江南路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青白江北路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6555.9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2867.4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669.0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438.2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10092.3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九江南路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清白江西路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4816.4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3134.7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7951.1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联升街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西大街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安仁西街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1685.1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1349.3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3034.3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牡丹文化广场</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1457.1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10097.9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10097.9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南大街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新郫彭路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8238.1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4577.3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12815.4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清白江北路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金彭故径街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九江北路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8311.6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440.4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8752.0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清白江东路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清白江西路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银厂沟西路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5573.4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9910.2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15483.6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清白江西路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顺和路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青白江东路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14204.7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4463.3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4638.1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2406.2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23306.1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泰升街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西大街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香溢街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1516.6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1516.6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12670.0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14721.2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11885.8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5082.9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39277.0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天府中路与新民西路、天府南路交叉口</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1373.6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1373.6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天彭大道与朝阳南路交叉口无名路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天彭大道</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3586.8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3586.8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天一广场</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2915.7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2915.7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西大街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西南市街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东大街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5839.1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3172.4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9011.5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西南市街、南大街与天府西路、天府中路交叉口</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2762.4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2762.4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香溢街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联升街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南大街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1095.6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573.8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1669.4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小南街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2027.4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2027.4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7761.2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6332.9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14094.1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东南市街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5738.9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5186.2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10925.2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4967.8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5918.9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10886.7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鑫盛街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小北街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3010.3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694.9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3705.3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移动前小游园</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2109.0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709.0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709.0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钟楼路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金融街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西大街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9088.8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9088.8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安仁东街延伸段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小南街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东南市街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684.0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299.3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983.3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五路天桥</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南大街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1800.0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1800.0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花市巷游园</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640.0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安仁东街游园</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750.0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750.0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147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成都银行前小游园</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780.6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708.1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708.1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148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白鹿河东路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白鹿河西路</w:t>
            </w:r>
          </w:p>
        </w:tc>
        <w:tc>
          <w:tcPr>
            <w:tcW w:w="70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致班路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6843.1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2407.6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9250.8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149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白鹿河东路与银厂沟南路交叉口无名路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银厂沟南路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4481.3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2288.2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3686.9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6769.5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白鹿河西路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牡丹大道南段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白鹿河东路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8239.1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3809.3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7477.1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682.8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19525.4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白水河东路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牡丹大道南段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白水河西路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10266.2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7375.5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1066.2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17641.7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白水河西路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白水河东路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百苍路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6670.8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4436.5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11107.3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百苍路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白水河西路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16429.2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5534.6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19085.8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21963.9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苍旗北路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东三环二段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文化南路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8261.6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3439.0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8176.6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11700.7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苍旗路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银厂沟东路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10148.5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3365.1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4206.4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13513.6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东三环路三段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南三环路一段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东三环路二段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105982.6</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27714.2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26350.7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133696.8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独柏路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苍旗北路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20472.9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7452.8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15019.1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27925.7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富民巷小区无名路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钟楼路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西大街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1183.1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1183.1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白鹿河西路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3308.3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1289.7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4598.0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护国东六巷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2632.5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2632.5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天彭大道</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护国社区</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9699.7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9699.7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金彭故径街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光明路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2655.8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2655.8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金彭故径街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光明路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4803.8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4803.8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金彭故径街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4011.3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4011.3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金彭故径街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天彭大道</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牡丹大道南段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22275.3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2548.3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7376.3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878.2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32199.9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金彭故径小游园</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1490.5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4332.9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4332.9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林兴北路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护国西三巷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1015.8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1015.8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林兴路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护国西四巷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1638.7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1638.7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林兴南路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护国西七巷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护国西四巷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599.6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127.3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599.6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170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梅花路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独柏路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5186.0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3446.8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8632.8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171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九江北路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4215.2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4431.1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8646.3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172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顺和路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天彭大道</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顺和苑</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6860.9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4519.3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11380.2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173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思源街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小北街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金融街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1029.4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1029.4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174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花市巷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西大街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西南市街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1623.2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1623.2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175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显圣街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西南市街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南大街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1484.8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44.7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1484.8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176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银厂沟南路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银厂沟北路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17414.9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8018.2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64.5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25433.1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177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致班路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白鹿河东路</w:t>
            </w:r>
          </w:p>
        </w:tc>
        <w:tc>
          <w:tcPr>
            <w:tcW w:w="70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独柏路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5725.2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2146.2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2820.4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7871.5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178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百货大楼后侧道路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百货大楼</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小南街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670.0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670.0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179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京东北路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三环路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彭高南路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37762.3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7552.5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45314.8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独柏路东段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彭枫路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彭高南路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6033.1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4392.4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10425.5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彭高路一期</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白水河西路</w:t>
            </w:r>
          </w:p>
        </w:tc>
        <w:tc>
          <w:tcPr>
            <w:tcW w:w="70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银厂沟东路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18490.5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3698.1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22188.6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华光路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协作路</w:t>
            </w:r>
          </w:p>
        </w:tc>
        <w:tc>
          <w:tcPr>
            <w:tcW w:w="70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中药城大道</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5760.0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2560.0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5760.0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8320.0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护国东二巷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1135.3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1135.3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护国东六巷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1184.3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1184.3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护国东三巷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1040.3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1040.3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护国东四巷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936.7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936.7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护国东五巷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1037.5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1037.5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护国东一巷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933.3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933.3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护国西二巷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林兴北路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1237.8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1237.8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护国西六巷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林兴南路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1465.4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1465.4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护国西七巷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林兴南路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1317.1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1317.1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护国西三巷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林兴路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1771.1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1771.1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护国西四巷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林兴路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1738.1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1738.1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护国西五巷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林兴南路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1383.9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1383.9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护国西一巷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林兴北路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1028.8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1028.8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金光东六巷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554.9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554.9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金光东五巷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金彭故径街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874.6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874.6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金光东一巷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金彭故径街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1584.2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1584.2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199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金光路四巷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金彭故径街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1713.7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1713.7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200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金光路五巷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金光南二巷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1376.5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1376.5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201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金光南二巷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574.8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574.8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202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金光南三巷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756.6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756.6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203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金光南四巷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1008.8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1008.8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204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金光南一巷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504.0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504.0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205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金光西二巷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1584.0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1584.0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206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金光西三巷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金光路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1566.3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1566.3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207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南兴巷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西南市街</w:t>
            </w:r>
          </w:p>
        </w:tc>
        <w:tc>
          <w:tcPr>
            <w:tcW w:w="708"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南大街</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309.7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309.7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208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双龙南路八巷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长江路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1503.9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1503.9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209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长江路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3202.6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3202.6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双龙南路九巷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双龙南路十巷与双龙南路五巷之间无名路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842.2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842.2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双龙南路六巷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1991.5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1991.5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双龙南路七巷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长江路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2314.5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2314.5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双龙南路三巷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长江路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3244.7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3244.7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双龙南路十巷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长江路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1807.2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1807.2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双龙南路四巷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长江路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3856.8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3856.8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双龙南路五巷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长江路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3293.8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2438.4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5732.2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长江路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4411.9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4411.9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新民东街东三巷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279.9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279.9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双龙南路一巷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双龙南路十巷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2122.9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2122.9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220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双龙南路五巷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双龙南路十巷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799.8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799.8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221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双龙南路五巷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双龙南路十巷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1377.9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1377.9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222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致班路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1338.2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1338.2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223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新民东街东二巷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1025.8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1025.8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224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新民东街东三巷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934.3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934.3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225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新民东街东四巷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1261.0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1261.0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226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新民东街东一巷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946.2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946.2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227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新民西街八巷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626.1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626.1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228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新民西街东八巷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924.4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924.4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229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新民西街东二巷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927.1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927.1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新民西街东九巷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862.8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862.8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新民西街东六巷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1017.4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1017.4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新民西街东七巷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904.1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904.1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新民西街东三巷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256.6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256.6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新民西街东四巷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937.2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937.2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新民西街东五巷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931.6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931.6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新民西街东一巷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1175.1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1175.1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新民西街九巷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504.5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504.5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新民西街六巷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新民西南巷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568.6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568.6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239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新民西街七巷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新民西南巷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569.3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569.3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新民西街十巷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375.8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375.8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新民西街五巷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新民西南巷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555.2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555.2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新民西街西二巷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新民西南巷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588.1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588.1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新民西街西三巷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新民西南巷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627.4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627.4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新民西街西四</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新民西南巷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576.6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576.6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新民西街西一巷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805.3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805.3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新民西南巷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新民西街西一巷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1507.2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1507.2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1459菜市场后门道路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900.0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900.0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顺和苑小区门前道路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5400.0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5400.0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朝阳北路、朝阳中路与团结街、龙塔路交叉口</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0</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3530.1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3530.1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金华西路二段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龙塔路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金华西路一段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0</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5310.8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3576.5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8887.3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龙塔路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团结街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龙塔北路与牡丹大道二段口</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0</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23904.8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23904.8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泰安北路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泰安路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牡丹大道北二段</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0</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40967.6</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40967.6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泰安北路与金华西路二段，金华西路一段交叉口</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0</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3847.0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3847.0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繁江北路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31460.8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13874.9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45335.7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金彭中路、金彭西路与北大街交叉口</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2044.1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2044.1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北大街(塔子坝)</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金彭西路与金彭中路口</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2543.4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1714.7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4258.1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北新路、花园路与团结街交叉口</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1358.6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1358.6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桂花街1</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北巷子</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北大街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408.5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408.5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259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桂花街2</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延秀街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1441.4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455.0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1896.4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260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里仁街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小北街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3148.8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3148.8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261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里仁中街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里仁街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369.0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369.0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262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团结街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塔子坝</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1491.8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2289.1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3780.9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263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团结街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四川光大制药厂旁大铁门</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2132.4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2132.4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264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龙兴北街、老马市街与团结街交叉口</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2057.1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2057.1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265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桂花街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北大街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1622.4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526.7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2149.0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266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三圣北路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牡丹大道北二段与三圣北路交叉口无名路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8435.8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8086.3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90.1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16522.1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267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太平街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团结街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844.5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127.1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971.6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268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团结街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龙塔路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金彭中路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8654.3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8952.5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131.5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17606.8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269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延秀街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金彭西路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6201.7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2982.6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9184.4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270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金华西路二段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龙塔路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金华西路一段</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5248.8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856.9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5248.8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271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龙塔路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团结街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龙塔北路与牡丹大道二段口</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35158.9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3938.7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35158.9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272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泰安北路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泰安路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牡丹大道北二段</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32251.0</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12034.7</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35882.0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273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北巷子</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880.2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880.2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274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北新路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花园路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5399.9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3871.3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9271.2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275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628.8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573.7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1202.5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276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牡丹大道北三段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39759.8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21082.9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3615.0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60842.7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277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滨河北路至化石公寓无名路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化石公寓</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685.8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422.6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1108.4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278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滨河堤</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繁江北路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6677.6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6677.6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279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滨河西街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554.8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436.9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991.7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280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滨河街至繁江北路无名路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2280.7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1733.4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4014.1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281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滨河街至繁江北路无名路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繁江北路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1153.4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782.9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1936.4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282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繁江北路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23573.9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8888.3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20403.1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32462.2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283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余潭路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原利安路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3196.0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3546.0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284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余潭路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已建段</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4728.0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888.0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5616.0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285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新康路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938.7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1003.3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1942.1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286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体育场东街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滨河东街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432.0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382.1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814.1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287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朝阳中路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12234.9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18801.7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689.4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31036.5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288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调露寺东路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九峰北路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回龙东路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11874.5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5874.0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17748.5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289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繁江北路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人民渠桥头</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金彭西路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5749.3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3250.0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1719.2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8999.2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回龙东路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牡丹大道北二段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27419.9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13526.9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40946.8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回龙西路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泰安北路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牡丹大道北二段</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16441.3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12305.0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3014.1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870.7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31760.4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金星巷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870.3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870.3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金余北路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四通北街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2822.3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116.7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2939.1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蟠龙西路1</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泰安北路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3161.9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4797.7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585.7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7959.5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九峰北路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玉垒西路与玉垒东路口</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12889.3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5678.3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18567.6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九峰北路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蓥华西路与蓥华东路口</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玉垒西路与玉垒东路口</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7554.2</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3409.4</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10963.6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利民巷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新余路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金彭西路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1187.5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1187.5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6854.6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2373.2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9227.8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 龙锦路尽头</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4391.0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1745.7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6136.7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300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龙塔北路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龙塔路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彭敖路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14165.1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5743.2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485.4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19908.3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301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延秀街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桂花街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3782.9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412.9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4195.8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302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蟠龙东路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蟠龙南路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12910.1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5356.9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18267.0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303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蟠龙南路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回龙东路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牡丹大道北二段</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9378.4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6715.1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266.5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16093.5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304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彭白路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人民渠桥头</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管护界牌</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17837.1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17837.1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305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四通北街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四通南街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3856.3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1628.0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5484.3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306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四通东街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四通西街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延秀街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1005.7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588.7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1594.4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307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四通南街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四通北街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金彭西路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1321.1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1321.1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308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四通西街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体育场东街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四通东街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1128.7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1412.1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2540.8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309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体育场东街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金彭西路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6489.7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6780.1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13269.9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310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体育场西街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金彭西路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4967.0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4145.5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9112.5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311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新茶巷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新余路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金彭西路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847.7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847.7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312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新茶巷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新余北街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休闲园</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393.5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393.5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313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新康路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新康西路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四通北街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3977.3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4310.0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8287.2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314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新康西路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新康路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5055.1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915.7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5970.8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315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新余北街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新茶巷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2830.8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280.7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3111.5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316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新余街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体育场西街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3174.5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443.5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3618.0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317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新余路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新茶巷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体育场西街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2072.1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1813.6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224.2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3885.7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318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蓥华东路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蓥华西路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7981.8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4154.2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12135.9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319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蓥华西路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蟠龙南路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蓥华东路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6090.6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3099.5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9190.0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320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永兴巷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2752.7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2752.7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321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玉垒东路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玉垒西路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14869.9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3608.6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3650.6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18478.6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322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玉垒西路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牡丹大道北二段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玉垒东路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12150.0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4110.2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2993.8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16260.2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323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7号支渠路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人民渠</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龙塔路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4502.1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4502.1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324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北新巷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老房子</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北新路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1502.3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852.5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2354.8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325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滨河西巷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体育场东街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滨河南街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393.8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393.8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326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花园巷（2条）</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体育场东街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体育场西街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1495.5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1495.5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327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龙锦东二巷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537.8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537.8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328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龙锦东三巷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615.5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615.5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329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龙锦东四巷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700.8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700.8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330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龙锦东五巷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747.8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747.8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331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龙锦东一巷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龙锦东路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481.0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481.0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332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北新路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773.7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773.7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333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龙兴北六巷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北新路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269.2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269.2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334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龙兴北三巷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北新路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586.5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586.5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335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龙兴北四巷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北新路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442.7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442.7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336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龙兴北五巷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北新路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352.4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352.4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337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龙兴北西一巷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635.6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635.6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338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北新路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3434.2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3434.2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339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龙兴北巷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北新路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840.6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840.6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340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鲁碾巷（8条巷）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利民巷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体育场西街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1862.8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1862.8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341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欧陆园至朝阳北路无名路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欧陆园</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3344.2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3344.2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342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四通西巷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四通北街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937.5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937.5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343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体育场东街104号巷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体育场东街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583.5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583.5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344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蟠龙西路2</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三圣北路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泰安北路</w:t>
            </w:r>
            <w:r>
              <w:rPr>
                <w:rFonts w:hint="eastAsia" w:ascii="仿宋" w:hAnsi="仿宋" w:eastAsia="仿宋" w:cs="仿宋"/>
                <w:i w:val="0"/>
                <w:iCs w:val="0"/>
                <w:color w:val="auto"/>
                <w:kern w:val="0"/>
                <w:sz w:val="18"/>
                <w:szCs w:val="18"/>
                <w:highlight w:val="none"/>
                <w:lang w:val="en-US" w:eastAsia="zh-CN" w:bidi="ar-SA"/>
              </w:rPr>
              <w:t xml:space="preserve">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2493.0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252.5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0.0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2745.5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345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人民渠南侧河堤</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赛丹景大桥</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置信大桥以东200米</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11778.0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11778.0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346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北大街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龙兴南街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南大街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6647.7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3686.4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67.8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10334.1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347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缤纷四季小游园</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3145.0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3225.0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3225.0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348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朝阳东巷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牡丹西路南段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2613.0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3115.2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5728.2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349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朝阳南路、朝阳中路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金彭中路与金彭东路口</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天府中路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19178.4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16536.9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938.3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35715.4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350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东北市街</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金彭中路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东大街</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8082.0 </w:t>
            </w:r>
          </w:p>
        </w:tc>
        <w:tc>
          <w:tcPr>
            <w:tcW w:w="577"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4122.3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12204.3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351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东北市街游园</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2328.0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1811.0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1811.0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352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东大街</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东湖大街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西大街</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13518.9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10011.5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23530.3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353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东湖北街</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金彭东路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东湖南街</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7534.8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12549.9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20084.7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354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东湖大街</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牡丹大道北一段</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东大街</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11687.5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5665.1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17352.6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355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花园路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新民东街</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6252.7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3446.8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9699.5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356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东湖南街</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东湖北街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长江东路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12676.8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5494.4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18171.2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357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国泰东路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牡丹大道北一段</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国泰西路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4835.0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1909.1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6744.1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358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国泰南路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金彭东路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东湖南路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3982.7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2886.8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6869.4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359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国泰西街</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国泰东街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牡丹西路南段</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3502.9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1605.5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5108.4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360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车站建设银行小游园</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建行旁</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2530.0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844.0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844.0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361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牡丹西路南段</w:t>
            </w:r>
          </w:p>
        </w:tc>
        <w:tc>
          <w:tcPr>
            <w:tcW w:w="709" w:type="dxa"/>
            <w:tcBorders>
              <w:top w:val="nil"/>
              <w:left w:val="nil"/>
              <w:bottom w:val="nil"/>
              <w:right w:val="nil"/>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金彭东路</w:t>
            </w:r>
          </w:p>
        </w:tc>
        <w:tc>
          <w:tcPr>
            <w:tcW w:w="708"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英烈路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5766.1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3975.3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4100.0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832.3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13841.4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362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上升街</w:t>
            </w:r>
          </w:p>
        </w:tc>
        <w:tc>
          <w:tcPr>
            <w:tcW w:w="709"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金彭中路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东北市街</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3370.7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3370.7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363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天府东路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花龙路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天府中路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15605.8 </w:t>
            </w:r>
          </w:p>
        </w:tc>
        <w:tc>
          <w:tcPr>
            <w:tcW w:w="577"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24206.4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14140.7 </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7381.1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53952.9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364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天府东路、天府中路与朝阳南路交叉口</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3944.2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3944.2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365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天府东路与东湖南街、长江东路交叉口</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2148.5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2148.5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366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西大街、东大街与南大街、北大街交叉口</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1552.2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1552.2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367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星海湾小游园</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1752.0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571.0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571.0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368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星火巷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许家街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东大街</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1356.2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714.5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2070.7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369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许家街</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北大街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东北市街</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2138.6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1689.8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3828.4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370 </w:t>
            </w:r>
          </w:p>
        </w:tc>
        <w:tc>
          <w:tcPr>
            <w:tcW w:w="1276"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爱国二小区无名路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国泰东路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东湖大街</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9737.6 </w:t>
            </w:r>
          </w:p>
        </w:tc>
        <w:tc>
          <w:tcPr>
            <w:tcW w:w="577"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1016.3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10753.9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371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大龙潭东路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大龙潭西路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旌旗北路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5153.7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5918.3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324.4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11072.0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372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大龙潭南路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花龙南路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5503.3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973.4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6476.6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373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大龙潭西路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牡丹大道中段</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大龙潭东路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4557.9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2371.6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636.1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6929.5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374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东三环路二段</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东三环路三段 </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25775.7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6519.8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6135.7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32295.5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375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东三环路三段</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龙潭东路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东三环路二段</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21227.9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5727.0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6898.4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26954.8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376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东升街</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朝阳南路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2636.6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3654.8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6291.4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377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东升街91号旁巷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金彭中路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871.9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871.9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378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红照壁南街</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1499.5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1589.4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3088.9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379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红照壁南街</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金彭中路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东大街</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3537.3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2541.9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6079.2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380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花龙北路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花龙南路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8718.8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4221.5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108.0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12940.2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381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花龙东路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花龙西路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文化西路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7795.5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4101.5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11897.0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382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花龙路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天府东路与牡丹大道北一段口</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11765.8</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6178.9</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11048.8</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4531.0</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28993.4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383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花龙路至东三环二段无名路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东三环二段</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花龙路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1281.7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1281.7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384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花龙南路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大龙潭南路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花龙北路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3520.1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1779.7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5299.8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385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花龙西路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牡丹大道中段</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花龙东路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5928.8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1963.6 </w:t>
            </w:r>
          </w:p>
        </w:tc>
        <w:tc>
          <w:tcPr>
            <w:tcW w:w="850"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91.3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7892.4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386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旌旗北路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大龙潭东路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文化南路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5319.1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1678.6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4171.9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6997.7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387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旌旗南路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东三环路三段</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旌旗西路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3938.9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1562.5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1450.8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5501.4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388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旌旗西路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龙潭东路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文化南路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8218.8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2614.8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6406.3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10833.6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389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康乐路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东湖南街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4891.4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2291.5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7182.9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390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龙潭东路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东三环路三段</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7612.9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3232.0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3488.2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10844.9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391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龙潭东路与旌旗西路交叉口</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713.0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713.0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392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牡丹大道中段与大龙潭南路之间无名路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花龙西路30号前巷</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6040.5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3611.3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9651.8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393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文化南路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旌旗西路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8514.0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2891.2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7107.3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11405.2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394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文化西路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花龙东路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文化南路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4574.2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1709.2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1940.8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6283.4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395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新一路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金彭中路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1142.6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1142.6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396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兴盛路（含6条巷）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天府东路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朝阳南路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7589.5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4978.2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12567.7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397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银厂沟北路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银厂沟南路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7394.8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263.9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7658.7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398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银厂沟东路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银厂沟西路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苍旗路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6684.0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9483.8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6684.0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399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银厂沟西路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清白江东路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银厂沟东路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9743.6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15750.4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9743.6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400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英烈路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牡丹西路南段</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康乐街</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1981.1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1972.6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3953.8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401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长江东路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四方街</w:t>
            </w:r>
          </w:p>
        </w:tc>
        <w:tc>
          <w:tcPr>
            <w:tcW w:w="708" w:type="dxa"/>
            <w:tcBorders>
              <w:top w:val="nil"/>
              <w:left w:val="nil"/>
              <w:bottom w:val="nil"/>
              <w:right w:val="nil"/>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天府东路</w:t>
            </w:r>
          </w:p>
        </w:tc>
        <w:tc>
          <w:tcPr>
            <w:tcW w:w="709"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10806.7 </w:t>
            </w:r>
          </w:p>
        </w:tc>
        <w:tc>
          <w:tcPr>
            <w:tcW w:w="577"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2557.4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13364.1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402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仲愚北、旌旗北、旌旗路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天府东路延伸段</w:t>
            </w:r>
          </w:p>
        </w:tc>
        <w:tc>
          <w:tcPr>
            <w:tcW w:w="708"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规划下穿道路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40760.0 </w:t>
            </w:r>
          </w:p>
        </w:tc>
        <w:tc>
          <w:tcPr>
            <w:tcW w:w="577"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13876.0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54636.0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403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龙潭西路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青北路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7301.0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4172.0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11473.0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404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文化西路延伸</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康安南路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彭高北路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6894.0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5362.0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12256.0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405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旌旗南路2</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康安南路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规划2路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4581.0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3563.0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8144.0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406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文化东巷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康安南路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规划2路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4059.0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3157.0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7216.0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407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东湖东二巷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牡丹大道北一段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2907.0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2907.0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408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东湖东三巷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3002.3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3002.3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409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东湖东一巷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2598.3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2598.3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410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东湖二巷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东升南四巷</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259.7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259.7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411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东湖南巷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国泰南路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东湖东三巷</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1666.3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1666.3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412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东湖三巷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东湖四巷</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956.6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956.6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413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东湖四巷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东湖三巷</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986.8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986.8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414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东湖五巷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东升南四巷</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1284.2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1284.2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415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东湖西二巷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东湖南街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英烈路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1445.8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1445.8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416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东湖西三巷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东湖南街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英烈路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1184.7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1184.7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417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东湖西一巷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东湖南街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英烈路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1186.4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1186.4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418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东湖一巷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东升南四巷</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263.4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263.4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419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东升北一巷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朝阳中路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东升街</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590.8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590.8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420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东升南二巷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东湖三巷</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283.9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283.9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421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东升南三巷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东湖三巷</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297.9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297.9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422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东升南四巷含东大街383号旁巷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东大街</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911.5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911.5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423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东升南一巷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东升街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东湖三巷</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229.3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229.3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424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无名路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东湖五巷 </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东大街383号旁</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134.6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134.6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425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兴盛二巷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英烈路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983.9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983.9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426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兴盛三巷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英烈路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986.0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986.0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427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兴盛四巷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英烈路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兴盛路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1471.1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1471.1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428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兴盛五巷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英烈路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兴盛路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1575.1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1575.1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429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兴盛一巷</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英烈路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1037.4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1037.4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430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四方街</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长江东路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牡丹大道中段</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3486.4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527.3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4013.7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431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四方街正西路口无名路</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四方街</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7863.3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1790.0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703.9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9653.3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432 </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四方小区</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长江东路</w:t>
            </w:r>
          </w:p>
        </w:tc>
        <w:tc>
          <w:tcPr>
            <w:tcW w:w="70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长江路</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3885.0 </w:t>
            </w:r>
          </w:p>
        </w:tc>
        <w:tc>
          <w:tcPr>
            <w:tcW w:w="577"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3885.0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433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爱国小区（电力公司后面）</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11712.0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11712.0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434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六号支渠副支渠2</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东三环铁路桥两侧沟渠</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 </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1960.0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1960.0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435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洗脚河河堤</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1839.0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1839.0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436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滨湖路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临湖路一段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5055.2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7979.5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13034.7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437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繁江南路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繁江北路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天彭大道</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4790.6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3892.1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1805.8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8682.7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438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国贸前小游园</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211.0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548.1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548.1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439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环湖路一段</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清洋大街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成彭高速辅道</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39627.8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20838.1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60466.0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440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临湖路一段</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连封北街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南三环路一段与护贤东路交叉口无名路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19660.0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12876.7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32536.8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441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南大街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北大街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新郫彭路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6362.0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7533.7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13895.7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442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南河东街（含浦公路）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外南街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7677.7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1184.0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8861.7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443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南河西街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1707.3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1327.9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3035.2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444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清林街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滨湖路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护贤南路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24637.1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5474.7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10504.0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30111.8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445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清林西街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临湖路一段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清林街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6082.7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5300.0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11382.7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446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2775.2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2775.2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447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天贸巷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1025.4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1025.4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448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天彭大道</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护国七组</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外南街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48619.4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16533.3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2274.7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926.2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67427.4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449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外南街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天彭大道</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9034.9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2900.7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11935.7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450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协和路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南三环路二段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尽头</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35513.8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15840.2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51354.0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451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护贤北路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护贤南路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东河东路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9667.3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4040.8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13708.1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452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护贤东二路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护贤西二路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护国七组</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9952.1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5080.1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1661.4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51.8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16693.6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453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护贤东路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南三环路一段与护贤东路交叉口无名路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护贤东一路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7517.1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7244.0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1169.6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286.9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15930.7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454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护贤南路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清林街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护贤北路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17201.8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9222.0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26423.8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455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护贤西二路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新郫彭路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护贤东二路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13046.1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8269.1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21315.2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456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护贤西一路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贤清南路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护贤东一路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8070.1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3714.1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11784.2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457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环湖路一段、南三环路一段与护贤东路交叉口无名路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临湖路一段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护贤东路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10261.3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1779.4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12040.7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458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京一西路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外南街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繁江南路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1169.3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1169.3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459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老彭郫路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天彭大道</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新郫彭路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6241.6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4933.6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55.7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11175.1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460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南三环路二段</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新郫彭路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南三环路一段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37846.3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8438.9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7702.8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46285.2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461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南三环路一段</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南三环路二段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东三环路三段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39426.0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7155.8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6567.3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46581.8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462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清林东街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临湖路一段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清林街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5854.2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3751.2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9605.4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463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五贤路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新郫彭路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护贤北路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8917.5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5937.5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14855.0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464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五贤南路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西河东路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五贤路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2744.8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1885.6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4630.4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465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西河东路与五贤南路交叉口</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185.2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185.2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466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贤清北路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协和路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京五南路与京五西路交叉口无名路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14275.4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5085.5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19360.9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467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贤清南路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贤清北路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南三环路二段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23812.3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12722.2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639.4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36534.5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468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萧公路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南河东街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4339.5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4339.5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469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协和路与连封南街交叉口无名路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连封南街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3946.7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1127.4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5074.2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470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迎宾小区无名路（2条巷子）</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南大街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外南街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3132.2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3132.2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471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园丁巷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新民西路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7342.7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3165.2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10507.9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472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天府中路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2872.0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2872.0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5744.0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473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东河东路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天彭大道</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贤清北路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24668.0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10572.0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35240.0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474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护贤东一路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护国路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集贤路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2677.5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2082.5 </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4760.0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475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友城馆旁无名路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临湖路一段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环湖路一段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1860.0 </w:t>
            </w:r>
          </w:p>
        </w:tc>
        <w:tc>
          <w:tcPr>
            <w:tcW w:w="57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1860.0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476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彭州精神病院至天彭大道无名路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彭州精神病院</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朝阳南路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936.7 </w:t>
            </w:r>
          </w:p>
        </w:tc>
        <w:tc>
          <w:tcPr>
            <w:tcW w:w="5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val="en-US" w:eastAsia="zh-CN" w:bidi="ar-SA"/>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936.7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477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双虎小区无名路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京五西一巷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天彭大道</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2144.3 </w:t>
            </w:r>
          </w:p>
        </w:tc>
        <w:tc>
          <w:tcPr>
            <w:tcW w:w="5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val="en-US" w:eastAsia="zh-CN" w:bidi="ar-SA"/>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2144.3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478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天彭大道至教师院、京五小区（含）</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天彭大道</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12300.0 </w:t>
            </w:r>
          </w:p>
        </w:tc>
        <w:tc>
          <w:tcPr>
            <w:tcW w:w="5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val="en-US" w:eastAsia="zh-CN" w:bidi="ar-SA"/>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12300.0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479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贤德路（原护国村三组）</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2080.0 </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val="en-US"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2080.0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480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老成彭路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南三环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界牌</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33600.0 </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eastAsia="zh-CN" w:bidi="ar-SA"/>
              </w:rPr>
              <w:t xml:space="preserve">33600.0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481</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行政中心广场</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0</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320.3</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 </w:t>
            </w:r>
          </w:p>
        </w:tc>
        <w:tc>
          <w:tcPr>
            <w:tcW w:w="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10668.0</w:t>
            </w:r>
          </w:p>
        </w:tc>
        <w:tc>
          <w:tcPr>
            <w:tcW w:w="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32156.9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32477.2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482</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朝阳中路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0</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11871.8</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11871.8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483</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朝阳中路与泰安路、泰安北路交叉口</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0</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4339.0</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4339.0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484</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泰安北路与金华西路二段、金华西路一段交叉口</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0</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3847.0</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3847.0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485</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调露寺东路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回龙西路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七号支渠</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11972.3</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5685.4</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17657.7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486</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调露寺西路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回龙东路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七号支渠</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6612.5</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3668.4</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10280.9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487</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红照壁北街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红照壁南街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泰安路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1695.4</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color w:val="auto"/>
                <w:kern w:val="2"/>
                <w:sz w:val="18"/>
                <w:szCs w:val="18"/>
                <w:highlight w:val="none"/>
                <w:u w:val="none"/>
                <w:lang w:val="en-US" w:eastAsia="zh-CN" w:bidi="en-US"/>
              </w:rPr>
            </w:pPr>
            <w:r>
              <w:rPr>
                <w:rFonts w:hint="eastAsia" w:ascii="仿宋" w:hAnsi="仿宋" w:eastAsia="仿宋" w:cs="仿宋"/>
                <w:i w:val="0"/>
                <w:iCs/>
                <w:color w:val="auto"/>
                <w:kern w:val="0"/>
                <w:sz w:val="18"/>
                <w:szCs w:val="18"/>
                <w:highlight w:val="none"/>
                <w:u w:val="none"/>
                <w:lang w:val="en-US" w:eastAsia="zh-CN" w:bidi="ar"/>
              </w:rPr>
              <w:t>1505.2</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3200.6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488</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鸿运星城公厕对面小游园</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 </w:t>
            </w:r>
          </w:p>
        </w:tc>
        <w:tc>
          <w:tcPr>
            <w:tcW w:w="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3452.9</w:t>
            </w:r>
          </w:p>
        </w:tc>
        <w:tc>
          <w:tcPr>
            <w:tcW w:w="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709.7</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709.7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489</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花龙路、天府东路与牡丹大道北一段、牡丹大道中段交叉口</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4647.7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490</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花园路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北新路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4647.7</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4135.9</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366.8</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13518.1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491</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汉彭路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9382.2</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26866.5</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24263.1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7069.3</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99172.4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492</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金彭东路、金彭中路与朝阳中路、朝阳南路交叉口（昇华台接点）</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48042.8</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6027.6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493</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金彭花园小游园</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6027.6</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750.0 </w:t>
            </w:r>
          </w:p>
        </w:tc>
        <w:tc>
          <w:tcPr>
            <w:tcW w:w="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1045.0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1045.0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494</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金彭中路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金彭西路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9115.0</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9.3</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28751.5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495</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金彭中路与红照壁南街、红照壁北街交叉口</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19636.5</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1179.0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496</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金彭中路与花园路、东湖路交叉口</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1179.0</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1629.9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497</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金彭中路与团结街、东北市街交叉口</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1629.9</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1696.1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498</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老马市街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龙兴北街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泰安路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1696.1</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3579.0</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5715.4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499</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朝阳中路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牡丹北路东段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2136.4</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14626.5</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742.2</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31493.4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500</w:t>
            </w:r>
            <w:r>
              <w:rPr>
                <w:rFonts w:hint="eastAsia" w:ascii="仿宋" w:hAnsi="仿宋" w:eastAsia="仿宋" w:cs="仿宋"/>
                <w:i w:val="0"/>
                <w:iCs w:val="0"/>
                <w:color w:val="auto"/>
                <w:kern w:val="0"/>
                <w:sz w:val="18"/>
                <w:szCs w:val="18"/>
                <w:highlight w:val="none"/>
                <w:lang w:eastAsia="zh-CN" w:bidi="ar-SA"/>
              </w:rPr>
              <w:t xml:space="preserve"> </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东湖北街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三圣南路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16867.0</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7722.6</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4972.4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1267.8</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21784.7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501</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牡丹东路、东湖北街与彭东路交叉口</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9089.7</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3231.2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502</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牡丹西路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牡丹西路南段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金华西路一段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3231.2</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6250.4</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4429.4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1139.2</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22639.8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503</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牡丹西路、牡丹西路南段与金彭东路交叉口</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11960.0</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4505.8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504</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清平小学过街天桥</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4505.8</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472.1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505</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清平中学过街天桥</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472.1</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536.9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506</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三圣南路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三圣北路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536.9</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3314.3</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1639.5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540.0</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8754.5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507</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升华台节点</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3800.7</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1210.0 </w:t>
            </w:r>
          </w:p>
        </w:tc>
        <w:tc>
          <w:tcPr>
            <w:tcW w:w="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4840.0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4840.0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508</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泰安路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泰安北路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老马市街</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4147.1</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1429.8</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8420.3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509</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团结巷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团结街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花园路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1</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4273.1</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1491.0</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2983.9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510</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朝阳中路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1492.9</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14678.5</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996.3</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14678.5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511</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4045.4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512</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尽头</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4045.4</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549.1</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3949.8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513</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金彭东路与泰康路交叉口无名路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3400.7</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1970.2</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4986.9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514</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花龙路与花龙北路交叉口无名路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3016.7</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1046.5</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5497.9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515</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调露巷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牡丹西路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4451.4</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1108.5</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2531.4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516</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红照壁北街46号旁巷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红照壁北街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花园路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1423.0</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1257.3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517</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红照壁北街花园路67号巷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红照壁北街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花园路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1257.3</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722.0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518</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花龙北路、无名路与花龙路交叉口</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722.0</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2384.2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519</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花龙路与花龙北路交叉口无名路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花龙北路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2384.2</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3464.9</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9310.8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520</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铧福街（在建）</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尽头</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5845.9</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415.7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521</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铧炉街</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团结街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尽头</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415.7</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621.4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522</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金华东路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牡丹大道北二段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尽头</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621.4</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7919.5</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3239.9</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32596.2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523</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金华西路一段</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金华西路二段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金华东路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21436.7</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17180.8</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7646.9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2223.6</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41851.6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524</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老汉彭路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胜利路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17023.9</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3615.2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525</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牡丹北路东段</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牡丹大道北二段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尽头</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3615.2</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7238.9</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21321.8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526</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农坛路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花园路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朝阳中路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14082.8</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799.1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527</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泰康路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799.1</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31367.8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528</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泰兴路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牡丹大道北一段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31367.8</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721.1</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6784.9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529</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国泰北路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牡丹北路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2</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6063.7</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2310</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5280.0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529</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爱国北二巷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爱国东二巷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2970</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944.8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530</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爱国北三巷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爱国东二巷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944.8</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1010.2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531</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爱国北三巷中段无名路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爱国北三巷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1010.2</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1441.4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532</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泰康路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1441.4</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809.3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533</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爱国东一巷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809.3</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1199.4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534</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爱国北巷与爱国路交叉口无名路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泰康路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泰康路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1199.4</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2734.7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535</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爱国北巷正北路口无名路(4条)</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爱国东一巷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尽头</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2734.7</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2302.4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536</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爱国东二巷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爱国北三巷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2302.4</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1841.0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537</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爱国东六巷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1841.0</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1639.3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538</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爱国东七巷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尽头</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1639.3</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875.1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539</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爱国东三巷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875.1</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1597.7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540</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爱国东四巷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1597.7</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1692.8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541</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爱国东五巷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1692.8</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1634.1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542</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爱国东一巷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1634.1</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1081.0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543</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爱国南巷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爱国北巷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泰康路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1081.0</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1946.0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544</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调露小区无名巷道(18条)</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调露寺东路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金华东路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1946.0</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43428.0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545</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东湖大街延伸段（羊叉路）</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牡丹大道北一段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43428.0</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3962.8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546</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金彭东路与胜利路交叉口无名路（纳入7号支渠）</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牡丹大道北二段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胜利路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3962.8</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1960.2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547</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龙塔东二巷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龙塔西二巷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龙塔东巷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1960.2</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599.2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548</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龙塔东三巷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龙塔西二巷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龙塔东巷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599.2</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608.8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548</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龙塔东四巷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龙塔西二巷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龙塔东巷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608.8</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450.9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549</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龙塔东五巷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龙塔西二巷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龙塔东巷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450.9</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540.2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550</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龙塔东巷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龙塔东五巷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花园路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540.2</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1763.2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551</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龙塔东一巷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龙塔西二巷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龙塔东巷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1763.2</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590.1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552</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龙塔西二巷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龙塔西五巷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花园路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590.1</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2337.4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553</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龙塔西一巷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团结街</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龙塔西二巷</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2337.4</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1192.0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554</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牡丹北巷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金华东路</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牡丹北路东段</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1192.0</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2981.2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555</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牡丹南巷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牡丹北路东段</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尽头</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2981.2</w:t>
            </w:r>
          </w:p>
        </w:tc>
        <w:tc>
          <w:tcPr>
            <w:tcW w:w="5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2209.8 </w:t>
            </w:r>
          </w:p>
        </w:tc>
      </w:tr>
      <w:tr>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556</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七号支渠</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五通桥</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三环路</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3</w:t>
            </w:r>
          </w:p>
        </w:tc>
        <w:tc>
          <w:tcPr>
            <w:tcW w:w="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2209.8</w:t>
            </w:r>
          </w:p>
        </w:tc>
        <w:tc>
          <w:tcPr>
            <w:tcW w:w="5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800.0</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color w:val="auto"/>
                <w:kern w:val="0"/>
                <w:sz w:val="18"/>
                <w:szCs w:val="18"/>
                <w:highlight w:val="none"/>
                <w:u w:val="none"/>
                <w:lang w:val="en-US" w:eastAsia="zh-CN" w:bidi="ar"/>
              </w:rPr>
              <w:t xml:space="preserve">800.0 </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557</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天桂路示范段</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新郫彭路</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示范段</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32200.0</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2030.0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4350.0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38580.0</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558</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成彭高速辅道</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成彭高速管理所</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天彭大道</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7183.8</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25412.8</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10692.5</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2543.0</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43289.1</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559</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西河东路</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天桂路</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牡丹大道南段</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33739.1</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9695.5</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12103.9</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7615.2</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55538.4</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560</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新郫彭路与西河东路，天桂路交叉口</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8451.1 </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8451.1 </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561</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西河东路与天彭大道交叉口</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6847.9 </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6847.9 </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562</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牡丹大道南段</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天彭大道</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柏江北路</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34100.6 </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14302.3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24088.0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3011.0 </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72490.9 </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563</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牡丹大道中段</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柏江北路</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天府东路</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42631.6 </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17632.0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29696.0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3712.0 </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89959.6 </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564</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牡丹大道中段与花龙路交叉口</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1736.2 </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1736.2 </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56</w:t>
            </w:r>
            <w:r>
              <w:rPr>
                <w:rFonts w:hint="eastAsia" w:ascii="仿宋" w:hAnsi="仿宋" w:eastAsia="仿宋" w:cs="仿宋"/>
                <w:i w:val="0"/>
                <w:iCs w:val="0"/>
                <w:color w:val="auto"/>
                <w:kern w:val="0"/>
                <w:sz w:val="18"/>
                <w:szCs w:val="18"/>
                <w:highlight w:val="none"/>
                <w:lang w:eastAsia="zh-CN" w:bidi="ar-SA"/>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牡丹大道北一段</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金彭东路</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天府东路</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26180.0</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10450.0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17600.0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2200.0</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54230.0 </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56</w:t>
            </w:r>
            <w:r>
              <w:rPr>
                <w:rFonts w:hint="eastAsia" w:ascii="仿宋" w:hAnsi="仿宋" w:eastAsia="仿宋" w:cs="仿宋"/>
                <w:i w:val="0"/>
                <w:iCs w:val="0"/>
                <w:color w:val="auto"/>
                <w:kern w:val="0"/>
                <w:sz w:val="18"/>
                <w:szCs w:val="18"/>
                <w:highlight w:val="none"/>
                <w:lang w:eastAsia="zh-CN" w:bidi="ar-SA"/>
              </w:rPr>
              <w:t>6</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牡丹大道北二段</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金彭东路</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回龙东路</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22637.7</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8949.0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15072.0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1884.0</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46658.7 </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56</w:t>
            </w:r>
            <w:r>
              <w:rPr>
                <w:rFonts w:hint="eastAsia" w:ascii="仿宋" w:hAnsi="仿宋" w:eastAsia="仿宋" w:cs="仿宋"/>
                <w:i w:val="0"/>
                <w:iCs w:val="0"/>
                <w:color w:val="auto"/>
                <w:kern w:val="0"/>
                <w:sz w:val="18"/>
                <w:szCs w:val="18"/>
                <w:highlight w:val="none"/>
                <w:lang w:eastAsia="zh-CN" w:bidi="ar-SA"/>
              </w:rPr>
              <w:t>7</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牡丹大道北二段</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回龙东路</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龙塔路</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32546.5 </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12991.3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21880.0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2735.0 </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 </w:t>
            </w: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67417.8 </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56</w:t>
            </w:r>
            <w:r>
              <w:rPr>
                <w:rFonts w:hint="eastAsia" w:ascii="仿宋" w:hAnsi="仿宋" w:eastAsia="仿宋" w:cs="仿宋"/>
                <w:i w:val="0"/>
                <w:iCs w:val="0"/>
                <w:color w:val="auto"/>
                <w:kern w:val="0"/>
                <w:sz w:val="18"/>
                <w:szCs w:val="18"/>
                <w:highlight w:val="none"/>
                <w:lang w:eastAsia="zh-CN" w:bidi="ar-SA"/>
              </w:rPr>
              <w:t>8</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牡丹大道北三段</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龙塔路</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滨河北路</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15565.2 </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6213.0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5223.7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1308.0 </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27001.9 </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val="en-US" w:eastAsia="zh-CN" w:bidi="ar-SA"/>
              </w:rPr>
              <w:t>56</w:t>
            </w:r>
            <w:r>
              <w:rPr>
                <w:rFonts w:hint="eastAsia" w:ascii="仿宋" w:hAnsi="仿宋" w:eastAsia="仿宋" w:cs="仿宋"/>
                <w:i w:val="0"/>
                <w:iCs w:val="0"/>
                <w:color w:val="auto"/>
                <w:kern w:val="0"/>
                <w:sz w:val="18"/>
                <w:szCs w:val="18"/>
                <w:highlight w:val="none"/>
                <w:lang w:eastAsia="zh-CN" w:bidi="ar-SA"/>
              </w:rPr>
              <w:t>9</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牡丹大道北三段</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滨河北路</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三环路</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 </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27300.0 </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7800.0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18200.0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2600.0 </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53300.0 </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570</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汉彭路</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金彭东路</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105省道</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49602.4</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11325.0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27606.8</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3857.5</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88534.2 </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571</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汉彭路成绵复线延伸段</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成绵高速收费站</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蔬香路红绿灯口</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21189.0</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21189.0</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572</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成绵复线公厕小游园</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1</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691.0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691.0 </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573</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六号支渠副支渠1</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牡丹大道南段铁路桥两侧沟渠</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 </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1610.0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1610.0 </w:t>
            </w:r>
          </w:p>
        </w:tc>
      </w:tr>
      <w:tr>
        <w:tblPrEx>
          <w:tblCellMar>
            <w:top w:w="0" w:type="dxa"/>
            <w:left w:w="108" w:type="dxa"/>
            <w:bottom w:w="0" w:type="dxa"/>
            <w:right w:w="108" w:type="dxa"/>
          </w:tblCellMar>
        </w:tblPrEx>
        <w:trPr>
          <w:trHeight w:val="63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val="en-US" w:eastAsia="zh-CN" w:bidi="ar-SA"/>
              </w:rPr>
            </w:pPr>
            <w:r>
              <w:rPr>
                <w:rFonts w:hint="eastAsia" w:ascii="仿宋" w:hAnsi="仿宋" w:eastAsia="仿宋" w:cs="仿宋"/>
                <w:i w:val="0"/>
                <w:iCs w:val="0"/>
                <w:color w:val="auto"/>
                <w:kern w:val="0"/>
                <w:sz w:val="18"/>
                <w:szCs w:val="18"/>
                <w:highlight w:val="none"/>
                <w:lang w:val="en-US" w:eastAsia="zh-CN" w:bidi="ar-SA"/>
              </w:rPr>
              <w:t>574</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协力制药前沟渠</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3 </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5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1080.0 </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73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18"/>
                <w:szCs w:val="18"/>
                <w:highlight w:val="none"/>
                <w:lang w:eastAsia="zh-CN" w:bidi="ar-SA"/>
              </w:rPr>
            </w:pPr>
            <w:r>
              <w:rPr>
                <w:rFonts w:hint="eastAsia" w:ascii="仿宋" w:hAnsi="仿宋" w:eastAsia="仿宋" w:cs="仿宋"/>
                <w:i w:val="0"/>
                <w:iCs w:val="0"/>
                <w:color w:val="auto"/>
                <w:kern w:val="0"/>
                <w:sz w:val="18"/>
                <w:szCs w:val="18"/>
                <w:highlight w:val="none"/>
                <w:lang w:eastAsia="zh-CN" w:bidi="ar-SA"/>
              </w:rPr>
              <w:t xml:space="preserve">1080.0 </w:t>
            </w:r>
          </w:p>
        </w:tc>
      </w:tr>
    </w:tbl>
    <w:p>
      <w:pPr>
        <w:pStyle w:val="7"/>
        <w:rPr>
          <w:rFonts w:hint="eastAsia"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3、服务内容说明</w:t>
      </w:r>
    </w:p>
    <w:p>
      <w:pPr>
        <w:spacing w:line="360" w:lineRule="auto"/>
        <w:ind w:firstLine="480" w:firstLineChars="200"/>
        <w:rPr>
          <w:rFonts w:ascii="仿宋" w:hAnsi="仿宋" w:eastAsia="仿宋" w:cstheme="minorEastAsia"/>
          <w:i w:val="0"/>
          <w:color w:val="auto"/>
          <w:sz w:val="24"/>
          <w:highlight w:val="none"/>
          <w:lang w:eastAsia="zh-CN"/>
        </w:rPr>
      </w:pPr>
      <w:r>
        <w:rPr>
          <w:rFonts w:hint="eastAsia" w:ascii="仿宋" w:hAnsi="仿宋" w:eastAsia="仿宋" w:cstheme="minorEastAsia"/>
          <w:i w:val="0"/>
          <w:color w:val="auto"/>
          <w:sz w:val="24"/>
          <w:szCs w:val="24"/>
          <w:highlight w:val="none"/>
          <w:lang w:eastAsia="zh-CN"/>
        </w:rPr>
        <w:t>3.1本项目提供的道路、河道、公园、广场、车行道、绿化带等数据仅作为参考，与实际面积可能存在一定的误差；由投标人实地勘察自行测算；</w:t>
      </w:r>
    </w:p>
    <w:p>
      <w:pPr>
        <w:spacing w:line="360" w:lineRule="auto"/>
        <w:ind w:firstLine="480" w:firstLineChars="200"/>
        <w:rPr>
          <w:rFonts w:ascii="仿宋" w:hAnsi="仿宋" w:eastAsia="仿宋" w:cstheme="minorEastAsia"/>
          <w:i w:val="0"/>
          <w:color w:val="auto"/>
          <w:sz w:val="24"/>
          <w:highlight w:val="none"/>
          <w:lang w:eastAsia="zh-CN"/>
        </w:rPr>
      </w:pPr>
      <w:r>
        <w:rPr>
          <w:rFonts w:hint="eastAsia" w:ascii="仿宋" w:hAnsi="仿宋" w:eastAsia="仿宋" w:cstheme="minorEastAsia"/>
          <w:i w:val="0"/>
          <w:color w:val="auto"/>
          <w:sz w:val="24"/>
          <w:szCs w:val="24"/>
          <w:highlight w:val="none"/>
          <w:lang w:eastAsia="zh-CN"/>
        </w:rPr>
        <w:t>3.2在项目服务期内，因市政建设或河道清淤需要征用、临时占用，需要调整服务区域范围时，采购人根据占用的时间和实际数量，扣除相应的服务费用，中标人须按采购人要求执行。由采购人将核减区域面积、人数、机械化作业及核减经费以书面形式告知彭州市综合行政执法局，具体核减方式按该核减区域长度、面积与区域总长度、总面积比例来测算此次需要核减的经费。</w:t>
      </w:r>
    </w:p>
    <w:p>
      <w:pPr>
        <w:pStyle w:val="4"/>
        <w:jc w:val="left"/>
        <w:rPr>
          <w:rFonts w:ascii="仿宋" w:hAnsi="仿宋"/>
          <w:i w:val="0"/>
          <w:color w:val="auto"/>
          <w:sz w:val="24"/>
          <w:szCs w:val="24"/>
          <w:highlight w:val="none"/>
          <w:lang w:eastAsia="zh-CN"/>
        </w:rPr>
      </w:pPr>
      <w:r>
        <w:rPr>
          <w:rFonts w:hint="eastAsia" w:ascii="仿宋" w:hAnsi="仿宋"/>
          <w:i w:val="0"/>
          <w:color w:val="auto"/>
          <w:sz w:val="24"/>
          <w:szCs w:val="24"/>
          <w:highlight w:val="none"/>
          <w:lang w:eastAsia="zh-CN"/>
        </w:rPr>
        <w:t>三、商务要求</w:t>
      </w:r>
    </w:p>
    <w:p>
      <w:pPr>
        <w:pStyle w:val="5"/>
        <w:rPr>
          <w:rFonts w:ascii="仿宋" w:hAnsi="仿宋"/>
          <w:i w:val="0"/>
          <w:color w:val="auto"/>
          <w:highlight w:val="none"/>
          <w:lang w:eastAsia="zh-CN"/>
        </w:rPr>
      </w:pPr>
      <w:r>
        <w:rPr>
          <w:rFonts w:hint="eastAsia" w:ascii="仿宋" w:hAnsi="仿宋"/>
          <w:i w:val="0"/>
          <w:color w:val="auto"/>
          <w:highlight w:val="none"/>
          <w:lang w:eastAsia="zh-CN"/>
        </w:rPr>
        <w:t>（一）采购标的其他技术、服务等要求</w:t>
      </w:r>
    </w:p>
    <w:p>
      <w:pPr>
        <w:pStyle w:val="6"/>
        <w:rPr>
          <w:rFonts w:ascii="仿宋" w:hAnsi="仿宋"/>
          <w:b/>
          <w:i w:val="0"/>
          <w:color w:val="auto"/>
          <w:highlight w:val="none"/>
          <w:lang w:eastAsia="zh-CN"/>
        </w:rPr>
      </w:pPr>
      <w:r>
        <w:rPr>
          <w:rFonts w:hint="eastAsia" w:ascii="仿宋" w:hAnsi="仿宋"/>
          <w:b/>
          <w:i w:val="0"/>
          <w:color w:val="auto"/>
          <w:highlight w:val="none"/>
          <w:lang w:eastAsia="zh-CN"/>
        </w:rPr>
        <w:t>1、机制体制要求</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1）投标人应在投标文件中提供针对本项目的管理、作业制度，包括《项目经理岗位责任制度》《机械化清扫方案》《冲洗除尘方案》《垃圾分类管理方案》《垃圾清运方案》《快速保洁方案》《绿化带捡拾方案》《牛皮癣清除方案》《公厕管护方案》《应急处置方案》。并承诺中标后，根据采购人要求深化各项制度，并提供采购人备案。</w:t>
      </w:r>
    </w:p>
    <w:p>
      <w:pPr>
        <w:spacing w:line="360" w:lineRule="auto"/>
        <w:ind w:firstLine="480" w:firstLineChars="200"/>
        <w:contextualSpacing/>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投标人应按采购人要求建立安全生产培训、安全生产自查等各类台账，并供采购人随时查看，相关内容除采购人管理人员要求不得泄露。应按时向采购人报送各类数据、报表、信息等资料，不得弄虚作假，出现问题及时与采购</w:t>
      </w:r>
      <w:r>
        <w:rPr>
          <w:rFonts w:hint="eastAsia" w:ascii="仿宋" w:hAnsi="仿宋" w:eastAsia="仿宋"/>
          <w:i w:val="0"/>
          <w:color w:val="auto"/>
          <w:sz w:val="24"/>
          <w:highlight w:val="none"/>
          <w:lang w:val="en-US" w:eastAsia="zh-CN"/>
        </w:rPr>
        <w:t>人</w:t>
      </w:r>
      <w:r>
        <w:rPr>
          <w:rFonts w:hint="eastAsia" w:ascii="仿宋" w:hAnsi="仿宋" w:eastAsia="仿宋"/>
          <w:i w:val="0"/>
          <w:color w:val="auto"/>
          <w:sz w:val="24"/>
          <w:highlight w:val="none"/>
          <w:lang w:eastAsia="zh-CN"/>
        </w:rPr>
        <w:t>进行沟通。</w:t>
      </w:r>
    </w:p>
    <w:p>
      <w:pPr>
        <w:spacing w:line="360" w:lineRule="auto"/>
        <w:ind w:firstLine="480" w:firstLineChars="200"/>
        <w:contextualSpacing/>
        <w:textAlignment w:val="center"/>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（3）投标人在中标后，在实施范围内设立服务实施区域管理机构，对服务开展进行精细化管理，确保服务人员持续稳定、服务设施设备存放有序、出现问题能立即处置、信息传达通畅保证项目实施的及时性。</w:t>
      </w:r>
    </w:p>
    <w:p>
      <w:pPr>
        <w:spacing w:line="360" w:lineRule="auto"/>
        <w:ind w:firstLine="480" w:firstLineChars="200"/>
        <w:contextualSpacing/>
        <w:textAlignment w:val="center"/>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服务实施区域管理机构设立至少达到以下要求：①具备管理所需要的办公设施设备；</w:t>
      </w:r>
      <w:r>
        <w:rPr>
          <w:rFonts w:hint="eastAsia" w:ascii="宋体" w:hAnsi="宋体" w:eastAsia="宋体" w:cs="宋体"/>
          <w:i w:val="0"/>
          <w:color w:val="auto"/>
          <w:sz w:val="24"/>
          <w:highlight w:val="none"/>
          <w:lang w:eastAsia="zh-CN"/>
        </w:rPr>
        <w:t>②</w:t>
      </w:r>
      <w:r>
        <w:rPr>
          <w:rFonts w:hint="eastAsia" w:ascii="仿宋" w:hAnsi="仿宋" w:eastAsia="仿宋"/>
          <w:i w:val="0"/>
          <w:color w:val="auto"/>
          <w:sz w:val="24"/>
          <w:highlight w:val="none"/>
          <w:lang w:eastAsia="zh-CN"/>
        </w:rPr>
        <w:t>挂牌办公，明确公司名称及服务区域并在办公区域醒目位置悬挂相关规章制度及规范；</w:t>
      </w:r>
      <w:r>
        <w:rPr>
          <w:rFonts w:hint="eastAsia" w:ascii="宋体" w:hAnsi="宋体" w:eastAsia="宋体" w:cs="宋体"/>
          <w:i w:val="0"/>
          <w:color w:val="auto"/>
          <w:sz w:val="24"/>
          <w:highlight w:val="none"/>
          <w:lang w:eastAsia="zh-CN"/>
        </w:rPr>
        <w:t>③</w:t>
      </w:r>
      <w:r>
        <w:rPr>
          <w:rFonts w:hint="eastAsia" w:ascii="仿宋" w:hAnsi="仿宋" w:eastAsia="仿宋"/>
          <w:i w:val="0"/>
          <w:color w:val="auto"/>
          <w:sz w:val="24"/>
          <w:highlight w:val="none"/>
          <w:lang w:eastAsia="zh-CN"/>
        </w:rPr>
        <w:t>设置环卫工人饮水区及休息区。</w:t>
      </w:r>
    </w:p>
    <w:p>
      <w:pPr>
        <w:spacing w:line="360" w:lineRule="auto"/>
        <w:ind w:firstLine="480" w:firstLineChars="200"/>
        <w:contextualSpacing/>
        <w:textAlignment w:val="center"/>
        <w:rPr>
          <w:rFonts w:cs="仿宋_GB2312"/>
          <w:color w:val="auto"/>
          <w:sz w:val="32"/>
          <w:szCs w:val="32"/>
          <w:highlight w:val="none"/>
          <w:lang w:eastAsia="zh-CN"/>
        </w:rPr>
      </w:pPr>
      <w:r>
        <w:rPr>
          <w:rFonts w:hint="eastAsia" w:ascii="仿宋" w:hAnsi="仿宋" w:eastAsia="仿宋"/>
          <w:i w:val="0"/>
          <w:color w:val="auto"/>
          <w:sz w:val="24"/>
          <w:highlight w:val="none"/>
          <w:lang w:eastAsia="zh-CN"/>
        </w:rPr>
        <w:t>（4）投标人应构建符合项目管理要求的组织构架，配置符合本次项目需求的项目经理1名，下属分管项目副经理不少于4名（清扫保洁≥1、公厕管护≥1、垃圾分类收运≥1、应急保障及维修≥1）。未经采购人书面同意，不得变更拟驻派本项目的项目负责人及其下属分管项目副经理。</w:t>
      </w:r>
    </w:p>
    <w:p>
      <w:pPr>
        <w:spacing w:line="360" w:lineRule="auto"/>
        <w:ind w:firstLine="480" w:firstLineChars="200"/>
        <w:contextualSpacing/>
        <w:textAlignment w:val="center"/>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（5）投标人应加强对作业人员法律法规、业务技能、疫情防控等方面的培训，作业人员及项目管理人员应文明礼貌、态度和蔼。</w:t>
      </w:r>
    </w:p>
    <w:p>
      <w:pPr>
        <w:spacing w:line="360" w:lineRule="auto"/>
        <w:ind w:firstLine="480" w:firstLineChars="200"/>
        <w:contextualSpacing/>
        <w:textAlignment w:val="center"/>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6）投标人应严格执行《成都市环卫工人健康安全关爱办法》，禁止侵犯作业人员合法权益。投标人应按《成都市环卫工人服装及装备技术导则》规范着装，从事水域作业的人员应配备安全防护用品。相关着装和防护用品由投标人自行负责，费用自理。</w:t>
      </w:r>
    </w:p>
    <w:p>
      <w:pPr>
        <w:pStyle w:val="6"/>
        <w:rPr>
          <w:rFonts w:ascii="仿宋" w:hAnsi="仿宋"/>
          <w:b/>
          <w:i w:val="0"/>
          <w:color w:val="auto"/>
          <w:highlight w:val="none"/>
          <w:lang w:eastAsia="zh-CN"/>
        </w:rPr>
      </w:pPr>
      <w:r>
        <w:rPr>
          <w:rFonts w:hint="eastAsia" w:ascii="仿宋" w:hAnsi="仿宋"/>
          <w:b/>
          <w:i w:val="0"/>
          <w:color w:val="auto"/>
          <w:highlight w:val="none"/>
          <w:lang w:eastAsia="zh-CN"/>
        </w:rPr>
        <w:t>2、环卫机具管理要求</w:t>
      </w:r>
    </w:p>
    <w:p>
      <w:pPr>
        <w:spacing w:line="360" w:lineRule="auto"/>
        <w:ind w:firstLine="480" w:firstLineChars="200"/>
        <w:rPr>
          <w:rFonts w:ascii="仿宋" w:hAnsi="仿宋" w:eastAsia="仿宋" w:cs="仿宋"/>
          <w:bCs/>
          <w:i w:val="0"/>
          <w:color w:val="auto"/>
          <w:kern w:val="0"/>
          <w:sz w:val="24"/>
          <w:szCs w:val="32"/>
          <w:highlight w:val="none"/>
          <w:shd w:val="clear" w:color="auto" w:fill="FFFFFF"/>
          <w:lang w:eastAsia="zh-CN"/>
        </w:rPr>
      </w:pPr>
      <w:r>
        <w:rPr>
          <w:rFonts w:hint="eastAsia" w:ascii="仿宋" w:hAnsi="仿宋" w:eastAsia="仿宋" w:cs="仿宋"/>
          <w:bCs/>
          <w:i w:val="0"/>
          <w:color w:val="auto"/>
          <w:kern w:val="0"/>
          <w:sz w:val="24"/>
          <w:szCs w:val="32"/>
          <w:highlight w:val="none"/>
          <w:shd w:val="clear" w:color="auto" w:fill="FFFFFF"/>
          <w:lang w:eastAsia="zh-CN"/>
        </w:rPr>
        <w:t>（1）投标人应保证设施设备和作业机具的种类、功能、数量在中标后签订合同</w:t>
      </w:r>
      <w:r>
        <w:rPr>
          <w:rFonts w:hint="eastAsia" w:ascii="仿宋" w:hAnsi="仿宋" w:eastAsia="仿宋" w:cs="仿宋"/>
          <w:bCs/>
          <w:i w:val="0"/>
          <w:color w:val="auto"/>
          <w:kern w:val="0"/>
          <w:sz w:val="24"/>
          <w:szCs w:val="32"/>
          <w:highlight w:val="none"/>
          <w:shd w:val="clear" w:color="auto" w:fill="FFFFFF"/>
          <w:lang w:val="en-US" w:eastAsia="zh-CN"/>
        </w:rPr>
        <w:t>前</w:t>
      </w:r>
      <w:r>
        <w:rPr>
          <w:rFonts w:hint="eastAsia" w:ascii="仿宋" w:hAnsi="仿宋" w:eastAsia="仿宋" w:cs="仿宋"/>
          <w:bCs/>
          <w:i w:val="0"/>
          <w:color w:val="auto"/>
          <w:kern w:val="0"/>
          <w:sz w:val="24"/>
          <w:szCs w:val="32"/>
          <w:highlight w:val="none"/>
          <w:shd w:val="clear" w:color="auto" w:fill="FFFFFF"/>
          <w:lang w:eastAsia="zh-CN"/>
        </w:rPr>
        <w:t>配置到位。</w:t>
      </w:r>
    </w:p>
    <w:p>
      <w:pPr>
        <w:spacing w:line="360" w:lineRule="auto"/>
        <w:ind w:firstLine="480" w:firstLineChars="200"/>
        <w:rPr>
          <w:rFonts w:ascii="仿宋" w:hAnsi="仿宋" w:eastAsia="仿宋" w:cs="仿宋"/>
          <w:bCs/>
          <w:i w:val="0"/>
          <w:color w:val="auto"/>
          <w:kern w:val="0"/>
          <w:sz w:val="24"/>
          <w:szCs w:val="32"/>
          <w:highlight w:val="none"/>
          <w:shd w:val="clear" w:color="auto" w:fill="FFFFFF"/>
          <w:lang w:eastAsia="zh-CN"/>
        </w:rPr>
      </w:pPr>
      <w:r>
        <w:rPr>
          <w:rFonts w:hint="eastAsia" w:ascii="仿宋" w:hAnsi="仿宋" w:eastAsia="仿宋" w:cs="仿宋"/>
          <w:bCs/>
          <w:i w:val="0"/>
          <w:color w:val="auto"/>
          <w:kern w:val="0"/>
          <w:sz w:val="24"/>
          <w:szCs w:val="32"/>
          <w:highlight w:val="none"/>
          <w:shd w:val="clear" w:color="auto" w:fill="FFFFFF"/>
          <w:lang w:eastAsia="zh-CN"/>
        </w:rPr>
        <w:t>（2）投标人为本项目配置的作业车辆，应按《成都市小型低速环卫作业机具自编号和标识涂装技术导则》统一涂装，</w:t>
      </w:r>
      <w:r>
        <w:rPr>
          <w:rFonts w:hint="eastAsia" w:ascii="仿宋" w:hAnsi="仿宋" w:eastAsia="仿宋" w:cs="仿宋"/>
          <w:bCs/>
          <w:i w:val="0"/>
          <w:color w:val="auto"/>
          <w:kern w:val="0"/>
          <w:sz w:val="24"/>
          <w:szCs w:val="32"/>
          <w:highlight w:val="none"/>
          <w:shd w:val="clear" w:color="auto" w:fill="FFFFFF"/>
          <w:lang w:val="en-US" w:eastAsia="zh-CN"/>
        </w:rPr>
        <w:t>并</w:t>
      </w:r>
      <w:r>
        <w:rPr>
          <w:rFonts w:hint="eastAsia" w:ascii="仿宋" w:hAnsi="仿宋" w:eastAsia="仿宋" w:cs="仿宋"/>
          <w:bCs/>
          <w:i w:val="0"/>
          <w:color w:val="auto"/>
          <w:kern w:val="0"/>
          <w:sz w:val="24"/>
          <w:szCs w:val="32"/>
          <w:highlight w:val="none"/>
          <w:shd w:val="clear" w:color="auto" w:fill="FFFFFF"/>
          <w:lang w:eastAsia="zh-CN"/>
        </w:rPr>
        <w:t>印制所在单位（公司）、街办名称和自编号。作业车辆应当安装卫星定位系统，接入管理方监控平台。</w:t>
      </w:r>
    </w:p>
    <w:p>
      <w:pPr>
        <w:spacing w:line="360" w:lineRule="auto"/>
        <w:ind w:firstLine="480" w:firstLineChars="200"/>
        <w:rPr>
          <w:rFonts w:ascii="仿宋" w:hAnsi="仿宋" w:eastAsia="仿宋" w:cs="仿宋"/>
          <w:bCs/>
          <w:i w:val="0"/>
          <w:color w:val="auto"/>
          <w:kern w:val="0"/>
          <w:sz w:val="24"/>
          <w:szCs w:val="32"/>
          <w:highlight w:val="none"/>
          <w:shd w:val="clear" w:color="auto" w:fill="FFFFFF"/>
          <w:lang w:eastAsia="zh-CN"/>
        </w:rPr>
      </w:pPr>
      <w:r>
        <w:rPr>
          <w:rFonts w:hint="eastAsia" w:ascii="仿宋" w:hAnsi="仿宋" w:eastAsia="仿宋" w:cs="仿宋"/>
          <w:bCs/>
          <w:i w:val="0"/>
          <w:color w:val="auto"/>
          <w:kern w:val="0"/>
          <w:sz w:val="24"/>
          <w:szCs w:val="32"/>
          <w:highlight w:val="none"/>
          <w:shd w:val="clear" w:color="auto" w:fill="FFFFFF"/>
          <w:lang w:eastAsia="zh-CN"/>
        </w:rPr>
        <w:t>（3）作业车辆尾部须悬挂“环卫作业，请勿靠近”放大反光标志牌。作业过程中必须严格遵守交通法规，临时停靠必须紧靠路边，距公交车站50米内禁止停车，停车时不得影响其他车辆、行人通行，并在车后设警示标志。车辆在能见度低时，应开启警示灯。环卫清扫保洁作业机具应当自觉遵守“净身洁容”规定，保证车身洁净、无泥尘、无垃圾、无锈迹，整洁美观。快保车应套袋并保持车身整洁，不得在车身外悬挂物品，不得作为垃圾转运车使用。</w:t>
      </w:r>
    </w:p>
    <w:p>
      <w:pPr>
        <w:spacing w:line="360" w:lineRule="auto"/>
        <w:ind w:firstLine="480" w:firstLineChars="200"/>
        <w:rPr>
          <w:rFonts w:ascii="仿宋" w:hAnsi="仿宋" w:eastAsia="仿宋" w:cs="仿宋"/>
          <w:bCs/>
          <w:i w:val="0"/>
          <w:color w:val="auto"/>
          <w:kern w:val="0"/>
          <w:sz w:val="24"/>
          <w:szCs w:val="32"/>
          <w:highlight w:val="none"/>
          <w:shd w:val="clear" w:color="auto" w:fill="FFFFFF"/>
          <w:lang w:eastAsia="zh-CN"/>
        </w:rPr>
      </w:pPr>
      <w:r>
        <w:rPr>
          <w:rFonts w:hint="eastAsia" w:ascii="仿宋" w:hAnsi="仿宋" w:eastAsia="仿宋" w:cs="仿宋"/>
          <w:bCs/>
          <w:i w:val="0"/>
          <w:color w:val="auto"/>
          <w:kern w:val="0"/>
          <w:sz w:val="24"/>
          <w:szCs w:val="32"/>
          <w:highlight w:val="none"/>
          <w:shd w:val="clear" w:color="auto" w:fill="FFFFFF"/>
          <w:lang w:eastAsia="zh-CN"/>
        </w:rPr>
        <w:t>（4）作业车辆必须集中停放在有条件的停放场地并配备车辆清洗设施设备及污水污泥处置设施。</w:t>
      </w:r>
    </w:p>
    <w:p>
      <w:pPr>
        <w:pStyle w:val="6"/>
        <w:rPr>
          <w:rFonts w:ascii="仿宋" w:hAnsi="仿宋"/>
          <w:b/>
          <w:i w:val="0"/>
          <w:color w:val="auto"/>
          <w:highlight w:val="none"/>
          <w:lang w:eastAsia="zh-CN"/>
        </w:rPr>
      </w:pPr>
      <w:r>
        <w:rPr>
          <w:rFonts w:hint="eastAsia" w:ascii="仿宋" w:hAnsi="仿宋"/>
          <w:b/>
          <w:i w:val="0"/>
          <w:color w:val="auto"/>
          <w:highlight w:val="none"/>
          <w:lang w:eastAsia="zh-CN"/>
        </w:rPr>
        <w:t>3、环卫人员管理要求</w:t>
      </w:r>
    </w:p>
    <w:p>
      <w:pPr>
        <w:spacing w:line="360" w:lineRule="auto"/>
        <w:ind w:firstLine="480" w:firstLineChars="200"/>
        <w:contextualSpacing/>
        <w:rPr>
          <w:rFonts w:ascii="仿宋" w:hAnsi="仿宋" w:eastAsia="仿宋" w:cs="仿宋"/>
          <w:bCs/>
          <w:i w:val="0"/>
          <w:color w:val="auto"/>
          <w:kern w:val="0"/>
          <w:sz w:val="24"/>
          <w:szCs w:val="32"/>
          <w:highlight w:val="none"/>
          <w:shd w:val="clear" w:color="auto" w:fill="FFFFFF"/>
          <w:lang w:eastAsia="zh-CN"/>
        </w:rPr>
      </w:pPr>
      <w:r>
        <w:rPr>
          <w:rFonts w:hint="eastAsia" w:ascii="仿宋" w:hAnsi="仿宋" w:eastAsia="仿宋" w:cs="仿宋"/>
          <w:bCs/>
          <w:i w:val="0"/>
          <w:color w:val="auto"/>
          <w:kern w:val="0"/>
          <w:sz w:val="24"/>
          <w:szCs w:val="32"/>
          <w:highlight w:val="none"/>
          <w:shd w:val="clear" w:color="auto" w:fill="FFFFFF"/>
          <w:lang w:eastAsia="zh-CN"/>
        </w:rPr>
        <w:t>（1）投标人在中标后应足额配置环卫作业人员。</w:t>
      </w:r>
    </w:p>
    <w:p>
      <w:pPr>
        <w:spacing w:line="360" w:lineRule="auto"/>
        <w:ind w:firstLine="480" w:firstLineChars="200"/>
        <w:contextualSpacing/>
        <w:rPr>
          <w:rFonts w:ascii="仿宋" w:hAnsi="仿宋" w:eastAsia="仿宋" w:cs="仿宋"/>
          <w:bCs/>
          <w:i w:val="0"/>
          <w:color w:val="auto"/>
          <w:kern w:val="0"/>
          <w:sz w:val="24"/>
          <w:szCs w:val="32"/>
          <w:highlight w:val="none"/>
          <w:shd w:val="clear" w:color="auto" w:fill="FFFFFF"/>
          <w:lang w:eastAsia="zh-CN"/>
        </w:rPr>
      </w:pPr>
      <w:r>
        <w:rPr>
          <w:rFonts w:hint="eastAsia" w:ascii="仿宋" w:hAnsi="仿宋" w:eastAsia="仿宋" w:cs="仿宋"/>
          <w:bCs/>
          <w:i w:val="0"/>
          <w:color w:val="auto"/>
          <w:kern w:val="0"/>
          <w:sz w:val="24"/>
          <w:szCs w:val="32"/>
          <w:highlight w:val="none"/>
          <w:shd w:val="clear" w:color="auto" w:fill="FFFFFF"/>
          <w:lang w:eastAsia="zh-CN"/>
        </w:rPr>
        <w:t>（2）环卫作业人员应按《成都市环卫工人服装及装备技术导则》着装。当着带有夜间反光标志，统一印有所在单位（公司）中文名称、标识的服装，并佩戴工作牌（卡）上岗。</w:t>
      </w:r>
    </w:p>
    <w:p>
      <w:pPr>
        <w:spacing w:line="360" w:lineRule="auto"/>
        <w:ind w:firstLine="480" w:firstLineChars="200"/>
        <w:contextualSpacing/>
        <w:rPr>
          <w:rFonts w:ascii="仿宋" w:hAnsi="仿宋" w:eastAsia="仿宋" w:cs="仿宋"/>
          <w:bCs/>
          <w:i w:val="0"/>
          <w:color w:val="auto"/>
          <w:kern w:val="0"/>
          <w:sz w:val="24"/>
          <w:szCs w:val="32"/>
          <w:highlight w:val="none"/>
          <w:shd w:val="clear" w:color="auto" w:fill="FFFFFF"/>
          <w:lang w:eastAsia="zh-CN"/>
        </w:rPr>
      </w:pPr>
      <w:r>
        <w:rPr>
          <w:rFonts w:hint="eastAsia" w:ascii="仿宋" w:hAnsi="仿宋" w:eastAsia="仿宋" w:cs="仿宋"/>
          <w:bCs/>
          <w:i w:val="0"/>
          <w:color w:val="auto"/>
          <w:kern w:val="0"/>
          <w:sz w:val="24"/>
          <w:szCs w:val="32"/>
          <w:highlight w:val="none"/>
          <w:shd w:val="clear" w:color="auto" w:fill="FFFFFF"/>
          <w:lang w:eastAsia="zh-CN"/>
        </w:rPr>
        <w:t>（3）投标人应组织作业人员参加岗位竞赛和应急演练活动，强化安全意识，提高环卫作业市场化服务技能，提升街面保洁质量。</w:t>
      </w:r>
    </w:p>
    <w:p>
      <w:pPr>
        <w:spacing w:line="360" w:lineRule="auto"/>
        <w:ind w:firstLine="480" w:firstLineChars="200"/>
        <w:contextualSpacing/>
        <w:rPr>
          <w:rFonts w:ascii="仿宋" w:hAnsi="仿宋" w:eastAsia="仿宋" w:cs="仿宋"/>
          <w:bCs/>
          <w:i w:val="0"/>
          <w:color w:val="auto"/>
          <w:kern w:val="0"/>
          <w:sz w:val="24"/>
          <w:szCs w:val="32"/>
          <w:highlight w:val="none"/>
          <w:shd w:val="clear" w:color="auto" w:fill="FFFFFF"/>
          <w:lang w:eastAsia="zh-CN"/>
        </w:rPr>
      </w:pPr>
      <w:r>
        <w:rPr>
          <w:rFonts w:hint="eastAsia" w:ascii="仿宋" w:hAnsi="仿宋" w:eastAsia="仿宋" w:cs="仿宋"/>
          <w:bCs/>
          <w:i w:val="0"/>
          <w:color w:val="auto"/>
          <w:kern w:val="0"/>
          <w:sz w:val="24"/>
          <w:szCs w:val="32"/>
          <w:highlight w:val="none"/>
          <w:shd w:val="clear" w:color="auto" w:fill="FFFFFF"/>
          <w:lang w:eastAsia="zh-CN"/>
        </w:rPr>
        <w:t>（4）环卫作业机动车驾驶员必须取得相应车辆驾驶证、</w:t>
      </w:r>
      <w:r>
        <w:rPr>
          <w:rFonts w:hint="eastAsia" w:ascii="仿宋" w:hAnsi="仿宋" w:eastAsia="仿宋" w:cs="仿宋"/>
          <w:bCs/>
          <w:i w:val="0"/>
          <w:color w:val="auto"/>
          <w:kern w:val="0"/>
          <w:sz w:val="24"/>
          <w:szCs w:val="32"/>
          <w:highlight w:val="none"/>
          <w:shd w:val="clear" w:color="auto" w:fill="FFFFFF"/>
          <w:lang w:val="en-US" w:eastAsia="zh-CN"/>
        </w:rPr>
        <w:t>入场证</w:t>
      </w:r>
      <w:r>
        <w:rPr>
          <w:rFonts w:hint="eastAsia" w:ascii="仿宋" w:hAnsi="仿宋" w:eastAsia="仿宋" w:cs="仿宋"/>
          <w:bCs/>
          <w:i w:val="0"/>
          <w:color w:val="auto"/>
          <w:kern w:val="0"/>
          <w:sz w:val="24"/>
          <w:szCs w:val="32"/>
          <w:highlight w:val="none"/>
          <w:shd w:val="clear" w:color="auto" w:fill="FFFFFF"/>
          <w:lang w:eastAsia="zh-CN"/>
        </w:rPr>
        <w:t>，作业时随身携带，并严格遵守交通法规。垃圾清运人员应遵守彭州中转站、静脉园、环保发电厂相关规定。</w:t>
      </w:r>
    </w:p>
    <w:p>
      <w:pPr>
        <w:pStyle w:val="6"/>
        <w:rPr>
          <w:rFonts w:ascii="仿宋" w:hAnsi="仿宋"/>
          <w:b/>
          <w:i w:val="0"/>
          <w:color w:val="auto"/>
          <w:highlight w:val="none"/>
          <w:lang w:eastAsia="zh-CN"/>
        </w:rPr>
      </w:pPr>
      <w:r>
        <w:rPr>
          <w:rFonts w:hint="eastAsia" w:ascii="仿宋" w:hAnsi="仿宋"/>
          <w:b/>
          <w:i w:val="0"/>
          <w:color w:val="auto"/>
          <w:highlight w:val="none"/>
          <w:lang w:eastAsia="zh-CN"/>
        </w:rPr>
        <w:t>4、应急保障</w:t>
      </w:r>
    </w:p>
    <w:p>
      <w:pPr>
        <w:spacing w:line="360" w:lineRule="auto"/>
        <w:ind w:firstLine="480" w:firstLineChars="200"/>
        <w:contextualSpacing/>
        <w:rPr>
          <w:rFonts w:ascii="仿宋" w:hAnsi="仿宋" w:eastAsia="仿宋" w:cs="仿宋"/>
          <w:bCs/>
          <w:i w:val="0"/>
          <w:color w:val="auto"/>
          <w:kern w:val="0"/>
          <w:sz w:val="24"/>
          <w:szCs w:val="32"/>
          <w:highlight w:val="none"/>
          <w:shd w:val="clear" w:color="auto" w:fill="FFFFFF"/>
          <w:lang w:eastAsia="zh-CN"/>
        </w:rPr>
      </w:pPr>
      <w:r>
        <w:rPr>
          <w:rFonts w:hint="eastAsia" w:ascii="仿宋" w:hAnsi="仿宋" w:eastAsia="仿宋" w:cs="仿宋"/>
          <w:bCs/>
          <w:i w:val="0"/>
          <w:color w:val="auto"/>
          <w:kern w:val="0"/>
          <w:sz w:val="24"/>
          <w:szCs w:val="32"/>
          <w:highlight w:val="none"/>
          <w:shd w:val="clear" w:color="auto" w:fill="FFFFFF"/>
          <w:lang w:eastAsia="zh-CN"/>
        </w:rPr>
        <w:t>（1）投标人提供重大活动、突发事件等应急保障，建立24小时应急保障队伍，确保在规定时间内到达现场并完成突发事件的处置。</w:t>
      </w:r>
    </w:p>
    <w:p>
      <w:pPr>
        <w:spacing w:line="360" w:lineRule="auto"/>
        <w:ind w:firstLine="480" w:firstLineChars="200"/>
        <w:contextualSpacing/>
        <w:rPr>
          <w:rFonts w:ascii="仿宋" w:hAnsi="仿宋" w:eastAsia="仿宋" w:cs="仿宋"/>
          <w:bCs/>
          <w:i w:val="0"/>
          <w:color w:val="auto"/>
          <w:kern w:val="0"/>
          <w:sz w:val="24"/>
          <w:szCs w:val="32"/>
          <w:highlight w:val="none"/>
          <w:shd w:val="clear" w:color="auto" w:fill="FFFFFF"/>
          <w:lang w:eastAsia="zh-CN"/>
        </w:rPr>
      </w:pPr>
      <w:r>
        <w:rPr>
          <w:rFonts w:hint="eastAsia" w:ascii="仿宋" w:hAnsi="仿宋" w:eastAsia="仿宋" w:cs="仿宋"/>
          <w:bCs/>
          <w:i w:val="0"/>
          <w:color w:val="auto"/>
          <w:kern w:val="0"/>
          <w:sz w:val="24"/>
          <w:szCs w:val="32"/>
          <w:highlight w:val="none"/>
          <w:shd w:val="clear" w:color="auto" w:fill="FFFFFF"/>
          <w:lang w:eastAsia="zh-CN"/>
        </w:rPr>
        <w:t>（2）投标人应制定大风、暴雨、冰雪、重污染天气、重大保障活动等应急预案，制定疫情防控措施，各类预案和措施内容应贴合本项目特点。</w:t>
      </w:r>
      <w:r>
        <w:rPr>
          <w:rFonts w:ascii="仿宋" w:hAnsi="仿宋" w:eastAsia="仿宋" w:cs="仿宋"/>
          <w:bCs/>
          <w:i w:val="0"/>
          <w:color w:val="auto"/>
          <w:kern w:val="0"/>
          <w:sz w:val="24"/>
          <w:szCs w:val="32"/>
          <w:highlight w:val="none"/>
          <w:shd w:val="clear" w:color="auto" w:fill="FFFFFF"/>
          <w:lang w:eastAsia="zh-CN"/>
        </w:rPr>
        <w:t xml:space="preserve"> </w:t>
      </w:r>
    </w:p>
    <w:p>
      <w:pPr>
        <w:spacing w:line="360" w:lineRule="auto"/>
        <w:ind w:firstLine="480" w:firstLineChars="200"/>
        <w:contextualSpacing/>
        <w:rPr>
          <w:rFonts w:ascii="仿宋" w:hAnsi="仿宋" w:eastAsia="仿宋" w:cs="仿宋"/>
          <w:bCs/>
          <w:i w:val="0"/>
          <w:color w:val="auto"/>
          <w:kern w:val="0"/>
          <w:sz w:val="24"/>
          <w:szCs w:val="32"/>
          <w:highlight w:val="none"/>
          <w:shd w:val="clear" w:color="auto" w:fill="FFFFFF"/>
          <w:lang w:eastAsia="zh-CN"/>
        </w:rPr>
      </w:pPr>
      <w:r>
        <w:rPr>
          <w:rFonts w:hint="eastAsia" w:ascii="仿宋" w:hAnsi="仿宋" w:eastAsia="仿宋" w:cs="仿宋"/>
          <w:bCs/>
          <w:i w:val="0"/>
          <w:color w:val="auto"/>
          <w:kern w:val="0"/>
          <w:sz w:val="24"/>
          <w:szCs w:val="32"/>
          <w:highlight w:val="none"/>
          <w:shd w:val="clear" w:color="auto" w:fill="FFFFFF"/>
          <w:lang w:eastAsia="zh-CN"/>
        </w:rPr>
        <w:t>（3）投标人应根据应急预案，每半年至少开展一次应急处置实操演练，对机具、人员、设施及组织指挥等应急预案进行检验，确保应急时刻拉得出、用得上，处置得当。</w:t>
      </w:r>
    </w:p>
    <w:p>
      <w:pPr>
        <w:pStyle w:val="6"/>
        <w:rPr>
          <w:rFonts w:ascii="仿宋" w:hAnsi="仿宋"/>
          <w:b/>
          <w:i w:val="0"/>
          <w:color w:val="auto"/>
          <w:highlight w:val="none"/>
          <w:lang w:eastAsia="zh-CN"/>
        </w:rPr>
      </w:pPr>
      <w:r>
        <w:rPr>
          <w:rFonts w:hint="eastAsia" w:ascii="仿宋" w:hAnsi="仿宋"/>
          <w:b/>
          <w:i w:val="0"/>
          <w:color w:val="auto"/>
          <w:highlight w:val="none"/>
          <w:lang w:eastAsia="zh-CN"/>
        </w:rPr>
        <w:t>5、环保宣传要求</w:t>
      </w:r>
    </w:p>
    <w:p>
      <w:pPr>
        <w:spacing w:line="360" w:lineRule="auto"/>
        <w:ind w:firstLine="480" w:firstLineChars="200"/>
        <w:contextualSpacing/>
        <w:textAlignment w:val="center"/>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1）投标人应有针对服务实施区域良好的宣传方案及措施，方案及措施中至少应包含积极的、具有正能量的宣传推广方案。投标人应在投标文件中结合项目所在地环境事业现状实际，提供发展创新及宣传推广方案，包括但不限于智慧环卫理念、生活垃圾分类、环卫事业宣传方案，能有效增加当地居民与服务人员环保理念。</w:t>
      </w:r>
    </w:p>
    <w:p>
      <w:pPr>
        <w:spacing w:line="360" w:lineRule="auto"/>
        <w:ind w:firstLine="480" w:firstLineChars="200"/>
        <w:contextualSpacing/>
        <w:textAlignment w:val="center"/>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投标人应结合项目所在地环境事业现状，紧密贴合生活垃圾减量化目标或加强环卫作业精细化目标，在投标文件中提出能够推动项目所在地环境事业发展的创新性工作方案或践行企业社会责任和积极参与项目所在地社会信用体系建设的方案。</w:t>
      </w:r>
    </w:p>
    <w:p>
      <w:pPr>
        <w:pStyle w:val="5"/>
        <w:rPr>
          <w:rFonts w:ascii="仿宋" w:hAnsi="仿宋"/>
          <w:i w:val="0"/>
          <w:color w:val="auto"/>
          <w:szCs w:val="28"/>
          <w:highlight w:val="none"/>
          <w:lang w:eastAsia="zh-CN"/>
        </w:rPr>
      </w:pPr>
      <w:r>
        <w:rPr>
          <w:rFonts w:hint="eastAsia" w:ascii="仿宋" w:hAnsi="仿宋"/>
          <w:i w:val="0"/>
          <w:color w:val="auto"/>
          <w:highlight w:val="none"/>
          <w:lang w:eastAsia="zh-CN"/>
        </w:rPr>
        <w:t>（二）采购标的的数量、采购项目交付或者实施的时间和地点（实质性要求）</w:t>
      </w:r>
    </w:p>
    <w:p>
      <w:pPr>
        <w:pStyle w:val="6"/>
        <w:rPr>
          <w:rFonts w:ascii="仿宋" w:hAnsi="仿宋"/>
          <w:b/>
          <w:i w:val="0"/>
          <w:color w:val="auto"/>
          <w:highlight w:val="none"/>
          <w:lang w:eastAsia="zh-CN"/>
        </w:rPr>
      </w:pPr>
      <w:r>
        <w:rPr>
          <w:rFonts w:hint="eastAsia" w:ascii="仿宋" w:hAnsi="仿宋"/>
          <w:b/>
          <w:i w:val="0"/>
          <w:color w:val="auto"/>
          <w:highlight w:val="none"/>
          <w:lang w:eastAsia="zh-CN"/>
        </w:rPr>
        <w:t>1、采购标的数量：</w:t>
      </w:r>
    </w:p>
    <w:p>
      <w:pPr>
        <w:spacing w:line="360" w:lineRule="auto"/>
        <w:ind w:firstLine="480" w:firstLineChars="200"/>
        <w:contextualSpacing/>
        <w:rPr>
          <w:rFonts w:ascii="仿宋" w:hAnsi="仿宋" w:eastAsia="仿宋"/>
          <w:i w:val="0"/>
          <w:color w:val="auto"/>
          <w:sz w:val="24"/>
          <w:szCs w:val="24"/>
          <w:highlight w:val="none"/>
          <w:lang w:eastAsia="zh-CN"/>
        </w:rPr>
      </w:pPr>
      <w:r>
        <w:rPr>
          <w:rFonts w:hint="eastAsia" w:ascii="仿宋" w:hAnsi="仿宋" w:eastAsia="仿宋"/>
          <w:i w:val="0"/>
          <w:iCs w:val="0"/>
          <w:color w:val="auto"/>
          <w:kern w:val="0"/>
          <w:sz w:val="24"/>
          <w:szCs w:val="24"/>
          <w:highlight w:val="none"/>
          <w:lang w:eastAsia="zh-CN" w:bidi="ar-SA"/>
        </w:rPr>
        <w:t>2022年彭州市城区环卫作业服务政府采购项目一项；招标文件所提要求，不应认为详细和完整，投标人应保证所提供的服务不仅符合规范和招标文件的要求，而且还应满足有效使用的要求。</w:t>
      </w:r>
    </w:p>
    <w:p>
      <w:pPr>
        <w:pStyle w:val="6"/>
        <w:rPr>
          <w:rFonts w:ascii="仿宋" w:hAnsi="仿宋"/>
          <w:b/>
          <w:i w:val="0"/>
          <w:color w:val="auto"/>
          <w:highlight w:val="none"/>
          <w:lang w:eastAsia="zh-CN"/>
        </w:rPr>
      </w:pPr>
      <w:r>
        <w:rPr>
          <w:rFonts w:hint="eastAsia" w:ascii="仿宋" w:hAnsi="仿宋"/>
          <w:b/>
          <w:i w:val="0"/>
          <w:color w:val="auto"/>
          <w:highlight w:val="none"/>
          <w:lang w:eastAsia="zh-CN"/>
        </w:rPr>
        <w:t>2、采购标的的服务期限：</w:t>
      </w:r>
    </w:p>
    <w:p>
      <w:pPr>
        <w:spacing w:line="360" w:lineRule="auto"/>
        <w:ind w:firstLine="480" w:firstLineChars="200"/>
        <w:contextualSpacing/>
        <w:rPr>
          <w:rFonts w:ascii="仿宋" w:hAnsi="仿宋" w:eastAsia="仿宋"/>
          <w:i w:val="0"/>
          <w:color w:val="auto"/>
          <w:sz w:val="24"/>
          <w:szCs w:val="28"/>
          <w:highlight w:val="none"/>
          <w:lang w:eastAsia="zh-CN"/>
        </w:rPr>
      </w:pPr>
      <w:r>
        <w:rPr>
          <w:rFonts w:hint="eastAsia" w:ascii="仿宋" w:hAnsi="仿宋" w:eastAsia="仿宋"/>
          <w:i w:val="0"/>
          <w:color w:val="auto"/>
          <w:sz w:val="24"/>
          <w:szCs w:val="28"/>
          <w:highlight w:val="none"/>
          <w:lang w:eastAsia="zh-CN"/>
        </w:rPr>
        <w:t>服务期限一年。</w:t>
      </w:r>
    </w:p>
    <w:p>
      <w:pPr>
        <w:pStyle w:val="6"/>
        <w:rPr>
          <w:rFonts w:ascii="仿宋" w:hAnsi="仿宋"/>
          <w:b/>
          <w:i w:val="0"/>
          <w:color w:val="auto"/>
          <w:highlight w:val="none"/>
          <w:lang w:eastAsia="zh-CN"/>
        </w:rPr>
      </w:pPr>
      <w:r>
        <w:rPr>
          <w:rFonts w:hint="eastAsia" w:ascii="仿宋" w:hAnsi="仿宋"/>
          <w:b/>
          <w:i w:val="0"/>
          <w:color w:val="auto"/>
          <w:highlight w:val="none"/>
          <w:lang w:eastAsia="zh-CN"/>
        </w:rPr>
        <w:t>3、采购服务范围：</w:t>
      </w:r>
    </w:p>
    <w:p>
      <w:pPr>
        <w:spacing w:line="360" w:lineRule="auto"/>
        <w:ind w:firstLine="480" w:firstLineChars="200"/>
        <w:contextualSpacing/>
        <w:rPr>
          <w:rFonts w:hint="eastAsia" w:ascii="仿宋" w:hAnsi="仿宋" w:eastAsia="仿宋"/>
          <w:i w:val="0"/>
          <w:color w:val="auto"/>
          <w:sz w:val="24"/>
          <w:szCs w:val="28"/>
          <w:highlight w:val="none"/>
          <w:lang w:eastAsia="zh-CN"/>
        </w:rPr>
      </w:pPr>
      <w:r>
        <w:rPr>
          <w:rFonts w:hint="eastAsia" w:ascii="仿宋" w:hAnsi="仿宋" w:eastAsia="仿宋"/>
          <w:i w:val="0"/>
          <w:color w:val="auto"/>
          <w:sz w:val="24"/>
          <w:szCs w:val="28"/>
          <w:highlight w:val="none"/>
          <w:lang w:eastAsia="zh-CN"/>
        </w:rPr>
        <w:t>（1）公厕服务范围：共</w:t>
      </w:r>
      <w:r>
        <w:rPr>
          <w:rFonts w:hint="eastAsia" w:ascii="仿宋" w:hAnsi="仿宋" w:eastAsia="仿宋"/>
          <w:i w:val="0"/>
          <w:color w:val="auto"/>
          <w:sz w:val="24"/>
          <w:szCs w:val="28"/>
          <w:highlight w:val="none"/>
          <w:lang w:val="en-US" w:eastAsia="zh-CN"/>
        </w:rPr>
        <w:t>75</w:t>
      </w:r>
      <w:r>
        <w:rPr>
          <w:rFonts w:hint="eastAsia" w:ascii="仿宋" w:hAnsi="仿宋" w:eastAsia="仿宋"/>
          <w:i w:val="0"/>
          <w:color w:val="auto"/>
          <w:sz w:val="24"/>
          <w:szCs w:val="28"/>
          <w:highlight w:val="none"/>
          <w:lang w:eastAsia="zh-CN"/>
        </w:rPr>
        <w:t>座（现有的城区环卫公厕70座，2022年计划新增公厕</w:t>
      </w:r>
      <w:r>
        <w:rPr>
          <w:rFonts w:hint="eastAsia" w:ascii="仿宋" w:hAnsi="仿宋" w:eastAsia="仿宋"/>
          <w:i w:val="0"/>
          <w:color w:val="auto"/>
          <w:sz w:val="24"/>
          <w:szCs w:val="28"/>
          <w:highlight w:val="none"/>
          <w:lang w:val="en-US" w:eastAsia="zh-CN"/>
        </w:rPr>
        <w:t>5</w:t>
      </w:r>
      <w:r>
        <w:rPr>
          <w:rFonts w:hint="eastAsia" w:ascii="仿宋" w:hAnsi="仿宋" w:eastAsia="仿宋"/>
          <w:i w:val="0"/>
          <w:color w:val="auto"/>
          <w:sz w:val="24"/>
          <w:szCs w:val="28"/>
          <w:highlight w:val="none"/>
          <w:lang w:eastAsia="zh-CN"/>
        </w:rPr>
        <w:t>座）。</w:t>
      </w:r>
    </w:p>
    <w:p>
      <w:pPr>
        <w:spacing w:line="360" w:lineRule="auto"/>
        <w:ind w:firstLine="480" w:firstLineChars="200"/>
        <w:contextualSpacing/>
        <w:rPr>
          <w:rFonts w:hint="eastAsia" w:ascii="仿宋" w:hAnsi="仿宋" w:eastAsia="仿宋"/>
          <w:i w:val="0"/>
          <w:color w:val="auto"/>
          <w:sz w:val="24"/>
          <w:szCs w:val="28"/>
          <w:highlight w:val="none"/>
          <w:lang w:eastAsia="zh-CN"/>
        </w:rPr>
      </w:pPr>
      <w:r>
        <w:rPr>
          <w:rFonts w:hint="eastAsia" w:ascii="仿宋" w:hAnsi="仿宋" w:eastAsia="仿宋"/>
          <w:i w:val="0"/>
          <w:color w:val="auto"/>
          <w:sz w:val="24"/>
          <w:szCs w:val="28"/>
          <w:highlight w:val="none"/>
          <w:lang w:eastAsia="zh-CN"/>
        </w:rPr>
        <w:t>（2）清扫保洁范围约583.70万平方米。</w:t>
      </w:r>
    </w:p>
    <w:p>
      <w:pPr>
        <w:spacing w:line="360" w:lineRule="auto"/>
        <w:ind w:firstLine="480" w:firstLineChars="200"/>
        <w:contextualSpacing/>
        <w:rPr>
          <w:rFonts w:hint="eastAsia" w:ascii="仿宋" w:hAnsi="仿宋" w:eastAsia="仿宋"/>
          <w:i w:val="0"/>
          <w:color w:val="auto"/>
          <w:sz w:val="24"/>
          <w:szCs w:val="28"/>
          <w:highlight w:val="none"/>
          <w:lang w:eastAsia="zh-CN"/>
        </w:rPr>
      </w:pPr>
      <w:r>
        <w:rPr>
          <w:rFonts w:hint="eastAsia" w:ascii="仿宋" w:hAnsi="仿宋" w:eastAsia="仿宋"/>
          <w:i w:val="0"/>
          <w:color w:val="auto"/>
          <w:sz w:val="24"/>
          <w:szCs w:val="28"/>
          <w:highlight w:val="none"/>
          <w:lang w:eastAsia="zh-CN"/>
        </w:rPr>
        <w:t>（3）地埋式生活垃圾收集站7</w:t>
      </w:r>
      <w:r>
        <w:rPr>
          <w:rFonts w:hint="eastAsia" w:ascii="仿宋" w:hAnsi="仿宋" w:eastAsia="仿宋"/>
          <w:i w:val="0"/>
          <w:color w:val="auto"/>
          <w:sz w:val="24"/>
          <w:szCs w:val="28"/>
          <w:highlight w:val="none"/>
          <w:lang w:val="en-US" w:eastAsia="zh-CN"/>
        </w:rPr>
        <w:t>座（现有6座，2022年计划新增1座）</w:t>
      </w:r>
      <w:r>
        <w:rPr>
          <w:rFonts w:hint="eastAsia" w:ascii="仿宋" w:hAnsi="仿宋" w:eastAsia="仿宋"/>
          <w:i w:val="0"/>
          <w:color w:val="auto"/>
          <w:sz w:val="24"/>
          <w:szCs w:val="28"/>
          <w:highlight w:val="none"/>
          <w:lang w:eastAsia="zh-CN"/>
        </w:rPr>
        <w:t>。</w:t>
      </w:r>
    </w:p>
    <w:p>
      <w:pPr>
        <w:pStyle w:val="13"/>
        <w:ind w:firstLine="480" w:firstLineChars="200"/>
        <w:rPr>
          <w:rFonts w:hint="eastAsia" w:ascii="仿宋" w:hAnsi="仿宋" w:eastAsia="仿宋"/>
          <w:i w:val="0"/>
          <w:color w:val="auto"/>
          <w:sz w:val="24"/>
          <w:szCs w:val="28"/>
          <w:highlight w:val="none"/>
          <w:lang w:val="en-US" w:eastAsia="zh-CN"/>
        </w:rPr>
      </w:pPr>
      <w:r>
        <w:rPr>
          <w:rFonts w:hint="eastAsia" w:ascii="仿宋" w:hAnsi="仿宋" w:eastAsia="仿宋"/>
          <w:i w:val="0"/>
          <w:color w:val="auto"/>
          <w:sz w:val="24"/>
          <w:szCs w:val="28"/>
          <w:highlight w:val="none"/>
          <w:lang w:eastAsia="zh-CN"/>
        </w:rPr>
        <w:t>（</w:t>
      </w:r>
      <w:r>
        <w:rPr>
          <w:rFonts w:hint="eastAsia" w:ascii="仿宋" w:hAnsi="仿宋" w:eastAsia="仿宋"/>
          <w:i w:val="0"/>
          <w:color w:val="auto"/>
          <w:sz w:val="24"/>
          <w:szCs w:val="28"/>
          <w:highlight w:val="none"/>
          <w:lang w:val="en-US" w:eastAsia="zh-CN"/>
        </w:rPr>
        <w:t>4</w:t>
      </w:r>
      <w:r>
        <w:rPr>
          <w:rFonts w:hint="eastAsia" w:ascii="仿宋" w:hAnsi="仿宋" w:eastAsia="仿宋"/>
          <w:i w:val="0"/>
          <w:color w:val="auto"/>
          <w:sz w:val="24"/>
          <w:szCs w:val="28"/>
          <w:highlight w:val="none"/>
          <w:lang w:eastAsia="zh-CN"/>
        </w:rPr>
        <w:t>）</w:t>
      </w:r>
      <w:r>
        <w:rPr>
          <w:rFonts w:hint="eastAsia" w:ascii="仿宋" w:hAnsi="仿宋" w:eastAsia="仿宋"/>
          <w:i w:val="0"/>
          <w:color w:val="auto"/>
          <w:sz w:val="24"/>
          <w:szCs w:val="28"/>
          <w:highlight w:val="none"/>
          <w:lang w:val="en-US" w:eastAsia="zh-CN"/>
        </w:rPr>
        <w:t>生活垃圾收运约321吨/日。</w:t>
      </w:r>
    </w:p>
    <w:p>
      <w:pPr>
        <w:pStyle w:val="6"/>
        <w:rPr>
          <w:rFonts w:hint="default" w:ascii="仿宋" w:hAnsi="仿宋"/>
          <w:i w:val="0"/>
          <w:color w:val="auto"/>
          <w:sz w:val="24"/>
          <w:szCs w:val="28"/>
          <w:highlight w:val="none"/>
          <w:lang w:val="en-US" w:eastAsia="zh-CN"/>
        </w:rPr>
      </w:pPr>
      <w:r>
        <w:rPr>
          <w:rFonts w:hint="eastAsia" w:ascii="仿宋" w:hAnsi="仿宋"/>
          <w:i w:val="0"/>
          <w:color w:val="auto"/>
          <w:sz w:val="24"/>
          <w:szCs w:val="28"/>
          <w:highlight w:val="none"/>
          <w:lang w:val="en-US" w:eastAsia="zh-CN"/>
        </w:rPr>
        <w:t>注：以上数量均为预估数量，以每月实际结算数量为准。</w:t>
      </w:r>
    </w:p>
    <w:p>
      <w:pPr>
        <w:pStyle w:val="6"/>
        <w:rPr>
          <w:rFonts w:ascii="仿宋" w:hAnsi="仿宋"/>
          <w:b/>
          <w:i w:val="0"/>
          <w:color w:val="auto"/>
          <w:highlight w:val="none"/>
          <w:lang w:eastAsia="zh-CN"/>
        </w:rPr>
      </w:pPr>
      <w:r>
        <w:rPr>
          <w:rFonts w:hint="eastAsia" w:ascii="仿宋" w:hAnsi="仿宋"/>
          <w:b/>
          <w:i w:val="0"/>
          <w:color w:val="auto"/>
          <w:highlight w:val="none"/>
          <w:lang w:eastAsia="zh-CN"/>
        </w:rPr>
        <w:t>4、采购标的付款时间与方式：</w:t>
      </w:r>
    </w:p>
    <w:p>
      <w:pPr>
        <w:spacing w:line="360" w:lineRule="auto"/>
        <w:ind w:firstLine="480" w:firstLineChars="200"/>
        <w:contextualSpacing/>
        <w:rPr>
          <w:rFonts w:hint="eastAsia" w:ascii="仿宋" w:hAnsi="仿宋" w:eastAsia="仿宋" w:cs="仿宋"/>
          <w:i w:val="0"/>
          <w:color w:val="auto"/>
          <w:sz w:val="24"/>
          <w:szCs w:val="28"/>
          <w:highlight w:val="none"/>
          <w:lang w:eastAsia="zh-CN"/>
        </w:rPr>
      </w:pPr>
      <w:r>
        <w:rPr>
          <w:rFonts w:hint="eastAsia" w:ascii="仿宋" w:hAnsi="仿宋" w:eastAsia="仿宋" w:cs="仿宋"/>
          <w:i w:val="0"/>
          <w:color w:val="auto"/>
          <w:sz w:val="24"/>
          <w:szCs w:val="28"/>
          <w:highlight w:val="none"/>
          <w:lang w:eastAsia="zh-CN"/>
        </w:rPr>
        <w:t>（</w:t>
      </w:r>
      <w:r>
        <w:rPr>
          <w:rFonts w:hint="eastAsia" w:ascii="仿宋" w:hAnsi="仿宋" w:eastAsia="仿宋" w:cs="仿宋"/>
          <w:i w:val="0"/>
          <w:color w:val="auto"/>
          <w:sz w:val="24"/>
          <w:szCs w:val="28"/>
          <w:highlight w:val="none"/>
          <w:lang w:val="en-US" w:eastAsia="zh-CN"/>
        </w:rPr>
        <w:t>1</w:t>
      </w:r>
      <w:r>
        <w:rPr>
          <w:rFonts w:hint="eastAsia" w:ascii="仿宋" w:hAnsi="仿宋" w:eastAsia="仿宋" w:cs="仿宋"/>
          <w:i w:val="0"/>
          <w:color w:val="auto"/>
          <w:sz w:val="24"/>
          <w:szCs w:val="28"/>
          <w:highlight w:val="none"/>
          <w:lang w:eastAsia="zh-CN"/>
        </w:rPr>
        <w:t>）中标人出具符合采购人要求的增值税普通发票，采购人审核合格后按月支付。合同签订初验通过后，采购人在次月的月初（10日内）向中标人支付上月服务费用。月服务费用计算方式为：当月实际支付金额=</w:t>
      </w:r>
      <w:r>
        <w:rPr>
          <w:rFonts w:hint="eastAsia" w:ascii="仿宋" w:hAnsi="仿宋" w:eastAsia="仿宋" w:cs="仿宋"/>
          <w:i w:val="0"/>
          <w:color w:val="auto"/>
          <w:sz w:val="24"/>
          <w:szCs w:val="28"/>
          <w:highlight w:val="none"/>
          <w:lang w:val="en-US" w:eastAsia="zh-CN"/>
        </w:rPr>
        <w:t>月</w:t>
      </w:r>
      <w:r>
        <w:rPr>
          <w:rFonts w:hint="eastAsia" w:ascii="仿宋" w:hAnsi="仿宋" w:eastAsia="仿宋" w:cs="仿宋"/>
          <w:i w:val="0"/>
          <w:color w:val="auto"/>
          <w:sz w:val="24"/>
          <w:szCs w:val="28"/>
          <w:highlight w:val="none"/>
          <w:lang w:eastAsia="zh-CN"/>
        </w:rPr>
        <w:t>清扫保洁</w:t>
      </w:r>
      <w:r>
        <w:rPr>
          <w:rFonts w:hint="eastAsia" w:ascii="仿宋" w:hAnsi="仿宋" w:eastAsia="仿宋" w:cs="仿宋"/>
          <w:i w:val="0"/>
          <w:color w:val="auto"/>
          <w:sz w:val="24"/>
          <w:szCs w:val="28"/>
          <w:highlight w:val="none"/>
          <w:lang w:val="en-US" w:eastAsia="zh-CN"/>
        </w:rPr>
        <w:t>中标价+月</w:t>
      </w:r>
      <w:r>
        <w:rPr>
          <w:rFonts w:hint="eastAsia" w:ascii="仿宋" w:hAnsi="仿宋" w:eastAsia="仿宋" w:cs="仿宋"/>
          <w:i w:val="0"/>
          <w:color w:val="auto"/>
          <w:sz w:val="24"/>
          <w:szCs w:val="24"/>
          <w:highlight w:val="none"/>
          <w:lang w:eastAsia="zh-CN"/>
        </w:rPr>
        <w:t>生活垃圾收运</w:t>
      </w:r>
      <w:r>
        <w:rPr>
          <w:rFonts w:hint="eastAsia" w:ascii="仿宋" w:hAnsi="仿宋" w:eastAsia="仿宋" w:cs="仿宋"/>
          <w:i w:val="0"/>
          <w:color w:val="auto"/>
          <w:sz w:val="24"/>
          <w:szCs w:val="24"/>
          <w:highlight w:val="none"/>
          <w:lang w:val="en-US" w:eastAsia="zh-CN"/>
        </w:rPr>
        <w:t>中标价</w:t>
      </w:r>
      <w:r>
        <w:rPr>
          <w:rFonts w:hint="eastAsia" w:ascii="仿宋" w:hAnsi="仿宋" w:eastAsia="仿宋" w:cs="仿宋"/>
          <w:i w:val="0"/>
          <w:color w:val="auto"/>
          <w:sz w:val="24"/>
          <w:szCs w:val="24"/>
          <w:highlight w:val="none"/>
          <w:lang w:eastAsia="zh-CN"/>
        </w:rPr>
        <w:t>×月收运吨数</w:t>
      </w:r>
      <w:r>
        <w:rPr>
          <w:rFonts w:hint="eastAsia" w:ascii="仿宋" w:hAnsi="仿宋" w:eastAsia="仿宋" w:cs="仿宋"/>
          <w:i w:val="0"/>
          <w:color w:val="auto"/>
          <w:sz w:val="24"/>
          <w:szCs w:val="24"/>
          <w:highlight w:val="none"/>
          <w:lang w:val="en-US" w:eastAsia="zh-CN"/>
        </w:rPr>
        <w:t>+</w:t>
      </w:r>
      <w:r>
        <w:rPr>
          <w:rFonts w:hint="eastAsia" w:ascii="仿宋" w:hAnsi="仿宋" w:eastAsia="仿宋" w:cs="仿宋"/>
          <w:i w:val="0"/>
          <w:color w:val="auto"/>
          <w:sz w:val="24"/>
          <w:szCs w:val="28"/>
          <w:highlight w:val="none"/>
          <w:lang w:val="en-US" w:eastAsia="zh-CN"/>
        </w:rPr>
        <w:t>月</w:t>
      </w:r>
      <w:r>
        <w:rPr>
          <w:rFonts w:hint="eastAsia" w:ascii="仿宋" w:hAnsi="仿宋" w:eastAsia="仿宋" w:cs="仿宋"/>
          <w:i w:val="0"/>
          <w:color w:val="auto"/>
          <w:sz w:val="24"/>
          <w:szCs w:val="24"/>
          <w:highlight w:val="none"/>
          <w:lang w:eastAsia="zh-CN"/>
        </w:rPr>
        <w:t>地埋式收集站管理</w:t>
      </w:r>
      <w:r>
        <w:rPr>
          <w:rFonts w:hint="eastAsia" w:ascii="仿宋" w:hAnsi="仿宋" w:eastAsia="仿宋" w:cs="仿宋"/>
          <w:i w:val="0"/>
          <w:color w:val="auto"/>
          <w:sz w:val="24"/>
          <w:szCs w:val="24"/>
          <w:highlight w:val="none"/>
          <w:lang w:val="en-US" w:eastAsia="zh-CN"/>
        </w:rPr>
        <w:t>中标价</w:t>
      </w:r>
      <w:r>
        <w:rPr>
          <w:rFonts w:hint="eastAsia" w:ascii="仿宋" w:hAnsi="仿宋" w:eastAsia="仿宋" w:cs="仿宋"/>
          <w:i w:val="0"/>
          <w:color w:val="auto"/>
          <w:sz w:val="24"/>
          <w:szCs w:val="24"/>
          <w:highlight w:val="none"/>
          <w:lang w:eastAsia="zh-CN"/>
        </w:rPr>
        <w:t>×</w:t>
      </w:r>
      <w:r>
        <w:rPr>
          <w:rFonts w:hint="eastAsia" w:ascii="仿宋" w:hAnsi="仿宋" w:eastAsia="仿宋" w:cs="仿宋"/>
          <w:i w:val="0"/>
          <w:color w:val="auto"/>
          <w:sz w:val="24"/>
          <w:szCs w:val="24"/>
          <w:highlight w:val="none"/>
          <w:lang w:val="en-US" w:eastAsia="zh-CN"/>
        </w:rPr>
        <w:t>月管理数量+</w:t>
      </w:r>
      <w:r>
        <w:rPr>
          <w:rFonts w:hint="eastAsia" w:ascii="仿宋" w:hAnsi="仿宋" w:eastAsia="仿宋" w:cs="仿宋"/>
          <w:i w:val="0"/>
          <w:color w:val="auto"/>
          <w:sz w:val="24"/>
          <w:szCs w:val="28"/>
          <w:highlight w:val="none"/>
          <w:lang w:val="en-US" w:eastAsia="zh-CN"/>
        </w:rPr>
        <w:t>月</w:t>
      </w:r>
      <w:r>
        <w:rPr>
          <w:rFonts w:hint="eastAsia" w:ascii="仿宋" w:hAnsi="仿宋" w:eastAsia="仿宋" w:cs="仿宋"/>
          <w:i w:val="0"/>
          <w:color w:val="auto"/>
          <w:sz w:val="24"/>
          <w:szCs w:val="24"/>
          <w:highlight w:val="none"/>
          <w:lang w:eastAsia="zh-CN"/>
        </w:rPr>
        <w:t>公厕管护</w:t>
      </w:r>
      <w:r>
        <w:rPr>
          <w:rFonts w:hint="eastAsia" w:ascii="仿宋" w:hAnsi="仿宋" w:eastAsia="仿宋" w:cs="仿宋"/>
          <w:i w:val="0"/>
          <w:color w:val="auto"/>
          <w:sz w:val="24"/>
          <w:szCs w:val="24"/>
          <w:highlight w:val="none"/>
          <w:lang w:val="en-US" w:eastAsia="zh-CN"/>
        </w:rPr>
        <w:t>中标价</w:t>
      </w:r>
      <w:r>
        <w:rPr>
          <w:rFonts w:hint="eastAsia" w:ascii="仿宋" w:hAnsi="仿宋" w:eastAsia="仿宋" w:cs="仿宋"/>
          <w:i w:val="0"/>
          <w:color w:val="auto"/>
          <w:sz w:val="24"/>
          <w:szCs w:val="24"/>
          <w:highlight w:val="none"/>
          <w:lang w:eastAsia="zh-CN"/>
        </w:rPr>
        <w:t>×</w:t>
      </w:r>
      <w:r>
        <w:rPr>
          <w:rFonts w:hint="eastAsia" w:ascii="仿宋" w:hAnsi="仿宋" w:eastAsia="仿宋" w:cs="仿宋"/>
          <w:i w:val="0"/>
          <w:color w:val="auto"/>
          <w:sz w:val="24"/>
          <w:szCs w:val="24"/>
          <w:highlight w:val="none"/>
          <w:lang w:val="en-US" w:eastAsia="zh-CN"/>
        </w:rPr>
        <w:t>月管护数量</w:t>
      </w:r>
      <w:r>
        <w:rPr>
          <w:rFonts w:hint="eastAsia" w:ascii="仿宋" w:hAnsi="仿宋" w:eastAsia="仿宋" w:cs="仿宋"/>
          <w:i w:val="0"/>
          <w:color w:val="auto"/>
          <w:sz w:val="24"/>
          <w:szCs w:val="28"/>
          <w:highlight w:val="none"/>
          <w:lang w:eastAsia="zh-CN"/>
        </w:rPr>
        <w:t>-（1000元/分×当月扣分总数）</w:t>
      </w:r>
      <w:r>
        <w:rPr>
          <w:rFonts w:hint="eastAsia" w:ascii="仿宋" w:hAnsi="仿宋" w:eastAsia="仿宋" w:cs="仿宋"/>
          <w:i w:val="0"/>
          <w:color w:val="auto"/>
          <w:sz w:val="24"/>
          <w:szCs w:val="28"/>
          <w:highlight w:val="none"/>
          <w:lang w:val="en-US" w:eastAsia="zh-CN"/>
        </w:rPr>
        <w:t>+考核加分款额</w:t>
      </w:r>
      <w:r>
        <w:rPr>
          <w:rFonts w:hint="eastAsia" w:ascii="仿宋" w:hAnsi="仿宋" w:eastAsia="仿宋" w:cs="仿宋"/>
          <w:i w:val="0"/>
          <w:color w:val="auto"/>
          <w:sz w:val="24"/>
          <w:szCs w:val="28"/>
          <w:highlight w:val="none"/>
          <w:lang w:eastAsia="zh-CN"/>
        </w:rPr>
        <w:t>。</w:t>
      </w:r>
    </w:p>
    <w:p>
      <w:pPr>
        <w:pStyle w:val="13"/>
        <w:ind w:firstLine="480" w:firstLineChars="200"/>
        <w:rPr>
          <w:rFonts w:hint="eastAsia"/>
          <w:color w:val="auto"/>
          <w:lang w:eastAsia="zh-CN"/>
        </w:rPr>
      </w:pPr>
      <w:r>
        <w:rPr>
          <w:rFonts w:hint="eastAsia" w:ascii="仿宋" w:hAnsi="仿宋" w:eastAsia="仿宋" w:cs="仿宋"/>
          <w:i w:val="0"/>
          <w:color w:val="auto"/>
          <w:sz w:val="24"/>
          <w:szCs w:val="28"/>
          <w:highlight w:val="none"/>
          <w:lang w:eastAsia="zh-CN"/>
        </w:rPr>
        <w:t>（</w:t>
      </w:r>
      <w:r>
        <w:rPr>
          <w:rFonts w:hint="eastAsia" w:ascii="仿宋" w:hAnsi="仿宋" w:eastAsia="仿宋" w:cs="仿宋"/>
          <w:i w:val="0"/>
          <w:color w:val="auto"/>
          <w:sz w:val="24"/>
          <w:szCs w:val="28"/>
          <w:highlight w:val="none"/>
          <w:lang w:val="en-US" w:eastAsia="zh-CN"/>
        </w:rPr>
        <w:t>2</w:t>
      </w:r>
      <w:r>
        <w:rPr>
          <w:rFonts w:hint="eastAsia" w:ascii="仿宋" w:hAnsi="仿宋" w:eastAsia="仿宋" w:cs="仿宋"/>
          <w:i w:val="0"/>
          <w:color w:val="auto"/>
          <w:sz w:val="24"/>
          <w:szCs w:val="28"/>
          <w:highlight w:val="none"/>
          <w:lang w:eastAsia="zh-CN"/>
        </w:rPr>
        <w:t>）具体支付细节由采购人和</w:t>
      </w:r>
      <w:r>
        <w:rPr>
          <w:rFonts w:hint="eastAsia" w:ascii="仿宋" w:hAnsi="仿宋" w:eastAsia="仿宋" w:cs="仿宋"/>
          <w:i w:val="0"/>
          <w:color w:val="auto"/>
          <w:sz w:val="24"/>
          <w:szCs w:val="28"/>
          <w:highlight w:val="none"/>
          <w:lang w:val="en-US" w:eastAsia="zh-CN"/>
        </w:rPr>
        <w:t>中标人</w:t>
      </w:r>
      <w:r>
        <w:rPr>
          <w:rFonts w:hint="eastAsia" w:ascii="仿宋" w:hAnsi="仿宋" w:eastAsia="仿宋" w:cs="仿宋"/>
          <w:i w:val="0"/>
          <w:color w:val="auto"/>
          <w:sz w:val="24"/>
          <w:szCs w:val="28"/>
          <w:highlight w:val="none"/>
          <w:lang w:eastAsia="zh-CN"/>
        </w:rPr>
        <w:t>双方在合同中约定。</w:t>
      </w:r>
    </w:p>
    <w:p>
      <w:pPr>
        <w:pStyle w:val="5"/>
        <w:rPr>
          <w:rFonts w:ascii="仿宋" w:hAnsi="仿宋"/>
          <w:i w:val="0"/>
          <w:color w:val="auto"/>
          <w:szCs w:val="28"/>
          <w:highlight w:val="none"/>
          <w:lang w:eastAsia="zh-CN"/>
        </w:rPr>
      </w:pPr>
      <w:r>
        <w:rPr>
          <w:rFonts w:hint="eastAsia" w:ascii="仿宋" w:hAnsi="仿宋"/>
          <w:i w:val="0"/>
          <w:color w:val="auto"/>
          <w:highlight w:val="none"/>
          <w:lang w:eastAsia="zh-CN"/>
        </w:rPr>
        <w:t>（三）采购标的验收要求（实质性要求）</w:t>
      </w:r>
    </w:p>
    <w:p>
      <w:pPr>
        <w:spacing w:line="360" w:lineRule="auto"/>
        <w:ind w:firstLine="480" w:firstLineChars="200"/>
        <w:contextualSpacing/>
        <w:rPr>
          <w:rFonts w:ascii="仿宋" w:hAnsi="仿宋" w:eastAsia="仿宋"/>
          <w:i w:val="0"/>
          <w:color w:val="auto"/>
          <w:sz w:val="24"/>
          <w:szCs w:val="28"/>
          <w:highlight w:val="none"/>
          <w:lang w:eastAsia="zh-CN"/>
        </w:rPr>
      </w:pPr>
      <w:r>
        <w:rPr>
          <w:rFonts w:hint="eastAsia" w:ascii="仿宋" w:hAnsi="仿宋" w:eastAsia="仿宋"/>
          <w:i w:val="0"/>
          <w:color w:val="auto"/>
          <w:sz w:val="24"/>
          <w:szCs w:val="28"/>
          <w:highlight w:val="none"/>
          <w:lang w:eastAsia="zh-CN"/>
        </w:rPr>
        <w:t>验收方式：</w:t>
      </w:r>
      <w:r>
        <w:rPr>
          <w:rFonts w:hint="eastAsia" w:ascii="仿宋" w:hAnsi="仿宋" w:eastAsia="仿宋" w:cs="仿宋"/>
          <w:i w:val="0"/>
          <w:color w:val="auto"/>
          <w:sz w:val="24"/>
          <w:highlight w:val="none"/>
          <w:lang w:eastAsia="zh-CN"/>
        </w:rPr>
        <w:t>由采购人组织，验收分为</w:t>
      </w:r>
      <w:r>
        <w:rPr>
          <w:rFonts w:ascii="仿宋" w:hAnsi="仿宋" w:eastAsia="仿宋" w:cs="仿宋"/>
          <w:i w:val="0"/>
          <w:color w:val="auto"/>
          <w:sz w:val="24"/>
          <w:highlight w:val="none"/>
          <w:lang w:eastAsia="zh-CN"/>
        </w:rPr>
        <w:t>3</w:t>
      </w:r>
      <w:r>
        <w:rPr>
          <w:rFonts w:hint="eastAsia" w:ascii="仿宋" w:hAnsi="仿宋" w:eastAsia="仿宋" w:cs="仿宋"/>
          <w:i w:val="0"/>
          <w:color w:val="auto"/>
          <w:sz w:val="24"/>
          <w:highlight w:val="none"/>
          <w:lang w:eastAsia="zh-CN"/>
        </w:rPr>
        <w:t>次，按照初验、复验、终验三个环节进行验收。中标人与采购人应严格按照《财政部关于进一步加强政府采购需求和履约验收管理的指导意见》（财库〔</w:t>
      </w:r>
      <w:r>
        <w:rPr>
          <w:rFonts w:ascii="仿宋" w:hAnsi="仿宋" w:eastAsia="仿宋" w:cs="仿宋"/>
          <w:i w:val="0"/>
          <w:color w:val="auto"/>
          <w:sz w:val="24"/>
          <w:highlight w:val="none"/>
          <w:lang w:eastAsia="zh-CN"/>
        </w:rPr>
        <w:t>2016</w:t>
      </w:r>
      <w:r>
        <w:rPr>
          <w:rFonts w:hint="eastAsia" w:ascii="仿宋" w:hAnsi="仿宋" w:eastAsia="仿宋" w:cs="仿宋"/>
          <w:i w:val="0"/>
          <w:color w:val="auto"/>
          <w:sz w:val="24"/>
          <w:highlight w:val="none"/>
          <w:lang w:eastAsia="zh-CN"/>
        </w:rPr>
        <w:t>〕</w:t>
      </w:r>
      <w:r>
        <w:rPr>
          <w:rFonts w:ascii="仿宋" w:hAnsi="仿宋" w:eastAsia="仿宋" w:cs="仿宋"/>
          <w:i w:val="0"/>
          <w:color w:val="auto"/>
          <w:sz w:val="24"/>
          <w:highlight w:val="none"/>
          <w:lang w:eastAsia="zh-CN"/>
        </w:rPr>
        <w:t>205</w:t>
      </w:r>
      <w:r>
        <w:rPr>
          <w:rFonts w:hint="eastAsia" w:ascii="仿宋" w:hAnsi="仿宋" w:eastAsia="仿宋" w:cs="仿宋"/>
          <w:i w:val="0"/>
          <w:color w:val="auto"/>
          <w:sz w:val="24"/>
          <w:highlight w:val="none"/>
          <w:lang w:eastAsia="zh-CN"/>
        </w:rPr>
        <w:t>号）的要求进行验收。</w:t>
      </w:r>
    </w:p>
    <w:p>
      <w:pPr>
        <w:spacing w:line="360" w:lineRule="auto"/>
        <w:ind w:firstLine="480"/>
        <w:rPr>
          <w:rFonts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初验：中标人应在双方签订合同后7个工作日内，将所投入服务人员及服务机具集合在采购人指定的地点进行定岗、定编、定责初验，初验合格后才能按合同内容履行服务。</w:t>
      </w:r>
    </w:p>
    <w:p>
      <w:pPr>
        <w:spacing w:line="360" w:lineRule="auto"/>
        <w:ind w:firstLine="48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复验：采购人根据本项目考核标准对中标人进行每月服务达标考核，考核合格后采购人在中标人提供的考核合格表上签字盖章作为终验的佐证材料。</w:t>
      </w:r>
    </w:p>
    <w:p>
      <w:pPr>
        <w:spacing w:line="360" w:lineRule="auto"/>
        <w:ind w:firstLine="480"/>
        <w:rPr>
          <w:rFonts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终验：合同到期前15日内中标人向采购人提出终验申请，采购人根据中标人每月的考核合格表及终验考核所需材料组织验收。</w:t>
      </w:r>
    </w:p>
    <w:p>
      <w:pPr>
        <w:pStyle w:val="5"/>
        <w:rPr>
          <w:rFonts w:ascii="仿宋" w:hAnsi="仿宋"/>
          <w:i w:val="0"/>
          <w:color w:val="auto"/>
          <w:highlight w:val="none"/>
          <w:lang w:eastAsia="zh-CN"/>
        </w:rPr>
      </w:pPr>
      <w:r>
        <w:rPr>
          <w:rFonts w:hint="eastAsia" w:ascii="仿宋" w:hAnsi="仿宋"/>
          <w:i w:val="0"/>
          <w:color w:val="auto"/>
          <w:highlight w:val="none"/>
          <w:lang w:eastAsia="zh-CN"/>
        </w:rPr>
        <w:t>（四）基本考核要求</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i w:val="0"/>
          <w:color w:val="auto"/>
          <w:sz w:val="24"/>
          <w:szCs w:val="24"/>
          <w:highlight w:val="none"/>
          <w:lang w:eastAsia="zh-CN"/>
        </w:rPr>
        <w:t>以下是基本考核要求，具体考核标准在投标人中标后，采购人根据《彭州市</w:t>
      </w:r>
      <w:r>
        <w:rPr>
          <w:rFonts w:hint="eastAsia" w:ascii="仿宋" w:hAnsi="仿宋" w:eastAsia="仿宋"/>
          <w:i w:val="0"/>
          <w:color w:val="auto"/>
          <w:sz w:val="24"/>
          <w:highlight w:val="none"/>
          <w:lang w:eastAsia="zh-CN"/>
        </w:rPr>
        <w:t>城区环卫作业市场化服务</w:t>
      </w:r>
      <w:r>
        <w:rPr>
          <w:rFonts w:hint="eastAsia" w:ascii="仿宋" w:hAnsi="仿宋" w:eastAsia="仿宋"/>
          <w:i w:val="0"/>
          <w:color w:val="auto"/>
          <w:sz w:val="24"/>
          <w:szCs w:val="24"/>
          <w:highlight w:val="none"/>
          <w:lang w:eastAsia="zh-CN"/>
        </w:rPr>
        <w:t>考核实施办法》进行考核。</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1、考核对象</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考核对象为</w:t>
      </w:r>
      <w:r>
        <w:rPr>
          <w:rFonts w:hint="eastAsia" w:ascii="仿宋" w:hAnsi="仿宋" w:eastAsia="仿宋"/>
          <w:i w:val="0"/>
          <w:color w:val="auto"/>
          <w:sz w:val="24"/>
          <w:highlight w:val="none"/>
          <w:lang w:eastAsia="zh-CN"/>
        </w:rPr>
        <w:t>2022年度城区环卫作业市场化服务</w:t>
      </w:r>
      <w:r>
        <w:rPr>
          <w:rFonts w:hint="eastAsia" w:ascii="仿宋" w:hAnsi="仿宋" w:eastAsia="仿宋" w:cs="黑体"/>
          <w:bCs/>
          <w:i w:val="0"/>
          <w:color w:val="auto"/>
          <w:sz w:val="24"/>
          <w:szCs w:val="24"/>
          <w:highlight w:val="none"/>
          <w:lang w:eastAsia="zh-CN"/>
        </w:rPr>
        <w:t>公司。</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2、考核原则</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检查考核坚持“公正客观、公平合理、公开透明”的原则。</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3、环卫作业要求及考核细则</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考核评分参照《彭州市环卫作业要求及考核细则》执行。</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4、考核方式</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日常考核、专项考核、综合考核相结合。</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4.1日常考核</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环境卫生管理科、城市管理执法大队、市容和广告招牌管理科、指挥中心结合工作实际，对城区各环卫作业公司责任区域内环卫作业质量采取巡查、视频监督等形式，分别汇总发现的问题，作为综合考核的依据。</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4.2专项考核</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每季度围绕一个考核主题，由环境卫生管理科牵头，城市管理执法大队、市容和广告招牌管理科、指挥中心联合对城区各环卫作业公司进行检查考核。</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4.3综合考核</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结合日常考核、专项考核、上级督查考核等内容，由环卫科汇总，作为对城区各环卫作业公司的考核运用。</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5、考核程序及监督</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5.1环境卫生管理科按照《彭州市环卫作业要求及考核细则》按月进行考核打分。所列分值，1分对应人民币￥1000.00元，按月兑现。</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5.2加分申请材料由服务供应商于每月作业周期结束后5个工作日内提交环境卫生管理科。</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5.3环境卫生管理科在每月30日前将考核结果逐级报分管领导、主要领导审核，以合同约定金额为计算基础，核减（加）当月资金后，据实拔付。</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5.4服务供应商涉嫌弄虚作假、骗取奖励的，经核实后，取消其奖励资格；已经进行奖励的，追回其奖励资金，并进行通报批评。</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5.5服务供应商应合理分配奖励资金，其中用于奖励作业班组和具体责任人的，不得低于奖励资金总额的20%；因作业班组或员工个人行为所获加分奖励，用于奖励作业班组和具体行为人的奖励资金，不得低于奖励资金总额的60%。</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6.退出机制</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服务供应商存在以下行为的，可解除辖区环卫合同。</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6.1全年环境卫生管理被上级城市管理行政主管部门诫勉两次以上（含两次）。</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6.2未按《劳动法》及时与环卫工人签定劳动合同、购买社会保险的，未按时发放工资、加班费，限期未解决及发生第二次类似事件的。</w:t>
      </w:r>
    </w:p>
    <w:p>
      <w:pPr>
        <w:spacing w:line="360" w:lineRule="auto"/>
        <w:ind w:firstLine="480" w:firstLineChars="200"/>
        <w:contextualSpacing/>
        <w:rPr>
          <w:rFonts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6.3违反《劳动法》发生劳资纠纷，并造成群体上访事件，劳动监察部门立案调查属实的。</w:t>
      </w:r>
    </w:p>
    <w:p>
      <w:pPr>
        <w:spacing w:line="360" w:lineRule="auto"/>
        <w:ind w:firstLine="480" w:firstLineChars="200"/>
        <w:contextualSpacing/>
        <w:rPr>
          <w:rFonts w:hint="eastAsia"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eastAsia="zh-CN"/>
        </w:rPr>
        <w:t>6.4因工作安排不当，造成重大事故，引发重大舆情的。</w:t>
      </w:r>
    </w:p>
    <w:p>
      <w:pPr>
        <w:spacing w:line="360" w:lineRule="auto"/>
        <w:ind w:firstLine="480" w:firstLineChars="200"/>
        <w:contextualSpacing/>
        <w:rPr>
          <w:rFonts w:hint="eastAsia" w:ascii="仿宋" w:hAnsi="仿宋" w:eastAsia="仿宋" w:cs="黑体"/>
          <w:bCs/>
          <w:i w:val="0"/>
          <w:color w:val="auto"/>
          <w:sz w:val="24"/>
          <w:szCs w:val="24"/>
          <w:highlight w:val="none"/>
          <w:lang w:eastAsia="zh-CN"/>
        </w:rPr>
      </w:pPr>
      <w:r>
        <w:rPr>
          <w:rFonts w:hint="eastAsia" w:ascii="仿宋" w:hAnsi="仿宋" w:eastAsia="仿宋" w:cs="黑体"/>
          <w:bCs/>
          <w:i w:val="0"/>
          <w:color w:val="auto"/>
          <w:sz w:val="24"/>
          <w:szCs w:val="24"/>
          <w:highlight w:val="none"/>
          <w:lang w:val="en-US" w:eastAsia="zh-CN"/>
        </w:rPr>
        <w:t>6.5</w:t>
      </w:r>
      <w:r>
        <w:rPr>
          <w:rFonts w:hint="eastAsia" w:ascii="仿宋" w:hAnsi="仿宋" w:eastAsia="仿宋" w:cs="黑体"/>
          <w:bCs/>
          <w:i w:val="0"/>
          <w:color w:val="auto"/>
          <w:sz w:val="24"/>
          <w:szCs w:val="24"/>
          <w:highlight w:val="none"/>
          <w:lang w:eastAsia="zh-CN"/>
        </w:rPr>
        <w:t>违反安全操作程序，</w:t>
      </w:r>
      <w:r>
        <w:rPr>
          <w:rFonts w:hint="eastAsia" w:ascii="仿宋" w:hAnsi="仿宋" w:eastAsia="仿宋" w:cs="黑体"/>
          <w:bCs/>
          <w:i w:val="0"/>
          <w:color w:val="auto"/>
          <w:sz w:val="24"/>
          <w:szCs w:val="24"/>
          <w:highlight w:val="none"/>
          <w:lang w:val="en-US" w:eastAsia="zh-CN"/>
        </w:rPr>
        <w:t>发生重特大安全事故的。</w:t>
      </w:r>
    </w:p>
    <w:p>
      <w:pPr>
        <w:pStyle w:val="5"/>
        <w:rPr>
          <w:rFonts w:ascii="仿宋" w:hAnsi="仿宋"/>
          <w:i w:val="0"/>
          <w:color w:val="auto"/>
          <w:highlight w:val="none"/>
          <w:lang w:eastAsia="zh-CN"/>
        </w:rPr>
      </w:pPr>
      <w:r>
        <w:rPr>
          <w:rFonts w:hint="eastAsia" w:ascii="仿宋" w:hAnsi="仿宋"/>
          <w:i w:val="0"/>
          <w:color w:val="auto"/>
          <w:highlight w:val="none"/>
          <w:lang w:eastAsia="zh-CN"/>
        </w:rPr>
        <w:t>（五）</w:t>
      </w:r>
      <w:r>
        <w:rPr>
          <w:rFonts w:hint="eastAsia" w:ascii="仿宋" w:hAnsi="仿宋" w:eastAsia="仿宋" w:cs="黑体"/>
          <w:bCs/>
          <w:i w:val="0"/>
          <w:color w:val="auto"/>
          <w:sz w:val="24"/>
          <w:szCs w:val="24"/>
          <w:highlight w:val="none"/>
          <w:lang w:eastAsia="zh-CN"/>
        </w:rPr>
        <w:t>彭州市环卫作业要求及考核细则</w:t>
      </w:r>
    </w:p>
    <w:tbl>
      <w:tblPr>
        <w:tblStyle w:val="24"/>
        <w:tblW w:w="8429" w:type="dxa"/>
        <w:tblInd w:w="93" w:type="dxa"/>
        <w:tblLayout w:type="fixed"/>
        <w:tblCellMar>
          <w:top w:w="0" w:type="dxa"/>
          <w:left w:w="108" w:type="dxa"/>
          <w:bottom w:w="0" w:type="dxa"/>
          <w:right w:w="108" w:type="dxa"/>
        </w:tblCellMar>
      </w:tblPr>
      <w:tblGrid>
        <w:gridCol w:w="846"/>
        <w:gridCol w:w="3422"/>
        <w:gridCol w:w="3452"/>
        <w:gridCol w:w="709"/>
      </w:tblGrid>
      <w:tr>
        <w:tblPrEx>
          <w:tblCellMar>
            <w:top w:w="0" w:type="dxa"/>
            <w:left w:w="108" w:type="dxa"/>
            <w:bottom w:w="0" w:type="dxa"/>
            <w:right w:w="108" w:type="dxa"/>
          </w:tblCellMar>
        </w:tblPrEx>
        <w:trPr>
          <w:trHeight w:val="600"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序号</w:t>
            </w:r>
          </w:p>
        </w:tc>
        <w:tc>
          <w:tcPr>
            <w:tcW w:w="342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工作要求</w:t>
            </w:r>
          </w:p>
        </w:tc>
        <w:tc>
          <w:tcPr>
            <w:tcW w:w="345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考核细则</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加减分</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一、</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队伍及制度管理</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1.1</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在彭州城区有固定的办公场所，办公场所面积不小于200㎡。</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未达标扣30分。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1.2</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服务区域内配备足够的项目管理人员，项目经理1名、副经理1名，其他管理人员8名</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无项目经理扣30分，无副经理扣20分，管理人员每缺一名扣10分。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4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1.3</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变更项目主要负责人应事前向业主报备；主要负责人离彭需报备，并指定职位代理人。</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未及时报备的扣5分，无职位代理人的扣3分。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1.4</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按招标文件要求和投标文件响应配备足额各岗位作业人员。</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每缺一人扣3分。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1.5</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在人员招聘、用人、解聘过程中，应遵守国家相关规定、政策。</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违反规定、政策的，每人次扣2-3分。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96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1.6</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应建立车辆管理、机械化清扫、冲洗除尘、垃圾分类管理、垃圾清运、快速保洁、绿化带捡拾、牛皮癣清除、应急处置等专项队伍，并制定相应的管理、作业制度。</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未建立相应队伍，每少一项扣20分；未制定相应制度，每少一项扣10分；制度、方案不完善，每少项扣5分。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1.7</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制定疫情防控、极端天气应对、重特大交通事故现场处理等应急预案；储备相应的应急物资、设备等，积极参与应急演练。</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未制定应急预案，每少一项扣10分；应急物资、设备每少一项扣5分。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1.8</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做好安全生产管理工作，按规定每月至少开展一次安全作业教育及自查，并建立相应台账。</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未开展安全教育、自查的，每次扣10分；未建立台账或记录不完善的，每次扣3分。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1.9</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按时按要求如实报送各类数据、报表、信息资料等，不得弄虚作假。</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每发现一起，扣1-3分，情节严重的扣3-5分。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xml:space="preserve">1.10 </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每日进行日常督查检查，做好考勤工作。</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检查日志不完整每处扣1分。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1.11</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按《成都市环卫工人服装及装备技术导则》着装。</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未按规定着装的每人次扣0.5分，着装不规范的每人次扣0.2分。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1.12</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严格遵守各项工作纪律和管理规定，服从业主的督导、检查和工作安排</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违反一项扣2-5分。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1.13</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作业人员及管理人员应文明礼貌服务。</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违反每人次扣0.5分。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96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1.14</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公司应加强公司内部及从业人员的管理，积极参加各类培训、公益活动等。</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因公司管理不善，相关培训、管理不到位，造成不良影响隐瞒不报、被投拆的，经查证属实，每起扣1分，严重者扣2—5分。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二、</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环卫工人权益保障</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106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2.1</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严格执行《成都市环卫工人健康安全关爱办法》。</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侵犯环卫工人合法权益的，每起扣1-2分；情节严重的扣3-5分；情节恶劣造成不良影响的扣10-20分；引发群体上访的，扣30-50分并纳入企业信用考核。</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三、</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作业机具配备与管理</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3.1</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按招标文件要求和投标文件响应配置足额作业车辆。</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每缺一辆每月扣8分；快保车每月每辆扣5分。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3.2</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因工作需要调整车辆应向业主提交书面申请，经同意后方可实施。</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未经同意调出车辆按未配备扣分。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3.3</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作业车辆必须集中停放在有条件的停放场地并配备车辆清洗设施设备。</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无停放场地的扣20分，无清洗设备的扣10分。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3.4</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作业车辆必须按规定设置标识标志，并保持整洁完整。</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每缺一处扣1分，未保持整洁完整的一处扣1分。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3.5</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作业车辆必须保持车身整洁。</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每发现一处扣1分。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3.6</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作业车辆按规定安装GPS，并确保运行正常，并纳入业主指定的监管平台</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每缺一辆扣3分；运行不正常超过4小时且未报备的，扣0.5-3分；未纳入监管平台的扣5分。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3.7</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作业车辆不得离彭、检修超过12小时应向业主报备。</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擅自离彭的扣1-3分，检修超过12小时未报备的扣0.5分。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6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3.8</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作业车辆在规定区域内作业。</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未在规定区域作业的，一辆扣1-3分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6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3.9</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严格按《成都市环卫清扫保洁精细化作业规则》作业方式作业。</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未按作业方式作业的每车次扣0.5-2分。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四、</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xml:space="preserve">环卫作业服务 </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4.1</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道路清扫保洁</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4.1.1</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在规定时间内完成清扫。</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未完成的每路段扣0.5分；保洁人员工作时间脱岗，每人次扣0.5分。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4.1.2</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清扫保洁作业时间、质量应符合《成都市环卫清扫保洁精细化作业规则》相关要求。</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不符合要求的每处扣0.1分。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4.1.3</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保洁人员不得拍打树叶；不得焚烧垃圾。</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每发现一起，扣1分；焚烧垃圾，每发现一起，扣5分。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4.1.4</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保洁人员不得将垃圾扫（倒）入绿化带、下水道、河道、沟渠。</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每发现一起，扣2分。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4.1.5</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保洁人员不得翻捡垃圾。</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每发现一起，扣1分。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4.1.6</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保洁人员应按《成都市环卫清扫保洁精细化作业规则》的要求，使用规范、适用的工具进行作业。</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每发现一起，扣0.5分。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4.2</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快速捡拾</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4.2.1</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快保频次应符合《成都市环卫清扫保洁精细化作业规则》作业要求。</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每发现1起，扣0.2分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4.2.2</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快保车应遵守交通规则，遵守安全作业规则。</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每发现1起，扣1分。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4.2.3</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快保车在能见度低时，应开启警示灯。</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每发现1起，扣0.5分。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4.2.4</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快保车应套袋并保持车身整洁，不得在车身外悬挂物品。</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未套袋的每发现1起，扣2分；车身不洁、悬挂物品的每车次扣0.5分。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4.2.5</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快保车不得作为垃圾转运车使用。</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每发现1车次，扣1分。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4.3</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城市家具清洗</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4.3.1</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清洗次数和质量应符合相关要求，保持整洁，并关闭箱门。</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每发现一处，扣0.1－0.3分。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4.3.2</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不得有用水冲洗电力箱（柜）等存在安全隐患的行为。</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每发现一起，扣0.2－0.5分。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4.4</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“牛皮癣”清除</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4.4.1</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按作业要求配备“牛皮癣”清除机械、工具、药剂等。</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每少1配备1个机械，扣5分，每少1种工具、材料等，扣0.5分。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106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4.4.2</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每日上午9点前完成第一遍清除，清除率99%。</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重点路段主街干道每发现1处书写、喷涂小广告扣0.4分，1处张贴小广告扣0.2分；其他路段每发现1处书写、喷涂小广告扣0.2分，1处张贴小广告扣0.1分。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94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4.4.3</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选择合适的工具、材料，用规范的尺寸、近似色覆盖或清除各类“牛皮癣”，不得造成二次污染。</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重点路段主街干道每发现1处“二次污染”扣0.4分；其他路段每发现1处扣0.2分。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6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4.4.4</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对光滑表面喷涂、张贴的“牛皮癣”应采用清洁方式处理，不得采用覆盖方式，不得破坏物体表面。</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每发现一处扣0.4分。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6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4.4.5</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在工作中形成的资料和证据应及时归档，并保证资料齐全。</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无工作资料扣1分，资料不齐全的扣0.5分。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4.5</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机械化清扫</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4.5.1</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机械化清扫作业频次、作业质量应符合《成都市环卫清扫保洁精细化作业规则》相关要求。</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未达要求每路段扣0.5－1分。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4.5.2</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按合同要求开展机械化作业，不得用人工代替清扫。</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每发现一处扣0.5-1分，存在安全隐患的每处扣1-2分。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1339"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4.5.3</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按要求认真如实记录机械化清扫作业台账。</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不符合要求的每处扣0.5-1分；因台账不完善影响上级检查和考核结果的，每次扣1-3分；被中央、省、成都市环保督察发现，影响督察结果的，每次扣10分，情节严重的纳入企业信用考核。</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4.6</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冲洗除尘</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6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4.6.1</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冲洗除尘作业频次、作业质量应符合《成都市环卫清扫保洁精细化作业规则》相关要求。</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每路段扣0.5-1分。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4.6.2</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机动车、辅道不得有积尘。</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每发现一处，扣0.5分。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4.6.3</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人行道、路沿石、边沟、交通护栏、城区河堤等区域不得有积尘、积泥、油渍、污垢。</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每发现一处，扣0.2-0.5分。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4.6.4</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val="en-US" w:eastAsia="zh-CN" w:bidi="ar-SA"/>
              </w:rPr>
              <w:t>每日冲洗除尘不低于3次，</w:t>
            </w:r>
            <w:r>
              <w:rPr>
                <w:rFonts w:hint="eastAsia" w:ascii="仿宋" w:hAnsi="仿宋" w:eastAsia="仿宋" w:cs="宋体"/>
                <w:i w:val="0"/>
                <w:iCs w:val="0"/>
                <w:color w:val="auto"/>
                <w:kern w:val="0"/>
                <w:sz w:val="21"/>
                <w:szCs w:val="24"/>
                <w:highlight w:val="none"/>
                <w:lang w:eastAsia="zh-CN" w:bidi="ar-SA"/>
              </w:rPr>
              <w:t>遇重污染天气，应按要求加密冲洗除尘频次，</w:t>
            </w:r>
            <w:r>
              <w:rPr>
                <w:rFonts w:hint="eastAsia" w:ascii="仿宋" w:hAnsi="仿宋" w:eastAsia="仿宋" w:cs="宋体"/>
                <w:i w:val="0"/>
                <w:iCs w:val="0"/>
                <w:color w:val="auto"/>
                <w:kern w:val="0"/>
                <w:sz w:val="21"/>
                <w:szCs w:val="24"/>
                <w:highlight w:val="none"/>
                <w:lang w:val="en-US" w:eastAsia="zh-CN" w:bidi="ar-SA"/>
              </w:rPr>
              <w:t>每日不低于6次</w:t>
            </w:r>
            <w:r>
              <w:rPr>
                <w:rFonts w:hint="eastAsia" w:ascii="仿宋" w:hAnsi="仿宋" w:eastAsia="仿宋" w:cs="宋体"/>
                <w:i w:val="0"/>
                <w:iCs w:val="0"/>
                <w:color w:val="auto"/>
                <w:kern w:val="0"/>
                <w:sz w:val="21"/>
                <w:szCs w:val="24"/>
                <w:highlight w:val="none"/>
                <w:lang w:eastAsia="zh-CN" w:bidi="ar-SA"/>
              </w:rPr>
              <w:t>。</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未按要求的每路段扣0.5分。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4.7</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生活垃圾清运及环卫设施管理</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4.7.1</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生活垃圾清运车辆、容器应规范设置分类标识标志。</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每发现一处，扣0.5－1分。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10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4.7.2</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制定分类收运路线和时间表，严格按收运路线、时间开展清运工作；根据工作实际进行调整优化并向业主报备。</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未制定路线、时间或未报备的，扣2-5分；未按清运路线、时间开展清运工作，导致垃圾清运不及时的，视情况扣1-5分。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4.7.3</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分类收集及清运作业时应做到文明安全作业，不得粗暴、野蛮作业。</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每发现一次，扣0.2-0.5分，被群众投诉调查所属的，扣1-2分。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4.7.4</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生活垃圾清运车辆应密闭运输，不得有抛、冒、洒、滴、挂、漏现象。</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每发现一起，视情扣0.5－1分；情节严重，造成路面污染的，每发现一起扣1－3分。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4.7.5</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生活垃圾清运及时，垃圾收集点（房）不得出现爆桶等现象。</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每发现1起，扣0.5分；引发群众投诉经查证属实的，每起扣0.5-1分。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4.7.6</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生活垃圾收集点（房）周边地面保持整洁，无脏污、积水、无蚊蝇滋生；清洁和消杀灭蝇次数、质量应达到相关要求。</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每发现一处扣0.2-0.5分；情节严重的，扣1-3分；被环保督查发现并通报批评的，扣5-10分。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4.7.7</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按《成都市生活垃圾管理条例》、《彭州市生活垃圾分类工作实施方案》的要求进行分类运输。</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未按要求的，每发现一起，扣2－5分。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4.7.8</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垃圾清运人员应遵守中转站、静脉园、环保发电厂相关规定。</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未按要求的，每发现一起，扣0.5-1分；存在安全隐患的，每发现1起，扣1－2分。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4.7.9</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临街商铺采取巡回预约上门分类收运，不得随意在街面设置垃圾桶（点）。</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未按要求巡回上门收运的，每发现一起，扣0.1-0.3分；未经管理方同意擅自设置桶点的，每发现1处扣1分。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i w:val="0"/>
                <w:iCs w:val="0"/>
                <w:color w:val="auto"/>
                <w:kern w:val="0"/>
                <w:sz w:val="21"/>
                <w:highlight w:val="none"/>
                <w:lang w:eastAsia="zh-CN" w:bidi="ar-SA"/>
              </w:rPr>
            </w:pPr>
            <w:r>
              <w:rPr>
                <w:rFonts w:hint="eastAsia" w:ascii="仿宋" w:hAnsi="仿宋" w:eastAsia="仿宋" w:cs="宋体"/>
                <w:i w:val="0"/>
                <w:iCs w:val="0"/>
                <w:color w:val="auto"/>
                <w:kern w:val="0"/>
                <w:sz w:val="21"/>
                <w:highlight w:val="none"/>
                <w:lang w:eastAsia="zh-CN" w:bidi="ar-SA"/>
              </w:rPr>
              <w:t>4.7.10</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街面收运为巡回收运，确保果屑箱整洁、不满溢，箱门关闭，门锁松动应及时维护，内胆必须套袋。</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未符合要求的，每发现一处扣0.1分。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i w:val="0"/>
                <w:iCs w:val="0"/>
                <w:color w:val="auto"/>
                <w:kern w:val="0"/>
                <w:sz w:val="21"/>
                <w:highlight w:val="none"/>
                <w:lang w:eastAsia="zh-CN" w:bidi="ar-SA"/>
              </w:rPr>
            </w:pPr>
            <w:r>
              <w:rPr>
                <w:rFonts w:hint="eastAsia" w:ascii="仿宋" w:hAnsi="仿宋" w:eastAsia="仿宋" w:cs="宋体"/>
                <w:i w:val="0"/>
                <w:iCs w:val="0"/>
                <w:color w:val="auto"/>
                <w:kern w:val="0"/>
                <w:sz w:val="21"/>
                <w:highlight w:val="none"/>
                <w:lang w:eastAsia="zh-CN" w:bidi="ar-SA"/>
              </w:rPr>
              <w:t>4.7.11</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做好环卫工人作息房的日常管理和小修维护。</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室内秩序、卫生脏乱差，发现一次扣0.2-0.5分；门窗、灯泡、桌椅等损坏应于24小时内修复，确保设施正常运行，否则发现一次扣0.5-1分。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宋体"/>
                <w:b/>
                <w:i w:val="0"/>
                <w:iCs w:val="0"/>
                <w:color w:val="auto"/>
                <w:kern w:val="0"/>
                <w:sz w:val="21"/>
                <w:highlight w:val="none"/>
                <w:lang w:eastAsia="zh-CN" w:bidi="ar-SA"/>
              </w:rPr>
            </w:pPr>
            <w:r>
              <w:rPr>
                <w:rFonts w:hint="eastAsia" w:ascii="仿宋" w:hAnsi="仿宋" w:eastAsia="仿宋" w:cs="宋体"/>
                <w:b/>
                <w:i w:val="0"/>
                <w:iCs w:val="0"/>
                <w:color w:val="auto"/>
                <w:kern w:val="0"/>
                <w:sz w:val="21"/>
                <w:highlight w:val="none"/>
                <w:lang w:eastAsia="zh-CN" w:bidi="ar-SA"/>
              </w:rPr>
              <w:t>4.8</w:t>
            </w:r>
          </w:p>
        </w:tc>
        <w:tc>
          <w:tcPr>
            <w:tcW w:w="342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b/>
                <w:i w:val="0"/>
                <w:iCs w:val="0"/>
                <w:color w:val="auto"/>
                <w:kern w:val="0"/>
                <w:sz w:val="21"/>
                <w:szCs w:val="24"/>
                <w:highlight w:val="none"/>
                <w:lang w:eastAsia="zh-CN" w:bidi="ar-SA"/>
              </w:rPr>
            </w:pPr>
            <w:r>
              <w:rPr>
                <w:rFonts w:hint="eastAsia" w:ascii="仿宋" w:hAnsi="仿宋" w:eastAsia="仿宋" w:cs="宋体"/>
                <w:b/>
                <w:i w:val="0"/>
                <w:iCs w:val="0"/>
                <w:color w:val="auto"/>
                <w:kern w:val="0"/>
                <w:sz w:val="21"/>
                <w:szCs w:val="24"/>
                <w:highlight w:val="none"/>
                <w:lang w:eastAsia="zh-CN" w:bidi="ar-SA"/>
              </w:rPr>
              <w:t>公厕管护</w:t>
            </w:r>
          </w:p>
        </w:tc>
        <w:tc>
          <w:tcPr>
            <w:tcW w:w="345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p>
        </w:tc>
        <w:tc>
          <w:tcPr>
            <w:tcW w:w="70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p>
        </w:tc>
      </w:tr>
      <w:tr>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宋体"/>
                <w:i w:val="0"/>
                <w:iCs w:val="0"/>
                <w:color w:val="auto"/>
                <w:kern w:val="0"/>
                <w:sz w:val="21"/>
                <w:highlight w:val="none"/>
                <w:lang w:eastAsia="zh-CN" w:bidi="ar-SA"/>
              </w:rPr>
            </w:pPr>
            <w:r>
              <w:rPr>
                <w:rFonts w:hint="eastAsia" w:ascii="仿宋" w:hAnsi="仿宋" w:eastAsia="仿宋" w:cs="宋体"/>
                <w:i w:val="0"/>
                <w:iCs w:val="0"/>
                <w:color w:val="auto"/>
                <w:kern w:val="0"/>
                <w:sz w:val="21"/>
                <w:highlight w:val="none"/>
                <w:lang w:eastAsia="zh-CN" w:bidi="ar-SA"/>
              </w:rPr>
              <w:t>4.8.1</w:t>
            </w:r>
          </w:p>
        </w:tc>
        <w:tc>
          <w:tcPr>
            <w:tcW w:w="342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室内：公厕无明显异味，无蚊蝇；地面光洁干净，无积水，无烟头，无纸屑，无痰迹和其他杂物；墙面、天花板、门窗和隔断板洁净，无积灰，无污迹，无蛛网，无乱涂乱画，无破损；卫生洁具整洁，大、小便器内无积存物，无粪便痕迹，无积尿积水，管道畅通、无堵塞，公厕标志牌、公示牌洁净，无积尘。</w:t>
            </w:r>
          </w:p>
        </w:tc>
        <w:tc>
          <w:tcPr>
            <w:tcW w:w="345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市综合执法局建立专业巡查队伍，按照考核标准对环卫公厕进行动态巡查，发现公厕管理未达到考核标准的，每发现1处问题扣0.1分。</w:t>
            </w:r>
          </w:p>
        </w:tc>
        <w:tc>
          <w:tcPr>
            <w:tcW w:w="70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p>
        </w:tc>
      </w:tr>
      <w:tr>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宋体"/>
                <w:i w:val="0"/>
                <w:iCs w:val="0"/>
                <w:color w:val="auto"/>
                <w:kern w:val="0"/>
                <w:sz w:val="21"/>
                <w:highlight w:val="none"/>
                <w:lang w:eastAsia="zh-CN" w:bidi="ar-SA"/>
              </w:rPr>
            </w:pPr>
            <w:r>
              <w:rPr>
                <w:rFonts w:hint="eastAsia" w:ascii="仿宋" w:hAnsi="仿宋" w:eastAsia="仿宋" w:cs="宋体"/>
                <w:i w:val="0"/>
                <w:iCs w:val="0"/>
                <w:color w:val="auto"/>
                <w:kern w:val="0"/>
                <w:sz w:val="21"/>
                <w:highlight w:val="none"/>
                <w:lang w:eastAsia="zh-CN" w:bidi="ar-SA"/>
              </w:rPr>
              <w:t>4.8.2</w:t>
            </w:r>
          </w:p>
        </w:tc>
        <w:tc>
          <w:tcPr>
            <w:tcW w:w="342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公厕导向牌、标志牌、公示牌、内外部照明灯具、洗手器具、镜子、挂衣钩、烘手器、厕纸机、洗手液盒、便器、冲水设施、厕位门、隔断板、门窗、天花板、废纸容器、无障碍设施等完好；墙砖、地砖无脱落、缺损、松动、破裂、渗漏等；地漏无堵塞；化粪池窨井盖完好，无满溢；</w:t>
            </w:r>
            <w:r>
              <w:rPr>
                <w:rFonts w:hint="eastAsia" w:ascii="仿宋" w:hAnsi="仿宋" w:eastAsia="仿宋" w:cs="宋体"/>
                <w:i w:val="0"/>
                <w:iCs w:val="0"/>
                <w:color w:val="auto"/>
                <w:kern w:val="0"/>
                <w:sz w:val="21"/>
                <w:szCs w:val="24"/>
                <w:highlight w:val="none"/>
                <w:lang w:val="en-US" w:eastAsia="zh-CN" w:bidi="ar-SA"/>
              </w:rPr>
              <w:t>夜间灯箱按要求开关</w:t>
            </w:r>
            <w:r>
              <w:rPr>
                <w:rFonts w:hint="eastAsia" w:ascii="仿宋" w:hAnsi="仿宋" w:eastAsia="仿宋" w:cs="宋体"/>
                <w:i w:val="0"/>
                <w:iCs w:val="0"/>
                <w:color w:val="auto"/>
                <w:kern w:val="0"/>
                <w:sz w:val="21"/>
                <w:szCs w:val="24"/>
                <w:highlight w:val="none"/>
                <w:lang w:eastAsia="zh-CN" w:bidi="ar-SA"/>
              </w:rPr>
              <w:t>。</w:t>
            </w:r>
          </w:p>
        </w:tc>
        <w:tc>
          <w:tcPr>
            <w:tcW w:w="345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公厕内部设施设备损坏应立即维修，维修不及时的每次扣0.1分。因客观原因，不能及时进行维修的，由中标公司书面报市综合执法局，承诺维修期限，规定期限内未完成维修的扣2分。</w:t>
            </w:r>
          </w:p>
        </w:tc>
        <w:tc>
          <w:tcPr>
            <w:tcW w:w="70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p>
        </w:tc>
      </w:tr>
      <w:tr>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宋体"/>
                <w:i w:val="0"/>
                <w:iCs w:val="0"/>
                <w:color w:val="auto"/>
                <w:kern w:val="0"/>
                <w:sz w:val="21"/>
                <w:highlight w:val="none"/>
                <w:lang w:eastAsia="zh-CN" w:bidi="ar-SA"/>
              </w:rPr>
            </w:pPr>
            <w:r>
              <w:rPr>
                <w:rFonts w:hint="eastAsia" w:ascii="仿宋" w:hAnsi="仿宋" w:eastAsia="仿宋" w:cs="宋体"/>
                <w:i w:val="0"/>
                <w:iCs w:val="0"/>
                <w:color w:val="auto"/>
                <w:kern w:val="0"/>
                <w:sz w:val="21"/>
                <w:highlight w:val="none"/>
                <w:lang w:eastAsia="zh-CN" w:bidi="ar-SA"/>
              </w:rPr>
              <w:t>4.8.3</w:t>
            </w:r>
          </w:p>
        </w:tc>
        <w:tc>
          <w:tcPr>
            <w:tcW w:w="342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提供耗材管理。使用的厕纸、洗手液需提供产品合格证书，保证产品质量。</w:t>
            </w:r>
          </w:p>
        </w:tc>
        <w:tc>
          <w:tcPr>
            <w:tcW w:w="345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按照市综合执法局要求配备厕纸、洗手液等耗材，每发现</w:t>
            </w:r>
            <w:r>
              <w:rPr>
                <w:rFonts w:hint="eastAsia" w:ascii="仿宋" w:hAnsi="仿宋" w:eastAsia="仿宋" w:cs="宋体"/>
                <w:i w:val="0"/>
                <w:iCs w:val="0"/>
                <w:color w:val="auto"/>
                <w:kern w:val="0"/>
                <w:sz w:val="21"/>
                <w:szCs w:val="24"/>
                <w:highlight w:val="none"/>
                <w:lang w:val="en-US" w:eastAsia="zh-CN" w:bidi="ar-SA"/>
              </w:rPr>
              <w:t>缺失</w:t>
            </w:r>
            <w:r>
              <w:rPr>
                <w:rFonts w:hint="eastAsia" w:ascii="仿宋" w:hAnsi="仿宋" w:eastAsia="仿宋" w:cs="宋体"/>
                <w:i w:val="0"/>
                <w:iCs w:val="0"/>
                <w:color w:val="auto"/>
                <w:kern w:val="0"/>
                <w:sz w:val="21"/>
                <w:szCs w:val="24"/>
                <w:highlight w:val="none"/>
                <w:lang w:eastAsia="zh-CN" w:bidi="ar-SA"/>
              </w:rPr>
              <w:t>1次扣</w:t>
            </w:r>
            <w:r>
              <w:rPr>
                <w:rFonts w:hint="eastAsia" w:ascii="仿宋" w:hAnsi="仿宋" w:eastAsia="仿宋" w:cs="宋体"/>
                <w:i w:val="0"/>
                <w:iCs w:val="0"/>
                <w:color w:val="auto"/>
                <w:kern w:val="0"/>
                <w:sz w:val="21"/>
                <w:szCs w:val="24"/>
                <w:highlight w:val="none"/>
                <w:lang w:val="en-US" w:eastAsia="zh-CN" w:bidi="ar-SA"/>
              </w:rPr>
              <w:t>0.5</w:t>
            </w:r>
            <w:r>
              <w:rPr>
                <w:rFonts w:hint="eastAsia" w:ascii="仿宋" w:hAnsi="仿宋" w:eastAsia="仿宋" w:cs="宋体"/>
                <w:i w:val="0"/>
                <w:iCs w:val="0"/>
                <w:color w:val="auto"/>
                <w:kern w:val="0"/>
                <w:sz w:val="21"/>
                <w:szCs w:val="24"/>
                <w:highlight w:val="none"/>
                <w:lang w:eastAsia="zh-CN" w:bidi="ar-SA"/>
              </w:rPr>
              <w:t>分；因厕纸机、洗手液盒故障，未及时维修，造成如厕人员无法正常使用厕纸、洗手液的，每发现1次扣0.</w:t>
            </w:r>
            <w:r>
              <w:rPr>
                <w:rFonts w:hint="eastAsia" w:ascii="仿宋" w:hAnsi="仿宋" w:eastAsia="仿宋" w:cs="宋体"/>
                <w:i w:val="0"/>
                <w:iCs w:val="0"/>
                <w:color w:val="auto"/>
                <w:kern w:val="0"/>
                <w:sz w:val="21"/>
                <w:szCs w:val="24"/>
                <w:highlight w:val="none"/>
                <w:lang w:val="en-US" w:eastAsia="zh-CN" w:bidi="ar-SA"/>
              </w:rPr>
              <w:t>1</w:t>
            </w:r>
            <w:r>
              <w:rPr>
                <w:rFonts w:hint="eastAsia" w:ascii="仿宋" w:hAnsi="仿宋" w:eastAsia="仿宋" w:cs="宋体"/>
                <w:i w:val="0"/>
                <w:iCs w:val="0"/>
                <w:color w:val="auto"/>
                <w:kern w:val="0"/>
                <w:sz w:val="21"/>
                <w:szCs w:val="24"/>
                <w:highlight w:val="none"/>
                <w:lang w:eastAsia="zh-CN" w:bidi="ar-SA"/>
              </w:rPr>
              <w:t>分。</w:t>
            </w:r>
          </w:p>
        </w:tc>
        <w:tc>
          <w:tcPr>
            <w:tcW w:w="70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p>
        </w:tc>
      </w:tr>
      <w:tr>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宋体"/>
                <w:i w:val="0"/>
                <w:iCs w:val="0"/>
                <w:color w:val="auto"/>
                <w:kern w:val="0"/>
                <w:sz w:val="21"/>
                <w:highlight w:val="none"/>
                <w:lang w:eastAsia="zh-CN" w:bidi="ar-SA"/>
              </w:rPr>
            </w:pPr>
            <w:r>
              <w:rPr>
                <w:rFonts w:hint="eastAsia" w:ascii="仿宋" w:hAnsi="仿宋" w:eastAsia="仿宋" w:cs="宋体"/>
                <w:i w:val="0"/>
                <w:iCs w:val="0"/>
                <w:color w:val="auto"/>
                <w:kern w:val="0"/>
                <w:sz w:val="21"/>
                <w:highlight w:val="none"/>
                <w:lang w:eastAsia="zh-CN" w:bidi="ar-SA"/>
              </w:rPr>
              <w:t>4.8.4</w:t>
            </w:r>
          </w:p>
        </w:tc>
        <w:tc>
          <w:tcPr>
            <w:tcW w:w="342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提供工具管理。管理间（工具间）物品摆放整洁有序，无杂物，无闲杂人员，无挪作他用。提供必备的作业工具：塑料扫帚、拖把、撮箕、垃圾袋、毛巾、硬质塑料刷、橡胶手套或一次性手套、水刮器、消毒剂、清洁剂、空气清新剂、檀香、防疫消杀药剂等。</w:t>
            </w:r>
          </w:p>
        </w:tc>
        <w:tc>
          <w:tcPr>
            <w:tcW w:w="345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提供工具管理。缺少必备的工具，每发现1次扣</w:t>
            </w:r>
            <w:r>
              <w:rPr>
                <w:rFonts w:hint="eastAsia" w:ascii="仿宋" w:hAnsi="仿宋" w:eastAsia="仿宋" w:cs="宋体"/>
                <w:i w:val="0"/>
                <w:iCs w:val="0"/>
                <w:color w:val="auto"/>
                <w:kern w:val="0"/>
                <w:sz w:val="21"/>
                <w:szCs w:val="24"/>
                <w:highlight w:val="none"/>
                <w:lang w:val="en-US" w:eastAsia="zh-CN" w:bidi="ar-SA"/>
              </w:rPr>
              <w:t>0.5</w:t>
            </w:r>
            <w:r>
              <w:rPr>
                <w:rFonts w:hint="eastAsia" w:ascii="仿宋" w:hAnsi="仿宋" w:eastAsia="仿宋" w:cs="宋体"/>
                <w:i w:val="0"/>
                <w:iCs w:val="0"/>
                <w:color w:val="auto"/>
                <w:kern w:val="0"/>
                <w:sz w:val="21"/>
                <w:szCs w:val="24"/>
                <w:highlight w:val="none"/>
                <w:lang w:eastAsia="zh-CN" w:bidi="ar-SA"/>
              </w:rPr>
              <w:t>分；</w:t>
            </w:r>
            <w:r>
              <w:rPr>
                <w:rFonts w:hint="eastAsia" w:ascii="仿宋" w:hAnsi="仿宋" w:eastAsia="仿宋" w:cs="宋体"/>
                <w:i w:val="0"/>
                <w:iCs w:val="0"/>
                <w:color w:val="auto"/>
                <w:kern w:val="0"/>
                <w:sz w:val="21"/>
                <w:szCs w:val="24"/>
                <w:highlight w:val="none"/>
                <w:lang w:val="en-US" w:eastAsia="zh-CN" w:bidi="ar-SA"/>
              </w:rPr>
              <w:t>管理间、</w:t>
            </w:r>
            <w:r>
              <w:rPr>
                <w:rFonts w:hint="eastAsia" w:ascii="仿宋" w:hAnsi="仿宋" w:eastAsia="仿宋" w:cs="宋体"/>
                <w:i w:val="0"/>
                <w:iCs w:val="0"/>
                <w:color w:val="auto"/>
                <w:kern w:val="0"/>
                <w:sz w:val="21"/>
                <w:szCs w:val="24"/>
                <w:highlight w:val="none"/>
                <w:lang w:eastAsia="zh-CN" w:bidi="ar-SA"/>
              </w:rPr>
              <w:t>工具</w:t>
            </w:r>
            <w:r>
              <w:rPr>
                <w:rFonts w:hint="eastAsia" w:ascii="仿宋" w:hAnsi="仿宋" w:eastAsia="仿宋" w:cs="宋体"/>
                <w:i w:val="0"/>
                <w:iCs w:val="0"/>
                <w:color w:val="auto"/>
                <w:kern w:val="0"/>
                <w:sz w:val="21"/>
                <w:szCs w:val="24"/>
                <w:highlight w:val="none"/>
                <w:lang w:val="en-US" w:eastAsia="zh-CN" w:bidi="ar-SA"/>
              </w:rPr>
              <w:t>间</w:t>
            </w:r>
            <w:r>
              <w:rPr>
                <w:rFonts w:hint="eastAsia" w:ascii="仿宋" w:hAnsi="仿宋" w:eastAsia="仿宋" w:cs="宋体"/>
                <w:i w:val="0"/>
                <w:iCs w:val="0"/>
                <w:color w:val="auto"/>
                <w:kern w:val="0"/>
                <w:sz w:val="21"/>
                <w:szCs w:val="24"/>
                <w:highlight w:val="none"/>
                <w:lang w:eastAsia="zh-CN" w:bidi="ar-SA"/>
              </w:rPr>
              <w:t>摆放混乱</w:t>
            </w:r>
            <w:r>
              <w:rPr>
                <w:rFonts w:hint="eastAsia" w:ascii="仿宋" w:hAnsi="仿宋" w:eastAsia="仿宋" w:cs="宋体"/>
                <w:i w:val="0"/>
                <w:iCs w:val="0"/>
                <w:color w:val="auto"/>
                <w:kern w:val="0"/>
                <w:sz w:val="21"/>
                <w:szCs w:val="24"/>
                <w:highlight w:val="none"/>
                <w:lang w:val="en-US" w:eastAsia="zh-CN" w:bidi="ar-SA"/>
              </w:rPr>
              <w:t>不整洁的</w:t>
            </w:r>
            <w:r>
              <w:rPr>
                <w:rFonts w:hint="eastAsia" w:ascii="仿宋" w:hAnsi="仿宋" w:eastAsia="仿宋" w:cs="宋体"/>
                <w:i w:val="0"/>
                <w:iCs w:val="0"/>
                <w:color w:val="auto"/>
                <w:kern w:val="0"/>
                <w:sz w:val="21"/>
                <w:szCs w:val="24"/>
                <w:highlight w:val="none"/>
                <w:lang w:eastAsia="zh-CN" w:bidi="ar-SA"/>
              </w:rPr>
              <w:t>，每发现1次扣</w:t>
            </w:r>
            <w:r>
              <w:rPr>
                <w:rFonts w:hint="eastAsia" w:ascii="仿宋" w:hAnsi="仿宋" w:eastAsia="仿宋" w:cs="宋体"/>
                <w:i w:val="0"/>
                <w:iCs w:val="0"/>
                <w:color w:val="auto"/>
                <w:kern w:val="0"/>
                <w:sz w:val="21"/>
                <w:szCs w:val="24"/>
                <w:highlight w:val="none"/>
                <w:lang w:val="en-US" w:eastAsia="zh-CN" w:bidi="ar-SA"/>
              </w:rPr>
              <w:t>0.2</w:t>
            </w:r>
            <w:r>
              <w:rPr>
                <w:rFonts w:hint="eastAsia" w:ascii="仿宋" w:hAnsi="仿宋" w:eastAsia="仿宋" w:cs="宋体"/>
                <w:i w:val="0"/>
                <w:iCs w:val="0"/>
                <w:color w:val="auto"/>
                <w:kern w:val="0"/>
                <w:sz w:val="21"/>
                <w:szCs w:val="24"/>
                <w:highlight w:val="none"/>
                <w:lang w:eastAsia="zh-CN" w:bidi="ar-SA"/>
              </w:rPr>
              <w:t>分。</w:t>
            </w:r>
          </w:p>
        </w:tc>
        <w:tc>
          <w:tcPr>
            <w:tcW w:w="70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p>
        </w:tc>
      </w:tr>
      <w:tr>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宋体"/>
                <w:i w:val="0"/>
                <w:iCs w:val="0"/>
                <w:color w:val="auto"/>
                <w:kern w:val="0"/>
                <w:sz w:val="21"/>
                <w:highlight w:val="none"/>
                <w:lang w:eastAsia="zh-CN" w:bidi="ar-SA"/>
              </w:rPr>
            </w:pPr>
            <w:r>
              <w:rPr>
                <w:rFonts w:hint="eastAsia" w:ascii="仿宋" w:hAnsi="仿宋" w:eastAsia="仿宋" w:cs="宋体"/>
                <w:i w:val="0"/>
                <w:iCs w:val="0"/>
                <w:color w:val="auto"/>
                <w:kern w:val="0"/>
                <w:sz w:val="21"/>
                <w:highlight w:val="none"/>
                <w:lang w:val="en-US" w:eastAsia="zh-CN" w:bidi="ar-SA"/>
              </w:rPr>
              <w:t>4.8.5</w:t>
            </w:r>
          </w:p>
        </w:tc>
        <w:tc>
          <w:tcPr>
            <w:tcW w:w="342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val="en-US" w:eastAsia="zh-CN" w:bidi="ar-SA"/>
              </w:rPr>
              <w:t>确保厕所（厕间）正常运行。</w:t>
            </w:r>
          </w:p>
        </w:tc>
        <w:tc>
          <w:tcPr>
            <w:tcW w:w="345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val="en-US" w:eastAsia="zh-CN" w:bidi="ar-SA"/>
              </w:rPr>
              <w:t>擅自关闭厕所（厕间）未对外开放的，发现一次扣2分；不明原因不通水、电，且未向市民作出在岗解释的，发现一次扣1分。</w:t>
            </w:r>
          </w:p>
        </w:tc>
        <w:tc>
          <w:tcPr>
            <w:tcW w:w="70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p>
        </w:tc>
      </w:tr>
      <w:tr>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宋体"/>
                <w:i w:val="0"/>
                <w:iCs w:val="0"/>
                <w:color w:val="auto"/>
                <w:kern w:val="0"/>
                <w:sz w:val="21"/>
                <w:highlight w:val="none"/>
                <w:lang w:eastAsia="zh-CN" w:bidi="ar-SA"/>
              </w:rPr>
            </w:pPr>
            <w:r>
              <w:rPr>
                <w:rFonts w:hint="eastAsia" w:ascii="仿宋" w:hAnsi="仿宋" w:eastAsia="仿宋" w:cs="宋体"/>
                <w:i w:val="0"/>
                <w:iCs w:val="0"/>
                <w:color w:val="auto"/>
                <w:kern w:val="0"/>
                <w:sz w:val="21"/>
                <w:highlight w:val="none"/>
                <w:lang w:val="en-US" w:eastAsia="zh-CN" w:bidi="ar-SA"/>
              </w:rPr>
              <w:t>4.8.6</w:t>
            </w:r>
          </w:p>
        </w:tc>
        <w:tc>
          <w:tcPr>
            <w:tcW w:w="342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val="en-US" w:eastAsia="zh-CN" w:bidi="ar-SA"/>
              </w:rPr>
              <w:t>人员管理在岗</w:t>
            </w:r>
            <w:r>
              <w:rPr>
                <w:rFonts w:hint="eastAsia" w:ascii="仿宋" w:hAnsi="仿宋" w:eastAsia="仿宋" w:cs="宋体"/>
                <w:i w:val="0"/>
                <w:iCs w:val="0"/>
                <w:color w:val="auto"/>
                <w:kern w:val="0"/>
                <w:sz w:val="21"/>
                <w:szCs w:val="24"/>
                <w:highlight w:val="none"/>
                <w:lang w:eastAsia="zh-CN" w:bidi="ar-SA"/>
              </w:rPr>
              <w:t>6:00-23:00(冬季7:00-22:00)</w:t>
            </w:r>
          </w:p>
        </w:tc>
        <w:tc>
          <w:tcPr>
            <w:tcW w:w="345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val="en-US" w:eastAsia="zh-CN" w:bidi="ar-SA"/>
              </w:rPr>
              <w:t>管理时间内，管理人员未在岗的，发现一次扣0.5分。</w:t>
            </w:r>
          </w:p>
        </w:tc>
        <w:tc>
          <w:tcPr>
            <w:tcW w:w="70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i w:val="0"/>
                <w:iCs w:val="0"/>
                <w:color w:val="auto"/>
                <w:kern w:val="0"/>
                <w:sz w:val="21"/>
                <w:szCs w:val="24"/>
                <w:highlight w:val="none"/>
                <w:lang w:eastAsia="zh-CN" w:bidi="ar-SA"/>
              </w:rPr>
            </w:pP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4.9</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数字化案件处置</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4.9.1</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安排专人负责数字化案件接收、派遣、回复。</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未安排专人的，每发现1次，扣5分。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4.9.2</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按要求有效处置数字化案件，不得超时、返工或弄虚作假。</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每一案件扣1分；在精细化考核排名中，排名倒数一、二、三名的，依次扣5、4、3分。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4.10</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安全管理</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4.10.1</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按规定开展安全作业培训、教育、管理和检查，并做好台账。</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未开展的每次扣2-5分，未建立台账的发现一次扣1分。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12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4.10.2</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作业人员应规范使用交通工具，遵守交通法律法规，安全作业，按规定着装，按要求佩戴、设置警示标志标识。</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存在安全隐患的，每发现一起，扣</w:t>
            </w:r>
            <w:r>
              <w:rPr>
                <w:rFonts w:hint="eastAsia" w:ascii="仿宋" w:hAnsi="仿宋" w:eastAsia="仿宋" w:cs="宋体"/>
                <w:i w:val="0"/>
                <w:iCs w:val="0"/>
                <w:color w:val="auto"/>
                <w:kern w:val="0"/>
                <w:sz w:val="21"/>
                <w:szCs w:val="24"/>
                <w:highlight w:val="none"/>
                <w:lang w:val="en-US" w:eastAsia="zh-CN" w:bidi="ar-SA"/>
              </w:rPr>
              <w:t>1</w:t>
            </w:r>
            <w:r>
              <w:rPr>
                <w:rFonts w:hint="eastAsia" w:ascii="仿宋" w:hAnsi="仿宋" w:eastAsia="仿宋" w:cs="宋体"/>
                <w:i w:val="0"/>
                <w:iCs w:val="0"/>
                <w:color w:val="auto"/>
                <w:kern w:val="0"/>
                <w:sz w:val="21"/>
                <w:szCs w:val="24"/>
                <w:highlight w:val="none"/>
                <w:lang w:eastAsia="zh-CN" w:bidi="ar-SA"/>
              </w:rPr>
              <w:t>－5分；引发安全事故的，每发现一起，扣10－30分；情节严重造成不良影响的，扣50-80分。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6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 xml:space="preserve">4.11 </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b/>
                <w:bCs/>
                <w:i w:val="0"/>
                <w:iCs w:val="0"/>
                <w:color w:val="auto"/>
                <w:kern w:val="0"/>
                <w:sz w:val="21"/>
                <w:szCs w:val="24"/>
                <w:highlight w:val="none"/>
                <w:lang w:eastAsia="zh-CN" w:bidi="ar-SA"/>
              </w:rPr>
            </w:pPr>
            <w:r>
              <w:rPr>
                <w:rFonts w:hint="eastAsia" w:ascii="仿宋" w:hAnsi="仿宋" w:eastAsia="仿宋" w:cs="宋体"/>
                <w:b/>
                <w:bCs/>
                <w:i w:val="0"/>
                <w:iCs w:val="0"/>
                <w:color w:val="auto"/>
                <w:kern w:val="0"/>
                <w:sz w:val="21"/>
                <w:szCs w:val="24"/>
                <w:highlight w:val="none"/>
                <w:lang w:eastAsia="zh-CN" w:bidi="ar-SA"/>
              </w:rPr>
              <w:t>服从统一调度，积极完成各项临时、突发性任务。</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不服从调度或完成任务打折扣的，每次扣2-5分。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五</w:t>
            </w:r>
          </w:p>
        </w:tc>
        <w:tc>
          <w:tcPr>
            <w:tcW w:w="6874" w:type="dxa"/>
            <w:gridSpan w:val="2"/>
            <w:tcBorders>
              <w:top w:val="single" w:color="auto" w:sz="4" w:space="0"/>
              <w:left w:val="nil"/>
              <w:bottom w:val="single" w:color="auto" w:sz="4" w:space="0"/>
              <w:right w:val="single" w:color="000000"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信用考核</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5.1</w:t>
            </w:r>
          </w:p>
        </w:tc>
        <w:tc>
          <w:tcPr>
            <w:tcW w:w="6874" w:type="dxa"/>
            <w:gridSpan w:val="2"/>
            <w:tcBorders>
              <w:top w:val="single" w:color="auto" w:sz="4" w:space="0"/>
              <w:left w:val="nil"/>
              <w:bottom w:val="single" w:color="auto" w:sz="4" w:space="0"/>
              <w:right w:val="single" w:color="000000"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作业公司应遵守国家、行业、地方相关政策规定，情节严重的，纳入企业信用考核，并与环卫企业等级评定挂钩。</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六</w:t>
            </w:r>
          </w:p>
        </w:tc>
        <w:tc>
          <w:tcPr>
            <w:tcW w:w="6874" w:type="dxa"/>
            <w:gridSpan w:val="2"/>
            <w:tcBorders>
              <w:top w:val="single" w:color="auto" w:sz="4" w:space="0"/>
              <w:left w:val="nil"/>
              <w:bottom w:val="single" w:color="auto" w:sz="4" w:space="0"/>
              <w:right w:val="single" w:color="000000"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作业经费使用</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6.1</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配合做好清扫保洁市场化作业经费年度审计。</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审计中发现经费使用有未保障彭州市清扫保洁项目有效使用的，扣50分。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6.2</w:t>
            </w:r>
          </w:p>
        </w:tc>
        <w:tc>
          <w:tcPr>
            <w:tcW w:w="342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作业公司应按要求按时足额支付给作业班组、作业人员各类经费。</w:t>
            </w:r>
          </w:p>
        </w:tc>
        <w:tc>
          <w:tcPr>
            <w:tcW w:w="3452"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未按相关要求支付的，扣除中标公司同等数量作业经费。</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七</w:t>
            </w:r>
          </w:p>
        </w:tc>
        <w:tc>
          <w:tcPr>
            <w:tcW w:w="6874" w:type="dxa"/>
            <w:gridSpan w:val="2"/>
            <w:tcBorders>
              <w:top w:val="single" w:color="auto" w:sz="4" w:space="0"/>
              <w:left w:val="nil"/>
              <w:bottom w:val="single" w:color="auto" w:sz="4" w:space="0"/>
              <w:right w:val="single" w:color="000000"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检查考核、媒体曝光、市民投诉与通报批评</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7.1</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在成都市级以上部门组织的检查考核工作中，如因公司原因，被点名通报，每个问题扣5分；未点名通报，但影响彭州市相关考核排名的，每个问题扣</w:t>
            </w:r>
            <w:r>
              <w:rPr>
                <w:rFonts w:hint="eastAsia" w:ascii="仿宋" w:hAnsi="仿宋" w:eastAsia="仿宋" w:cs="宋体"/>
                <w:i w:val="0"/>
                <w:iCs w:val="0"/>
                <w:color w:val="auto"/>
                <w:kern w:val="0"/>
                <w:sz w:val="21"/>
                <w:szCs w:val="24"/>
                <w:highlight w:val="none"/>
                <w:lang w:val="en-US" w:eastAsia="zh-CN" w:bidi="ar-SA"/>
              </w:rPr>
              <w:t>2</w:t>
            </w:r>
            <w:r>
              <w:rPr>
                <w:rFonts w:hint="eastAsia" w:ascii="仿宋" w:hAnsi="仿宋" w:eastAsia="仿宋" w:cs="宋体"/>
                <w:i w:val="0"/>
                <w:iCs w:val="0"/>
                <w:color w:val="auto"/>
                <w:kern w:val="0"/>
                <w:sz w:val="21"/>
                <w:szCs w:val="24"/>
                <w:highlight w:val="none"/>
                <w:lang w:eastAsia="zh-CN" w:bidi="ar-SA"/>
              </w:rPr>
              <w:t>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7.2</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hint="default" w:ascii="仿宋" w:hAnsi="仿宋" w:eastAsia="仿宋" w:cs="宋体"/>
                <w:i w:val="0"/>
                <w:iCs w:val="0"/>
                <w:color w:val="auto"/>
                <w:kern w:val="0"/>
                <w:sz w:val="21"/>
                <w:szCs w:val="24"/>
                <w:highlight w:val="none"/>
                <w:lang w:val="en-US" w:eastAsia="zh-CN" w:bidi="ar-SA"/>
              </w:rPr>
            </w:pPr>
            <w:r>
              <w:rPr>
                <w:rFonts w:hint="eastAsia" w:ascii="仿宋" w:hAnsi="仿宋" w:eastAsia="仿宋" w:cs="宋体"/>
                <w:i w:val="0"/>
                <w:iCs w:val="0"/>
                <w:color w:val="auto"/>
                <w:kern w:val="0"/>
                <w:sz w:val="21"/>
                <w:szCs w:val="24"/>
                <w:highlight w:val="none"/>
                <w:lang w:eastAsia="zh-CN" w:bidi="ar-SA"/>
              </w:rPr>
              <w:t>在成都市组织的环境卫生检查和其他相关检查考核中，排名倒数第一的扣</w:t>
            </w:r>
            <w:r>
              <w:rPr>
                <w:rFonts w:hint="eastAsia" w:ascii="仿宋" w:hAnsi="仿宋" w:eastAsia="仿宋" w:cs="宋体"/>
                <w:i w:val="0"/>
                <w:iCs w:val="0"/>
                <w:color w:val="auto"/>
                <w:kern w:val="0"/>
                <w:sz w:val="21"/>
                <w:szCs w:val="24"/>
                <w:highlight w:val="none"/>
                <w:lang w:val="en-US" w:eastAsia="zh-CN" w:bidi="ar-SA"/>
              </w:rPr>
              <w:t>10</w:t>
            </w:r>
            <w:r>
              <w:rPr>
                <w:rFonts w:hint="eastAsia" w:ascii="仿宋" w:hAnsi="仿宋" w:eastAsia="仿宋" w:cs="宋体"/>
                <w:i w:val="0"/>
                <w:iCs w:val="0"/>
                <w:color w:val="auto"/>
                <w:kern w:val="0"/>
                <w:sz w:val="21"/>
                <w:szCs w:val="24"/>
                <w:highlight w:val="none"/>
                <w:lang w:eastAsia="zh-CN" w:bidi="ar-SA"/>
              </w:rPr>
              <w:t>分、排名倒数第二的扣</w:t>
            </w:r>
            <w:r>
              <w:rPr>
                <w:rFonts w:hint="eastAsia" w:ascii="仿宋" w:hAnsi="仿宋" w:eastAsia="仿宋" w:cs="宋体"/>
                <w:i w:val="0"/>
                <w:iCs w:val="0"/>
                <w:color w:val="auto"/>
                <w:kern w:val="0"/>
                <w:sz w:val="21"/>
                <w:szCs w:val="24"/>
                <w:highlight w:val="none"/>
                <w:lang w:val="en-US" w:eastAsia="zh-CN" w:bidi="ar-SA"/>
              </w:rPr>
              <w:t>5</w:t>
            </w:r>
            <w:r>
              <w:rPr>
                <w:rFonts w:hint="eastAsia" w:ascii="仿宋" w:hAnsi="仿宋" w:eastAsia="仿宋" w:cs="宋体"/>
                <w:i w:val="0"/>
                <w:iCs w:val="0"/>
                <w:color w:val="auto"/>
                <w:kern w:val="0"/>
                <w:sz w:val="21"/>
                <w:szCs w:val="24"/>
                <w:highlight w:val="none"/>
                <w:lang w:eastAsia="zh-CN" w:bidi="ar-SA"/>
              </w:rPr>
              <w:t>分、排名倒数第三的扣</w:t>
            </w:r>
            <w:r>
              <w:rPr>
                <w:rFonts w:hint="eastAsia" w:ascii="仿宋" w:hAnsi="仿宋" w:eastAsia="仿宋" w:cs="宋体"/>
                <w:i w:val="0"/>
                <w:iCs w:val="0"/>
                <w:color w:val="auto"/>
                <w:kern w:val="0"/>
                <w:sz w:val="21"/>
                <w:szCs w:val="24"/>
                <w:highlight w:val="none"/>
                <w:lang w:val="en-US" w:eastAsia="zh-CN" w:bidi="ar-SA"/>
              </w:rPr>
              <w:t>4</w:t>
            </w:r>
            <w:r>
              <w:rPr>
                <w:rFonts w:hint="eastAsia" w:ascii="仿宋" w:hAnsi="仿宋" w:eastAsia="仿宋" w:cs="宋体"/>
                <w:i w:val="0"/>
                <w:iCs w:val="0"/>
                <w:color w:val="auto"/>
                <w:kern w:val="0"/>
                <w:sz w:val="21"/>
                <w:szCs w:val="24"/>
                <w:highlight w:val="none"/>
                <w:lang w:eastAsia="zh-CN" w:bidi="ar-SA"/>
              </w:rPr>
              <w:t>分。</w:t>
            </w:r>
            <w:r>
              <w:rPr>
                <w:rFonts w:hint="eastAsia" w:ascii="仿宋" w:hAnsi="仿宋" w:eastAsia="仿宋" w:cs="宋体"/>
                <w:i w:val="0"/>
                <w:iCs w:val="0"/>
                <w:color w:val="auto"/>
                <w:kern w:val="0"/>
                <w:sz w:val="21"/>
                <w:szCs w:val="24"/>
                <w:highlight w:val="none"/>
                <w:lang w:val="en-US" w:eastAsia="zh-CN" w:bidi="ar-SA"/>
              </w:rPr>
              <w:t>每月最差街道扣10分，环卫工人扣300元。</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7.3</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在彭州市综合行政执法局组织的各类检查考核中，在清扫保洁作业公司中排名最后一名的扣3分。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i w:val="0"/>
                <w:iCs w:val="0"/>
                <w:color w:val="auto"/>
                <w:kern w:val="0"/>
                <w:sz w:val="21"/>
                <w:highlight w:val="none"/>
                <w:lang w:eastAsia="zh-CN" w:bidi="ar-SA"/>
              </w:rPr>
            </w:pPr>
            <w:r>
              <w:rPr>
                <w:rFonts w:hint="eastAsia" w:ascii="仿宋" w:hAnsi="仿宋" w:eastAsia="仿宋" w:cs="宋体"/>
                <w:i w:val="0"/>
                <w:iCs w:val="0"/>
                <w:color w:val="auto"/>
                <w:kern w:val="0"/>
                <w:sz w:val="21"/>
                <w:highlight w:val="none"/>
                <w:lang w:eastAsia="zh-CN" w:bidi="ar-SA"/>
              </w:rPr>
              <w:t>7.4</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群众来信、来函点名批评，经查属实，扣1分；造成不良影响的，扣2-5分；造成恶劣影响的，扣5-10分。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7.5</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网络曝光、造成舆情影响，被人民网、成都市网络理政平台、彭州市网络理政平台等反映的投诉类问题，经查证属于环卫作业公司责任的，每起扣</w:t>
            </w:r>
            <w:r>
              <w:rPr>
                <w:rFonts w:hint="eastAsia" w:ascii="仿宋" w:hAnsi="仿宋" w:eastAsia="仿宋" w:cs="宋体"/>
                <w:i w:val="0"/>
                <w:iCs w:val="0"/>
                <w:color w:val="auto"/>
                <w:kern w:val="0"/>
                <w:sz w:val="21"/>
                <w:szCs w:val="24"/>
                <w:highlight w:val="none"/>
                <w:lang w:val="en-US" w:eastAsia="zh-CN" w:bidi="ar-SA"/>
              </w:rPr>
              <w:t>1</w:t>
            </w:r>
            <w:r>
              <w:rPr>
                <w:rFonts w:hint="eastAsia" w:ascii="仿宋" w:hAnsi="仿宋" w:eastAsia="仿宋" w:cs="宋体"/>
                <w:i w:val="0"/>
                <w:iCs w:val="0"/>
                <w:color w:val="auto"/>
                <w:kern w:val="0"/>
                <w:sz w:val="21"/>
                <w:szCs w:val="24"/>
                <w:highlight w:val="none"/>
                <w:lang w:eastAsia="zh-CN" w:bidi="ar-SA"/>
              </w:rPr>
              <w:t>－</w:t>
            </w:r>
            <w:r>
              <w:rPr>
                <w:rFonts w:hint="eastAsia" w:ascii="仿宋" w:hAnsi="仿宋" w:eastAsia="仿宋" w:cs="宋体"/>
                <w:i w:val="0"/>
                <w:iCs w:val="0"/>
                <w:color w:val="auto"/>
                <w:kern w:val="0"/>
                <w:sz w:val="21"/>
                <w:szCs w:val="24"/>
                <w:highlight w:val="none"/>
                <w:lang w:val="en-US" w:eastAsia="zh-CN" w:bidi="ar-SA"/>
              </w:rPr>
              <w:t>10</w:t>
            </w:r>
            <w:r>
              <w:rPr>
                <w:rFonts w:hint="eastAsia" w:ascii="仿宋" w:hAnsi="仿宋" w:eastAsia="仿宋" w:cs="宋体"/>
                <w:i w:val="0"/>
                <w:iCs w:val="0"/>
                <w:color w:val="auto"/>
                <w:kern w:val="0"/>
                <w:sz w:val="21"/>
                <w:szCs w:val="24"/>
                <w:highlight w:val="none"/>
                <w:lang w:eastAsia="zh-CN" w:bidi="ar-SA"/>
              </w:rPr>
              <w:t>分，并启动退出机制。</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7.6</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本《细则》未列扣分事项，给彭州市综合行政执法局造成不良影响的，由彭州市综合行政执法局环境卫生管理科提出扣分申请，报局主要领导审核通过后执行。</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八</w:t>
            </w:r>
          </w:p>
        </w:tc>
        <w:tc>
          <w:tcPr>
            <w:tcW w:w="6874" w:type="dxa"/>
            <w:gridSpan w:val="2"/>
            <w:tcBorders>
              <w:top w:val="single" w:color="auto" w:sz="4" w:space="0"/>
              <w:left w:val="nil"/>
              <w:bottom w:val="single" w:color="auto" w:sz="4" w:space="0"/>
              <w:right w:val="single" w:color="000000"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加分事项及评分标准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8.1</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在成都市城市管理工作监督考评情况通报中，彭州市“环境卫生管理”工作排名在远郊市县前3名，分别加5、4、3分。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8.2</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hint="default" w:ascii="仿宋" w:hAnsi="仿宋" w:eastAsia="仿宋" w:cs="宋体"/>
                <w:i w:val="0"/>
                <w:iCs w:val="0"/>
                <w:color w:val="auto"/>
                <w:kern w:val="0"/>
                <w:sz w:val="21"/>
                <w:szCs w:val="24"/>
                <w:highlight w:val="none"/>
                <w:lang w:val="en-US" w:eastAsia="zh-CN" w:bidi="ar-SA"/>
              </w:rPr>
            </w:pPr>
            <w:r>
              <w:rPr>
                <w:rFonts w:hint="eastAsia" w:ascii="仿宋" w:hAnsi="仿宋" w:eastAsia="仿宋" w:cs="宋体"/>
                <w:i w:val="0"/>
                <w:iCs w:val="0"/>
                <w:color w:val="auto"/>
                <w:kern w:val="0"/>
                <w:sz w:val="21"/>
                <w:szCs w:val="24"/>
                <w:highlight w:val="none"/>
                <w:lang w:eastAsia="zh-CN" w:bidi="ar-SA"/>
              </w:rPr>
              <w:t>在成都市组织的与城乡环境治理相关的专项检查考核中，彭州市列远郊市县前3名，加3、2、1分。</w:t>
            </w:r>
            <w:r>
              <w:rPr>
                <w:rFonts w:hint="eastAsia" w:ascii="仿宋" w:hAnsi="仿宋" w:eastAsia="仿宋" w:cs="宋体"/>
                <w:i w:val="0"/>
                <w:iCs w:val="0"/>
                <w:color w:val="auto"/>
                <w:kern w:val="0"/>
                <w:sz w:val="21"/>
                <w:szCs w:val="24"/>
                <w:highlight w:val="none"/>
                <w:lang w:val="en-US" w:eastAsia="zh-CN" w:bidi="ar-SA"/>
              </w:rPr>
              <w:t>每月最美街道奖励15分，其中1000元奖励环卫工人。</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i w:val="0"/>
                <w:iCs w:val="0"/>
                <w:color w:val="auto"/>
                <w:kern w:val="0"/>
                <w:sz w:val="21"/>
                <w:highlight w:val="none"/>
                <w:lang w:eastAsia="zh-CN" w:bidi="ar-SA"/>
              </w:rPr>
            </w:pPr>
            <w:r>
              <w:rPr>
                <w:rFonts w:hint="eastAsia" w:ascii="仿宋" w:hAnsi="仿宋" w:eastAsia="仿宋" w:cs="宋体"/>
                <w:i w:val="0"/>
                <w:iCs w:val="0"/>
                <w:color w:val="auto"/>
                <w:kern w:val="0"/>
                <w:sz w:val="21"/>
                <w:highlight w:val="none"/>
                <w:lang w:eastAsia="zh-CN" w:bidi="ar-SA"/>
              </w:rPr>
              <w:t>8.3</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因保障需要另行租赁机具、设备，增加人员的，所加分值与实际租赁及增加人员费用等值。</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8.4</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因保障工作突出，受到彭州市级部门通报表彰的增加2分;受到彭州市委市政府及成都市级部门通报表彰的增加3分；受到成都市及省级部门通报表彰的增加5分，受到省级以上通报表彰的增加8分。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8.5</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环卫作业公司自主研究、开发、引进先进的作业模式和作业机具，经验收，具有推广示范作用的，视作用大小及推广普及程度加3-10分。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1159"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8.6</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环卫作业公司在清扫保洁过程，创新工作机制和方法，经验做法被彭州市转发推广的，加1－3分；被成都市级部门转发推广的，加3－5分；被省级部门、成都市委市政府转发推广的，加5－10分；被省级上以部门转发推广的，加10－15分；被彭州市级、成都市级、省级、国家级媒体报道的，分别加1、3、5、8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8.7</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环卫作业公司员工因好人好事、见义勇为或工作突出，经查属实的加0.5-5分。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8.8</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环卫作业公司的先进典型，被彭州市综合行政执法局及上级部门通报表彰的，每人每次加0.5-5分。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8.9</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环卫作业公司员工举报、揭发破坏环境卫生的违规违法行为，为执法查处提供有效证据的，加0.5-2分；在配合执法查处过程中，有重大贡献的，加2-8分。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xml:space="preserve">8.10 </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在彭州市组织的各类环卫作业技能比赛中获得第一名的加3分，第二名的加2分，第三名加1分。积极组织并代表彭州市在成都市组织的环卫作业技能比赛、评比，虽未取得前3名，但组织有力，精神风貌良好，加1－3分；在作业技能比赛、评比中获得单项第一名的加8分、单项第二名的加6分，单项第三名加5分；获得综合第一名的加15分、综合第二名的加12分、综合第三名的加10分。单项加分之和与综合加分不累加，取最高值。</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8.11</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在彭州市综合行政执法局组织的各类专项检查考核中，在清扫保洁作业公司中排名第一名的加3分。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8.12</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认真组织并积极参加彭州市环卫精细化作业示范演示、经验交流，加2－5分。</w:t>
            </w:r>
          </w:p>
        </w:tc>
        <w:tc>
          <w:tcPr>
            <w:tcW w:w="709" w:type="dxa"/>
            <w:tcBorders>
              <w:top w:val="nil"/>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　</w:t>
            </w:r>
          </w:p>
        </w:tc>
      </w:tr>
      <w:tr>
        <w:tblPrEx>
          <w:tblCellMar>
            <w:top w:w="0" w:type="dxa"/>
            <w:left w:w="108" w:type="dxa"/>
            <w:bottom w:w="0" w:type="dxa"/>
            <w:right w:w="108" w:type="dxa"/>
          </w:tblCellMar>
        </w:tblPrEx>
        <w:trPr>
          <w:trHeight w:val="739"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8.13</w:t>
            </w:r>
          </w:p>
        </w:tc>
        <w:tc>
          <w:tcPr>
            <w:tcW w:w="6874"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i w:val="0"/>
                <w:iCs w:val="0"/>
                <w:color w:val="auto"/>
                <w:kern w:val="0"/>
                <w:sz w:val="21"/>
                <w:szCs w:val="24"/>
                <w:highlight w:val="none"/>
                <w:lang w:eastAsia="zh-CN" w:bidi="ar-SA"/>
              </w:rPr>
            </w:pPr>
            <w:r>
              <w:rPr>
                <w:rFonts w:hint="eastAsia" w:ascii="仿宋" w:hAnsi="仿宋" w:eastAsia="仿宋" w:cs="宋体"/>
                <w:i w:val="0"/>
                <w:iCs w:val="0"/>
                <w:color w:val="auto"/>
                <w:kern w:val="0"/>
                <w:sz w:val="21"/>
                <w:szCs w:val="24"/>
                <w:highlight w:val="none"/>
                <w:lang w:eastAsia="zh-CN" w:bidi="ar-SA"/>
              </w:rPr>
              <w:t>其他加分事项，加分超过20分（含）的，提请局党组讨论决定。</w:t>
            </w:r>
          </w:p>
        </w:tc>
        <w:tc>
          <w:tcPr>
            <w:tcW w:w="709"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i w:val="0"/>
                <w:iCs w:val="0"/>
                <w:color w:val="auto"/>
                <w:kern w:val="0"/>
                <w:sz w:val="21"/>
                <w:highlight w:val="none"/>
                <w:lang w:eastAsia="zh-CN" w:bidi="ar-SA"/>
              </w:rPr>
            </w:pPr>
            <w:r>
              <w:rPr>
                <w:rFonts w:hint="eastAsia" w:ascii="仿宋" w:hAnsi="仿宋" w:eastAsia="仿宋" w:cs="宋体"/>
                <w:i w:val="0"/>
                <w:iCs w:val="0"/>
                <w:color w:val="auto"/>
                <w:kern w:val="0"/>
                <w:sz w:val="21"/>
                <w:highlight w:val="none"/>
                <w:lang w:eastAsia="zh-CN" w:bidi="ar-SA"/>
              </w:rPr>
              <w:t>　</w:t>
            </w:r>
          </w:p>
        </w:tc>
      </w:tr>
    </w:tbl>
    <w:p>
      <w:pPr>
        <w:rPr>
          <w:rFonts w:eastAsia="仿宋"/>
          <w:b/>
          <w:bCs/>
          <w:i w:val="0"/>
          <w:color w:val="auto"/>
          <w:kern w:val="44"/>
          <w:sz w:val="28"/>
          <w:szCs w:val="44"/>
          <w:highlight w:val="none"/>
          <w:lang w:eastAsia="zh-CN"/>
        </w:rPr>
      </w:pPr>
      <w:r>
        <w:rPr>
          <w:i w:val="0"/>
          <w:color w:val="auto"/>
          <w:highlight w:val="none"/>
          <w:lang w:eastAsia="zh-CN"/>
        </w:rPr>
        <w:br w:type="page"/>
      </w:r>
    </w:p>
    <w:p>
      <w:pPr>
        <w:pStyle w:val="3"/>
        <w:rPr>
          <w:i w:val="0"/>
          <w:color w:val="auto"/>
          <w:highlight w:val="none"/>
          <w:lang w:eastAsia="zh-CN"/>
        </w:rPr>
      </w:pPr>
      <w:bookmarkStart w:id="588" w:name="_Toc5520"/>
      <w:r>
        <w:rPr>
          <w:rFonts w:hint="eastAsia"/>
          <w:i w:val="0"/>
          <w:color w:val="auto"/>
          <w:highlight w:val="none"/>
          <w:lang w:eastAsia="zh-CN"/>
        </w:rPr>
        <w:t>第七章评标办法</w:t>
      </w:r>
      <w:bookmarkEnd w:id="584"/>
      <w:bookmarkEnd w:id="588"/>
      <w:bookmarkStart w:id="589" w:name="_Hlt101846155"/>
      <w:bookmarkEnd w:id="589"/>
    </w:p>
    <w:p>
      <w:pPr>
        <w:pStyle w:val="4"/>
        <w:spacing w:line="360" w:lineRule="auto"/>
        <w:jc w:val="left"/>
        <w:rPr>
          <w:rFonts w:ascii="仿宋" w:hAnsi="仿宋" w:cs="Marigold"/>
          <w:i w:val="0"/>
          <w:color w:val="auto"/>
          <w:sz w:val="24"/>
          <w:highlight w:val="none"/>
          <w:lang w:eastAsia="zh-CN"/>
        </w:rPr>
      </w:pPr>
      <w:bookmarkStart w:id="590" w:name="_Toc493631640"/>
      <w:bookmarkStart w:id="591" w:name="_Toc468346417"/>
      <w:bookmarkStart w:id="592" w:name="_Toc499918774"/>
      <w:bookmarkStart w:id="593" w:name="_Toc524910149"/>
      <w:bookmarkStart w:id="594" w:name="_Toc497752289"/>
      <w:bookmarkStart w:id="595" w:name="_Toc468654184"/>
      <w:bookmarkStart w:id="596" w:name="_Toc468641542"/>
      <w:bookmarkStart w:id="597" w:name="_Toc468320497"/>
      <w:bookmarkStart w:id="598" w:name="_Toc511558696"/>
      <w:bookmarkStart w:id="599" w:name="_Toc395625109"/>
      <w:bookmarkStart w:id="600" w:name="_Toc468640420"/>
      <w:bookmarkStart w:id="601" w:name="_Toc468331126"/>
      <w:bookmarkStart w:id="602" w:name="_Toc5559"/>
      <w:r>
        <w:rPr>
          <w:rFonts w:hint="eastAsia" w:ascii="仿宋" w:hAnsi="仿宋"/>
          <w:i w:val="0"/>
          <w:color w:val="auto"/>
          <w:sz w:val="24"/>
          <w:highlight w:val="none"/>
          <w:lang w:eastAsia="zh-CN"/>
        </w:rPr>
        <w:t>一、</w:t>
      </w:r>
      <w:r>
        <w:rPr>
          <w:rFonts w:hint="eastAsia" w:ascii="仿宋" w:hAnsi="仿宋" w:cs="Marigold"/>
          <w:i w:val="0"/>
          <w:color w:val="auto"/>
          <w:sz w:val="24"/>
          <w:highlight w:val="none"/>
          <w:lang w:eastAsia="zh-CN"/>
        </w:rPr>
        <w:t>总则</w:t>
      </w:r>
      <w:bookmarkEnd w:id="590"/>
      <w:bookmarkEnd w:id="591"/>
      <w:bookmarkEnd w:id="592"/>
      <w:bookmarkEnd w:id="593"/>
      <w:bookmarkEnd w:id="594"/>
      <w:bookmarkEnd w:id="595"/>
      <w:bookmarkEnd w:id="596"/>
      <w:bookmarkEnd w:id="597"/>
      <w:bookmarkEnd w:id="598"/>
      <w:bookmarkEnd w:id="599"/>
      <w:bookmarkEnd w:id="600"/>
      <w:bookmarkEnd w:id="601"/>
      <w:bookmarkEnd w:id="602"/>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 根据《中华人民共和国政府采购法》《中华人民共和国政府采购法实施条例》和《政府采购货物和服务招标投标管理办法》（财政部第</w:t>
      </w:r>
      <w:r>
        <w:rPr>
          <w:rFonts w:ascii="仿宋" w:hAnsi="仿宋" w:eastAsia="仿宋" w:cs="Marigold"/>
          <w:i w:val="0"/>
          <w:color w:val="auto"/>
          <w:sz w:val="24"/>
          <w:szCs w:val="24"/>
          <w:highlight w:val="none"/>
          <w:lang w:eastAsia="zh-CN"/>
        </w:rPr>
        <w:t>87</w:t>
      </w:r>
      <w:r>
        <w:rPr>
          <w:rFonts w:hint="eastAsia" w:ascii="仿宋" w:hAnsi="仿宋" w:eastAsia="仿宋" w:cs="Marigold"/>
          <w:i w:val="0"/>
          <w:color w:val="auto"/>
          <w:sz w:val="24"/>
          <w:szCs w:val="24"/>
          <w:highlight w:val="none"/>
          <w:lang w:eastAsia="zh-CN"/>
        </w:rPr>
        <w:t>号令）、《四川省政府采购评审工作规程》（川财采〔2016〕5</w:t>
      </w:r>
      <w:r>
        <w:rPr>
          <w:rFonts w:ascii="仿宋" w:hAnsi="仿宋" w:eastAsia="仿宋" w:cs="Marigold"/>
          <w:i w:val="0"/>
          <w:color w:val="auto"/>
          <w:sz w:val="24"/>
          <w:szCs w:val="24"/>
          <w:highlight w:val="none"/>
          <w:lang w:eastAsia="zh-CN"/>
        </w:rPr>
        <w:t>3</w:t>
      </w:r>
      <w:r>
        <w:rPr>
          <w:rFonts w:hint="eastAsia" w:ascii="仿宋" w:hAnsi="仿宋" w:eastAsia="仿宋" w:cs="Marigold"/>
          <w:i w:val="0"/>
          <w:color w:val="auto"/>
          <w:sz w:val="24"/>
          <w:szCs w:val="24"/>
          <w:highlight w:val="none"/>
          <w:lang w:eastAsia="zh-CN"/>
        </w:rPr>
        <w:t>号文）等法律规章，结合采购项目特点制定本评标办法。</w:t>
      </w:r>
    </w:p>
    <w:p>
      <w:pPr>
        <w:spacing w:after="156" w:line="360" w:lineRule="auto"/>
        <w:ind w:firstLine="480" w:firstLineChars="200"/>
        <w:rPr>
          <w:rFonts w:ascii="仿宋" w:hAnsi="仿宋" w:eastAsia="仿宋" w:cs="Marigold"/>
          <w:b/>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2、、公开招标采购项目开标结束后，采购人或者采购代理机构应当依法对投标人的资格进行审查。</w:t>
      </w:r>
      <w:r>
        <w:rPr>
          <w:rFonts w:hint="eastAsia" w:ascii="仿宋" w:hAnsi="仿宋" w:eastAsia="仿宋" w:cs="Marigold"/>
          <w:b/>
          <w:i w:val="0"/>
          <w:color w:val="auto"/>
          <w:sz w:val="24"/>
          <w:szCs w:val="24"/>
          <w:highlight w:val="none"/>
          <w:lang w:eastAsia="zh-CN"/>
        </w:rPr>
        <w:t>合格投标人不足三家的，不得评标。</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ascii="仿宋" w:hAnsi="仿宋" w:eastAsia="仿宋" w:cs="Marigold"/>
          <w:i w:val="0"/>
          <w:color w:val="auto"/>
          <w:sz w:val="24"/>
          <w:szCs w:val="24"/>
          <w:highlight w:val="none"/>
          <w:lang w:eastAsia="zh-CN"/>
        </w:rPr>
        <w:t>3</w:t>
      </w:r>
      <w:r>
        <w:rPr>
          <w:rFonts w:hint="eastAsia" w:ascii="仿宋" w:hAnsi="仿宋" w:eastAsia="仿宋" w:cs="Marigold"/>
          <w:i w:val="0"/>
          <w:color w:val="auto"/>
          <w:sz w:val="24"/>
          <w:szCs w:val="24"/>
          <w:highlight w:val="none"/>
          <w:lang w:eastAsia="zh-CN"/>
        </w:rPr>
        <w:t>、</w:t>
      </w:r>
      <w:r>
        <w:rPr>
          <w:rFonts w:hint="eastAsia" w:ascii="仿宋" w:hAnsi="仿宋" w:eastAsia="仿宋" w:cs="Marigold"/>
          <w:bCs/>
          <w:i w:val="0"/>
          <w:color w:val="auto"/>
          <w:sz w:val="24"/>
          <w:szCs w:val="24"/>
          <w:highlight w:val="none"/>
          <w:lang w:eastAsia="zh-CN"/>
        </w:rPr>
        <w:t>评标工作由采购代理机构负责组织，具体评标事务由采购代理机构依法组建的评标委员会负责。评标委员会由采购人代表和有关技术、经济等方面的专家组成。</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4、评标工作应遵循公平、公正、科学及择优的原则，并以相同的评标程序和标准对待所有的投标人。</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5、评标委员会按照招标文件规定的评标方法和标准进行评标，并独立履行下列职责：</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（1）熟悉和理解招标文件；</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w:t>
      </w:r>
      <w:r>
        <w:rPr>
          <w:rFonts w:ascii="仿宋" w:hAnsi="仿宋" w:eastAsia="仿宋" w:cs="Marigold"/>
          <w:i w:val="0"/>
          <w:color w:val="auto"/>
          <w:sz w:val="24"/>
          <w:szCs w:val="24"/>
          <w:highlight w:val="none"/>
          <w:lang w:eastAsia="zh-CN"/>
        </w:rPr>
        <w:t>2</w:t>
      </w:r>
      <w:r>
        <w:rPr>
          <w:rFonts w:hint="eastAsia" w:ascii="仿宋" w:hAnsi="仿宋" w:eastAsia="仿宋" w:cs="Marigold"/>
          <w:i w:val="0"/>
          <w:color w:val="auto"/>
          <w:sz w:val="24"/>
          <w:szCs w:val="24"/>
          <w:highlight w:val="none"/>
          <w:lang w:eastAsia="zh-CN"/>
        </w:rPr>
        <w:t>）审查投标人（已</w:t>
      </w:r>
      <w:r>
        <w:rPr>
          <w:rFonts w:ascii="仿宋" w:hAnsi="仿宋" w:eastAsia="仿宋" w:cs="Marigold"/>
          <w:i w:val="0"/>
          <w:color w:val="auto"/>
          <w:sz w:val="24"/>
          <w:szCs w:val="24"/>
          <w:highlight w:val="none"/>
          <w:lang w:eastAsia="zh-CN"/>
        </w:rPr>
        <w:t>通过资格审查</w:t>
      </w:r>
      <w:r>
        <w:rPr>
          <w:rFonts w:hint="eastAsia" w:ascii="仿宋" w:hAnsi="仿宋" w:eastAsia="仿宋" w:cs="Marigold"/>
          <w:i w:val="0"/>
          <w:color w:val="auto"/>
          <w:sz w:val="24"/>
          <w:szCs w:val="24"/>
          <w:highlight w:val="none"/>
          <w:lang w:eastAsia="zh-CN"/>
        </w:rPr>
        <w:t>）的投标文件是否符合招标文件要求，并作出评价；</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（1）审查、评价投标文件是否符合招标文件的商务、技术等实质性要求；</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（2）要求投标人对投标文件有关事项作出澄清或者说明；</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（3）对投标文件进行比较和评价；</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（4）确定中标候选人名单，以及根据采购人委托直接确定中标人；</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（5）向采购人、采购代理机构或者有关部门报告评标中发现的违法行为。</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6、</w:t>
      </w:r>
      <w:r>
        <w:rPr>
          <w:rFonts w:ascii="仿宋" w:hAnsi="仿宋" w:eastAsia="仿宋" w:cs="Marigold"/>
          <w:i w:val="0"/>
          <w:color w:val="auto"/>
          <w:sz w:val="24"/>
          <w:szCs w:val="24"/>
          <w:highlight w:val="none"/>
          <w:lang w:eastAsia="zh-CN"/>
        </w:rPr>
        <w:t xml:space="preserve"> </w:t>
      </w:r>
      <w:r>
        <w:rPr>
          <w:rFonts w:hint="eastAsia" w:ascii="仿宋" w:hAnsi="仿宋" w:eastAsia="仿宋" w:cs="Marigold"/>
          <w:i w:val="0"/>
          <w:color w:val="auto"/>
          <w:sz w:val="24"/>
          <w:szCs w:val="24"/>
          <w:highlight w:val="none"/>
          <w:lang w:eastAsia="zh-CN"/>
        </w:rPr>
        <w:t>评标过程独立、保密。投标人非法干预评标过程的行为将导致其投标文件作为无效处理。</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7、评标委员会评价投标文件的响应性，对于投标人而言，除评标委员会要求其澄清、说明或者更正而提供的资料外，仅依据投标文件本身的内容，不寻求其他外部证据。</w:t>
      </w:r>
    </w:p>
    <w:p>
      <w:pPr>
        <w:pStyle w:val="4"/>
        <w:jc w:val="left"/>
        <w:rPr>
          <w:rFonts w:ascii="仿宋" w:hAnsi="仿宋"/>
          <w:i w:val="0"/>
          <w:color w:val="auto"/>
          <w:sz w:val="24"/>
          <w:highlight w:val="none"/>
          <w:lang w:eastAsia="zh-CN"/>
        </w:rPr>
      </w:pPr>
      <w:bookmarkStart w:id="603" w:name="_Toc497752290"/>
      <w:bookmarkStart w:id="604" w:name="_Toc499918775"/>
      <w:bookmarkStart w:id="605" w:name="_Toc468654185"/>
      <w:bookmarkStart w:id="606" w:name="_Toc468331127"/>
      <w:bookmarkStart w:id="607" w:name="_Toc511558697"/>
      <w:bookmarkStart w:id="608" w:name="_Toc468320498"/>
      <w:bookmarkStart w:id="609" w:name="_Toc395625110"/>
      <w:bookmarkStart w:id="610" w:name="_Toc468641543"/>
      <w:bookmarkStart w:id="611" w:name="_Toc468640421"/>
      <w:bookmarkStart w:id="612" w:name="_Toc468346418"/>
      <w:bookmarkStart w:id="613" w:name="_Toc524910150"/>
      <w:bookmarkStart w:id="614" w:name="_Toc493631641"/>
      <w:bookmarkStart w:id="615" w:name="_Toc14558"/>
      <w:r>
        <w:rPr>
          <w:rFonts w:hint="eastAsia" w:ascii="仿宋" w:hAnsi="仿宋"/>
          <w:i w:val="0"/>
          <w:color w:val="auto"/>
          <w:sz w:val="24"/>
          <w:highlight w:val="none"/>
          <w:lang w:eastAsia="zh-CN"/>
        </w:rPr>
        <w:t>二、评标方法</w:t>
      </w:r>
      <w:bookmarkEnd w:id="603"/>
      <w:bookmarkEnd w:id="604"/>
      <w:bookmarkEnd w:id="605"/>
      <w:bookmarkEnd w:id="606"/>
      <w:bookmarkEnd w:id="607"/>
      <w:bookmarkEnd w:id="608"/>
      <w:bookmarkEnd w:id="609"/>
      <w:bookmarkEnd w:id="610"/>
      <w:bookmarkEnd w:id="611"/>
      <w:bookmarkEnd w:id="612"/>
      <w:bookmarkEnd w:id="613"/>
      <w:bookmarkEnd w:id="614"/>
      <w:bookmarkEnd w:id="615"/>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本次采购项目评标方法为：综合评分法。</w:t>
      </w:r>
    </w:p>
    <w:p>
      <w:pPr>
        <w:pStyle w:val="4"/>
        <w:jc w:val="left"/>
        <w:rPr>
          <w:rFonts w:ascii="仿宋" w:hAnsi="仿宋"/>
          <w:i w:val="0"/>
          <w:color w:val="auto"/>
          <w:sz w:val="24"/>
          <w:highlight w:val="none"/>
          <w:lang w:eastAsia="zh-CN"/>
        </w:rPr>
      </w:pPr>
      <w:bookmarkStart w:id="616" w:name="_Toc468331128"/>
      <w:bookmarkStart w:id="617" w:name="_Toc499918776"/>
      <w:bookmarkStart w:id="618" w:name="_Toc468346419"/>
      <w:bookmarkStart w:id="619" w:name="_Toc468320499"/>
      <w:bookmarkStart w:id="620" w:name="_Toc497752291"/>
      <w:bookmarkStart w:id="621" w:name="_Toc395625111"/>
      <w:bookmarkStart w:id="622" w:name="_Toc511558698"/>
      <w:bookmarkStart w:id="623" w:name="_Toc468641544"/>
      <w:bookmarkStart w:id="624" w:name="_Toc493631642"/>
      <w:bookmarkStart w:id="625" w:name="_Toc5634"/>
      <w:bookmarkStart w:id="626" w:name="_Toc468654186"/>
      <w:bookmarkStart w:id="627" w:name="_Toc524910151"/>
      <w:bookmarkStart w:id="628" w:name="_Toc468640422"/>
      <w:r>
        <w:rPr>
          <w:rFonts w:hint="eastAsia" w:ascii="仿宋" w:hAnsi="仿宋"/>
          <w:i w:val="0"/>
          <w:color w:val="auto"/>
          <w:sz w:val="24"/>
          <w:highlight w:val="none"/>
          <w:lang w:eastAsia="zh-CN"/>
        </w:rPr>
        <w:t>三、评标程序</w:t>
      </w:r>
      <w:bookmarkEnd w:id="616"/>
      <w:bookmarkEnd w:id="617"/>
      <w:bookmarkEnd w:id="618"/>
      <w:bookmarkEnd w:id="619"/>
      <w:bookmarkEnd w:id="620"/>
      <w:bookmarkEnd w:id="621"/>
      <w:bookmarkEnd w:id="622"/>
      <w:bookmarkEnd w:id="623"/>
      <w:bookmarkEnd w:id="624"/>
      <w:bookmarkEnd w:id="625"/>
      <w:bookmarkEnd w:id="626"/>
      <w:bookmarkEnd w:id="627"/>
      <w:bookmarkEnd w:id="628"/>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1、熟悉和理解招标文件和停止评标。</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1.1评标委员会正式评标前，应当对招标文件进行熟悉和理解，内容主要包括招标文件中投标人资格条件要求、采购项目技术、服务和商务要求、评标方法和标准以及可能涉及签订政府采购合同的内容等。</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1.2评标委员会熟悉和理解招标文件以及评标过程中，发现本招标文件有下列情形之一的，评标委员会应当停止评标：</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（1）招标文件的规定存在歧义、重大缺陷的；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（2）招标文件明显以不合理条件对投标人实行差别待遇或者歧视待遇的；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（3）采购项目属于国家规定的优先、强制采购范围，但是招标文件未依法体现优先、强制采购相关规定的；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（4）采购项目属于政府采购促进中小企业发展的范围，但是招标文件未依法体现促进中小企业发展相关规定的；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（5）招标文件规定的评标方法是综合评分法、最低评标价法之外的评标方法，或者虽然名称为综合评分法、最低评标价法，但实际上不符合国家规定；</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（6）招标文件将投标人的资格条件列为评分因素的；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（7）招标文件有违反国家其他有关强制性规定的情形。</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1.3评标过程中有下列情形之一的，评标委员会成员可以停止评标：</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（1）招标采购单位未提供必要的与采购项目有关的政策制度文件或者采购文件，继续评标将导致违法或者错误评标的；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（2）有关单位和个人非法干预评标委员会依法独立评标的；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（3）其他导致评标委员会无法正常履职的情形。</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ascii="仿宋" w:hAnsi="仿宋" w:eastAsia="仿宋" w:cs="Marigold"/>
          <w:i w:val="0"/>
          <w:color w:val="auto"/>
          <w:sz w:val="24"/>
          <w:szCs w:val="24"/>
          <w:highlight w:val="none"/>
          <w:lang w:eastAsia="zh-CN"/>
        </w:rPr>
        <w:t xml:space="preserve">1.4  </w:t>
      </w:r>
      <w:r>
        <w:rPr>
          <w:rFonts w:hint="eastAsia" w:ascii="仿宋" w:hAnsi="仿宋" w:eastAsia="仿宋" w:cs="Marigold"/>
          <w:i w:val="0"/>
          <w:color w:val="auto"/>
          <w:sz w:val="24"/>
          <w:szCs w:val="24"/>
          <w:highlight w:val="none"/>
          <w:lang w:eastAsia="zh-CN"/>
        </w:rPr>
        <w:t>出现1.2、</w:t>
      </w:r>
      <w:r>
        <w:rPr>
          <w:rFonts w:ascii="仿宋" w:hAnsi="仿宋" w:eastAsia="仿宋" w:cs="Marigold"/>
          <w:i w:val="0"/>
          <w:color w:val="auto"/>
          <w:sz w:val="24"/>
          <w:szCs w:val="24"/>
          <w:highlight w:val="none"/>
          <w:lang w:eastAsia="zh-CN"/>
        </w:rPr>
        <w:t>1.3</w:t>
      </w:r>
      <w:r>
        <w:rPr>
          <w:rFonts w:hint="eastAsia" w:ascii="仿宋" w:hAnsi="仿宋" w:eastAsia="仿宋" w:cs="Marigold"/>
          <w:i w:val="0"/>
          <w:color w:val="auto"/>
          <w:sz w:val="24"/>
          <w:szCs w:val="24"/>
          <w:highlight w:val="none"/>
          <w:lang w:eastAsia="zh-CN"/>
        </w:rPr>
        <w:t>规定应当停止评标情形的，评标委员会成员应当向招标采购单位书面说明情况。除本条规定和评标委员会无法依法组建的情形外，评标委员会成员不得以任何方式和理由停止评标。</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2、符合性检查</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评标委员会决定投标文件的响应性只根据投标文件本身的内容，而不寻求外部的证据。</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2.2投标文件（包括单独递交的开标一览表）有下列情形的，本项目不作为实质性要求进行规定，即不作为符合性审查事项，不得作为无效投标处理：</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（1）存在个别地方（不超过二个）没有法定代表人签字，但有法定代表人的私人印章或者有效授权代理人签字的；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（2）除招标文件明确要求签字和加盖单位公章的以外，其他地方以相关专用章加盖的；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（3）其他不影响采购项目实质性要求的情形。</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2.3除政府采购法律制度规定的情形外，本项目投标人或者其投标文件有下列情形之一的，作为无效投标处理：</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（1）投标文件数量不足的；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（2）投标文件组成明显不符合招标文件的规定要求，影响评标委员会评判的；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（3）投标文件的格式、语言、计量单位、报价货币、知识产权、投标有效期等不符合招标文件的规定，影响评标委员会评判的；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（4）投标报价不符合招标文件规定的价格标底和其他报价规定的；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（5）技术、服务应答内容没有完全响应招标文件的实质性要求的；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（6）招标文件有明确要求，但投标文件未载明或者载明的采购项目履约时间、方式、数量与招标文件要求不一致的。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3、比较与评价。按招标文件中规定的评标方法和标准，对未作无效投标处理的投标文件进行技术、服务、商务等方面评估，综合比较与评价。</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4、复核。评分汇总结束后，评标委员会应当进行复核，特别要对拟推荐为中标候选人的、报价最低的、投标文件被认定为无效的进行重点复核。</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5、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由采购人自主采取公平、择优的方式选择中标人。</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pPr>
        <w:spacing w:after="156" w:line="360" w:lineRule="auto"/>
        <w:ind w:firstLine="600" w:firstLineChars="25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6、出具评标报告。评标委员会推荐中标候选人后，应当向招标采购单位出具评标报告。评标报告应当包括下列内容：</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（1）招标公告刊登的媒体名称、开标日期和地点；</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（2）获取招标文件的投标人名单和评标委员会成员名单；</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（3）评标方法和标准；</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（4）开标记录和评标情况及说明，包括无效投标人名单及原因；</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（5）评标结果和中标候选人名单或</w:t>
      </w:r>
      <w:r>
        <w:rPr>
          <w:rFonts w:ascii="仿宋" w:hAnsi="仿宋" w:eastAsia="仿宋" w:cs="Marigold"/>
          <w:i w:val="0"/>
          <w:color w:val="auto"/>
          <w:sz w:val="24"/>
          <w:szCs w:val="24"/>
          <w:highlight w:val="none"/>
          <w:lang w:eastAsia="zh-CN"/>
        </w:rPr>
        <w:t>经采购人委托直</w:t>
      </w:r>
      <w:r>
        <w:rPr>
          <w:rFonts w:hint="eastAsia" w:ascii="仿宋" w:hAnsi="仿宋" w:eastAsia="仿宋" w:cs="Marigold"/>
          <w:i w:val="0"/>
          <w:color w:val="auto"/>
          <w:sz w:val="24"/>
          <w:szCs w:val="24"/>
          <w:highlight w:val="none"/>
          <w:lang w:eastAsia="zh-CN"/>
        </w:rPr>
        <w:t>接</w:t>
      </w:r>
      <w:r>
        <w:rPr>
          <w:rFonts w:ascii="仿宋" w:hAnsi="仿宋" w:eastAsia="仿宋" w:cs="Marigold"/>
          <w:i w:val="0"/>
          <w:color w:val="auto"/>
          <w:sz w:val="24"/>
          <w:szCs w:val="24"/>
          <w:highlight w:val="none"/>
          <w:lang w:eastAsia="zh-CN"/>
        </w:rPr>
        <w:t>确定的中标人</w:t>
      </w:r>
      <w:r>
        <w:rPr>
          <w:rFonts w:hint="eastAsia" w:ascii="仿宋" w:hAnsi="仿宋" w:eastAsia="仿宋" w:cs="Marigold"/>
          <w:i w:val="0"/>
          <w:color w:val="auto"/>
          <w:sz w:val="24"/>
          <w:szCs w:val="24"/>
          <w:highlight w:val="none"/>
          <w:lang w:eastAsia="zh-CN"/>
        </w:rPr>
        <w:t>；</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（6）其他需要说</w:t>
      </w:r>
      <w:r>
        <w:rPr>
          <w:rFonts w:ascii="仿宋" w:hAnsi="仿宋" w:eastAsia="仿宋" w:cs="Marigold"/>
          <w:i w:val="0"/>
          <w:color w:val="auto"/>
          <w:sz w:val="24"/>
          <w:szCs w:val="24"/>
          <w:highlight w:val="none"/>
          <w:lang w:eastAsia="zh-CN"/>
        </w:rPr>
        <w:t>明的情况</w:t>
      </w:r>
      <w:r>
        <w:rPr>
          <w:rFonts w:hint="eastAsia" w:ascii="仿宋" w:hAnsi="仿宋" w:eastAsia="仿宋" w:cs="Marigold"/>
          <w:i w:val="0"/>
          <w:color w:val="auto"/>
          <w:sz w:val="24"/>
          <w:szCs w:val="24"/>
          <w:highlight w:val="none"/>
          <w:lang w:eastAsia="zh-CN"/>
        </w:rPr>
        <w:t>，</w:t>
      </w:r>
      <w:r>
        <w:rPr>
          <w:rFonts w:ascii="仿宋" w:hAnsi="仿宋" w:eastAsia="仿宋" w:cs="Marigold"/>
          <w:i w:val="0"/>
          <w:color w:val="auto"/>
          <w:sz w:val="24"/>
          <w:szCs w:val="24"/>
          <w:highlight w:val="none"/>
          <w:lang w:eastAsia="zh-CN"/>
        </w:rPr>
        <w:t>包括评</w:t>
      </w:r>
      <w:r>
        <w:rPr>
          <w:rFonts w:hint="eastAsia" w:ascii="仿宋" w:hAnsi="仿宋" w:eastAsia="仿宋" w:cs="Marigold"/>
          <w:i w:val="0"/>
          <w:color w:val="auto"/>
          <w:sz w:val="24"/>
          <w:szCs w:val="24"/>
          <w:highlight w:val="none"/>
          <w:lang w:eastAsia="zh-CN"/>
        </w:rPr>
        <w:t>标过程</w:t>
      </w:r>
      <w:r>
        <w:rPr>
          <w:rFonts w:ascii="仿宋" w:hAnsi="仿宋" w:eastAsia="仿宋" w:cs="Marigold"/>
          <w:i w:val="0"/>
          <w:color w:val="auto"/>
          <w:sz w:val="24"/>
          <w:szCs w:val="24"/>
          <w:highlight w:val="none"/>
          <w:lang w:eastAsia="zh-CN"/>
        </w:rPr>
        <w:t>中</w:t>
      </w:r>
      <w:r>
        <w:rPr>
          <w:rFonts w:hint="eastAsia" w:ascii="仿宋" w:hAnsi="仿宋" w:eastAsia="仿宋" w:cs="Marigold"/>
          <w:i w:val="0"/>
          <w:color w:val="auto"/>
          <w:sz w:val="24"/>
          <w:szCs w:val="24"/>
          <w:highlight w:val="none"/>
          <w:lang w:eastAsia="zh-CN"/>
        </w:rPr>
        <w:t>投</w:t>
      </w:r>
      <w:r>
        <w:rPr>
          <w:rFonts w:ascii="仿宋" w:hAnsi="仿宋" w:eastAsia="仿宋" w:cs="Marigold"/>
          <w:i w:val="0"/>
          <w:color w:val="auto"/>
          <w:sz w:val="24"/>
          <w:szCs w:val="24"/>
          <w:highlight w:val="none"/>
          <w:lang w:eastAsia="zh-CN"/>
        </w:rPr>
        <w:t>标人根据评</w:t>
      </w:r>
      <w:r>
        <w:rPr>
          <w:rFonts w:hint="eastAsia" w:ascii="仿宋" w:hAnsi="仿宋" w:eastAsia="仿宋" w:cs="Marigold"/>
          <w:i w:val="0"/>
          <w:color w:val="auto"/>
          <w:sz w:val="24"/>
          <w:szCs w:val="24"/>
          <w:highlight w:val="none"/>
          <w:lang w:eastAsia="zh-CN"/>
        </w:rPr>
        <w:t>标</w:t>
      </w:r>
      <w:r>
        <w:rPr>
          <w:rFonts w:ascii="仿宋" w:hAnsi="仿宋" w:eastAsia="仿宋" w:cs="Marigold"/>
          <w:i w:val="0"/>
          <w:color w:val="auto"/>
          <w:sz w:val="24"/>
          <w:szCs w:val="24"/>
          <w:highlight w:val="none"/>
          <w:lang w:eastAsia="zh-CN"/>
        </w:rPr>
        <w:t>委员会要求</w:t>
      </w:r>
      <w:r>
        <w:rPr>
          <w:rFonts w:hint="eastAsia" w:ascii="仿宋" w:hAnsi="仿宋" w:eastAsia="仿宋" w:cs="Marigold"/>
          <w:i w:val="0"/>
          <w:color w:val="auto"/>
          <w:sz w:val="24"/>
          <w:szCs w:val="24"/>
          <w:highlight w:val="none"/>
          <w:lang w:eastAsia="zh-CN"/>
        </w:rPr>
        <w:t>进行</w:t>
      </w:r>
      <w:r>
        <w:rPr>
          <w:rFonts w:ascii="仿宋" w:hAnsi="仿宋" w:eastAsia="仿宋" w:cs="Marigold"/>
          <w:i w:val="0"/>
          <w:color w:val="auto"/>
          <w:sz w:val="24"/>
          <w:szCs w:val="24"/>
          <w:highlight w:val="none"/>
          <w:lang w:eastAsia="zh-CN"/>
        </w:rPr>
        <w:t>的</w:t>
      </w:r>
      <w:r>
        <w:rPr>
          <w:rFonts w:hint="eastAsia" w:ascii="仿宋" w:hAnsi="仿宋" w:eastAsia="仿宋" w:cs="Marigold"/>
          <w:i w:val="0"/>
          <w:color w:val="auto"/>
          <w:sz w:val="24"/>
          <w:szCs w:val="24"/>
          <w:highlight w:val="none"/>
          <w:lang w:eastAsia="zh-CN"/>
        </w:rPr>
        <w:t>澄清、说</w:t>
      </w:r>
      <w:r>
        <w:rPr>
          <w:rFonts w:ascii="仿宋" w:hAnsi="仿宋" w:eastAsia="仿宋" w:cs="Marigold"/>
          <w:i w:val="0"/>
          <w:color w:val="auto"/>
          <w:sz w:val="24"/>
          <w:szCs w:val="24"/>
          <w:highlight w:val="none"/>
          <w:lang w:eastAsia="zh-CN"/>
        </w:rPr>
        <w:t>明或</w:t>
      </w:r>
      <w:r>
        <w:rPr>
          <w:rFonts w:hint="eastAsia" w:ascii="仿宋" w:hAnsi="仿宋" w:eastAsia="仿宋" w:cs="Marigold"/>
          <w:i w:val="0"/>
          <w:color w:val="auto"/>
          <w:sz w:val="24"/>
          <w:szCs w:val="24"/>
          <w:highlight w:val="none"/>
          <w:lang w:eastAsia="zh-CN"/>
        </w:rPr>
        <w:t>者</w:t>
      </w:r>
      <w:r>
        <w:rPr>
          <w:rFonts w:ascii="仿宋" w:hAnsi="仿宋" w:eastAsia="仿宋" w:cs="Marigold"/>
          <w:i w:val="0"/>
          <w:color w:val="auto"/>
          <w:sz w:val="24"/>
          <w:szCs w:val="24"/>
          <w:highlight w:val="none"/>
          <w:lang w:eastAsia="zh-CN"/>
        </w:rPr>
        <w:t>补正，评标委员会成员的更换</w:t>
      </w:r>
      <w:r>
        <w:rPr>
          <w:rFonts w:hint="eastAsia" w:ascii="仿宋" w:hAnsi="仿宋" w:eastAsia="仿宋" w:cs="Marigold"/>
          <w:i w:val="0"/>
          <w:color w:val="auto"/>
          <w:sz w:val="24"/>
          <w:szCs w:val="24"/>
          <w:highlight w:val="none"/>
          <w:lang w:eastAsia="zh-CN"/>
        </w:rPr>
        <w:t>等</w:t>
      </w:r>
      <w:r>
        <w:rPr>
          <w:rFonts w:ascii="仿宋" w:hAnsi="仿宋" w:eastAsia="仿宋" w:cs="Marigold"/>
          <w:i w:val="0"/>
          <w:color w:val="auto"/>
          <w:sz w:val="24"/>
          <w:szCs w:val="24"/>
          <w:highlight w:val="none"/>
          <w:lang w:eastAsia="zh-CN"/>
        </w:rPr>
        <w:t>。</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7、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8、投标人应当书面澄清、说明或者更正。</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ascii="仿宋" w:hAnsi="仿宋" w:eastAsia="仿宋" w:cs="Marigold"/>
          <w:i w:val="0"/>
          <w:color w:val="auto"/>
          <w:sz w:val="24"/>
          <w:szCs w:val="24"/>
          <w:highlight w:val="none"/>
          <w:lang w:eastAsia="zh-CN"/>
        </w:rPr>
        <w:t>8</w:t>
      </w:r>
      <w:r>
        <w:rPr>
          <w:rFonts w:hint="eastAsia" w:ascii="仿宋" w:hAnsi="仿宋" w:eastAsia="仿宋" w:cs="Marigold"/>
          <w:i w:val="0"/>
          <w:color w:val="auto"/>
          <w:sz w:val="24"/>
          <w:szCs w:val="24"/>
          <w:highlight w:val="none"/>
          <w:lang w:eastAsia="zh-CN"/>
        </w:rPr>
        <w:t>.1对于投标文件中含义不明确、同类问题表述不一致或者有明显文字和计算错误的内容，评标委员会应当以书面形式要求投标人作出必要的澄清、说明或者补正。</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ascii="仿宋" w:hAnsi="仿宋" w:eastAsia="仿宋" w:cs="Marigold"/>
          <w:i w:val="0"/>
          <w:color w:val="auto"/>
          <w:sz w:val="24"/>
          <w:szCs w:val="24"/>
          <w:highlight w:val="none"/>
          <w:lang w:eastAsia="zh-CN"/>
        </w:rPr>
        <w:t>8</w:t>
      </w:r>
      <w:r>
        <w:rPr>
          <w:rFonts w:hint="eastAsia" w:ascii="仿宋" w:hAnsi="仿宋" w:eastAsia="仿宋" w:cs="Marigold"/>
          <w:i w:val="0"/>
          <w:color w:val="auto"/>
          <w:sz w:val="24"/>
          <w:szCs w:val="24"/>
          <w:highlight w:val="none"/>
          <w:lang w:eastAsia="zh-CN"/>
        </w:rPr>
        <w:t>.2投标人的澄清、说明或者补正应当采用书面形式，并加盖公章，或者由法定代表人或其授权的代表签字。投标人的澄清、说明或者补正不得超出投标文件的范围或者改变投标文件的实质性内容。</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ascii="仿宋" w:hAnsi="仿宋" w:eastAsia="仿宋" w:cs="Marigold"/>
          <w:i w:val="0"/>
          <w:color w:val="auto"/>
          <w:sz w:val="24"/>
          <w:szCs w:val="24"/>
          <w:highlight w:val="none"/>
          <w:lang w:eastAsia="zh-CN"/>
        </w:rPr>
        <w:t>8</w:t>
      </w:r>
      <w:r>
        <w:rPr>
          <w:rFonts w:hint="eastAsia" w:ascii="仿宋" w:hAnsi="仿宋" w:eastAsia="仿宋" w:cs="Marigold"/>
          <w:i w:val="0"/>
          <w:color w:val="auto"/>
          <w:sz w:val="24"/>
          <w:szCs w:val="24"/>
          <w:highlight w:val="none"/>
          <w:lang w:eastAsia="zh-CN"/>
        </w:rPr>
        <w:t>.3 本项目采购过程中，投标文件出现下列情况的，不需要投标人澄清、说明或者更正，按照以下原则处理：</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（一）投标文件中开标一览表（报价表）内容与投标文件中相应内容不一致的，以开标一览表（报价表）为准；</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（二）大写金额和小写金额不一致的，以大写金额为准；</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（三）单价金额小数点或者百分比有明显错位的，以开标一览表的总价为准，并修改单价；</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（四）总价金额与按单价汇总金额不一致的，以单价金额计算结果为准。</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同时出现两种以上不一致的，按照前款规定的顺序修正。修正后的报价按照本办法第五十一条第二款的规定经投标人确认后产生约束力，投标人不确认的，其投标无效。</w:t>
      </w:r>
    </w:p>
    <w:p>
      <w:pPr>
        <w:spacing w:after="156" w:line="360" w:lineRule="auto"/>
        <w:ind w:firstLine="482" w:firstLineChars="200"/>
        <w:rPr>
          <w:rFonts w:ascii="仿宋" w:hAnsi="仿宋" w:eastAsia="仿宋" w:cs="Marigold"/>
          <w:b/>
          <w:i w:val="0"/>
          <w:color w:val="auto"/>
          <w:sz w:val="24"/>
          <w:szCs w:val="24"/>
          <w:highlight w:val="none"/>
          <w:lang w:eastAsia="zh-CN"/>
        </w:rPr>
      </w:pPr>
      <w:r>
        <w:rPr>
          <w:rFonts w:hint="eastAsia" w:ascii="仿宋" w:hAnsi="仿宋" w:eastAsia="仿宋" w:cs="Marigold"/>
          <w:b/>
          <w:i w:val="0"/>
          <w:color w:val="auto"/>
          <w:sz w:val="24"/>
          <w:szCs w:val="24"/>
          <w:highlight w:val="none"/>
          <w:lang w:eastAsia="zh-CN"/>
        </w:rPr>
        <w:t>注：评标委员会当积极履行澄清、说明或者更正的职责，不得滥用权力。投标人的投标文件可以要求澄清、说明或者更正的，不得未经澄清、说明或者更正而直接作无效投标处理。</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ascii="仿宋" w:hAnsi="仿宋" w:eastAsia="仿宋" w:cs="Marigold"/>
          <w:i w:val="0"/>
          <w:color w:val="auto"/>
          <w:sz w:val="24"/>
          <w:szCs w:val="24"/>
          <w:highlight w:val="none"/>
          <w:lang w:eastAsia="zh-CN"/>
        </w:rPr>
        <w:t>9</w:t>
      </w:r>
      <w:r>
        <w:rPr>
          <w:rFonts w:hint="eastAsia" w:ascii="仿宋" w:hAnsi="仿宋" w:eastAsia="仿宋" w:cs="Marigold"/>
          <w:i w:val="0"/>
          <w:color w:val="auto"/>
          <w:sz w:val="24"/>
          <w:szCs w:val="24"/>
          <w:highlight w:val="none"/>
          <w:lang w:eastAsia="zh-CN"/>
        </w:rPr>
        <w:t>、低于成本价投标处理。在评标过程中，投标人报价有可能影响产品质量或者不能诚信履约的，评标委员会应当要求其在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10、招标采购单位现场复核评标结果。</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w:t>
      </w:r>
      <w:r>
        <w:rPr>
          <w:rFonts w:ascii="仿宋" w:hAnsi="仿宋" w:eastAsia="仿宋" w:cs="Marigold"/>
          <w:i w:val="0"/>
          <w:color w:val="auto"/>
          <w:sz w:val="24"/>
          <w:szCs w:val="24"/>
          <w:highlight w:val="none"/>
          <w:lang w:eastAsia="zh-CN"/>
        </w:rPr>
        <w:t>0</w:t>
      </w:r>
      <w:r>
        <w:rPr>
          <w:rFonts w:hint="eastAsia" w:ascii="仿宋" w:hAnsi="仿宋" w:eastAsia="仿宋" w:cs="Marigold"/>
          <w:i w:val="0"/>
          <w:color w:val="auto"/>
          <w:sz w:val="24"/>
          <w:szCs w:val="24"/>
          <w:highlight w:val="none"/>
          <w:lang w:eastAsia="zh-CN"/>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（1）分值汇总计算错误的；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（2）分项评分超出评分标准范围的；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（3）评标委员会成员对客观评审因素评分不一致的；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（4）经评标委员会认定评分畸高、畸低的。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投标人对本条第一款情形提出质疑的，采购人或者采购代理机构可以组织原评标委员会进行重新评审，重新评审改变评标结果的，应当书面报告本级财政部门。</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w:t>
      </w:r>
      <w:r>
        <w:rPr>
          <w:rFonts w:ascii="仿宋" w:hAnsi="仿宋" w:eastAsia="仿宋" w:cs="Marigold"/>
          <w:i w:val="0"/>
          <w:color w:val="auto"/>
          <w:sz w:val="24"/>
          <w:szCs w:val="24"/>
          <w:highlight w:val="none"/>
          <w:lang w:eastAsia="zh-CN"/>
        </w:rPr>
        <w:t>0</w:t>
      </w:r>
      <w:r>
        <w:rPr>
          <w:rFonts w:hint="eastAsia" w:ascii="仿宋" w:hAnsi="仿宋" w:eastAsia="仿宋" w:cs="Marigold"/>
          <w:i w:val="0"/>
          <w:color w:val="auto"/>
          <w:sz w:val="24"/>
          <w:szCs w:val="24"/>
          <w:highlight w:val="none"/>
          <w:lang w:eastAsia="zh-CN"/>
        </w:rPr>
        <w:t>.2有下列情形之一的，不得修改评标结果或者重新评标：</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（1）评标委员会已经出具评标报告并且离开评标现场的；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（2）招标采购单位现场复核时，复核工作人员数量不足的；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（3）招标采购单位现场复核时，没有采购监督人员现场监督的；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（4）招标采购单位现场复核内容超出规定范围的；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（5）招标采购单位未提供书面建议的</w:t>
      </w:r>
      <w:r>
        <w:rPr>
          <w:rFonts w:ascii="仿宋" w:hAnsi="仿宋" w:eastAsia="仿宋" w:cs="Marigold"/>
          <w:i w:val="0"/>
          <w:color w:val="auto"/>
          <w:sz w:val="24"/>
          <w:szCs w:val="24"/>
          <w:highlight w:val="none"/>
          <w:lang w:eastAsia="zh-CN"/>
        </w:rPr>
        <w:t>。</w:t>
      </w:r>
      <w:bookmarkStart w:id="629" w:name="_Toc493631643"/>
      <w:bookmarkStart w:id="630" w:name="_Toc499918777"/>
      <w:bookmarkStart w:id="631" w:name="_Toc511558699"/>
      <w:bookmarkStart w:id="632" w:name="_Toc497752292"/>
    </w:p>
    <w:p>
      <w:pPr>
        <w:pStyle w:val="4"/>
        <w:ind w:firstLine="420"/>
        <w:jc w:val="left"/>
        <w:rPr>
          <w:rFonts w:ascii="仿宋" w:hAnsi="仿宋"/>
          <w:i w:val="0"/>
          <w:color w:val="auto"/>
          <w:sz w:val="24"/>
          <w:highlight w:val="none"/>
          <w:lang w:eastAsia="zh-CN"/>
        </w:rPr>
      </w:pPr>
      <w:bookmarkStart w:id="633" w:name="_Toc22145"/>
      <w:bookmarkStart w:id="634" w:name="_Toc524910152"/>
      <w:r>
        <w:rPr>
          <w:rFonts w:hint="eastAsia" w:ascii="仿宋" w:hAnsi="仿宋"/>
          <w:i w:val="0"/>
          <w:color w:val="auto"/>
          <w:sz w:val="24"/>
          <w:highlight w:val="none"/>
          <w:lang w:eastAsia="zh-CN"/>
        </w:rPr>
        <w:t>四、评标细则及标准（综合评分法）</w:t>
      </w:r>
      <w:bookmarkEnd w:id="629"/>
      <w:bookmarkEnd w:id="630"/>
      <w:bookmarkEnd w:id="631"/>
      <w:bookmarkEnd w:id="632"/>
      <w:bookmarkEnd w:id="633"/>
      <w:bookmarkEnd w:id="634"/>
    </w:p>
    <w:p>
      <w:pPr>
        <w:spacing w:line="360" w:lineRule="auto"/>
        <w:ind w:firstLine="480" w:firstLineChars="200"/>
        <w:rPr>
          <w:rFonts w:ascii="仿宋" w:eastAsia="仿宋"/>
          <w:i w:val="0"/>
          <w:color w:val="auto"/>
          <w:sz w:val="24"/>
          <w:szCs w:val="24"/>
          <w:highlight w:val="none"/>
          <w:lang w:eastAsia="zh-CN"/>
        </w:rPr>
      </w:pPr>
      <w:r>
        <w:rPr>
          <w:rFonts w:hint="eastAsia" w:ascii="仿宋" w:eastAsia="仿宋"/>
          <w:i w:val="0"/>
          <w:color w:val="auto"/>
          <w:sz w:val="24"/>
          <w:szCs w:val="24"/>
          <w:highlight w:val="none"/>
          <w:lang w:eastAsia="zh-CN"/>
        </w:rPr>
        <w:t>1、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pPr>
        <w:spacing w:line="360" w:lineRule="auto"/>
        <w:ind w:firstLine="420"/>
        <w:rPr>
          <w:rFonts w:ascii="仿宋" w:eastAsia="仿宋"/>
          <w:i w:val="0"/>
          <w:color w:val="auto"/>
          <w:sz w:val="24"/>
          <w:szCs w:val="24"/>
          <w:highlight w:val="none"/>
          <w:lang w:eastAsia="zh-CN"/>
        </w:rPr>
      </w:pPr>
      <w:r>
        <w:rPr>
          <w:rFonts w:hint="eastAsia" w:ascii="仿宋" w:eastAsia="仿宋"/>
          <w:i w:val="0"/>
          <w:color w:val="auto"/>
          <w:sz w:val="24"/>
          <w:szCs w:val="24"/>
          <w:highlight w:val="none"/>
          <w:lang w:eastAsia="zh-CN"/>
        </w:rPr>
        <w:t>2、综合评分明细表</w:t>
      </w:r>
    </w:p>
    <w:p>
      <w:pPr>
        <w:spacing w:line="360" w:lineRule="auto"/>
        <w:ind w:firstLine="420"/>
        <w:rPr>
          <w:rFonts w:ascii="仿宋" w:eastAsia="仿宋"/>
          <w:i w:val="0"/>
          <w:color w:val="auto"/>
          <w:sz w:val="24"/>
          <w:szCs w:val="24"/>
          <w:highlight w:val="none"/>
          <w:lang w:eastAsia="zh-CN"/>
        </w:rPr>
      </w:pPr>
      <w:r>
        <w:rPr>
          <w:rFonts w:hint="eastAsia" w:ascii="仿宋" w:eastAsia="仿宋"/>
          <w:i w:val="0"/>
          <w:color w:val="auto"/>
          <w:sz w:val="24"/>
          <w:szCs w:val="24"/>
          <w:highlight w:val="none"/>
          <w:lang w:eastAsia="zh-CN"/>
        </w:rPr>
        <w:t>2.1综合评分明细表的制定以科学合理、降低评委会自由裁量权为原则。</w:t>
      </w:r>
      <w:r>
        <w:rPr>
          <w:rFonts w:ascii="仿宋" w:eastAsia="仿宋"/>
          <w:i w:val="0"/>
          <w:color w:val="auto"/>
          <w:sz w:val="24"/>
          <w:szCs w:val="24"/>
          <w:highlight w:val="none"/>
          <w:lang w:eastAsia="zh-CN"/>
        </w:rPr>
        <w:br w:type="page"/>
      </w:r>
    </w:p>
    <w:p>
      <w:pPr>
        <w:spacing w:line="360" w:lineRule="auto"/>
        <w:ind w:firstLine="420"/>
        <w:rPr>
          <w:rFonts w:ascii="仿宋" w:eastAsia="仿宋"/>
          <w:i w:val="0"/>
          <w:color w:val="auto"/>
          <w:sz w:val="24"/>
          <w:szCs w:val="24"/>
          <w:highlight w:val="none"/>
          <w:lang w:eastAsia="zh-CN"/>
        </w:rPr>
      </w:pPr>
      <w:r>
        <w:rPr>
          <w:rFonts w:hint="eastAsia" w:ascii="仿宋" w:eastAsia="仿宋"/>
          <w:i w:val="0"/>
          <w:color w:val="auto"/>
          <w:sz w:val="24"/>
          <w:szCs w:val="24"/>
          <w:highlight w:val="none"/>
          <w:lang w:eastAsia="zh-CN"/>
        </w:rPr>
        <w:t>3、评分</w:t>
      </w:r>
      <w:r>
        <w:rPr>
          <w:rFonts w:ascii="仿宋" w:eastAsia="仿宋"/>
          <w:i w:val="0"/>
          <w:color w:val="auto"/>
          <w:sz w:val="24"/>
          <w:szCs w:val="24"/>
          <w:highlight w:val="none"/>
          <w:lang w:eastAsia="zh-CN"/>
        </w:rPr>
        <w:t>细则：</w:t>
      </w:r>
    </w:p>
    <w:tbl>
      <w:tblPr>
        <w:tblStyle w:val="2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51"/>
        <w:gridCol w:w="567"/>
        <w:gridCol w:w="573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ind w:firstLine="34"/>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序号</w:t>
            </w:r>
          </w:p>
        </w:tc>
        <w:tc>
          <w:tcPr>
            <w:tcW w:w="851" w:type="dxa"/>
            <w:tcBorders>
              <w:top w:val="single" w:color="auto" w:sz="4" w:space="0"/>
              <w:left w:val="single" w:color="auto" w:sz="4" w:space="0"/>
              <w:bottom w:val="single" w:color="auto" w:sz="4" w:space="0"/>
              <w:right w:val="single" w:color="auto" w:sz="4" w:space="0"/>
            </w:tcBorders>
            <w:vAlign w:val="center"/>
          </w:tcPr>
          <w:p>
            <w:pPr>
              <w:ind w:firstLine="13"/>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评分因素</w:t>
            </w:r>
          </w:p>
        </w:tc>
        <w:tc>
          <w:tcPr>
            <w:tcW w:w="567"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分值</w:t>
            </w:r>
          </w:p>
        </w:tc>
        <w:tc>
          <w:tcPr>
            <w:tcW w:w="5733"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评分标准</w:t>
            </w:r>
          </w:p>
        </w:tc>
        <w:tc>
          <w:tcPr>
            <w:tcW w:w="646"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9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报价部分10%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lang w:val="zh-CN"/>
              </w:rPr>
            </w:pPr>
            <w:r>
              <w:rPr>
                <w:rFonts w:hint="eastAsia" w:ascii="仿宋" w:hAnsi="仿宋" w:eastAsia="仿宋" w:cs="仿宋"/>
                <w:i w:val="0"/>
                <w:color w:val="auto"/>
                <w:sz w:val="21"/>
                <w:szCs w:val="21"/>
                <w:highlight w:val="none"/>
              </w:rPr>
              <w:t>报价</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10</w:t>
            </w:r>
          </w:p>
        </w:tc>
        <w:tc>
          <w:tcPr>
            <w:tcW w:w="5733" w:type="dxa"/>
            <w:tcBorders>
              <w:top w:val="single" w:color="auto" w:sz="4" w:space="0"/>
              <w:left w:val="single" w:color="auto" w:sz="4" w:space="0"/>
              <w:bottom w:val="single" w:color="auto" w:sz="4" w:space="0"/>
              <w:right w:val="single" w:color="auto" w:sz="4" w:space="0"/>
            </w:tcBorders>
            <w:vAlign w:val="center"/>
          </w:tcPr>
          <w:p>
            <w:pPr>
              <w:numPr>
                <w:ilvl w:val="0"/>
                <w:numId w:val="4"/>
              </w:numP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满足招标文件要求且投标报价最低的投标人的价格为基准价，其价格分为满分。其他投标人的价格分统一按照下列公式计算：投标报价得分=(评标基准价÷投标报价)×10%×100。</w:t>
            </w:r>
          </w:p>
          <w:p>
            <w:pPr>
              <w:numPr>
                <w:ilvl w:val="0"/>
                <w:numId w:val="4"/>
              </w:numP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对小型和微型企业（含监狱企业、残疾人福利性单位）的</w:t>
            </w:r>
            <w:r>
              <w:rPr>
                <w:rFonts w:hint="eastAsia" w:ascii="仿宋" w:hAnsi="仿宋" w:eastAsia="仿宋" w:cs="仿宋"/>
                <w:i w:val="0"/>
                <w:color w:val="auto"/>
                <w:sz w:val="21"/>
                <w:szCs w:val="21"/>
                <w:highlight w:val="none"/>
                <w:lang w:val="en-US" w:eastAsia="zh-CN"/>
              </w:rPr>
              <w:t>投标</w:t>
            </w:r>
            <w:r>
              <w:rPr>
                <w:rFonts w:hint="eastAsia" w:ascii="仿宋" w:hAnsi="仿宋" w:eastAsia="仿宋" w:cs="仿宋"/>
                <w:i w:val="0"/>
                <w:color w:val="auto"/>
                <w:sz w:val="21"/>
                <w:szCs w:val="21"/>
                <w:highlight w:val="none"/>
                <w:lang w:eastAsia="zh-CN"/>
              </w:rPr>
              <w:t>报价给予</w:t>
            </w:r>
            <w:r>
              <w:rPr>
                <w:rFonts w:hint="eastAsia" w:ascii="仿宋" w:hAnsi="仿宋" w:eastAsia="仿宋" w:cs="仿宋"/>
                <w:i w:val="0"/>
                <w:color w:val="auto"/>
                <w:sz w:val="21"/>
                <w:szCs w:val="21"/>
                <w:highlight w:val="none"/>
                <w:lang w:val="en-US" w:eastAsia="zh-CN"/>
              </w:rPr>
              <w:t>10</w:t>
            </w:r>
            <w:r>
              <w:rPr>
                <w:rFonts w:hint="eastAsia" w:ascii="仿宋" w:hAnsi="仿宋" w:eastAsia="仿宋" w:cs="仿宋"/>
                <w:i w:val="0"/>
                <w:color w:val="auto"/>
                <w:sz w:val="21"/>
                <w:szCs w:val="21"/>
                <w:highlight w:val="none"/>
                <w:lang w:eastAsia="zh-CN"/>
              </w:rPr>
              <w:t>%的扣除，用扣除后的价格参与评审。</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审核文件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829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技术服务部分</w:t>
            </w:r>
            <w:r>
              <w:rPr>
                <w:rFonts w:hint="eastAsia" w:ascii="仿宋" w:hAnsi="仿宋" w:eastAsia="仿宋" w:cs="仿宋"/>
                <w:i w:val="0"/>
                <w:color w:val="auto"/>
                <w:sz w:val="21"/>
                <w:szCs w:val="21"/>
                <w:highlight w:val="none"/>
                <w:lang w:eastAsia="zh-CN"/>
              </w:rPr>
              <w:t>6</w:t>
            </w:r>
            <w:r>
              <w:rPr>
                <w:rFonts w:hint="eastAsia" w:ascii="仿宋" w:hAnsi="仿宋" w:eastAsia="仿宋" w:cs="仿宋"/>
                <w:i w:val="0"/>
                <w:color w:val="auto"/>
                <w:sz w:val="21"/>
                <w:szCs w:val="21"/>
                <w:highlight w:val="none"/>
                <w:lang w:val="en-US" w:eastAsia="zh-CN"/>
              </w:rPr>
              <w:t>1</w:t>
            </w:r>
            <w:r>
              <w:rPr>
                <w:rFonts w:hint="eastAsia" w:ascii="仿宋" w:hAnsi="仿宋" w:eastAsia="仿宋" w:cs="仿宋"/>
                <w:i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项目需求分析</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5</w:t>
            </w:r>
          </w:p>
        </w:tc>
        <w:tc>
          <w:tcPr>
            <w:tcW w:w="573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投标人根据招标文件要求，结合自身实际工作经验，对本项目进行项目需求分析，有需求分析的得1分；在此基础上项目需求分析能贴合项目实施区域街道分布特点并能体现投标人在项目实施的过程中优势及特点且有利于采购人监管的加2分；能出具详细的现场踏勘说明并能从中提出有利于提升服务质量建议的加2分；未提供或提供的项目需求分析认识不深刻，项目状况掌握不充分的此项不得分。</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审核文件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lang w:eastAsia="zh-CN"/>
              </w:rPr>
              <w:t>清扫保洁方案</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rPr>
              <w:t>1</w:t>
            </w:r>
            <w:r>
              <w:rPr>
                <w:rFonts w:hint="eastAsia" w:ascii="仿宋" w:hAnsi="仿宋" w:eastAsia="仿宋" w:cs="仿宋"/>
                <w:i w:val="0"/>
                <w:color w:val="auto"/>
                <w:sz w:val="21"/>
                <w:szCs w:val="21"/>
                <w:highlight w:val="none"/>
                <w:lang w:eastAsia="zh-CN"/>
              </w:rPr>
              <w:t>2</w:t>
            </w:r>
          </w:p>
        </w:tc>
        <w:tc>
          <w:tcPr>
            <w:tcW w:w="573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投标人根据招标文件提供的清扫保洁方案满足招标文件对应的清扫保洁服务标准及服务要求、服务效率、服务方式的得6分，每有一项内容不满足招标文件要求扣2分，扣完为止；在此基础上所投方案中清扫保洁作业准备充分，并体现了不会出现因设备问题而导致清扫保洁作业中断的确保措施的加2分；能针对不同级别的道路制定有针对性的重点清扫方案的加2分；另具备不同作业区域及气候条件下的多功能作业措施，能体现极端恶劣天气下采购人需求的应急响应辅助措施的加2分。</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审核文件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4</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lang w:eastAsia="zh-CN"/>
              </w:rPr>
              <w:t>冲洗除尘</w:t>
            </w:r>
            <w:r>
              <w:rPr>
                <w:rFonts w:hint="eastAsia" w:ascii="仿宋" w:hAnsi="仿宋" w:eastAsia="仿宋" w:cs="仿宋"/>
                <w:i w:val="0"/>
                <w:color w:val="auto"/>
                <w:sz w:val="21"/>
                <w:szCs w:val="21"/>
                <w:highlight w:val="none"/>
              </w:rPr>
              <w:t>方案</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10</w:t>
            </w:r>
          </w:p>
        </w:tc>
        <w:tc>
          <w:tcPr>
            <w:tcW w:w="573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投标人根据招标文件提供的冲洗除尘方案满足招标文件对应的冲洗除尘服务标准及服务要求、服务效率、服务方式的得6分，每有一项内容不满足招标文件要求扣2分，扣完为止；在此基础上不会出现因设备问题而导冲洗除尘作业中断的确保措施的加2分；所投方案中针对不同级别的道路制定了不同的冲洗除尘措施的加2分。</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审核文件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5</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lang w:eastAsia="zh-CN"/>
              </w:rPr>
              <w:t>生活垃圾收运</w:t>
            </w:r>
            <w:r>
              <w:rPr>
                <w:rFonts w:hint="eastAsia" w:ascii="仿宋" w:hAnsi="仿宋" w:eastAsia="仿宋" w:cs="仿宋"/>
                <w:i w:val="0"/>
                <w:color w:val="auto"/>
                <w:sz w:val="21"/>
                <w:szCs w:val="21"/>
                <w:highlight w:val="none"/>
              </w:rPr>
              <w:t>方案</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10</w:t>
            </w:r>
          </w:p>
        </w:tc>
        <w:tc>
          <w:tcPr>
            <w:tcW w:w="573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投标人根据招标文件提供的生活垃圾收运方案满足招标文件对应的生活垃圾收运服务标准及服务要求、服务效率、服务方式、垃圾收运规划路线、</w:t>
            </w:r>
            <w:r>
              <w:rPr>
                <w:rFonts w:hint="eastAsia" w:ascii="仿宋" w:hAnsi="仿宋" w:eastAsia="仿宋" w:cs="仿宋"/>
                <w:i w:val="0"/>
                <w:color w:val="auto"/>
                <w:sz w:val="21"/>
                <w:szCs w:val="21"/>
                <w:highlight w:val="none"/>
                <w:lang w:val="en-US" w:eastAsia="zh-CN"/>
              </w:rPr>
              <w:t>作业时间、作业流程</w:t>
            </w:r>
            <w:r>
              <w:rPr>
                <w:rFonts w:hint="eastAsia" w:ascii="仿宋" w:hAnsi="仿宋" w:eastAsia="仿宋" w:cs="仿宋"/>
                <w:i w:val="0"/>
                <w:color w:val="auto"/>
                <w:sz w:val="21"/>
                <w:szCs w:val="21"/>
                <w:highlight w:val="none"/>
                <w:lang w:eastAsia="zh-CN"/>
              </w:rPr>
              <w:t>的得6分，每有一项内容不满足招标文件要求扣</w:t>
            </w:r>
            <w:r>
              <w:rPr>
                <w:rFonts w:hint="eastAsia" w:ascii="仿宋" w:hAnsi="仿宋" w:eastAsia="仿宋" w:cs="仿宋"/>
                <w:i w:val="0"/>
                <w:color w:val="auto"/>
                <w:sz w:val="21"/>
                <w:szCs w:val="21"/>
                <w:highlight w:val="none"/>
                <w:lang w:val="en-US" w:eastAsia="zh-CN"/>
              </w:rPr>
              <w:t>1</w:t>
            </w:r>
            <w:r>
              <w:rPr>
                <w:rFonts w:hint="eastAsia" w:ascii="仿宋" w:hAnsi="仿宋" w:eastAsia="仿宋" w:cs="仿宋"/>
                <w:i w:val="0"/>
                <w:color w:val="auto"/>
                <w:sz w:val="21"/>
                <w:szCs w:val="21"/>
                <w:highlight w:val="none"/>
                <w:lang w:eastAsia="zh-CN"/>
              </w:rPr>
              <w:t>分，扣完为止；在此基础上方案能体现出</w:t>
            </w:r>
            <w:r>
              <w:rPr>
                <w:rFonts w:hint="eastAsia" w:ascii="仿宋" w:hAnsi="仿宋" w:eastAsia="仿宋" w:cs="仿宋"/>
                <w:i w:val="0"/>
                <w:color w:val="auto"/>
                <w:sz w:val="21"/>
                <w:szCs w:val="21"/>
                <w:highlight w:val="none"/>
                <w:lang w:eastAsia="zh-CN" w:bidi="ar-SA"/>
              </w:rPr>
              <w:t>生活垃圾分类投放、分类收集、分类运输和分类处置的知识且对于人民群众有积极引导性作用的加2分；</w:t>
            </w:r>
            <w:r>
              <w:rPr>
                <w:rFonts w:hint="eastAsia" w:ascii="仿宋" w:hAnsi="仿宋" w:eastAsia="仿宋" w:cs="仿宋"/>
                <w:i w:val="0"/>
                <w:color w:val="auto"/>
                <w:sz w:val="21"/>
                <w:szCs w:val="21"/>
                <w:highlight w:val="none"/>
                <w:lang w:eastAsia="zh-CN"/>
              </w:rPr>
              <w:t>具备完整的生活垃圾收运措施，体现垃圾无害化处理的加2分。</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审核文件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6</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lang w:eastAsia="zh-CN"/>
              </w:rPr>
              <w:t>垃圾容器管理</w:t>
            </w:r>
            <w:r>
              <w:rPr>
                <w:rFonts w:hint="eastAsia" w:ascii="仿宋" w:hAnsi="仿宋" w:eastAsia="仿宋" w:cs="仿宋"/>
                <w:i w:val="0"/>
                <w:color w:val="auto"/>
                <w:sz w:val="21"/>
                <w:szCs w:val="21"/>
                <w:highlight w:val="none"/>
              </w:rPr>
              <w:t>方案</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val="en-US" w:eastAsia="zh-CN"/>
              </w:rPr>
              <w:t>5</w:t>
            </w:r>
          </w:p>
        </w:tc>
        <w:tc>
          <w:tcPr>
            <w:tcW w:w="573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投标人根据招标文件提供的垃圾容器管理方案满足招标文件对应的垃圾容器管理服务标准及服务要求、服务效率、服务方式的得</w:t>
            </w:r>
            <w:r>
              <w:rPr>
                <w:rFonts w:hint="eastAsia" w:ascii="仿宋" w:hAnsi="仿宋" w:eastAsia="仿宋" w:cs="仿宋"/>
                <w:i w:val="0"/>
                <w:color w:val="auto"/>
                <w:sz w:val="21"/>
                <w:szCs w:val="21"/>
                <w:highlight w:val="none"/>
                <w:lang w:val="en-US" w:eastAsia="zh-CN"/>
              </w:rPr>
              <w:t>3</w:t>
            </w:r>
            <w:r>
              <w:rPr>
                <w:rFonts w:hint="eastAsia" w:ascii="仿宋" w:hAnsi="仿宋" w:eastAsia="仿宋" w:cs="仿宋"/>
                <w:i w:val="0"/>
                <w:color w:val="auto"/>
                <w:sz w:val="21"/>
                <w:szCs w:val="21"/>
                <w:highlight w:val="none"/>
                <w:lang w:eastAsia="zh-CN"/>
              </w:rPr>
              <w:t>分，每有一项内容不满足招标文件要求扣</w:t>
            </w:r>
            <w:r>
              <w:rPr>
                <w:rFonts w:hint="eastAsia" w:ascii="仿宋" w:hAnsi="仿宋" w:eastAsia="仿宋" w:cs="仿宋"/>
                <w:i w:val="0"/>
                <w:color w:val="auto"/>
                <w:sz w:val="21"/>
                <w:szCs w:val="21"/>
                <w:highlight w:val="none"/>
                <w:lang w:val="en-US" w:eastAsia="zh-CN"/>
              </w:rPr>
              <w:t>1</w:t>
            </w:r>
            <w:r>
              <w:rPr>
                <w:rFonts w:hint="eastAsia" w:ascii="仿宋" w:hAnsi="仿宋" w:eastAsia="仿宋" w:cs="仿宋"/>
                <w:i w:val="0"/>
                <w:color w:val="auto"/>
                <w:sz w:val="21"/>
                <w:szCs w:val="21"/>
                <w:highlight w:val="none"/>
                <w:lang w:eastAsia="zh-CN"/>
              </w:rPr>
              <w:t>分，扣完为止；在此基础上所投方案中有具体的垃圾日产日清措施的加1分；具备</w:t>
            </w:r>
            <w:r>
              <w:rPr>
                <w:rFonts w:hint="eastAsia" w:ascii="仿宋" w:hAnsi="仿宋" w:eastAsia="仿宋" w:cs="仿宋"/>
                <w:i w:val="0"/>
                <w:color w:val="auto"/>
                <w:sz w:val="21"/>
                <w:szCs w:val="21"/>
                <w:highlight w:val="none"/>
                <w:lang w:eastAsia="zh-CN" w:bidi="ar-SA"/>
              </w:rPr>
              <w:t>箱体及</w:t>
            </w:r>
            <w:r>
              <w:rPr>
                <w:rFonts w:hint="eastAsia" w:ascii="仿宋" w:hAnsi="仿宋" w:eastAsia="仿宋" w:cs="仿宋"/>
                <w:i w:val="0"/>
                <w:color w:val="auto"/>
                <w:sz w:val="21"/>
                <w:szCs w:val="21"/>
                <w:highlight w:val="none"/>
                <w:lang w:val="en-US" w:eastAsia="zh-CN" w:bidi="ar-SA"/>
              </w:rPr>
              <w:t>其周边</w:t>
            </w:r>
            <w:r>
              <w:rPr>
                <w:rFonts w:hint="eastAsia" w:ascii="仿宋" w:hAnsi="仿宋" w:eastAsia="仿宋" w:cs="仿宋"/>
                <w:i w:val="0"/>
                <w:color w:val="auto"/>
                <w:sz w:val="21"/>
                <w:szCs w:val="21"/>
                <w:highlight w:val="none"/>
                <w:lang w:eastAsia="zh-CN" w:bidi="ar-SA"/>
              </w:rPr>
              <w:t>地面保洁措施的加1分。</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审核文件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7</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垃圾收集、转运站（点）管理方案</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val="en-US" w:eastAsia="zh-CN"/>
              </w:rPr>
              <w:t>5</w:t>
            </w:r>
          </w:p>
        </w:tc>
        <w:tc>
          <w:tcPr>
            <w:tcW w:w="573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投标人根据招标文件提供的垃圾收集转运站（点）管理方案满足招标文件对应的垃圾收集转运站（点）管理服务标准及服务要求、服务效率、服务方式的得</w:t>
            </w:r>
            <w:r>
              <w:rPr>
                <w:rFonts w:hint="eastAsia" w:ascii="仿宋" w:hAnsi="仿宋" w:eastAsia="仿宋" w:cs="仿宋"/>
                <w:i w:val="0"/>
                <w:color w:val="auto"/>
                <w:sz w:val="21"/>
                <w:szCs w:val="21"/>
                <w:highlight w:val="none"/>
                <w:lang w:val="en-US" w:eastAsia="zh-CN"/>
              </w:rPr>
              <w:t>3</w:t>
            </w:r>
            <w:r>
              <w:rPr>
                <w:rFonts w:hint="eastAsia" w:ascii="仿宋" w:hAnsi="仿宋" w:eastAsia="仿宋" w:cs="仿宋"/>
                <w:i w:val="0"/>
                <w:color w:val="auto"/>
                <w:sz w:val="21"/>
                <w:szCs w:val="21"/>
                <w:highlight w:val="none"/>
                <w:lang w:eastAsia="zh-CN"/>
              </w:rPr>
              <w:t>分，每有一项内容不满足招标文件要求扣</w:t>
            </w:r>
            <w:r>
              <w:rPr>
                <w:rFonts w:hint="eastAsia" w:ascii="仿宋" w:hAnsi="仿宋" w:eastAsia="仿宋" w:cs="仿宋"/>
                <w:i w:val="0"/>
                <w:color w:val="auto"/>
                <w:sz w:val="21"/>
                <w:szCs w:val="21"/>
                <w:highlight w:val="none"/>
                <w:lang w:val="en-US" w:eastAsia="zh-CN"/>
              </w:rPr>
              <w:t>1</w:t>
            </w:r>
            <w:r>
              <w:rPr>
                <w:rFonts w:hint="eastAsia" w:ascii="仿宋" w:hAnsi="仿宋" w:eastAsia="仿宋" w:cs="仿宋"/>
                <w:i w:val="0"/>
                <w:color w:val="auto"/>
                <w:sz w:val="21"/>
                <w:szCs w:val="21"/>
                <w:highlight w:val="none"/>
                <w:lang w:eastAsia="zh-CN"/>
              </w:rPr>
              <w:t>分，扣完为止；在此基础上具备垃圾消杀措施体现出结合疫情防控且不影响街道正常运转的加1分；垃圾收运点环卫作业过程中能有效区分有害垃圾无害垃圾并针对不同类型进行处理的加1分。</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审核文件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环卫工人作息房管理方案</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val="en-US" w:eastAsia="zh-CN"/>
              </w:rPr>
              <w:t>2</w:t>
            </w:r>
          </w:p>
        </w:tc>
        <w:tc>
          <w:tcPr>
            <w:tcW w:w="573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投标人根据招标文件提供的环卫工人作息房管理方案满足招标文件对应的环卫工人作息房管理服务标准及服务要求、服务效率、服务方式的得</w:t>
            </w:r>
            <w:r>
              <w:rPr>
                <w:rFonts w:hint="eastAsia" w:ascii="仿宋" w:hAnsi="仿宋" w:eastAsia="仿宋" w:cs="仿宋"/>
                <w:i w:val="0"/>
                <w:color w:val="auto"/>
                <w:sz w:val="21"/>
                <w:szCs w:val="21"/>
                <w:highlight w:val="none"/>
                <w:lang w:val="en-US" w:eastAsia="zh-CN"/>
              </w:rPr>
              <w:t>1.5</w:t>
            </w:r>
            <w:r>
              <w:rPr>
                <w:rFonts w:hint="eastAsia" w:ascii="仿宋" w:hAnsi="仿宋" w:eastAsia="仿宋" w:cs="仿宋"/>
                <w:i w:val="0"/>
                <w:color w:val="auto"/>
                <w:sz w:val="21"/>
                <w:szCs w:val="21"/>
                <w:highlight w:val="none"/>
                <w:lang w:eastAsia="zh-CN"/>
              </w:rPr>
              <w:t>分，每有一项内容不满足招标文件要求扣</w:t>
            </w:r>
            <w:r>
              <w:rPr>
                <w:rFonts w:hint="eastAsia" w:ascii="仿宋" w:hAnsi="仿宋" w:eastAsia="仿宋" w:cs="仿宋"/>
                <w:i w:val="0"/>
                <w:color w:val="auto"/>
                <w:sz w:val="21"/>
                <w:szCs w:val="21"/>
                <w:highlight w:val="none"/>
                <w:lang w:val="en-US" w:eastAsia="zh-CN"/>
              </w:rPr>
              <w:t>0.5</w:t>
            </w:r>
            <w:r>
              <w:rPr>
                <w:rFonts w:hint="eastAsia" w:ascii="仿宋" w:hAnsi="仿宋" w:eastAsia="仿宋" w:cs="仿宋"/>
                <w:i w:val="0"/>
                <w:color w:val="auto"/>
                <w:sz w:val="21"/>
                <w:szCs w:val="21"/>
                <w:highlight w:val="none"/>
                <w:lang w:eastAsia="zh-CN"/>
              </w:rPr>
              <w:t>分，扣完为止；在此基础上具备环卫工人作息房清扫措施、环卫工人作息房设施设备维护保养措施齐备的加</w:t>
            </w:r>
            <w:r>
              <w:rPr>
                <w:rFonts w:hint="eastAsia" w:ascii="仿宋" w:hAnsi="仿宋" w:eastAsia="仿宋" w:cs="仿宋"/>
                <w:i w:val="0"/>
                <w:color w:val="auto"/>
                <w:sz w:val="21"/>
                <w:szCs w:val="21"/>
                <w:highlight w:val="none"/>
                <w:lang w:val="en-US" w:eastAsia="zh-CN"/>
              </w:rPr>
              <w:t>0.5</w:t>
            </w:r>
            <w:r>
              <w:rPr>
                <w:rFonts w:hint="eastAsia" w:ascii="仿宋" w:hAnsi="仿宋" w:eastAsia="仿宋" w:cs="仿宋"/>
                <w:i w:val="0"/>
                <w:color w:val="auto"/>
                <w:sz w:val="21"/>
                <w:szCs w:val="21"/>
                <w:highlight w:val="none"/>
                <w:lang w:eastAsia="zh-CN"/>
              </w:rPr>
              <w:t>分。</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审核文件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9</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公厕管护方案</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lang w:val="en-US" w:eastAsia="zh-CN"/>
              </w:rPr>
            </w:pPr>
            <w:r>
              <w:rPr>
                <w:rFonts w:hint="eastAsia" w:ascii="仿宋" w:hAnsi="仿宋" w:eastAsia="仿宋" w:cs="仿宋"/>
                <w:i w:val="0"/>
                <w:color w:val="auto"/>
                <w:sz w:val="21"/>
                <w:szCs w:val="21"/>
                <w:highlight w:val="none"/>
                <w:lang w:val="en-US" w:eastAsia="zh-CN"/>
              </w:rPr>
              <w:t>12</w:t>
            </w:r>
          </w:p>
        </w:tc>
        <w:tc>
          <w:tcPr>
            <w:tcW w:w="573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投标人根据招标文件提供的公厕管护方案满足招标文件对应的公厕管护服务标准及服务要求、服务效率、服务方式的得6分，每有一项内容不满足招标文件要求扣2分，扣完为止；在此基础上具备不间断供应耗材的时间保障措施和耗材质量保障措施的加1分；具有详细的厕纸、洗手液、作业工具和劳保用品供应清单的加1分；</w:t>
            </w:r>
            <w:r>
              <w:rPr>
                <w:rFonts w:hint="eastAsia" w:ascii="仿宋" w:hAnsi="仿宋" w:eastAsia="仿宋" w:cs="仿宋"/>
                <w:i w:val="0"/>
                <w:color w:val="auto"/>
                <w:sz w:val="21"/>
                <w:szCs w:val="21"/>
                <w:highlight w:val="none"/>
                <w:lang w:val="en-US" w:eastAsia="zh-CN"/>
              </w:rPr>
              <w:t>具有保洁人员全时段岗位服务管理方案的加2分；具备维修维护人员及队伍的服务方案加1分，具有公厕及保洁员日常管理和安全管理制度的加1分。</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审核文件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8296" w:type="dxa"/>
            <w:gridSpan w:val="5"/>
            <w:tcBorders>
              <w:top w:val="single" w:color="auto" w:sz="4" w:space="0"/>
              <w:left w:val="single" w:color="auto" w:sz="4" w:space="0"/>
              <w:bottom w:val="single" w:color="auto" w:sz="4" w:space="0"/>
              <w:right w:val="single" w:color="auto" w:sz="4" w:space="0"/>
            </w:tcBorders>
            <w:vAlign w:val="center"/>
          </w:tcPr>
          <w:p>
            <w:pPr>
              <w:pStyle w:val="12"/>
              <w:jc w:val="cente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履约能力及其它商务要求</w:t>
            </w:r>
            <w:r>
              <w:rPr>
                <w:rFonts w:hint="eastAsia" w:ascii="仿宋" w:hAnsi="仿宋" w:eastAsia="仿宋" w:cs="仿宋"/>
                <w:i w:val="0"/>
                <w:color w:val="auto"/>
                <w:sz w:val="21"/>
                <w:szCs w:val="21"/>
                <w:highlight w:val="none"/>
                <w:lang w:val="en-US" w:eastAsia="zh-CN"/>
              </w:rPr>
              <w:t>29</w:t>
            </w:r>
            <w:r>
              <w:rPr>
                <w:rFonts w:hint="eastAsia" w:ascii="仿宋" w:hAnsi="仿宋" w:eastAsia="仿宋" w:cs="仿宋"/>
                <w:i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9</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contextualSpacing/>
              <w:jc w:val="center"/>
              <w:rPr>
                <w:rFonts w:hint="eastAsia" w:ascii="仿宋" w:hAnsi="仿宋" w:eastAsia="仿宋" w:cs="仿宋"/>
                <w:i w:val="0"/>
                <w:color w:val="auto"/>
                <w:sz w:val="21"/>
                <w:szCs w:val="21"/>
                <w:highlight w:val="none"/>
                <w:lang w:val="zh-CN" w:eastAsia="zh-CN"/>
              </w:rPr>
            </w:pPr>
            <w:r>
              <w:rPr>
                <w:rFonts w:hint="eastAsia" w:ascii="仿宋" w:hAnsi="仿宋" w:eastAsia="仿宋" w:cs="仿宋"/>
                <w:i w:val="0"/>
                <w:color w:val="auto"/>
                <w:sz w:val="21"/>
                <w:szCs w:val="21"/>
                <w:highlight w:val="none"/>
                <w:lang w:eastAsia="zh-CN"/>
              </w:rPr>
              <w:t>采购标的其他技术、服务等要求</w:t>
            </w: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contextualSpacing/>
              <w:jc w:val="center"/>
              <w:rPr>
                <w:rFonts w:hint="eastAsia" w:ascii="仿宋" w:hAnsi="仿宋" w:eastAsia="仿宋" w:cs="仿宋"/>
                <w:i w:val="0"/>
                <w:color w:val="auto"/>
                <w:sz w:val="21"/>
                <w:szCs w:val="21"/>
                <w:highlight w:val="none"/>
                <w:lang w:val="en-US" w:eastAsia="zh-CN"/>
              </w:rPr>
            </w:pPr>
            <w:r>
              <w:rPr>
                <w:rFonts w:hint="eastAsia" w:ascii="仿宋" w:hAnsi="仿宋" w:eastAsia="仿宋" w:cs="仿宋"/>
                <w:i w:val="0"/>
                <w:color w:val="auto"/>
                <w:sz w:val="21"/>
                <w:szCs w:val="21"/>
                <w:highlight w:val="none"/>
                <w:lang w:val="en-US" w:eastAsia="zh-CN"/>
              </w:rPr>
              <w:t>28</w:t>
            </w:r>
          </w:p>
        </w:tc>
        <w:tc>
          <w:tcPr>
            <w:tcW w:w="5733" w:type="dxa"/>
            <w:tcBorders>
              <w:top w:val="single" w:color="auto" w:sz="4" w:space="0"/>
              <w:left w:val="single" w:color="auto" w:sz="4" w:space="0"/>
              <w:bottom w:val="single" w:color="auto" w:sz="4" w:space="0"/>
              <w:right w:val="single" w:color="auto" w:sz="4" w:space="0"/>
            </w:tcBorders>
            <w:vAlign w:val="center"/>
          </w:tcPr>
          <w:p>
            <w:pPr>
              <w:autoSpaceDE w:val="0"/>
              <w:autoSpaceDN w:val="0"/>
              <w:contextualSpacing/>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1、投标人根据招标文件“机制体制要求”</w:t>
            </w:r>
            <w:r>
              <w:rPr>
                <w:rFonts w:hint="eastAsia" w:ascii="仿宋" w:hAnsi="仿宋" w:eastAsia="仿宋" w:cs="仿宋"/>
                <w:i w:val="0"/>
                <w:color w:val="auto"/>
                <w:sz w:val="21"/>
                <w:szCs w:val="21"/>
                <w:highlight w:val="none"/>
                <w:lang w:val="en-US" w:eastAsia="zh-CN"/>
              </w:rPr>
              <w:t>6项要求</w:t>
            </w:r>
            <w:r>
              <w:rPr>
                <w:rFonts w:hint="eastAsia" w:ascii="仿宋" w:hAnsi="仿宋" w:eastAsia="仿宋" w:cs="仿宋"/>
                <w:i w:val="0"/>
                <w:color w:val="auto"/>
                <w:sz w:val="21"/>
                <w:szCs w:val="21"/>
                <w:highlight w:val="none"/>
                <w:lang w:eastAsia="zh-CN"/>
              </w:rPr>
              <w:t>提供方案，方案完全满足招标文件要求的得3分，每少提供一项或每有一项描述不符合本项目特点扣0.5分，扣完为止。在此基础上所投方案中有服务实施区域管理机构设立具体步骤和措施并承诺若中标在签订合同后可以立即投入本项目使用的加1分；所投方案中有投入本项目的项目管理人员具体清单并明确了</w:t>
            </w:r>
            <w:r>
              <w:rPr>
                <w:rFonts w:hint="eastAsia" w:ascii="仿宋" w:hAnsi="仿宋" w:eastAsia="仿宋" w:cs="仿宋"/>
                <w:i w:val="0"/>
                <w:color w:val="auto"/>
                <w:sz w:val="21"/>
                <w:szCs w:val="21"/>
                <w:highlight w:val="none"/>
                <w:lang w:val="en-US" w:eastAsia="zh-CN"/>
              </w:rPr>
              <w:t>各区域、各类别、</w:t>
            </w:r>
            <w:r>
              <w:rPr>
                <w:rFonts w:hint="eastAsia" w:ascii="仿宋" w:hAnsi="仿宋" w:eastAsia="仿宋" w:cs="仿宋"/>
                <w:i w:val="0"/>
                <w:color w:val="auto"/>
                <w:sz w:val="21"/>
                <w:szCs w:val="21"/>
                <w:highlight w:val="none"/>
                <w:lang w:eastAsia="zh-CN"/>
              </w:rPr>
              <w:t>各岗位职能职责的加1分；有详尽的培训措施并利于提高作业人员业务素质的加1分。</w:t>
            </w:r>
          </w:p>
          <w:p>
            <w:pPr>
              <w:autoSpaceDE w:val="0"/>
              <w:autoSpaceDN w:val="0"/>
              <w:contextualSpacing/>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2、投标人根据招标文件“环卫机具管理要求”</w:t>
            </w:r>
            <w:r>
              <w:rPr>
                <w:rFonts w:hint="eastAsia" w:ascii="仿宋" w:hAnsi="仿宋" w:eastAsia="仿宋" w:cs="仿宋"/>
                <w:i w:val="0"/>
                <w:color w:val="auto"/>
                <w:sz w:val="21"/>
                <w:szCs w:val="21"/>
                <w:highlight w:val="none"/>
                <w:lang w:val="en-US" w:eastAsia="zh-CN"/>
              </w:rPr>
              <w:t>4项要求</w:t>
            </w:r>
            <w:r>
              <w:rPr>
                <w:rFonts w:hint="eastAsia" w:ascii="仿宋" w:hAnsi="仿宋" w:eastAsia="仿宋" w:cs="仿宋"/>
                <w:i w:val="0"/>
                <w:color w:val="auto"/>
                <w:sz w:val="21"/>
                <w:szCs w:val="21"/>
                <w:highlight w:val="none"/>
                <w:lang w:eastAsia="zh-CN"/>
              </w:rPr>
              <w:t>提供方案，方案完全满足招标文件要求的得2分，每少提供一项或每有一项描述不符合本项目特点扣0.5分，扣完为止。在此基础上所投方案中有系统出现故障的处理方案，保障车辆在作业时不脱离监控平台监管的加1分。</w:t>
            </w:r>
          </w:p>
          <w:p>
            <w:pPr>
              <w:autoSpaceDE w:val="0"/>
              <w:autoSpaceDN w:val="0"/>
              <w:contextualSpacing/>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 xml:space="preserve">3、投标人根据招标文件“环卫人员管理要求” </w:t>
            </w:r>
            <w:r>
              <w:rPr>
                <w:rFonts w:hint="eastAsia" w:ascii="仿宋" w:hAnsi="仿宋" w:eastAsia="仿宋" w:cs="仿宋"/>
                <w:i w:val="0"/>
                <w:color w:val="auto"/>
                <w:sz w:val="21"/>
                <w:szCs w:val="21"/>
                <w:highlight w:val="none"/>
                <w:lang w:val="en-US" w:eastAsia="zh-CN"/>
              </w:rPr>
              <w:t>4项要求</w:t>
            </w:r>
            <w:r>
              <w:rPr>
                <w:rFonts w:hint="eastAsia" w:ascii="仿宋" w:hAnsi="仿宋" w:eastAsia="仿宋" w:cs="仿宋"/>
                <w:i w:val="0"/>
                <w:color w:val="auto"/>
                <w:sz w:val="21"/>
                <w:szCs w:val="21"/>
                <w:highlight w:val="none"/>
                <w:lang w:eastAsia="zh-CN"/>
              </w:rPr>
              <w:t xml:space="preserve">提供方案，方案完全满足招标文件要求的得2分，每少提供一项或每有一项描述不符合本项目特点扣0.5分，扣完为止。在此基础上所投方案能体现出有利于规范环卫人员作业行为的加1分。 </w:t>
            </w:r>
          </w:p>
          <w:p>
            <w:pPr>
              <w:autoSpaceDE w:val="0"/>
              <w:autoSpaceDN w:val="0"/>
              <w:contextualSpacing/>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 xml:space="preserve">4、投标人根据招标文件“应急保障” </w:t>
            </w:r>
            <w:r>
              <w:rPr>
                <w:rFonts w:hint="eastAsia" w:ascii="仿宋" w:hAnsi="仿宋" w:eastAsia="仿宋" w:cs="仿宋"/>
                <w:i w:val="0"/>
                <w:color w:val="auto"/>
                <w:sz w:val="21"/>
                <w:szCs w:val="21"/>
                <w:highlight w:val="none"/>
                <w:lang w:val="en-US" w:eastAsia="zh-CN"/>
              </w:rPr>
              <w:t>3项要求</w:t>
            </w:r>
            <w:r>
              <w:rPr>
                <w:rFonts w:hint="eastAsia" w:ascii="仿宋" w:hAnsi="仿宋" w:eastAsia="仿宋" w:cs="仿宋"/>
                <w:i w:val="0"/>
                <w:color w:val="auto"/>
                <w:sz w:val="21"/>
                <w:szCs w:val="21"/>
                <w:highlight w:val="none"/>
                <w:lang w:eastAsia="zh-CN"/>
              </w:rPr>
              <w:t>提供方案，方案完全满足招标文件要求的得3分，每少提供一条或每有一条描述不符合本项目特点的扣1分扣完为止。</w:t>
            </w:r>
          </w:p>
          <w:p>
            <w:pPr>
              <w:autoSpaceDE w:val="0"/>
              <w:autoSpaceDN w:val="0"/>
              <w:contextualSpacing/>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 xml:space="preserve">5、投标人根据招标文件“环保宣传要求” </w:t>
            </w:r>
            <w:r>
              <w:rPr>
                <w:rFonts w:hint="eastAsia" w:ascii="仿宋" w:hAnsi="仿宋" w:eastAsia="仿宋" w:cs="仿宋"/>
                <w:i w:val="0"/>
                <w:color w:val="auto"/>
                <w:sz w:val="21"/>
                <w:szCs w:val="21"/>
                <w:highlight w:val="none"/>
                <w:lang w:val="en-US" w:eastAsia="zh-CN"/>
              </w:rPr>
              <w:t>2项要求</w:t>
            </w:r>
            <w:r>
              <w:rPr>
                <w:rFonts w:hint="eastAsia" w:ascii="仿宋" w:hAnsi="仿宋" w:eastAsia="仿宋" w:cs="仿宋"/>
                <w:i w:val="0"/>
                <w:color w:val="auto"/>
                <w:sz w:val="21"/>
                <w:szCs w:val="21"/>
                <w:highlight w:val="none"/>
                <w:lang w:eastAsia="zh-CN"/>
              </w:rPr>
              <w:t>提供方案，方案完全满足招标文件要求的得4分，每少提供一项或每有一项描述不符合本项目特点扣2分，扣完为止。</w:t>
            </w:r>
          </w:p>
          <w:p>
            <w:pPr>
              <w:autoSpaceDE w:val="0"/>
              <w:autoSpaceDN w:val="0"/>
              <w:contextualSpacing/>
              <w:rPr>
                <w:rFonts w:hint="eastAsia" w:ascii="仿宋" w:hAnsi="仿宋" w:eastAsia="仿宋" w:cs="仿宋"/>
                <w:i w:val="0"/>
                <w:color w:val="auto"/>
                <w:sz w:val="21"/>
                <w:szCs w:val="21"/>
                <w:highlight w:val="none"/>
                <w:lang w:val="en-US" w:eastAsia="zh-CN"/>
              </w:rPr>
            </w:pPr>
            <w:r>
              <w:rPr>
                <w:rFonts w:hint="eastAsia" w:ascii="仿宋" w:hAnsi="仿宋" w:eastAsia="仿宋" w:cs="仿宋"/>
                <w:i w:val="0"/>
                <w:color w:val="auto"/>
                <w:sz w:val="21"/>
                <w:szCs w:val="21"/>
                <w:highlight w:val="none"/>
                <w:lang w:val="en-US" w:eastAsia="zh-CN"/>
              </w:rPr>
              <w:t>6、投标人拟配本项目的环卫车辆具有专用停车场地的，每具有一处得1分，最多得3分；每具有一处停车场配置充电设施的得1分，最多得3分。（提供停车场地使用或租赁合同等相关证明材料及场地照片并</w:t>
            </w:r>
            <w:r>
              <w:rPr>
                <w:rFonts w:hint="eastAsia" w:ascii="仿宋" w:hAnsi="仿宋" w:eastAsia="仿宋" w:cs="仿宋"/>
                <w:i w:val="0"/>
                <w:color w:val="auto"/>
                <w:sz w:val="21"/>
                <w:szCs w:val="21"/>
                <w:highlight w:val="none"/>
                <w:lang w:eastAsia="zh-CN"/>
              </w:rPr>
              <w:t>加盖投标人公章佐证得分</w:t>
            </w:r>
            <w:r>
              <w:rPr>
                <w:rFonts w:hint="eastAsia" w:ascii="仿宋" w:hAnsi="仿宋" w:eastAsia="仿宋" w:cs="仿宋"/>
                <w:i w:val="0"/>
                <w:color w:val="auto"/>
                <w:sz w:val="21"/>
                <w:szCs w:val="21"/>
                <w:highlight w:val="none"/>
                <w:lang w:val="en-US" w:eastAsia="zh-CN"/>
              </w:rPr>
              <w:t>）</w:t>
            </w:r>
          </w:p>
          <w:p>
            <w:pPr>
              <w:autoSpaceDE w:val="0"/>
              <w:autoSpaceDN w:val="0"/>
              <w:contextualSpacing/>
              <w:rPr>
                <w:rFonts w:hint="eastAsia" w:ascii="仿宋" w:hAnsi="仿宋" w:eastAsia="仿宋" w:cs="仿宋"/>
                <w:color w:val="auto"/>
                <w:highlight w:val="none"/>
                <w:lang w:val="en-US" w:eastAsia="zh-CN"/>
              </w:rPr>
            </w:pPr>
            <w:r>
              <w:rPr>
                <w:rFonts w:hint="eastAsia" w:ascii="仿宋" w:hAnsi="仿宋" w:eastAsia="仿宋" w:cs="仿宋"/>
                <w:i w:val="0"/>
                <w:color w:val="auto"/>
                <w:sz w:val="21"/>
                <w:szCs w:val="21"/>
                <w:highlight w:val="none"/>
                <w:lang w:val="en-US" w:eastAsia="zh-CN"/>
              </w:rPr>
              <w:t>7、投标人具有为本项目吸污车的污水等进行清理及预处理的场所得3分。（提供自有专业处理场所的相关证明材料及现场照片或专业处理场所与投标人签订的合同等相关证明材料及现场照片并加盖投标人公章佐证得分）</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审核文件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10</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contextualSpacing/>
              <w:jc w:val="center"/>
              <w:rPr>
                <w:rFonts w:hint="eastAsia" w:ascii="仿宋" w:hAnsi="仿宋" w:eastAsia="仿宋" w:cs="仿宋"/>
                <w:i w:val="0"/>
                <w:color w:val="auto"/>
                <w:sz w:val="21"/>
                <w:szCs w:val="21"/>
                <w:highlight w:val="none"/>
                <w:lang w:val="zh-CN"/>
              </w:rPr>
            </w:pPr>
            <w:r>
              <w:rPr>
                <w:rFonts w:hint="eastAsia" w:ascii="仿宋" w:hAnsi="仿宋" w:eastAsia="仿宋" w:cs="仿宋"/>
                <w:i w:val="0"/>
                <w:color w:val="auto"/>
                <w:sz w:val="21"/>
                <w:szCs w:val="21"/>
                <w:highlight w:val="none"/>
                <w:lang w:val="zh-CN"/>
              </w:rPr>
              <w:t>履约能力</w:t>
            </w: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contextualSpacing/>
              <w:jc w:val="center"/>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val="en-US" w:eastAsia="zh-CN"/>
              </w:rPr>
              <w:t>1</w:t>
            </w:r>
          </w:p>
        </w:tc>
        <w:tc>
          <w:tcPr>
            <w:tcW w:w="5733" w:type="dxa"/>
            <w:tcBorders>
              <w:top w:val="single" w:color="auto" w:sz="4" w:space="0"/>
              <w:left w:val="single" w:color="auto" w:sz="4" w:space="0"/>
              <w:bottom w:val="single" w:color="auto" w:sz="4" w:space="0"/>
              <w:right w:val="single" w:color="auto" w:sz="4" w:space="0"/>
            </w:tcBorders>
            <w:vAlign w:val="center"/>
          </w:tcPr>
          <w:p>
            <w:pPr>
              <w:autoSpaceDE w:val="0"/>
              <w:autoSpaceDN w:val="0"/>
              <w:contextualSpacing/>
              <w:rPr>
                <w:rFonts w:hint="eastAsia" w:ascii="仿宋" w:hAnsi="仿宋" w:eastAsia="仿宋" w:cs="仿宋"/>
                <w:i w:val="0"/>
                <w:color w:val="auto"/>
                <w:sz w:val="21"/>
                <w:szCs w:val="21"/>
                <w:highlight w:val="none"/>
                <w:lang w:eastAsia="zh-CN"/>
              </w:rPr>
            </w:pPr>
            <w:r>
              <w:rPr>
                <w:rFonts w:hint="eastAsia" w:ascii="仿宋" w:hAnsi="仿宋" w:eastAsia="仿宋" w:cs="仿宋"/>
                <w:i w:val="0"/>
                <w:color w:val="auto"/>
                <w:sz w:val="21"/>
                <w:szCs w:val="21"/>
                <w:highlight w:val="none"/>
                <w:lang w:eastAsia="zh-CN"/>
              </w:rPr>
              <w:t>1、投标人</w:t>
            </w:r>
            <w:r>
              <w:rPr>
                <w:rFonts w:hint="eastAsia" w:ascii="仿宋" w:hAnsi="仿宋" w:eastAsia="仿宋" w:cs="仿宋"/>
                <w:i w:val="0"/>
                <w:color w:val="auto"/>
                <w:sz w:val="21"/>
                <w:szCs w:val="21"/>
                <w:highlight w:val="none"/>
                <w:lang w:val="en-US" w:eastAsia="zh-CN"/>
              </w:rPr>
              <w:t>2019年1月1日以来具</w:t>
            </w:r>
            <w:r>
              <w:rPr>
                <w:rFonts w:hint="eastAsia" w:ascii="仿宋" w:hAnsi="仿宋" w:eastAsia="仿宋" w:cs="仿宋"/>
                <w:i w:val="0"/>
                <w:color w:val="auto"/>
                <w:sz w:val="21"/>
                <w:szCs w:val="21"/>
                <w:highlight w:val="none"/>
                <w:lang w:eastAsia="zh-CN"/>
              </w:rPr>
              <w:t>有类似业绩的，</w:t>
            </w:r>
            <w:r>
              <w:rPr>
                <w:rFonts w:hint="eastAsia" w:ascii="仿宋" w:hAnsi="仿宋" w:eastAsia="仿宋" w:cs="仿宋"/>
                <w:i w:val="0"/>
                <w:color w:val="auto"/>
                <w:sz w:val="21"/>
                <w:szCs w:val="21"/>
                <w:highlight w:val="none"/>
                <w:lang w:val="en-US" w:eastAsia="zh-CN"/>
              </w:rPr>
              <w:t>每</w:t>
            </w:r>
            <w:r>
              <w:rPr>
                <w:rFonts w:hint="eastAsia" w:ascii="仿宋" w:hAnsi="仿宋" w:eastAsia="仿宋" w:cs="仿宋"/>
                <w:i w:val="0"/>
                <w:color w:val="auto"/>
                <w:sz w:val="21"/>
                <w:szCs w:val="21"/>
                <w:highlight w:val="none"/>
                <w:lang w:eastAsia="zh-CN"/>
              </w:rPr>
              <w:t>有1个得1分，最多得</w:t>
            </w:r>
            <w:r>
              <w:rPr>
                <w:rFonts w:hint="eastAsia" w:ascii="仿宋" w:hAnsi="仿宋" w:eastAsia="仿宋" w:cs="仿宋"/>
                <w:i w:val="0"/>
                <w:color w:val="auto"/>
                <w:sz w:val="21"/>
                <w:szCs w:val="21"/>
                <w:highlight w:val="none"/>
                <w:lang w:val="en-US" w:eastAsia="zh-CN"/>
              </w:rPr>
              <w:t>1</w:t>
            </w:r>
            <w:r>
              <w:rPr>
                <w:rFonts w:hint="eastAsia" w:ascii="仿宋" w:hAnsi="仿宋" w:eastAsia="仿宋" w:cs="仿宋"/>
                <w:i w:val="0"/>
                <w:color w:val="auto"/>
                <w:sz w:val="21"/>
                <w:szCs w:val="21"/>
                <w:highlight w:val="none"/>
                <w:lang w:eastAsia="zh-CN"/>
              </w:rPr>
              <w:t>分。（提供合同或中标（成交）通知书复印件加盖投标人公章佐证得分）</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color w:val="auto"/>
                <w:sz w:val="21"/>
                <w:szCs w:val="21"/>
                <w:highlight w:val="none"/>
              </w:rPr>
            </w:pPr>
            <w:r>
              <w:rPr>
                <w:rFonts w:hint="eastAsia" w:ascii="仿宋" w:hAnsi="仿宋" w:eastAsia="仿宋" w:cs="仿宋"/>
                <w:i w:val="0"/>
                <w:color w:val="auto"/>
                <w:sz w:val="21"/>
                <w:szCs w:val="21"/>
                <w:highlight w:val="none"/>
              </w:rPr>
              <w:t>审核文件</w:t>
            </w:r>
          </w:p>
        </w:tc>
      </w:tr>
    </w:tbl>
    <w:p>
      <w:pPr>
        <w:contextualSpacing/>
        <w:rPr>
          <w:rFonts w:ascii="仿宋" w:hAnsi="仿宋" w:eastAsia="仿宋"/>
          <w:i w:val="0"/>
          <w:color w:val="auto"/>
          <w:sz w:val="24"/>
          <w:szCs w:val="24"/>
          <w:highlight w:val="none"/>
          <w:lang w:eastAsia="zh-CN"/>
        </w:rPr>
      </w:pPr>
    </w:p>
    <w:p>
      <w:pPr>
        <w:contextualSpacing/>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注</w:t>
      </w:r>
      <w:r>
        <w:rPr>
          <w:rFonts w:ascii="仿宋" w:hAnsi="仿宋" w:eastAsia="仿宋"/>
          <w:i w:val="0"/>
          <w:color w:val="auto"/>
          <w:sz w:val="24"/>
          <w:szCs w:val="24"/>
          <w:highlight w:val="none"/>
          <w:lang w:eastAsia="zh-CN"/>
        </w:rPr>
        <w:t>：</w:t>
      </w:r>
    </w:p>
    <w:p>
      <w:pPr>
        <w:widowControl w:val="0"/>
        <w:numPr>
          <w:ilvl w:val="0"/>
          <w:numId w:val="5"/>
        </w:numPr>
        <w:contextualSpacing/>
        <w:jc w:val="both"/>
        <w:rPr>
          <w:rFonts w:hAnsi="宋体" w:eastAsia="仿宋"/>
          <w:i w:val="0"/>
          <w:color w:val="auto"/>
          <w:sz w:val="24"/>
          <w:szCs w:val="24"/>
          <w:highlight w:val="none"/>
          <w:lang w:eastAsia="zh-CN"/>
        </w:rPr>
      </w:pPr>
      <w:r>
        <w:rPr>
          <w:rFonts w:hint="eastAsia" w:hAnsi="宋体" w:eastAsia="仿宋"/>
          <w:i w:val="0"/>
          <w:color w:val="auto"/>
          <w:sz w:val="24"/>
          <w:szCs w:val="24"/>
          <w:highlight w:val="none"/>
          <w:lang w:eastAsia="zh-CN"/>
        </w:rPr>
        <w:t>有效最低投标报价指通过资质、资格、符合性审查且不超过采购预算的投标报价。</w:t>
      </w:r>
    </w:p>
    <w:p>
      <w:pPr>
        <w:widowControl w:val="0"/>
        <w:numPr>
          <w:ilvl w:val="0"/>
          <w:numId w:val="5"/>
        </w:numPr>
        <w:contextualSpacing/>
        <w:jc w:val="both"/>
        <w:rPr>
          <w:rFonts w:hAnsi="宋体" w:eastAsia="仿宋"/>
          <w:i w:val="0"/>
          <w:color w:val="auto"/>
          <w:sz w:val="24"/>
          <w:szCs w:val="24"/>
          <w:highlight w:val="none"/>
          <w:lang w:eastAsia="zh-CN"/>
        </w:rPr>
      </w:pPr>
      <w:r>
        <w:rPr>
          <w:rFonts w:hint="eastAsia" w:hAnsi="宋体" w:eastAsia="仿宋"/>
          <w:i w:val="0"/>
          <w:color w:val="auto"/>
          <w:sz w:val="24"/>
          <w:szCs w:val="24"/>
          <w:highlight w:val="none"/>
          <w:lang w:eastAsia="zh-CN"/>
        </w:rPr>
        <w:t>作为评审资料的，在投标文件中应提供复印件加盖公司公章，复印件应清晰，真实，</w:t>
      </w:r>
      <w:r>
        <w:rPr>
          <w:rFonts w:hint="eastAsia" w:hAnsi="宋体" w:eastAsia="仿宋"/>
          <w:bCs/>
          <w:i w:val="0"/>
          <w:color w:val="auto"/>
          <w:sz w:val="24"/>
          <w:szCs w:val="24"/>
          <w:highlight w:val="none"/>
          <w:lang w:eastAsia="zh-CN"/>
        </w:rPr>
        <w:t>模糊不清或可能导致非唯一理解带来的</w:t>
      </w:r>
      <w:r>
        <w:rPr>
          <w:rFonts w:hint="eastAsia" w:hAnsi="宋体" w:eastAsia="仿宋"/>
          <w:i w:val="0"/>
          <w:color w:val="auto"/>
          <w:sz w:val="24"/>
          <w:szCs w:val="24"/>
          <w:highlight w:val="none"/>
          <w:lang w:eastAsia="zh-CN"/>
        </w:rPr>
        <w:t>风险由投标人自行承担。</w:t>
      </w:r>
    </w:p>
    <w:p>
      <w:pPr>
        <w:widowControl w:val="0"/>
        <w:numPr>
          <w:ilvl w:val="0"/>
          <w:numId w:val="5"/>
        </w:numPr>
        <w:contextualSpacing/>
        <w:jc w:val="both"/>
        <w:rPr>
          <w:rFonts w:hAnsi="宋体" w:eastAsia="仿宋"/>
          <w:i w:val="0"/>
          <w:color w:val="auto"/>
          <w:sz w:val="24"/>
          <w:szCs w:val="24"/>
          <w:highlight w:val="none"/>
          <w:lang w:eastAsia="zh-CN"/>
        </w:rPr>
      </w:pPr>
      <w:r>
        <w:rPr>
          <w:rFonts w:hint="eastAsia" w:hAnsi="宋体" w:eastAsia="仿宋"/>
          <w:i w:val="0"/>
          <w:color w:val="auto"/>
          <w:sz w:val="24"/>
          <w:szCs w:val="24"/>
          <w:highlight w:val="none"/>
          <w:lang w:eastAsia="zh-CN"/>
        </w:rPr>
        <w:t>评分的</w:t>
      </w:r>
      <w:r>
        <w:rPr>
          <w:rFonts w:hAnsi="宋体" w:eastAsia="仿宋"/>
          <w:i w:val="0"/>
          <w:color w:val="auto"/>
          <w:sz w:val="24"/>
          <w:szCs w:val="24"/>
          <w:highlight w:val="none"/>
          <w:lang w:eastAsia="zh-CN"/>
        </w:rPr>
        <w:t>取</w:t>
      </w:r>
      <w:r>
        <w:rPr>
          <w:rFonts w:hint="eastAsia" w:hAnsi="宋体" w:eastAsia="仿宋"/>
          <w:i w:val="0"/>
          <w:color w:val="auto"/>
          <w:sz w:val="24"/>
          <w:szCs w:val="24"/>
          <w:highlight w:val="none"/>
          <w:lang w:eastAsia="zh-CN"/>
        </w:rPr>
        <w:t>值</w:t>
      </w:r>
      <w:r>
        <w:rPr>
          <w:rFonts w:hAnsi="宋体" w:eastAsia="仿宋"/>
          <w:i w:val="0"/>
          <w:color w:val="auto"/>
          <w:sz w:val="24"/>
          <w:szCs w:val="24"/>
          <w:highlight w:val="none"/>
          <w:lang w:eastAsia="zh-CN"/>
        </w:rPr>
        <w:t>按四舍五入法，保留小数点后两位。</w:t>
      </w:r>
    </w:p>
    <w:p>
      <w:pPr>
        <w:pStyle w:val="4"/>
        <w:jc w:val="left"/>
        <w:rPr>
          <w:rFonts w:ascii="仿宋" w:hAnsi="仿宋"/>
          <w:i w:val="0"/>
          <w:color w:val="auto"/>
          <w:sz w:val="24"/>
          <w:highlight w:val="none"/>
          <w:lang w:eastAsia="zh-CN"/>
        </w:rPr>
      </w:pPr>
      <w:bookmarkStart w:id="635" w:name="_Toc497752296"/>
      <w:bookmarkStart w:id="636" w:name="_Toc471381198"/>
      <w:bookmarkStart w:id="637" w:name="_Toc471220954"/>
      <w:bookmarkStart w:id="638" w:name="_Toc499918780"/>
      <w:bookmarkStart w:id="639" w:name="_Toc524910153"/>
      <w:bookmarkStart w:id="640" w:name="_Toc18995"/>
      <w:bookmarkStart w:id="641" w:name="_Toc493631644"/>
      <w:bookmarkStart w:id="642" w:name="_Toc511558703"/>
      <w:r>
        <w:rPr>
          <w:rFonts w:hint="eastAsia" w:ascii="仿宋" w:hAnsi="仿宋"/>
          <w:i w:val="0"/>
          <w:color w:val="auto"/>
          <w:sz w:val="24"/>
          <w:highlight w:val="none"/>
          <w:lang w:eastAsia="zh-CN"/>
        </w:rPr>
        <w:t>五、废标</w:t>
      </w:r>
      <w:bookmarkEnd w:id="635"/>
      <w:bookmarkEnd w:id="636"/>
      <w:bookmarkEnd w:id="637"/>
      <w:bookmarkEnd w:id="638"/>
      <w:bookmarkEnd w:id="639"/>
      <w:bookmarkEnd w:id="640"/>
      <w:bookmarkEnd w:id="641"/>
      <w:bookmarkEnd w:id="642"/>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1、本次采购活动中，出现下列情形之一的，予以废标：</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（1）符合专业条件的投标人或者对招标文件作实质响应的投标人不足三家的；</w:t>
      </w:r>
    </w:p>
    <w:p>
      <w:pPr>
        <w:spacing w:after="156" w:line="360" w:lineRule="auto"/>
        <w:ind w:left="1008" w:leftChars="201" w:hanging="566" w:hangingChars="236"/>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（2）出现影响采购公正的违法、违规行为的；</w:t>
      </w:r>
    </w:p>
    <w:p>
      <w:pPr>
        <w:spacing w:after="156" w:line="360" w:lineRule="auto"/>
        <w:ind w:left="1008" w:leftChars="201" w:hanging="566" w:hangingChars="236"/>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（3）投标人的报价均超过了采购预算，采购人不能支付的；</w:t>
      </w:r>
    </w:p>
    <w:p>
      <w:pPr>
        <w:spacing w:after="156" w:line="360" w:lineRule="auto"/>
        <w:ind w:left="1008" w:leftChars="201" w:hanging="566" w:hangingChars="236"/>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（4）因重大变故，采购任务取消的。</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废标后，采购代理机构应在四川政府采购网上公告，并公告废标的详细理由。</w:t>
      </w:r>
    </w:p>
    <w:p>
      <w:pPr>
        <w:spacing w:after="156" w:line="360" w:lineRule="auto"/>
        <w:ind w:firstLine="480" w:firstLineChars="200"/>
        <w:rPr>
          <w:rFonts w:ascii="仿宋" w:hAnsi="仿宋" w:eastAsia="仿宋" w:cs="Marigold"/>
          <w:i w:val="0"/>
          <w:color w:val="auto"/>
          <w:sz w:val="24"/>
          <w:szCs w:val="24"/>
          <w:highlight w:val="none"/>
          <w:lang w:eastAsia="zh-CN"/>
        </w:rPr>
      </w:pPr>
      <w:r>
        <w:rPr>
          <w:rFonts w:hint="eastAsia" w:ascii="仿宋" w:hAnsi="仿宋" w:eastAsia="仿宋" w:cs="Marigold"/>
          <w:i w:val="0"/>
          <w:color w:val="auto"/>
          <w:sz w:val="24"/>
          <w:szCs w:val="24"/>
          <w:highlight w:val="none"/>
          <w:lang w:eastAsia="zh-CN"/>
        </w:rPr>
        <w:t>2、</w:t>
      </w:r>
      <w:r>
        <w:rPr>
          <w:rFonts w:hint="eastAsia" w:ascii="仿宋" w:hAnsi="仿宋" w:eastAsia="仿宋"/>
          <w:i w:val="0"/>
          <w:color w:val="auto"/>
          <w:sz w:val="24"/>
          <w:szCs w:val="24"/>
          <w:highlight w:val="none"/>
          <w:lang w:eastAsia="zh-CN"/>
        </w:rPr>
        <w:t>对于废标的采购项目，评标委员会应当对招标文件是否存在倾向性和歧视性、是否存在不合理条款进行论证，并出具书面论证意见。</w:t>
      </w:r>
    </w:p>
    <w:p>
      <w:pPr>
        <w:pStyle w:val="4"/>
        <w:jc w:val="left"/>
        <w:rPr>
          <w:rFonts w:ascii="仿宋" w:hAnsi="仿宋"/>
          <w:i w:val="0"/>
          <w:color w:val="auto"/>
          <w:sz w:val="24"/>
          <w:highlight w:val="none"/>
          <w:lang w:eastAsia="zh-CN"/>
        </w:rPr>
      </w:pPr>
      <w:bookmarkStart w:id="643" w:name="_Toc22716"/>
      <w:bookmarkStart w:id="644" w:name="_Toc524910154"/>
      <w:bookmarkStart w:id="645" w:name="_Toc499918781"/>
      <w:bookmarkStart w:id="646" w:name="_Toc511558704"/>
      <w:r>
        <w:rPr>
          <w:rFonts w:hint="eastAsia" w:ascii="仿宋" w:hAnsi="仿宋"/>
          <w:i w:val="0"/>
          <w:color w:val="auto"/>
          <w:sz w:val="24"/>
          <w:highlight w:val="none"/>
          <w:lang w:eastAsia="zh-CN"/>
        </w:rPr>
        <w:t>六、定标</w:t>
      </w:r>
      <w:bookmarkEnd w:id="643"/>
      <w:bookmarkEnd w:id="644"/>
      <w:bookmarkEnd w:id="645"/>
      <w:bookmarkEnd w:id="646"/>
      <w:bookmarkStart w:id="647" w:name="_Toc217446061"/>
      <w:bookmarkEnd w:id="647"/>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1、定标原则：</w:t>
      </w:r>
      <w:bookmarkStart w:id="648" w:name="_Toc217446062"/>
      <w:r>
        <w:rPr>
          <w:rFonts w:hint="eastAsia" w:ascii="仿宋" w:hAnsi="仿宋" w:eastAsia="仿宋"/>
          <w:i w:val="0"/>
          <w:color w:val="auto"/>
          <w:sz w:val="24"/>
          <w:highlight w:val="none"/>
          <w:lang w:eastAsia="zh-CN"/>
        </w:rPr>
        <w:t>本项目根据评标委员会推荐的中标候选人名单，按顺序确定中标人。</w:t>
      </w:r>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2、定标程序</w:t>
      </w:r>
      <w:bookmarkEnd w:id="648"/>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2.1 评标委员会将评标情况写出书面报告，确定中标人。</w:t>
      </w:r>
    </w:p>
    <w:p>
      <w:pPr>
        <w:spacing w:line="360" w:lineRule="auto"/>
        <w:ind w:firstLine="480" w:firstLineChars="200"/>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2.2 采购代理机构在评标结束后二个工作日内将评标报告送采购人。</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2.3 采购人在收到评标报告后五个工作日内，按照评标报告中推荐的中标候选人顺序确定中标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由采购人自主采取公平、择优的方式选择中标人。</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注意，采购人按照推荐的中标候选人顺序确定中标人，不能认为采购人只能确定第一中标候选人为中标人，采购人有正当理由的，可以确定后一顺序中标候选人为中标人，依次类推。</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2.4 根据采购人确定的中标人，采购代理机构自中标人确定之日起二个工作日内在四川政府采购网上公告中标结果，同时向中标人发出中标通知书。</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2.5 招标采购单位不退回投标人投标文件和其他投标资料。</w:t>
      </w:r>
    </w:p>
    <w:p>
      <w:pPr>
        <w:pStyle w:val="4"/>
        <w:jc w:val="left"/>
        <w:rPr>
          <w:rFonts w:ascii="仿宋" w:hAnsi="仿宋" w:cs="Marigold"/>
          <w:i w:val="0"/>
          <w:color w:val="auto"/>
          <w:sz w:val="24"/>
          <w:highlight w:val="none"/>
          <w:lang w:eastAsia="zh-CN"/>
        </w:rPr>
      </w:pPr>
      <w:bookmarkStart w:id="649" w:name="_Toc511558705"/>
      <w:bookmarkStart w:id="650" w:name="_Toc468320504"/>
      <w:bookmarkStart w:id="651" w:name="_Toc524910155"/>
      <w:bookmarkStart w:id="652" w:name="_Toc468654191"/>
      <w:bookmarkStart w:id="653" w:name="_Toc468641549"/>
      <w:bookmarkStart w:id="654" w:name="_Toc468640427"/>
      <w:bookmarkStart w:id="655" w:name="_Toc5301"/>
      <w:bookmarkStart w:id="656" w:name="_Toc468331133"/>
      <w:bookmarkStart w:id="657" w:name="_Toc395625115"/>
      <w:bookmarkStart w:id="658" w:name="_Toc499918782"/>
      <w:bookmarkStart w:id="659" w:name="_Toc468346424"/>
      <w:r>
        <w:rPr>
          <w:rFonts w:hint="eastAsia" w:ascii="仿宋" w:hAnsi="仿宋"/>
          <w:i w:val="0"/>
          <w:color w:val="auto"/>
          <w:sz w:val="24"/>
          <w:highlight w:val="none"/>
          <w:lang w:eastAsia="zh-CN"/>
        </w:rPr>
        <w:t>七、评标专家在政府采购活动中承担以下义务：</w:t>
      </w:r>
      <w:bookmarkEnd w:id="649"/>
      <w:bookmarkEnd w:id="650"/>
      <w:bookmarkEnd w:id="651"/>
      <w:bookmarkEnd w:id="652"/>
      <w:bookmarkEnd w:id="653"/>
      <w:bookmarkEnd w:id="654"/>
      <w:bookmarkEnd w:id="655"/>
      <w:bookmarkEnd w:id="656"/>
      <w:bookmarkEnd w:id="657"/>
      <w:bookmarkEnd w:id="658"/>
      <w:bookmarkEnd w:id="659"/>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 xml:space="preserve">1、遵守评审工作纪律； </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2、按照客观、公正、审慎的原则，根据采购文件规定的评审程序、评审方法和评审标准进行独立评审；</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3、不得泄露评审文件、评审情况和在评审过程中获悉的商业秘密；</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4、及时向监督部门报告评审过程中采购组织单位向评审专家做倾向性、误导性的解释或者说明，投标人行贿、提供虚假材料或者串通、受到的非法干预情况等违法违规行为；</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5、发现采购文件内容违反国家有关强制性规定或者存在歧义、重大缺陷导致评审工作无法进行时，停止评审并向采购组织单位书面说明情况；</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6、配合答复处理投标人的询问、质疑和投诉等事项；</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7、法律、法规和规章规定的其他义务。</w:t>
      </w:r>
    </w:p>
    <w:p>
      <w:pPr>
        <w:pStyle w:val="4"/>
        <w:spacing w:line="360" w:lineRule="auto"/>
        <w:jc w:val="left"/>
        <w:rPr>
          <w:rFonts w:ascii="仿宋" w:hAnsi="仿宋"/>
          <w:i w:val="0"/>
          <w:color w:val="auto"/>
          <w:sz w:val="24"/>
          <w:highlight w:val="none"/>
          <w:lang w:eastAsia="zh-CN"/>
        </w:rPr>
      </w:pPr>
      <w:bookmarkStart w:id="660" w:name="_Toc499918783"/>
      <w:bookmarkStart w:id="661" w:name="_Toc524910156"/>
      <w:bookmarkStart w:id="662" w:name="_Toc511558706"/>
      <w:bookmarkStart w:id="663" w:name="_Toc31930"/>
      <w:r>
        <w:rPr>
          <w:rFonts w:hint="eastAsia" w:ascii="仿宋" w:hAnsi="仿宋"/>
          <w:i w:val="0"/>
          <w:color w:val="auto"/>
          <w:sz w:val="24"/>
          <w:highlight w:val="none"/>
          <w:lang w:eastAsia="zh-CN"/>
        </w:rPr>
        <w:t>八、评标专家在政府采购活动中应当遵守以下工作纪律：</w:t>
      </w:r>
      <w:bookmarkEnd w:id="660"/>
      <w:bookmarkEnd w:id="661"/>
      <w:bookmarkEnd w:id="662"/>
      <w:bookmarkEnd w:id="663"/>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1、遵行《中华人民共和国政府采购法》第十二条和《中华人民共和国政府采购法实施条例》第九条及财政部关于回避的规定。</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2、评标前，应当将通讯工具或者相关电子设备交由招标采购单位统一保管。</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3、评标过程中，不得与外界联系，因发生不可预见情况，确实需要与外界联系的，应当在监督人员监督之下办理。</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4、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5、在评标过程中和评标结束后，不得记录、复制或带走任何评标资料，除因规定的义务外，不得向外界透露评标内容。</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6、服从评标现场招标采购单位的现场秩序管理，接受评标现场监督人员的合法监督。</w:t>
      </w:r>
    </w:p>
    <w:p>
      <w:pPr>
        <w:spacing w:line="360" w:lineRule="auto"/>
        <w:ind w:firstLine="480" w:firstLineChars="200"/>
        <w:rPr>
          <w:rFonts w:ascii="仿宋" w:hAnsi="仿宋" w:eastAsia="仿宋"/>
          <w:i w:val="0"/>
          <w:color w:val="auto"/>
          <w:sz w:val="24"/>
          <w:szCs w:val="24"/>
          <w:highlight w:val="none"/>
          <w:lang w:eastAsia="zh-CN"/>
        </w:rPr>
      </w:pPr>
      <w:r>
        <w:rPr>
          <w:rFonts w:hint="eastAsia" w:ascii="仿宋" w:hAnsi="仿宋" w:eastAsia="仿宋"/>
          <w:i w:val="0"/>
          <w:color w:val="auto"/>
          <w:sz w:val="24"/>
          <w:szCs w:val="24"/>
          <w:highlight w:val="none"/>
          <w:lang w:eastAsia="zh-CN"/>
        </w:rPr>
        <w:t>7、遵守有关廉洁自律规定，不得私下接触投标人，不得收受投标人及有关业务单位和个人的财物或好处，不得接受采购组织单位的请托。</w:t>
      </w:r>
    </w:p>
    <w:p>
      <w:pPr>
        <w:rPr>
          <w:rFonts w:eastAsia="仿宋"/>
          <w:b/>
          <w:bCs/>
          <w:i w:val="0"/>
          <w:color w:val="auto"/>
          <w:kern w:val="44"/>
          <w:sz w:val="28"/>
          <w:szCs w:val="44"/>
          <w:highlight w:val="none"/>
          <w:lang w:eastAsia="zh-CN"/>
        </w:rPr>
      </w:pPr>
      <w:bookmarkStart w:id="664" w:name="_Toc421800216"/>
      <w:bookmarkStart w:id="665" w:name="_Toc394578400"/>
      <w:bookmarkStart w:id="666" w:name="_Toc511558707"/>
      <w:r>
        <w:rPr>
          <w:i w:val="0"/>
          <w:color w:val="auto"/>
          <w:highlight w:val="none"/>
          <w:lang w:eastAsia="zh-CN"/>
        </w:rPr>
        <w:br w:type="page"/>
      </w:r>
    </w:p>
    <w:p>
      <w:pPr>
        <w:pStyle w:val="3"/>
        <w:rPr>
          <w:i w:val="0"/>
          <w:color w:val="auto"/>
          <w:highlight w:val="none"/>
          <w:lang w:eastAsia="zh-CN"/>
        </w:rPr>
      </w:pPr>
      <w:bookmarkStart w:id="667" w:name="_Toc14536"/>
      <w:r>
        <w:rPr>
          <w:rFonts w:hint="eastAsia"/>
          <w:i w:val="0"/>
          <w:color w:val="auto"/>
          <w:highlight w:val="none"/>
          <w:lang w:eastAsia="zh-CN"/>
        </w:rPr>
        <w:t>第八章合同主要条款</w:t>
      </w:r>
      <w:bookmarkEnd w:id="664"/>
      <w:bookmarkEnd w:id="665"/>
      <w:bookmarkEnd w:id="666"/>
      <w:bookmarkEnd w:id="667"/>
    </w:p>
    <w:p>
      <w:pPr>
        <w:jc w:val="center"/>
        <w:rPr>
          <w:rFonts w:ascii="仿宋" w:hAnsi="仿宋" w:eastAsia="仿宋"/>
          <w:i w:val="0"/>
          <w:color w:val="auto"/>
          <w:sz w:val="24"/>
          <w:highlight w:val="none"/>
          <w:lang w:eastAsia="zh-CN"/>
        </w:rPr>
      </w:pPr>
      <w:r>
        <w:rPr>
          <w:rFonts w:hint="eastAsia" w:ascii="仿宋" w:hAnsi="仿宋" w:eastAsia="仿宋"/>
          <w:i w:val="0"/>
          <w:color w:val="auto"/>
          <w:sz w:val="24"/>
          <w:highlight w:val="none"/>
          <w:lang w:eastAsia="zh-CN"/>
        </w:rPr>
        <w:t>（范本合同请以实际签订合同为准）</w:t>
      </w:r>
    </w:p>
    <w:p>
      <w:pPr>
        <w:rPr>
          <w:rFonts w:hint="eastAsia" w:ascii="仿宋" w:hAnsi="仿宋" w:eastAsia="仿宋" w:cs="仿宋"/>
          <w:i w:val="0"/>
          <w:color w:val="auto"/>
          <w:highlight w:val="none"/>
          <w:lang w:eastAsia="zh-CN"/>
        </w:rPr>
      </w:pP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 xml:space="preserve">合同编号：                  </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 xml:space="preserve">签订地点：                  </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签订时间：          年    月   日</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 xml:space="preserve">采购人（甲方）：                      </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 xml:space="preserve">供应商（乙方）：                      </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 xml:space="preserve">依据《中华人民共和国民法典》、《中华人民共和国政府采购法》与项目行业有关的法律法规，以及XXXX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 </w:t>
      </w:r>
    </w:p>
    <w:p>
      <w:pPr>
        <w:pStyle w:val="4"/>
        <w:spacing w:line="360" w:lineRule="auto"/>
        <w:jc w:val="left"/>
        <w:rPr>
          <w:rFonts w:hint="eastAsia" w:ascii="仿宋" w:hAnsi="仿宋" w:eastAsia="仿宋" w:cs="仿宋"/>
          <w:i w:val="0"/>
          <w:color w:val="auto"/>
          <w:sz w:val="24"/>
          <w:highlight w:val="none"/>
          <w:lang w:eastAsia="zh-CN"/>
        </w:rPr>
      </w:pPr>
      <w:bookmarkStart w:id="668" w:name="_Toc4218"/>
      <w:bookmarkStart w:id="669" w:name="_Toc85720699"/>
      <w:bookmarkStart w:id="670" w:name="_Toc89423888"/>
      <w:r>
        <w:rPr>
          <w:rFonts w:hint="eastAsia" w:ascii="仿宋" w:hAnsi="仿宋" w:eastAsia="仿宋" w:cs="仿宋"/>
          <w:i w:val="0"/>
          <w:color w:val="auto"/>
          <w:sz w:val="24"/>
          <w:highlight w:val="none"/>
          <w:lang w:eastAsia="zh-CN"/>
        </w:rPr>
        <w:t>一、项目基本情况及服务范围</w:t>
      </w:r>
      <w:bookmarkEnd w:id="668"/>
      <w:bookmarkEnd w:id="669"/>
      <w:bookmarkEnd w:id="670"/>
    </w:p>
    <w:p>
      <w:pPr>
        <w:spacing w:line="360" w:lineRule="auto"/>
        <w:ind w:firstLine="480" w:firstLineChars="200"/>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根据《成都市市容和环境卫生管理条例》《成都市环卫</w:t>
      </w:r>
      <w:r>
        <w:rPr>
          <w:rFonts w:hint="eastAsia" w:ascii="仿宋" w:hAnsi="仿宋" w:eastAsia="仿宋" w:cs="仿宋"/>
          <w:i w:val="0"/>
          <w:color w:val="auto"/>
          <w:sz w:val="24"/>
          <w:highlight w:val="none"/>
          <w:lang w:val="en-US" w:eastAsia="zh-CN"/>
        </w:rPr>
        <w:t>清扫</w:t>
      </w:r>
      <w:r>
        <w:rPr>
          <w:rFonts w:hint="eastAsia" w:ascii="仿宋" w:hAnsi="仿宋" w:eastAsia="仿宋" w:cs="仿宋"/>
          <w:i w:val="0"/>
          <w:color w:val="auto"/>
          <w:sz w:val="24"/>
          <w:highlight w:val="none"/>
          <w:lang w:eastAsia="zh-CN"/>
        </w:rPr>
        <w:t>保洁精细化作业规则》《成都市环卫</w:t>
      </w:r>
      <w:r>
        <w:rPr>
          <w:rFonts w:hint="eastAsia" w:ascii="仿宋" w:hAnsi="仿宋" w:eastAsia="仿宋" w:cs="仿宋"/>
          <w:i w:val="0"/>
          <w:color w:val="auto"/>
          <w:sz w:val="24"/>
          <w:highlight w:val="none"/>
          <w:lang w:val="en-US" w:eastAsia="zh-CN"/>
        </w:rPr>
        <w:t>清扫</w:t>
      </w:r>
      <w:r>
        <w:rPr>
          <w:rFonts w:hint="eastAsia" w:ascii="仿宋" w:hAnsi="仿宋" w:eastAsia="仿宋" w:cs="仿宋"/>
          <w:i w:val="0"/>
          <w:color w:val="auto"/>
          <w:sz w:val="24"/>
          <w:highlight w:val="none"/>
          <w:lang w:eastAsia="zh-CN"/>
        </w:rPr>
        <w:t>保洁精细化监督管理办法》等文件的相关规定，现拟采购2022年彭州市城区环卫作业服务政府采购项目。</w:t>
      </w:r>
    </w:p>
    <w:p>
      <w:pPr>
        <w:spacing w:line="360" w:lineRule="auto"/>
        <w:ind w:firstLine="480" w:firstLineChars="200"/>
        <w:contextualSpacing/>
        <w:rPr>
          <w:rFonts w:hint="eastAsia"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本次</w:t>
      </w:r>
      <w:r>
        <w:rPr>
          <w:rFonts w:hint="eastAsia" w:ascii="仿宋" w:hAnsi="仿宋" w:eastAsia="仿宋" w:cs="仿宋"/>
          <w:i w:val="0"/>
          <w:color w:val="auto"/>
          <w:sz w:val="24"/>
          <w:highlight w:val="none"/>
          <w:lang w:eastAsia="zh-CN"/>
        </w:rPr>
        <w:t>环卫作业市场化服务包含清扫保洁服务、</w:t>
      </w:r>
      <w:r>
        <w:rPr>
          <w:rFonts w:hint="eastAsia" w:ascii="仿宋" w:hAnsi="仿宋" w:eastAsia="仿宋" w:cs="仿宋"/>
          <w:i w:val="0"/>
          <w:color w:val="auto"/>
          <w:sz w:val="24"/>
          <w:szCs w:val="24"/>
          <w:highlight w:val="none"/>
          <w:lang w:eastAsia="zh-CN"/>
        </w:rPr>
        <w:t>生活垃圾收运服务、地埋式收集站管理服务、公厕管护服务（含公厕管理）。</w:t>
      </w:r>
    </w:p>
    <w:p>
      <w:pPr>
        <w:spacing w:line="360" w:lineRule="auto"/>
        <w:ind w:firstLine="480" w:firstLineChars="200"/>
        <w:rPr>
          <w:rFonts w:hint="eastAsia" w:ascii="仿宋" w:hAnsi="仿宋" w:eastAsia="仿宋" w:cs="仿宋"/>
          <w:i w:val="0"/>
          <w:color w:val="auto"/>
          <w:sz w:val="24"/>
          <w:highlight w:val="none"/>
          <w:u w:val="none"/>
          <w:lang w:eastAsia="zh-CN"/>
        </w:rPr>
      </w:pPr>
      <w:bookmarkStart w:id="671" w:name="_Toc89423889"/>
      <w:bookmarkStart w:id="672" w:name="_Toc85720700"/>
      <w:r>
        <w:rPr>
          <w:rFonts w:hint="eastAsia" w:ascii="仿宋" w:hAnsi="仿宋" w:eastAsia="仿宋" w:cs="仿宋"/>
          <w:i w:val="0"/>
          <w:color w:val="auto"/>
          <w:sz w:val="24"/>
          <w:highlight w:val="none"/>
          <w:u w:val="none"/>
          <w:lang w:eastAsia="zh-CN"/>
        </w:rPr>
        <w:t>（1）公厕服务范围：共</w:t>
      </w:r>
      <w:r>
        <w:rPr>
          <w:rFonts w:hint="eastAsia" w:ascii="仿宋" w:hAnsi="仿宋" w:eastAsia="仿宋" w:cs="仿宋"/>
          <w:i w:val="0"/>
          <w:color w:val="auto"/>
          <w:sz w:val="24"/>
          <w:highlight w:val="none"/>
          <w:u w:val="none"/>
          <w:lang w:val="en-US" w:eastAsia="zh-CN"/>
        </w:rPr>
        <w:t>75</w:t>
      </w:r>
      <w:r>
        <w:rPr>
          <w:rFonts w:hint="eastAsia" w:ascii="仿宋" w:hAnsi="仿宋" w:eastAsia="仿宋" w:cs="仿宋"/>
          <w:i w:val="0"/>
          <w:color w:val="auto"/>
          <w:sz w:val="24"/>
          <w:highlight w:val="none"/>
          <w:u w:val="none"/>
          <w:lang w:eastAsia="zh-CN"/>
        </w:rPr>
        <w:t>座（现有的城区环卫公厕70座，2022年计划新增公厕</w:t>
      </w:r>
      <w:r>
        <w:rPr>
          <w:rFonts w:hint="eastAsia" w:ascii="仿宋" w:hAnsi="仿宋" w:eastAsia="仿宋" w:cs="仿宋"/>
          <w:i w:val="0"/>
          <w:color w:val="auto"/>
          <w:sz w:val="24"/>
          <w:highlight w:val="none"/>
          <w:u w:val="none"/>
          <w:lang w:val="en-US" w:eastAsia="zh-CN"/>
        </w:rPr>
        <w:t>5</w:t>
      </w:r>
      <w:r>
        <w:rPr>
          <w:rFonts w:hint="eastAsia" w:ascii="仿宋" w:hAnsi="仿宋" w:eastAsia="仿宋" w:cs="仿宋"/>
          <w:i w:val="0"/>
          <w:color w:val="auto"/>
          <w:sz w:val="24"/>
          <w:highlight w:val="none"/>
          <w:u w:val="none"/>
          <w:lang w:eastAsia="zh-CN"/>
        </w:rPr>
        <w:t>座）。</w:t>
      </w:r>
    </w:p>
    <w:p>
      <w:pPr>
        <w:spacing w:line="360" w:lineRule="auto"/>
        <w:ind w:firstLine="480" w:firstLineChars="200"/>
        <w:rPr>
          <w:rFonts w:hint="eastAsia" w:ascii="仿宋" w:hAnsi="仿宋" w:eastAsia="仿宋" w:cs="仿宋"/>
          <w:i w:val="0"/>
          <w:color w:val="auto"/>
          <w:sz w:val="24"/>
          <w:highlight w:val="none"/>
          <w:u w:val="none"/>
          <w:lang w:eastAsia="zh-CN"/>
        </w:rPr>
      </w:pPr>
      <w:r>
        <w:rPr>
          <w:rFonts w:hint="eastAsia" w:ascii="仿宋" w:hAnsi="仿宋" w:eastAsia="仿宋" w:cs="仿宋"/>
          <w:i w:val="0"/>
          <w:color w:val="auto"/>
          <w:sz w:val="24"/>
          <w:highlight w:val="none"/>
          <w:u w:val="none"/>
          <w:lang w:eastAsia="zh-CN"/>
        </w:rPr>
        <w:t>（2）清扫保洁范围约583.70万平方米。</w:t>
      </w:r>
    </w:p>
    <w:p>
      <w:pPr>
        <w:spacing w:line="360" w:lineRule="auto"/>
        <w:ind w:firstLine="480" w:firstLineChars="200"/>
        <w:rPr>
          <w:rFonts w:hint="eastAsia" w:ascii="仿宋" w:hAnsi="仿宋" w:eastAsia="仿宋" w:cs="仿宋"/>
          <w:i w:val="0"/>
          <w:color w:val="auto"/>
          <w:sz w:val="24"/>
          <w:highlight w:val="none"/>
          <w:u w:val="none"/>
          <w:lang w:eastAsia="zh-CN"/>
        </w:rPr>
      </w:pPr>
      <w:r>
        <w:rPr>
          <w:rFonts w:hint="eastAsia" w:ascii="仿宋" w:hAnsi="仿宋" w:eastAsia="仿宋" w:cs="仿宋"/>
          <w:i w:val="0"/>
          <w:color w:val="auto"/>
          <w:sz w:val="24"/>
          <w:highlight w:val="none"/>
          <w:u w:val="none"/>
          <w:lang w:eastAsia="zh-CN"/>
        </w:rPr>
        <w:t>（3）地埋式生活垃圾收集站7</w:t>
      </w:r>
      <w:r>
        <w:rPr>
          <w:rFonts w:hint="eastAsia" w:ascii="仿宋" w:hAnsi="仿宋" w:eastAsia="仿宋" w:cs="仿宋"/>
          <w:i w:val="0"/>
          <w:color w:val="auto"/>
          <w:sz w:val="24"/>
          <w:highlight w:val="none"/>
          <w:u w:val="none"/>
          <w:lang w:val="en-US" w:eastAsia="zh-CN"/>
        </w:rPr>
        <w:t>座（现有6座，2022年计划新增1座）</w:t>
      </w:r>
      <w:r>
        <w:rPr>
          <w:rFonts w:hint="eastAsia" w:ascii="仿宋" w:hAnsi="仿宋" w:eastAsia="仿宋" w:cs="仿宋"/>
          <w:i w:val="0"/>
          <w:color w:val="auto"/>
          <w:sz w:val="24"/>
          <w:highlight w:val="none"/>
          <w:u w:val="none"/>
          <w:lang w:eastAsia="zh-CN"/>
        </w:rPr>
        <w:t>。</w:t>
      </w:r>
    </w:p>
    <w:p>
      <w:pPr>
        <w:spacing w:line="360" w:lineRule="auto"/>
        <w:ind w:firstLine="480" w:firstLineChars="200"/>
        <w:rPr>
          <w:rFonts w:hint="eastAsia" w:ascii="仿宋" w:hAnsi="仿宋" w:eastAsia="仿宋" w:cs="仿宋"/>
          <w:i w:val="0"/>
          <w:color w:val="auto"/>
          <w:sz w:val="24"/>
          <w:highlight w:val="none"/>
          <w:u w:val="none"/>
          <w:lang w:val="en-US" w:eastAsia="zh-CN"/>
        </w:rPr>
      </w:pPr>
      <w:r>
        <w:rPr>
          <w:rFonts w:hint="eastAsia" w:ascii="仿宋" w:hAnsi="仿宋" w:eastAsia="仿宋" w:cs="仿宋"/>
          <w:i w:val="0"/>
          <w:color w:val="auto"/>
          <w:sz w:val="24"/>
          <w:highlight w:val="none"/>
          <w:u w:val="none"/>
          <w:lang w:eastAsia="zh-CN"/>
        </w:rPr>
        <w:t>（</w:t>
      </w:r>
      <w:r>
        <w:rPr>
          <w:rFonts w:hint="eastAsia" w:ascii="仿宋" w:hAnsi="仿宋" w:eastAsia="仿宋" w:cs="仿宋"/>
          <w:i w:val="0"/>
          <w:color w:val="auto"/>
          <w:sz w:val="24"/>
          <w:highlight w:val="none"/>
          <w:u w:val="none"/>
          <w:lang w:val="en-US" w:eastAsia="zh-CN"/>
        </w:rPr>
        <w:t>4</w:t>
      </w:r>
      <w:r>
        <w:rPr>
          <w:rFonts w:hint="eastAsia" w:ascii="仿宋" w:hAnsi="仿宋" w:eastAsia="仿宋" w:cs="仿宋"/>
          <w:i w:val="0"/>
          <w:color w:val="auto"/>
          <w:sz w:val="24"/>
          <w:highlight w:val="none"/>
          <w:u w:val="none"/>
          <w:lang w:eastAsia="zh-CN"/>
        </w:rPr>
        <w:t>）</w:t>
      </w:r>
      <w:r>
        <w:rPr>
          <w:rFonts w:hint="eastAsia" w:ascii="仿宋" w:hAnsi="仿宋" w:eastAsia="仿宋" w:cs="仿宋"/>
          <w:i w:val="0"/>
          <w:color w:val="auto"/>
          <w:sz w:val="24"/>
          <w:highlight w:val="none"/>
          <w:u w:val="none"/>
          <w:lang w:val="en-US" w:eastAsia="zh-CN"/>
        </w:rPr>
        <w:t>生活垃圾收运约321吨/日。</w:t>
      </w:r>
    </w:p>
    <w:p>
      <w:pPr>
        <w:spacing w:line="360" w:lineRule="auto"/>
        <w:ind w:firstLine="480" w:firstLineChars="200"/>
        <w:rPr>
          <w:rFonts w:hint="eastAsia" w:ascii="仿宋" w:hAnsi="仿宋" w:eastAsia="仿宋" w:cs="仿宋"/>
          <w:i w:val="0"/>
          <w:color w:val="auto"/>
          <w:sz w:val="24"/>
          <w:highlight w:val="none"/>
          <w:u w:val="none"/>
          <w:lang w:val="en-US" w:eastAsia="zh-CN"/>
        </w:rPr>
      </w:pPr>
      <w:r>
        <w:rPr>
          <w:rFonts w:hint="eastAsia" w:ascii="仿宋" w:hAnsi="仿宋" w:eastAsia="仿宋" w:cs="仿宋"/>
          <w:i w:val="0"/>
          <w:color w:val="auto"/>
          <w:sz w:val="24"/>
          <w:highlight w:val="none"/>
          <w:u w:val="none"/>
          <w:lang w:val="en-US" w:eastAsia="zh-CN"/>
        </w:rPr>
        <w:t>注：以上数量均为预估数量，以每月实际结算数量为准。</w:t>
      </w:r>
    </w:p>
    <w:p>
      <w:pPr>
        <w:pStyle w:val="4"/>
        <w:spacing w:line="360" w:lineRule="auto"/>
        <w:jc w:val="left"/>
        <w:rPr>
          <w:rFonts w:hint="eastAsia" w:ascii="仿宋" w:hAnsi="仿宋" w:eastAsia="仿宋" w:cs="仿宋"/>
          <w:i w:val="0"/>
          <w:color w:val="auto"/>
          <w:sz w:val="24"/>
          <w:highlight w:val="none"/>
          <w:lang w:eastAsia="zh-CN"/>
        </w:rPr>
      </w:pPr>
      <w:bookmarkStart w:id="673" w:name="_Toc27970"/>
      <w:r>
        <w:rPr>
          <w:rFonts w:hint="eastAsia" w:ascii="仿宋" w:hAnsi="仿宋" w:eastAsia="仿宋" w:cs="仿宋"/>
          <w:i w:val="0"/>
          <w:color w:val="auto"/>
          <w:sz w:val="24"/>
          <w:highlight w:val="none"/>
          <w:lang w:eastAsia="zh-CN"/>
        </w:rPr>
        <w:t>二、合同期限</w:t>
      </w:r>
      <w:bookmarkEnd w:id="671"/>
      <w:bookmarkEnd w:id="672"/>
      <w:bookmarkEnd w:id="673"/>
    </w:p>
    <w:p>
      <w:pPr>
        <w:spacing w:line="360" w:lineRule="auto"/>
        <w:ind w:firstLine="480" w:firstLineChars="200"/>
        <w:contextualSpacing/>
        <w:rPr>
          <w:rFonts w:hint="eastAsia" w:ascii="仿宋" w:hAnsi="仿宋" w:eastAsia="仿宋" w:cs="仿宋"/>
          <w:i w:val="0"/>
          <w:color w:val="auto"/>
          <w:sz w:val="24"/>
          <w:szCs w:val="28"/>
          <w:highlight w:val="none"/>
          <w:lang w:eastAsia="zh-CN"/>
        </w:rPr>
      </w:pPr>
      <w:bookmarkStart w:id="674" w:name="_Toc89423890"/>
      <w:bookmarkStart w:id="675" w:name="_Toc85720701"/>
      <w:r>
        <w:rPr>
          <w:rFonts w:hint="eastAsia" w:ascii="仿宋" w:hAnsi="仿宋" w:eastAsia="仿宋" w:cs="仿宋"/>
          <w:i w:val="0"/>
          <w:color w:val="auto"/>
          <w:sz w:val="24"/>
          <w:szCs w:val="28"/>
          <w:highlight w:val="none"/>
          <w:lang w:eastAsia="zh-CN"/>
        </w:rPr>
        <w:t>服务期限一年。</w:t>
      </w:r>
    </w:p>
    <w:p>
      <w:pPr>
        <w:pStyle w:val="4"/>
        <w:spacing w:line="360" w:lineRule="auto"/>
        <w:jc w:val="left"/>
        <w:rPr>
          <w:rFonts w:hint="eastAsia" w:ascii="仿宋" w:hAnsi="仿宋" w:eastAsia="仿宋" w:cs="仿宋"/>
          <w:i w:val="0"/>
          <w:color w:val="auto"/>
          <w:sz w:val="24"/>
          <w:highlight w:val="none"/>
          <w:lang w:eastAsia="zh-CN"/>
        </w:rPr>
      </w:pPr>
      <w:bookmarkStart w:id="676" w:name="_Toc21758"/>
      <w:r>
        <w:rPr>
          <w:rFonts w:hint="eastAsia" w:ascii="仿宋" w:hAnsi="仿宋" w:eastAsia="仿宋" w:cs="仿宋"/>
          <w:i w:val="0"/>
          <w:color w:val="auto"/>
          <w:sz w:val="24"/>
          <w:highlight w:val="none"/>
          <w:lang w:eastAsia="zh-CN"/>
        </w:rPr>
        <w:t>三、采购标的需满足的服务标准、期限、效率等要求</w:t>
      </w:r>
      <w:bookmarkEnd w:id="674"/>
      <w:bookmarkEnd w:id="675"/>
      <w:bookmarkEnd w:id="676"/>
    </w:p>
    <w:p>
      <w:pPr>
        <w:pStyle w:val="59"/>
        <w:numPr>
          <w:ilvl w:val="0"/>
          <w:numId w:val="0"/>
        </w:numPr>
        <w:ind w:left="420" w:hanging="420"/>
        <w:rPr>
          <w:rFonts w:hint="eastAsia" w:ascii="仿宋" w:hAnsi="仿宋" w:eastAsia="仿宋" w:cs="仿宋"/>
          <w:b/>
          <w:i w:val="0"/>
          <w:color w:val="auto"/>
          <w:highlight w:val="none"/>
          <w:lang w:eastAsia="zh-CN"/>
        </w:rPr>
      </w:pPr>
      <w:bookmarkStart w:id="677" w:name="_Toc85720702"/>
      <w:bookmarkStart w:id="678" w:name="_Toc89423891"/>
      <w:r>
        <w:rPr>
          <w:rFonts w:hint="eastAsia" w:ascii="仿宋" w:hAnsi="仿宋" w:eastAsia="仿宋" w:cs="仿宋"/>
          <w:b/>
          <w:i w:val="0"/>
          <w:color w:val="auto"/>
          <w:highlight w:val="none"/>
          <w:lang w:eastAsia="zh-CN"/>
        </w:rPr>
        <w:t>（</w:t>
      </w:r>
      <w:r>
        <w:rPr>
          <w:rFonts w:hint="eastAsia" w:ascii="仿宋" w:hAnsi="仿宋" w:eastAsia="仿宋" w:cs="仿宋"/>
          <w:b/>
          <w:i w:val="0"/>
          <w:color w:val="auto"/>
          <w:highlight w:val="none"/>
          <w:lang w:val="en-US" w:eastAsia="zh-CN"/>
        </w:rPr>
        <w:t>一</w:t>
      </w:r>
      <w:r>
        <w:rPr>
          <w:rFonts w:hint="eastAsia" w:ascii="仿宋" w:hAnsi="仿宋" w:eastAsia="仿宋" w:cs="仿宋"/>
          <w:b/>
          <w:i w:val="0"/>
          <w:color w:val="auto"/>
          <w:highlight w:val="none"/>
          <w:lang w:eastAsia="zh-CN"/>
        </w:rPr>
        <w:t>）服务标准及服务要求</w:t>
      </w:r>
    </w:p>
    <w:p>
      <w:pPr>
        <w:pStyle w:val="7"/>
        <w:spacing w:line="360" w:lineRule="auto"/>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1、清扫保洁</w:t>
      </w:r>
    </w:p>
    <w:p>
      <w:pPr>
        <w:spacing w:line="360" w:lineRule="auto"/>
        <w:ind w:firstLine="480" w:firstLineChars="200"/>
        <w:rPr>
          <w:rFonts w:hint="eastAsia"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1.1机动车道、非机动车道、人行道路面，人行天桥、雨水篦无堆积物、无砖瓦土石、无果皮纸屑、无塑料袋、无烟蒂、无痰迹、无积泥积尘、无污水、无灰带等。绿化带、行道树池内无堆积物、无塑料袋、无纸屑等废弃物。果屑箱（垃圾桶）内垃圾及时清除、无满溢，箱体周围地面无抛撒存留垃圾、无污渍，箱体外观完好整洁。</w:t>
      </w:r>
    </w:p>
    <w:p>
      <w:pPr>
        <w:spacing w:line="360" w:lineRule="auto"/>
        <w:ind w:firstLine="480" w:firstLineChars="200"/>
        <w:rPr>
          <w:rFonts w:hint="eastAsia"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1.2立交桥、人行天桥栏杆和隔离栏、隔离墩（桩、墙）、公交站台、配电箱外围、隔音墙（板）无积泥积尘。</w:t>
      </w:r>
    </w:p>
    <w:p>
      <w:pPr>
        <w:spacing w:line="360" w:lineRule="auto"/>
        <w:ind w:firstLine="480" w:firstLineChars="200"/>
        <w:rPr>
          <w:rFonts w:hint="eastAsia"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1.3保洁人员不得拍打树叶；不得焚烧垃圾。不得将垃圾扫（倒）入绿化带、下水道、河道、沟渠。不得翻捡垃圾。</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2、冲洗除尘</w:t>
      </w:r>
    </w:p>
    <w:p>
      <w:pPr>
        <w:spacing w:line="360" w:lineRule="auto"/>
        <w:ind w:firstLine="480" w:firstLineChars="200"/>
        <w:rPr>
          <w:rFonts w:hint="eastAsia"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2.1机动车道、非机动车道、路沿石应无积泥、积尘、积水，无残留垃圾，雨水箅表面洁净，交通标志线无污渍，现本色。</w:t>
      </w:r>
    </w:p>
    <w:p>
      <w:pPr>
        <w:spacing w:line="360" w:lineRule="auto"/>
        <w:ind w:firstLine="480" w:firstLineChars="200"/>
        <w:rPr>
          <w:rFonts w:hint="eastAsia"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2.2人行道、护栏基座、人行天桥、广场无积泥、积尘、积水、残留垃圾、油渍污垢、口香糖等，现本色。行道树树池无弃物、污渍。</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3、生活垃圾收运</w:t>
      </w:r>
    </w:p>
    <w:p>
      <w:pPr>
        <w:spacing w:line="360" w:lineRule="auto"/>
        <w:ind w:firstLine="480" w:firstLineChars="200"/>
        <w:rPr>
          <w:rFonts w:hint="eastAsia"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3.1生活垃圾收运应做到密闭转运，日产日清。</w:t>
      </w:r>
    </w:p>
    <w:p>
      <w:pPr>
        <w:spacing w:line="360" w:lineRule="auto"/>
        <w:ind w:firstLine="480" w:firstLineChars="200"/>
        <w:rPr>
          <w:rFonts w:hint="eastAsia"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3.2应文明安全作业，不得粗暴、野蛮作业。收运作业时规范操作，不得破袋翻拣、野蛮装卸，收集压缩装置严格按照使用规范操作，避免人为损坏；转运装填完成后，应当及时清理转运现场，确保清洁无味。垃圾运输车辆整洁干净、厢体外无吊挂垃圾、无滴漏，接水槽干净、无积存垃圾，集水箱中渗沥液应在转运站点和处置场（厂）规范排放。</w:t>
      </w:r>
    </w:p>
    <w:p>
      <w:pPr>
        <w:spacing w:line="360" w:lineRule="auto"/>
        <w:ind w:firstLine="480" w:firstLineChars="200"/>
        <w:rPr>
          <w:rFonts w:hint="eastAsia"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lang w:eastAsia="zh-CN"/>
        </w:rPr>
        <w:t>3.3垃圾收集转运区域与清扫保洁区域保持一致，实现清扫保洁与垃圾收集转运的无缝衔接。</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4、垃圾容器管理</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4.1果屑箱、垃圾桶内的垃圾日产日清，无满溢现象，投放口周边整洁，无垃圾悬挂；箱（桶）体周围地面无撒落存留垃圾、无陈旧油污，箱（桶）体无破损、无锈迹、无污垢、无污渍，外观干净整洁。</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4.2不得有用水冲洗电力箱（柜）等存在安全隐患的行为。</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5、垃圾收集、转运站（点）管理</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5.1站（点）内地面全部硬化并做防渗处理，地面平整，通风良好，立面内、外贴瓷砖到顶，给排水设施运行正常并保持外部整洁。站应设置操作规范、作业流程和工作职责等上墙制度；收集点应设置告示栏，明确管理责任人，清运时间、频次，服务单位及电话等基本信息。</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5.2站（点）内及周边地整洁清爽，无撒落垃圾和堆积杂物，无积留污水，墙面无明显污迹、积尘，无明显异味。</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5.3站内有防噪、降尘、除臭、排污设施设备且运行良好，噪音、灰尘、臭气、污水和渗滤液等处置应当符合环境保护技术规范，污水排放标识清晰醒目。</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5.4站内严格按照生活垃圾分类相关规定进行分捡作业，严禁站外破袋翻捡垃圾。</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5.5站应建立规范车辆管理制度，进入站内的运输车辆应当进行登记，对车容不整、车箱未密闭、垃圾外漏的运输车辆建立问题抄告制度，定期向所属主管部门报送信息。由主管部门对问题车辆业主单位进行通报批评，并视情节轻重，实施罚款、降级警示、降级直至市场禁入等处罚。</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5.6有条件的站内应设置垃圾运输车辆冲洗设施，所有垃圾转运车辆出场必须冲洗，保持车容整洁。</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5.7</w:t>
      </w:r>
      <w:r>
        <w:rPr>
          <w:rFonts w:hint="eastAsia" w:ascii="仿宋" w:hAnsi="仿宋" w:eastAsia="仿宋" w:cs="仿宋"/>
          <w:i w:val="0"/>
          <w:color w:val="auto"/>
          <w:sz w:val="24"/>
          <w:szCs w:val="24"/>
          <w:highlight w:val="none"/>
          <w:lang w:eastAsia="zh-CN"/>
        </w:rPr>
        <w:t>垃圾收集点（房）不得出现爆桶等现象。</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6、环卫工人作息房管理</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6.1环卫工人作息房内部家具摆放整齐，表面干净无灰尘；地面、墙面和各类电器洁净无尘，窗帘定期清洗；外墙、屋顶及责任区域内整洁，无杂物堆积，墙面光洁完好，无污蚀，无渗漏，窗栅、门窗玻璃无破损。外部环境整洁，无卫生死角和乱堆杂物现象。</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7、公厕管护服务</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7.1公厕管护应达到“四净三无二通一明”要求。即：地面净、墙壁净、厕位净、周边净，无溢流、无蚊蝇、无臭味，水通、电通，灯明。</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7.2提供公厕清扫保洁服务。做到室内：公厕无明显异味，无蚊蝇；地面光洁干净，无积水，无烟头，无纸屑，无痰迹和其他杂物；墙面、天花板、门窗和隔断板洁净，无积灰，无污迹，无蛛网，无乱涂乱画，无破损；卫生洁具整洁，大、小便器内无积存物，无粪便痕迹，无积尿积水，管道畅通、无堵塞，公厕标志牌、公示牌洁净，无积尘。</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7.3提供设施管理。公厕导向牌、标志牌、公示牌、内外部照明灯具、洗手器具、镜子、挂衣钩、烘手器、厕纸机、洗手液盒、便器、冲水设施、厕位门、隔断板、门窗、天花板、废纸容器、</w:t>
      </w:r>
      <w:r>
        <w:rPr>
          <w:rFonts w:hint="eastAsia" w:ascii="仿宋" w:hAnsi="仿宋" w:eastAsia="仿宋" w:cs="仿宋"/>
          <w:i w:val="0"/>
          <w:color w:val="auto"/>
          <w:sz w:val="24"/>
          <w:szCs w:val="24"/>
          <w:highlight w:val="none"/>
          <w:lang w:val="en-US" w:eastAsia="zh-CN" w:bidi="ar-SA"/>
        </w:rPr>
        <w:t>热水设施、</w:t>
      </w:r>
      <w:r>
        <w:rPr>
          <w:rFonts w:hint="eastAsia" w:ascii="仿宋" w:hAnsi="仿宋" w:eastAsia="仿宋" w:cs="仿宋"/>
          <w:i w:val="0"/>
          <w:color w:val="auto"/>
          <w:sz w:val="24"/>
          <w:szCs w:val="24"/>
          <w:highlight w:val="none"/>
          <w:lang w:eastAsia="zh-CN" w:bidi="ar-SA"/>
        </w:rPr>
        <w:t>无障碍设施等完好；墙砖、地砖无脱落、缺损、松动、破裂、渗漏等；地漏、</w:t>
      </w:r>
      <w:r>
        <w:rPr>
          <w:rFonts w:hint="eastAsia" w:ascii="仿宋" w:hAnsi="仿宋" w:eastAsia="仿宋" w:cs="仿宋"/>
          <w:i w:val="0"/>
          <w:color w:val="auto"/>
          <w:sz w:val="24"/>
          <w:szCs w:val="24"/>
          <w:highlight w:val="none"/>
          <w:lang w:val="en-US" w:eastAsia="zh-CN" w:bidi="ar-SA"/>
        </w:rPr>
        <w:t>厕位</w:t>
      </w:r>
      <w:r>
        <w:rPr>
          <w:rFonts w:hint="eastAsia" w:ascii="仿宋" w:hAnsi="仿宋" w:eastAsia="仿宋" w:cs="仿宋"/>
          <w:i w:val="0"/>
          <w:color w:val="auto"/>
          <w:sz w:val="24"/>
          <w:szCs w:val="24"/>
          <w:highlight w:val="none"/>
          <w:lang w:eastAsia="zh-CN" w:bidi="ar-SA"/>
        </w:rPr>
        <w:t>无堵塞；化粪池窨井盖完好，无满溢。</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7.4提供耗材管理。使用的厕纸、洗手液需提供产品合格证书，保证产品质量。</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7.5提供工具管理。管理间（工具间）物品摆放整洁有序，无杂物，无闲杂人员，无挪作他用。提供必备的作业工具：塑料扫帚、拖把、撮箕、垃圾袋、毛巾、硬质塑料刷、橡胶手套或一次性手套、水刮器、消毒剂、清洁剂、空气清新剂、檀香、防疫消杀药剂等。</w:t>
      </w:r>
    </w:p>
    <w:p>
      <w:pPr>
        <w:pStyle w:val="59"/>
        <w:numPr>
          <w:ilvl w:val="0"/>
          <w:numId w:val="0"/>
        </w:numPr>
        <w:ind w:left="420" w:hanging="420"/>
        <w:rPr>
          <w:rFonts w:hint="eastAsia" w:ascii="仿宋" w:hAnsi="仿宋" w:eastAsia="仿宋" w:cs="仿宋"/>
          <w:b/>
          <w:i w:val="0"/>
          <w:color w:val="auto"/>
          <w:highlight w:val="none"/>
          <w:lang w:eastAsia="zh-CN"/>
        </w:rPr>
      </w:pPr>
      <w:r>
        <w:rPr>
          <w:rFonts w:hint="eastAsia" w:ascii="仿宋" w:hAnsi="仿宋" w:eastAsia="仿宋" w:cs="仿宋"/>
          <w:b/>
          <w:i w:val="0"/>
          <w:color w:val="auto"/>
          <w:highlight w:val="none"/>
          <w:lang w:eastAsia="zh-CN"/>
        </w:rPr>
        <w:t>（</w:t>
      </w:r>
      <w:r>
        <w:rPr>
          <w:rFonts w:hint="eastAsia" w:ascii="仿宋" w:hAnsi="仿宋" w:eastAsia="仿宋" w:cs="仿宋"/>
          <w:b/>
          <w:i w:val="0"/>
          <w:color w:val="auto"/>
          <w:highlight w:val="none"/>
          <w:lang w:val="en-US" w:eastAsia="zh-CN"/>
        </w:rPr>
        <w:t>二</w:t>
      </w:r>
      <w:r>
        <w:rPr>
          <w:rFonts w:hint="eastAsia" w:ascii="仿宋" w:hAnsi="仿宋" w:eastAsia="仿宋" w:cs="仿宋"/>
          <w:b/>
          <w:i w:val="0"/>
          <w:color w:val="auto"/>
          <w:highlight w:val="none"/>
          <w:lang w:eastAsia="zh-CN"/>
        </w:rPr>
        <w:t>）服务效率</w:t>
      </w:r>
    </w:p>
    <w:p>
      <w:pPr>
        <w:pStyle w:val="7"/>
        <w:spacing w:line="360" w:lineRule="auto"/>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1、清扫保洁</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1.1特级道路、一级道路（区域）应于每日07:00前完成普扫作业，二、三级道路（区域）应于每日07:30前完成普扫作业，四级道路（区域）冬季09:00和夏季08:30前完成普扫作业。</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1.2特级道路、一、二级道路（区域）实行每日24小时保洁制，三级道路每日05:00至22:00保洁，其中，机动车道保洁以机械化错峰作业为主。四级道路适时巡回保洁。</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1.3特级道路，一级道路（区域）主、辅道机械吸（洗）扫作业每日不少于4次。每日05:00-07:00、19:00-21:00每条车道全覆盖作业；09:30-11:30、12:00-15:30双向左右两侧车行道、单向车行道两侧道路各增加作业1次；1月-3月，10月-12月适时增加作业次数，清理落叶和灰带。</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1.4二级道路（区域）机械吸（洗）扫作业每日不少于3次。每日05:00-07:00、19:00-21:00每条车道全覆盖作业；12:30-15:30双向左右两侧车行道、单向车行道两侧道路各增加作业1次；1月-3月，10月-12月适时增加作业次数，清理落叶和灰带。</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1.5三级道路（区域）机械吸（洗）扫作业每日不少于2次。每日05:00-07:00、19:00-21:00各作业1次；1月-3月，10月-12月适时增加作业次数，清理落叶和灰带。</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1.6四级道路采取人工清扫和冲洗作业相结合方式，冬季9:00和夏季8:30前作业1次，并适时巡回捡拾。</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1.7特级道路非机动车道、人行道、十字路口、人行天桥、绿化带花台、树池、桌椅、果屑箱（垃圾桶）、雨水篦、井盖表面等局部污渍清洗，其巡回保洁和快捡在15分钟内处理。一、二、三级道路（区域）非机动车道、人行道、十字路口、人行天桥、绿化带花台、树池、桌椅、果屑箱（垃圾桶）、雨水篦、井盖表面等局部污渍清洗，餐饮饭店、集贸市场、车站、医院等人流密集场所和建设工地周边，其巡回保洁和快捡在20分钟内处理。四级道路适时巡回保洁。巡回保洁中发现的污渍污迹，在20分钟内实施处置。</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1.8特级道路、一、二级道路（区域）立交桥、人行天桥栏杆，隔离栏、隔离墩（桩）清洁除尘，每日不少于1次，三级道路（区域）立交桥、人行天桥栏杆，隔离栏、隔离墩（桩）、公交站台、配电箱外围清洁除尘，每两日不少于1次。</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2、冲洗除尘</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2.1三级以上道路（区域）冲洗除尘作业应在每日22:00－次日06:00进行，除道路污染应急处置、重大保障和重污染天气等特殊情况外，原则上不得白天作业。特殊情况确需白天作业时要错开早晚交通高峰段（7:30-9:00，17:30-19:00），作业时注意避让车辆和行人，以洒水作业为主。四级道路（区域）根据污染情况适时冲洗除尘。</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2.2特级道路、一级道路（区域）机动车道每日冲洗除尘1次，非机动车道、路沿石每两日冲洗除尘1次，人行道、护栏基座、人行天桥、广场地面每两周洗刷1次，随时清除污垢、污渍。</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2.3二级道路（区域）机动车道每日冲洗除尘1次，非机动车道和路沿石每三日冲洗除尘1次，人行道、护栏基座、人行天桥、广场地面每两周洗刷1次，随时清除污垢、污渍。</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2.4三级道路（区域）机动车道每两日冲洗除尘1次，非机动车道和路沿石每周冲洗除尘1次，人行道、护栏基座、人行天桥、广场地面每两周洗刷1次，随时清除污垢、污渍。</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2.4冬季气温低于2℃时，暂停冲洗作业，以免路面结冰影响交通安全。夏季气温超过35℃时，应当采取换班轮休等方式，缩短劳动者连续作业时间，加强机械化作业，日最高气温达到40℃以上时，应当停止人工作业。其他特殊天气作业时间和频次另行规定。</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2.5遇重污染天气，应按要求加密冲洗除尘频次。</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3、生活垃圾收运</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3.1生活垃圾转运作业原则上在05:30-23:00进行，并避开交通高峰时段（07:30-9:00，17:30-19:00）。确需其它时段作业的应避免扰民。</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3.2城镇居民住宅小区、单位、营业场所、公共场所等区域的生活垃圾实行定人定时收运，原则上早、中、晚各1次，根据不同区域、不同季节生活垃圾日产生量，适时调整增加或减少收运频次；临街店铺生活垃圾实行定人定时循环收运，原则上每日不少于2次；农村区域原则上每日不少于1次。</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4、垃圾容器管理</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4.1特级道路、一、二级道路（区域）果屑箱应当每日内部清掏、外部保洁，清掏和保洁每日不少于4次，即07:00-09:00、12:00-14:00、17:00-19:00、21:00-23:00。公交站台、小饮食店、繁华商业区等人口密集区域，应增加清掏、保洁频次。</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4.2三级道路（区域）果屑箱每日清掏和保洁不少于3次，即07:00-09:00、12:00-14:00、18:00-20:00；并根据箱体内垃圾存量随时清掏、保洁。四级道路（区域）果屑箱每日清掏、保洁不少于1次。</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4.3城镇区域垃圾桶内的垃圾收运每日不少于3次：即05:00-07:00、12:00-14:00、20:00-22:00，并根据桶内垃圾存量随时收运；农村区域垃圾桶内的垃圾收运时间根据实际情况自行确定。收运后应对桶体及地面进行保洁。</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5、垃圾收集、转运站（点）管理</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5.1站（点）的开放时间应根据服务半径内的垃圾收集、清运作业的时间确定。原则上为每日5:30-23:00，其他时间确需作业的要避免扰民。</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6、环卫工人作息房管理</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6.1环卫工人作息房开放时间按照环卫工人作业时间确定，与社区服务中心、环卫公厕、垃圾转运站等环卫设施配建的作息房，开放时间与相关设施开放时间一致。</w:t>
      </w:r>
    </w:p>
    <w:p>
      <w:pPr>
        <w:pStyle w:val="7"/>
        <w:spacing w:line="360" w:lineRule="auto"/>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7、公厕管护服务</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7.1管理人员在岗时间：6:00-23:00(冬季7:00-22:00)。</w:t>
      </w:r>
    </w:p>
    <w:p>
      <w:pPr>
        <w:spacing w:line="360" w:lineRule="auto"/>
        <w:ind w:firstLine="480" w:firstLineChars="200"/>
        <w:rPr>
          <w:rFonts w:hint="eastAsia" w:ascii="仿宋" w:hAnsi="仿宋" w:eastAsia="仿宋" w:cs="仿宋"/>
          <w:i w:val="0"/>
          <w:color w:val="auto"/>
          <w:sz w:val="24"/>
          <w:szCs w:val="24"/>
          <w:highlight w:val="none"/>
          <w:lang w:val="en-US" w:eastAsia="zh-CN" w:bidi="ar-SA"/>
        </w:rPr>
      </w:pPr>
      <w:r>
        <w:rPr>
          <w:rFonts w:hint="eastAsia" w:ascii="仿宋" w:hAnsi="仿宋" w:eastAsia="仿宋" w:cs="仿宋"/>
          <w:i w:val="0"/>
          <w:color w:val="auto"/>
          <w:sz w:val="24"/>
          <w:szCs w:val="24"/>
          <w:highlight w:val="none"/>
          <w:lang w:eastAsia="zh-CN" w:bidi="ar-SA"/>
        </w:rPr>
        <w:t>7.2</w:t>
      </w:r>
      <w:r>
        <w:rPr>
          <w:rFonts w:hint="eastAsia" w:ascii="仿宋" w:hAnsi="仿宋" w:eastAsia="仿宋" w:cs="仿宋"/>
          <w:i w:val="0"/>
          <w:color w:val="auto"/>
          <w:sz w:val="24"/>
          <w:szCs w:val="24"/>
          <w:highlight w:val="none"/>
          <w:lang w:val="en-US" w:eastAsia="zh-CN" w:bidi="ar-SA"/>
        </w:rPr>
        <w:t>日常保洁管理工作中如发现公厕设施损坏影响正常使用功能或有碍观瞻的，要及时进行维护和更换。公厕内水龙头、照明灯具、厕纸机、洗手液盒、烘手器、标志牌等小型设施损坏应在2小时内完成维修。公厕隔断、墙面、地面、门窗、便器、洗手台（盆）、拖把池等大型设施损坏应在24小时内完成维修。中型维修维护应在接到派单之后1-7个工作日内完成。如遇特殊情况不能在规定时间内完成维修的，需要延时的，应提前征得甲方的同意。</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7.3耗材24小时不间断供应，不得随意停供。</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val="en-US" w:eastAsia="zh-CN" w:bidi="ar-SA"/>
        </w:rPr>
        <w:t>7.4</w:t>
      </w:r>
      <w:r>
        <w:rPr>
          <w:rFonts w:hint="eastAsia" w:ascii="仿宋" w:hAnsi="仿宋" w:eastAsia="仿宋" w:cs="仿宋"/>
          <w:i w:val="0"/>
          <w:color w:val="auto"/>
          <w:sz w:val="24"/>
          <w:szCs w:val="24"/>
          <w:highlight w:val="none"/>
          <w:lang w:eastAsia="zh-CN" w:bidi="ar-SA"/>
        </w:rPr>
        <w:t>已接入污水管网的公厕每座每年清掏不低于2次；未接入污水管网的公厕按需清掏。</w:t>
      </w:r>
    </w:p>
    <w:p>
      <w:pPr>
        <w:pStyle w:val="59"/>
        <w:numPr>
          <w:ilvl w:val="0"/>
          <w:numId w:val="0"/>
        </w:numPr>
        <w:ind w:left="420" w:hanging="420"/>
        <w:rPr>
          <w:rFonts w:hint="eastAsia" w:ascii="仿宋" w:hAnsi="仿宋" w:eastAsia="仿宋" w:cs="仿宋"/>
          <w:b/>
          <w:i w:val="0"/>
          <w:color w:val="auto"/>
          <w:highlight w:val="none"/>
          <w:lang w:eastAsia="zh-CN"/>
        </w:rPr>
      </w:pPr>
      <w:r>
        <w:rPr>
          <w:rFonts w:hint="eastAsia" w:ascii="仿宋" w:hAnsi="仿宋" w:eastAsia="仿宋" w:cs="仿宋"/>
          <w:b/>
          <w:i w:val="0"/>
          <w:color w:val="auto"/>
          <w:highlight w:val="none"/>
          <w:lang w:eastAsia="zh-CN"/>
        </w:rPr>
        <w:t>（</w:t>
      </w:r>
      <w:r>
        <w:rPr>
          <w:rFonts w:hint="eastAsia" w:ascii="仿宋" w:hAnsi="仿宋" w:eastAsia="仿宋" w:cs="仿宋"/>
          <w:b/>
          <w:i w:val="0"/>
          <w:color w:val="auto"/>
          <w:highlight w:val="none"/>
          <w:lang w:val="en-US" w:eastAsia="zh-CN"/>
        </w:rPr>
        <w:t>三</w:t>
      </w:r>
      <w:r>
        <w:rPr>
          <w:rFonts w:hint="eastAsia" w:ascii="仿宋" w:hAnsi="仿宋" w:eastAsia="仿宋" w:cs="仿宋"/>
          <w:b/>
          <w:i w:val="0"/>
          <w:color w:val="auto"/>
          <w:highlight w:val="none"/>
          <w:lang w:eastAsia="zh-CN"/>
        </w:rPr>
        <w:t>）服务方式</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1、清扫保洁</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1.1机动车道、立交桥、高架桥、跨线桥、非机动车道、人行道、人行天桥、广场及栏杆、隔离墩（桩、墙）等环卫清扫保洁，适合机械清扫的，应当以大、中、小型吸扫车或吸洗扫一体车作业为主；不适合机械清扫作业的，应匹配相应作业人员，实行人工清扫作业。人工清扫作业主要采用防尘软扫帚，避免产生扬尘。雨后应及时进行路面积水清除作业，宜开展机械洗扫作业。</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1.2机械清扫作业时可根据路面污染情况选用一挡或二档。清扫作业时选用一挡，行驶速度不超过8公里/小时，副机转速不超过2000转/分；保洁作业时选用二挡，行驶速度不超过15公里/小时，副机转速不超过1800转/分。</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1.3机械清扫作业时应严格按照放刷、喷水、调整箱体压力和刷盘转速、清扫的顺序进行操作；非特殊气候情况下，避免“干扫”；作业时禁止扫刷、吸嘴不落地。作业完毕后应及时到指定场所排放污水和卸清垃圾。</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1.4绿化带、花台、树池杂物清理，果屑箱清掏、外部保洁实行人工与小型机械相结合方式作业。</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2、冲洗除尘</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2.1道路冲洗除尘根据不同道路（区域）等级，制定清洗除尘方案。所有道路（区域）应以冲洗除尘为主，冲洗作业时车辆行驶速度为5-8公里/小时，出水口与地面之间角度调至最佳冲洗位置，压力不小于300kPa，开启警示灯应急灯（大车）、鸣放提示音乐。在22:00-07:00、12:00-15:00（启动应急预案需白天作业时），应停用提示音乐，避免噪音扰民。</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2.2道路冲洗除尘作业应当实行机械冲洗与机械化吸扫和人工辅助清扫相结合的方式，确保冲洗效果。</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2.3道路冲洗除尘实行定人、定车、定时、定标、定责“五定”制度。作业单位应当将道路冲洗除尘班组责任人 、项目经理、作业车辆、驾驶员、辅助人员等信息列入工作方案，明确作业时间、进度、范围、规范和责任。</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2.4每条道路（区域）应有冲洗前的清晰图片（图片须显示作业日期、小时、分钟以及周边明显参照物），冲洗作业过程及冲洗后的效果资料。</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2.5作业单位应当备存作业机具、人员的作业场景图片、有关人员签字记录、作业车辆车牌号和司机、辅助人员签字记录、作业车辆行驶轨迹记录等有关图、表、文字、影像记载。</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3、生活垃圾收运</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3.1生活垃圾收运应采用一级转运（收集点-垃圾转运站-垃圾末端处置）和直收直运（收集点-垃圾末端处置）为主，二级转运为辅（收集点-小型垃圾转运站-大型垃圾转运站-垃圾末端处置）的方式；部分离末端处置场（厂）较近的区（市）县，应采用直运为主、一级转运为辅的方式。垃圾转运站无法落地区域，探索推行定时定点收运方式。</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3.2实施生活垃圾分类投放、分类收集、分类运输和分类处置，鼓励单位和个人参与生活垃圾分类工作。</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3.3生活垃圾分为“可回收物、餐厨垃圾、有害垃圾和其它垃圾”四类，农村散居区域可分为“可回收物、有害垃圾、其他垃圾”三类，采用专用容器套袋收集，分类投放，定人定时分类收集，分类密闭运输。</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4、垃圾容器管理</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4.1果屑箱的内桶应套装专用垃圾袋，清掏时扎口连袋收运，禁止将零散垃圾直接倒入收集车内。</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4.2连袋清掏垃圾后内桶重新套装专用垃圾袋，须将重新套好垃圾袋的内桶复位并关闭箱门，再对箱体及地面进行保洁。</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4.3垃圾桶根据其形状、规格和尺寸，能够套袋的应套装垃圾袋，无法套袋的应将桶内及周边地面垃圾清理干净。</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5、垃圾收集转运站（点）管理</w:t>
      </w:r>
    </w:p>
    <w:p>
      <w:pPr>
        <w:spacing w:line="360" w:lineRule="auto"/>
        <w:ind w:firstLine="480" w:firstLineChars="200"/>
        <w:rPr>
          <w:rFonts w:hint="eastAsia" w:ascii="仿宋" w:hAnsi="仿宋" w:eastAsia="仿宋" w:cs="仿宋"/>
          <w:i w:val="0"/>
          <w:color w:val="auto"/>
          <w:sz w:val="24"/>
          <w:szCs w:val="32"/>
          <w:highlight w:val="none"/>
          <w:lang w:eastAsia="zh-CN"/>
        </w:rPr>
      </w:pPr>
      <w:r>
        <w:rPr>
          <w:rFonts w:hint="eastAsia" w:ascii="仿宋" w:hAnsi="仿宋" w:eastAsia="仿宋" w:cs="仿宋"/>
          <w:bCs/>
          <w:i w:val="0"/>
          <w:color w:val="auto"/>
          <w:sz w:val="24"/>
          <w:szCs w:val="32"/>
          <w:highlight w:val="none"/>
          <w:lang w:eastAsia="zh-CN"/>
        </w:rPr>
        <w:t>5.1站（点）垃圾随到随压（运），并密闭储存，站（点）内无散露积存垃圾。每次压缩流程和转运作业完成后，应对操作场地、压缩箱体、墙面及地面进行清洗、消杀、除臭。农村（涉农）垃圾收集点</w:t>
      </w:r>
      <w:r>
        <w:rPr>
          <w:rFonts w:hint="eastAsia" w:ascii="仿宋" w:hAnsi="仿宋" w:eastAsia="仿宋" w:cs="仿宋"/>
          <w:i w:val="0"/>
          <w:color w:val="auto"/>
          <w:sz w:val="24"/>
          <w:szCs w:val="32"/>
          <w:highlight w:val="none"/>
          <w:lang w:eastAsia="zh-CN"/>
        </w:rPr>
        <w:t>无污水排放设施的，每日使用湿拖布、毛巾清洁地面和立面不少于1次。</w:t>
      </w:r>
    </w:p>
    <w:p>
      <w:pPr>
        <w:pStyle w:val="7"/>
        <w:spacing w:line="360" w:lineRule="auto"/>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6、环卫工人作息房管理</w:t>
      </w:r>
    </w:p>
    <w:p>
      <w:pPr>
        <w:adjustRightInd w:val="0"/>
        <w:snapToGrid w:val="0"/>
        <w:spacing w:line="360" w:lineRule="auto"/>
        <w:ind w:firstLine="480" w:firstLineChars="200"/>
        <w:rPr>
          <w:rFonts w:hint="eastAsia" w:ascii="仿宋" w:hAnsi="仿宋" w:eastAsia="仿宋" w:cs="仿宋"/>
          <w:bCs/>
          <w:i w:val="0"/>
          <w:color w:val="auto"/>
          <w:kern w:val="0"/>
          <w:sz w:val="24"/>
          <w:szCs w:val="32"/>
          <w:highlight w:val="none"/>
          <w:shd w:val="clear" w:color="auto" w:fill="FFFFFF"/>
          <w:lang w:eastAsia="zh-CN"/>
        </w:rPr>
      </w:pPr>
      <w:r>
        <w:rPr>
          <w:rFonts w:hint="eastAsia" w:ascii="仿宋" w:hAnsi="仿宋" w:eastAsia="仿宋" w:cs="仿宋"/>
          <w:bCs/>
          <w:i w:val="0"/>
          <w:color w:val="auto"/>
          <w:kern w:val="0"/>
          <w:sz w:val="24"/>
          <w:szCs w:val="32"/>
          <w:highlight w:val="none"/>
          <w:shd w:val="clear" w:color="auto" w:fill="FFFFFF"/>
          <w:lang w:eastAsia="zh-CN"/>
        </w:rPr>
        <w:t>6.1环卫工作息房应配置必要的防暑、防寒、应急药品、清洁饮水、加热饭菜等设施，并定期进行维护保养，设施、设备使用后应恢复原状。保持房内外清洁卫生，每日清扫保洁一次，每周大扫除一次。</w:t>
      </w:r>
    </w:p>
    <w:p>
      <w:pPr>
        <w:spacing w:line="360" w:lineRule="auto"/>
        <w:ind w:firstLine="480" w:firstLineChars="200"/>
        <w:rPr>
          <w:rFonts w:hint="eastAsia" w:ascii="仿宋" w:hAnsi="仿宋" w:eastAsia="仿宋" w:cs="仿宋"/>
          <w:bCs/>
          <w:i w:val="0"/>
          <w:color w:val="auto"/>
          <w:kern w:val="0"/>
          <w:sz w:val="24"/>
          <w:szCs w:val="32"/>
          <w:highlight w:val="none"/>
          <w:shd w:val="clear" w:color="auto" w:fill="FFFFFF"/>
          <w:lang w:eastAsia="zh-CN"/>
        </w:rPr>
      </w:pPr>
      <w:r>
        <w:rPr>
          <w:rFonts w:hint="eastAsia" w:ascii="仿宋" w:hAnsi="仿宋" w:eastAsia="仿宋" w:cs="仿宋"/>
          <w:bCs/>
          <w:i w:val="0"/>
          <w:color w:val="auto"/>
          <w:kern w:val="0"/>
          <w:sz w:val="24"/>
          <w:szCs w:val="32"/>
          <w:highlight w:val="none"/>
          <w:shd w:val="clear" w:color="auto" w:fill="FFFFFF"/>
          <w:lang w:eastAsia="zh-CN"/>
        </w:rPr>
        <w:t>6.2开放时注意通风、防潮，晚关闭时注意关闭所有用电设施电源，并关闭门窗。要定期对电器、电路进行必要的检测，排除隐患，确保安全。</w:t>
      </w:r>
    </w:p>
    <w:p>
      <w:pPr>
        <w:pStyle w:val="7"/>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7、公厕管护服务</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7.1提供厕所内外环境卫生的维护。</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7.2提供厕纸、洗手液、作业工具和劳保用品等耗材供应。</w:t>
      </w:r>
    </w:p>
    <w:p>
      <w:pPr>
        <w:spacing w:line="360" w:lineRule="auto"/>
        <w:ind w:firstLine="480" w:firstLineChars="200"/>
        <w:rPr>
          <w:rFonts w:hint="eastAsia" w:ascii="仿宋" w:hAnsi="仿宋" w:eastAsia="仿宋" w:cs="仿宋"/>
          <w:i w:val="0"/>
          <w:color w:val="auto"/>
          <w:sz w:val="24"/>
          <w:szCs w:val="24"/>
          <w:highlight w:val="none"/>
          <w:lang w:eastAsia="zh-CN" w:bidi="ar-SA"/>
        </w:rPr>
      </w:pPr>
      <w:r>
        <w:rPr>
          <w:rFonts w:hint="eastAsia" w:ascii="仿宋" w:hAnsi="仿宋" w:eastAsia="仿宋" w:cs="仿宋"/>
          <w:i w:val="0"/>
          <w:color w:val="auto"/>
          <w:sz w:val="24"/>
          <w:szCs w:val="24"/>
          <w:highlight w:val="none"/>
          <w:lang w:eastAsia="zh-CN" w:bidi="ar-SA"/>
        </w:rPr>
        <w:t>7.3提供公厕小型维护服务，公厕内门锁、水龙头、冲水箱、灯具等内部设施设备维修，公厕导向牌标志牌管理、厕位清掏 等小型维护，按照每座公厕每月不高于300元定性为小型维护范畴。</w:t>
      </w:r>
    </w:p>
    <w:p>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i w:val="0"/>
          <w:color w:val="auto"/>
          <w:sz w:val="24"/>
          <w:szCs w:val="24"/>
          <w:highlight w:val="none"/>
          <w:lang w:val="en-US" w:eastAsia="zh-CN" w:bidi="ar-SA"/>
        </w:rPr>
        <w:t>7.4 提供中型维修服务，除公厕整体提档升级改造和小型维修维护以外的其他维修维护，蹲位隔板更换、部分墙面粉刷、屋面防水、防盗门维修及更换、墙地砖更换、望顶维修及更换、大小便器更换、洗手台面维护、入口及无障碍通道优化、环卫工人休息室维修维护和其他设施设备新增等，通过派件方式进行处置。</w:t>
      </w:r>
    </w:p>
    <w:p>
      <w:pPr>
        <w:pStyle w:val="13"/>
        <w:rPr>
          <w:rFonts w:hint="eastAsia" w:ascii="仿宋" w:hAnsi="仿宋" w:eastAsia="仿宋" w:cs="仿宋"/>
          <w:color w:val="auto"/>
          <w:highlight w:val="none"/>
          <w:lang w:eastAsia="zh-CN"/>
        </w:rPr>
      </w:pPr>
    </w:p>
    <w:p>
      <w:pPr>
        <w:pStyle w:val="4"/>
        <w:spacing w:line="360" w:lineRule="auto"/>
        <w:jc w:val="left"/>
        <w:rPr>
          <w:rFonts w:hint="eastAsia" w:ascii="仿宋" w:hAnsi="仿宋" w:eastAsia="仿宋" w:cs="仿宋"/>
          <w:i w:val="0"/>
          <w:color w:val="auto"/>
          <w:sz w:val="24"/>
          <w:highlight w:val="none"/>
          <w:lang w:eastAsia="zh-CN"/>
        </w:rPr>
      </w:pPr>
      <w:bookmarkStart w:id="679" w:name="_Toc26239"/>
      <w:r>
        <w:rPr>
          <w:rFonts w:hint="eastAsia" w:ascii="仿宋" w:hAnsi="仿宋" w:eastAsia="仿宋" w:cs="仿宋"/>
          <w:i w:val="0"/>
          <w:color w:val="auto"/>
          <w:sz w:val="24"/>
          <w:highlight w:val="none"/>
          <w:lang w:eastAsia="zh-CN"/>
        </w:rPr>
        <w:t>四、项目实施费用组成及支付方式</w:t>
      </w:r>
      <w:bookmarkEnd w:id="677"/>
      <w:bookmarkEnd w:id="678"/>
      <w:bookmarkEnd w:id="679"/>
    </w:p>
    <w:p>
      <w:pPr>
        <w:spacing w:line="360" w:lineRule="auto"/>
        <w:ind w:firstLine="480" w:firstLineChars="200"/>
        <w:contextualSpacing/>
        <w:rPr>
          <w:rFonts w:hint="eastAsia" w:ascii="仿宋" w:hAnsi="仿宋" w:eastAsia="仿宋" w:cs="仿宋"/>
          <w:i w:val="0"/>
          <w:color w:val="auto"/>
          <w:sz w:val="24"/>
          <w:szCs w:val="28"/>
          <w:highlight w:val="none"/>
          <w:lang w:eastAsia="zh-CN"/>
        </w:rPr>
      </w:pPr>
      <w:bookmarkStart w:id="680" w:name="_Toc89423892"/>
      <w:bookmarkStart w:id="681" w:name="_Toc20240"/>
      <w:bookmarkStart w:id="682" w:name="_Toc85720703"/>
      <w:r>
        <w:rPr>
          <w:rFonts w:hint="eastAsia" w:ascii="仿宋" w:hAnsi="仿宋" w:eastAsia="仿宋" w:cs="仿宋"/>
          <w:i w:val="0"/>
          <w:color w:val="auto"/>
          <w:sz w:val="24"/>
          <w:szCs w:val="28"/>
          <w:highlight w:val="none"/>
          <w:lang w:eastAsia="zh-CN"/>
        </w:rPr>
        <w:t>（</w:t>
      </w:r>
      <w:r>
        <w:rPr>
          <w:rFonts w:hint="eastAsia" w:ascii="仿宋" w:hAnsi="仿宋" w:eastAsia="仿宋" w:cs="仿宋"/>
          <w:i w:val="0"/>
          <w:color w:val="auto"/>
          <w:sz w:val="24"/>
          <w:szCs w:val="28"/>
          <w:highlight w:val="none"/>
          <w:lang w:val="en-US" w:eastAsia="zh-CN"/>
        </w:rPr>
        <w:t>1</w:t>
      </w:r>
      <w:r>
        <w:rPr>
          <w:rFonts w:hint="eastAsia" w:ascii="仿宋" w:hAnsi="仿宋" w:eastAsia="仿宋" w:cs="仿宋"/>
          <w:i w:val="0"/>
          <w:color w:val="auto"/>
          <w:sz w:val="24"/>
          <w:szCs w:val="28"/>
          <w:highlight w:val="none"/>
          <w:lang w:eastAsia="zh-CN"/>
        </w:rPr>
        <w:t>）</w:t>
      </w:r>
      <w:r>
        <w:rPr>
          <w:rFonts w:hint="eastAsia" w:ascii="仿宋" w:hAnsi="仿宋" w:eastAsia="仿宋" w:cs="仿宋"/>
          <w:i w:val="0"/>
          <w:color w:val="auto"/>
          <w:sz w:val="24"/>
          <w:szCs w:val="28"/>
          <w:highlight w:val="none"/>
          <w:lang w:val="en-US" w:eastAsia="zh-CN"/>
        </w:rPr>
        <w:t>乙方</w:t>
      </w:r>
      <w:r>
        <w:rPr>
          <w:rFonts w:hint="eastAsia" w:ascii="仿宋" w:hAnsi="仿宋" w:eastAsia="仿宋" w:cs="仿宋"/>
          <w:i w:val="0"/>
          <w:color w:val="auto"/>
          <w:sz w:val="24"/>
          <w:szCs w:val="28"/>
          <w:highlight w:val="none"/>
          <w:lang w:eastAsia="zh-CN"/>
        </w:rPr>
        <w:t>出具符合</w:t>
      </w:r>
      <w:r>
        <w:rPr>
          <w:rFonts w:hint="eastAsia" w:ascii="仿宋" w:hAnsi="仿宋" w:eastAsia="仿宋" w:cs="仿宋"/>
          <w:i w:val="0"/>
          <w:color w:val="auto"/>
          <w:sz w:val="24"/>
          <w:szCs w:val="28"/>
          <w:highlight w:val="none"/>
          <w:lang w:val="en-US" w:eastAsia="zh-CN"/>
        </w:rPr>
        <w:t>甲方</w:t>
      </w:r>
      <w:r>
        <w:rPr>
          <w:rFonts w:hint="eastAsia" w:ascii="仿宋" w:hAnsi="仿宋" w:eastAsia="仿宋" w:cs="仿宋"/>
          <w:i w:val="0"/>
          <w:color w:val="auto"/>
          <w:sz w:val="24"/>
          <w:szCs w:val="28"/>
          <w:highlight w:val="none"/>
          <w:lang w:eastAsia="zh-CN"/>
        </w:rPr>
        <w:t>要求的增值税普通发票，</w:t>
      </w:r>
      <w:r>
        <w:rPr>
          <w:rFonts w:hint="eastAsia" w:ascii="仿宋" w:hAnsi="仿宋" w:eastAsia="仿宋" w:cs="仿宋"/>
          <w:i w:val="0"/>
          <w:color w:val="auto"/>
          <w:sz w:val="24"/>
          <w:szCs w:val="28"/>
          <w:highlight w:val="none"/>
          <w:lang w:val="en-US" w:eastAsia="zh-CN"/>
        </w:rPr>
        <w:t>甲方</w:t>
      </w:r>
      <w:r>
        <w:rPr>
          <w:rFonts w:hint="eastAsia" w:ascii="仿宋" w:hAnsi="仿宋" w:eastAsia="仿宋" w:cs="仿宋"/>
          <w:i w:val="0"/>
          <w:color w:val="auto"/>
          <w:sz w:val="24"/>
          <w:szCs w:val="28"/>
          <w:highlight w:val="none"/>
          <w:lang w:eastAsia="zh-CN"/>
        </w:rPr>
        <w:t>审核合格后按月支付。合同签订初验通过后，</w:t>
      </w:r>
      <w:r>
        <w:rPr>
          <w:rFonts w:hint="eastAsia" w:ascii="仿宋" w:hAnsi="仿宋" w:eastAsia="仿宋" w:cs="仿宋"/>
          <w:i w:val="0"/>
          <w:color w:val="auto"/>
          <w:sz w:val="24"/>
          <w:szCs w:val="28"/>
          <w:highlight w:val="none"/>
          <w:lang w:val="en-US" w:eastAsia="zh-CN"/>
        </w:rPr>
        <w:t>甲方</w:t>
      </w:r>
      <w:r>
        <w:rPr>
          <w:rFonts w:hint="eastAsia" w:ascii="仿宋" w:hAnsi="仿宋" w:eastAsia="仿宋" w:cs="仿宋"/>
          <w:i w:val="0"/>
          <w:color w:val="auto"/>
          <w:sz w:val="24"/>
          <w:szCs w:val="28"/>
          <w:highlight w:val="none"/>
          <w:lang w:eastAsia="zh-CN"/>
        </w:rPr>
        <w:t>在次月的月初（10日内）向</w:t>
      </w:r>
      <w:r>
        <w:rPr>
          <w:rFonts w:hint="eastAsia" w:ascii="仿宋" w:hAnsi="仿宋" w:eastAsia="仿宋" w:cs="仿宋"/>
          <w:i w:val="0"/>
          <w:color w:val="auto"/>
          <w:sz w:val="24"/>
          <w:szCs w:val="28"/>
          <w:highlight w:val="none"/>
          <w:lang w:val="en-US" w:eastAsia="zh-CN"/>
        </w:rPr>
        <w:t>乙方</w:t>
      </w:r>
      <w:r>
        <w:rPr>
          <w:rFonts w:hint="eastAsia" w:ascii="仿宋" w:hAnsi="仿宋" w:eastAsia="仿宋" w:cs="仿宋"/>
          <w:i w:val="0"/>
          <w:color w:val="auto"/>
          <w:sz w:val="24"/>
          <w:szCs w:val="28"/>
          <w:highlight w:val="none"/>
          <w:lang w:eastAsia="zh-CN"/>
        </w:rPr>
        <w:t>支付上月服务费用。月服务费用计算方式为：当月实际支付金额=</w:t>
      </w:r>
      <w:r>
        <w:rPr>
          <w:rFonts w:hint="eastAsia" w:ascii="仿宋" w:hAnsi="仿宋" w:eastAsia="仿宋" w:cs="仿宋"/>
          <w:i w:val="0"/>
          <w:color w:val="auto"/>
          <w:sz w:val="24"/>
          <w:szCs w:val="28"/>
          <w:highlight w:val="none"/>
          <w:lang w:val="en-US" w:eastAsia="zh-CN"/>
        </w:rPr>
        <w:t>月</w:t>
      </w:r>
      <w:r>
        <w:rPr>
          <w:rFonts w:hint="eastAsia" w:ascii="仿宋" w:hAnsi="仿宋" w:eastAsia="仿宋" w:cs="仿宋"/>
          <w:i w:val="0"/>
          <w:color w:val="auto"/>
          <w:sz w:val="24"/>
          <w:szCs w:val="28"/>
          <w:highlight w:val="none"/>
          <w:lang w:eastAsia="zh-CN"/>
        </w:rPr>
        <w:t>清扫保洁</w:t>
      </w:r>
      <w:r>
        <w:rPr>
          <w:rFonts w:hint="eastAsia" w:ascii="仿宋" w:hAnsi="仿宋" w:eastAsia="仿宋" w:cs="仿宋"/>
          <w:i w:val="0"/>
          <w:color w:val="auto"/>
          <w:sz w:val="24"/>
          <w:szCs w:val="28"/>
          <w:highlight w:val="none"/>
          <w:lang w:val="en-US" w:eastAsia="zh-CN"/>
        </w:rPr>
        <w:t>中标价+月</w:t>
      </w:r>
      <w:r>
        <w:rPr>
          <w:rFonts w:hint="eastAsia" w:ascii="仿宋" w:hAnsi="仿宋" w:eastAsia="仿宋" w:cs="仿宋"/>
          <w:i w:val="0"/>
          <w:color w:val="auto"/>
          <w:sz w:val="24"/>
          <w:szCs w:val="24"/>
          <w:highlight w:val="none"/>
          <w:lang w:eastAsia="zh-CN"/>
        </w:rPr>
        <w:t>生活垃圾收运</w:t>
      </w:r>
      <w:r>
        <w:rPr>
          <w:rFonts w:hint="eastAsia" w:ascii="仿宋" w:hAnsi="仿宋" w:eastAsia="仿宋" w:cs="仿宋"/>
          <w:i w:val="0"/>
          <w:color w:val="auto"/>
          <w:sz w:val="24"/>
          <w:szCs w:val="24"/>
          <w:highlight w:val="none"/>
          <w:lang w:val="en-US" w:eastAsia="zh-CN"/>
        </w:rPr>
        <w:t>中标价</w:t>
      </w:r>
      <w:r>
        <w:rPr>
          <w:rFonts w:hint="eastAsia" w:ascii="仿宋" w:hAnsi="仿宋" w:eastAsia="仿宋" w:cs="仿宋"/>
          <w:i w:val="0"/>
          <w:color w:val="auto"/>
          <w:sz w:val="24"/>
          <w:szCs w:val="24"/>
          <w:highlight w:val="none"/>
          <w:lang w:eastAsia="zh-CN"/>
        </w:rPr>
        <w:t>×月收运吨数</w:t>
      </w:r>
      <w:r>
        <w:rPr>
          <w:rFonts w:hint="eastAsia" w:ascii="仿宋" w:hAnsi="仿宋" w:eastAsia="仿宋" w:cs="仿宋"/>
          <w:i w:val="0"/>
          <w:color w:val="auto"/>
          <w:sz w:val="24"/>
          <w:szCs w:val="24"/>
          <w:highlight w:val="none"/>
          <w:lang w:val="en-US" w:eastAsia="zh-CN"/>
        </w:rPr>
        <w:t>+</w:t>
      </w:r>
      <w:r>
        <w:rPr>
          <w:rFonts w:hint="eastAsia" w:ascii="仿宋" w:hAnsi="仿宋" w:eastAsia="仿宋" w:cs="仿宋"/>
          <w:i w:val="0"/>
          <w:color w:val="auto"/>
          <w:sz w:val="24"/>
          <w:szCs w:val="28"/>
          <w:highlight w:val="none"/>
          <w:lang w:val="en-US" w:eastAsia="zh-CN"/>
        </w:rPr>
        <w:t>月</w:t>
      </w:r>
      <w:r>
        <w:rPr>
          <w:rFonts w:hint="eastAsia" w:ascii="仿宋" w:hAnsi="仿宋" w:eastAsia="仿宋" w:cs="仿宋"/>
          <w:i w:val="0"/>
          <w:color w:val="auto"/>
          <w:sz w:val="24"/>
          <w:szCs w:val="24"/>
          <w:highlight w:val="none"/>
          <w:lang w:eastAsia="zh-CN"/>
        </w:rPr>
        <w:t>地埋式收集站管理</w:t>
      </w:r>
      <w:r>
        <w:rPr>
          <w:rFonts w:hint="eastAsia" w:ascii="仿宋" w:hAnsi="仿宋" w:eastAsia="仿宋" w:cs="仿宋"/>
          <w:i w:val="0"/>
          <w:color w:val="auto"/>
          <w:sz w:val="24"/>
          <w:szCs w:val="24"/>
          <w:highlight w:val="none"/>
          <w:lang w:val="en-US" w:eastAsia="zh-CN"/>
        </w:rPr>
        <w:t>中标价</w:t>
      </w:r>
      <w:r>
        <w:rPr>
          <w:rFonts w:hint="eastAsia" w:ascii="仿宋" w:hAnsi="仿宋" w:eastAsia="仿宋" w:cs="仿宋"/>
          <w:i w:val="0"/>
          <w:color w:val="auto"/>
          <w:sz w:val="24"/>
          <w:szCs w:val="24"/>
          <w:highlight w:val="none"/>
          <w:lang w:eastAsia="zh-CN"/>
        </w:rPr>
        <w:t>×</w:t>
      </w:r>
      <w:r>
        <w:rPr>
          <w:rFonts w:hint="eastAsia" w:ascii="仿宋" w:hAnsi="仿宋" w:eastAsia="仿宋" w:cs="仿宋"/>
          <w:i w:val="0"/>
          <w:color w:val="auto"/>
          <w:sz w:val="24"/>
          <w:szCs w:val="24"/>
          <w:highlight w:val="none"/>
          <w:lang w:val="en-US" w:eastAsia="zh-CN"/>
        </w:rPr>
        <w:t>月管理数量+</w:t>
      </w:r>
      <w:r>
        <w:rPr>
          <w:rFonts w:hint="eastAsia" w:ascii="仿宋" w:hAnsi="仿宋" w:eastAsia="仿宋" w:cs="仿宋"/>
          <w:i w:val="0"/>
          <w:color w:val="auto"/>
          <w:sz w:val="24"/>
          <w:szCs w:val="28"/>
          <w:highlight w:val="none"/>
          <w:lang w:val="en-US" w:eastAsia="zh-CN"/>
        </w:rPr>
        <w:t>月</w:t>
      </w:r>
      <w:r>
        <w:rPr>
          <w:rFonts w:hint="eastAsia" w:ascii="仿宋" w:hAnsi="仿宋" w:eastAsia="仿宋" w:cs="仿宋"/>
          <w:i w:val="0"/>
          <w:color w:val="auto"/>
          <w:sz w:val="24"/>
          <w:szCs w:val="24"/>
          <w:highlight w:val="none"/>
          <w:lang w:eastAsia="zh-CN"/>
        </w:rPr>
        <w:t>公厕管护</w:t>
      </w:r>
      <w:r>
        <w:rPr>
          <w:rFonts w:hint="eastAsia" w:ascii="仿宋" w:hAnsi="仿宋" w:eastAsia="仿宋" w:cs="仿宋"/>
          <w:i w:val="0"/>
          <w:color w:val="auto"/>
          <w:sz w:val="24"/>
          <w:szCs w:val="24"/>
          <w:highlight w:val="none"/>
          <w:lang w:val="en-US" w:eastAsia="zh-CN"/>
        </w:rPr>
        <w:t>中标价</w:t>
      </w:r>
      <w:r>
        <w:rPr>
          <w:rFonts w:hint="eastAsia" w:ascii="仿宋" w:hAnsi="仿宋" w:eastAsia="仿宋" w:cs="仿宋"/>
          <w:i w:val="0"/>
          <w:color w:val="auto"/>
          <w:sz w:val="24"/>
          <w:szCs w:val="24"/>
          <w:highlight w:val="none"/>
          <w:lang w:eastAsia="zh-CN"/>
        </w:rPr>
        <w:t>×</w:t>
      </w:r>
      <w:r>
        <w:rPr>
          <w:rFonts w:hint="eastAsia" w:ascii="仿宋" w:hAnsi="仿宋" w:eastAsia="仿宋" w:cs="仿宋"/>
          <w:i w:val="0"/>
          <w:color w:val="auto"/>
          <w:sz w:val="24"/>
          <w:szCs w:val="24"/>
          <w:highlight w:val="none"/>
          <w:lang w:val="en-US" w:eastAsia="zh-CN"/>
        </w:rPr>
        <w:t>月管护数量</w:t>
      </w:r>
      <w:r>
        <w:rPr>
          <w:rFonts w:hint="eastAsia" w:ascii="仿宋" w:hAnsi="仿宋" w:eastAsia="仿宋" w:cs="仿宋"/>
          <w:i w:val="0"/>
          <w:color w:val="auto"/>
          <w:sz w:val="24"/>
          <w:szCs w:val="28"/>
          <w:highlight w:val="none"/>
          <w:lang w:eastAsia="zh-CN"/>
        </w:rPr>
        <w:t>-（1000元/分×当月扣分总数）</w:t>
      </w:r>
      <w:r>
        <w:rPr>
          <w:rFonts w:hint="eastAsia" w:ascii="仿宋" w:hAnsi="仿宋" w:eastAsia="仿宋" w:cs="仿宋"/>
          <w:i w:val="0"/>
          <w:color w:val="auto"/>
          <w:sz w:val="24"/>
          <w:szCs w:val="28"/>
          <w:highlight w:val="none"/>
          <w:lang w:val="en-US" w:eastAsia="zh-CN"/>
        </w:rPr>
        <w:t>+考核加分款额</w:t>
      </w:r>
      <w:r>
        <w:rPr>
          <w:rFonts w:hint="eastAsia" w:ascii="仿宋" w:hAnsi="仿宋" w:eastAsia="仿宋" w:cs="仿宋"/>
          <w:i w:val="0"/>
          <w:color w:val="auto"/>
          <w:sz w:val="24"/>
          <w:szCs w:val="28"/>
          <w:highlight w:val="none"/>
          <w:lang w:eastAsia="zh-CN"/>
        </w:rPr>
        <w:t>。</w:t>
      </w:r>
    </w:p>
    <w:p>
      <w:pPr>
        <w:pStyle w:val="13"/>
        <w:ind w:firstLine="480" w:firstLineChars="200"/>
        <w:rPr>
          <w:rFonts w:hint="eastAsia"/>
          <w:color w:val="auto"/>
          <w:lang w:eastAsia="zh-CN"/>
        </w:rPr>
      </w:pPr>
      <w:r>
        <w:rPr>
          <w:rFonts w:hint="eastAsia" w:ascii="仿宋" w:hAnsi="仿宋" w:eastAsia="仿宋" w:cs="仿宋"/>
          <w:i w:val="0"/>
          <w:color w:val="auto"/>
          <w:sz w:val="24"/>
          <w:szCs w:val="28"/>
          <w:highlight w:val="none"/>
          <w:lang w:eastAsia="zh-CN"/>
        </w:rPr>
        <w:t>（</w:t>
      </w:r>
      <w:r>
        <w:rPr>
          <w:rFonts w:hint="eastAsia" w:ascii="仿宋" w:hAnsi="仿宋" w:eastAsia="仿宋" w:cs="仿宋"/>
          <w:i w:val="0"/>
          <w:color w:val="auto"/>
          <w:sz w:val="24"/>
          <w:szCs w:val="28"/>
          <w:highlight w:val="none"/>
          <w:lang w:val="en-US" w:eastAsia="zh-CN"/>
        </w:rPr>
        <w:t>2</w:t>
      </w:r>
      <w:r>
        <w:rPr>
          <w:rFonts w:hint="eastAsia" w:ascii="仿宋" w:hAnsi="仿宋" w:eastAsia="仿宋" w:cs="仿宋"/>
          <w:i w:val="0"/>
          <w:color w:val="auto"/>
          <w:sz w:val="24"/>
          <w:szCs w:val="28"/>
          <w:highlight w:val="none"/>
          <w:lang w:eastAsia="zh-CN"/>
        </w:rPr>
        <w:t>）具体支付细节由</w:t>
      </w:r>
      <w:r>
        <w:rPr>
          <w:rFonts w:hint="eastAsia" w:ascii="仿宋" w:hAnsi="仿宋" w:eastAsia="仿宋" w:cs="仿宋"/>
          <w:i w:val="0"/>
          <w:color w:val="auto"/>
          <w:sz w:val="24"/>
          <w:szCs w:val="28"/>
          <w:highlight w:val="none"/>
          <w:lang w:val="en-US" w:eastAsia="zh-CN"/>
        </w:rPr>
        <w:t>甲乙</w:t>
      </w:r>
      <w:r>
        <w:rPr>
          <w:rFonts w:hint="eastAsia" w:ascii="仿宋" w:hAnsi="仿宋" w:eastAsia="仿宋" w:cs="仿宋"/>
          <w:i w:val="0"/>
          <w:color w:val="auto"/>
          <w:sz w:val="24"/>
          <w:szCs w:val="28"/>
          <w:highlight w:val="none"/>
          <w:lang w:eastAsia="zh-CN"/>
        </w:rPr>
        <w:t>双方在合同中约定。</w:t>
      </w:r>
    </w:p>
    <w:p>
      <w:pPr>
        <w:pStyle w:val="4"/>
        <w:spacing w:line="360" w:lineRule="auto"/>
        <w:jc w:val="left"/>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五、验收方式</w:t>
      </w:r>
      <w:bookmarkEnd w:id="680"/>
      <w:bookmarkEnd w:id="681"/>
      <w:bookmarkEnd w:id="682"/>
    </w:p>
    <w:p>
      <w:pPr>
        <w:spacing w:line="360" w:lineRule="auto"/>
        <w:ind w:firstLine="480" w:firstLineChars="200"/>
        <w:contextualSpacing/>
        <w:rPr>
          <w:rFonts w:hint="eastAsia" w:ascii="仿宋" w:hAnsi="仿宋" w:eastAsia="仿宋" w:cs="仿宋"/>
          <w:i w:val="0"/>
          <w:color w:val="auto"/>
          <w:sz w:val="24"/>
          <w:szCs w:val="28"/>
          <w:highlight w:val="none"/>
          <w:lang w:eastAsia="zh-CN"/>
        </w:rPr>
      </w:pPr>
      <w:bookmarkStart w:id="683" w:name="_Toc85720704"/>
      <w:bookmarkStart w:id="684" w:name="_Toc89423893"/>
      <w:r>
        <w:rPr>
          <w:rFonts w:hint="eastAsia" w:ascii="仿宋" w:hAnsi="仿宋" w:eastAsia="仿宋" w:cs="仿宋"/>
          <w:i w:val="0"/>
          <w:color w:val="auto"/>
          <w:sz w:val="24"/>
          <w:highlight w:val="none"/>
          <w:lang w:eastAsia="zh-CN"/>
        </w:rPr>
        <w:t>由甲方组织，验收分为3次，按照初验、复验、终验三个环节进行验收。乙方与甲方应严格按照《财政部关于进一步加强政府采购需求和履约验收管理的指导意见》（财库〔2016〕205号）的要求进行验收。</w:t>
      </w:r>
    </w:p>
    <w:p>
      <w:pPr>
        <w:spacing w:line="360" w:lineRule="auto"/>
        <w:ind w:firstLine="480"/>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初验：乙方应在双方签订合同后7个工作日内，将所投入服务人员及服务机具集合在甲方指定的地点进行定岗、定编、定责初验，初验合格后才能按合同内容履行服务。</w:t>
      </w:r>
    </w:p>
    <w:p>
      <w:pPr>
        <w:spacing w:line="360" w:lineRule="auto"/>
        <w:ind w:firstLine="480"/>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复验：甲方根据本项目考核标准对乙方进行每月服务达标考核，考核合格后甲方在乙方提供的考核合格表上签字盖章作为终验的佐证材料。</w:t>
      </w:r>
    </w:p>
    <w:p>
      <w:pPr>
        <w:spacing w:line="360" w:lineRule="auto"/>
        <w:ind w:firstLine="480"/>
        <w:rPr>
          <w:rFonts w:hint="eastAsia" w:ascii="仿宋" w:hAnsi="仿宋" w:eastAsia="仿宋" w:cs="仿宋"/>
          <w:i w:val="0"/>
          <w:color w:val="auto"/>
          <w:sz w:val="24"/>
          <w:highlight w:val="none"/>
          <w:lang w:eastAsia="zh-CN"/>
        </w:rPr>
      </w:pPr>
      <w:r>
        <w:rPr>
          <w:rFonts w:hint="eastAsia" w:ascii="仿宋" w:hAnsi="仿宋" w:eastAsia="仿宋" w:cs="仿宋"/>
          <w:i w:val="0"/>
          <w:color w:val="auto"/>
          <w:sz w:val="24"/>
          <w:highlight w:val="none"/>
          <w:lang w:eastAsia="zh-CN"/>
        </w:rPr>
        <w:t>终验：合同到期前15日内乙方向甲方提出终验申请，甲方根据乙方每月的考核合格表及终验考核所需材料组织验收。</w:t>
      </w:r>
    </w:p>
    <w:p>
      <w:pPr>
        <w:pStyle w:val="4"/>
        <w:spacing w:line="360" w:lineRule="auto"/>
        <w:jc w:val="left"/>
        <w:rPr>
          <w:rFonts w:hint="eastAsia" w:ascii="仿宋" w:hAnsi="仿宋" w:eastAsia="仿宋" w:cs="仿宋"/>
          <w:i w:val="0"/>
          <w:color w:val="auto"/>
          <w:sz w:val="24"/>
          <w:highlight w:val="none"/>
          <w:lang w:eastAsia="zh-CN"/>
        </w:rPr>
      </w:pPr>
      <w:bookmarkStart w:id="685" w:name="_Toc6290"/>
      <w:r>
        <w:rPr>
          <w:rFonts w:hint="eastAsia" w:ascii="仿宋" w:hAnsi="仿宋" w:eastAsia="仿宋" w:cs="仿宋"/>
          <w:i w:val="0"/>
          <w:color w:val="auto"/>
          <w:sz w:val="24"/>
          <w:highlight w:val="none"/>
          <w:lang w:eastAsia="zh-CN"/>
        </w:rPr>
        <w:t>六、知识产权</w:t>
      </w:r>
      <w:bookmarkEnd w:id="683"/>
      <w:bookmarkEnd w:id="684"/>
      <w:bookmarkEnd w:id="685"/>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1、乙方应保证所提供的服务或其任何一部分均不会侵犯任何第三方的专利权、商标权或著作权。</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2、无产权瑕疵条款</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3、乙方保证所提供的服务的所有权完全属于乙方且无任何抵押、查封等产权瑕疵。如有产权瑕疵的，视为乙方违约。乙方应负担由此而产生的一切损失。</w:t>
      </w:r>
    </w:p>
    <w:p>
      <w:pPr>
        <w:pStyle w:val="4"/>
        <w:spacing w:line="360" w:lineRule="auto"/>
        <w:jc w:val="left"/>
        <w:rPr>
          <w:rFonts w:hint="eastAsia" w:ascii="仿宋" w:hAnsi="仿宋" w:eastAsia="仿宋" w:cs="仿宋"/>
          <w:i w:val="0"/>
          <w:color w:val="auto"/>
          <w:sz w:val="24"/>
          <w:highlight w:val="none"/>
          <w:lang w:eastAsia="zh-CN"/>
        </w:rPr>
      </w:pPr>
      <w:bookmarkStart w:id="686" w:name="_Toc25373"/>
      <w:bookmarkStart w:id="687" w:name="_Toc89423894"/>
      <w:bookmarkStart w:id="688" w:name="_Toc85720705"/>
      <w:r>
        <w:rPr>
          <w:rFonts w:hint="eastAsia" w:ascii="仿宋" w:hAnsi="仿宋" w:eastAsia="仿宋" w:cs="仿宋"/>
          <w:i w:val="0"/>
          <w:color w:val="auto"/>
          <w:sz w:val="24"/>
          <w:highlight w:val="none"/>
          <w:lang w:eastAsia="zh-CN"/>
        </w:rPr>
        <w:t>七、甲方的权利和义务</w:t>
      </w:r>
      <w:bookmarkEnd w:id="686"/>
      <w:bookmarkEnd w:id="687"/>
      <w:bookmarkEnd w:id="688"/>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2、甲方有权依据双方签订的考评办法对乙方提供的服务进行定期考评。当考评结果未达到标准时，有权依据考评办法约定的数额扣除履约保证金。</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3、负责检查监督乙方管理工作的实施及制度的执行情况。</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4、根据本合同规定，按时向乙方支付应付服务费用。</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5、国家法律、法规所规定由甲方承担的其它责任。</w:t>
      </w:r>
    </w:p>
    <w:p>
      <w:pPr>
        <w:pStyle w:val="4"/>
        <w:spacing w:line="360" w:lineRule="auto"/>
        <w:jc w:val="left"/>
        <w:rPr>
          <w:rFonts w:hint="eastAsia" w:ascii="仿宋" w:hAnsi="仿宋" w:eastAsia="仿宋" w:cs="仿宋"/>
          <w:i w:val="0"/>
          <w:color w:val="auto"/>
          <w:sz w:val="24"/>
          <w:highlight w:val="none"/>
          <w:lang w:eastAsia="zh-CN"/>
        </w:rPr>
      </w:pPr>
      <w:bookmarkStart w:id="689" w:name="_Toc15414"/>
      <w:bookmarkStart w:id="690" w:name="_Toc89423895"/>
      <w:bookmarkStart w:id="691" w:name="_Toc85720706"/>
      <w:r>
        <w:rPr>
          <w:rFonts w:hint="eastAsia" w:ascii="仿宋" w:hAnsi="仿宋" w:eastAsia="仿宋" w:cs="仿宋"/>
          <w:i w:val="0"/>
          <w:color w:val="auto"/>
          <w:sz w:val="24"/>
          <w:highlight w:val="none"/>
          <w:lang w:eastAsia="zh-CN"/>
        </w:rPr>
        <w:t>八、乙方的权利和义务</w:t>
      </w:r>
      <w:bookmarkEnd w:id="689"/>
      <w:bookmarkEnd w:id="690"/>
      <w:bookmarkEnd w:id="691"/>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1、对本合同规定的委托服务范围内的项目享有管理权及服务义务。</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2、根据本合同的规定向甲方收取相关服务费用，并有权在本项目管理范围内管理及合理使用。</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3、及时向甲方通告本项目服务范围内有关服务的重大事项，及时配合处理投诉。</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4、接受项目行业管理部门及政府有关部门的指导，接受甲方的监督。</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5、国家法律、法规所规定由乙方承担的其它责任。</w:t>
      </w:r>
    </w:p>
    <w:p>
      <w:pPr>
        <w:pStyle w:val="4"/>
        <w:spacing w:line="360" w:lineRule="auto"/>
        <w:jc w:val="left"/>
        <w:rPr>
          <w:rFonts w:hint="eastAsia" w:ascii="仿宋" w:hAnsi="仿宋" w:eastAsia="仿宋" w:cs="仿宋"/>
          <w:i w:val="0"/>
          <w:color w:val="auto"/>
          <w:sz w:val="24"/>
          <w:highlight w:val="none"/>
          <w:lang w:eastAsia="zh-CN"/>
        </w:rPr>
      </w:pPr>
      <w:bookmarkStart w:id="692" w:name="_Toc15604"/>
      <w:bookmarkStart w:id="693" w:name="_Toc89423896"/>
      <w:bookmarkStart w:id="694" w:name="_Toc85720707"/>
      <w:r>
        <w:rPr>
          <w:rFonts w:hint="eastAsia" w:ascii="仿宋" w:hAnsi="仿宋" w:eastAsia="仿宋" w:cs="仿宋"/>
          <w:i w:val="0"/>
          <w:color w:val="auto"/>
          <w:sz w:val="24"/>
          <w:highlight w:val="none"/>
          <w:lang w:eastAsia="zh-CN"/>
        </w:rPr>
        <w:t>九、违约责任</w:t>
      </w:r>
      <w:bookmarkEnd w:id="692"/>
      <w:bookmarkEnd w:id="693"/>
      <w:bookmarkEnd w:id="694"/>
    </w:p>
    <w:p>
      <w:pPr>
        <w:spacing w:line="360" w:lineRule="auto"/>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1、甲乙双方必须遵守本合同并执行合同中的各项规定，保证本合同的正常履行。</w:t>
      </w:r>
    </w:p>
    <w:p>
      <w:pPr>
        <w:spacing w:line="360" w:lineRule="auto"/>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4"/>
        <w:spacing w:line="360" w:lineRule="auto"/>
        <w:jc w:val="left"/>
        <w:rPr>
          <w:rFonts w:hint="eastAsia" w:ascii="仿宋" w:hAnsi="仿宋" w:eastAsia="仿宋" w:cs="仿宋"/>
          <w:i w:val="0"/>
          <w:color w:val="auto"/>
          <w:sz w:val="24"/>
          <w:highlight w:val="none"/>
          <w:lang w:eastAsia="zh-CN"/>
        </w:rPr>
      </w:pPr>
      <w:bookmarkStart w:id="695" w:name="_Toc85720708"/>
      <w:bookmarkStart w:id="696" w:name="_Toc89423897"/>
      <w:bookmarkStart w:id="697" w:name="_Toc13327"/>
      <w:r>
        <w:rPr>
          <w:rFonts w:hint="eastAsia" w:ascii="仿宋" w:hAnsi="仿宋" w:eastAsia="仿宋" w:cs="仿宋"/>
          <w:i w:val="0"/>
          <w:color w:val="auto"/>
          <w:sz w:val="24"/>
          <w:highlight w:val="none"/>
          <w:lang w:eastAsia="zh-CN"/>
        </w:rPr>
        <w:t>十、不可抗力事件处理</w:t>
      </w:r>
      <w:bookmarkEnd w:id="695"/>
      <w:bookmarkEnd w:id="696"/>
      <w:bookmarkEnd w:id="697"/>
    </w:p>
    <w:p>
      <w:pPr>
        <w:spacing w:line="360" w:lineRule="auto"/>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1、在合同有效期内，任何一方因不可抗力事件导致不能履行合同，则合同履行期可延长，其延长期与不可抗力影响期相同。</w:t>
      </w:r>
    </w:p>
    <w:p>
      <w:pPr>
        <w:spacing w:line="360" w:lineRule="auto"/>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2、不可抗力事件发生后，应立即通知对方，并寄送有关权威机构出具的证明。</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3、不可抗力事件延续XX天以上，双方应通过友好协商，确定是否继续履行合同。</w:t>
      </w:r>
    </w:p>
    <w:p>
      <w:pPr>
        <w:pStyle w:val="4"/>
        <w:spacing w:line="360" w:lineRule="auto"/>
        <w:jc w:val="left"/>
        <w:rPr>
          <w:rFonts w:hint="eastAsia" w:ascii="仿宋" w:hAnsi="仿宋" w:eastAsia="仿宋" w:cs="仿宋"/>
          <w:i w:val="0"/>
          <w:color w:val="auto"/>
          <w:sz w:val="24"/>
          <w:highlight w:val="none"/>
          <w:lang w:eastAsia="zh-CN"/>
        </w:rPr>
      </w:pPr>
      <w:bookmarkStart w:id="698" w:name="_Toc89423898"/>
      <w:bookmarkStart w:id="699" w:name="_Toc85720709"/>
      <w:bookmarkStart w:id="700" w:name="_Toc19050"/>
      <w:r>
        <w:rPr>
          <w:rFonts w:hint="eastAsia" w:ascii="仿宋" w:hAnsi="仿宋" w:eastAsia="仿宋" w:cs="仿宋"/>
          <w:i w:val="0"/>
          <w:color w:val="auto"/>
          <w:sz w:val="24"/>
          <w:highlight w:val="none"/>
          <w:lang w:eastAsia="zh-CN"/>
        </w:rPr>
        <w:t>十一、解决合同纠纷的方式</w:t>
      </w:r>
      <w:bookmarkEnd w:id="698"/>
      <w:bookmarkEnd w:id="699"/>
      <w:bookmarkEnd w:id="700"/>
    </w:p>
    <w:p>
      <w:pPr>
        <w:spacing w:line="360" w:lineRule="auto"/>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1、在执行本合同中发生的或与本合同有关的争端，双方应通过友好协商解决，经协商在XX天内不能达成协议时，交由甲方所在地人民法院管辖。</w:t>
      </w:r>
    </w:p>
    <w:p>
      <w:pPr>
        <w:spacing w:line="360" w:lineRule="auto"/>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2、仲裁裁决应为最终决定，并对双方具有约束力。</w:t>
      </w:r>
    </w:p>
    <w:p>
      <w:pPr>
        <w:spacing w:line="360" w:lineRule="auto"/>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 xml:space="preserve">3、除另有裁决外，仲裁费应由败诉方负担。 </w:t>
      </w:r>
    </w:p>
    <w:p>
      <w:pPr>
        <w:spacing w:line="360" w:lineRule="auto"/>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 xml:space="preserve">4、在仲裁期间，除正在进行仲裁部分外，合同其他部分继续执行。  </w:t>
      </w:r>
    </w:p>
    <w:p>
      <w:pPr>
        <w:pStyle w:val="4"/>
        <w:spacing w:line="360" w:lineRule="auto"/>
        <w:jc w:val="left"/>
        <w:rPr>
          <w:rFonts w:hint="eastAsia" w:ascii="仿宋" w:hAnsi="仿宋" w:eastAsia="仿宋" w:cs="仿宋"/>
          <w:i w:val="0"/>
          <w:color w:val="auto"/>
          <w:sz w:val="24"/>
          <w:highlight w:val="none"/>
          <w:lang w:eastAsia="zh-CN"/>
        </w:rPr>
      </w:pPr>
      <w:bookmarkStart w:id="701" w:name="_Toc89423899"/>
      <w:bookmarkStart w:id="702" w:name="_Toc7490"/>
      <w:bookmarkStart w:id="703" w:name="_Toc85720710"/>
      <w:r>
        <w:rPr>
          <w:rFonts w:hint="eastAsia" w:ascii="仿宋" w:hAnsi="仿宋" w:eastAsia="仿宋" w:cs="仿宋"/>
          <w:i w:val="0"/>
          <w:color w:val="auto"/>
          <w:sz w:val="24"/>
          <w:highlight w:val="none"/>
          <w:lang w:eastAsia="zh-CN"/>
        </w:rPr>
        <w:t>十二、合同生效及其他</w:t>
      </w:r>
      <w:bookmarkEnd w:id="701"/>
      <w:bookmarkEnd w:id="702"/>
      <w:bookmarkEnd w:id="703"/>
    </w:p>
    <w:p>
      <w:pPr>
        <w:spacing w:line="360" w:lineRule="auto"/>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1、合同经双方法定代表人或授权委托代理人签字并加盖单位公章后生效。</w:t>
      </w:r>
    </w:p>
    <w:p>
      <w:pPr>
        <w:spacing w:line="360" w:lineRule="auto"/>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2、合同执行中涉及采购资金和采购内容修改或补充的，须经政府采购监管部门审批，并签书面补充协议报政府采购监督管理部门备案，方可作为主合同不可分割的一部分。</w:t>
      </w:r>
    </w:p>
    <w:p>
      <w:pPr>
        <w:spacing w:line="360" w:lineRule="auto"/>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3、本合同一式四份，自双方签章之日起起效。甲方一份，乙方一份，政府采购代理机构一份，同级财政部门备案一份，具有同等法律效力。</w:t>
      </w:r>
    </w:p>
    <w:p>
      <w:pPr>
        <w:spacing w:line="360" w:lineRule="auto"/>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附件</w:t>
      </w:r>
    </w:p>
    <w:p>
      <w:pPr>
        <w:spacing w:line="360" w:lineRule="auto"/>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1、项目招标文件</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2、项目修改澄清文件</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3、项目投标文件</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4、中标通知书</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5、其他</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 xml:space="preserve">甲方：   （盖章）   </w:t>
      </w:r>
      <w:r>
        <w:rPr>
          <w:rFonts w:hint="eastAsia" w:ascii="仿宋" w:hAnsi="仿宋" w:eastAsia="仿宋" w:cs="仿宋"/>
          <w:i w:val="0"/>
          <w:color w:val="auto"/>
          <w:sz w:val="24"/>
          <w:szCs w:val="24"/>
          <w:highlight w:val="none"/>
          <w:shd w:val="clear" w:color="auto" w:fill="FFFFFF"/>
          <w:lang w:eastAsia="zh-CN"/>
        </w:rPr>
        <w:tab/>
      </w:r>
      <w:r>
        <w:rPr>
          <w:rFonts w:hint="eastAsia" w:ascii="仿宋" w:hAnsi="仿宋" w:eastAsia="仿宋" w:cs="仿宋"/>
          <w:i w:val="0"/>
          <w:color w:val="auto"/>
          <w:sz w:val="24"/>
          <w:szCs w:val="24"/>
          <w:highlight w:val="none"/>
          <w:shd w:val="clear" w:color="auto" w:fill="FFFFFF"/>
          <w:lang w:eastAsia="zh-CN"/>
        </w:rPr>
        <w:tab/>
      </w:r>
      <w:r>
        <w:rPr>
          <w:rFonts w:hint="eastAsia" w:ascii="仿宋" w:hAnsi="仿宋" w:eastAsia="仿宋" w:cs="仿宋"/>
          <w:i w:val="0"/>
          <w:color w:val="auto"/>
          <w:sz w:val="24"/>
          <w:szCs w:val="24"/>
          <w:highlight w:val="none"/>
          <w:shd w:val="clear" w:color="auto" w:fill="FFFFFF"/>
          <w:lang w:eastAsia="zh-CN"/>
        </w:rPr>
        <w:tab/>
      </w:r>
      <w:r>
        <w:rPr>
          <w:rFonts w:hint="eastAsia" w:ascii="仿宋" w:hAnsi="仿宋" w:eastAsia="仿宋" w:cs="仿宋"/>
          <w:i w:val="0"/>
          <w:color w:val="auto"/>
          <w:sz w:val="24"/>
          <w:szCs w:val="24"/>
          <w:highlight w:val="none"/>
          <w:shd w:val="clear" w:color="auto" w:fill="FFFFFF"/>
          <w:lang w:eastAsia="zh-CN"/>
        </w:rPr>
        <w:t xml:space="preserve">       乙方：   （盖章）</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法定代表人（授权代表）：            法定代表人（授权代表）：</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地    址：                         地    址：</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开户银行：                         开户银行：</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账号：                             账号：</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电    话：                         电    话：</w:t>
      </w:r>
    </w:p>
    <w:p>
      <w:pPr>
        <w:spacing w:line="400" w:lineRule="exact"/>
        <w:ind w:firstLine="480" w:firstLineChars="200"/>
        <w:rPr>
          <w:rFonts w:hint="eastAsia" w:ascii="仿宋" w:hAnsi="仿宋" w:eastAsia="仿宋" w:cs="仿宋"/>
          <w:i w:val="0"/>
          <w:color w:val="auto"/>
          <w:sz w:val="24"/>
          <w:szCs w:val="24"/>
          <w:highlight w:val="none"/>
          <w:shd w:val="clear" w:color="auto" w:fill="FFFFFF"/>
          <w:lang w:eastAsia="zh-CN"/>
        </w:rPr>
      </w:pPr>
      <w:r>
        <w:rPr>
          <w:rFonts w:hint="eastAsia" w:ascii="仿宋" w:hAnsi="仿宋" w:eastAsia="仿宋" w:cs="仿宋"/>
          <w:i w:val="0"/>
          <w:color w:val="auto"/>
          <w:sz w:val="24"/>
          <w:szCs w:val="24"/>
          <w:highlight w:val="none"/>
          <w:shd w:val="clear" w:color="auto" w:fill="FFFFFF"/>
          <w:lang w:eastAsia="zh-CN"/>
        </w:rPr>
        <w:t>传    真：                         传    真：</w:t>
      </w:r>
    </w:p>
    <w:p>
      <w:pPr>
        <w:spacing w:line="400" w:lineRule="exact"/>
        <w:ind w:firstLine="480" w:firstLineChars="200"/>
        <w:rPr>
          <w:rFonts w:hint="eastAsia" w:ascii="仿宋" w:hAnsi="仿宋" w:eastAsia="仿宋" w:cs="仿宋"/>
          <w:i w:val="0"/>
          <w:color w:val="auto"/>
          <w:sz w:val="24"/>
          <w:szCs w:val="24"/>
          <w:highlight w:val="none"/>
          <w:lang w:eastAsia="zh-CN"/>
        </w:rPr>
      </w:pPr>
      <w:r>
        <w:rPr>
          <w:rFonts w:hint="eastAsia" w:ascii="仿宋" w:hAnsi="仿宋" w:eastAsia="仿宋" w:cs="仿宋"/>
          <w:i w:val="0"/>
          <w:color w:val="auto"/>
          <w:sz w:val="24"/>
          <w:szCs w:val="24"/>
          <w:highlight w:val="none"/>
          <w:shd w:val="clear" w:color="auto" w:fill="FFFFFF"/>
          <w:lang w:eastAsia="zh-CN"/>
        </w:rPr>
        <w:t xml:space="preserve">签约日期：XX年XX月XX日 </w:t>
      </w:r>
      <w:r>
        <w:rPr>
          <w:rFonts w:hint="eastAsia" w:ascii="仿宋" w:hAnsi="仿宋" w:eastAsia="仿宋" w:cs="仿宋"/>
          <w:i w:val="0"/>
          <w:color w:val="auto"/>
          <w:sz w:val="24"/>
          <w:szCs w:val="24"/>
          <w:highlight w:val="none"/>
          <w:shd w:val="clear" w:color="auto" w:fill="FFFFFF"/>
          <w:lang w:eastAsia="zh-CN"/>
        </w:rPr>
        <w:tab/>
      </w:r>
      <w:r>
        <w:rPr>
          <w:rFonts w:hint="eastAsia" w:ascii="仿宋" w:hAnsi="仿宋" w:eastAsia="仿宋" w:cs="仿宋"/>
          <w:i w:val="0"/>
          <w:color w:val="auto"/>
          <w:sz w:val="24"/>
          <w:szCs w:val="24"/>
          <w:highlight w:val="none"/>
          <w:shd w:val="clear" w:color="auto" w:fill="FFFFFF"/>
          <w:lang w:eastAsia="zh-CN"/>
        </w:rPr>
        <w:tab/>
      </w:r>
      <w:r>
        <w:rPr>
          <w:rFonts w:hint="eastAsia" w:ascii="仿宋" w:hAnsi="仿宋" w:eastAsia="仿宋" w:cs="仿宋"/>
          <w:i w:val="0"/>
          <w:color w:val="auto"/>
          <w:sz w:val="24"/>
          <w:szCs w:val="24"/>
          <w:highlight w:val="none"/>
          <w:shd w:val="clear" w:color="auto" w:fill="FFFFFF"/>
          <w:lang w:eastAsia="zh-CN"/>
        </w:rPr>
        <w:tab/>
      </w:r>
      <w:r>
        <w:rPr>
          <w:rFonts w:hint="eastAsia" w:ascii="仿宋" w:hAnsi="仿宋" w:eastAsia="仿宋" w:cs="仿宋"/>
          <w:i w:val="0"/>
          <w:color w:val="auto"/>
          <w:sz w:val="24"/>
          <w:szCs w:val="24"/>
          <w:highlight w:val="none"/>
          <w:shd w:val="clear" w:color="auto" w:fill="FFFFFF"/>
          <w:lang w:eastAsia="zh-CN"/>
        </w:rPr>
        <w:t>签约日期：XX年XX月XX日</w:t>
      </w:r>
    </w:p>
    <w:p>
      <w:pPr>
        <w:rPr>
          <w:rFonts w:hint="eastAsia" w:ascii="仿宋" w:hAnsi="仿宋" w:eastAsia="仿宋" w:cs="仿宋"/>
          <w:i w:val="0"/>
          <w:color w:val="auto"/>
          <w:sz w:val="24"/>
          <w:highlight w:val="none"/>
          <w:shd w:val="clear" w:color="auto" w:fill="FFFFFF"/>
          <w:lang w:eastAsia="zh-CN"/>
        </w:rPr>
      </w:pPr>
      <w:r>
        <w:rPr>
          <w:rFonts w:hint="eastAsia" w:ascii="仿宋" w:hAnsi="仿宋" w:eastAsia="仿宋" w:cs="仿宋"/>
          <w:i w:val="0"/>
          <w:color w:val="auto"/>
          <w:sz w:val="24"/>
          <w:highlight w:val="none"/>
          <w:shd w:val="clear" w:color="auto" w:fill="FFFFFF"/>
          <w:lang w:eastAsia="zh-CN"/>
        </w:rPr>
        <w:br w:type="page"/>
      </w:r>
    </w:p>
    <w:p>
      <w:pPr>
        <w:pStyle w:val="3"/>
        <w:snapToGrid w:val="0"/>
        <w:spacing w:before="0" w:after="0" w:line="360" w:lineRule="auto"/>
        <w:ind w:firstLine="602"/>
        <w:jc w:val="center"/>
        <w:rPr>
          <w:rFonts w:hint="eastAsia" w:hAnsi="宋体"/>
          <w:color w:val="auto"/>
          <w:sz w:val="36"/>
          <w:szCs w:val="36"/>
          <w:highlight w:val="none"/>
        </w:rPr>
      </w:pPr>
      <w:bookmarkStart w:id="704" w:name="_Toc2098"/>
      <w:r>
        <w:rPr>
          <w:rFonts w:hint="eastAsia"/>
          <w:i w:val="0"/>
          <w:color w:val="auto"/>
          <w:highlight w:val="none"/>
          <w:lang w:val="en-US" w:eastAsia="zh-CN"/>
        </w:rPr>
        <w:t xml:space="preserve">第九章 </w:t>
      </w:r>
      <w:r>
        <w:rPr>
          <w:rFonts w:hint="eastAsia"/>
          <w:i w:val="0"/>
          <w:color w:val="auto"/>
          <w:highlight w:val="none"/>
          <w:lang w:eastAsia="zh-CN"/>
        </w:rPr>
        <w:t>质疑函、</w:t>
      </w:r>
      <w:r>
        <w:rPr>
          <w:rFonts w:hint="eastAsia"/>
          <w:i w:val="0"/>
          <w:color w:val="auto"/>
          <w:highlight w:val="none"/>
          <w:lang w:val="en-US" w:eastAsia="zh-CN"/>
        </w:rPr>
        <w:t>投诉书</w:t>
      </w:r>
      <w:r>
        <w:rPr>
          <w:rFonts w:hint="eastAsia"/>
          <w:i w:val="0"/>
          <w:color w:val="auto"/>
          <w:highlight w:val="none"/>
          <w:lang w:eastAsia="zh-CN"/>
        </w:rPr>
        <w:t>格式和内容要求</w:t>
      </w:r>
      <w:bookmarkEnd w:id="704"/>
    </w:p>
    <w:p>
      <w:pPr>
        <w:adjustRightInd w:val="0"/>
        <w:snapToGrid w:val="0"/>
        <w:spacing w:before="462" w:beforeLines="100"/>
        <w:ind w:firstLine="480"/>
        <w:jc w:val="center"/>
        <w:rPr>
          <w:rFonts w:hint="eastAsia" w:ascii="仿宋" w:hAnsi="仿宋" w:eastAsia="仿宋" w:cs="仿宋"/>
          <w:b/>
          <w:bCs w:val="0"/>
          <w:i w:val="0"/>
          <w:iCs w:val="0"/>
          <w:color w:val="auto"/>
          <w:sz w:val="28"/>
          <w:szCs w:val="28"/>
          <w:highlight w:val="none"/>
          <w:lang w:eastAsia="zh-CN"/>
        </w:rPr>
      </w:pPr>
      <w:r>
        <w:rPr>
          <w:rFonts w:hint="eastAsia" w:ascii="仿宋" w:hAnsi="仿宋" w:eastAsia="仿宋" w:cs="仿宋"/>
          <w:b/>
          <w:bCs w:val="0"/>
          <w:i w:val="0"/>
          <w:iCs w:val="0"/>
          <w:color w:val="auto"/>
          <w:sz w:val="28"/>
          <w:szCs w:val="28"/>
          <w:highlight w:val="none"/>
          <w:lang w:eastAsia="zh-CN"/>
        </w:rPr>
        <w:t>《</w:t>
      </w:r>
      <w:r>
        <w:rPr>
          <w:rFonts w:hint="eastAsia" w:ascii="仿宋" w:hAnsi="仿宋" w:eastAsia="仿宋" w:cs="仿宋"/>
          <w:b/>
          <w:bCs w:val="0"/>
          <w:i w:val="0"/>
          <w:iCs w:val="0"/>
          <w:color w:val="auto"/>
          <w:sz w:val="28"/>
          <w:szCs w:val="28"/>
          <w:highlight w:val="none"/>
          <w:lang w:val="en-US" w:eastAsia="zh-CN"/>
        </w:rPr>
        <w:t>质疑函</w:t>
      </w:r>
      <w:r>
        <w:rPr>
          <w:rFonts w:hint="eastAsia" w:ascii="仿宋" w:hAnsi="仿宋" w:eastAsia="仿宋" w:cs="仿宋"/>
          <w:b/>
          <w:bCs w:val="0"/>
          <w:i w:val="0"/>
          <w:iCs w:val="0"/>
          <w:color w:val="auto"/>
          <w:sz w:val="28"/>
          <w:szCs w:val="28"/>
          <w:highlight w:val="none"/>
          <w:lang w:eastAsia="zh-CN"/>
        </w:rPr>
        <w:t>》</w:t>
      </w:r>
    </w:p>
    <w:p>
      <w:pPr>
        <w:adjustRightInd w:val="0"/>
        <w:snapToGrid w:val="0"/>
        <w:spacing w:before="462" w:beforeLines="100"/>
        <w:ind w:firstLine="48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一、质疑供应商基本信息</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rPr>
        <w:t>质疑供应商名称：</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地址：</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rPr>
        <w:t>邮编：</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联系人：</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rPr>
        <w:t>联系电话：</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rPr>
        <w:t>授权代表：</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联系电话：</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rPr>
        <w:t xml:space="preserve"> </w:t>
      </w:r>
    </w:p>
    <w:p>
      <w:pPr>
        <w:adjustRightInd w:val="0"/>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地址： </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rPr>
        <w:t>邮编：</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二、质疑项目基本情况</w:t>
      </w:r>
    </w:p>
    <w:p>
      <w:pPr>
        <w:adjustRightInd w:val="0"/>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质疑项目的名称：</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质疑项目的编号：</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rPr>
        <w:t>包号：</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rPr>
        <w:t>招标人名称：</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采购文件获取日期：</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三、质疑事项具体内容</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rPr>
        <w:t>质疑事项1：</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rPr>
        <w:t>事实依据：</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rPr>
        <w:t>法律依据：</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rPr>
        <w:t>质疑事项2</w:t>
      </w:r>
    </w:p>
    <w:p>
      <w:pPr>
        <w:adjustRightInd w:val="0"/>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p>
    <w:p>
      <w:pPr>
        <w:adjustRightInd w:val="0"/>
        <w:snapToGrid w:val="0"/>
        <w:ind w:firstLine="48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四、与质疑事项相关的质疑请求</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rPr>
        <w:t>请求：</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u w:val="dotted"/>
        </w:rPr>
        <w:t xml:space="preserve">                                       </w:t>
      </w:r>
    </w:p>
    <w:p>
      <w:pPr>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签字(签章)：                   单位公章：                      </w:t>
      </w:r>
    </w:p>
    <w:p>
      <w:pPr>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日期：     年    月  日  </w:t>
      </w:r>
    </w:p>
    <w:p>
      <w:pPr>
        <w:ind w:firstLine="482"/>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质疑函制作说明：</w:t>
      </w:r>
    </w:p>
    <w:p>
      <w:pPr>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1.供应商提出质疑时，应提交质疑函和必要的证明材料。</w:t>
      </w:r>
    </w:p>
    <w:p>
      <w:pPr>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3.质疑供应商若对项目的某一标段进行质疑，质疑函中应列明具体标段号。</w:t>
      </w:r>
    </w:p>
    <w:p>
      <w:pPr>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4.质疑函的质疑事项应具体、明确，并有必要的事实依据和法律依据。</w:t>
      </w:r>
    </w:p>
    <w:p>
      <w:pPr>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5.质疑函的质疑请求应与质疑事项相关。</w:t>
      </w:r>
    </w:p>
    <w:p>
      <w:pPr>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7.如不按上述要求提交质疑函的，招标人将不予受理。</w:t>
      </w:r>
    </w:p>
    <w:p>
      <w:pPr>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8、质疑函应当在招标文件规定的时间期限内提交，否则招标人有权不予受理。</w:t>
      </w:r>
    </w:p>
    <w:p>
      <w:pPr>
        <w:ind w:firstLine="480"/>
        <w:rPr>
          <w:rFonts w:hint="eastAsia" w:hAnsi="宋体" w:cs="宋体"/>
          <w:color w:val="auto"/>
          <w:sz w:val="24"/>
          <w:szCs w:val="24"/>
          <w:highlight w:val="none"/>
        </w:rPr>
      </w:pPr>
    </w:p>
    <w:p>
      <w:pPr>
        <w:adjustRightInd w:val="0"/>
        <w:snapToGrid w:val="0"/>
        <w:spacing w:before="462" w:beforeLines="100"/>
        <w:ind w:firstLine="480"/>
        <w:jc w:val="center"/>
        <w:rPr>
          <w:rFonts w:hint="eastAsia" w:ascii="仿宋" w:hAnsi="仿宋" w:eastAsia="仿宋" w:cs="仿宋"/>
          <w:b/>
          <w:bCs w:val="0"/>
          <w:i w:val="0"/>
          <w:iCs w:val="0"/>
          <w:color w:val="auto"/>
          <w:sz w:val="28"/>
          <w:szCs w:val="28"/>
          <w:highlight w:val="none"/>
          <w:lang w:eastAsia="zh-CN"/>
        </w:rPr>
      </w:pPr>
      <w:r>
        <w:rPr>
          <w:rFonts w:hint="eastAsia" w:ascii="仿宋" w:hAnsi="仿宋" w:eastAsia="仿宋" w:cs="仿宋"/>
          <w:b/>
          <w:bCs w:val="0"/>
          <w:i w:val="0"/>
          <w:iCs w:val="0"/>
          <w:color w:val="auto"/>
          <w:sz w:val="28"/>
          <w:szCs w:val="28"/>
          <w:highlight w:val="none"/>
          <w:lang w:eastAsia="zh-CN"/>
        </w:rPr>
        <w:t>《</w:t>
      </w:r>
      <w:r>
        <w:rPr>
          <w:rFonts w:hint="eastAsia" w:ascii="仿宋" w:hAnsi="仿宋" w:eastAsia="仿宋" w:cs="仿宋"/>
          <w:b/>
          <w:bCs w:val="0"/>
          <w:i w:val="0"/>
          <w:iCs w:val="0"/>
          <w:color w:val="auto"/>
          <w:sz w:val="28"/>
          <w:szCs w:val="28"/>
          <w:highlight w:val="none"/>
          <w:lang w:val="en-US" w:eastAsia="zh-CN"/>
        </w:rPr>
        <w:t>投诉书</w:t>
      </w:r>
      <w:r>
        <w:rPr>
          <w:rFonts w:hint="eastAsia" w:ascii="仿宋" w:hAnsi="仿宋" w:eastAsia="仿宋" w:cs="仿宋"/>
          <w:b/>
          <w:bCs w:val="0"/>
          <w:i w:val="0"/>
          <w:iCs w:val="0"/>
          <w:color w:val="auto"/>
          <w:sz w:val="28"/>
          <w:szCs w:val="28"/>
          <w:highlight w:val="none"/>
          <w:lang w:eastAsia="zh-CN"/>
        </w:rPr>
        <w:t>》</w:t>
      </w:r>
    </w:p>
    <w:p>
      <w:pPr>
        <w:adjustRightInd w:val="0"/>
        <w:snapToGrid w:val="0"/>
        <w:spacing w:before="462" w:beforeLines="100"/>
        <w:ind w:firstLine="480"/>
        <w:rPr>
          <w:rFonts w:hint="default" w:ascii="仿宋" w:hAnsi="仿宋" w:eastAsia="仿宋" w:cs="仿宋"/>
          <w:bCs/>
          <w:i w:val="0"/>
          <w:iCs w:val="0"/>
          <w:color w:val="auto"/>
          <w:sz w:val="24"/>
          <w:szCs w:val="24"/>
          <w:highlight w:val="none"/>
          <w:lang w:val="en-US" w:eastAsia="zh-CN"/>
        </w:rPr>
      </w:pPr>
      <w:r>
        <w:rPr>
          <w:rFonts w:hint="eastAsia" w:ascii="仿宋" w:hAnsi="仿宋" w:eastAsia="仿宋" w:cs="仿宋"/>
          <w:bCs/>
          <w:i w:val="0"/>
          <w:iCs w:val="0"/>
          <w:color w:val="auto"/>
          <w:sz w:val="24"/>
          <w:szCs w:val="24"/>
          <w:highlight w:val="none"/>
        </w:rPr>
        <w:t>一、</w:t>
      </w:r>
      <w:r>
        <w:rPr>
          <w:rFonts w:hint="eastAsia" w:ascii="仿宋" w:hAnsi="仿宋" w:eastAsia="仿宋" w:cs="仿宋"/>
          <w:bCs/>
          <w:i w:val="0"/>
          <w:iCs w:val="0"/>
          <w:color w:val="auto"/>
          <w:sz w:val="24"/>
          <w:szCs w:val="24"/>
          <w:highlight w:val="none"/>
          <w:lang w:val="en-US" w:eastAsia="zh-CN"/>
        </w:rPr>
        <w:t>投诉相关主体</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lang w:val="en-US" w:eastAsia="zh-CN"/>
        </w:rPr>
        <w:t>投诉人</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地址：</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lang w:val="en-US" w:eastAsia="zh-CN"/>
        </w:rPr>
        <w:t>法定代表</w:t>
      </w:r>
      <w:r>
        <w:rPr>
          <w:rFonts w:hint="eastAsia" w:ascii="仿宋" w:hAnsi="仿宋" w:eastAsia="仿宋" w:cs="仿宋"/>
          <w:i w:val="0"/>
          <w:iCs w:val="0"/>
          <w:color w:val="auto"/>
          <w:sz w:val="24"/>
          <w:szCs w:val="24"/>
          <w:highlight w:val="none"/>
        </w:rPr>
        <w:t>人：</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办公</w:t>
      </w:r>
      <w:r>
        <w:rPr>
          <w:rFonts w:hint="eastAsia" w:ascii="仿宋" w:hAnsi="仿宋" w:eastAsia="仿宋" w:cs="仿宋"/>
          <w:i w:val="0"/>
          <w:iCs w:val="0"/>
          <w:color w:val="auto"/>
          <w:sz w:val="24"/>
          <w:szCs w:val="24"/>
          <w:highlight w:val="none"/>
        </w:rPr>
        <w:t>电话：</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u w:val="none"/>
          <w:lang w:val="en-US" w:eastAsia="zh-CN"/>
        </w:rPr>
        <w:t>传真：</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lang w:val="en-US" w:eastAsia="zh-CN"/>
        </w:rPr>
        <w:t>代理人</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u w:val="none"/>
          <w:lang w:val="en-US" w:eastAsia="zh-CN"/>
        </w:rPr>
        <w:t>手机：</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bCs/>
          <w:i w:val="0"/>
          <w:iCs w:val="0"/>
          <w:color w:val="auto"/>
          <w:sz w:val="24"/>
          <w:szCs w:val="24"/>
          <w:highlight w:val="none"/>
          <w:lang w:val="en-US" w:eastAsia="zh-CN"/>
        </w:rPr>
        <w:t>被投诉人1：</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地址：</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lang w:val="en-US" w:eastAsia="zh-CN"/>
        </w:rPr>
        <w:t>联系</w:t>
      </w:r>
      <w:r>
        <w:rPr>
          <w:rFonts w:hint="eastAsia" w:ascii="仿宋" w:hAnsi="仿宋" w:eastAsia="仿宋" w:cs="仿宋"/>
          <w:i w:val="0"/>
          <w:iCs w:val="0"/>
          <w:color w:val="auto"/>
          <w:sz w:val="24"/>
          <w:szCs w:val="24"/>
          <w:highlight w:val="none"/>
        </w:rPr>
        <w:t>人：</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lang w:val="en-US" w:eastAsia="zh-CN"/>
        </w:rPr>
        <w:t>联系方式</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bCs/>
          <w:i w:val="0"/>
          <w:iCs w:val="0"/>
          <w:color w:val="auto"/>
          <w:sz w:val="24"/>
          <w:szCs w:val="24"/>
          <w:highlight w:val="none"/>
          <w:lang w:val="en-US" w:eastAsia="zh-CN"/>
        </w:rPr>
        <w:t>被投诉人2：</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地址：</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lang w:val="en-US" w:eastAsia="zh-CN"/>
        </w:rPr>
        <w:t>联系</w:t>
      </w:r>
      <w:r>
        <w:rPr>
          <w:rFonts w:hint="eastAsia" w:ascii="仿宋" w:hAnsi="仿宋" w:eastAsia="仿宋" w:cs="仿宋"/>
          <w:i w:val="0"/>
          <w:iCs w:val="0"/>
          <w:color w:val="auto"/>
          <w:sz w:val="24"/>
          <w:szCs w:val="24"/>
          <w:highlight w:val="none"/>
        </w:rPr>
        <w:t>人：</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lang w:val="en-US" w:eastAsia="zh-CN"/>
        </w:rPr>
        <w:t>联系方式</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bCs/>
          <w:i w:val="0"/>
          <w:iCs w:val="0"/>
          <w:color w:val="auto"/>
          <w:sz w:val="24"/>
          <w:szCs w:val="24"/>
          <w:highlight w:val="none"/>
          <w:lang w:val="en-US" w:eastAsia="zh-CN"/>
        </w:rPr>
        <w:t>相关供应商名称：</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地址：</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lang w:val="en-US" w:eastAsia="zh-CN"/>
        </w:rPr>
        <w:t>联系</w:t>
      </w:r>
      <w:r>
        <w:rPr>
          <w:rFonts w:hint="eastAsia" w:ascii="仿宋" w:hAnsi="仿宋" w:eastAsia="仿宋" w:cs="仿宋"/>
          <w:i w:val="0"/>
          <w:iCs w:val="0"/>
          <w:color w:val="auto"/>
          <w:sz w:val="24"/>
          <w:szCs w:val="24"/>
          <w:highlight w:val="none"/>
        </w:rPr>
        <w:t>人：</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lang w:val="en-US" w:eastAsia="zh-CN"/>
        </w:rPr>
        <w:t>联系方式</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default" w:ascii="仿宋" w:hAnsi="仿宋" w:eastAsia="仿宋" w:cs="仿宋"/>
          <w:bCs/>
          <w:i w:val="0"/>
          <w:iCs w:val="0"/>
          <w:color w:val="auto"/>
          <w:sz w:val="24"/>
          <w:szCs w:val="24"/>
          <w:highlight w:val="none"/>
          <w:lang w:val="en-US" w:eastAsia="zh-CN"/>
        </w:rPr>
      </w:pPr>
      <w:r>
        <w:rPr>
          <w:rFonts w:hint="eastAsia" w:ascii="仿宋" w:hAnsi="仿宋" w:eastAsia="仿宋" w:cs="仿宋"/>
          <w:bCs/>
          <w:i w:val="0"/>
          <w:iCs w:val="0"/>
          <w:color w:val="auto"/>
          <w:sz w:val="24"/>
          <w:szCs w:val="24"/>
          <w:highlight w:val="none"/>
        </w:rPr>
        <w:t>二、</w:t>
      </w:r>
      <w:r>
        <w:rPr>
          <w:rFonts w:hint="eastAsia" w:ascii="仿宋" w:hAnsi="仿宋" w:eastAsia="仿宋" w:cs="仿宋"/>
          <w:bCs/>
          <w:i w:val="0"/>
          <w:iCs w:val="0"/>
          <w:color w:val="auto"/>
          <w:sz w:val="24"/>
          <w:szCs w:val="24"/>
          <w:highlight w:val="none"/>
          <w:lang w:val="en-US" w:eastAsia="zh-CN"/>
        </w:rPr>
        <w:t>政府采购项目基本情况</w:t>
      </w:r>
    </w:p>
    <w:p>
      <w:pPr>
        <w:adjustRightInd w:val="0"/>
        <w:snapToGrid w:val="0"/>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采购</w:t>
      </w:r>
      <w:r>
        <w:rPr>
          <w:rFonts w:hint="eastAsia" w:ascii="仿宋" w:hAnsi="仿宋" w:eastAsia="仿宋" w:cs="仿宋"/>
          <w:i w:val="0"/>
          <w:iCs w:val="0"/>
          <w:color w:val="auto"/>
          <w:sz w:val="24"/>
          <w:szCs w:val="24"/>
          <w:highlight w:val="none"/>
        </w:rPr>
        <w:t>项目的名称：</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lang w:val="en-US" w:eastAsia="zh-CN"/>
        </w:rPr>
        <w:t>采购</w:t>
      </w:r>
      <w:r>
        <w:rPr>
          <w:rFonts w:hint="eastAsia" w:ascii="仿宋" w:hAnsi="仿宋" w:eastAsia="仿宋" w:cs="仿宋"/>
          <w:i w:val="0"/>
          <w:iCs w:val="0"/>
          <w:color w:val="auto"/>
          <w:sz w:val="24"/>
          <w:szCs w:val="24"/>
          <w:highlight w:val="none"/>
        </w:rPr>
        <w:t>人名称：</w:t>
      </w:r>
      <w:r>
        <w:rPr>
          <w:rFonts w:hint="eastAsia" w:ascii="仿宋" w:hAnsi="仿宋" w:eastAsia="仿宋" w:cs="仿宋"/>
          <w:i w:val="0"/>
          <w:iCs w:val="0"/>
          <w:color w:val="auto"/>
          <w:sz w:val="24"/>
          <w:szCs w:val="24"/>
          <w:highlight w:val="none"/>
          <w:u w:val="dotted"/>
        </w:rPr>
        <w:t xml:space="preserve">                                         </w:t>
      </w:r>
    </w:p>
    <w:p>
      <w:pPr>
        <w:pStyle w:val="13"/>
        <w:ind w:firstLine="480" w:firstLineChars="200"/>
        <w:rPr>
          <w:rFonts w:hint="default" w:eastAsia="仿宋"/>
          <w:color w:val="auto"/>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代理机构名称：</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lang w:val="en-US" w:eastAsia="zh-CN"/>
        </w:rPr>
        <w:t>发布采购信息媒体</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dotted"/>
        </w:rPr>
        <w:t xml:space="preserve">                                        </w:t>
      </w:r>
    </w:p>
    <w:p>
      <w:pPr>
        <w:pStyle w:val="13"/>
        <w:ind w:firstLine="480" w:firstLineChars="20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u w:val="none"/>
          <w:lang w:val="en-US" w:eastAsia="zh-CN"/>
        </w:rPr>
        <w:t>开标日期：</w:t>
      </w:r>
      <w:r>
        <w:rPr>
          <w:rFonts w:hint="eastAsia" w:ascii="仿宋" w:hAnsi="仿宋" w:eastAsia="仿宋" w:cs="仿宋"/>
          <w:i w:val="0"/>
          <w:iCs w:val="0"/>
          <w:color w:val="auto"/>
          <w:sz w:val="24"/>
          <w:szCs w:val="24"/>
          <w:highlight w:val="none"/>
          <w:u w:val="dotted"/>
        </w:rPr>
        <w:t xml:space="preserve">                                           </w:t>
      </w:r>
    </w:p>
    <w:p>
      <w:pPr>
        <w:pStyle w:val="23"/>
        <w:rPr>
          <w:rFonts w:hint="default" w:eastAsia="仿宋"/>
          <w:color w:val="auto"/>
          <w:highlight w:val="none"/>
          <w:lang w:val="en-US" w:eastAsia="zh-CN"/>
        </w:rPr>
      </w:pPr>
      <w:r>
        <w:rPr>
          <w:rFonts w:hint="eastAsia" w:ascii="仿宋" w:hAnsi="仿宋" w:eastAsia="仿宋" w:cs="仿宋"/>
          <w:i w:val="0"/>
          <w:iCs w:val="0"/>
          <w:color w:val="auto"/>
          <w:sz w:val="24"/>
          <w:szCs w:val="24"/>
          <w:highlight w:val="none"/>
          <w:u w:val="none"/>
          <w:lang w:val="en-US" w:eastAsia="zh-CN"/>
        </w:rPr>
        <w:t>中标结果发布：</w:t>
      </w:r>
      <w:r>
        <w:rPr>
          <w:rFonts w:hint="eastAsia" w:ascii="仿宋" w:hAnsi="仿宋" w:eastAsia="仿宋" w:cs="仿宋"/>
          <w:i w:val="0"/>
          <w:iCs w:val="0"/>
          <w:color w:val="auto"/>
          <w:sz w:val="24"/>
          <w:szCs w:val="24"/>
          <w:highlight w:val="none"/>
          <w:u w:val="dotted"/>
          <w:lang w:val="en-US" w:eastAsia="zh-CN"/>
        </w:rPr>
        <w:t xml:space="preserve">  </w:t>
      </w:r>
      <w:r>
        <w:rPr>
          <w:rFonts w:hint="eastAsia" w:ascii="仿宋" w:hAnsi="仿宋" w:eastAsia="仿宋" w:cs="仿宋"/>
          <w:i w:val="0"/>
          <w:iCs w:val="0"/>
          <w:color w:val="auto"/>
          <w:sz w:val="24"/>
          <w:szCs w:val="24"/>
          <w:highlight w:val="none"/>
          <w:u w:val="none"/>
          <w:lang w:val="en-US" w:eastAsia="zh-CN"/>
        </w:rPr>
        <w:t>是/否</w:t>
      </w:r>
      <w:r>
        <w:rPr>
          <w:rFonts w:hint="eastAsia" w:ascii="仿宋" w:hAnsi="仿宋" w:eastAsia="仿宋" w:cs="仿宋"/>
          <w:i w:val="0"/>
          <w:iCs w:val="0"/>
          <w:color w:val="auto"/>
          <w:sz w:val="24"/>
          <w:szCs w:val="24"/>
          <w:highlight w:val="none"/>
          <w:u w:val="dotted"/>
          <w:lang w:val="en-US" w:eastAsia="zh-CN"/>
        </w:rPr>
        <w:t xml:space="preserve">  </w:t>
      </w:r>
      <w:r>
        <w:rPr>
          <w:rFonts w:hint="eastAsia" w:ascii="仿宋" w:hAnsi="仿宋" w:eastAsia="仿宋" w:cs="仿宋"/>
          <w:i w:val="0"/>
          <w:iCs w:val="0"/>
          <w:color w:val="auto"/>
          <w:sz w:val="24"/>
          <w:szCs w:val="24"/>
          <w:highlight w:val="none"/>
          <w:u w:val="none"/>
          <w:lang w:val="en-US" w:eastAsia="zh-CN"/>
        </w:rPr>
        <w:t>发布日期：</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bCs/>
          <w:i w:val="0"/>
          <w:iCs w:val="0"/>
          <w:color w:val="auto"/>
          <w:sz w:val="24"/>
          <w:szCs w:val="24"/>
          <w:highlight w:val="none"/>
          <w:lang w:eastAsia="zh-CN"/>
        </w:rPr>
      </w:pPr>
      <w:r>
        <w:rPr>
          <w:rFonts w:hint="eastAsia" w:ascii="仿宋" w:hAnsi="仿宋" w:eastAsia="仿宋" w:cs="仿宋"/>
          <w:bCs/>
          <w:i w:val="0"/>
          <w:iCs w:val="0"/>
          <w:color w:val="auto"/>
          <w:sz w:val="24"/>
          <w:szCs w:val="24"/>
          <w:highlight w:val="none"/>
        </w:rPr>
        <w:t>三、质疑</w:t>
      </w:r>
      <w:r>
        <w:rPr>
          <w:rFonts w:hint="eastAsia" w:ascii="仿宋" w:hAnsi="仿宋" w:eastAsia="仿宋" w:cs="仿宋"/>
          <w:bCs/>
          <w:i w:val="0"/>
          <w:iCs w:val="0"/>
          <w:color w:val="auto"/>
          <w:sz w:val="24"/>
          <w:szCs w:val="24"/>
          <w:highlight w:val="none"/>
          <w:lang w:val="en-US" w:eastAsia="zh-CN"/>
        </w:rPr>
        <w:t>基本情况</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lang w:val="en-US" w:eastAsia="zh-CN"/>
        </w:rPr>
        <w:t>投诉人于</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u w:val="none"/>
          <w:lang w:val="en-US" w:eastAsia="zh-CN"/>
        </w:rPr>
        <w:t>年</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u w:val="none"/>
          <w:lang w:val="en-US" w:eastAsia="zh-CN"/>
        </w:rPr>
        <w:t>月</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u w:val="none"/>
          <w:lang w:val="en-US" w:eastAsia="zh-CN"/>
        </w:rPr>
        <w:t>日</w:t>
      </w:r>
      <w:r>
        <w:rPr>
          <w:rFonts w:hint="eastAsia" w:ascii="仿宋" w:hAnsi="仿宋" w:eastAsia="仿宋" w:cs="仿宋"/>
          <w:i w:val="0"/>
          <w:iCs w:val="0"/>
          <w:color w:val="auto"/>
          <w:sz w:val="24"/>
          <w:szCs w:val="24"/>
          <w:highlight w:val="none"/>
          <w:u w:val="dotted"/>
          <w:lang w:val="en-US" w:eastAsia="zh-CN"/>
        </w:rPr>
        <w:t>，向</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u w:val="none"/>
          <w:lang w:val="en-US" w:eastAsia="zh-CN"/>
        </w:rPr>
        <w:t>提出质疑（附件1），认为1、</w:t>
      </w:r>
      <w:r>
        <w:rPr>
          <w:rFonts w:hint="eastAsia" w:ascii="仿宋" w:hAnsi="仿宋" w:eastAsia="仿宋" w:cs="仿宋"/>
          <w:i w:val="0"/>
          <w:iCs w:val="0"/>
          <w:color w:val="auto"/>
          <w:sz w:val="24"/>
          <w:szCs w:val="24"/>
          <w:highlight w:val="none"/>
          <w:u w:val="dotted"/>
        </w:rPr>
        <w:t xml:space="preserve">                                                                </w:t>
      </w:r>
    </w:p>
    <w:p>
      <w:pPr>
        <w:numPr>
          <w:ilvl w:val="0"/>
          <w:numId w:val="6"/>
        </w:num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u w:val="dotted"/>
        </w:rPr>
        <w:t xml:space="preserve">                                         </w:t>
      </w:r>
    </w:p>
    <w:p>
      <w:pPr>
        <w:numPr>
          <w:ilvl w:val="0"/>
          <w:numId w:val="0"/>
        </w:numPr>
        <w:adjustRightInd w:val="0"/>
        <w:snapToGrid w:val="0"/>
        <w:ind w:firstLine="480" w:firstLineChars="200"/>
        <w:rPr>
          <w:rFonts w:hint="eastAsia" w:ascii="仿宋" w:hAnsi="仿宋" w:eastAsia="仿宋" w:cs="仿宋"/>
          <w:i w:val="0"/>
          <w:iCs w:val="0"/>
          <w:color w:val="auto"/>
          <w:sz w:val="24"/>
          <w:szCs w:val="24"/>
          <w:highlight w:val="none"/>
          <w:u w:val="dotted"/>
          <w:lang w:eastAsia="zh-CN"/>
        </w:rPr>
      </w:pPr>
      <w:r>
        <w:rPr>
          <w:rFonts w:hint="eastAsia" w:ascii="仿宋" w:hAnsi="仿宋" w:eastAsia="仿宋" w:cs="仿宋"/>
          <w:i w:val="0"/>
          <w:iCs w:val="0"/>
          <w:color w:val="auto"/>
          <w:sz w:val="24"/>
          <w:szCs w:val="24"/>
          <w:highlight w:val="none"/>
          <w:u w:val="none"/>
          <w:lang w:eastAsia="zh-CN"/>
        </w:rPr>
        <w:t>、、、、、、</w:t>
      </w:r>
    </w:p>
    <w:p>
      <w:pPr>
        <w:adjustRightInd w:val="0"/>
        <w:snapToGrid w:val="0"/>
        <w:ind w:firstLine="480"/>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lang w:val="en-US" w:eastAsia="zh-CN"/>
        </w:rPr>
        <w:t>被质疑人于</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u w:val="none"/>
          <w:lang w:val="en-US" w:eastAsia="zh-CN"/>
        </w:rPr>
        <w:t>年</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u w:val="none"/>
          <w:lang w:val="en-US" w:eastAsia="zh-CN"/>
        </w:rPr>
        <w:t>月</w:t>
      </w: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u w:val="none"/>
          <w:lang w:val="en-US" w:eastAsia="zh-CN"/>
        </w:rPr>
        <w:t>日，就质疑事项是/否在法定期限内做出了答复（附件2）。</w:t>
      </w:r>
    </w:p>
    <w:p>
      <w:pPr>
        <w:numPr>
          <w:ilvl w:val="0"/>
          <w:numId w:val="7"/>
        </w:numPr>
        <w:adjustRightInd w:val="0"/>
        <w:snapToGrid w:val="0"/>
        <w:ind w:firstLine="480"/>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投诉事项</w:t>
      </w:r>
    </w:p>
    <w:p>
      <w:pPr>
        <w:numPr>
          <w:ilvl w:val="0"/>
          <w:numId w:val="0"/>
        </w:numPr>
        <w:adjustRightInd w:val="0"/>
        <w:snapToGrid w:val="0"/>
        <w:ind w:firstLine="480" w:firstLineChars="20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投诉事项1：</w:t>
      </w:r>
    </w:p>
    <w:p>
      <w:pPr>
        <w:numPr>
          <w:ilvl w:val="0"/>
          <w:numId w:val="0"/>
        </w:numPr>
        <w:adjustRightInd w:val="0"/>
        <w:snapToGrid w:val="0"/>
        <w:ind w:firstLine="480" w:firstLineChars="20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lang w:val="en-US" w:eastAsia="zh-CN"/>
        </w:rPr>
        <w:t>事实</w:t>
      </w:r>
      <w:r>
        <w:rPr>
          <w:rFonts w:hint="eastAsia" w:ascii="仿宋" w:hAnsi="仿宋" w:eastAsia="仿宋" w:cs="仿宋"/>
          <w:i w:val="0"/>
          <w:iCs w:val="0"/>
          <w:color w:val="auto"/>
          <w:sz w:val="24"/>
          <w:szCs w:val="24"/>
          <w:highlight w:val="none"/>
        </w:rPr>
        <w:t>依据：</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u w:val="dotted"/>
          <w:lang w:eastAsia="zh-CN"/>
        </w:rPr>
        <w:t>（</w:t>
      </w:r>
      <w:r>
        <w:rPr>
          <w:rFonts w:hint="eastAsia" w:ascii="仿宋" w:hAnsi="仿宋" w:eastAsia="仿宋" w:cs="仿宋"/>
          <w:i w:val="0"/>
          <w:iCs w:val="0"/>
          <w:color w:val="auto"/>
          <w:sz w:val="24"/>
          <w:szCs w:val="24"/>
          <w:highlight w:val="none"/>
          <w:u w:val="dotted"/>
          <w:lang w:val="en-US" w:eastAsia="zh-CN"/>
        </w:rPr>
        <w:t>证据见附件第  页</w:t>
      </w:r>
      <w:r>
        <w:rPr>
          <w:rFonts w:hint="eastAsia" w:ascii="仿宋" w:hAnsi="仿宋" w:eastAsia="仿宋" w:cs="仿宋"/>
          <w:i w:val="0"/>
          <w:iCs w:val="0"/>
          <w:color w:val="auto"/>
          <w:sz w:val="24"/>
          <w:szCs w:val="24"/>
          <w:highlight w:val="none"/>
          <w:u w:val="dotted"/>
          <w:lang w:eastAsia="zh-CN"/>
        </w:rPr>
        <w:t>）。</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lang w:val="en-US" w:eastAsia="zh-CN"/>
        </w:rPr>
        <w:t>法律依据：</w:t>
      </w:r>
      <w:r>
        <w:rPr>
          <w:rFonts w:hint="eastAsia" w:ascii="仿宋" w:hAnsi="仿宋" w:eastAsia="仿宋" w:cs="仿宋"/>
          <w:i w:val="0"/>
          <w:iCs w:val="0"/>
          <w:color w:val="auto"/>
          <w:sz w:val="24"/>
          <w:szCs w:val="24"/>
          <w:highlight w:val="none"/>
          <w:u w:val="dotted"/>
        </w:rPr>
        <w:t xml:space="preserve">                                                        </w:t>
      </w:r>
    </w:p>
    <w:p>
      <w:pPr>
        <w:pStyle w:val="13"/>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ascii="仿宋" w:hAnsi="仿宋" w:eastAsia="仿宋" w:cs="仿宋"/>
          <w:i w:val="0"/>
          <w:iCs w:val="0"/>
          <w:color w:val="auto"/>
          <w:sz w:val="24"/>
          <w:szCs w:val="24"/>
          <w:highlight w:val="none"/>
          <w:u w:val="dotted"/>
          <w:lang w:val="en-US" w:eastAsia="zh-CN"/>
        </w:rPr>
        <w:t xml:space="preserve">   </w:t>
      </w:r>
      <w:r>
        <w:rPr>
          <w:rFonts w:hint="eastAsia" w:ascii="仿宋" w:hAnsi="仿宋" w:eastAsia="仿宋" w:cs="仿宋"/>
          <w:i w:val="0"/>
          <w:iCs w:val="0"/>
          <w:color w:val="auto"/>
          <w:sz w:val="24"/>
          <w:szCs w:val="24"/>
          <w:highlight w:val="none"/>
          <w:u w:val="dotted"/>
        </w:rPr>
        <w:t xml:space="preserve">                                                               </w:t>
      </w:r>
    </w:p>
    <w:p>
      <w:pPr>
        <w:numPr>
          <w:ilvl w:val="0"/>
          <w:numId w:val="0"/>
        </w:numPr>
        <w:adjustRightInd w:val="0"/>
        <w:snapToGrid w:val="0"/>
        <w:ind w:firstLine="480" w:firstLineChars="20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投诉事项1：</w:t>
      </w:r>
    </w:p>
    <w:p>
      <w:pPr>
        <w:numPr>
          <w:ilvl w:val="0"/>
          <w:numId w:val="0"/>
        </w:numPr>
        <w:adjustRightInd w:val="0"/>
        <w:snapToGrid w:val="0"/>
        <w:ind w:firstLine="480" w:firstLineChars="20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lang w:val="en-US" w:eastAsia="zh-CN"/>
        </w:rPr>
        <w:t>事实</w:t>
      </w:r>
      <w:r>
        <w:rPr>
          <w:rFonts w:hint="eastAsia" w:ascii="仿宋" w:hAnsi="仿宋" w:eastAsia="仿宋" w:cs="仿宋"/>
          <w:i w:val="0"/>
          <w:iCs w:val="0"/>
          <w:color w:val="auto"/>
          <w:sz w:val="24"/>
          <w:szCs w:val="24"/>
          <w:highlight w:val="none"/>
        </w:rPr>
        <w:t>依据：</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u w:val="dotted"/>
        </w:rPr>
        <w:t xml:space="preserve">                                         </w:t>
      </w:r>
      <w:r>
        <w:rPr>
          <w:rFonts w:hint="eastAsia" w:ascii="仿宋" w:hAnsi="仿宋" w:eastAsia="仿宋" w:cs="仿宋"/>
          <w:i w:val="0"/>
          <w:iCs w:val="0"/>
          <w:color w:val="auto"/>
          <w:sz w:val="24"/>
          <w:szCs w:val="24"/>
          <w:highlight w:val="none"/>
          <w:u w:val="dotted"/>
          <w:lang w:eastAsia="zh-CN"/>
        </w:rPr>
        <w:t>（</w:t>
      </w:r>
      <w:r>
        <w:rPr>
          <w:rFonts w:hint="eastAsia" w:ascii="仿宋" w:hAnsi="仿宋" w:eastAsia="仿宋" w:cs="仿宋"/>
          <w:i w:val="0"/>
          <w:iCs w:val="0"/>
          <w:color w:val="auto"/>
          <w:sz w:val="24"/>
          <w:szCs w:val="24"/>
          <w:highlight w:val="none"/>
          <w:u w:val="dotted"/>
          <w:lang w:val="en-US" w:eastAsia="zh-CN"/>
        </w:rPr>
        <w:t>证据见附件第  页</w:t>
      </w:r>
      <w:r>
        <w:rPr>
          <w:rFonts w:hint="eastAsia" w:ascii="仿宋" w:hAnsi="仿宋" w:eastAsia="仿宋" w:cs="仿宋"/>
          <w:i w:val="0"/>
          <w:iCs w:val="0"/>
          <w:color w:val="auto"/>
          <w:sz w:val="24"/>
          <w:szCs w:val="24"/>
          <w:highlight w:val="none"/>
          <w:u w:val="dotted"/>
          <w:lang w:eastAsia="zh-CN"/>
        </w:rPr>
        <w:t>）。</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lang w:val="en-US" w:eastAsia="zh-CN"/>
        </w:rPr>
        <w:t>法律依据：</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u w:val="dotted"/>
          <w:lang w:val="en-US" w:eastAsia="zh-CN"/>
        </w:rPr>
        <w:t xml:space="preserve">   </w:t>
      </w:r>
      <w:r>
        <w:rPr>
          <w:rFonts w:hint="eastAsia" w:ascii="仿宋" w:hAnsi="仿宋" w:eastAsia="仿宋" w:cs="仿宋"/>
          <w:i w:val="0"/>
          <w:iCs w:val="0"/>
          <w:color w:val="auto"/>
          <w:sz w:val="24"/>
          <w:szCs w:val="24"/>
          <w:highlight w:val="none"/>
          <w:u w:val="dotted"/>
        </w:rPr>
        <w:t xml:space="preserve">                                                              </w:t>
      </w:r>
    </w:p>
    <w:p>
      <w:pPr>
        <w:numPr>
          <w:ilvl w:val="0"/>
          <w:numId w:val="0"/>
        </w:numPr>
        <w:adjustRightInd w:val="0"/>
        <w:snapToGrid w:val="0"/>
        <w:ind w:firstLine="480" w:firstLineChars="200"/>
        <w:rPr>
          <w:rFonts w:hint="eastAsia"/>
          <w:color w:val="auto"/>
          <w:highlight w:val="none"/>
        </w:rPr>
      </w:pPr>
      <w:r>
        <w:rPr>
          <w:rFonts w:hint="eastAsia" w:ascii="仿宋" w:hAnsi="仿宋" w:eastAsia="仿宋" w:cs="仿宋"/>
          <w:i w:val="0"/>
          <w:iCs w:val="0"/>
          <w:color w:val="auto"/>
          <w:sz w:val="24"/>
          <w:szCs w:val="24"/>
          <w:highlight w:val="none"/>
          <w:u w:val="none"/>
          <w:lang w:eastAsia="zh-CN"/>
        </w:rPr>
        <w:t>、、、、、、</w:t>
      </w:r>
    </w:p>
    <w:p>
      <w:pPr>
        <w:adjustRightInd w:val="0"/>
        <w:snapToGrid w:val="0"/>
        <w:ind w:firstLine="48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四、</w:t>
      </w:r>
      <w:r>
        <w:rPr>
          <w:rFonts w:hint="eastAsia" w:ascii="仿宋" w:hAnsi="仿宋" w:eastAsia="仿宋" w:cs="仿宋"/>
          <w:bCs/>
          <w:i w:val="0"/>
          <w:iCs w:val="0"/>
          <w:color w:val="auto"/>
          <w:sz w:val="24"/>
          <w:szCs w:val="24"/>
          <w:highlight w:val="none"/>
          <w:lang w:val="en-US" w:eastAsia="zh-CN"/>
        </w:rPr>
        <w:t>投诉</w:t>
      </w:r>
      <w:r>
        <w:rPr>
          <w:rFonts w:hint="eastAsia" w:ascii="仿宋" w:hAnsi="仿宋" w:eastAsia="仿宋" w:cs="仿宋"/>
          <w:bCs/>
          <w:i w:val="0"/>
          <w:iCs w:val="0"/>
          <w:color w:val="auto"/>
          <w:sz w:val="24"/>
          <w:szCs w:val="24"/>
          <w:highlight w:val="none"/>
        </w:rPr>
        <w:t>请求</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rPr>
        <w:t>请求：</w:t>
      </w:r>
      <w:r>
        <w:rPr>
          <w:rFonts w:hint="eastAsia" w:ascii="仿宋" w:hAnsi="仿宋" w:eastAsia="仿宋" w:cs="仿宋"/>
          <w:i w:val="0"/>
          <w:iCs w:val="0"/>
          <w:color w:val="auto"/>
          <w:sz w:val="24"/>
          <w:szCs w:val="24"/>
          <w:highlight w:val="none"/>
          <w:u w:val="dotted"/>
        </w:rPr>
        <w:t xml:space="preserve">                                                                                      </w:t>
      </w:r>
    </w:p>
    <w:p>
      <w:pPr>
        <w:adjustRightInd w:val="0"/>
        <w:snapToGrid w:val="0"/>
        <w:ind w:firstLine="480"/>
        <w:rPr>
          <w:rFonts w:hint="eastAsia" w:ascii="仿宋" w:hAnsi="仿宋" w:eastAsia="仿宋" w:cs="仿宋"/>
          <w:i w:val="0"/>
          <w:iCs w:val="0"/>
          <w:color w:val="auto"/>
          <w:sz w:val="24"/>
          <w:szCs w:val="24"/>
          <w:highlight w:val="none"/>
          <w:u w:val="dotted"/>
        </w:rPr>
      </w:pPr>
      <w:r>
        <w:rPr>
          <w:rFonts w:hint="eastAsia" w:ascii="仿宋" w:hAnsi="仿宋" w:eastAsia="仿宋" w:cs="仿宋"/>
          <w:i w:val="0"/>
          <w:iCs w:val="0"/>
          <w:color w:val="auto"/>
          <w:sz w:val="24"/>
          <w:szCs w:val="24"/>
          <w:highlight w:val="none"/>
          <w:u w:val="dotted"/>
        </w:rPr>
        <w:t xml:space="preserve">                                                                </w:t>
      </w:r>
    </w:p>
    <w:p>
      <w:pPr>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法定代表人</w:t>
      </w:r>
      <w:r>
        <w:rPr>
          <w:rFonts w:hint="eastAsia" w:ascii="仿宋" w:hAnsi="仿宋" w:eastAsia="仿宋" w:cs="仿宋"/>
          <w:i w:val="0"/>
          <w:iCs w:val="0"/>
          <w:color w:val="auto"/>
          <w:sz w:val="24"/>
          <w:szCs w:val="24"/>
          <w:highlight w:val="none"/>
        </w:rPr>
        <w:t xml:space="preserve">签字：                   </w:t>
      </w:r>
      <w:r>
        <w:rPr>
          <w:rFonts w:hint="eastAsia" w:ascii="仿宋" w:hAnsi="仿宋" w:eastAsia="仿宋" w:cs="仿宋"/>
          <w:i w:val="0"/>
          <w:iCs w:val="0"/>
          <w:color w:val="auto"/>
          <w:sz w:val="24"/>
          <w:szCs w:val="24"/>
          <w:highlight w:val="none"/>
          <w:lang w:val="en-US" w:eastAsia="zh-CN"/>
        </w:rPr>
        <w:t>公司</w:t>
      </w:r>
      <w:r>
        <w:rPr>
          <w:rFonts w:hint="eastAsia" w:ascii="仿宋" w:hAnsi="仿宋" w:eastAsia="仿宋" w:cs="仿宋"/>
          <w:i w:val="0"/>
          <w:iCs w:val="0"/>
          <w:color w:val="auto"/>
          <w:sz w:val="24"/>
          <w:szCs w:val="24"/>
          <w:highlight w:val="none"/>
        </w:rPr>
        <w:t xml:space="preserve">公章： </w:t>
      </w:r>
    </w:p>
    <w:p>
      <w:pPr>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法定代表人</w:t>
      </w:r>
      <w:r>
        <w:rPr>
          <w:rFonts w:hint="eastAsia" w:ascii="仿宋" w:hAnsi="仿宋" w:eastAsia="仿宋" w:cs="仿宋"/>
          <w:i w:val="0"/>
          <w:iCs w:val="0"/>
          <w:color w:val="auto"/>
          <w:sz w:val="24"/>
          <w:szCs w:val="24"/>
          <w:highlight w:val="none"/>
        </w:rPr>
        <w:t>签</w:t>
      </w:r>
      <w:r>
        <w:rPr>
          <w:rFonts w:hint="eastAsia" w:ascii="仿宋" w:hAnsi="仿宋" w:eastAsia="仿宋" w:cs="仿宋"/>
          <w:i w:val="0"/>
          <w:iCs w:val="0"/>
          <w:color w:val="auto"/>
          <w:sz w:val="24"/>
          <w:szCs w:val="24"/>
          <w:highlight w:val="none"/>
          <w:lang w:val="en-US" w:eastAsia="zh-CN"/>
        </w:rPr>
        <w:t>章</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z w:val="24"/>
          <w:szCs w:val="24"/>
          <w:highlight w:val="none"/>
          <w:lang w:val="en-US" w:eastAsia="zh-CN"/>
        </w:rPr>
        <w:t>投诉日期</w:t>
      </w:r>
      <w:r>
        <w:rPr>
          <w:rFonts w:hint="eastAsia" w:ascii="仿宋" w:hAnsi="仿宋" w:eastAsia="仿宋" w:cs="仿宋"/>
          <w:i w:val="0"/>
          <w:iCs w:val="0"/>
          <w:color w:val="auto"/>
          <w:sz w:val="24"/>
          <w:szCs w:val="24"/>
          <w:highlight w:val="none"/>
        </w:rPr>
        <w:t xml:space="preserve">：                    </w:t>
      </w:r>
    </w:p>
    <w:p>
      <w:pPr>
        <w:ind w:firstLine="482"/>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制作</w:t>
      </w:r>
      <w:r>
        <w:rPr>
          <w:rFonts w:hint="eastAsia" w:ascii="仿宋" w:hAnsi="仿宋" w:eastAsia="仿宋" w:cs="仿宋"/>
          <w:b/>
          <w:i w:val="0"/>
          <w:iCs w:val="0"/>
          <w:color w:val="auto"/>
          <w:sz w:val="24"/>
          <w:szCs w:val="24"/>
          <w:highlight w:val="none"/>
          <w:lang w:val="en-US" w:eastAsia="zh-CN"/>
        </w:rPr>
        <w:t>投诉书</w:t>
      </w:r>
      <w:r>
        <w:rPr>
          <w:rFonts w:hint="eastAsia" w:ascii="仿宋" w:hAnsi="仿宋" w:eastAsia="仿宋" w:cs="仿宋"/>
          <w:b/>
          <w:i w:val="0"/>
          <w:iCs w:val="0"/>
          <w:color w:val="auto"/>
          <w:sz w:val="24"/>
          <w:szCs w:val="24"/>
          <w:highlight w:val="none"/>
        </w:rPr>
        <w:t>说明：</w:t>
      </w:r>
    </w:p>
    <w:p>
      <w:pPr>
        <w:ind w:firstLine="48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1、投诉书正本与副本应采用打印形式。投诉人应当按照被投诉人数量和与投诉事项相关的供应商数量提供投诉书副本。</w:t>
      </w:r>
    </w:p>
    <w:p>
      <w:pPr>
        <w:ind w:firstLine="48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2、提交投诉书时间不得超过质疑答复期满后15个工作日，逾期将不子受理。</w:t>
      </w:r>
    </w:p>
    <w:p>
      <w:pPr>
        <w:ind w:firstLine="48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3、不符合相关法律法规对投诉书内容规定的，不能提供合法证据来源的，或者没有法定代表人签字的投诉书视为无效投诉，本机关不了受理。</w:t>
      </w:r>
    </w:p>
    <w:p>
      <w:pPr>
        <w:ind w:firstLine="48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4、投诉事项超出质疑事项范围，投诉事项和投诉请求不具体，不明确的，视为无效投诉事项。</w:t>
      </w:r>
    </w:p>
    <w:p>
      <w:pPr>
        <w:ind w:firstLine="48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5、每个投诉事项应有与之相对应的过据子以支持。投诉事项属于涉密的，应提供信息来源或有效证据。不能依法履行举证责任的或提供与投诉事项不相关联证据的，本机关不子采信。</w:t>
      </w:r>
    </w:p>
    <w:p>
      <w:pPr>
        <w:ind w:firstLine="48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6、本机关不子采信与投诉事项无关的陈述和说明。投诉人应对投诉书中虚假、不实的内容以及诋毁性内容承担法律责任。</w:t>
      </w:r>
    </w:p>
    <w:p>
      <w:pPr>
        <w:ind w:firstLine="48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7、代理人办理投诉时，需提交法人授权委托书。在投诉书中伪造法定代表人签字或其他证明材料的，将依法 追究机构和个人的相关责任。</w:t>
      </w:r>
    </w:p>
    <w:p>
      <w:pPr>
        <w:ind w:firstLine="48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8、对处理投诉事项可能发生的有关费用，由投诉人按照财政部《政府采购供应商投诉处理办法》(财政部令第20号)第二十九条规定承担。</w:t>
      </w:r>
    </w:p>
    <w:p>
      <w:pPr>
        <w:rPr>
          <w:i w:val="0"/>
          <w:color w:val="auto"/>
          <w:highlight w:val="none"/>
          <w:lang w:eastAsia="zh-CN"/>
        </w:rPr>
      </w:pPr>
    </w:p>
    <w:sectPr>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ì.">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Marigold">
    <w:altName w:val="Segoe Print"/>
    <w:panose1 w:val="00000000000000000000"/>
    <w:charset w:val="00"/>
    <w:family w:val="script"/>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3373848"/>
    </w:sdtPr>
    <w:sdtContent>
      <w:p>
        <w:pPr>
          <w:pStyle w:val="17"/>
          <w:jc w:val="center"/>
        </w:pPr>
        <w:r>
          <w:rPr>
            <w:rFonts w:ascii="仿宋" w:hAnsi="仿宋" w:eastAsia="仿宋"/>
            <w:i w:val="0"/>
          </w:rPr>
          <w:fldChar w:fldCharType="begin"/>
        </w:r>
        <w:r>
          <w:rPr>
            <w:rFonts w:ascii="仿宋" w:hAnsi="仿宋" w:eastAsia="仿宋"/>
            <w:i w:val="0"/>
          </w:rPr>
          <w:instrText xml:space="preserve">PAGE   \* MERGEFORMAT</w:instrText>
        </w:r>
        <w:r>
          <w:rPr>
            <w:rFonts w:ascii="仿宋" w:hAnsi="仿宋" w:eastAsia="仿宋"/>
            <w:i w:val="0"/>
          </w:rPr>
          <w:fldChar w:fldCharType="separate"/>
        </w:r>
        <w:r>
          <w:rPr>
            <w:rFonts w:ascii="仿宋" w:hAnsi="仿宋" w:eastAsia="仿宋"/>
            <w:i w:val="0"/>
            <w:lang w:val="zh-CN" w:eastAsia="zh-CN"/>
          </w:rPr>
          <w:t>2</w:t>
        </w:r>
        <w:r>
          <w:rPr>
            <w:rFonts w:ascii="仿宋" w:hAnsi="仿宋" w:eastAsia="仿宋"/>
            <w:i w:val="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spacing w:after="120"/>
      <w:rPr>
        <w:rStyle w:val="105"/>
      </w:rPr>
    </w:pPr>
    <w:r>
      <w:fldChar w:fldCharType="begin"/>
    </w:r>
    <w:r>
      <w:rPr>
        <w:rStyle w:val="105"/>
      </w:rPr>
      <w:instrText xml:space="preserve">PAGE  </w:instrText>
    </w:r>
    <w:r>
      <w:fldChar w:fldCharType="separate"/>
    </w:r>
    <w:r>
      <w:rPr>
        <w:rStyle w:val="105"/>
      </w:rPr>
      <w:t>5</w:t>
    </w:r>
    <w:r>
      <w:fldChar w:fldCharType="end"/>
    </w:r>
  </w:p>
  <w:p>
    <w:pPr>
      <w:pStyle w:val="17"/>
      <w:spacing w:after="120"/>
      <w:ind w:right="360"/>
    </w:pPr>
  </w:p>
  <w:p>
    <w:pPr>
      <w:spacing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b/>
      </w:rPr>
    </w:pPr>
    <w:r>
      <w:drawing>
        <wp:inline distT="0" distB="0" distL="114300" distR="114300">
          <wp:extent cx="2397125" cy="250190"/>
          <wp:effectExtent l="0" t="0" r="31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397125" cy="250190"/>
                  </a:xfrm>
                  <a:prstGeom prst="rect">
                    <a:avLst/>
                  </a:prstGeom>
                  <a:noFill/>
                  <a:ln>
                    <a:noFill/>
                  </a:ln>
                </pic:spPr>
              </pic:pic>
            </a:graphicData>
          </a:graphic>
        </wp:inline>
      </w:drawing>
    </w:r>
    <w:r>
      <w:rPr>
        <w:rFonts w:hint="eastAsia"/>
      </w:rPr>
      <w:t xml:space="preserve"> </w:t>
    </w:r>
    <w:r>
      <w:rPr>
        <w:rFonts w:hint="eastAsia"/>
        <w:lang w:val="en-US" w:eastAsia="zh-CN"/>
      </w:rPr>
      <w:t xml:space="preserve">                           </w:t>
    </w:r>
    <w:r>
      <w:rPr>
        <w:rFonts w:hint="eastAsia" w:ascii="仿宋" w:hAnsi="仿宋" w:eastAsia="仿宋" w:cs="仿宋"/>
        <w:b/>
        <w:bCs/>
        <w:i w:val="0"/>
        <w:iCs w:val="0"/>
        <w:color w:val="2B2B2B"/>
        <w:sz w:val="21"/>
        <w:szCs w:val="21"/>
      </w:rPr>
      <w:t>公正诚信   专业创新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894408"/>
    <w:multiLevelType w:val="singleLevel"/>
    <w:tmpl w:val="B7894408"/>
    <w:lvl w:ilvl="0" w:tentative="0">
      <w:start w:val="2"/>
      <w:numFmt w:val="decimal"/>
      <w:suff w:val="space"/>
      <w:lvlText w:val="%1、"/>
      <w:lvlJc w:val="left"/>
    </w:lvl>
  </w:abstractNum>
  <w:abstractNum w:abstractNumId="1">
    <w:nsid w:val="E8773A6A"/>
    <w:multiLevelType w:val="singleLevel"/>
    <w:tmpl w:val="E8773A6A"/>
    <w:lvl w:ilvl="0" w:tentative="0">
      <w:start w:val="4"/>
      <w:numFmt w:val="chineseCounting"/>
      <w:suff w:val="nothing"/>
      <w:lvlText w:val="%1、"/>
      <w:lvlJc w:val="left"/>
      <w:rPr>
        <w:rFonts w:hint="eastAsia"/>
      </w:rPr>
    </w:lvl>
  </w:abstractNum>
  <w:abstractNum w:abstractNumId="2">
    <w:nsid w:val="0000000B"/>
    <w:multiLevelType w:val="multilevel"/>
    <w:tmpl w:val="0000000B"/>
    <w:lvl w:ilvl="0" w:tentative="0">
      <w:start w:val="1"/>
      <w:numFmt w:val="bullet"/>
      <w:pStyle w:val="61"/>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
    <w:nsid w:val="0000000D"/>
    <w:multiLevelType w:val="multilevel"/>
    <w:tmpl w:val="0000000D"/>
    <w:lvl w:ilvl="0" w:tentative="0">
      <w:start w:val="1"/>
      <w:numFmt w:val="decimal"/>
      <w:pStyle w:val="58"/>
      <w:isLgl/>
      <w:lvlText w:val="%1"/>
      <w:lvlJc w:val="left"/>
      <w:pPr>
        <w:ind w:left="425" w:hanging="425"/>
      </w:pPr>
      <w:rPr>
        <w:rFonts w:hint="eastAsia"/>
      </w:rPr>
    </w:lvl>
    <w:lvl w:ilvl="1" w:tentative="0">
      <w:start w:val="1"/>
      <w:numFmt w:val="decimal"/>
      <w:pStyle w:val="57"/>
      <w:isLgl/>
      <w:lvlText w:val="%1.%2"/>
      <w:lvlJc w:val="left"/>
      <w:pPr>
        <w:ind w:left="992" w:hanging="567"/>
      </w:pPr>
      <w:rPr>
        <w:rFonts w:hint="eastAsia"/>
      </w:rPr>
    </w:lvl>
    <w:lvl w:ilvl="2" w:tentative="0">
      <w:start w:val="25"/>
      <w:numFmt w:val="decimal"/>
      <w:lvlText w:val="%3."/>
      <w:lvlJc w:val="left"/>
      <w:pPr>
        <w:ind w:left="1418" w:hanging="964"/>
      </w:pPr>
      <w:rPr>
        <w:rFonts w:hint="eastAsia" w:ascii="宋体" w:hAnsi="宋体" w:eastAsia="宋体" w:cs="Times New Roman"/>
        <w:bCs w:val="0"/>
        <w:i w:val="0"/>
        <w:iCs w:val="0"/>
        <w:caps w:val="0"/>
        <w:smallCaps w:val="0"/>
        <w:strike w:val="0"/>
        <w:dstrike w:val="0"/>
        <w:color w:val="000000"/>
        <w:spacing w:val="0"/>
        <w:kern w:val="0"/>
        <w:position w:val="0"/>
        <w:sz w:val="24"/>
        <w:szCs w:val="24"/>
        <w:u w:val="none"/>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000000E"/>
    <w:multiLevelType w:val="multilevel"/>
    <w:tmpl w:val="0000000E"/>
    <w:lvl w:ilvl="0" w:tentative="0">
      <w:start w:val="1"/>
      <w:numFmt w:val="decimal"/>
      <w:lvlText w:val="%1."/>
      <w:lvlJc w:val="left"/>
      <w:pPr>
        <w:ind w:left="360" w:hanging="360"/>
      </w:pPr>
      <w:rPr>
        <w:rFonts w:hint="default" w:ascii="仿宋" w:hAnsi="仿宋" w:eastAsia="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pStyle w:val="59"/>
      <w:lvlText w:val="1.3.%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988065"/>
    <w:multiLevelType w:val="singleLevel"/>
    <w:tmpl w:val="71988065"/>
    <w:lvl w:ilvl="0" w:tentative="0">
      <w:start w:val="1"/>
      <w:numFmt w:val="decimal"/>
      <w:suff w:val="nothing"/>
      <w:lvlText w:val="%1、"/>
      <w:lvlJc w:val="left"/>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22"/>
    <w:rsid w:val="000013FF"/>
    <w:rsid w:val="00001690"/>
    <w:rsid w:val="000037BA"/>
    <w:rsid w:val="00005934"/>
    <w:rsid w:val="000059BE"/>
    <w:rsid w:val="00007C13"/>
    <w:rsid w:val="00012947"/>
    <w:rsid w:val="00015506"/>
    <w:rsid w:val="00015BA7"/>
    <w:rsid w:val="00016EDF"/>
    <w:rsid w:val="0001723B"/>
    <w:rsid w:val="00017266"/>
    <w:rsid w:val="00020097"/>
    <w:rsid w:val="0002027E"/>
    <w:rsid w:val="00020F08"/>
    <w:rsid w:val="00023FB6"/>
    <w:rsid w:val="00024BE0"/>
    <w:rsid w:val="00024C9D"/>
    <w:rsid w:val="00025CBA"/>
    <w:rsid w:val="0003188B"/>
    <w:rsid w:val="00032AB7"/>
    <w:rsid w:val="00033575"/>
    <w:rsid w:val="0003602E"/>
    <w:rsid w:val="000362B9"/>
    <w:rsid w:val="00036752"/>
    <w:rsid w:val="00036804"/>
    <w:rsid w:val="000400B3"/>
    <w:rsid w:val="000407F2"/>
    <w:rsid w:val="00040997"/>
    <w:rsid w:val="00041382"/>
    <w:rsid w:val="0004467E"/>
    <w:rsid w:val="000451C5"/>
    <w:rsid w:val="00045D6D"/>
    <w:rsid w:val="00045E79"/>
    <w:rsid w:val="0004607B"/>
    <w:rsid w:val="00046A04"/>
    <w:rsid w:val="00046C31"/>
    <w:rsid w:val="00046CE0"/>
    <w:rsid w:val="00046FB3"/>
    <w:rsid w:val="000528EC"/>
    <w:rsid w:val="00054DD3"/>
    <w:rsid w:val="00055A12"/>
    <w:rsid w:val="00055C4B"/>
    <w:rsid w:val="00056C40"/>
    <w:rsid w:val="0006164A"/>
    <w:rsid w:val="0006394D"/>
    <w:rsid w:val="00063F4E"/>
    <w:rsid w:val="0006462A"/>
    <w:rsid w:val="00065745"/>
    <w:rsid w:val="00066587"/>
    <w:rsid w:val="00070B4A"/>
    <w:rsid w:val="0007275E"/>
    <w:rsid w:val="00072AFD"/>
    <w:rsid w:val="00073305"/>
    <w:rsid w:val="00073EDF"/>
    <w:rsid w:val="000746C2"/>
    <w:rsid w:val="000759D0"/>
    <w:rsid w:val="00075A93"/>
    <w:rsid w:val="00075F1D"/>
    <w:rsid w:val="00084139"/>
    <w:rsid w:val="000843FE"/>
    <w:rsid w:val="000868EE"/>
    <w:rsid w:val="00087E13"/>
    <w:rsid w:val="00090C44"/>
    <w:rsid w:val="00092290"/>
    <w:rsid w:val="000922E6"/>
    <w:rsid w:val="00095958"/>
    <w:rsid w:val="0009680D"/>
    <w:rsid w:val="00096FC3"/>
    <w:rsid w:val="000A3562"/>
    <w:rsid w:val="000A3786"/>
    <w:rsid w:val="000A46B2"/>
    <w:rsid w:val="000A5C3E"/>
    <w:rsid w:val="000A75D7"/>
    <w:rsid w:val="000A77C6"/>
    <w:rsid w:val="000B0512"/>
    <w:rsid w:val="000B274A"/>
    <w:rsid w:val="000B314E"/>
    <w:rsid w:val="000B320C"/>
    <w:rsid w:val="000B4415"/>
    <w:rsid w:val="000B46D9"/>
    <w:rsid w:val="000B570E"/>
    <w:rsid w:val="000B5B5A"/>
    <w:rsid w:val="000B7A77"/>
    <w:rsid w:val="000B7D67"/>
    <w:rsid w:val="000C00F7"/>
    <w:rsid w:val="000C0353"/>
    <w:rsid w:val="000C1251"/>
    <w:rsid w:val="000C246A"/>
    <w:rsid w:val="000C25B0"/>
    <w:rsid w:val="000C2EC4"/>
    <w:rsid w:val="000C6470"/>
    <w:rsid w:val="000C69DE"/>
    <w:rsid w:val="000C7CF0"/>
    <w:rsid w:val="000D0688"/>
    <w:rsid w:val="000D12AC"/>
    <w:rsid w:val="000D22BF"/>
    <w:rsid w:val="000D321C"/>
    <w:rsid w:val="000D3C70"/>
    <w:rsid w:val="000D7264"/>
    <w:rsid w:val="000D7DD4"/>
    <w:rsid w:val="000E2E49"/>
    <w:rsid w:val="000E339D"/>
    <w:rsid w:val="000E36B5"/>
    <w:rsid w:val="000E3F1C"/>
    <w:rsid w:val="000E52C1"/>
    <w:rsid w:val="000F074A"/>
    <w:rsid w:val="000F25BB"/>
    <w:rsid w:val="000F3128"/>
    <w:rsid w:val="000F3F46"/>
    <w:rsid w:val="000F4B37"/>
    <w:rsid w:val="000F5268"/>
    <w:rsid w:val="000F5C72"/>
    <w:rsid w:val="000F6563"/>
    <w:rsid w:val="0010282B"/>
    <w:rsid w:val="00102870"/>
    <w:rsid w:val="00102C33"/>
    <w:rsid w:val="00103DA4"/>
    <w:rsid w:val="00110D86"/>
    <w:rsid w:val="0011125C"/>
    <w:rsid w:val="00112215"/>
    <w:rsid w:val="001125A5"/>
    <w:rsid w:val="00116A6F"/>
    <w:rsid w:val="00120BB6"/>
    <w:rsid w:val="0012214F"/>
    <w:rsid w:val="001225EC"/>
    <w:rsid w:val="001237B3"/>
    <w:rsid w:val="00124787"/>
    <w:rsid w:val="00125850"/>
    <w:rsid w:val="00125F22"/>
    <w:rsid w:val="00126C37"/>
    <w:rsid w:val="00126F7E"/>
    <w:rsid w:val="001273E9"/>
    <w:rsid w:val="00127EDD"/>
    <w:rsid w:val="0013049C"/>
    <w:rsid w:val="00133FC2"/>
    <w:rsid w:val="00136B12"/>
    <w:rsid w:val="00140582"/>
    <w:rsid w:val="001428F7"/>
    <w:rsid w:val="0014344F"/>
    <w:rsid w:val="001446DD"/>
    <w:rsid w:val="00147DF6"/>
    <w:rsid w:val="001518BD"/>
    <w:rsid w:val="0015236A"/>
    <w:rsid w:val="0015265C"/>
    <w:rsid w:val="00154BFD"/>
    <w:rsid w:val="001572B1"/>
    <w:rsid w:val="00162A07"/>
    <w:rsid w:val="00164F82"/>
    <w:rsid w:val="00166BF1"/>
    <w:rsid w:val="0017105F"/>
    <w:rsid w:val="00172F1C"/>
    <w:rsid w:val="0017482B"/>
    <w:rsid w:val="00174A07"/>
    <w:rsid w:val="001754EC"/>
    <w:rsid w:val="001756D9"/>
    <w:rsid w:val="00175A7D"/>
    <w:rsid w:val="00176B35"/>
    <w:rsid w:val="00176F17"/>
    <w:rsid w:val="00180D77"/>
    <w:rsid w:val="00181462"/>
    <w:rsid w:val="00182BDE"/>
    <w:rsid w:val="0018353B"/>
    <w:rsid w:val="0018373F"/>
    <w:rsid w:val="001840FC"/>
    <w:rsid w:val="0018559F"/>
    <w:rsid w:val="00190B1C"/>
    <w:rsid w:val="00190FAD"/>
    <w:rsid w:val="001939BB"/>
    <w:rsid w:val="001945B9"/>
    <w:rsid w:val="00194F50"/>
    <w:rsid w:val="00195BA6"/>
    <w:rsid w:val="00196AFE"/>
    <w:rsid w:val="001A0417"/>
    <w:rsid w:val="001A187C"/>
    <w:rsid w:val="001A1E2B"/>
    <w:rsid w:val="001A25A0"/>
    <w:rsid w:val="001A2A61"/>
    <w:rsid w:val="001A4F9B"/>
    <w:rsid w:val="001A5915"/>
    <w:rsid w:val="001A6B2B"/>
    <w:rsid w:val="001B023C"/>
    <w:rsid w:val="001B2146"/>
    <w:rsid w:val="001B368D"/>
    <w:rsid w:val="001B4C40"/>
    <w:rsid w:val="001B4DA7"/>
    <w:rsid w:val="001C7DE0"/>
    <w:rsid w:val="001D0CC0"/>
    <w:rsid w:val="001D109B"/>
    <w:rsid w:val="001D158A"/>
    <w:rsid w:val="001D5DEB"/>
    <w:rsid w:val="001D6EB6"/>
    <w:rsid w:val="001E5538"/>
    <w:rsid w:val="001E60C7"/>
    <w:rsid w:val="001E6BF1"/>
    <w:rsid w:val="001E7B44"/>
    <w:rsid w:val="001E7EFD"/>
    <w:rsid w:val="001F02CE"/>
    <w:rsid w:val="001F03AF"/>
    <w:rsid w:val="001F13CB"/>
    <w:rsid w:val="001F20DA"/>
    <w:rsid w:val="001F22CA"/>
    <w:rsid w:val="001F3C1B"/>
    <w:rsid w:val="001F3F5C"/>
    <w:rsid w:val="001F5CFE"/>
    <w:rsid w:val="002014E3"/>
    <w:rsid w:val="00202057"/>
    <w:rsid w:val="002027FF"/>
    <w:rsid w:val="00202AAC"/>
    <w:rsid w:val="002042C3"/>
    <w:rsid w:val="002045DB"/>
    <w:rsid w:val="00204ACC"/>
    <w:rsid w:val="00205232"/>
    <w:rsid w:val="00206392"/>
    <w:rsid w:val="00207858"/>
    <w:rsid w:val="00207C54"/>
    <w:rsid w:val="00207FB3"/>
    <w:rsid w:val="0021065A"/>
    <w:rsid w:val="00210ADD"/>
    <w:rsid w:val="002139D0"/>
    <w:rsid w:val="002141C3"/>
    <w:rsid w:val="00216993"/>
    <w:rsid w:val="00216AB9"/>
    <w:rsid w:val="002210E8"/>
    <w:rsid w:val="0022149F"/>
    <w:rsid w:val="00223C4B"/>
    <w:rsid w:val="0022583F"/>
    <w:rsid w:val="002260E9"/>
    <w:rsid w:val="002305BB"/>
    <w:rsid w:val="00233244"/>
    <w:rsid w:val="002349B2"/>
    <w:rsid w:val="00234B09"/>
    <w:rsid w:val="0023586B"/>
    <w:rsid w:val="00235A1B"/>
    <w:rsid w:val="00236825"/>
    <w:rsid w:val="00237341"/>
    <w:rsid w:val="002374C7"/>
    <w:rsid w:val="00237C6D"/>
    <w:rsid w:val="00240821"/>
    <w:rsid w:val="00240E8F"/>
    <w:rsid w:val="00240F91"/>
    <w:rsid w:val="002419C9"/>
    <w:rsid w:val="00242002"/>
    <w:rsid w:val="00242EEF"/>
    <w:rsid w:val="00243A6B"/>
    <w:rsid w:val="00247381"/>
    <w:rsid w:val="00247BB6"/>
    <w:rsid w:val="0025005B"/>
    <w:rsid w:val="002508E4"/>
    <w:rsid w:val="00251809"/>
    <w:rsid w:val="00251D4B"/>
    <w:rsid w:val="0025249F"/>
    <w:rsid w:val="00254154"/>
    <w:rsid w:val="00255012"/>
    <w:rsid w:val="002564CE"/>
    <w:rsid w:val="00256922"/>
    <w:rsid w:val="002577B7"/>
    <w:rsid w:val="00257B16"/>
    <w:rsid w:val="002616D1"/>
    <w:rsid w:val="002637E8"/>
    <w:rsid w:val="0026471F"/>
    <w:rsid w:val="002650E3"/>
    <w:rsid w:val="00265906"/>
    <w:rsid w:val="002666E9"/>
    <w:rsid w:val="00273D9F"/>
    <w:rsid w:val="00274FCA"/>
    <w:rsid w:val="002761C8"/>
    <w:rsid w:val="00280866"/>
    <w:rsid w:val="00281F9E"/>
    <w:rsid w:val="002826CB"/>
    <w:rsid w:val="002835EB"/>
    <w:rsid w:val="00285631"/>
    <w:rsid w:val="00287559"/>
    <w:rsid w:val="00287CDF"/>
    <w:rsid w:val="0029323D"/>
    <w:rsid w:val="0029498C"/>
    <w:rsid w:val="0029513D"/>
    <w:rsid w:val="00296A73"/>
    <w:rsid w:val="002A009C"/>
    <w:rsid w:val="002A2D5C"/>
    <w:rsid w:val="002A307E"/>
    <w:rsid w:val="002A38BC"/>
    <w:rsid w:val="002A5506"/>
    <w:rsid w:val="002A5B88"/>
    <w:rsid w:val="002B2CB2"/>
    <w:rsid w:val="002B2FA5"/>
    <w:rsid w:val="002B3553"/>
    <w:rsid w:val="002B4C15"/>
    <w:rsid w:val="002C0F69"/>
    <w:rsid w:val="002C13C7"/>
    <w:rsid w:val="002C1CB2"/>
    <w:rsid w:val="002C3C3F"/>
    <w:rsid w:val="002C4059"/>
    <w:rsid w:val="002C6552"/>
    <w:rsid w:val="002D073E"/>
    <w:rsid w:val="002D310A"/>
    <w:rsid w:val="002D46FB"/>
    <w:rsid w:val="002D4E30"/>
    <w:rsid w:val="002D551C"/>
    <w:rsid w:val="002D5CAB"/>
    <w:rsid w:val="002D6876"/>
    <w:rsid w:val="002D6B00"/>
    <w:rsid w:val="002E3130"/>
    <w:rsid w:val="002E3F39"/>
    <w:rsid w:val="002E5CF0"/>
    <w:rsid w:val="002F093D"/>
    <w:rsid w:val="002F604B"/>
    <w:rsid w:val="002F693E"/>
    <w:rsid w:val="002F7608"/>
    <w:rsid w:val="002F79D1"/>
    <w:rsid w:val="00301B05"/>
    <w:rsid w:val="003033C4"/>
    <w:rsid w:val="00307E09"/>
    <w:rsid w:val="0031056F"/>
    <w:rsid w:val="00310764"/>
    <w:rsid w:val="00311B77"/>
    <w:rsid w:val="00311E6C"/>
    <w:rsid w:val="00312356"/>
    <w:rsid w:val="00312F11"/>
    <w:rsid w:val="003135FE"/>
    <w:rsid w:val="0031714A"/>
    <w:rsid w:val="00325990"/>
    <w:rsid w:val="00325FBD"/>
    <w:rsid w:val="00326B5A"/>
    <w:rsid w:val="003275DD"/>
    <w:rsid w:val="00327648"/>
    <w:rsid w:val="00330FD0"/>
    <w:rsid w:val="00331591"/>
    <w:rsid w:val="003326C7"/>
    <w:rsid w:val="0033387D"/>
    <w:rsid w:val="00335CDD"/>
    <w:rsid w:val="003378F2"/>
    <w:rsid w:val="003404C0"/>
    <w:rsid w:val="00340F6B"/>
    <w:rsid w:val="003417EB"/>
    <w:rsid w:val="003449E3"/>
    <w:rsid w:val="0034666E"/>
    <w:rsid w:val="0034669A"/>
    <w:rsid w:val="00347784"/>
    <w:rsid w:val="0035052E"/>
    <w:rsid w:val="0035229E"/>
    <w:rsid w:val="0035442C"/>
    <w:rsid w:val="00355BDC"/>
    <w:rsid w:val="003568D9"/>
    <w:rsid w:val="00360E5D"/>
    <w:rsid w:val="00360F23"/>
    <w:rsid w:val="00362DFA"/>
    <w:rsid w:val="0036320A"/>
    <w:rsid w:val="00363ED2"/>
    <w:rsid w:val="00365331"/>
    <w:rsid w:val="003729B1"/>
    <w:rsid w:val="0037342E"/>
    <w:rsid w:val="003739D0"/>
    <w:rsid w:val="00373EF7"/>
    <w:rsid w:val="00375684"/>
    <w:rsid w:val="00375BBE"/>
    <w:rsid w:val="003767CB"/>
    <w:rsid w:val="00377F73"/>
    <w:rsid w:val="00380151"/>
    <w:rsid w:val="00381E9A"/>
    <w:rsid w:val="003830A9"/>
    <w:rsid w:val="00383907"/>
    <w:rsid w:val="00383F74"/>
    <w:rsid w:val="0038470E"/>
    <w:rsid w:val="00385972"/>
    <w:rsid w:val="00387879"/>
    <w:rsid w:val="003935C6"/>
    <w:rsid w:val="0039368E"/>
    <w:rsid w:val="00394389"/>
    <w:rsid w:val="0039707E"/>
    <w:rsid w:val="003A0843"/>
    <w:rsid w:val="003A123B"/>
    <w:rsid w:val="003A39D9"/>
    <w:rsid w:val="003A4435"/>
    <w:rsid w:val="003B01BF"/>
    <w:rsid w:val="003B10E2"/>
    <w:rsid w:val="003B1C46"/>
    <w:rsid w:val="003B27E0"/>
    <w:rsid w:val="003B42CC"/>
    <w:rsid w:val="003B486B"/>
    <w:rsid w:val="003B4E70"/>
    <w:rsid w:val="003B7FDC"/>
    <w:rsid w:val="003C013B"/>
    <w:rsid w:val="003C0974"/>
    <w:rsid w:val="003C097D"/>
    <w:rsid w:val="003C0CB4"/>
    <w:rsid w:val="003C0F26"/>
    <w:rsid w:val="003C2D99"/>
    <w:rsid w:val="003C2E00"/>
    <w:rsid w:val="003C5EA0"/>
    <w:rsid w:val="003C64F1"/>
    <w:rsid w:val="003C6794"/>
    <w:rsid w:val="003C779D"/>
    <w:rsid w:val="003D0289"/>
    <w:rsid w:val="003D192E"/>
    <w:rsid w:val="003D2E16"/>
    <w:rsid w:val="003D32FB"/>
    <w:rsid w:val="003D3719"/>
    <w:rsid w:val="003D472A"/>
    <w:rsid w:val="003D669F"/>
    <w:rsid w:val="003E4119"/>
    <w:rsid w:val="003E5CE5"/>
    <w:rsid w:val="003E6457"/>
    <w:rsid w:val="003F2C5B"/>
    <w:rsid w:val="003F4A96"/>
    <w:rsid w:val="003F590A"/>
    <w:rsid w:val="003F715A"/>
    <w:rsid w:val="003F7852"/>
    <w:rsid w:val="003F7C1B"/>
    <w:rsid w:val="00400033"/>
    <w:rsid w:val="004011A3"/>
    <w:rsid w:val="00403410"/>
    <w:rsid w:val="0040352C"/>
    <w:rsid w:val="00404CB3"/>
    <w:rsid w:val="004053B9"/>
    <w:rsid w:val="00405664"/>
    <w:rsid w:val="00410A3F"/>
    <w:rsid w:val="004119BC"/>
    <w:rsid w:val="004121A2"/>
    <w:rsid w:val="00416F7D"/>
    <w:rsid w:val="00416FF4"/>
    <w:rsid w:val="004170C8"/>
    <w:rsid w:val="004179AC"/>
    <w:rsid w:val="004203DC"/>
    <w:rsid w:val="00422C99"/>
    <w:rsid w:val="004235B4"/>
    <w:rsid w:val="0042500D"/>
    <w:rsid w:val="00425569"/>
    <w:rsid w:val="00425E6A"/>
    <w:rsid w:val="0042792B"/>
    <w:rsid w:val="0043001A"/>
    <w:rsid w:val="00430F6D"/>
    <w:rsid w:val="00431F9D"/>
    <w:rsid w:val="0043482F"/>
    <w:rsid w:val="00434A63"/>
    <w:rsid w:val="0043535B"/>
    <w:rsid w:val="00445621"/>
    <w:rsid w:val="00446521"/>
    <w:rsid w:val="00447630"/>
    <w:rsid w:val="00447E96"/>
    <w:rsid w:val="004514E4"/>
    <w:rsid w:val="00451B39"/>
    <w:rsid w:val="004521ED"/>
    <w:rsid w:val="00454007"/>
    <w:rsid w:val="00455026"/>
    <w:rsid w:val="00456249"/>
    <w:rsid w:val="00456BEA"/>
    <w:rsid w:val="00462045"/>
    <w:rsid w:val="004622E5"/>
    <w:rsid w:val="00463BB7"/>
    <w:rsid w:val="00465BDE"/>
    <w:rsid w:val="0046637B"/>
    <w:rsid w:val="00466724"/>
    <w:rsid w:val="00471437"/>
    <w:rsid w:val="00472289"/>
    <w:rsid w:val="00473575"/>
    <w:rsid w:val="004747F3"/>
    <w:rsid w:val="00476660"/>
    <w:rsid w:val="004767A6"/>
    <w:rsid w:val="004773CE"/>
    <w:rsid w:val="00477758"/>
    <w:rsid w:val="004804B5"/>
    <w:rsid w:val="00482B9C"/>
    <w:rsid w:val="00482E57"/>
    <w:rsid w:val="0048574A"/>
    <w:rsid w:val="0048581D"/>
    <w:rsid w:val="00490E3E"/>
    <w:rsid w:val="00491AFC"/>
    <w:rsid w:val="00493C09"/>
    <w:rsid w:val="00493F4A"/>
    <w:rsid w:val="0049661D"/>
    <w:rsid w:val="004A2C9A"/>
    <w:rsid w:val="004A3A9F"/>
    <w:rsid w:val="004A49B3"/>
    <w:rsid w:val="004A5232"/>
    <w:rsid w:val="004A7929"/>
    <w:rsid w:val="004B1592"/>
    <w:rsid w:val="004B2CB9"/>
    <w:rsid w:val="004B3A68"/>
    <w:rsid w:val="004B3BB8"/>
    <w:rsid w:val="004B50C8"/>
    <w:rsid w:val="004B5BAF"/>
    <w:rsid w:val="004B5E43"/>
    <w:rsid w:val="004B6C27"/>
    <w:rsid w:val="004C1560"/>
    <w:rsid w:val="004C1BDB"/>
    <w:rsid w:val="004C1DA7"/>
    <w:rsid w:val="004C21B5"/>
    <w:rsid w:val="004C29EA"/>
    <w:rsid w:val="004C5A6E"/>
    <w:rsid w:val="004C6F40"/>
    <w:rsid w:val="004C720E"/>
    <w:rsid w:val="004D0A91"/>
    <w:rsid w:val="004D1CFB"/>
    <w:rsid w:val="004D1E6C"/>
    <w:rsid w:val="004D3777"/>
    <w:rsid w:val="004D47AA"/>
    <w:rsid w:val="004E1043"/>
    <w:rsid w:val="004E32AD"/>
    <w:rsid w:val="004E3840"/>
    <w:rsid w:val="004E5012"/>
    <w:rsid w:val="004E6724"/>
    <w:rsid w:val="004F1091"/>
    <w:rsid w:val="004F30DA"/>
    <w:rsid w:val="004F3227"/>
    <w:rsid w:val="004F381B"/>
    <w:rsid w:val="004F3FE3"/>
    <w:rsid w:val="004F5500"/>
    <w:rsid w:val="004F60C4"/>
    <w:rsid w:val="004F7F95"/>
    <w:rsid w:val="005019F2"/>
    <w:rsid w:val="00502F4C"/>
    <w:rsid w:val="00503122"/>
    <w:rsid w:val="00503262"/>
    <w:rsid w:val="00503B64"/>
    <w:rsid w:val="0050594B"/>
    <w:rsid w:val="005066FE"/>
    <w:rsid w:val="00506C74"/>
    <w:rsid w:val="005102F6"/>
    <w:rsid w:val="00510635"/>
    <w:rsid w:val="00512838"/>
    <w:rsid w:val="00513A16"/>
    <w:rsid w:val="00514BB3"/>
    <w:rsid w:val="00517B05"/>
    <w:rsid w:val="00521A2A"/>
    <w:rsid w:val="005226CD"/>
    <w:rsid w:val="0052303E"/>
    <w:rsid w:val="00524504"/>
    <w:rsid w:val="00525AA8"/>
    <w:rsid w:val="00530594"/>
    <w:rsid w:val="00530A95"/>
    <w:rsid w:val="00530C77"/>
    <w:rsid w:val="00534129"/>
    <w:rsid w:val="00534E8B"/>
    <w:rsid w:val="005355E6"/>
    <w:rsid w:val="005377D6"/>
    <w:rsid w:val="00540251"/>
    <w:rsid w:val="00541BEB"/>
    <w:rsid w:val="00545163"/>
    <w:rsid w:val="00546BA3"/>
    <w:rsid w:val="00546F42"/>
    <w:rsid w:val="0054700A"/>
    <w:rsid w:val="0055192D"/>
    <w:rsid w:val="00553260"/>
    <w:rsid w:val="005540BB"/>
    <w:rsid w:val="005541BC"/>
    <w:rsid w:val="00555A61"/>
    <w:rsid w:val="00560E19"/>
    <w:rsid w:val="00560FF3"/>
    <w:rsid w:val="005614F1"/>
    <w:rsid w:val="005620E5"/>
    <w:rsid w:val="0056396D"/>
    <w:rsid w:val="00563FFA"/>
    <w:rsid w:val="00566BB5"/>
    <w:rsid w:val="005705AF"/>
    <w:rsid w:val="0057475E"/>
    <w:rsid w:val="00574CF4"/>
    <w:rsid w:val="00574D3B"/>
    <w:rsid w:val="005751D8"/>
    <w:rsid w:val="00577309"/>
    <w:rsid w:val="00577E92"/>
    <w:rsid w:val="00581147"/>
    <w:rsid w:val="00583369"/>
    <w:rsid w:val="00585C40"/>
    <w:rsid w:val="00586155"/>
    <w:rsid w:val="00586431"/>
    <w:rsid w:val="005867F2"/>
    <w:rsid w:val="005875C7"/>
    <w:rsid w:val="00591D85"/>
    <w:rsid w:val="00591F7F"/>
    <w:rsid w:val="0059222B"/>
    <w:rsid w:val="00595548"/>
    <w:rsid w:val="00595A27"/>
    <w:rsid w:val="00597C47"/>
    <w:rsid w:val="005A04DD"/>
    <w:rsid w:val="005A356D"/>
    <w:rsid w:val="005B13FE"/>
    <w:rsid w:val="005B1D50"/>
    <w:rsid w:val="005B377C"/>
    <w:rsid w:val="005B6A60"/>
    <w:rsid w:val="005C23AB"/>
    <w:rsid w:val="005C24A8"/>
    <w:rsid w:val="005C2951"/>
    <w:rsid w:val="005C388C"/>
    <w:rsid w:val="005C3D4B"/>
    <w:rsid w:val="005D0A6D"/>
    <w:rsid w:val="005D1A69"/>
    <w:rsid w:val="005D2FAB"/>
    <w:rsid w:val="005D35BF"/>
    <w:rsid w:val="005D3713"/>
    <w:rsid w:val="005D477E"/>
    <w:rsid w:val="005D4F10"/>
    <w:rsid w:val="005D521C"/>
    <w:rsid w:val="005D55A5"/>
    <w:rsid w:val="005D6C53"/>
    <w:rsid w:val="005D6F48"/>
    <w:rsid w:val="005D77D5"/>
    <w:rsid w:val="005E2449"/>
    <w:rsid w:val="005E2480"/>
    <w:rsid w:val="005E2492"/>
    <w:rsid w:val="005E3386"/>
    <w:rsid w:val="005E3476"/>
    <w:rsid w:val="005F0B82"/>
    <w:rsid w:val="005F317F"/>
    <w:rsid w:val="005F3249"/>
    <w:rsid w:val="005F60BD"/>
    <w:rsid w:val="005F6453"/>
    <w:rsid w:val="005F6673"/>
    <w:rsid w:val="006049F8"/>
    <w:rsid w:val="00605167"/>
    <w:rsid w:val="00605F03"/>
    <w:rsid w:val="00607555"/>
    <w:rsid w:val="006077FF"/>
    <w:rsid w:val="00607A21"/>
    <w:rsid w:val="006129C8"/>
    <w:rsid w:val="00614C41"/>
    <w:rsid w:val="00617032"/>
    <w:rsid w:val="00622503"/>
    <w:rsid w:val="006230BB"/>
    <w:rsid w:val="00623A4E"/>
    <w:rsid w:val="006243BE"/>
    <w:rsid w:val="00627E88"/>
    <w:rsid w:val="00630420"/>
    <w:rsid w:val="00630D68"/>
    <w:rsid w:val="00631E41"/>
    <w:rsid w:val="006332E4"/>
    <w:rsid w:val="006343CF"/>
    <w:rsid w:val="00634492"/>
    <w:rsid w:val="00636C3E"/>
    <w:rsid w:val="0064021E"/>
    <w:rsid w:val="006409F5"/>
    <w:rsid w:val="00640B7F"/>
    <w:rsid w:val="00640E21"/>
    <w:rsid w:val="00640F8C"/>
    <w:rsid w:val="00641888"/>
    <w:rsid w:val="00644041"/>
    <w:rsid w:val="00644A2D"/>
    <w:rsid w:val="006453E5"/>
    <w:rsid w:val="00650287"/>
    <w:rsid w:val="0065036D"/>
    <w:rsid w:val="00650B97"/>
    <w:rsid w:val="00652D6D"/>
    <w:rsid w:val="006533BC"/>
    <w:rsid w:val="00655784"/>
    <w:rsid w:val="006578DB"/>
    <w:rsid w:val="00657A47"/>
    <w:rsid w:val="00660E9C"/>
    <w:rsid w:val="0066133E"/>
    <w:rsid w:val="00661FDC"/>
    <w:rsid w:val="00662A8B"/>
    <w:rsid w:val="00663B93"/>
    <w:rsid w:val="006648D7"/>
    <w:rsid w:val="00666A87"/>
    <w:rsid w:val="00666C0D"/>
    <w:rsid w:val="0067170A"/>
    <w:rsid w:val="00673B9D"/>
    <w:rsid w:val="00673EEF"/>
    <w:rsid w:val="006749C5"/>
    <w:rsid w:val="00676318"/>
    <w:rsid w:val="006766D5"/>
    <w:rsid w:val="00676B5F"/>
    <w:rsid w:val="006778E5"/>
    <w:rsid w:val="00685160"/>
    <w:rsid w:val="0068593A"/>
    <w:rsid w:val="00685D2E"/>
    <w:rsid w:val="00685E03"/>
    <w:rsid w:val="00691B04"/>
    <w:rsid w:val="0069324F"/>
    <w:rsid w:val="006938D6"/>
    <w:rsid w:val="006942D7"/>
    <w:rsid w:val="00694B5F"/>
    <w:rsid w:val="006951C3"/>
    <w:rsid w:val="00697AA6"/>
    <w:rsid w:val="006A0CDE"/>
    <w:rsid w:val="006A178E"/>
    <w:rsid w:val="006A262B"/>
    <w:rsid w:val="006B452C"/>
    <w:rsid w:val="006B540B"/>
    <w:rsid w:val="006B76AE"/>
    <w:rsid w:val="006C079F"/>
    <w:rsid w:val="006C4619"/>
    <w:rsid w:val="006C63FB"/>
    <w:rsid w:val="006C6ABB"/>
    <w:rsid w:val="006C7984"/>
    <w:rsid w:val="006D02CD"/>
    <w:rsid w:val="006D2DE1"/>
    <w:rsid w:val="006D61A8"/>
    <w:rsid w:val="006D70A6"/>
    <w:rsid w:val="006E6A36"/>
    <w:rsid w:val="006E6C63"/>
    <w:rsid w:val="006F0193"/>
    <w:rsid w:val="006F4E2D"/>
    <w:rsid w:val="006F5577"/>
    <w:rsid w:val="006F6732"/>
    <w:rsid w:val="006F7B70"/>
    <w:rsid w:val="00701A50"/>
    <w:rsid w:val="00703B40"/>
    <w:rsid w:val="00704145"/>
    <w:rsid w:val="0070586F"/>
    <w:rsid w:val="00705BC1"/>
    <w:rsid w:val="007060A4"/>
    <w:rsid w:val="00711032"/>
    <w:rsid w:val="0071355D"/>
    <w:rsid w:val="00713DEE"/>
    <w:rsid w:val="00714A71"/>
    <w:rsid w:val="0071667A"/>
    <w:rsid w:val="00723876"/>
    <w:rsid w:val="00724405"/>
    <w:rsid w:val="007268BB"/>
    <w:rsid w:val="007279C6"/>
    <w:rsid w:val="00727F11"/>
    <w:rsid w:val="00731752"/>
    <w:rsid w:val="007343B6"/>
    <w:rsid w:val="00737E31"/>
    <w:rsid w:val="007420F4"/>
    <w:rsid w:val="00742A0A"/>
    <w:rsid w:val="00743922"/>
    <w:rsid w:val="00743B24"/>
    <w:rsid w:val="00743B96"/>
    <w:rsid w:val="00744678"/>
    <w:rsid w:val="00745333"/>
    <w:rsid w:val="0074716B"/>
    <w:rsid w:val="00750178"/>
    <w:rsid w:val="00751574"/>
    <w:rsid w:val="007515FB"/>
    <w:rsid w:val="007520C4"/>
    <w:rsid w:val="00752352"/>
    <w:rsid w:val="007560F5"/>
    <w:rsid w:val="00760145"/>
    <w:rsid w:val="007608DA"/>
    <w:rsid w:val="007609AC"/>
    <w:rsid w:val="00761994"/>
    <w:rsid w:val="00761BA3"/>
    <w:rsid w:val="00762323"/>
    <w:rsid w:val="00762B8C"/>
    <w:rsid w:val="007637EB"/>
    <w:rsid w:val="00763EDC"/>
    <w:rsid w:val="00765334"/>
    <w:rsid w:val="0076665E"/>
    <w:rsid w:val="007707A3"/>
    <w:rsid w:val="00772F69"/>
    <w:rsid w:val="00776EB5"/>
    <w:rsid w:val="00777803"/>
    <w:rsid w:val="007837DB"/>
    <w:rsid w:val="00785923"/>
    <w:rsid w:val="007859FF"/>
    <w:rsid w:val="007860B1"/>
    <w:rsid w:val="00792429"/>
    <w:rsid w:val="00793F9D"/>
    <w:rsid w:val="00797E03"/>
    <w:rsid w:val="007A08B5"/>
    <w:rsid w:val="007A1165"/>
    <w:rsid w:val="007A1AA5"/>
    <w:rsid w:val="007A23C9"/>
    <w:rsid w:val="007A23DF"/>
    <w:rsid w:val="007A4FE3"/>
    <w:rsid w:val="007A60B0"/>
    <w:rsid w:val="007A6AC7"/>
    <w:rsid w:val="007A6B57"/>
    <w:rsid w:val="007A784B"/>
    <w:rsid w:val="007B01CB"/>
    <w:rsid w:val="007B02A3"/>
    <w:rsid w:val="007B03D4"/>
    <w:rsid w:val="007B0FA8"/>
    <w:rsid w:val="007B132E"/>
    <w:rsid w:val="007B3E8B"/>
    <w:rsid w:val="007B54A7"/>
    <w:rsid w:val="007B5908"/>
    <w:rsid w:val="007B5BEA"/>
    <w:rsid w:val="007B5CBF"/>
    <w:rsid w:val="007B695A"/>
    <w:rsid w:val="007B753B"/>
    <w:rsid w:val="007B7F1D"/>
    <w:rsid w:val="007C0F00"/>
    <w:rsid w:val="007C4959"/>
    <w:rsid w:val="007C5E65"/>
    <w:rsid w:val="007C715B"/>
    <w:rsid w:val="007D31AE"/>
    <w:rsid w:val="007D3FB6"/>
    <w:rsid w:val="007D41B7"/>
    <w:rsid w:val="007D41BA"/>
    <w:rsid w:val="007D7705"/>
    <w:rsid w:val="007D7707"/>
    <w:rsid w:val="007E0445"/>
    <w:rsid w:val="007E1CC9"/>
    <w:rsid w:val="007E30A6"/>
    <w:rsid w:val="007E34BF"/>
    <w:rsid w:val="007E3658"/>
    <w:rsid w:val="007E52C3"/>
    <w:rsid w:val="007E5F80"/>
    <w:rsid w:val="007E70AC"/>
    <w:rsid w:val="007F0851"/>
    <w:rsid w:val="00800931"/>
    <w:rsid w:val="00803818"/>
    <w:rsid w:val="00803CFD"/>
    <w:rsid w:val="00805DD9"/>
    <w:rsid w:val="008067C0"/>
    <w:rsid w:val="008074A9"/>
    <w:rsid w:val="00807533"/>
    <w:rsid w:val="008078BE"/>
    <w:rsid w:val="00810581"/>
    <w:rsid w:val="00812E49"/>
    <w:rsid w:val="00813122"/>
    <w:rsid w:val="008136E4"/>
    <w:rsid w:val="00815635"/>
    <w:rsid w:val="00822332"/>
    <w:rsid w:val="0082370B"/>
    <w:rsid w:val="00825301"/>
    <w:rsid w:val="008304EA"/>
    <w:rsid w:val="00831ACD"/>
    <w:rsid w:val="008340E7"/>
    <w:rsid w:val="00834258"/>
    <w:rsid w:val="0083441D"/>
    <w:rsid w:val="00837560"/>
    <w:rsid w:val="00837A89"/>
    <w:rsid w:val="00841A68"/>
    <w:rsid w:val="00844404"/>
    <w:rsid w:val="0084459A"/>
    <w:rsid w:val="00845129"/>
    <w:rsid w:val="00847D57"/>
    <w:rsid w:val="008519E7"/>
    <w:rsid w:val="00852229"/>
    <w:rsid w:val="00855252"/>
    <w:rsid w:val="008578B7"/>
    <w:rsid w:val="00860C55"/>
    <w:rsid w:val="00862CC4"/>
    <w:rsid w:val="00862EE0"/>
    <w:rsid w:val="008631DC"/>
    <w:rsid w:val="0086476A"/>
    <w:rsid w:val="00864CEA"/>
    <w:rsid w:val="00865DE4"/>
    <w:rsid w:val="00870357"/>
    <w:rsid w:val="00871182"/>
    <w:rsid w:val="00871565"/>
    <w:rsid w:val="008719A8"/>
    <w:rsid w:val="00872D9B"/>
    <w:rsid w:val="00872FFC"/>
    <w:rsid w:val="00874358"/>
    <w:rsid w:val="00874479"/>
    <w:rsid w:val="00874C32"/>
    <w:rsid w:val="0087514F"/>
    <w:rsid w:val="0087676A"/>
    <w:rsid w:val="00876FBD"/>
    <w:rsid w:val="00882A42"/>
    <w:rsid w:val="00883095"/>
    <w:rsid w:val="008839BF"/>
    <w:rsid w:val="00884F30"/>
    <w:rsid w:val="00890B4B"/>
    <w:rsid w:val="00890E14"/>
    <w:rsid w:val="00891950"/>
    <w:rsid w:val="00893E19"/>
    <w:rsid w:val="00894201"/>
    <w:rsid w:val="00896F98"/>
    <w:rsid w:val="0089751B"/>
    <w:rsid w:val="008978E8"/>
    <w:rsid w:val="008A17DF"/>
    <w:rsid w:val="008A4891"/>
    <w:rsid w:val="008A645B"/>
    <w:rsid w:val="008A6ACF"/>
    <w:rsid w:val="008B2B53"/>
    <w:rsid w:val="008B3061"/>
    <w:rsid w:val="008B4688"/>
    <w:rsid w:val="008B5324"/>
    <w:rsid w:val="008B59EC"/>
    <w:rsid w:val="008C078D"/>
    <w:rsid w:val="008C1363"/>
    <w:rsid w:val="008C156A"/>
    <w:rsid w:val="008C3DB7"/>
    <w:rsid w:val="008C4A5E"/>
    <w:rsid w:val="008C4B45"/>
    <w:rsid w:val="008C5BE4"/>
    <w:rsid w:val="008C60DF"/>
    <w:rsid w:val="008D087F"/>
    <w:rsid w:val="008D0D2E"/>
    <w:rsid w:val="008D4DD3"/>
    <w:rsid w:val="008D54B8"/>
    <w:rsid w:val="008E1975"/>
    <w:rsid w:val="008E27EF"/>
    <w:rsid w:val="008E37B7"/>
    <w:rsid w:val="008E44B7"/>
    <w:rsid w:val="008E49CA"/>
    <w:rsid w:val="008E778F"/>
    <w:rsid w:val="008F0589"/>
    <w:rsid w:val="008F0DBF"/>
    <w:rsid w:val="008F3897"/>
    <w:rsid w:val="008F3912"/>
    <w:rsid w:val="008F3CF9"/>
    <w:rsid w:val="008F3DA4"/>
    <w:rsid w:val="008F4FE8"/>
    <w:rsid w:val="008F5E3F"/>
    <w:rsid w:val="009005D4"/>
    <w:rsid w:val="00901A08"/>
    <w:rsid w:val="0090357B"/>
    <w:rsid w:val="009066B4"/>
    <w:rsid w:val="00906CA1"/>
    <w:rsid w:val="0090795F"/>
    <w:rsid w:val="009104BA"/>
    <w:rsid w:val="009109E6"/>
    <w:rsid w:val="00912240"/>
    <w:rsid w:val="00912E6E"/>
    <w:rsid w:val="0091450D"/>
    <w:rsid w:val="009158BD"/>
    <w:rsid w:val="009174FB"/>
    <w:rsid w:val="009213F8"/>
    <w:rsid w:val="00921C82"/>
    <w:rsid w:val="00921C85"/>
    <w:rsid w:val="00924B5F"/>
    <w:rsid w:val="0092521F"/>
    <w:rsid w:val="009267DD"/>
    <w:rsid w:val="009317E8"/>
    <w:rsid w:val="00931FF2"/>
    <w:rsid w:val="00933F07"/>
    <w:rsid w:val="009346E0"/>
    <w:rsid w:val="009356BB"/>
    <w:rsid w:val="009364FB"/>
    <w:rsid w:val="00937F1D"/>
    <w:rsid w:val="00943559"/>
    <w:rsid w:val="00944070"/>
    <w:rsid w:val="009446D8"/>
    <w:rsid w:val="00944C7B"/>
    <w:rsid w:val="0094525C"/>
    <w:rsid w:val="00946728"/>
    <w:rsid w:val="00946B65"/>
    <w:rsid w:val="00950B9A"/>
    <w:rsid w:val="009511B1"/>
    <w:rsid w:val="0095134A"/>
    <w:rsid w:val="00951D91"/>
    <w:rsid w:val="00952A8B"/>
    <w:rsid w:val="00955544"/>
    <w:rsid w:val="00955B43"/>
    <w:rsid w:val="009565A5"/>
    <w:rsid w:val="00956668"/>
    <w:rsid w:val="00957E5C"/>
    <w:rsid w:val="00962456"/>
    <w:rsid w:val="009625C7"/>
    <w:rsid w:val="0096354E"/>
    <w:rsid w:val="00963E66"/>
    <w:rsid w:val="00965277"/>
    <w:rsid w:val="00966C11"/>
    <w:rsid w:val="00966C5C"/>
    <w:rsid w:val="0097151B"/>
    <w:rsid w:val="00972049"/>
    <w:rsid w:val="009744CB"/>
    <w:rsid w:val="009753A7"/>
    <w:rsid w:val="00975C80"/>
    <w:rsid w:val="0097650B"/>
    <w:rsid w:val="00976624"/>
    <w:rsid w:val="00976E69"/>
    <w:rsid w:val="00977837"/>
    <w:rsid w:val="00980CAD"/>
    <w:rsid w:val="0098115F"/>
    <w:rsid w:val="009840CA"/>
    <w:rsid w:val="00984508"/>
    <w:rsid w:val="0098486B"/>
    <w:rsid w:val="00987032"/>
    <w:rsid w:val="009876AC"/>
    <w:rsid w:val="00987F74"/>
    <w:rsid w:val="00990807"/>
    <w:rsid w:val="00992D74"/>
    <w:rsid w:val="009937F6"/>
    <w:rsid w:val="00993A40"/>
    <w:rsid w:val="009943DA"/>
    <w:rsid w:val="00994609"/>
    <w:rsid w:val="00994F2A"/>
    <w:rsid w:val="00995DEC"/>
    <w:rsid w:val="00996CB5"/>
    <w:rsid w:val="009A0BDD"/>
    <w:rsid w:val="009A17CC"/>
    <w:rsid w:val="009A210B"/>
    <w:rsid w:val="009A296F"/>
    <w:rsid w:val="009A2D06"/>
    <w:rsid w:val="009A5B72"/>
    <w:rsid w:val="009A62F3"/>
    <w:rsid w:val="009B016E"/>
    <w:rsid w:val="009B0FEB"/>
    <w:rsid w:val="009B192F"/>
    <w:rsid w:val="009B2838"/>
    <w:rsid w:val="009B5738"/>
    <w:rsid w:val="009B5A2D"/>
    <w:rsid w:val="009B5B4D"/>
    <w:rsid w:val="009B6089"/>
    <w:rsid w:val="009B6BEB"/>
    <w:rsid w:val="009B6ED0"/>
    <w:rsid w:val="009C55EC"/>
    <w:rsid w:val="009C644F"/>
    <w:rsid w:val="009C652A"/>
    <w:rsid w:val="009C65E6"/>
    <w:rsid w:val="009C6E78"/>
    <w:rsid w:val="009C78AC"/>
    <w:rsid w:val="009D0DE0"/>
    <w:rsid w:val="009D144D"/>
    <w:rsid w:val="009D3198"/>
    <w:rsid w:val="009D47DA"/>
    <w:rsid w:val="009D55C8"/>
    <w:rsid w:val="009D5C03"/>
    <w:rsid w:val="009D7294"/>
    <w:rsid w:val="009E01CD"/>
    <w:rsid w:val="009E0618"/>
    <w:rsid w:val="009E5618"/>
    <w:rsid w:val="009E6629"/>
    <w:rsid w:val="009E7F95"/>
    <w:rsid w:val="009F2823"/>
    <w:rsid w:val="009F28D6"/>
    <w:rsid w:val="009F3C36"/>
    <w:rsid w:val="009F3D33"/>
    <w:rsid w:val="009F3DA7"/>
    <w:rsid w:val="009F48C2"/>
    <w:rsid w:val="00A005EB"/>
    <w:rsid w:val="00A01740"/>
    <w:rsid w:val="00A022DA"/>
    <w:rsid w:val="00A0613A"/>
    <w:rsid w:val="00A10CBA"/>
    <w:rsid w:val="00A123BF"/>
    <w:rsid w:val="00A125C9"/>
    <w:rsid w:val="00A12C72"/>
    <w:rsid w:val="00A13060"/>
    <w:rsid w:val="00A14CA3"/>
    <w:rsid w:val="00A22675"/>
    <w:rsid w:val="00A23956"/>
    <w:rsid w:val="00A23BE8"/>
    <w:rsid w:val="00A27ABC"/>
    <w:rsid w:val="00A30339"/>
    <w:rsid w:val="00A333D7"/>
    <w:rsid w:val="00A33782"/>
    <w:rsid w:val="00A33B52"/>
    <w:rsid w:val="00A34E34"/>
    <w:rsid w:val="00A35592"/>
    <w:rsid w:val="00A356AB"/>
    <w:rsid w:val="00A411CA"/>
    <w:rsid w:val="00A42B68"/>
    <w:rsid w:val="00A434BF"/>
    <w:rsid w:val="00A4694E"/>
    <w:rsid w:val="00A5152B"/>
    <w:rsid w:val="00A52162"/>
    <w:rsid w:val="00A54E53"/>
    <w:rsid w:val="00A55B22"/>
    <w:rsid w:val="00A57E34"/>
    <w:rsid w:val="00A60B48"/>
    <w:rsid w:val="00A60C53"/>
    <w:rsid w:val="00A621B2"/>
    <w:rsid w:val="00A62DD6"/>
    <w:rsid w:val="00A6439C"/>
    <w:rsid w:val="00A647C3"/>
    <w:rsid w:val="00A6522C"/>
    <w:rsid w:val="00A657FD"/>
    <w:rsid w:val="00A6622D"/>
    <w:rsid w:val="00A667F8"/>
    <w:rsid w:val="00A71015"/>
    <w:rsid w:val="00A71270"/>
    <w:rsid w:val="00A7256D"/>
    <w:rsid w:val="00A77C60"/>
    <w:rsid w:val="00A809B9"/>
    <w:rsid w:val="00A84CA5"/>
    <w:rsid w:val="00A860A5"/>
    <w:rsid w:val="00A861A5"/>
    <w:rsid w:val="00A87064"/>
    <w:rsid w:val="00A87513"/>
    <w:rsid w:val="00A87F57"/>
    <w:rsid w:val="00A9335E"/>
    <w:rsid w:val="00A94425"/>
    <w:rsid w:val="00A94E8C"/>
    <w:rsid w:val="00A94FF2"/>
    <w:rsid w:val="00A95FFA"/>
    <w:rsid w:val="00A9694F"/>
    <w:rsid w:val="00AA2520"/>
    <w:rsid w:val="00AA78D4"/>
    <w:rsid w:val="00AB0623"/>
    <w:rsid w:val="00AB1960"/>
    <w:rsid w:val="00AB1CB3"/>
    <w:rsid w:val="00AB246B"/>
    <w:rsid w:val="00AB26C8"/>
    <w:rsid w:val="00AB5295"/>
    <w:rsid w:val="00AB764E"/>
    <w:rsid w:val="00AB7B52"/>
    <w:rsid w:val="00AC0BF7"/>
    <w:rsid w:val="00AC1202"/>
    <w:rsid w:val="00AC14E2"/>
    <w:rsid w:val="00AC1B06"/>
    <w:rsid w:val="00AC1BCC"/>
    <w:rsid w:val="00AC1FCF"/>
    <w:rsid w:val="00AC3432"/>
    <w:rsid w:val="00AC42DE"/>
    <w:rsid w:val="00AC5070"/>
    <w:rsid w:val="00AD0442"/>
    <w:rsid w:val="00AD1EA1"/>
    <w:rsid w:val="00AD299E"/>
    <w:rsid w:val="00AD4520"/>
    <w:rsid w:val="00AD59B7"/>
    <w:rsid w:val="00AE1CA4"/>
    <w:rsid w:val="00AE2B06"/>
    <w:rsid w:val="00AE44BF"/>
    <w:rsid w:val="00AE4D96"/>
    <w:rsid w:val="00AE4E7B"/>
    <w:rsid w:val="00AE5B34"/>
    <w:rsid w:val="00AE5D12"/>
    <w:rsid w:val="00AF0834"/>
    <w:rsid w:val="00AF0835"/>
    <w:rsid w:val="00AF0AEA"/>
    <w:rsid w:val="00AF1EC9"/>
    <w:rsid w:val="00AF2B42"/>
    <w:rsid w:val="00AF358D"/>
    <w:rsid w:val="00AF3848"/>
    <w:rsid w:val="00AF6805"/>
    <w:rsid w:val="00AF6C46"/>
    <w:rsid w:val="00AF6DA1"/>
    <w:rsid w:val="00AF7D7F"/>
    <w:rsid w:val="00B009E5"/>
    <w:rsid w:val="00B0468E"/>
    <w:rsid w:val="00B06D11"/>
    <w:rsid w:val="00B07C06"/>
    <w:rsid w:val="00B07EE4"/>
    <w:rsid w:val="00B11E49"/>
    <w:rsid w:val="00B12DF4"/>
    <w:rsid w:val="00B13B7E"/>
    <w:rsid w:val="00B13E76"/>
    <w:rsid w:val="00B1475E"/>
    <w:rsid w:val="00B20797"/>
    <w:rsid w:val="00B20AB2"/>
    <w:rsid w:val="00B20AF2"/>
    <w:rsid w:val="00B2237D"/>
    <w:rsid w:val="00B23909"/>
    <w:rsid w:val="00B24E2E"/>
    <w:rsid w:val="00B27306"/>
    <w:rsid w:val="00B27B9A"/>
    <w:rsid w:val="00B321B1"/>
    <w:rsid w:val="00B32CE5"/>
    <w:rsid w:val="00B32DB5"/>
    <w:rsid w:val="00B339C8"/>
    <w:rsid w:val="00B37DAA"/>
    <w:rsid w:val="00B37E3E"/>
    <w:rsid w:val="00B37E6E"/>
    <w:rsid w:val="00B41204"/>
    <w:rsid w:val="00B44010"/>
    <w:rsid w:val="00B511D7"/>
    <w:rsid w:val="00B512AC"/>
    <w:rsid w:val="00B51E52"/>
    <w:rsid w:val="00B52862"/>
    <w:rsid w:val="00B531AF"/>
    <w:rsid w:val="00B5356E"/>
    <w:rsid w:val="00B54754"/>
    <w:rsid w:val="00B563E7"/>
    <w:rsid w:val="00B56DE5"/>
    <w:rsid w:val="00B56FA5"/>
    <w:rsid w:val="00B61646"/>
    <w:rsid w:val="00B62794"/>
    <w:rsid w:val="00B63A51"/>
    <w:rsid w:val="00B64263"/>
    <w:rsid w:val="00B658AB"/>
    <w:rsid w:val="00B67294"/>
    <w:rsid w:val="00B706DC"/>
    <w:rsid w:val="00B71E7F"/>
    <w:rsid w:val="00B71FAD"/>
    <w:rsid w:val="00B72147"/>
    <w:rsid w:val="00B72409"/>
    <w:rsid w:val="00B731BA"/>
    <w:rsid w:val="00B73373"/>
    <w:rsid w:val="00B73D0C"/>
    <w:rsid w:val="00B740CA"/>
    <w:rsid w:val="00B7490B"/>
    <w:rsid w:val="00B764AA"/>
    <w:rsid w:val="00B76620"/>
    <w:rsid w:val="00B76EF4"/>
    <w:rsid w:val="00B7738C"/>
    <w:rsid w:val="00B77C96"/>
    <w:rsid w:val="00B77CC8"/>
    <w:rsid w:val="00B8053E"/>
    <w:rsid w:val="00B805B5"/>
    <w:rsid w:val="00B81ABE"/>
    <w:rsid w:val="00B83329"/>
    <w:rsid w:val="00B83CED"/>
    <w:rsid w:val="00B84080"/>
    <w:rsid w:val="00B85A86"/>
    <w:rsid w:val="00B86CF8"/>
    <w:rsid w:val="00B91658"/>
    <w:rsid w:val="00B93825"/>
    <w:rsid w:val="00B9734A"/>
    <w:rsid w:val="00BA069E"/>
    <w:rsid w:val="00BA0FCA"/>
    <w:rsid w:val="00BA127F"/>
    <w:rsid w:val="00BA1566"/>
    <w:rsid w:val="00BA1C06"/>
    <w:rsid w:val="00BA27E8"/>
    <w:rsid w:val="00BA4FA1"/>
    <w:rsid w:val="00BA63C1"/>
    <w:rsid w:val="00BA6913"/>
    <w:rsid w:val="00BA7C9D"/>
    <w:rsid w:val="00BB00FF"/>
    <w:rsid w:val="00BB1429"/>
    <w:rsid w:val="00BB3EBD"/>
    <w:rsid w:val="00BB3F9D"/>
    <w:rsid w:val="00BB5AD2"/>
    <w:rsid w:val="00BB69D8"/>
    <w:rsid w:val="00BB6BAB"/>
    <w:rsid w:val="00BB7D0F"/>
    <w:rsid w:val="00BC2231"/>
    <w:rsid w:val="00BC2B2E"/>
    <w:rsid w:val="00BC46BF"/>
    <w:rsid w:val="00BC607D"/>
    <w:rsid w:val="00BC622E"/>
    <w:rsid w:val="00BC739D"/>
    <w:rsid w:val="00BD2ABE"/>
    <w:rsid w:val="00BD44AC"/>
    <w:rsid w:val="00BD4F82"/>
    <w:rsid w:val="00BD767A"/>
    <w:rsid w:val="00BD7F09"/>
    <w:rsid w:val="00BE2EAB"/>
    <w:rsid w:val="00BE42E9"/>
    <w:rsid w:val="00BE6498"/>
    <w:rsid w:val="00BE7450"/>
    <w:rsid w:val="00BF0701"/>
    <w:rsid w:val="00BF1D77"/>
    <w:rsid w:val="00BF2115"/>
    <w:rsid w:val="00BF28D2"/>
    <w:rsid w:val="00BF39A2"/>
    <w:rsid w:val="00BF6D8D"/>
    <w:rsid w:val="00C0000A"/>
    <w:rsid w:val="00C002A6"/>
    <w:rsid w:val="00C01AF4"/>
    <w:rsid w:val="00C01F3F"/>
    <w:rsid w:val="00C05538"/>
    <w:rsid w:val="00C05887"/>
    <w:rsid w:val="00C0639A"/>
    <w:rsid w:val="00C06E9C"/>
    <w:rsid w:val="00C104C1"/>
    <w:rsid w:val="00C11C34"/>
    <w:rsid w:val="00C12FAA"/>
    <w:rsid w:val="00C13DE7"/>
    <w:rsid w:val="00C14F4E"/>
    <w:rsid w:val="00C15464"/>
    <w:rsid w:val="00C15911"/>
    <w:rsid w:val="00C17634"/>
    <w:rsid w:val="00C17932"/>
    <w:rsid w:val="00C17B4D"/>
    <w:rsid w:val="00C20A83"/>
    <w:rsid w:val="00C20D94"/>
    <w:rsid w:val="00C20FFB"/>
    <w:rsid w:val="00C21393"/>
    <w:rsid w:val="00C228B9"/>
    <w:rsid w:val="00C232B1"/>
    <w:rsid w:val="00C257D6"/>
    <w:rsid w:val="00C26248"/>
    <w:rsid w:val="00C264DE"/>
    <w:rsid w:val="00C30389"/>
    <w:rsid w:val="00C30540"/>
    <w:rsid w:val="00C33B32"/>
    <w:rsid w:val="00C35502"/>
    <w:rsid w:val="00C3557B"/>
    <w:rsid w:val="00C359E8"/>
    <w:rsid w:val="00C36821"/>
    <w:rsid w:val="00C36DB3"/>
    <w:rsid w:val="00C37C42"/>
    <w:rsid w:val="00C42356"/>
    <w:rsid w:val="00C428CC"/>
    <w:rsid w:val="00C44C3A"/>
    <w:rsid w:val="00C46A28"/>
    <w:rsid w:val="00C47151"/>
    <w:rsid w:val="00C4795C"/>
    <w:rsid w:val="00C53F97"/>
    <w:rsid w:val="00C56817"/>
    <w:rsid w:val="00C57FD9"/>
    <w:rsid w:val="00C602A6"/>
    <w:rsid w:val="00C62074"/>
    <w:rsid w:val="00C63BC5"/>
    <w:rsid w:val="00C67084"/>
    <w:rsid w:val="00C72822"/>
    <w:rsid w:val="00C7504A"/>
    <w:rsid w:val="00C7565B"/>
    <w:rsid w:val="00C81169"/>
    <w:rsid w:val="00C82515"/>
    <w:rsid w:val="00C87E4F"/>
    <w:rsid w:val="00C900F8"/>
    <w:rsid w:val="00C9133F"/>
    <w:rsid w:val="00C91FDA"/>
    <w:rsid w:val="00C9238E"/>
    <w:rsid w:val="00C92999"/>
    <w:rsid w:val="00C92F8A"/>
    <w:rsid w:val="00C96B09"/>
    <w:rsid w:val="00C9700C"/>
    <w:rsid w:val="00CA0698"/>
    <w:rsid w:val="00CA0B1F"/>
    <w:rsid w:val="00CA148A"/>
    <w:rsid w:val="00CA2115"/>
    <w:rsid w:val="00CA24A3"/>
    <w:rsid w:val="00CA3AFD"/>
    <w:rsid w:val="00CA3F91"/>
    <w:rsid w:val="00CA4E59"/>
    <w:rsid w:val="00CA67F7"/>
    <w:rsid w:val="00CA7AD7"/>
    <w:rsid w:val="00CB0403"/>
    <w:rsid w:val="00CB43B3"/>
    <w:rsid w:val="00CB60CD"/>
    <w:rsid w:val="00CC00C4"/>
    <w:rsid w:val="00CC085C"/>
    <w:rsid w:val="00CC2059"/>
    <w:rsid w:val="00CC267E"/>
    <w:rsid w:val="00CC2688"/>
    <w:rsid w:val="00CC31A2"/>
    <w:rsid w:val="00CC39E6"/>
    <w:rsid w:val="00CC3C2B"/>
    <w:rsid w:val="00CC785C"/>
    <w:rsid w:val="00CC7893"/>
    <w:rsid w:val="00CD0643"/>
    <w:rsid w:val="00CD0ABB"/>
    <w:rsid w:val="00CD1ED5"/>
    <w:rsid w:val="00CD27A1"/>
    <w:rsid w:val="00CD2A8D"/>
    <w:rsid w:val="00CD323B"/>
    <w:rsid w:val="00CD528A"/>
    <w:rsid w:val="00CD62EE"/>
    <w:rsid w:val="00CD671E"/>
    <w:rsid w:val="00CD6D2B"/>
    <w:rsid w:val="00CE00D3"/>
    <w:rsid w:val="00CE02D1"/>
    <w:rsid w:val="00CE30E8"/>
    <w:rsid w:val="00CE4732"/>
    <w:rsid w:val="00CF28A8"/>
    <w:rsid w:val="00CF349D"/>
    <w:rsid w:val="00CF35F8"/>
    <w:rsid w:val="00CF4CAE"/>
    <w:rsid w:val="00CF55B3"/>
    <w:rsid w:val="00CF7DEB"/>
    <w:rsid w:val="00D01BC7"/>
    <w:rsid w:val="00D02F01"/>
    <w:rsid w:val="00D058F3"/>
    <w:rsid w:val="00D07608"/>
    <w:rsid w:val="00D107D6"/>
    <w:rsid w:val="00D1161D"/>
    <w:rsid w:val="00D118D1"/>
    <w:rsid w:val="00D11AC8"/>
    <w:rsid w:val="00D12242"/>
    <w:rsid w:val="00D12F7E"/>
    <w:rsid w:val="00D1329E"/>
    <w:rsid w:val="00D135FF"/>
    <w:rsid w:val="00D14EFB"/>
    <w:rsid w:val="00D151E2"/>
    <w:rsid w:val="00D15685"/>
    <w:rsid w:val="00D1599B"/>
    <w:rsid w:val="00D16760"/>
    <w:rsid w:val="00D16882"/>
    <w:rsid w:val="00D17877"/>
    <w:rsid w:val="00D21438"/>
    <w:rsid w:val="00D23AFF"/>
    <w:rsid w:val="00D24196"/>
    <w:rsid w:val="00D25150"/>
    <w:rsid w:val="00D30619"/>
    <w:rsid w:val="00D31BBB"/>
    <w:rsid w:val="00D328EB"/>
    <w:rsid w:val="00D35AD5"/>
    <w:rsid w:val="00D35C1D"/>
    <w:rsid w:val="00D365E2"/>
    <w:rsid w:val="00D36F5E"/>
    <w:rsid w:val="00D371A9"/>
    <w:rsid w:val="00D3779D"/>
    <w:rsid w:val="00D4022A"/>
    <w:rsid w:val="00D4185D"/>
    <w:rsid w:val="00D43920"/>
    <w:rsid w:val="00D43DC4"/>
    <w:rsid w:val="00D46C4A"/>
    <w:rsid w:val="00D52234"/>
    <w:rsid w:val="00D53B55"/>
    <w:rsid w:val="00D53E7A"/>
    <w:rsid w:val="00D555ED"/>
    <w:rsid w:val="00D55784"/>
    <w:rsid w:val="00D56EBB"/>
    <w:rsid w:val="00D61E98"/>
    <w:rsid w:val="00D62F18"/>
    <w:rsid w:val="00D64622"/>
    <w:rsid w:val="00D64B65"/>
    <w:rsid w:val="00D65034"/>
    <w:rsid w:val="00D6730A"/>
    <w:rsid w:val="00D67AB1"/>
    <w:rsid w:val="00D67C5D"/>
    <w:rsid w:val="00D73AF8"/>
    <w:rsid w:val="00D77E18"/>
    <w:rsid w:val="00D800D8"/>
    <w:rsid w:val="00D812A1"/>
    <w:rsid w:val="00D826E2"/>
    <w:rsid w:val="00D82CDC"/>
    <w:rsid w:val="00D82D96"/>
    <w:rsid w:val="00D83A2E"/>
    <w:rsid w:val="00D86139"/>
    <w:rsid w:val="00D8631D"/>
    <w:rsid w:val="00D9091A"/>
    <w:rsid w:val="00D92253"/>
    <w:rsid w:val="00D92CF3"/>
    <w:rsid w:val="00D930C1"/>
    <w:rsid w:val="00D93E38"/>
    <w:rsid w:val="00D96A53"/>
    <w:rsid w:val="00D96D49"/>
    <w:rsid w:val="00D96F74"/>
    <w:rsid w:val="00DA5D60"/>
    <w:rsid w:val="00DA5FBD"/>
    <w:rsid w:val="00DB2D43"/>
    <w:rsid w:val="00DB3D59"/>
    <w:rsid w:val="00DB3FA8"/>
    <w:rsid w:val="00DB575C"/>
    <w:rsid w:val="00DB678E"/>
    <w:rsid w:val="00DB6F0E"/>
    <w:rsid w:val="00DC12BA"/>
    <w:rsid w:val="00DC1602"/>
    <w:rsid w:val="00DC6306"/>
    <w:rsid w:val="00DC679B"/>
    <w:rsid w:val="00DC6816"/>
    <w:rsid w:val="00DC7B9F"/>
    <w:rsid w:val="00DD11A0"/>
    <w:rsid w:val="00DD1916"/>
    <w:rsid w:val="00DD5C0B"/>
    <w:rsid w:val="00DD7DD8"/>
    <w:rsid w:val="00DE0304"/>
    <w:rsid w:val="00DE19BA"/>
    <w:rsid w:val="00DE3EDE"/>
    <w:rsid w:val="00DE5380"/>
    <w:rsid w:val="00DE6220"/>
    <w:rsid w:val="00DE6C53"/>
    <w:rsid w:val="00DE7EC0"/>
    <w:rsid w:val="00DF079B"/>
    <w:rsid w:val="00DF0FCC"/>
    <w:rsid w:val="00DF152E"/>
    <w:rsid w:val="00DF1A26"/>
    <w:rsid w:val="00DF1BEF"/>
    <w:rsid w:val="00DF2DBA"/>
    <w:rsid w:val="00DF560C"/>
    <w:rsid w:val="00DF5C27"/>
    <w:rsid w:val="00DF7356"/>
    <w:rsid w:val="00E01156"/>
    <w:rsid w:val="00E048BA"/>
    <w:rsid w:val="00E05722"/>
    <w:rsid w:val="00E05F40"/>
    <w:rsid w:val="00E06B9C"/>
    <w:rsid w:val="00E06C88"/>
    <w:rsid w:val="00E10C67"/>
    <w:rsid w:val="00E11D93"/>
    <w:rsid w:val="00E12183"/>
    <w:rsid w:val="00E12AC2"/>
    <w:rsid w:val="00E13002"/>
    <w:rsid w:val="00E1311A"/>
    <w:rsid w:val="00E14517"/>
    <w:rsid w:val="00E14F3D"/>
    <w:rsid w:val="00E16631"/>
    <w:rsid w:val="00E17446"/>
    <w:rsid w:val="00E21CB3"/>
    <w:rsid w:val="00E2347F"/>
    <w:rsid w:val="00E23BAA"/>
    <w:rsid w:val="00E23BD0"/>
    <w:rsid w:val="00E25FC5"/>
    <w:rsid w:val="00E32098"/>
    <w:rsid w:val="00E321D4"/>
    <w:rsid w:val="00E32676"/>
    <w:rsid w:val="00E32DAA"/>
    <w:rsid w:val="00E33C8E"/>
    <w:rsid w:val="00E33E54"/>
    <w:rsid w:val="00E349FD"/>
    <w:rsid w:val="00E354A2"/>
    <w:rsid w:val="00E37081"/>
    <w:rsid w:val="00E370D5"/>
    <w:rsid w:val="00E37334"/>
    <w:rsid w:val="00E40F58"/>
    <w:rsid w:val="00E4112F"/>
    <w:rsid w:val="00E43B39"/>
    <w:rsid w:val="00E4422A"/>
    <w:rsid w:val="00E44677"/>
    <w:rsid w:val="00E46966"/>
    <w:rsid w:val="00E4724D"/>
    <w:rsid w:val="00E517C3"/>
    <w:rsid w:val="00E51EF6"/>
    <w:rsid w:val="00E53C2F"/>
    <w:rsid w:val="00E54340"/>
    <w:rsid w:val="00E54A89"/>
    <w:rsid w:val="00E57A57"/>
    <w:rsid w:val="00E61B41"/>
    <w:rsid w:val="00E61F93"/>
    <w:rsid w:val="00E624BA"/>
    <w:rsid w:val="00E62523"/>
    <w:rsid w:val="00E62A76"/>
    <w:rsid w:val="00E62AC9"/>
    <w:rsid w:val="00E63594"/>
    <w:rsid w:val="00E64B98"/>
    <w:rsid w:val="00E64C1F"/>
    <w:rsid w:val="00E652E0"/>
    <w:rsid w:val="00E6583C"/>
    <w:rsid w:val="00E65A4E"/>
    <w:rsid w:val="00E67AFB"/>
    <w:rsid w:val="00E715AB"/>
    <w:rsid w:val="00E71850"/>
    <w:rsid w:val="00E72BAD"/>
    <w:rsid w:val="00E72FB4"/>
    <w:rsid w:val="00E76665"/>
    <w:rsid w:val="00E77F5B"/>
    <w:rsid w:val="00E80111"/>
    <w:rsid w:val="00E813F0"/>
    <w:rsid w:val="00E83CBD"/>
    <w:rsid w:val="00E84531"/>
    <w:rsid w:val="00E84640"/>
    <w:rsid w:val="00E8499F"/>
    <w:rsid w:val="00E85A06"/>
    <w:rsid w:val="00E85A7A"/>
    <w:rsid w:val="00E86698"/>
    <w:rsid w:val="00E86776"/>
    <w:rsid w:val="00E87ED6"/>
    <w:rsid w:val="00E91B6D"/>
    <w:rsid w:val="00E91D32"/>
    <w:rsid w:val="00E92367"/>
    <w:rsid w:val="00E935CA"/>
    <w:rsid w:val="00E94C6B"/>
    <w:rsid w:val="00EA2CD2"/>
    <w:rsid w:val="00EA3227"/>
    <w:rsid w:val="00EA3D9F"/>
    <w:rsid w:val="00EA52D9"/>
    <w:rsid w:val="00EA5907"/>
    <w:rsid w:val="00EA5998"/>
    <w:rsid w:val="00EB088A"/>
    <w:rsid w:val="00EB2EBA"/>
    <w:rsid w:val="00EB44C0"/>
    <w:rsid w:val="00EB51A2"/>
    <w:rsid w:val="00EB5C3C"/>
    <w:rsid w:val="00EC1E16"/>
    <w:rsid w:val="00EC37AE"/>
    <w:rsid w:val="00EC3D2E"/>
    <w:rsid w:val="00EC4B94"/>
    <w:rsid w:val="00EC5C5B"/>
    <w:rsid w:val="00ED2035"/>
    <w:rsid w:val="00ED2831"/>
    <w:rsid w:val="00ED454E"/>
    <w:rsid w:val="00ED6F80"/>
    <w:rsid w:val="00EE0213"/>
    <w:rsid w:val="00EE14CB"/>
    <w:rsid w:val="00EE2675"/>
    <w:rsid w:val="00EE2D21"/>
    <w:rsid w:val="00EE2E4C"/>
    <w:rsid w:val="00EE4B77"/>
    <w:rsid w:val="00EE4E10"/>
    <w:rsid w:val="00EE5A7A"/>
    <w:rsid w:val="00EE6334"/>
    <w:rsid w:val="00EE687D"/>
    <w:rsid w:val="00EF0EA5"/>
    <w:rsid w:val="00EF1F88"/>
    <w:rsid w:val="00EF25AE"/>
    <w:rsid w:val="00EF307F"/>
    <w:rsid w:val="00EF3886"/>
    <w:rsid w:val="00EF3EAD"/>
    <w:rsid w:val="00EF593A"/>
    <w:rsid w:val="00EF5AF7"/>
    <w:rsid w:val="00EF659D"/>
    <w:rsid w:val="00F017C4"/>
    <w:rsid w:val="00F019E4"/>
    <w:rsid w:val="00F03339"/>
    <w:rsid w:val="00F03D3C"/>
    <w:rsid w:val="00F05997"/>
    <w:rsid w:val="00F05B9C"/>
    <w:rsid w:val="00F10042"/>
    <w:rsid w:val="00F1134F"/>
    <w:rsid w:val="00F1221F"/>
    <w:rsid w:val="00F12271"/>
    <w:rsid w:val="00F1366A"/>
    <w:rsid w:val="00F1488C"/>
    <w:rsid w:val="00F153E5"/>
    <w:rsid w:val="00F16488"/>
    <w:rsid w:val="00F178D8"/>
    <w:rsid w:val="00F2171D"/>
    <w:rsid w:val="00F23606"/>
    <w:rsid w:val="00F2480B"/>
    <w:rsid w:val="00F25595"/>
    <w:rsid w:val="00F261CC"/>
    <w:rsid w:val="00F26BAB"/>
    <w:rsid w:val="00F27527"/>
    <w:rsid w:val="00F350AB"/>
    <w:rsid w:val="00F36E5F"/>
    <w:rsid w:val="00F40DD3"/>
    <w:rsid w:val="00F41B6B"/>
    <w:rsid w:val="00F420F5"/>
    <w:rsid w:val="00F4306A"/>
    <w:rsid w:val="00F43954"/>
    <w:rsid w:val="00F4404F"/>
    <w:rsid w:val="00F448A7"/>
    <w:rsid w:val="00F44A2D"/>
    <w:rsid w:val="00F45106"/>
    <w:rsid w:val="00F45595"/>
    <w:rsid w:val="00F45602"/>
    <w:rsid w:val="00F47C35"/>
    <w:rsid w:val="00F50F4F"/>
    <w:rsid w:val="00F5174C"/>
    <w:rsid w:val="00F52FD0"/>
    <w:rsid w:val="00F5421C"/>
    <w:rsid w:val="00F573B0"/>
    <w:rsid w:val="00F619A6"/>
    <w:rsid w:val="00F62474"/>
    <w:rsid w:val="00F62879"/>
    <w:rsid w:val="00F6430D"/>
    <w:rsid w:val="00F647B4"/>
    <w:rsid w:val="00F66DDF"/>
    <w:rsid w:val="00F71FA2"/>
    <w:rsid w:val="00F72935"/>
    <w:rsid w:val="00F74933"/>
    <w:rsid w:val="00F76F89"/>
    <w:rsid w:val="00F81563"/>
    <w:rsid w:val="00F82A9E"/>
    <w:rsid w:val="00F82CB1"/>
    <w:rsid w:val="00F833A7"/>
    <w:rsid w:val="00F83C40"/>
    <w:rsid w:val="00F85DBA"/>
    <w:rsid w:val="00F91FDC"/>
    <w:rsid w:val="00F92ACA"/>
    <w:rsid w:val="00F94E99"/>
    <w:rsid w:val="00FA034D"/>
    <w:rsid w:val="00FA1E2C"/>
    <w:rsid w:val="00FA203D"/>
    <w:rsid w:val="00FA34CE"/>
    <w:rsid w:val="00FA3509"/>
    <w:rsid w:val="00FA4477"/>
    <w:rsid w:val="00FA462A"/>
    <w:rsid w:val="00FA553F"/>
    <w:rsid w:val="00FA5E7E"/>
    <w:rsid w:val="00FA7CEF"/>
    <w:rsid w:val="00FB082B"/>
    <w:rsid w:val="00FB41FB"/>
    <w:rsid w:val="00FB58C1"/>
    <w:rsid w:val="00FB773A"/>
    <w:rsid w:val="00FB7B17"/>
    <w:rsid w:val="00FC0139"/>
    <w:rsid w:val="00FC0B0C"/>
    <w:rsid w:val="00FC0EB5"/>
    <w:rsid w:val="00FC2190"/>
    <w:rsid w:val="00FC3329"/>
    <w:rsid w:val="00FC4545"/>
    <w:rsid w:val="00FC4AA2"/>
    <w:rsid w:val="00FC5132"/>
    <w:rsid w:val="00FC5217"/>
    <w:rsid w:val="00FC681B"/>
    <w:rsid w:val="00FD2FA8"/>
    <w:rsid w:val="00FD34D5"/>
    <w:rsid w:val="00FD35BE"/>
    <w:rsid w:val="00FD43A1"/>
    <w:rsid w:val="00FD6D5E"/>
    <w:rsid w:val="00FD6FC8"/>
    <w:rsid w:val="00FE218B"/>
    <w:rsid w:val="00FE2691"/>
    <w:rsid w:val="00FE4ADA"/>
    <w:rsid w:val="00FE52B0"/>
    <w:rsid w:val="00FE6162"/>
    <w:rsid w:val="00FE71F7"/>
    <w:rsid w:val="00FF0379"/>
    <w:rsid w:val="00FF157E"/>
    <w:rsid w:val="00FF178A"/>
    <w:rsid w:val="00FF26D9"/>
    <w:rsid w:val="00FF2E06"/>
    <w:rsid w:val="00FF4717"/>
    <w:rsid w:val="07B355EF"/>
    <w:rsid w:val="0ECE604B"/>
    <w:rsid w:val="142F25EA"/>
    <w:rsid w:val="155B4CD5"/>
    <w:rsid w:val="17E54078"/>
    <w:rsid w:val="19A3693A"/>
    <w:rsid w:val="1C3027D1"/>
    <w:rsid w:val="20283F61"/>
    <w:rsid w:val="22623C36"/>
    <w:rsid w:val="25B16263"/>
    <w:rsid w:val="26692C3E"/>
    <w:rsid w:val="2676462B"/>
    <w:rsid w:val="29FA03D6"/>
    <w:rsid w:val="2D5C2B6B"/>
    <w:rsid w:val="2F1E4F42"/>
    <w:rsid w:val="34734F85"/>
    <w:rsid w:val="392618DA"/>
    <w:rsid w:val="397857A8"/>
    <w:rsid w:val="3A6924E2"/>
    <w:rsid w:val="3C6D1767"/>
    <w:rsid w:val="3D704DCC"/>
    <w:rsid w:val="40AF7EA8"/>
    <w:rsid w:val="46BB674F"/>
    <w:rsid w:val="46BE1BCF"/>
    <w:rsid w:val="49570D9C"/>
    <w:rsid w:val="4EC90153"/>
    <w:rsid w:val="517A1070"/>
    <w:rsid w:val="59EC6736"/>
    <w:rsid w:val="59EE250C"/>
    <w:rsid w:val="5B2161C7"/>
    <w:rsid w:val="5F094F7F"/>
    <w:rsid w:val="5F4A2C84"/>
    <w:rsid w:val="60F31DD1"/>
    <w:rsid w:val="691821B2"/>
    <w:rsid w:val="697F4E10"/>
    <w:rsid w:val="71D61F40"/>
    <w:rsid w:val="72733A2A"/>
    <w:rsid w:val="727A4536"/>
    <w:rsid w:val="7409779B"/>
    <w:rsid w:val="771B409F"/>
    <w:rsid w:val="77D709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i/>
      <w:iCs/>
      <w:color w:val="000000"/>
      <w:kern w:val="2"/>
      <w:sz w:val="22"/>
      <w:szCs w:val="22"/>
      <w:lang w:val="en-US" w:eastAsia="en-US" w:bidi="en-US"/>
    </w:rPr>
  </w:style>
  <w:style w:type="paragraph" w:styleId="3">
    <w:name w:val="heading 1"/>
    <w:basedOn w:val="1"/>
    <w:next w:val="1"/>
    <w:link w:val="33"/>
    <w:qFormat/>
    <w:uiPriority w:val="0"/>
    <w:pPr>
      <w:keepNext/>
      <w:keepLines/>
      <w:spacing w:before="340" w:after="330" w:line="578" w:lineRule="auto"/>
      <w:jc w:val="center"/>
      <w:outlineLvl w:val="0"/>
    </w:pPr>
    <w:rPr>
      <w:rFonts w:eastAsia="仿宋"/>
      <w:b/>
      <w:bCs/>
      <w:kern w:val="44"/>
      <w:sz w:val="28"/>
      <w:szCs w:val="44"/>
    </w:rPr>
  </w:style>
  <w:style w:type="paragraph" w:styleId="4">
    <w:name w:val="heading 2"/>
    <w:basedOn w:val="1"/>
    <w:next w:val="1"/>
    <w:link w:val="34"/>
    <w:qFormat/>
    <w:uiPriority w:val="0"/>
    <w:pPr>
      <w:keepNext/>
      <w:keepLines/>
      <w:spacing w:before="260" w:after="260" w:line="416" w:lineRule="auto"/>
      <w:jc w:val="center"/>
      <w:outlineLvl w:val="1"/>
    </w:pPr>
    <w:rPr>
      <w:rFonts w:ascii="Cambria" w:hAnsi="Cambria" w:eastAsia="仿宋" w:cs="黑体"/>
      <w:b/>
      <w:bCs/>
      <w:sz w:val="28"/>
      <w:szCs w:val="32"/>
    </w:rPr>
  </w:style>
  <w:style w:type="paragraph" w:styleId="5">
    <w:name w:val="heading 3"/>
    <w:basedOn w:val="1"/>
    <w:next w:val="1"/>
    <w:link w:val="35"/>
    <w:qFormat/>
    <w:uiPriority w:val="0"/>
    <w:pPr>
      <w:keepNext/>
      <w:keepLines/>
      <w:spacing w:before="260" w:after="260" w:line="416" w:lineRule="auto"/>
      <w:outlineLvl w:val="2"/>
    </w:pPr>
    <w:rPr>
      <w:rFonts w:eastAsia="仿宋"/>
      <w:b/>
      <w:bCs/>
      <w:sz w:val="24"/>
      <w:szCs w:val="32"/>
    </w:rPr>
  </w:style>
  <w:style w:type="paragraph" w:styleId="6">
    <w:name w:val="heading 4"/>
    <w:basedOn w:val="1"/>
    <w:next w:val="1"/>
    <w:link w:val="36"/>
    <w:qFormat/>
    <w:uiPriority w:val="0"/>
    <w:pPr>
      <w:keepNext/>
      <w:keepLines/>
      <w:spacing w:before="280" w:after="290" w:line="376" w:lineRule="auto"/>
      <w:outlineLvl w:val="3"/>
    </w:pPr>
    <w:rPr>
      <w:rFonts w:ascii="Cambria" w:hAnsi="Cambria" w:eastAsia="仿宋" w:cs="黑体"/>
      <w:bCs/>
      <w:sz w:val="24"/>
      <w:szCs w:val="28"/>
    </w:rPr>
  </w:style>
  <w:style w:type="paragraph" w:styleId="7">
    <w:name w:val="heading 5"/>
    <w:basedOn w:val="1"/>
    <w:next w:val="1"/>
    <w:link w:val="37"/>
    <w:qFormat/>
    <w:uiPriority w:val="0"/>
    <w:pPr>
      <w:keepNext/>
      <w:keepLines/>
      <w:spacing w:before="280" w:after="290" w:line="376" w:lineRule="auto"/>
      <w:outlineLvl w:val="4"/>
    </w:pPr>
    <w:rPr>
      <w:rFonts w:ascii="Times New Roman" w:hAnsi="Times New Roman"/>
      <w:b/>
      <w:bCs/>
      <w:kern w:val="0"/>
      <w:sz w:val="28"/>
      <w:szCs w:val="28"/>
    </w:rPr>
  </w:style>
  <w:style w:type="paragraph" w:styleId="8">
    <w:name w:val="heading 6"/>
    <w:basedOn w:val="1"/>
    <w:next w:val="1"/>
    <w:link w:val="38"/>
    <w:qFormat/>
    <w:uiPriority w:val="0"/>
    <w:pPr>
      <w:keepNext/>
      <w:keepLines/>
      <w:spacing w:before="240" w:after="64" w:line="320" w:lineRule="auto"/>
      <w:outlineLvl w:val="5"/>
    </w:pPr>
    <w:rPr>
      <w:rFonts w:ascii="Cambria" w:hAnsi="Cambria"/>
      <w:b/>
      <w:bCs/>
      <w:kern w:val="0"/>
      <w:sz w:val="24"/>
      <w:szCs w:val="24"/>
    </w:rPr>
  </w:style>
  <w:style w:type="paragraph" w:styleId="9">
    <w:name w:val="heading 7"/>
    <w:basedOn w:val="1"/>
    <w:next w:val="1"/>
    <w:link w:val="39"/>
    <w:qFormat/>
    <w:uiPriority w:val="0"/>
    <w:pPr>
      <w:keepNext/>
      <w:keepLines/>
      <w:spacing w:before="240" w:after="64" w:line="320" w:lineRule="auto"/>
      <w:outlineLvl w:val="6"/>
    </w:pPr>
    <w:rPr>
      <w:rFonts w:ascii="Times New Roman" w:hAnsi="Times New Roman"/>
      <w:b/>
      <w:bCs/>
      <w:kern w:val="0"/>
      <w:sz w:val="24"/>
      <w:szCs w:val="24"/>
    </w:rPr>
  </w:style>
  <w:style w:type="paragraph" w:styleId="10">
    <w:name w:val="heading 8"/>
    <w:basedOn w:val="1"/>
    <w:next w:val="1"/>
    <w:link w:val="132"/>
    <w:unhideWhenUsed/>
    <w:qFormat/>
    <w:uiPriority w:val="0"/>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styleId="11">
    <w:name w:val="Normal Indent"/>
    <w:basedOn w:val="1"/>
    <w:qFormat/>
    <w:uiPriority w:val="0"/>
    <w:pPr>
      <w:widowControl w:val="0"/>
      <w:ind w:firstLine="420" w:firstLineChars="200"/>
      <w:jc w:val="both"/>
    </w:pPr>
    <w:rPr>
      <w:rFonts w:ascii="Times New Roman" w:hAnsi="Times New Roman"/>
      <w:i w:val="0"/>
      <w:iCs w:val="0"/>
      <w:color w:val="auto"/>
      <w:kern w:val="0"/>
      <w:sz w:val="20"/>
      <w:szCs w:val="24"/>
      <w:lang w:eastAsia="zh-CN" w:bidi="ar-SA"/>
    </w:rPr>
  </w:style>
  <w:style w:type="paragraph" w:styleId="12">
    <w:name w:val="annotation text"/>
    <w:basedOn w:val="1"/>
    <w:link w:val="44"/>
    <w:qFormat/>
    <w:uiPriority w:val="99"/>
    <w:rPr>
      <w:sz w:val="24"/>
      <w:szCs w:val="24"/>
    </w:rPr>
  </w:style>
  <w:style w:type="paragraph" w:styleId="13">
    <w:name w:val="Body Text"/>
    <w:basedOn w:val="1"/>
    <w:next w:val="1"/>
    <w:link w:val="45"/>
    <w:qFormat/>
    <w:uiPriority w:val="0"/>
    <w:pPr>
      <w:spacing w:after="120"/>
    </w:pPr>
    <w:rPr>
      <w:sz w:val="24"/>
      <w:szCs w:val="24"/>
    </w:rPr>
  </w:style>
  <w:style w:type="paragraph" w:styleId="14">
    <w:name w:val="toc 5"/>
    <w:basedOn w:val="1"/>
    <w:next w:val="1"/>
    <w:qFormat/>
    <w:uiPriority w:val="0"/>
    <w:pPr>
      <w:ind w:left="1680" w:leftChars="800"/>
    </w:pPr>
    <w:rPr>
      <w:rFonts w:ascii="Times New Roman" w:hAnsi="Times New Roman"/>
      <w:i w:val="0"/>
      <w:iCs w:val="0"/>
      <w:color w:val="auto"/>
      <w:kern w:val="0"/>
      <w:sz w:val="24"/>
      <w:szCs w:val="24"/>
      <w:lang w:eastAsia="zh-CN" w:bidi="ar-SA"/>
    </w:rPr>
  </w:style>
  <w:style w:type="paragraph" w:styleId="15">
    <w:name w:val="Plain Text"/>
    <w:basedOn w:val="1"/>
    <w:qFormat/>
    <w:uiPriority w:val="0"/>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16">
    <w:name w:val="Balloon Text"/>
    <w:basedOn w:val="1"/>
    <w:link w:val="123"/>
    <w:semiHidden/>
    <w:unhideWhenUsed/>
    <w:qFormat/>
    <w:uiPriority w:val="99"/>
    <w:rPr>
      <w:sz w:val="18"/>
      <w:szCs w:val="18"/>
    </w:rPr>
  </w:style>
  <w:style w:type="paragraph" w:styleId="17">
    <w:name w:val="footer"/>
    <w:basedOn w:val="1"/>
    <w:link w:val="48"/>
    <w:qFormat/>
    <w:uiPriority w:val="99"/>
    <w:pPr>
      <w:tabs>
        <w:tab w:val="center" w:pos="4153"/>
        <w:tab w:val="right" w:pos="8306"/>
      </w:tabs>
      <w:snapToGrid w:val="0"/>
    </w:pPr>
    <w:rPr>
      <w:sz w:val="18"/>
      <w:szCs w:val="18"/>
    </w:rPr>
  </w:style>
  <w:style w:type="paragraph" w:styleId="18">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4"/>
    <w:basedOn w:val="1"/>
    <w:next w:val="1"/>
    <w:qFormat/>
    <w:uiPriority w:val="0"/>
    <w:pPr>
      <w:ind w:left="1260" w:leftChars="600"/>
    </w:pPr>
    <w:rPr>
      <w:rFonts w:ascii="Times New Roman" w:hAnsi="Times New Roman"/>
      <w:i w:val="0"/>
      <w:iCs w:val="0"/>
      <w:color w:val="auto"/>
      <w:kern w:val="0"/>
      <w:sz w:val="24"/>
      <w:szCs w:val="24"/>
      <w:lang w:eastAsia="zh-CN" w:bidi="ar-SA"/>
    </w:rPr>
  </w:style>
  <w:style w:type="paragraph" w:styleId="21">
    <w:name w:val="toc 2"/>
    <w:basedOn w:val="1"/>
    <w:next w:val="1"/>
    <w:qFormat/>
    <w:uiPriority w:val="39"/>
    <w:pPr>
      <w:ind w:left="420" w:leftChars="200"/>
    </w:pPr>
  </w:style>
  <w:style w:type="paragraph" w:styleId="22">
    <w:name w:val="annotation subject"/>
    <w:basedOn w:val="12"/>
    <w:next w:val="12"/>
    <w:link w:val="131"/>
    <w:semiHidden/>
    <w:unhideWhenUsed/>
    <w:qFormat/>
    <w:uiPriority w:val="99"/>
    <w:rPr>
      <w:b/>
      <w:bCs/>
      <w:sz w:val="22"/>
      <w:szCs w:val="22"/>
    </w:rPr>
  </w:style>
  <w:style w:type="paragraph" w:styleId="23">
    <w:name w:val="Body Text First Indent"/>
    <w:basedOn w:val="13"/>
    <w:next w:val="1"/>
    <w:qFormat/>
    <w:uiPriority w:val="0"/>
    <w:pPr>
      <w:spacing w:after="0"/>
      <w:ind w:firstLine="420" w:firstLineChars="100"/>
    </w:pPr>
    <w:rPr>
      <w:rFonts w:ascii="Arial" w:hAnsi="Arial"/>
      <w:color w:val="000000"/>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99"/>
    <w:rPr>
      <w:rFonts w:cs="Times New Roman"/>
      <w:b/>
      <w:bCs/>
    </w:rPr>
  </w:style>
  <w:style w:type="character" w:styleId="28">
    <w:name w:val="FollowedHyperlink"/>
    <w:qFormat/>
    <w:uiPriority w:val="0"/>
    <w:rPr>
      <w:color w:val="800080"/>
      <w:u w:val="single"/>
    </w:rPr>
  </w:style>
  <w:style w:type="character" w:styleId="29">
    <w:name w:val="Emphasis"/>
    <w:qFormat/>
    <w:uiPriority w:val="0"/>
    <w:rPr>
      <w:color w:val="CC0000"/>
    </w:rPr>
  </w:style>
  <w:style w:type="character" w:styleId="30">
    <w:name w:val="Hyperlink"/>
    <w:qFormat/>
    <w:uiPriority w:val="99"/>
    <w:rPr>
      <w:color w:val="0000FF"/>
      <w:u w:val="single"/>
    </w:rPr>
  </w:style>
  <w:style w:type="character" w:styleId="31">
    <w:name w:val="annotation reference"/>
    <w:unhideWhenUsed/>
    <w:qFormat/>
    <w:uiPriority w:val="99"/>
    <w:rPr>
      <w:sz w:val="21"/>
      <w:szCs w:val="21"/>
    </w:rPr>
  </w:style>
  <w:style w:type="character" w:styleId="32">
    <w:name w:val="HTML Sample"/>
    <w:basedOn w:val="26"/>
    <w:semiHidden/>
    <w:unhideWhenUsed/>
    <w:uiPriority w:val="99"/>
    <w:rPr>
      <w:rFonts w:ascii="Courier New" w:hAnsi="Courier New"/>
    </w:rPr>
  </w:style>
  <w:style w:type="character" w:customStyle="1" w:styleId="33">
    <w:name w:val="标题 1 Char"/>
    <w:link w:val="3"/>
    <w:semiHidden/>
    <w:qFormat/>
    <w:uiPriority w:val="0"/>
    <w:rPr>
      <w:rFonts w:ascii="Calibri" w:hAnsi="Calibri" w:eastAsia="仿宋" w:cs="Times New Roman"/>
      <w:b/>
      <w:bCs/>
      <w:iCs/>
      <w:color w:val="000000"/>
      <w:kern w:val="44"/>
      <w:sz w:val="28"/>
      <w:szCs w:val="44"/>
      <w:lang w:eastAsia="en-US" w:bidi="en-US"/>
    </w:rPr>
  </w:style>
  <w:style w:type="character" w:customStyle="1" w:styleId="34">
    <w:name w:val="标题 2 Char"/>
    <w:link w:val="4"/>
    <w:semiHidden/>
    <w:qFormat/>
    <w:uiPriority w:val="0"/>
    <w:rPr>
      <w:rFonts w:ascii="Cambria" w:hAnsi="Cambria" w:eastAsia="仿宋" w:cs="黑体"/>
      <w:b/>
      <w:bCs/>
      <w:iCs/>
      <w:color w:val="000000"/>
      <w:sz w:val="28"/>
      <w:szCs w:val="32"/>
      <w:lang w:eastAsia="en-US" w:bidi="en-US"/>
    </w:rPr>
  </w:style>
  <w:style w:type="character" w:customStyle="1" w:styleId="35">
    <w:name w:val="标题 3 Char"/>
    <w:link w:val="5"/>
    <w:qFormat/>
    <w:uiPriority w:val="0"/>
    <w:rPr>
      <w:rFonts w:ascii="Calibri" w:hAnsi="Calibri" w:eastAsia="仿宋" w:cs="Times New Roman"/>
      <w:b/>
      <w:bCs/>
      <w:iCs/>
      <w:color w:val="000000"/>
      <w:sz w:val="24"/>
      <w:szCs w:val="32"/>
      <w:lang w:eastAsia="en-US" w:bidi="en-US"/>
    </w:rPr>
  </w:style>
  <w:style w:type="character" w:customStyle="1" w:styleId="36">
    <w:name w:val="标题 4 Char"/>
    <w:link w:val="6"/>
    <w:semiHidden/>
    <w:qFormat/>
    <w:uiPriority w:val="0"/>
    <w:rPr>
      <w:rFonts w:ascii="Cambria" w:hAnsi="Cambria" w:eastAsia="仿宋" w:cs="黑体"/>
      <w:bCs/>
      <w:iCs/>
      <w:color w:val="000000"/>
      <w:sz w:val="24"/>
      <w:szCs w:val="28"/>
      <w:lang w:eastAsia="en-US" w:bidi="en-US"/>
    </w:rPr>
  </w:style>
  <w:style w:type="character" w:customStyle="1" w:styleId="37">
    <w:name w:val="标题 5 Char"/>
    <w:link w:val="7"/>
    <w:semiHidden/>
    <w:qFormat/>
    <w:uiPriority w:val="0"/>
    <w:rPr>
      <w:rFonts w:ascii="Times New Roman" w:hAnsi="Times New Roman" w:eastAsia="宋体" w:cs="Times New Roman"/>
      <w:b/>
      <w:bCs/>
      <w:kern w:val="0"/>
      <w:sz w:val="28"/>
      <w:szCs w:val="28"/>
    </w:rPr>
  </w:style>
  <w:style w:type="character" w:customStyle="1" w:styleId="38">
    <w:name w:val="标题 6 Char"/>
    <w:link w:val="8"/>
    <w:semiHidden/>
    <w:qFormat/>
    <w:uiPriority w:val="0"/>
    <w:rPr>
      <w:rFonts w:ascii="Cambria" w:hAnsi="Cambria" w:eastAsia="宋体" w:cs="Times New Roman"/>
      <w:b/>
      <w:bCs/>
      <w:kern w:val="0"/>
      <w:sz w:val="24"/>
      <w:szCs w:val="24"/>
    </w:rPr>
  </w:style>
  <w:style w:type="character" w:customStyle="1" w:styleId="39">
    <w:name w:val="标题 7 Char"/>
    <w:link w:val="9"/>
    <w:semiHidden/>
    <w:qFormat/>
    <w:uiPriority w:val="0"/>
    <w:rPr>
      <w:rFonts w:ascii="Times New Roman" w:hAnsi="Times New Roman" w:eastAsia="宋体" w:cs="Times New Roman"/>
      <w:b/>
      <w:bCs/>
      <w:kern w:val="0"/>
      <w:sz w:val="24"/>
      <w:szCs w:val="24"/>
    </w:rPr>
  </w:style>
  <w:style w:type="character" w:customStyle="1" w:styleId="40">
    <w:name w:val="批注主题 Char"/>
    <w:link w:val="41"/>
    <w:semiHidden/>
    <w:qFormat/>
    <w:uiPriority w:val="0"/>
    <w:rPr>
      <w:b/>
      <w:bCs/>
      <w:sz w:val="24"/>
      <w:szCs w:val="24"/>
    </w:rPr>
  </w:style>
  <w:style w:type="paragraph" w:customStyle="1" w:styleId="41">
    <w:name w:val="批注主题1"/>
    <w:basedOn w:val="12"/>
    <w:next w:val="12"/>
    <w:link w:val="40"/>
    <w:qFormat/>
    <w:uiPriority w:val="0"/>
    <w:rPr>
      <w:b/>
      <w:bCs/>
    </w:rPr>
  </w:style>
  <w:style w:type="character" w:customStyle="1" w:styleId="42">
    <w:name w:val="文档结构图 Char"/>
    <w:link w:val="43"/>
    <w:semiHidden/>
    <w:qFormat/>
    <w:uiPriority w:val="0"/>
    <w:rPr>
      <w:rFonts w:ascii="宋体" w:hAnsi="Calibri" w:eastAsia="宋体" w:cs="Times New Roman"/>
      <w:kern w:val="0"/>
      <w:sz w:val="18"/>
      <w:szCs w:val="18"/>
    </w:rPr>
  </w:style>
  <w:style w:type="paragraph" w:customStyle="1" w:styleId="43">
    <w:name w:val="文档结构图1"/>
    <w:basedOn w:val="1"/>
    <w:link w:val="42"/>
    <w:qFormat/>
    <w:uiPriority w:val="0"/>
    <w:rPr>
      <w:rFonts w:ascii="宋体"/>
      <w:kern w:val="0"/>
      <w:sz w:val="18"/>
      <w:szCs w:val="18"/>
    </w:rPr>
  </w:style>
  <w:style w:type="character" w:customStyle="1" w:styleId="44">
    <w:name w:val="批注文字 Char"/>
    <w:link w:val="12"/>
    <w:qFormat/>
    <w:uiPriority w:val="0"/>
    <w:rPr>
      <w:sz w:val="24"/>
      <w:szCs w:val="24"/>
    </w:rPr>
  </w:style>
  <w:style w:type="character" w:customStyle="1" w:styleId="45">
    <w:name w:val="正文文本 Char"/>
    <w:link w:val="13"/>
    <w:semiHidden/>
    <w:qFormat/>
    <w:uiPriority w:val="0"/>
    <w:rPr>
      <w:rFonts w:ascii="Calibri" w:hAnsi="Calibri"/>
      <w:sz w:val="24"/>
      <w:szCs w:val="24"/>
    </w:rPr>
  </w:style>
  <w:style w:type="character" w:customStyle="1" w:styleId="46">
    <w:name w:val="纯文本 Char"/>
    <w:link w:val="47"/>
    <w:qFormat/>
    <w:uiPriority w:val="0"/>
    <w:rPr>
      <w:rFonts w:ascii="Marigold" w:hAnsi="Marigold"/>
    </w:rPr>
  </w:style>
  <w:style w:type="paragraph" w:customStyle="1" w:styleId="47">
    <w:name w:val="纯文本1"/>
    <w:basedOn w:val="1"/>
    <w:link w:val="46"/>
    <w:qFormat/>
    <w:uiPriority w:val="0"/>
    <w:rPr>
      <w:rFonts w:ascii="Marigold" w:hAnsi="Marigold"/>
    </w:rPr>
  </w:style>
  <w:style w:type="character" w:customStyle="1" w:styleId="48">
    <w:name w:val="页脚 Char"/>
    <w:link w:val="17"/>
    <w:qFormat/>
    <w:uiPriority w:val="99"/>
    <w:rPr>
      <w:sz w:val="18"/>
      <w:szCs w:val="18"/>
    </w:rPr>
  </w:style>
  <w:style w:type="character" w:customStyle="1" w:styleId="49">
    <w:name w:val="页眉 Char"/>
    <w:link w:val="18"/>
    <w:qFormat/>
    <w:uiPriority w:val="99"/>
    <w:rPr>
      <w:sz w:val="18"/>
      <w:szCs w:val="18"/>
    </w:rPr>
  </w:style>
  <w:style w:type="character" w:customStyle="1" w:styleId="50">
    <w:name w:val="正文文本 2 Char"/>
    <w:link w:val="51"/>
    <w:semiHidden/>
    <w:qFormat/>
    <w:uiPriority w:val="0"/>
    <w:rPr>
      <w:szCs w:val="24"/>
    </w:rPr>
  </w:style>
  <w:style w:type="paragraph" w:customStyle="1" w:styleId="51">
    <w:name w:val="正文文本 21"/>
    <w:basedOn w:val="1"/>
    <w:link w:val="50"/>
    <w:qFormat/>
    <w:uiPriority w:val="0"/>
    <w:pPr>
      <w:spacing w:after="120" w:line="480" w:lineRule="auto"/>
    </w:pPr>
    <w:rPr>
      <w:szCs w:val="24"/>
    </w:rPr>
  </w:style>
  <w:style w:type="paragraph" w:customStyle="1" w:styleId="52">
    <w:name w:val="批注框文本 Char Char"/>
    <w:basedOn w:val="1"/>
    <w:link w:val="104"/>
    <w:qFormat/>
    <w:uiPriority w:val="0"/>
    <w:rPr>
      <w:sz w:val="18"/>
      <w:szCs w:val="18"/>
    </w:rPr>
  </w:style>
  <w:style w:type="paragraph" w:customStyle="1" w:styleId="53">
    <w:name w:val="正文缩进1"/>
    <w:basedOn w:val="1"/>
    <w:link w:val="122"/>
    <w:qFormat/>
    <w:uiPriority w:val="0"/>
    <w:pPr>
      <w:widowControl w:val="0"/>
      <w:ind w:firstLine="200" w:firstLineChars="200"/>
      <w:jc w:val="both"/>
    </w:pPr>
    <w:rPr>
      <w:sz w:val="21"/>
      <w:szCs w:val="24"/>
    </w:rPr>
  </w:style>
  <w:style w:type="paragraph" w:customStyle="1" w:styleId="54">
    <w:name w:val="普通(网站)1"/>
    <w:basedOn w:val="1"/>
    <w:qFormat/>
    <w:uiPriority w:val="0"/>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55">
    <w:name w:val="列出段落1"/>
    <w:basedOn w:val="1"/>
    <w:qFormat/>
    <w:uiPriority w:val="0"/>
    <w:pPr>
      <w:ind w:firstLine="420" w:firstLineChars="200"/>
    </w:pPr>
    <w:rPr>
      <w:rFonts w:ascii="Times New Roman" w:hAnsi="Times New Roman"/>
      <w:szCs w:val="24"/>
    </w:rPr>
  </w:style>
  <w:style w:type="paragraph" w:customStyle="1" w:styleId="56">
    <w:name w:val="!正文"/>
    <w:basedOn w:val="1"/>
    <w:qFormat/>
    <w:uiPriority w:val="0"/>
    <w:pPr>
      <w:spacing w:line="360" w:lineRule="auto"/>
      <w:ind w:firstLine="480" w:firstLineChars="200"/>
    </w:pPr>
    <w:rPr>
      <w:sz w:val="24"/>
      <w:szCs w:val="21"/>
    </w:rPr>
  </w:style>
  <w:style w:type="paragraph" w:customStyle="1" w:styleId="57">
    <w:name w:val="!标题2"/>
    <w:basedOn w:val="1"/>
    <w:next w:val="1"/>
    <w:link w:val="108"/>
    <w:qFormat/>
    <w:uiPriority w:val="0"/>
    <w:pPr>
      <w:numPr>
        <w:ilvl w:val="1"/>
        <w:numId w:val="1"/>
      </w:numPr>
      <w:spacing w:before="100" w:beforeAutospacing="1" w:after="100" w:afterAutospacing="1" w:line="360" w:lineRule="auto"/>
      <w:outlineLvl w:val="1"/>
    </w:pPr>
    <w:rPr>
      <w:rFonts w:ascii="仿宋" w:hAnsi="仿宋" w:eastAsia="仿宋" w:cs="黑体"/>
      <w:b/>
      <w:sz w:val="24"/>
    </w:rPr>
  </w:style>
  <w:style w:type="paragraph" w:customStyle="1" w:styleId="58">
    <w:name w:val="!标题1"/>
    <w:basedOn w:val="1"/>
    <w:next w:val="1"/>
    <w:qFormat/>
    <w:uiPriority w:val="0"/>
    <w:pPr>
      <w:numPr>
        <w:ilvl w:val="0"/>
        <w:numId w:val="1"/>
      </w:numPr>
      <w:spacing w:before="240" w:after="360" w:line="240" w:lineRule="atLeast"/>
      <w:outlineLvl w:val="0"/>
    </w:pPr>
    <w:rPr>
      <w:rFonts w:ascii="仿宋" w:hAnsi="仿宋" w:eastAsia="仿宋"/>
      <w:b/>
      <w:i w:val="0"/>
      <w:iCs w:val="0"/>
      <w:color w:val="auto"/>
      <w:sz w:val="28"/>
      <w:szCs w:val="21"/>
      <w:lang w:bidi="ar-SA"/>
    </w:rPr>
  </w:style>
  <w:style w:type="paragraph" w:customStyle="1" w:styleId="59">
    <w:name w:val="!标题3"/>
    <w:basedOn w:val="1"/>
    <w:next w:val="1"/>
    <w:link w:val="110"/>
    <w:qFormat/>
    <w:uiPriority w:val="0"/>
    <w:pPr>
      <w:numPr>
        <w:ilvl w:val="0"/>
        <w:numId w:val="2"/>
      </w:numPr>
      <w:spacing w:line="360" w:lineRule="auto"/>
      <w:outlineLvl w:val="2"/>
    </w:pPr>
    <w:rPr>
      <w:rFonts w:eastAsia="仿宋"/>
      <w:sz w:val="24"/>
    </w:rPr>
  </w:style>
  <w:style w:type="paragraph" w:customStyle="1" w:styleId="60">
    <w:name w:val="正文1"/>
    <w:link w:val="111"/>
    <w:qFormat/>
    <w:uiPriority w:val="0"/>
    <w:pPr>
      <w:widowControl w:val="0"/>
      <w:adjustRightInd w:val="0"/>
      <w:spacing w:line="312" w:lineRule="atLeast"/>
      <w:jc w:val="both"/>
      <w:textAlignment w:val="baseline"/>
    </w:pPr>
    <w:rPr>
      <w:rFonts w:ascii="Marigold" w:hAnsi="Marigold" w:eastAsia="宋体" w:cs="Times New Roman"/>
      <w:sz w:val="34"/>
      <w:lang w:val="en-US" w:eastAsia="zh-CN" w:bidi="ar-SA"/>
    </w:rPr>
  </w:style>
  <w:style w:type="paragraph" w:customStyle="1" w:styleId="61">
    <w:name w:val="_正文段落"/>
    <w:basedOn w:val="1"/>
    <w:qFormat/>
    <w:uiPriority w:val="0"/>
    <w:pPr>
      <w:numPr>
        <w:ilvl w:val="0"/>
        <w:numId w:val="3"/>
      </w:numPr>
      <w:spacing w:beforeLines="15" w:afterLines="15" w:line="360" w:lineRule="auto"/>
      <w:ind w:left="988"/>
    </w:pPr>
    <w:rPr>
      <w:rFonts w:ascii="Times New Roman" w:hAnsi="Times New Roman"/>
      <w:sz w:val="28"/>
      <w:szCs w:val="24"/>
    </w:rPr>
  </w:style>
  <w:style w:type="paragraph" w:customStyle="1" w:styleId="62">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iCs w:val="0"/>
      <w:color w:val="auto"/>
      <w:szCs w:val="20"/>
      <w:lang w:eastAsia="zh-CN" w:bidi="ar-SA"/>
    </w:rPr>
  </w:style>
  <w:style w:type="paragraph" w:customStyle="1" w:styleId="63">
    <w:name w:val="!正文(无缩)"/>
    <w:basedOn w:val="1"/>
    <w:qFormat/>
    <w:uiPriority w:val="0"/>
    <w:pPr>
      <w:spacing w:line="360" w:lineRule="auto"/>
    </w:pPr>
    <w:rPr>
      <w:sz w:val="24"/>
      <w:szCs w:val="21"/>
    </w:rPr>
  </w:style>
  <w:style w:type="paragraph" w:customStyle="1" w:styleId="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65">
    <w:name w:val="样式 首行缩进:  2 字符"/>
    <w:basedOn w:val="1"/>
    <w:qFormat/>
    <w:uiPriority w:val="0"/>
    <w:pPr>
      <w:widowControl w:val="0"/>
      <w:spacing w:line="400" w:lineRule="exact"/>
      <w:ind w:firstLine="200" w:firstLineChars="200"/>
      <w:jc w:val="both"/>
    </w:pPr>
    <w:rPr>
      <w:rFonts w:cs="宋体"/>
      <w:i w:val="0"/>
      <w:iCs w:val="0"/>
      <w:color w:val="auto"/>
      <w:sz w:val="24"/>
      <w:szCs w:val="24"/>
      <w:lang w:eastAsia="zh-CN" w:bidi="ar-SA"/>
    </w:rPr>
  </w:style>
  <w:style w:type="paragraph" w:customStyle="1" w:styleId="66">
    <w:name w:val="列出段落2"/>
    <w:basedOn w:val="1"/>
    <w:link w:val="115"/>
    <w:qFormat/>
    <w:uiPriority w:val="0"/>
    <w:pPr>
      <w:widowControl w:val="0"/>
      <w:ind w:firstLine="420" w:firstLineChars="200"/>
      <w:jc w:val="both"/>
    </w:pPr>
  </w:style>
  <w:style w:type="paragraph" w:customStyle="1" w:styleId="67">
    <w:name w:val="文档正文"/>
    <w:basedOn w:val="1"/>
    <w:link w:val="116"/>
    <w:qFormat/>
    <w:uiPriority w:val="0"/>
    <w:pPr>
      <w:widowControl w:val="0"/>
      <w:adjustRightInd w:val="0"/>
      <w:spacing w:line="480" w:lineRule="atLeast"/>
      <w:ind w:firstLine="567"/>
      <w:jc w:val="both"/>
      <w:textAlignment w:val="baseline"/>
    </w:pPr>
    <w:rPr>
      <w:rFonts w:ascii="长城仿宋"/>
      <w:sz w:val="24"/>
    </w:rPr>
  </w:style>
  <w:style w:type="paragraph" w:customStyle="1" w:styleId="68">
    <w:name w:val="xl8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69">
    <w:name w:val="xl8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70">
    <w:name w:val="xl74"/>
    <w:basedOn w:val="1"/>
    <w:qFormat/>
    <w:uiPriority w:val="0"/>
    <w:pPr>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71">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72">
    <w:name w:val="xl9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i w:val="0"/>
      <w:iCs w:val="0"/>
      <w:color w:val="auto"/>
      <w:kern w:val="0"/>
      <w:lang w:eastAsia="zh-CN" w:bidi="ar-SA"/>
    </w:rPr>
  </w:style>
  <w:style w:type="paragraph" w:customStyle="1" w:styleId="73">
    <w:name w:val="xl9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i w:val="0"/>
      <w:iCs w:val="0"/>
      <w:color w:val="auto"/>
      <w:kern w:val="0"/>
      <w:lang w:eastAsia="zh-CN" w:bidi="ar-SA"/>
    </w:rPr>
  </w:style>
  <w:style w:type="paragraph" w:customStyle="1" w:styleId="74">
    <w:name w:val="xl75"/>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75">
    <w:name w:val="xl76"/>
    <w:basedOn w:val="1"/>
    <w:qFormat/>
    <w:uiPriority w:val="0"/>
    <w:pPr>
      <w:pBdr>
        <w:top w:val="single" w:color="auto" w:sz="8" w:space="0"/>
        <w:bottom w:val="single" w:color="auto" w:sz="8" w:space="0"/>
        <w:right w:val="single" w:color="auto" w:sz="8" w:space="0"/>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76">
    <w:name w:val="列出段落11"/>
    <w:basedOn w:val="1"/>
    <w:qFormat/>
    <w:uiPriority w:val="0"/>
    <w:pPr>
      <w:widowControl w:val="0"/>
      <w:ind w:firstLine="420" w:firstLineChars="200"/>
      <w:jc w:val="both"/>
    </w:pPr>
    <w:rPr>
      <w:rFonts w:ascii="Times New Roman" w:hAnsi="Times New Roman" w:cs="黑体"/>
      <w:i w:val="0"/>
      <w:iCs w:val="0"/>
      <w:color w:val="auto"/>
      <w:sz w:val="21"/>
      <w:lang w:eastAsia="zh-CN" w:bidi="ar-SA"/>
    </w:rPr>
  </w:style>
  <w:style w:type="paragraph" w:customStyle="1" w:styleId="77">
    <w:name w:val="xl86"/>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78">
    <w:name w:val="xl68"/>
    <w:basedOn w:val="1"/>
    <w:qFormat/>
    <w:uiPriority w:val="0"/>
    <w:pPr>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i w:val="0"/>
      <w:iCs w:val="0"/>
      <w:color w:val="auto"/>
      <w:kern w:val="0"/>
      <w:sz w:val="13"/>
      <w:szCs w:val="13"/>
      <w:lang w:eastAsia="zh-CN" w:bidi="ar-SA"/>
    </w:rPr>
  </w:style>
  <w:style w:type="paragraph" w:customStyle="1" w:styleId="79">
    <w:name w:val="xl72"/>
    <w:basedOn w:val="1"/>
    <w:qFormat/>
    <w:uiPriority w:val="0"/>
    <w:pPr>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i w:val="0"/>
      <w:iCs w:val="0"/>
      <w:color w:val="auto"/>
      <w:kern w:val="0"/>
      <w:sz w:val="15"/>
      <w:szCs w:val="15"/>
      <w:lang w:eastAsia="zh-CN" w:bidi="ar-SA"/>
    </w:rPr>
  </w:style>
  <w:style w:type="paragraph" w:customStyle="1" w:styleId="80">
    <w:name w:val="xl69"/>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81">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8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83">
    <w:name w:val="xl71"/>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i w:val="0"/>
      <w:iCs w:val="0"/>
      <w:color w:val="auto"/>
      <w:kern w:val="0"/>
      <w:sz w:val="15"/>
      <w:szCs w:val="15"/>
      <w:lang w:eastAsia="zh-CN" w:bidi="ar-SA"/>
    </w:rPr>
  </w:style>
  <w:style w:type="paragraph" w:customStyle="1" w:styleId="84">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85">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86">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87">
    <w:name w:val="Table Paragraph"/>
    <w:basedOn w:val="1"/>
    <w:qFormat/>
    <w:uiPriority w:val="0"/>
    <w:pPr>
      <w:widowControl w:val="0"/>
      <w:autoSpaceDE w:val="0"/>
      <w:autoSpaceDN w:val="0"/>
    </w:pPr>
    <w:rPr>
      <w:rFonts w:ascii="宋体" w:hAnsi="宋体" w:cs="宋体"/>
      <w:i w:val="0"/>
      <w:iCs w:val="0"/>
      <w:color w:val="auto"/>
      <w:kern w:val="0"/>
      <w:lang w:bidi="ar-SA"/>
    </w:rPr>
  </w:style>
  <w:style w:type="paragraph" w:customStyle="1" w:styleId="88">
    <w:name w:val="xl93"/>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i w:val="0"/>
      <w:iCs w:val="0"/>
      <w:color w:val="auto"/>
      <w:kern w:val="0"/>
      <w:lang w:eastAsia="zh-CN" w:bidi="ar-SA"/>
    </w:rPr>
  </w:style>
  <w:style w:type="paragraph" w:customStyle="1" w:styleId="89">
    <w:name w:val="样式 标题 2 + Times New Roman 四号 非加粗 段前: 5 磅 段后: 0 磅 行距: 固定值 20..."/>
    <w:basedOn w:val="4"/>
    <w:qFormat/>
    <w:uiPriority w:val="0"/>
    <w:pPr>
      <w:widowControl w:val="0"/>
      <w:spacing w:before="100" w:after="0" w:line="400" w:lineRule="exact"/>
      <w:jc w:val="both"/>
    </w:pPr>
    <w:rPr>
      <w:rFonts w:ascii="Times New Roman" w:hAnsi="Times New Roman" w:eastAsia="黑体" w:cs="宋体"/>
      <w:b w:val="0"/>
      <w:bCs w:val="0"/>
      <w:iCs w:val="0"/>
      <w:color w:val="auto"/>
      <w:szCs w:val="20"/>
      <w:lang w:eastAsia="zh-CN" w:bidi="ar-SA"/>
    </w:rPr>
  </w:style>
  <w:style w:type="paragraph" w:customStyle="1" w:styleId="90">
    <w:name w:val="_Style 2"/>
    <w:basedOn w:val="1"/>
    <w:qFormat/>
    <w:uiPriority w:val="0"/>
    <w:pPr>
      <w:ind w:firstLine="420" w:firstLineChars="200"/>
    </w:pPr>
    <w:rPr>
      <w:rFonts w:ascii="Times New Roman" w:hAnsi="Times New Roman"/>
      <w:i w:val="0"/>
      <w:iCs w:val="0"/>
      <w:color w:val="auto"/>
      <w:kern w:val="0"/>
      <w:sz w:val="24"/>
      <w:szCs w:val="24"/>
      <w:lang w:eastAsia="zh-CN" w:bidi="ar-SA"/>
    </w:rPr>
  </w:style>
  <w:style w:type="paragraph" w:customStyle="1" w:styleId="91">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92">
    <w:name w:val="font5"/>
    <w:basedOn w:val="1"/>
    <w:qFormat/>
    <w:uiPriority w:val="0"/>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93">
    <w:name w:val="xl78"/>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94">
    <w:name w:val="xl70"/>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95">
    <w:name w:val="xl65"/>
    <w:basedOn w:val="1"/>
    <w:qFormat/>
    <w:uiPriority w:val="0"/>
    <w:pPr>
      <w:pBdr>
        <w:right w:val="single" w:color="auto" w:sz="8" w:space="0"/>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96">
    <w:name w:val="xl73"/>
    <w:basedOn w:val="1"/>
    <w:qFormat/>
    <w:uiPriority w:val="0"/>
    <w:pPr>
      <w:pBdr>
        <w:left w:val="single" w:color="auto" w:sz="8" w:space="0"/>
        <w:right w:val="single" w:color="auto" w:sz="8" w:space="0"/>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97">
    <w:name w:val="xl9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98">
    <w:name w:val="xl66"/>
    <w:basedOn w:val="1"/>
    <w:qFormat/>
    <w:uiPriority w:val="0"/>
    <w:pPr>
      <w:pBdr>
        <w:bottom w:val="single" w:color="auto" w:sz="8" w:space="0"/>
        <w:right w:val="single" w:color="auto" w:sz="8" w:space="0"/>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99">
    <w:name w:val="_Style 1"/>
    <w:basedOn w:val="1"/>
    <w:qFormat/>
    <w:uiPriority w:val="99"/>
    <w:pPr>
      <w:widowControl w:val="0"/>
      <w:ind w:firstLine="420" w:firstLineChars="200"/>
      <w:jc w:val="both"/>
    </w:pPr>
    <w:rPr>
      <w:rFonts w:ascii="Times New Roman" w:hAnsi="Times New Roman"/>
      <w:i w:val="0"/>
      <w:iCs w:val="0"/>
      <w:color w:val="auto"/>
      <w:sz w:val="21"/>
      <w:lang w:eastAsia="zh-CN" w:bidi="ar-SA"/>
    </w:rPr>
  </w:style>
  <w:style w:type="paragraph" w:customStyle="1" w:styleId="100">
    <w:name w:val="xl67"/>
    <w:basedOn w:val="1"/>
    <w:qFormat/>
    <w:uiPriority w:val="0"/>
    <w:pPr>
      <w:pBdr>
        <w:bottom w:val="single" w:color="auto" w:sz="8" w:space="0"/>
        <w:right w:val="single" w:color="auto" w:sz="8" w:space="0"/>
      </w:pBdr>
      <w:spacing w:before="100" w:beforeAutospacing="1" w:after="100" w:afterAutospacing="1"/>
      <w:jc w:val="center"/>
      <w:textAlignment w:val="center"/>
    </w:pPr>
    <w:rPr>
      <w:rFonts w:ascii="仿宋" w:hAnsi="仿宋" w:eastAsia="仿宋" w:cs="宋体"/>
      <w:i w:val="0"/>
      <w:iCs w:val="0"/>
      <w:kern w:val="0"/>
      <w:sz w:val="13"/>
      <w:szCs w:val="13"/>
      <w:lang w:eastAsia="zh-CN" w:bidi="ar-SA"/>
    </w:rPr>
  </w:style>
  <w:style w:type="paragraph" w:customStyle="1" w:styleId="101">
    <w:name w:val="xl89"/>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102">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i w:val="0"/>
      <w:iCs w:val="0"/>
      <w:color w:val="auto"/>
      <w:kern w:val="0"/>
      <w:sz w:val="28"/>
      <w:szCs w:val="28"/>
      <w:lang w:eastAsia="zh-CN" w:bidi="ar-SA"/>
    </w:rPr>
  </w:style>
  <w:style w:type="paragraph" w:customStyle="1" w:styleId="103">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i w:val="0"/>
      <w:iCs w:val="0"/>
      <w:color w:val="auto"/>
      <w:kern w:val="0"/>
      <w:lang w:eastAsia="zh-CN" w:bidi="ar-SA"/>
    </w:rPr>
  </w:style>
  <w:style w:type="character" w:customStyle="1" w:styleId="104">
    <w:name w:val="批注框文本 Char Char Char"/>
    <w:link w:val="52"/>
    <w:semiHidden/>
    <w:qFormat/>
    <w:uiPriority w:val="0"/>
    <w:rPr>
      <w:rFonts w:ascii="Calibri" w:hAnsi="Calibri" w:eastAsia="宋体" w:cs="Times New Roman"/>
      <w:i/>
      <w:iCs/>
      <w:color w:val="000000"/>
      <w:sz w:val="18"/>
      <w:szCs w:val="18"/>
      <w:lang w:eastAsia="en-US" w:bidi="en-US"/>
    </w:rPr>
  </w:style>
  <w:style w:type="character" w:customStyle="1" w:styleId="105">
    <w:name w:val="页码1"/>
    <w:basedOn w:val="26"/>
    <w:qFormat/>
    <w:uiPriority w:val="0"/>
  </w:style>
  <w:style w:type="character" w:customStyle="1" w:styleId="106">
    <w:name w:val="批注引用1"/>
    <w:qFormat/>
    <w:uiPriority w:val="0"/>
    <w:rPr>
      <w:sz w:val="21"/>
      <w:szCs w:val="21"/>
    </w:rPr>
  </w:style>
  <w:style w:type="character" w:customStyle="1" w:styleId="107">
    <w:name w:val="HTML 引文1"/>
    <w:qFormat/>
    <w:uiPriority w:val="0"/>
    <w:rPr>
      <w:color w:val="008000"/>
    </w:rPr>
  </w:style>
  <w:style w:type="character" w:customStyle="1" w:styleId="108">
    <w:name w:val="!标题2 Char Char"/>
    <w:link w:val="57"/>
    <w:semiHidden/>
    <w:qFormat/>
    <w:uiPriority w:val="0"/>
    <w:rPr>
      <w:rFonts w:ascii="仿宋" w:hAnsi="仿宋" w:eastAsia="仿宋" w:cs="黑体"/>
      <w:b/>
      <w:kern w:val="2"/>
      <w:sz w:val="24"/>
      <w:szCs w:val="22"/>
    </w:rPr>
  </w:style>
  <w:style w:type="character" w:customStyle="1" w:styleId="109">
    <w:name w:val="正文文本 2 Char1"/>
    <w:qFormat/>
    <w:uiPriority w:val="0"/>
    <w:rPr>
      <w:rFonts w:ascii="Calibri" w:hAnsi="Calibri" w:eastAsia="宋体" w:cs="Times New Roman"/>
      <w:i/>
      <w:iCs/>
      <w:color w:val="000000"/>
      <w:sz w:val="22"/>
      <w:lang w:eastAsia="en-US" w:bidi="en-US"/>
    </w:rPr>
  </w:style>
  <w:style w:type="character" w:customStyle="1" w:styleId="110">
    <w:name w:val="!标题3 Char Char"/>
    <w:link w:val="59"/>
    <w:semiHidden/>
    <w:qFormat/>
    <w:uiPriority w:val="0"/>
    <w:rPr>
      <w:rFonts w:eastAsia="仿宋"/>
      <w:sz w:val="24"/>
    </w:rPr>
  </w:style>
  <w:style w:type="character" w:customStyle="1" w:styleId="111">
    <w:name w:val="正文1 Char Char"/>
    <w:link w:val="60"/>
    <w:semiHidden/>
    <w:qFormat/>
    <w:uiPriority w:val="0"/>
    <w:rPr>
      <w:rFonts w:ascii="Marigold" w:hAnsi="Marigold"/>
      <w:sz w:val="34"/>
    </w:rPr>
  </w:style>
  <w:style w:type="character" w:customStyle="1" w:styleId="112">
    <w:name w:val="纯文本 Char1"/>
    <w:qFormat/>
    <w:uiPriority w:val="0"/>
    <w:rPr>
      <w:rFonts w:ascii="宋体" w:hAnsi="Courier New" w:eastAsia="宋体" w:cs="Courier New"/>
      <w:i/>
      <w:iCs/>
      <w:color w:val="000000"/>
      <w:szCs w:val="21"/>
      <w:lang w:eastAsia="en-US" w:bidi="en-US"/>
    </w:rPr>
  </w:style>
  <w:style w:type="character" w:customStyle="1" w:styleId="113">
    <w:name w:val="无 A"/>
    <w:qFormat/>
    <w:uiPriority w:val="0"/>
  </w:style>
  <w:style w:type="character" w:customStyle="1" w:styleId="114">
    <w:name w:val="批注文字 Char1"/>
    <w:qFormat/>
    <w:uiPriority w:val="0"/>
    <w:rPr>
      <w:rFonts w:ascii="Calibri" w:hAnsi="Calibri" w:eastAsia="宋体" w:cs="Times New Roman"/>
      <w:i/>
      <w:iCs/>
      <w:color w:val="000000"/>
      <w:sz w:val="22"/>
      <w:lang w:eastAsia="en-US" w:bidi="en-US"/>
    </w:rPr>
  </w:style>
  <w:style w:type="character" w:customStyle="1" w:styleId="115">
    <w:name w:val="List Paragraph Char Char"/>
    <w:link w:val="66"/>
    <w:semiHidden/>
    <w:qFormat/>
    <w:uiPriority w:val="0"/>
  </w:style>
  <w:style w:type="character" w:customStyle="1" w:styleId="116">
    <w:name w:val="文档正文 Char Char"/>
    <w:link w:val="67"/>
    <w:semiHidden/>
    <w:qFormat/>
    <w:uiPriority w:val="0"/>
    <w:rPr>
      <w:rFonts w:ascii="长城仿宋" w:eastAsia="宋体"/>
      <w:sz w:val="24"/>
    </w:rPr>
  </w:style>
  <w:style w:type="character" w:customStyle="1" w:styleId="117">
    <w:name w:val="批注主题 Char1"/>
    <w:qFormat/>
    <w:uiPriority w:val="0"/>
    <w:rPr>
      <w:rFonts w:ascii="Calibri" w:hAnsi="Calibri" w:eastAsia="宋体" w:cs="Times New Roman"/>
      <w:b/>
      <w:bCs/>
      <w:i/>
      <w:iCs/>
      <w:color w:val="000000"/>
      <w:sz w:val="22"/>
      <w:szCs w:val="24"/>
      <w:lang w:eastAsia="en-US" w:bidi="en-US"/>
    </w:rPr>
  </w:style>
  <w:style w:type="character" w:customStyle="1" w:styleId="118">
    <w:name w:val="文档结构图 Char1"/>
    <w:qFormat/>
    <w:uiPriority w:val="0"/>
    <w:rPr>
      <w:rFonts w:ascii="宋体" w:hAnsi="Calibri" w:eastAsia="宋体" w:cs="Times New Roman"/>
      <w:i/>
      <w:iCs/>
      <w:color w:val="000000"/>
      <w:sz w:val="18"/>
      <w:szCs w:val="18"/>
      <w:lang w:eastAsia="en-US" w:bidi="en-US"/>
    </w:rPr>
  </w:style>
  <w:style w:type="character" w:customStyle="1" w:styleId="119">
    <w:name w:val="正文文本 Char1"/>
    <w:qFormat/>
    <w:uiPriority w:val="0"/>
    <w:rPr>
      <w:rFonts w:ascii="Calibri" w:hAnsi="Calibri" w:eastAsia="宋体" w:cs="Times New Roman"/>
      <w:i/>
      <w:iCs/>
      <w:color w:val="000000"/>
      <w:sz w:val="22"/>
      <w:lang w:eastAsia="en-US" w:bidi="en-US"/>
    </w:rPr>
  </w:style>
  <w:style w:type="character" w:customStyle="1" w:styleId="120">
    <w:name w:val="sugg-loading"/>
    <w:basedOn w:val="26"/>
    <w:qFormat/>
    <w:uiPriority w:val="0"/>
  </w:style>
  <w:style w:type="character" w:customStyle="1" w:styleId="121">
    <w:name w:val="page-cur"/>
    <w:qFormat/>
    <w:uiPriority w:val="0"/>
    <w:rPr>
      <w:b/>
      <w:color w:val="333333"/>
      <w:bdr w:val="single" w:color="E5E5E5" w:sz="6" w:space="0"/>
      <w:shd w:val="clear" w:color="auto" w:fill="F2F2F2"/>
    </w:rPr>
  </w:style>
  <w:style w:type="character" w:customStyle="1" w:styleId="122">
    <w:name w:val="正文缩进 Char"/>
    <w:link w:val="53"/>
    <w:qFormat/>
    <w:uiPriority w:val="0"/>
    <w:rPr>
      <w:rFonts w:ascii="Calibri" w:hAnsi="Calibri"/>
      <w:kern w:val="2"/>
      <w:sz w:val="21"/>
      <w:szCs w:val="24"/>
    </w:rPr>
  </w:style>
  <w:style w:type="character" w:customStyle="1" w:styleId="123">
    <w:name w:val="批注框文本 Char"/>
    <w:basedOn w:val="26"/>
    <w:link w:val="16"/>
    <w:semiHidden/>
    <w:qFormat/>
    <w:uiPriority w:val="99"/>
    <w:rPr>
      <w:rFonts w:ascii="Calibri" w:hAnsi="Calibri"/>
      <w:i/>
      <w:iCs/>
      <w:color w:val="000000"/>
      <w:kern w:val="2"/>
      <w:sz w:val="18"/>
      <w:szCs w:val="18"/>
      <w:lang w:eastAsia="en-US" w:bidi="en-US"/>
    </w:rPr>
  </w:style>
  <w:style w:type="character" w:customStyle="1" w:styleId="124">
    <w:name w:val="纯文本 Char2"/>
    <w:basedOn w:val="26"/>
    <w:semiHidden/>
    <w:qFormat/>
    <w:uiPriority w:val="99"/>
    <w:rPr>
      <w:rFonts w:ascii="宋体" w:hAnsi="Courier New" w:cs="Courier New"/>
      <w:i/>
      <w:iCs/>
      <w:color w:val="000000"/>
      <w:kern w:val="2"/>
      <w:sz w:val="21"/>
      <w:szCs w:val="21"/>
      <w:lang w:eastAsia="en-US" w:bidi="en-US"/>
    </w:rPr>
  </w:style>
  <w:style w:type="character" w:customStyle="1" w:styleId="125">
    <w:name w:val="NormalCharacter"/>
    <w:semiHidden/>
    <w:qFormat/>
    <w:uiPriority w:val="0"/>
  </w:style>
  <w:style w:type="paragraph" w:customStyle="1" w:styleId="126">
    <w:name w:val="正文内容"/>
    <w:basedOn w:val="1"/>
    <w:qFormat/>
    <w:uiPriority w:val="0"/>
    <w:pPr>
      <w:spacing w:line="360" w:lineRule="auto"/>
      <w:ind w:left="480" w:hanging="480" w:hangingChars="200"/>
    </w:pPr>
    <w:rPr>
      <w:rFonts w:ascii="仿宋" w:hAnsi="仿宋" w:eastAsia="仿宋"/>
      <w:i w:val="0"/>
      <w:iCs w:val="0"/>
      <w:color w:val="auto"/>
      <w:kern w:val="0"/>
      <w:sz w:val="24"/>
      <w:szCs w:val="72"/>
      <w:lang w:eastAsia="zh-CN" w:bidi="ar-SA"/>
    </w:rPr>
  </w:style>
  <w:style w:type="paragraph" w:customStyle="1" w:styleId="127">
    <w:name w:val="List Paragraph1"/>
    <w:basedOn w:val="1"/>
    <w:qFormat/>
    <w:uiPriority w:val="0"/>
    <w:pPr>
      <w:widowControl w:val="0"/>
      <w:spacing w:beforeLines="50" w:afterLines="50" w:line="480" w:lineRule="exact"/>
      <w:ind w:firstLine="420" w:firstLineChars="200"/>
    </w:pPr>
    <w:rPr>
      <w:i w:val="0"/>
      <w:iCs w:val="0"/>
      <w:color w:val="auto"/>
      <w:sz w:val="24"/>
      <w:szCs w:val="24"/>
      <w:lang w:eastAsia="zh-CN" w:bidi="ar-SA"/>
    </w:rPr>
  </w:style>
  <w:style w:type="paragraph" w:styleId="128">
    <w:name w:val="List Paragraph"/>
    <w:basedOn w:val="1"/>
    <w:link w:val="130"/>
    <w:qFormat/>
    <w:uiPriority w:val="0"/>
    <w:pPr>
      <w:widowControl w:val="0"/>
      <w:ind w:firstLine="420" w:firstLineChars="200"/>
      <w:jc w:val="both"/>
    </w:pPr>
    <w:rPr>
      <w:i w:val="0"/>
      <w:iCs w:val="0"/>
      <w:color w:val="auto"/>
      <w:sz w:val="21"/>
      <w:lang w:eastAsia="zh-CN" w:bidi="ar-SA"/>
    </w:rPr>
  </w:style>
  <w:style w:type="paragraph" w:customStyle="1" w:styleId="129">
    <w:name w:val="段落"/>
    <w:basedOn w:val="1"/>
    <w:next w:val="1"/>
    <w:qFormat/>
    <w:uiPriority w:val="0"/>
    <w:pPr>
      <w:widowControl w:val="0"/>
      <w:spacing w:before="50" w:beforeLines="50" w:after="50" w:afterLines="50" w:line="360" w:lineRule="auto"/>
      <w:ind w:firstLine="964" w:firstLineChars="200"/>
    </w:pPr>
    <w:rPr>
      <w:rFonts w:eastAsia="仿宋"/>
      <w:i w:val="0"/>
      <w:iCs w:val="0"/>
      <w:color w:val="auto"/>
      <w:sz w:val="28"/>
      <w:szCs w:val="21"/>
      <w:lang w:eastAsia="zh-CN" w:bidi="ar-SA"/>
    </w:rPr>
  </w:style>
  <w:style w:type="character" w:customStyle="1" w:styleId="130">
    <w:name w:val="列出段落 Char"/>
    <w:link w:val="128"/>
    <w:qFormat/>
    <w:uiPriority w:val="0"/>
    <w:rPr>
      <w:rFonts w:ascii="Calibri" w:hAnsi="Calibri"/>
      <w:kern w:val="2"/>
      <w:sz w:val="21"/>
      <w:szCs w:val="22"/>
    </w:rPr>
  </w:style>
  <w:style w:type="character" w:customStyle="1" w:styleId="131">
    <w:name w:val="批注主题 Char2"/>
    <w:basedOn w:val="44"/>
    <w:link w:val="22"/>
    <w:semiHidden/>
    <w:qFormat/>
    <w:uiPriority w:val="99"/>
    <w:rPr>
      <w:rFonts w:ascii="Calibri" w:hAnsi="Calibri"/>
      <w:b/>
      <w:bCs/>
      <w:i/>
      <w:iCs/>
      <w:color w:val="000000"/>
      <w:kern w:val="2"/>
      <w:sz w:val="22"/>
      <w:szCs w:val="22"/>
      <w:lang w:eastAsia="en-US" w:bidi="en-US"/>
    </w:rPr>
  </w:style>
  <w:style w:type="character" w:customStyle="1" w:styleId="132">
    <w:name w:val="标题 8 Char"/>
    <w:basedOn w:val="26"/>
    <w:link w:val="10"/>
    <w:qFormat/>
    <w:uiPriority w:val="0"/>
    <w:rPr>
      <w:rFonts w:ascii="Cambria" w:hAnsi="Cambria"/>
      <w:sz w:val="24"/>
      <w:szCs w:val="24"/>
    </w:rPr>
  </w:style>
  <w:style w:type="character" w:customStyle="1" w:styleId="133">
    <w:name w:val="正文首缩两字 Char"/>
    <w:link w:val="134"/>
    <w:qFormat/>
    <w:uiPriority w:val="0"/>
    <w:rPr>
      <w:rFonts w:ascii="Verdana" w:hAnsi="Verdana"/>
      <w:kern w:val="2"/>
      <w:sz w:val="24"/>
      <w:szCs w:val="24"/>
    </w:rPr>
  </w:style>
  <w:style w:type="paragraph" w:customStyle="1" w:styleId="134">
    <w:name w:val="正文首缩两字"/>
    <w:basedOn w:val="1"/>
    <w:link w:val="133"/>
    <w:qFormat/>
    <w:uiPriority w:val="0"/>
    <w:pPr>
      <w:widowControl w:val="0"/>
      <w:spacing w:line="360" w:lineRule="auto"/>
      <w:ind w:firstLine="200" w:firstLineChars="200"/>
      <w:jc w:val="both"/>
    </w:pPr>
    <w:rPr>
      <w:rFonts w:ascii="Verdana" w:hAnsi="Verdana"/>
      <w:i w:val="0"/>
      <w:iCs w:val="0"/>
      <w:color w:val="auto"/>
      <w:sz w:val="24"/>
      <w:szCs w:val="24"/>
      <w:lang w:eastAsia="zh-CN" w:bidi="ar-SA"/>
    </w:rPr>
  </w:style>
  <w:style w:type="paragraph" w:customStyle="1" w:styleId="135">
    <w:name w:val="列出段落12"/>
    <w:basedOn w:val="1"/>
    <w:qFormat/>
    <w:uiPriority w:val="99"/>
    <w:pPr>
      <w:widowControl w:val="0"/>
      <w:ind w:firstLine="420" w:firstLineChars="200"/>
      <w:jc w:val="both"/>
    </w:pPr>
    <w:rPr>
      <w:i w:val="0"/>
      <w:iCs w:val="0"/>
      <w:color w:val="auto"/>
      <w:sz w:val="21"/>
      <w:lang w:eastAsia="zh-CN" w:bidi="ar-SA"/>
    </w:rPr>
  </w:style>
  <w:style w:type="character" w:customStyle="1" w:styleId="136">
    <w:name w:val="*正文 Char"/>
    <w:link w:val="137"/>
    <w:qFormat/>
    <w:uiPriority w:val="0"/>
    <w:rPr>
      <w:rFonts w:eastAsia="仿宋"/>
      <w:kern w:val="2"/>
      <w:sz w:val="28"/>
      <w:szCs w:val="28"/>
    </w:rPr>
  </w:style>
  <w:style w:type="paragraph" w:customStyle="1" w:styleId="137">
    <w:name w:val="*正文"/>
    <w:basedOn w:val="1"/>
    <w:link w:val="136"/>
    <w:qFormat/>
    <w:uiPriority w:val="0"/>
    <w:pPr>
      <w:spacing w:before="120" w:after="120" w:line="360" w:lineRule="auto"/>
      <w:ind w:firstLine="200" w:firstLineChars="200"/>
      <w:jc w:val="both"/>
    </w:pPr>
    <w:rPr>
      <w:rFonts w:ascii="Times New Roman" w:hAnsi="Times New Roman" w:eastAsia="仿宋"/>
      <w:i w:val="0"/>
      <w:iCs w:val="0"/>
      <w:color w:val="auto"/>
      <w:sz w:val="28"/>
      <w:szCs w:val="28"/>
      <w:lang w:eastAsia="zh-CN" w:bidi="ar-SA"/>
    </w:rPr>
  </w:style>
  <w:style w:type="paragraph" w:customStyle="1" w:styleId="138">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139">
    <w:name w:val="a正文（首行缩进2字符）"/>
    <w:basedOn w:val="1"/>
    <w:qFormat/>
    <w:uiPriority w:val="0"/>
    <w:pPr>
      <w:widowControl w:val="0"/>
      <w:ind w:firstLine="482" w:firstLineChars="200"/>
      <w:jc w:val="both"/>
    </w:pPr>
    <w:rPr>
      <w:rFonts w:ascii="宋体" w:hAnsi="宋体"/>
      <w:b/>
      <w:i w:val="0"/>
      <w:iCs w:val="0"/>
      <w:sz w:val="21"/>
      <w:szCs w:val="24"/>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FBFB9-78F3-45A4-9B5E-471B9937B68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146</Pages>
  <Words>69506</Words>
  <Characters>82150</Characters>
  <Lines>332</Lines>
  <Paragraphs>93</Paragraphs>
  <TotalTime>11</TotalTime>
  <ScaleCrop>false</ScaleCrop>
  <LinksUpToDate>false</LinksUpToDate>
  <CharactersWithSpaces>90350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2021-05-28T09:15:00Z</dcterms:created>
  <dc:creator>User</dc:creator>
  <cp:lastModifiedBy>可乐&amp;sprite</cp:lastModifiedBy>
  <cp:lastPrinted>2022-01-17T10:46:00Z</cp:lastPrinted>
  <dcterms:modified xsi:type="dcterms:W3CDTF">2022-01-19T08:43:21Z</dcterms:modified>
  <dc:title>Windows 用户</dc:title>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