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b/>
          <w:color w:val="auto"/>
          <w:sz w:val="30"/>
          <w:szCs w:val="30"/>
          <w:highlight w:val="none"/>
        </w:rPr>
      </w:pPr>
      <w:bookmarkStart w:id="0" w:name="_Hlt101843627"/>
      <w:bookmarkEnd w:id="0"/>
      <w:bookmarkStart w:id="1" w:name="_Hlt101233737"/>
      <w:bookmarkEnd w:id="1"/>
    </w:p>
    <w:p>
      <w:pPr>
        <w:spacing w:line="36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eastAsia="zh-CN"/>
        </w:rPr>
        <w:t>510106202100122</w:t>
      </w:r>
    </w:p>
    <w:p>
      <w:pPr>
        <w:spacing w:line="360" w:lineRule="auto"/>
        <w:jc w:val="left"/>
        <w:rPr>
          <w:rFonts w:hint="eastAsia" w:ascii="仿宋" w:hAnsi="仿宋" w:eastAsia="仿宋" w:cs="仿宋"/>
          <w:b/>
          <w:color w:val="auto"/>
          <w:sz w:val="44"/>
          <w:szCs w:val="44"/>
          <w:highlight w:val="none"/>
        </w:rPr>
      </w:pPr>
      <w:bookmarkStart w:id="2" w:name="_Toc18738"/>
      <w:bookmarkStart w:id="3" w:name="_Toc6636"/>
      <w:bookmarkStart w:id="4" w:name="_Toc10017"/>
    </w:p>
    <w:p>
      <w:pPr>
        <w:spacing w:line="360" w:lineRule="auto"/>
        <w:jc w:val="center"/>
        <w:rPr>
          <w:rFonts w:hint="eastAsia" w:ascii="仿宋" w:hAnsi="仿宋" w:eastAsia="仿宋" w:cs="仿宋"/>
          <w:b/>
          <w:color w:val="auto"/>
          <w:sz w:val="72"/>
          <w:szCs w:val="72"/>
          <w:highlight w:val="none"/>
        </w:rPr>
      </w:pPr>
      <w:r>
        <w:rPr>
          <w:rFonts w:hint="default" w:ascii="仿宋" w:hAnsi="仿宋" w:eastAsia="仿宋" w:cs="仿宋"/>
          <w:b/>
          <w:color w:val="auto"/>
          <w:sz w:val="72"/>
          <w:szCs w:val="72"/>
          <w:highlight w:val="none"/>
          <w:lang w:eastAsia="zh-CN"/>
        </w:rPr>
        <w:t>2021年成都市金牛区人民政府荷花池街道办事处禁毒社会化服务采购项目</w:t>
      </w:r>
    </w:p>
    <w:p>
      <w:pPr>
        <w:spacing w:line="360" w:lineRule="auto"/>
        <w:jc w:val="center"/>
        <w:rPr>
          <w:rFonts w:hint="eastAsia" w:ascii="仿宋" w:hAnsi="仿宋" w:eastAsia="仿宋" w:cs="仿宋"/>
          <w:b/>
          <w:color w:val="auto"/>
          <w:sz w:val="72"/>
          <w:szCs w:val="72"/>
          <w:highlight w:val="none"/>
        </w:rPr>
      </w:pPr>
    </w:p>
    <w:p>
      <w:pPr>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竞争性磋商</w:t>
      </w:r>
      <w:bookmarkEnd w:id="2"/>
    </w:p>
    <w:p>
      <w:pPr>
        <w:spacing w:line="360" w:lineRule="auto"/>
        <w:jc w:val="center"/>
        <w:rPr>
          <w:rFonts w:hint="eastAsia" w:ascii="仿宋" w:hAnsi="仿宋" w:eastAsia="仿宋" w:cs="仿宋"/>
          <w:b/>
          <w:color w:val="auto"/>
          <w:sz w:val="32"/>
          <w:szCs w:val="40"/>
          <w:highlight w:val="none"/>
        </w:rPr>
      </w:pPr>
      <w:bookmarkStart w:id="5" w:name="_Toc15473"/>
      <w:r>
        <w:rPr>
          <w:rFonts w:hint="eastAsia" w:ascii="仿宋" w:hAnsi="仿宋" w:eastAsia="仿宋" w:cs="仿宋"/>
          <w:b/>
          <w:color w:val="auto"/>
          <w:sz w:val="72"/>
          <w:szCs w:val="72"/>
          <w:highlight w:val="none"/>
        </w:rPr>
        <w:t>采购文件</w:t>
      </w:r>
      <w:bookmarkEnd w:id="3"/>
      <w:bookmarkEnd w:id="4"/>
      <w:bookmarkEnd w:id="5"/>
    </w:p>
    <w:p>
      <w:pPr>
        <w:pStyle w:val="2"/>
        <w:spacing w:line="360" w:lineRule="auto"/>
        <w:rPr>
          <w:rFonts w:hint="eastAsia" w:ascii="仿宋" w:hAnsi="仿宋" w:eastAsia="仿宋" w:cs="仿宋"/>
          <w:b/>
          <w:color w:val="auto"/>
          <w:w w:val="90"/>
          <w:sz w:val="36"/>
          <w:szCs w:val="36"/>
          <w:highlight w:val="none"/>
        </w:rPr>
      </w:pPr>
    </w:p>
    <w:p>
      <w:pPr>
        <w:spacing w:line="360" w:lineRule="auto"/>
        <w:rPr>
          <w:rFonts w:hint="eastAsia" w:ascii="仿宋" w:hAnsi="仿宋" w:eastAsia="仿宋" w:cs="仿宋"/>
          <w:b/>
          <w:color w:val="auto"/>
          <w:w w:val="90"/>
          <w:sz w:val="36"/>
          <w:szCs w:val="36"/>
          <w:highlight w:val="none"/>
        </w:rPr>
      </w:pPr>
    </w:p>
    <w:p>
      <w:pPr>
        <w:spacing w:line="360" w:lineRule="auto"/>
        <w:jc w:val="center"/>
        <w:rPr>
          <w:rFonts w:hint="eastAsia" w:ascii="仿宋" w:hAnsi="仿宋" w:eastAsia="仿宋" w:cs="仿宋"/>
          <w:b/>
          <w:color w:val="auto"/>
          <w:w w:val="90"/>
          <w:sz w:val="36"/>
          <w:szCs w:val="36"/>
          <w:highlight w:val="none"/>
        </w:rPr>
      </w:pPr>
    </w:p>
    <w:p>
      <w:pPr>
        <w:spacing w:line="360" w:lineRule="auto"/>
        <w:jc w:val="center"/>
        <w:rPr>
          <w:rFonts w:hint="eastAsia" w:ascii="仿宋" w:hAnsi="仿宋" w:eastAsia="仿宋" w:cs="仿宋"/>
          <w:b/>
          <w:color w:val="auto"/>
          <w:w w:val="90"/>
          <w:sz w:val="36"/>
          <w:szCs w:val="36"/>
          <w:highlight w:val="none"/>
        </w:rPr>
      </w:pPr>
    </w:p>
    <w:p>
      <w:pPr>
        <w:spacing w:line="360" w:lineRule="auto"/>
        <w:jc w:val="center"/>
        <w:rPr>
          <w:rFonts w:hint="eastAsia" w:ascii="仿宋" w:hAnsi="仿宋" w:eastAsia="仿宋" w:cs="仿宋"/>
          <w:b/>
          <w:color w:val="auto"/>
          <w:w w:val="90"/>
          <w:sz w:val="36"/>
          <w:szCs w:val="36"/>
          <w:highlight w:val="none"/>
        </w:rPr>
      </w:pPr>
      <w:r>
        <w:rPr>
          <w:rFonts w:hint="eastAsia" w:ascii="仿宋" w:hAnsi="仿宋" w:eastAsia="仿宋" w:cs="仿宋"/>
          <w:b/>
          <w:color w:val="auto"/>
          <w:w w:val="90"/>
          <w:sz w:val="36"/>
          <w:szCs w:val="36"/>
          <w:highlight w:val="none"/>
        </w:rPr>
        <w:t>中国·四川</w:t>
      </w:r>
    </w:p>
    <w:p>
      <w:pPr>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w w:val="90"/>
          <w:sz w:val="36"/>
          <w:szCs w:val="36"/>
          <w:highlight w:val="none"/>
          <w:lang w:eastAsia="zh-CN"/>
        </w:rPr>
      </w:pPr>
      <w:r>
        <w:rPr>
          <w:rFonts w:hint="eastAsia" w:ascii="仿宋" w:hAnsi="仿宋" w:eastAsia="仿宋" w:cs="仿宋"/>
          <w:b/>
          <w:color w:val="auto"/>
          <w:w w:val="90"/>
          <w:sz w:val="36"/>
          <w:szCs w:val="36"/>
          <w:highlight w:val="none"/>
        </w:rPr>
        <w:t>采购人：</w:t>
      </w:r>
      <w:r>
        <w:rPr>
          <w:rFonts w:hint="eastAsia" w:ascii="仿宋" w:hAnsi="仿宋" w:eastAsia="仿宋" w:cs="仿宋"/>
          <w:b/>
          <w:color w:val="auto"/>
          <w:w w:val="90"/>
          <w:sz w:val="36"/>
          <w:szCs w:val="36"/>
          <w:highlight w:val="none"/>
          <w:lang w:eastAsia="zh-CN"/>
        </w:rPr>
        <w:t>成都市金牛区人民政府荷花池街道办事处</w:t>
      </w:r>
    </w:p>
    <w:p>
      <w:pPr>
        <w:spacing w:line="360" w:lineRule="auto"/>
        <w:jc w:val="center"/>
        <w:rPr>
          <w:rFonts w:hint="eastAsia" w:ascii="仿宋" w:hAnsi="仿宋" w:eastAsia="仿宋" w:cs="仿宋"/>
          <w:b/>
          <w:color w:val="auto"/>
          <w:w w:val="90"/>
          <w:sz w:val="36"/>
          <w:szCs w:val="36"/>
          <w:highlight w:val="none"/>
          <w:lang w:eastAsia="zh-CN"/>
        </w:rPr>
      </w:pPr>
      <w:r>
        <w:rPr>
          <w:rFonts w:hint="eastAsia" w:ascii="仿宋" w:hAnsi="仿宋" w:eastAsia="仿宋" w:cs="仿宋"/>
          <w:b/>
          <w:color w:val="auto"/>
          <w:w w:val="90"/>
          <w:sz w:val="36"/>
          <w:szCs w:val="36"/>
          <w:highlight w:val="none"/>
        </w:rPr>
        <w:t>代理机构：</w:t>
      </w:r>
      <w:r>
        <w:rPr>
          <w:rFonts w:hint="eastAsia" w:ascii="仿宋" w:hAnsi="仿宋" w:eastAsia="仿宋" w:cs="仿宋"/>
          <w:b/>
          <w:color w:val="auto"/>
          <w:w w:val="90"/>
          <w:sz w:val="36"/>
          <w:szCs w:val="36"/>
          <w:highlight w:val="none"/>
          <w:lang w:eastAsia="zh-CN"/>
        </w:rPr>
        <w:t>四川凯亿工程管理咨询有限公司</w:t>
      </w:r>
    </w:p>
    <w:p>
      <w:pPr>
        <w:spacing w:line="360" w:lineRule="auto"/>
        <w:jc w:val="center"/>
        <w:rPr>
          <w:rFonts w:hint="eastAsia" w:ascii="仿宋" w:hAnsi="仿宋" w:eastAsia="仿宋" w:cs="仿宋"/>
          <w:b/>
          <w:color w:val="auto"/>
          <w:w w:val="90"/>
          <w:sz w:val="36"/>
          <w:szCs w:val="36"/>
          <w:highlight w:val="none"/>
        </w:rPr>
      </w:pPr>
      <w:r>
        <w:rPr>
          <w:rFonts w:hint="eastAsia" w:ascii="仿宋" w:hAnsi="仿宋" w:eastAsia="仿宋" w:cs="仿宋"/>
          <w:b/>
          <w:color w:val="auto"/>
          <w:w w:val="90"/>
          <w:sz w:val="36"/>
          <w:szCs w:val="36"/>
          <w:highlight w:val="none"/>
        </w:rPr>
        <w:t>（共同编制）</w:t>
      </w:r>
    </w:p>
    <w:p>
      <w:pPr>
        <w:spacing w:line="360" w:lineRule="auto"/>
        <w:jc w:val="center"/>
        <w:rPr>
          <w:rFonts w:hint="eastAsia" w:ascii="仿宋" w:hAnsi="仿宋" w:eastAsia="仿宋" w:cs="仿宋"/>
          <w:b/>
          <w:color w:val="auto"/>
          <w:w w:val="90"/>
          <w:sz w:val="36"/>
          <w:szCs w:val="36"/>
          <w:highlight w:val="none"/>
        </w:rPr>
      </w:pPr>
      <w:r>
        <w:rPr>
          <w:rFonts w:hint="eastAsia" w:ascii="仿宋" w:hAnsi="仿宋" w:eastAsia="仿宋" w:cs="仿宋"/>
          <w:b/>
          <w:color w:val="auto"/>
          <w:w w:val="90"/>
          <w:sz w:val="36"/>
          <w:szCs w:val="36"/>
          <w:highlight w:val="none"/>
        </w:rPr>
        <w:t>二○二一年</w:t>
      </w:r>
      <w:r>
        <w:rPr>
          <w:rFonts w:hint="eastAsia" w:ascii="仿宋" w:hAnsi="仿宋" w:eastAsia="仿宋" w:cs="仿宋"/>
          <w:b/>
          <w:color w:val="auto"/>
          <w:w w:val="90"/>
          <w:sz w:val="36"/>
          <w:szCs w:val="36"/>
          <w:highlight w:val="none"/>
          <w:lang w:val="en-US" w:eastAsia="zh-CN"/>
        </w:rPr>
        <w:t>八</w:t>
      </w:r>
      <w:r>
        <w:rPr>
          <w:rFonts w:hint="eastAsia" w:ascii="仿宋" w:hAnsi="仿宋" w:eastAsia="仿宋" w:cs="仿宋"/>
          <w:b/>
          <w:color w:val="auto"/>
          <w:w w:val="90"/>
          <w:sz w:val="36"/>
          <w:szCs w:val="36"/>
          <w:highlight w:val="none"/>
        </w:rPr>
        <w:t>月</w:t>
      </w:r>
      <w:r>
        <w:rPr>
          <w:rFonts w:hint="eastAsia" w:ascii="仿宋" w:hAnsi="仿宋" w:eastAsia="仿宋" w:cs="仿宋"/>
          <w:b/>
          <w:color w:val="auto"/>
          <w:w w:val="90"/>
          <w:sz w:val="36"/>
          <w:szCs w:val="36"/>
          <w:highlight w:val="none"/>
        </w:rPr>
        <w:br w:type="page"/>
      </w:r>
    </w:p>
    <w:p>
      <w:pPr>
        <w:spacing w:line="360" w:lineRule="auto"/>
        <w:jc w:val="center"/>
        <w:rPr>
          <w:rFonts w:hint="eastAsia"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政府采购廉洁承诺书</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1、不与他人串通，</w:t>
      </w:r>
      <w:r>
        <w:rPr>
          <w:rFonts w:hint="eastAsia" w:ascii="仿宋" w:hAnsi="仿宋" w:eastAsia="仿宋" w:cs="仿宋"/>
          <w:color w:val="auto"/>
          <w:sz w:val="24"/>
          <w:szCs w:val="32"/>
          <w:highlight w:val="none"/>
        </w:rPr>
        <w:t>泄露</w:t>
      </w:r>
      <w:r>
        <w:rPr>
          <w:rFonts w:hint="eastAsia" w:ascii="仿宋" w:hAnsi="仿宋" w:eastAsia="仿宋" w:cs="仿宋"/>
          <w:color w:val="auto"/>
          <w:sz w:val="24"/>
          <w:szCs w:val="32"/>
          <w:highlight w:val="none"/>
          <w:lang w:val="zh-CN"/>
        </w:rPr>
        <w:t>招标投标机密。</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2、不与采购人、供应商串通投标。</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3、不向评标专家支付合理报酬以外的</w:t>
      </w:r>
      <w:r>
        <w:rPr>
          <w:rFonts w:hint="eastAsia" w:ascii="仿宋" w:hAnsi="仿宋" w:eastAsia="仿宋" w:cs="仿宋"/>
          <w:color w:val="auto"/>
          <w:sz w:val="24"/>
          <w:szCs w:val="32"/>
          <w:highlight w:val="none"/>
        </w:rPr>
        <w:t>费用，包括并不限于</w:t>
      </w:r>
      <w:r>
        <w:rPr>
          <w:rFonts w:hint="eastAsia" w:ascii="仿宋" w:hAnsi="仿宋" w:eastAsia="仿宋" w:cs="仿宋"/>
          <w:color w:val="auto"/>
          <w:sz w:val="24"/>
          <w:szCs w:val="32"/>
          <w:highlight w:val="none"/>
          <w:lang w:val="zh-CN"/>
        </w:rPr>
        <w:t>现金、购物卡、礼品、实物等，</w:t>
      </w:r>
      <w:r>
        <w:rPr>
          <w:rFonts w:hint="eastAsia" w:ascii="仿宋" w:hAnsi="仿宋" w:eastAsia="仿宋" w:cs="仿宋"/>
          <w:color w:val="auto"/>
          <w:sz w:val="24"/>
          <w:szCs w:val="32"/>
          <w:highlight w:val="none"/>
        </w:rPr>
        <w:t>不进行</w:t>
      </w:r>
      <w:r>
        <w:rPr>
          <w:rFonts w:hint="eastAsia" w:ascii="仿宋" w:hAnsi="仿宋" w:eastAsia="仿宋" w:cs="仿宋"/>
          <w:color w:val="auto"/>
          <w:sz w:val="24"/>
          <w:szCs w:val="32"/>
          <w:highlight w:val="none"/>
          <w:lang w:val="zh-CN"/>
        </w:rPr>
        <w:t>其他可能影响客观公正评审的活动。</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4、不向招标投标监督人员或机构请客、送礼及组织其它有可能影响客观公正监督的活动。</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rPr>
        <w:t>5、</w:t>
      </w:r>
      <w:r>
        <w:rPr>
          <w:rFonts w:hint="eastAsia" w:ascii="仿宋" w:hAnsi="仿宋" w:eastAsia="仿宋" w:cs="仿宋"/>
          <w:color w:val="auto"/>
          <w:sz w:val="24"/>
          <w:szCs w:val="32"/>
          <w:highlight w:val="none"/>
          <w:lang w:val="zh-CN"/>
        </w:rPr>
        <w:t>不向采购人提供任何不正当利益的方式谋求合作关系。</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rPr>
        <w:t>6、</w:t>
      </w:r>
      <w:r>
        <w:rPr>
          <w:rFonts w:hint="eastAsia" w:ascii="仿宋" w:hAnsi="仿宋" w:eastAsia="仿宋" w:cs="仿宋"/>
          <w:color w:val="auto"/>
          <w:sz w:val="24"/>
          <w:szCs w:val="32"/>
          <w:highlight w:val="none"/>
          <w:lang w:val="zh-CN"/>
        </w:rPr>
        <w:t>不采取恶性竞争等不正当手段竞争业务。</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rPr>
        <w:t>7、禁止一切</w:t>
      </w:r>
      <w:r>
        <w:rPr>
          <w:rFonts w:hint="eastAsia" w:ascii="仿宋" w:hAnsi="仿宋" w:eastAsia="仿宋" w:cs="仿宋"/>
          <w:color w:val="auto"/>
          <w:sz w:val="24"/>
          <w:szCs w:val="32"/>
          <w:highlight w:val="none"/>
          <w:lang w:val="zh-CN"/>
        </w:rPr>
        <w:t>行贿倾向、建议等行为。</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rPr>
        <w:t>8、</w:t>
      </w:r>
      <w:r>
        <w:rPr>
          <w:rFonts w:hint="eastAsia" w:ascii="仿宋" w:hAnsi="仿宋" w:eastAsia="仿宋" w:cs="仿宋"/>
          <w:color w:val="auto"/>
          <w:sz w:val="24"/>
          <w:szCs w:val="32"/>
          <w:highlight w:val="none"/>
          <w:lang w:val="zh-CN"/>
        </w:rPr>
        <w:t>禁止员工有索贿、受贿等行为。</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9、严格遵守国家和省、市、区以及监管部门关于加强党风廉政建设的各项规定，加强对员工的廉政监督，积极开展廉政教育和职业道德教育，杜绝员工违纪违法行为的发生。</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val="zh-CN"/>
        </w:rPr>
        <w:t>本承诺书由承诺人盖章签字生效，如出现上述行为，</w:t>
      </w:r>
      <w:r>
        <w:rPr>
          <w:rFonts w:hint="eastAsia" w:ascii="仿宋" w:hAnsi="仿宋" w:eastAsia="仿宋" w:cs="仿宋"/>
          <w:color w:val="auto"/>
          <w:sz w:val="24"/>
          <w:szCs w:val="32"/>
          <w:highlight w:val="none"/>
        </w:rPr>
        <w:t>承诺人</w:t>
      </w:r>
      <w:r>
        <w:rPr>
          <w:rFonts w:hint="eastAsia" w:ascii="仿宋" w:hAnsi="仿宋" w:eastAsia="仿宋" w:cs="仿宋"/>
          <w:color w:val="auto"/>
          <w:sz w:val="24"/>
          <w:szCs w:val="32"/>
          <w:highlight w:val="none"/>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Pr>
          <w:rFonts w:hint="eastAsia" w:ascii="仿宋" w:hAnsi="仿宋" w:eastAsia="仿宋" w:cs="仿宋"/>
          <w:color w:val="auto"/>
          <w:sz w:val="24"/>
          <w:szCs w:val="32"/>
          <w:highlight w:val="none"/>
        </w:rPr>
        <w:t>将</w:t>
      </w:r>
      <w:r>
        <w:rPr>
          <w:rFonts w:hint="eastAsia" w:ascii="仿宋" w:hAnsi="仿宋" w:eastAsia="仿宋" w:cs="仿宋"/>
          <w:color w:val="auto"/>
          <w:sz w:val="24"/>
          <w:szCs w:val="32"/>
          <w:highlight w:val="none"/>
          <w:lang w:val="zh-CN"/>
        </w:rPr>
        <w:t>严格按照公司规定处理，涉及违法违纪的将追究相关法律责任。</w:t>
      </w:r>
    </w:p>
    <w:p>
      <w:pPr>
        <w:spacing w:line="360" w:lineRule="auto"/>
        <w:ind w:firstLine="480" w:firstLineChars="200"/>
        <w:rPr>
          <w:rFonts w:hint="eastAsia"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请各采购人及供应商监督！</w:t>
      </w:r>
    </w:p>
    <w:p>
      <w:pPr>
        <w:pStyle w:val="2"/>
        <w:spacing w:line="360" w:lineRule="auto"/>
        <w:rPr>
          <w:rFonts w:hint="eastAsia" w:ascii="仿宋" w:hAnsi="仿宋" w:eastAsia="仿宋" w:cs="仿宋"/>
          <w:color w:val="auto"/>
          <w:highlight w:val="none"/>
        </w:rPr>
      </w:pPr>
    </w:p>
    <w:p>
      <w:pPr>
        <w:pStyle w:val="2"/>
        <w:spacing w:line="360" w:lineRule="auto"/>
        <w:rPr>
          <w:rFonts w:hint="eastAsia" w:ascii="仿宋" w:hAnsi="仿宋" w:eastAsia="仿宋" w:cs="仿宋"/>
          <w:color w:val="auto"/>
          <w:highlight w:val="none"/>
        </w:rPr>
      </w:pPr>
    </w:p>
    <w:p>
      <w:pPr>
        <w:spacing w:line="360" w:lineRule="auto"/>
        <w:jc w:val="right"/>
        <w:rPr>
          <w:rFonts w:hint="eastAsia" w:ascii="仿宋" w:hAnsi="仿宋" w:eastAsia="仿宋" w:cs="仿宋"/>
          <w:color w:val="auto"/>
          <w:highlight w:val="none"/>
        </w:rPr>
        <w:sectPr>
          <w:headerReference r:id="rId5" w:type="first"/>
          <w:headerReference r:id="rId3" w:type="default"/>
          <w:headerReference r:id="rId4" w:type="even"/>
          <w:footerReference r:id="rId6" w:type="even"/>
          <w:pgSz w:w="11850" w:h="16783"/>
          <w:pgMar w:top="1440" w:right="1304" w:bottom="1440" w:left="1417" w:header="851" w:footer="992" w:gutter="0"/>
          <w:pgBorders>
            <w:top w:val="none" w:sz="0" w:space="0"/>
            <w:left w:val="none" w:sz="0" w:space="0"/>
            <w:bottom w:val="none" w:sz="0" w:space="0"/>
            <w:right w:val="none" w:sz="0" w:space="0"/>
          </w:pgBorders>
          <w:pgNumType w:start="1"/>
          <w:cols w:space="0" w:num="1"/>
          <w:docGrid w:type="lines" w:linePitch="312" w:charSpace="0"/>
        </w:sectPr>
      </w:pPr>
      <w:r>
        <w:rPr>
          <w:rFonts w:hint="eastAsia" w:ascii="仿宋" w:hAnsi="仿宋" w:eastAsia="仿宋" w:cs="仿宋"/>
          <w:color w:val="auto"/>
          <w:sz w:val="24"/>
          <w:szCs w:val="32"/>
          <w:highlight w:val="none"/>
          <w:lang w:val="zh-CN"/>
        </w:rPr>
        <w:t>招标代理机构：四川凯亿工程管理咨询有限公司</w:t>
      </w:r>
    </w:p>
    <w:p>
      <w:pPr>
        <w:spacing w:line="360" w:lineRule="auto"/>
        <w:jc w:val="center"/>
        <w:rPr>
          <w:rFonts w:hint="eastAsia" w:ascii="仿宋" w:hAnsi="仿宋" w:eastAsia="仿宋" w:cs="仿宋"/>
          <w:color w:val="auto"/>
          <w:sz w:val="44"/>
          <w:szCs w:val="44"/>
          <w:highlight w:val="none"/>
        </w:rPr>
      </w:pPr>
      <w:bookmarkStart w:id="6" w:name="_Toc9019_WPSOffice_Type2"/>
      <w:r>
        <w:rPr>
          <w:rFonts w:hint="eastAsia" w:ascii="仿宋" w:hAnsi="仿宋" w:eastAsia="仿宋" w:cs="仿宋"/>
          <w:color w:val="auto"/>
          <w:sz w:val="44"/>
          <w:szCs w:val="44"/>
          <w:highlight w:val="none"/>
        </w:rPr>
        <w:t>目 录</w:t>
      </w:r>
      <w:bookmarkEnd w:id="6"/>
    </w:p>
    <w:p>
      <w:pPr>
        <w:pStyle w:val="15"/>
        <w:tabs>
          <w:tab w:val="right" w:leader="dot" w:pos="9129"/>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TOC \o "1-1" \h \u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"_Toc11976"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32"/>
          <w:highlight w:val="none"/>
        </w:rPr>
        <w:t>第一章  磋商邀请</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_Toc11976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- 2 -</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2"/>
          <w:highlight w:val="none"/>
        </w:rPr>
        <w:fldChar w:fldCharType="end"/>
      </w:r>
    </w:p>
    <w:p>
      <w:pPr>
        <w:pStyle w:val="15"/>
        <w:tabs>
          <w:tab w:val="right" w:leader="dot" w:pos="9129"/>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"_Toc16992"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32"/>
          <w:highlight w:val="none"/>
        </w:rPr>
        <w:t>第二章  磋商须知</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_Toc16992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- 5 -</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2"/>
          <w:highlight w:val="none"/>
        </w:rPr>
        <w:fldChar w:fldCharType="end"/>
      </w:r>
    </w:p>
    <w:p>
      <w:pPr>
        <w:pStyle w:val="15"/>
        <w:tabs>
          <w:tab w:val="right" w:leader="dot" w:pos="9129"/>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"_Toc3274"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32"/>
          <w:highlight w:val="none"/>
        </w:rPr>
        <w:t>第三章  供应商资格条件要求</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_Toc3274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- 21 -</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2"/>
          <w:highlight w:val="none"/>
        </w:rPr>
        <w:fldChar w:fldCharType="end"/>
      </w:r>
    </w:p>
    <w:p>
      <w:pPr>
        <w:pStyle w:val="15"/>
        <w:tabs>
          <w:tab w:val="right" w:leader="dot" w:pos="9129"/>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"_Toc17387"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32"/>
          <w:highlight w:val="none"/>
        </w:rPr>
        <w:t>第四章  供应商资格证明材料</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_Toc17387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- 23 -</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2"/>
          <w:highlight w:val="none"/>
        </w:rPr>
        <w:fldChar w:fldCharType="end"/>
      </w:r>
    </w:p>
    <w:p>
      <w:pPr>
        <w:pStyle w:val="15"/>
        <w:tabs>
          <w:tab w:val="right" w:leader="dot" w:pos="9129"/>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"_Toc10654"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32"/>
          <w:highlight w:val="none"/>
        </w:rPr>
        <w:t>第五章  采购项目技术、服务、政府采购合同内容条款及其他商务要求</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_Toc10654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- 25 -</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2"/>
          <w:highlight w:val="none"/>
        </w:rPr>
        <w:fldChar w:fldCharType="end"/>
      </w:r>
    </w:p>
    <w:p>
      <w:pPr>
        <w:pStyle w:val="15"/>
        <w:tabs>
          <w:tab w:val="right" w:leader="dot" w:pos="9129"/>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"_Toc11441"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32"/>
          <w:highlight w:val="none"/>
        </w:rPr>
        <w:t>第六章 磋商内容、磋商过程中可实质性变动的内容</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_Toc11441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- 29 -</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2"/>
          <w:highlight w:val="none"/>
        </w:rPr>
        <w:fldChar w:fldCharType="end"/>
      </w:r>
    </w:p>
    <w:p>
      <w:pPr>
        <w:pStyle w:val="15"/>
        <w:tabs>
          <w:tab w:val="right" w:leader="dot" w:pos="9129"/>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"_Toc18082"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32"/>
          <w:highlight w:val="none"/>
        </w:rPr>
        <w:t>第七章 响应文件格式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_Toc18082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- 30 -</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2"/>
          <w:highlight w:val="none"/>
        </w:rPr>
        <w:fldChar w:fldCharType="end"/>
      </w:r>
    </w:p>
    <w:p>
      <w:pPr>
        <w:pStyle w:val="15"/>
        <w:tabs>
          <w:tab w:val="right" w:leader="dot" w:pos="9129"/>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"_Toc4157"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32"/>
          <w:highlight w:val="none"/>
        </w:rPr>
        <w:t>第八章  评审方法</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_Toc4157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- 53 -</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2"/>
          <w:highlight w:val="none"/>
        </w:rPr>
        <w:fldChar w:fldCharType="end"/>
      </w:r>
    </w:p>
    <w:p>
      <w:pPr>
        <w:pStyle w:val="15"/>
        <w:tabs>
          <w:tab w:val="right" w:leader="dot" w:pos="9129"/>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"_Toc10837"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32"/>
          <w:highlight w:val="none"/>
        </w:rPr>
        <w:t>第九章  政府采购合同（草案）</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_Toc10837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- 63 -</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2"/>
          <w:highlight w:val="none"/>
        </w:rPr>
        <w:fldChar w:fldCharType="end"/>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32"/>
          <w:highlight w:val="none"/>
        </w:rPr>
        <w:fldChar w:fldCharType="end"/>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pStyle w:val="3"/>
        <w:spacing w:line="360" w:lineRule="auto"/>
        <w:jc w:val="center"/>
        <w:rPr>
          <w:rFonts w:hint="eastAsia" w:ascii="仿宋" w:hAnsi="仿宋" w:eastAsia="仿宋" w:cs="仿宋"/>
          <w:color w:val="auto"/>
          <w:highlight w:val="none"/>
        </w:rPr>
      </w:pPr>
      <w:bookmarkStart w:id="7" w:name="_Toc25399_WPSOffice_Level1"/>
    </w:p>
    <w:p>
      <w:pPr>
        <w:bidi w:val="0"/>
        <w:rPr>
          <w:rFonts w:hint="eastAsia" w:ascii="仿宋" w:hAnsi="仿宋" w:eastAsia="仿宋" w:cs="仿宋"/>
          <w:color w:val="auto"/>
          <w:highlight w:val="none"/>
        </w:rPr>
      </w:pPr>
    </w:p>
    <w:p>
      <w:pPr>
        <w:bidi w:val="0"/>
        <w:rPr>
          <w:rFonts w:hint="eastAsia" w:ascii="仿宋" w:hAnsi="仿宋" w:eastAsia="仿宋" w:cs="仿宋"/>
          <w:color w:val="auto"/>
          <w:highlight w:val="none"/>
        </w:rPr>
      </w:pPr>
    </w:p>
    <w:p>
      <w:pPr>
        <w:tabs>
          <w:tab w:val="left" w:pos="3166"/>
        </w:tabs>
        <w:bidi w:val="0"/>
        <w:jc w:val="left"/>
        <w:rPr>
          <w:rFonts w:hint="eastAsia" w:ascii="仿宋" w:hAnsi="仿宋" w:eastAsia="仿宋" w:cs="仿宋"/>
          <w:color w:val="auto"/>
          <w:highlight w:val="none"/>
          <w:lang w:eastAsia="zh-CN"/>
        </w:rPr>
        <w:sectPr>
          <w:headerReference r:id="rId7" w:type="default"/>
          <w:footerReference r:id="rId8" w:type="default"/>
          <w:pgSz w:w="11850" w:h="16783"/>
          <w:pgMar w:top="1440" w:right="1304" w:bottom="1440" w:left="1417" w:header="850" w:footer="850" w:gutter="0"/>
          <w:pgBorders>
            <w:top w:val="none" w:sz="0" w:space="0"/>
            <w:left w:val="none" w:sz="0" w:space="0"/>
            <w:bottom w:val="none" w:sz="0" w:space="0"/>
            <w:right w:val="none" w:sz="0" w:space="0"/>
          </w:pgBorders>
          <w:pgNumType w:fmt="numberInDash" w:start="1"/>
          <w:cols w:space="0" w:num="1"/>
          <w:docGrid w:type="lines" w:linePitch="312" w:charSpace="0"/>
        </w:sectPr>
      </w:pPr>
      <w:r>
        <w:rPr>
          <w:rFonts w:hint="eastAsia" w:ascii="仿宋" w:hAnsi="仿宋" w:eastAsia="仿宋" w:cs="仿宋"/>
          <w:color w:val="auto"/>
          <w:highlight w:val="none"/>
          <w:lang w:eastAsia="zh-CN"/>
        </w:rPr>
        <w:tab/>
      </w:r>
    </w:p>
    <w:p>
      <w:pPr>
        <w:pStyle w:val="3"/>
        <w:spacing w:before="0" w:after="0" w:line="360" w:lineRule="auto"/>
        <w:jc w:val="center"/>
        <w:rPr>
          <w:rFonts w:hint="eastAsia" w:ascii="仿宋" w:hAnsi="仿宋" w:eastAsia="仿宋" w:cs="仿宋"/>
          <w:color w:val="auto"/>
          <w:highlight w:val="none"/>
        </w:rPr>
      </w:pPr>
      <w:bookmarkStart w:id="8" w:name="_Toc7773_WPSOffice_Level1"/>
      <w:bookmarkStart w:id="9" w:name="_Toc11976"/>
      <w:r>
        <w:rPr>
          <w:rFonts w:hint="eastAsia" w:ascii="仿宋" w:hAnsi="仿宋" w:eastAsia="仿宋" w:cs="仿宋"/>
          <w:color w:val="auto"/>
          <w:highlight w:val="none"/>
        </w:rPr>
        <w:t>第一章  磋商邀请</w:t>
      </w:r>
      <w:bookmarkEnd w:id="7"/>
      <w:bookmarkEnd w:id="8"/>
      <w:bookmarkEnd w:id="9"/>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四川凯亿工程管理咨询有限公司</w:t>
      </w:r>
      <w:r>
        <w:rPr>
          <w:rFonts w:hint="eastAsia" w:ascii="仿宋" w:hAnsi="仿宋" w:eastAsia="仿宋" w:cs="仿宋"/>
          <w:color w:val="auto"/>
          <w:sz w:val="24"/>
          <w:highlight w:val="none"/>
        </w:rPr>
        <w:t>（采购代理机构）受</w:t>
      </w:r>
      <w:r>
        <w:rPr>
          <w:rFonts w:hint="eastAsia" w:ascii="仿宋" w:hAnsi="仿宋" w:eastAsia="仿宋" w:cs="仿宋"/>
          <w:color w:val="auto"/>
          <w:sz w:val="24"/>
          <w:highlight w:val="none"/>
          <w:lang w:eastAsia="zh-CN"/>
        </w:rPr>
        <w:t>成都市金牛区人民政府荷花池街道办事处</w:t>
      </w:r>
      <w:r>
        <w:rPr>
          <w:rFonts w:hint="eastAsia" w:ascii="仿宋" w:hAnsi="仿宋" w:eastAsia="仿宋" w:cs="仿宋"/>
          <w:color w:val="auto"/>
          <w:sz w:val="24"/>
          <w:highlight w:val="none"/>
        </w:rPr>
        <w:t>（采购人）委托，拟对</w:t>
      </w:r>
      <w:r>
        <w:rPr>
          <w:rFonts w:hint="default" w:ascii="仿宋" w:hAnsi="仿宋" w:eastAsia="仿宋" w:cs="仿宋"/>
          <w:color w:val="auto"/>
          <w:sz w:val="24"/>
          <w:highlight w:val="none"/>
          <w:lang w:eastAsia="zh-CN"/>
        </w:rPr>
        <w:t>2021年成都市金牛区人民政府荷花池街道办事处禁毒社会化服务采购项目</w:t>
      </w:r>
      <w:r>
        <w:rPr>
          <w:rFonts w:hint="eastAsia" w:ascii="仿宋" w:hAnsi="仿宋" w:eastAsia="仿宋" w:cs="仿宋"/>
          <w:color w:val="auto"/>
          <w:sz w:val="24"/>
          <w:highlight w:val="none"/>
        </w:rPr>
        <w:t>采用竞争性磋商方式进行采购，特邀请符合本次采购要求的供应商参加本项目的竞争性磋商。</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一、采购项目基本情况</w:t>
      </w:r>
    </w:p>
    <w:p>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1.项目编号：</w:t>
      </w:r>
      <w:r>
        <w:rPr>
          <w:rFonts w:hint="eastAsia" w:ascii="仿宋" w:hAnsi="仿宋" w:eastAsia="仿宋" w:cs="仿宋"/>
          <w:color w:val="auto"/>
          <w:sz w:val="24"/>
          <w:highlight w:val="none"/>
          <w:lang w:eastAsia="zh-CN"/>
        </w:rPr>
        <w:t>510106202100122</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2.采购项目名称</w:t>
      </w:r>
      <w:r>
        <w:rPr>
          <w:rFonts w:hint="eastAsia" w:ascii="仿宋" w:hAnsi="仿宋" w:eastAsia="仿宋" w:cs="仿宋"/>
          <w:color w:val="auto"/>
          <w:sz w:val="24"/>
          <w:highlight w:val="none"/>
          <w:lang w:eastAsia="zh-CN"/>
        </w:rPr>
        <w:t>：</w:t>
      </w:r>
      <w:r>
        <w:rPr>
          <w:rFonts w:hint="default" w:ascii="仿宋" w:hAnsi="仿宋" w:eastAsia="仿宋" w:cs="仿宋"/>
          <w:color w:val="auto"/>
          <w:sz w:val="24"/>
          <w:highlight w:val="none"/>
          <w:lang w:eastAsia="zh-CN"/>
        </w:rPr>
        <w:t>2021年成都市金牛区人民政府荷花池街道办事处禁毒社会化服务采购项目</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3.采购人：</w:t>
      </w:r>
      <w:r>
        <w:rPr>
          <w:rFonts w:hint="eastAsia" w:ascii="仿宋" w:hAnsi="仿宋" w:eastAsia="仿宋" w:cs="仿宋"/>
          <w:color w:val="auto"/>
          <w:sz w:val="24"/>
          <w:highlight w:val="none"/>
          <w:lang w:eastAsia="zh-CN"/>
        </w:rPr>
        <w:t>成都市金牛区人民政府荷花池街道办事处</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4.采购代理机构：</w:t>
      </w:r>
      <w:r>
        <w:rPr>
          <w:rFonts w:hint="eastAsia" w:ascii="仿宋" w:hAnsi="仿宋" w:eastAsia="仿宋" w:cs="仿宋"/>
          <w:color w:val="auto"/>
          <w:sz w:val="24"/>
          <w:highlight w:val="none"/>
          <w:lang w:eastAsia="zh-CN"/>
        </w:rPr>
        <w:t>四川凯亿工程管理咨询有限公司</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二、资金情况</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1.资金来源：财政性资金；比例100%；已落实。</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4"/>
          <w:sz w:val="24"/>
          <w:highlight w:val="none"/>
        </w:rPr>
        <w:t>采购预算：人民币</w:t>
      </w:r>
      <w:r>
        <w:rPr>
          <w:rFonts w:hint="eastAsia" w:ascii="仿宋" w:hAnsi="仿宋" w:eastAsia="仿宋" w:cs="仿宋"/>
          <w:color w:val="auto"/>
          <w:spacing w:val="-4"/>
          <w:sz w:val="24"/>
          <w:highlight w:val="none"/>
          <w:lang w:val="en-US" w:eastAsia="zh-CN"/>
        </w:rPr>
        <w:t>60万元</w:t>
      </w:r>
      <w:r>
        <w:rPr>
          <w:rFonts w:hint="eastAsia" w:ascii="仿宋" w:hAnsi="仿宋" w:eastAsia="仿宋" w:cs="仿宋"/>
          <w:bCs/>
          <w:color w:val="auto"/>
          <w:sz w:val="24"/>
          <w:highlight w:val="none"/>
        </w:rPr>
        <w:t>。</w:t>
      </w:r>
    </w:p>
    <w:p>
      <w:pPr>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三、采购项目简介：</w:t>
      </w:r>
      <w:bookmarkStart w:id="10" w:name="PO_默认文件内容_3"/>
      <w:bookmarkStart w:id="11" w:name="PO_默认文件内容_2"/>
      <w:r>
        <w:rPr>
          <w:rFonts w:hint="eastAsia" w:ascii="仿宋" w:hAnsi="仿宋" w:eastAsia="仿宋" w:cs="仿宋"/>
          <w:color w:val="auto"/>
          <w:sz w:val="24"/>
          <w:highlight w:val="none"/>
        </w:rPr>
        <w:t>本项目共1个包，详见磋商文件第五章。</w:t>
      </w:r>
      <w:bookmarkEnd w:id="10"/>
      <w:bookmarkEnd w:id="11"/>
    </w:p>
    <w:p>
      <w:pPr>
        <w:spacing w:line="360" w:lineRule="auto"/>
        <w:ind w:left="479" w:leftChars="228" w:firstLine="0" w:firstLineChars="0"/>
        <w:jc w:val="left"/>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2021年成都市金牛区人民政府荷花池街道办事处禁毒社会化服务采购项目</w:t>
      </w:r>
    </w:p>
    <w:p>
      <w:pPr>
        <w:spacing w:line="360" w:lineRule="auto"/>
        <w:ind w:left="479" w:leftChars="228" w:firstLine="0" w:firstLineChars="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四、供应商邀请方式</w:t>
      </w:r>
    </w:p>
    <w:p>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公告方式：本次竞争性磋商邀请在四川政府采购网（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"http://www.ccgp-sichuan.gov.cn/" </w:instrText>
      </w:r>
      <w:r>
        <w:rPr>
          <w:rFonts w:hint="eastAsia" w:ascii="仿宋" w:hAnsi="仿宋" w:eastAsia="仿宋" w:cs="仿宋"/>
          <w:color w:val="auto"/>
          <w:highlight w:val="none"/>
        </w:rPr>
        <w:fldChar w:fldCharType="separate"/>
      </w:r>
      <w:r>
        <w:rPr>
          <w:rStyle w:val="26"/>
          <w:rFonts w:hint="eastAsia" w:ascii="仿宋" w:hAnsi="仿宋" w:eastAsia="仿宋" w:cs="仿宋"/>
          <w:color w:val="auto"/>
          <w:sz w:val="24"/>
          <w:highlight w:val="none"/>
        </w:rPr>
        <w:t>http://www.ccgp-sichuan.gov.cn</w:t>
      </w:r>
      <w:r>
        <w:rPr>
          <w:rStyle w:val="26"/>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）上以公告形式发布。本项目采购公告期限为采购公告发布之日起3个工作日。</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五、供应商参加本次政府采购活动应具备下列条件</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7.根据采购项目提出的特殊条件：</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7.1供应商及其现任法定代表人（非法人机构则为主要负责人）不得具有行贿犯罪记录；</w:t>
      </w:r>
    </w:p>
    <w:p>
      <w:pPr>
        <w:pStyle w:val="2"/>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7.2本项目为非专门面向中小企业采购；</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本次磋商不接受联合体响应。</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六、禁止参加本次采购活动的供应商</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七、磋商文件获取方式、时间、地点：</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磋商文件发售时间：20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日至</w:t>
      </w:r>
      <w:r>
        <w:rPr>
          <w:rFonts w:hint="eastAsia" w:ascii="仿宋" w:hAnsi="仿宋" w:eastAsia="仿宋" w:cs="仿宋"/>
          <w:color w:val="auto"/>
          <w:sz w:val="24"/>
          <w:highlight w:val="none"/>
          <w:lang w:eastAsia="zh-CN"/>
        </w:rPr>
        <w:t xml:space="preserve"> 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日（北京时间，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:00-17:00，法定节假日除外）。供应商应在规定的时间内到</w:t>
      </w:r>
      <w:r>
        <w:rPr>
          <w:rFonts w:hint="eastAsia" w:ascii="仿宋" w:hAnsi="仿宋" w:eastAsia="仿宋" w:cs="仿宋"/>
          <w:color w:val="auto"/>
          <w:sz w:val="24"/>
          <w:highlight w:val="none"/>
          <w:lang w:eastAsia="zh-CN"/>
        </w:rPr>
        <w:t>四川凯亿工程管理咨询有限公司</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成都市高新区天府三街19号新希望国际A座20楼2003号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购买</w:t>
      </w:r>
      <w:r>
        <w:rPr>
          <w:rFonts w:hint="eastAsia" w:ascii="仿宋" w:hAnsi="仿宋" w:eastAsia="仿宋" w:cs="仿宋"/>
          <w:color w:val="auto"/>
          <w:sz w:val="24"/>
          <w:highlight w:val="none"/>
        </w:rPr>
        <w:t>本竞争性磋商文件，并登记备案，如在规定时间内未</w:t>
      </w:r>
      <w:r>
        <w:rPr>
          <w:rFonts w:hint="eastAsia" w:ascii="仿宋" w:hAnsi="仿宋" w:eastAsia="仿宋" w:cs="仿宋"/>
          <w:color w:val="auto"/>
          <w:sz w:val="24"/>
          <w:highlight w:val="none"/>
          <w:lang w:val="en-US" w:eastAsia="zh-CN"/>
        </w:rPr>
        <w:t>购买</w:t>
      </w:r>
      <w:r>
        <w:rPr>
          <w:rFonts w:hint="eastAsia" w:ascii="仿宋" w:hAnsi="仿宋" w:eastAsia="仿宋" w:cs="仿宋"/>
          <w:color w:val="auto"/>
          <w:sz w:val="24"/>
          <w:highlight w:val="none"/>
        </w:rPr>
        <w:t>竞争性磋商文件并登记备案的供应商均无资格参加该项目的竞争性磋商。</w:t>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方式：现场获取或通过邮件方式获取。①供应商在现场购买竞争性磋商文件时须携带下列有效证明文件：供应商为法人或者其他组织的，提供单位介绍信原件、经办人身份证复印件；供应商为自然人的，只需提供本人身份证复印件以及证明是法人的资料。②通过邮件方式报名时，请将加盖公章的单位介绍信（介绍信须注明项目名称、项目编号、联系人、联系电话、邮箱）、加盖公章的经办人身份证复印件、报名登记表（详见附件）传至采购代理机构邮箱：</w:t>
      </w:r>
      <w:r>
        <w:rPr>
          <w:rFonts w:hint="eastAsia" w:ascii="仿宋" w:hAnsi="仿宋" w:eastAsia="仿宋" w:cs="仿宋"/>
          <w:color w:val="auto"/>
          <w:sz w:val="24"/>
          <w:highlight w:val="none"/>
          <w:lang w:eastAsia="zh-CN"/>
        </w:rPr>
        <w:fldChar w:fldCharType="begin"/>
      </w:r>
      <w:r>
        <w:rPr>
          <w:rFonts w:hint="eastAsia" w:ascii="仿宋" w:hAnsi="仿宋" w:eastAsia="仿宋" w:cs="仿宋"/>
          <w:color w:val="auto"/>
          <w:sz w:val="24"/>
          <w:highlight w:val="none"/>
          <w:lang w:eastAsia="zh-CN"/>
        </w:rPr>
        <w:instrText xml:space="preserve"> HYPERLINK "mailto:1191745350@qq.com。" </w:instrText>
      </w:r>
      <w:r>
        <w:rPr>
          <w:rFonts w:hint="eastAsia" w:ascii="仿宋" w:hAnsi="仿宋" w:eastAsia="仿宋" w:cs="仿宋"/>
          <w:color w:val="auto"/>
          <w:sz w:val="24"/>
          <w:highlight w:val="none"/>
          <w:lang w:eastAsia="zh-CN"/>
        </w:rPr>
        <w:fldChar w:fldCharType="separate"/>
      </w:r>
      <w:r>
        <w:rPr>
          <w:rFonts w:hint="eastAsia" w:ascii="仿宋" w:hAnsi="仿宋" w:eastAsia="仿宋" w:cs="仿宋"/>
          <w:color w:val="auto"/>
          <w:sz w:val="24"/>
          <w:highlight w:val="none"/>
          <w:lang w:eastAsia="zh-CN"/>
        </w:rPr>
        <w:t>1685536422@qq.com。</w:t>
      </w:r>
      <w:r>
        <w:rPr>
          <w:rFonts w:hint="eastAsia" w:ascii="仿宋" w:hAnsi="仿宋" w:eastAsia="仿宋" w:cs="仿宋"/>
          <w:color w:val="auto"/>
          <w:sz w:val="24"/>
          <w:highlight w:val="none"/>
          <w:lang w:eastAsia="zh-CN"/>
        </w:rPr>
        <w:fldChar w:fldCharType="end"/>
      </w:r>
    </w:p>
    <w:p>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eastAsia="zh-CN"/>
        </w:rPr>
        <w:t>通过邮件方式获取</w:t>
      </w:r>
      <w:r>
        <w:rPr>
          <w:rFonts w:hint="eastAsia" w:ascii="仿宋" w:hAnsi="仿宋" w:eastAsia="仿宋" w:cs="仿宋"/>
          <w:color w:val="auto"/>
          <w:sz w:val="24"/>
          <w:highlight w:val="none"/>
          <w:lang w:val="en-US" w:eastAsia="zh-CN"/>
        </w:rPr>
        <w:t>磋商文件时，请先自行下载公告附件中的</w:t>
      </w:r>
      <w:r>
        <w:rPr>
          <w:rFonts w:hint="eastAsia" w:ascii="仿宋" w:hAnsi="仿宋" w:eastAsia="仿宋" w:cs="仿宋"/>
          <w:color w:val="auto"/>
          <w:sz w:val="24"/>
          <w:highlight w:val="none"/>
          <w:lang w:eastAsia="zh-CN"/>
        </w:rPr>
        <w:t>报名登记表</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报名登记表原件、介绍信原件、经办人身份证复印件加盖单位公章请于开标当日交至四川凯亿工程管理咨询有限公司磋商文件发售办理处。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文件售价：人民币</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元/份（</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 xml:space="preserve">文件售后不退, </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资格不能转让）。</w:t>
      </w:r>
    </w:p>
    <w:p>
      <w:pPr>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八、递交响应文件截止时间</w:t>
      </w:r>
      <w:r>
        <w:rPr>
          <w:rFonts w:hint="eastAsia" w:ascii="仿宋" w:hAnsi="仿宋" w:eastAsia="仿宋" w:cs="仿宋"/>
          <w:color w:val="auto"/>
          <w:sz w:val="24"/>
          <w:highlight w:val="none"/>
        </w:rPr>
        <w:t>：</w:t>
      </w:r>
      <w:bookmarkStart w:id="265" w:name="_GoBack"/>
      <w:bookmarkEnd w:id="265"/>
      <w:r>
        <w:rPr>
          <w:rFonts w:hint="eastAsia" w:ascii="仿宋" w:hAnsi="仿宋" w:eastAsia="仿宋" w:cs="仿宋"/>
          <w:color w:val="auto"/>
          <w:sz w:val="24"/>
          <w:highlight w:val="none"/>
          <w:lang w:eastAsia="zh-CN"/>
        </w:rPr>
        <w:t>2021年8月27日10:30</w:t>
      </w:r>
      <w:r>
        <w:rPr>
          <w:rFonts w:hint="eastAsia" w:ascii="仿宋" w:hAnsi="仿宋" w:eastAsia="仿宋" w:cs="仿宋"/>
          <w:color w:val="auto"/>
          <w:sz w:val="24"/>
          <w:highlight w:val="none"/>
        </w:rPr>
        <w:t>(北京时间)。</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九、递交响应文件地点：</w:t>
      </w:r>
      <w:r>
        <w:rPr>
          <w:rFonts w:hint="eastAsia" w:ascii="仿宋" w:hAnsi="仿宋" w:eastAsia="仿宋" w:cs="仿宋"/>
          <w:bCs/>
          <w:color w:val="auto"/>
          <w:sz w:val="24"/>
          <w:highlight w:val="none"/>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十、响应文件开启时间：</w:t>
      </w:r>
      <w:r>
        <w:rPr>
          <w:rFonts w:hint="eastAsia" w:ascii="仿宋" w:hAnsi="仿宋" w:eastAsia="仿宋" w:cs="仿宋"/>
          <w:color w:val="auto"/>
          <w:sz w:val="24"/>
          <w:highlight w:val="none"/>
          <w:lang w:eastAsia="zh-CN"/>
        </w:rPr>
        <w:t>2021年8月27日10:30</w:t>
      </w:r>
      <w:r>
        <w:rPr>
          <w:rFonts w:hint="eastAsia" w:ascii="仿宋" w:hAnsi="仿宋" w:eastAsia="仿宋" w:cs="仿宋"/>
          <w:bCs/>
          <w:color w:val="auto"/>
          <w:sz w:val="24"/>
          <w:highlight w:val="none"/>
        </w:rPr>
        <w:t>（北京时间）在磋商地点开启。</w:t>
      </w:r>
    </w:p>
    <w:p>
      <w:pPr>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十一、磋商地点：四川凯亿工程管理咨询有限公司开标厅（成都市高新区天府三街19号新希望国际A座20楼2003号） </w:t>
      </w:r>
      <w:r>
        <w:rPr>
          <w:rFonts w:hint="eastAsia" w:ascii="仿宋" w:hAnsi="仿宋" w:eastAsia="仿宋" w:cs="仿宋"/>
          <w:color w:val="auto"/>
          <w:sz w:val="24"/>
          <w:highlight w:val="none"/>
        </w:rPr>
        <w:t>。</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十二、供应商信用融资：</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十三、联系方式</w:t>
      </w:r>
    </w:p>
    <w:p>
      <w:pPr>
        <w:spacing w:line="360" w:lineRule="auto"/>
        <w:ind w:firstLine="482" w:firstLineChars="20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采 购 人：</w:t>
      </w:r>
      <w:r>
        <w:rPr>
          <w:rFonts w:hint="eastAsia" w:ascii="仿宋" w:hAnsi="仿宋" w:eastAsia="仿宋" w:cs="仿宋"/>
          <w:b/>
          <w:bCs/>
          <w:color w:val="auto"/>
          <w:sz w:val="24"/>
          <w:highlight w:val="none"/>
          <w:lang w:eastAsia="zh-CN"/>
        </w:rPr>
        <w:t>成都市金牛区人民政府荷花池街道办事处</w:t>
      </w:r>
    </w:p>
    <w:p>
      <w:pPr>
        <w:pStyle w:val="36"/>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通讯地址：四川省成都市金牛区北站东一路37号</w:t>
      </w:r>
    </w:p>
    <w:p>
      <w:pPr>
        <w:pStyle w:val="36"/>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联系人：</w:t>
      </w:r>
      <w:r>
        <w:rPr>
          <w:rFonts w:hint="eastAsia" w:ascii="仿宋" w:hAnsi="仿宋" w:eastAsia="仿宋" w:cs="仿宋"/>
          <w:b w:val="0"/>
          <w:bCs/>
          <w:color w:val="auto"/>
          <w:sz w:val="24"/>
          <w:highlight w:val="none"/>
          <w:lang w:val="en-US" w:eastAsia="zh-CN"/>
        </w:rPr>
        <w:t>邢</w:t>
      </w:r>
      <w:r>
        <w:rPr>
          <w:rFonts w:hint="eastAsia" w:ascii="仿宋" w:hAnsi="仿宋" w:eastAsia="仿宋" w:cs="仿宋"/>
          <w:b w:val="0"/>
          <w:bCs/>
          <w:color w:val="auto"/>
          <w:sz w:val="24"/>
          <w:highlight w:val="none"/>
        </w:rPr>
        <w:t>老师</w:t>
      </w:r>
    </w:p>
    <w:p>
      <w:pPr>
        <w:pStyle w:val="36"/>
        <w:jc w:val="left"/>
        <w:rPr>
          <w:rFonts w:hint="default"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联系电话</w:t>
      </w:r>
      <w:r>
        <w:rPr>
          <w:rFonts w:hint="eastAsia" w:ascii="仿宋" w:hAnsi="仿宋" w:eastAsia="仿宋" w:cs="仿宋"/>
          <w:b w:val="0"/>
          <w:bCs/>
          <w:color w:val="auto"/>
          <w:sz w:val="24"/>
          <w:highlight w:val="none"/>
          <w:lang w:eastAsia="zh-CN"/>
        </w:rPr>
        <w:t>：</w:t>
      </w:r>
      <w:r>
        <w:rPr>
          <w:rFonts w:hint="default" w:ascii="仿宋" w:hAnsi="仿宋" w:eastAsia="仿宋" w:cs="仿宋"/>
          <w:b w:val="0"/>
          <w:bCs/>
          <w:color w:val="auto"/>
          <w:sz w:val="24"/>
          <w:highlight w:val="none"/>
          <w:lang w:eastAsia="zh-CN"/>
        </w:rPr>
        <w:t xml:space="preserve">028-69061700    </w:t>
      </w:r>
    </w:p>
    <w:p>
      <w:pPr>
        <w:pStyle w:val="3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采购代理机构：</w:t>
      </w:r>
      <w:r>
        <w:rPr>
          <w:rFonts w:hint="eastAsia" w:ascii="仿宋" w:hAnsi="仿宋" w:eastAsia="仿宋" w:cs="仿宋"/>
          <w:b/>
          <w:color w:val="auto"/>
          <w:sz w:val="24"/>
          <w:highlight w:val="none"/>
          <w:lang w:eastAsia="zh-CN"/>
        </w:rPr>
        <w:t xml:space="preserve">四川凯亿工程管理咨询有限公司 </w:t>
      </w:r>
      <w:r>
        <w:rPr>
          <w:rFonts w:hint="eastAsia" w:ascii="仿宋" w:hAnsi="仿宋" w:eastAsia="仿宋" w:cs="仿宋"/>
          <w:b/>
          <w:color w:val="auto"/>
          <w:sz w:val="24"/>
          <w:highlight w:val="none"/>
        </w:rPr>
        <w:t xml:space="preserve"> </w:t>
      </w:r>
    </w:p>
    <w:p>
      <w:pPr>
        <w:pStyle w:val="3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通讯地址：</w:t>
      </w:r>
      <w:r>
        <w:rPr>
          <w:rFonts w:hint="eastAsia" w:ascii="仿宋" w:hAnsi="仿宋" w:eastAsia="仿宋" w:cs="仿宋"/>
          <w:color w:val="auto"/>
          <w:sz w:val="24"/>
          <w:highlight w:val="none"/>
          <w:lang w:eastAsia="zh-CN"/>
        </w:rPr>
        <w:t>成都市高新区天府三街19号新希望国际A座20楼2003号</w:t>
      </w:r>
      <w:r>
        <w:rPr>
          <w:rFonts w:hint="eastAsia" w:ascii="仿宋" w:hAnsi="仿宋" w:eastAsia="仿宋" w:cs="仿宋"/>
          <w:color w:val="auto"/>
          <w:sz w:val="24"/>
          <w:highlight w:val="none"/>
        </w:rPr>
        <w:t xml:space="preserve"> </w:t>
      </w:r>
    </w:p>
    <w:p>
      <w:pPr>
        <w:pStyle w:val="3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邮    编：</w:t>
      </w:r>
      <w:bookmarkStart w:id="12" w:name="PO_代理公司邮编_1"/>
      <w:r>
        <w:rPr>
          <w:rFonts w:hint="eastAsia" w:ascii="仿宋" w:hAnsi="仿宋" w:eastAsia="仿宋" w:cs="仿宋"/>
          <w:color w:val="auto"/>
          <w:sz w:val="24"/>
          <w:highlight w:val="none"/>
        </w:rPr>
        <w:t>610000</w:t>
      </w:r>
      <w:bookmarkEnd w:id="12"/>
    </w:p>
    <w:p>
      <w:pPr>
        <w:pStyle w:val="36"/>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 系 人：</w:t>
      </w:r>
      <w:r>
        <w:rPr>
          <w:rFonts w:hint="eastAsia" w:ascii="仿宋" w:hAnsi="仿宋" w:eastAsia="仿宋" w:cs="仿宋"/>
          <w:color w:val="auto"/>
          <w:sz w:val="24"/>
          <w:highlight w:val="none"/>
          <w:lang w:val="en-US" w:eastAsia="zh-CN"/>
        </w:rPr>
        <w:t>黄</w:t>
      </w:r>
      <w:r>
        <w:rPr>
          <w:rFonts w:hint="eastAsia" w:ascii="仿宋" w:hAnsi="仿宋" w:eastAsia="仿宋" w:cs="仿宋"/>
          <w:color w:val="auto"/>
          <w:sz w:val="24"/>
          <w:highlight w:val="none"/>
          <w:lang w:eastAsia="zh-CN"/>
        </w:rPr>
        <w:t>女士</w:t>
      </w:r>
    </w:p>
    <w:p>
      <w:pPr>
        <w:pStyle w:val="36"/>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028-85179390</w:t>
      </w:r>
    </w:p>
    <w:p>
      <w:pPr>
        <w:pStyle w:val="36"/>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eastAsia="zh-CN"/>
        </w:rPr>
        <w:t>028-85179390</w:t>
      </w:r>
    </w:p>
    <w:p>
      <w:pPr>
        <w:spacing w:line="360" w:lineRule="auto"/>
        <w:jc w:val="right"/>
        <w:rPr>
          <w:rFonts w:hint="eastAsia" w:ascii="仿宋" w:hAnsi="仿宋" w:eastAsia="仿宋" w:cs="仿宋"/>
          <w:color w:val="auto"/>
          <w:highlight w:val="none"/>
        </w:rPr>
      </w:pPr>
      <w:r>
        <w:rPr>
          <w:rFonts w:hint="eastAsia" w:ascii="仿宋" w:hAnsi="仿宋" w:eastAsia="仿宋" w:cs="仿宋"/>
          <w:color w:val="auto"/>
          <w:sz w:val="24"/>
          <w:highlight w:val="none"/>
        </w:rPr>
        <w:t>2021年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bookmarkStart w:id="13" w:name="_Toc8230_WPSOffice_Level1"/>
      <w:bookmarkStart w:id="14" w:name="_Toc9280_WPSOffice_Level1"/>
      <w:bookmarkStart w:id="15" w:name="_Toc213396945"/>
      <w:bookmarkStart w:id="16" w:name="_Toc213397009"/>
      <w:bookmarkStart w:id="17" w:name="_Toc213396759"/>
      <w:bookmarkStart w:id="18" w:name="_Toc213496267"/>
      <w:bookmarkStart w:id="19" w:name="_Toc1282"/>
      <w:bookmarkStart w:id="20" w:name="_Toc217446031"/>
      <w:r>
        <w:rPr>
          <w:rFonts w:hint="eastAsia" w:ascii="仿宋" w:hAnsi="仿宋" w:eastAsia="仿宋" w:cs="仿宋"/>
          <w:color w:val="auto"/>
          <w:highlight w:val="none"/>
        </w:rPr>
        <w:br w:type="page"/>
      </w:r>
    </w:p>
    <w:p>
      <w:pPr>
        <w:pStyle w:val="3"/>
        <w:spacing w:before="0" w:after="0" w:line="360" w:lineRule="auto"/>
        <w:jc w:val="center"/>
        <w:rPr>
          <w:rFonts w:hint="eastAsia" w:ascii="仿宋" w:hAnsi="仿宋" w:eastAsia="仿宋" w:cs="仿宋"/>
          <w:color w:val="auto"/>
          <w:highlight w:val="none"/>
        </w:rPr>
      </w:pPr>
      <w:bookmarkStart w:id="21" w:name="_Toc16992"/>
      <w:r>
        <w:rPr>
          <w:rFonts w:hint="eastAsia" w:ascii="仿宋" w:hAnsi="仿宋" w:eastAsia="仿宋" w:cs="仿宋"/>
          <w:color w:val="auto"/>
          <w:highlight w:val="none"/>
        </w:rPr>
        <w:t>第二章  磋商须知</w:t>
      </w:r>
      <w:bookmarkEnd w:id="13"/>
      <w:bookmarkEnd w:id="14"/>
      <w:bookmarkEnd w:id="15"/>
      <w:bookmarkEnd w:id="16"/>
      <w:bookmarkEnd w:id="17"/>
      <w:bookmarkEnd w:id="18"/>
      <w:bookmarkEnd w:id="19"/>
      <w:bookmarkEnd w:id="20"/>
      <w:bookmarkEnd w:id="21"/>
    </w:p>
    <w:p>
      <w:pPr>
        <w:pStyle w:val="4"/>
        <w:spacing w:before="0" w:after="0" w:line="360" w:lineRule="auto"/>
        <w:jc w:val="center"/>
        <w:rPr>
          <w:rFonts w:hint="eastAsia" w:ascii="仿宋" w:hAnsi="仿宋" w:eastAsia="仿宋" w:cs="仿宋"/>
          <w:color w:val="auto"/>
          <w:highlight w:val="none"/>
        </w:rPr>
      </w:pPr>
      <w:bookmarkStart w:id="22" w:name="_Toc6814_WPSOffice_Level2"/>
      <w:r>
        <w:rPr>
          <w:rFonts w:hint="eastAsia" w:ascii="仿宋" w:hAnsi="仿宋" w:eastAsia="仿宋" w:cs="仿宋"/>
          <w:color w:val="auto"/>
          <w:highlight w:val="none"/>
        </w:rPr>
        <w:t>一、供应商须知附表</w:t>
      </w:r>
      <w:bookmarkEnd w:id="22"/>
    </w:p>
    <w:tbl>
      <w:tblPr>
        <w:tblStyle w:val="18"/>
        <w:tblW w:w="91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974"/>
        <w:gridCol w:w="1844"/>
        <w:gridCol w:w="635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974" w:type="dxa"/>
            <w:tcBorders>
              <w:tl2br w:val="nil"/>
              <w:tr2bl w:val="nil"/>
            </w:tcBorders>
            <w:vAlign w:val="center"/>
          </w:tcPr>
          <w:p>
            <w:pPr>
              <w:pStyle w:val="33"/>
              <w:spacing w:line="360" w:lineRule="auto"/>
              <w:jc w:val="center"/>
              <w:rPr>
                <w:rFonts w:hint="eastAsia" w:ascii="仿宋" w:hAnsi="仿宋" w:eastAsia="仿宋" w:cs="仿宋"/>
                <w:b/>
                <w:color w:val="auto"/>
                <w:kern w:val="2"/>
                <w:sz w:val="21"/>
                <w:szCs w:val="21"/>
                <w:highlight w:val="none"/>
                <w:lang w:val="zh-CN"/>
              </w:rPr>
            </w:pPr>
            <w:r>
              <w:rPr>
                <w:rFonts w:hint="eastAsia" w:ascii="仿宋" w:hAnsi="仿宋" w:eastAsia="仿宋" w:cs="仿宋"/>
                <w:b/>
                <w:color w:val="auto"/>
                <w:kern w:val="2"/>
                <w:sz w:val="21"/>
                <w:szCs w:val="21"/>
                <w:highlight w:val="none"/>
                <w:lang w:val="zh-CN"/>
              </w:rPr>
              <w:t>序号</w:t>
            </w:r>
          </w:p>
        </w:tc>
        <w:tc>
          <w:tcPr>
            <w:tcW w:w="1844" w:type="dxa"/>
            <w:tcBorders>
              <w:tl2br w:val="nil"/>
              <w:tr2bl w:val="nil"/>
            </w:tcBorders>
            <w:vAlign w:val="center"/>
          </w:tcPr>
          <w:p>
            <w:pPr>
              <w:pStyle w:val="33"/>
              <w:spacing w:line="360" w:lineRule="auto"/>
              <w:ind w:firstLine="422" w:firstLineChars="200"/>
              <w:jc w:val="center"/>
              <w:rPr>
                <w:rFonts w:hint="eastAsia" w:ascii="仿宋" w:hAnsi="仿宋" w:eastAsia="仿宋" w:cs="仿宋"/>
                <w:b/>
                <w:color w:val="auto"/>
                <w:kern w:val="2"/>
                <w:sz w:val="21"/>
                <w:szCs w:val="21"/>
                <w:highlight w:val="none"/>
                <w:lang w:val="zh-CN"/>
              </w:rPr>
            </w:pPr>
            <w:r>
              <w:rPr>
                <w:rFonts w:hint="eastAsia" w:ascii="仿宋" w:hAnsi="仿宋" w:eastAsia="仿宋" w:cs="仿宋"/>
                <w:b/>
                <w:color w:val="auto"/>
                <w:kern w:val="2"/>
                <w:sz w:val="21"/>
                <w:szCs w:val="21"/>
                <w:highlight w:val="none"/>
                <w:lang w:val="zh-CN"/>
              </w:rPr>
              <w:t>应知事项</w:t>
            </w:r>
          </w:p>
        </w:tc>
        <w:tc>
          <w:tcPr>
            <w:tcW w:w="6353" w:type="dxa"/>
            <w:tcBorders>
              <w:tl2br w:val="nil"/>
              <w:tr2bl w:val="nil"/>
            </w:tcBorders>
            <w:vAlign w:val="center"/>
          </w:tcPr>
          <w:p>
            <w:pPr>
              <w:pStyle w:val="33"/>
              <w:spacing w:line="360" w:lineRule="auto"/>
              <w:jc w:val="center"/>
              <w:rPr>
                <w:rFonts w:hint="eastAsia" w:ascii="仿宋" w:hAnsi="仿宋" w:eastAsia="仿宋" w:cs="仿宋"/>
                <w:b/>
                <w:color w:val="auto"/>
                <w:kern w:val="2"/>
                <w:sz w:val="21"/>
                <w:szCs w:val="21"/>
                <w:highlight w:val="none"/>
                <w:lang w:val="zh-CN"/>
              </w:rPr>
            </w:pPr>
            <w:r>
              <w:rPr>
                <w:rFonts w:hint="eastAsia" w:ascii="仿宋" w:hAnsi="仿宋" w:eastAsia="仿宋" w:cs="仿宋"/>
                <w:b/>
                <w:color w:val="auto"/>
                <w:kern w:val="2"/>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1</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确定邀请磋商的供应商数量和方式</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本次磋商邀请的供应商数量：不限制。</w:t>
            </w:r>
          </w:p>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2</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采购预算</w:t>
            </w:r>
          </w:p>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（实质性要求）</w:t>
            </w:r>
          </w:p>
        </w:tc>
        <w:tc>
          <w:tcPr>
            <w:tcW w:w="6353" w:type="dxa"/>
            <w:tcBorders>
              <w:tl2br w:val="nil"/>
              <w:tr2bl w:val="nil"/>
            </w:tcBorders>
            <w:vAlign w:val="center"/>
          </w:tcPr>
          <w:p>
            <w:pPr>
              <w:pStyle w:val="33"/>
              <w:spacing w:line="360" w:lineRule="auto"/>
              <w:ind w:left="420" w:leftChars="200"/>
              <w:rPr>
                <w:rFonts w:hint="eastAsia" w:ascii="仿宋" w:hAnsi="仿宋" w:eastAsia="仿宋" w:cs="仿宋"/>
                <w:b w:val="0"/>
                <w:bCs/>
                <w:color w:val="auto"/>
                <w:kern w:val="2"/>
                <w:sz w:val="21"/>
                <w:szCs w:val="21"/>
                <w:highlight w:val="none"/>
                <w:lang w:val="zh-CN"/>
              </w:rPr>
            </w:pPr>
            <w:r>
              <w:rPr>
                <w:rFonts w:hint="eastAsia" w:ascii="仿宋" w:hAnsi="仿宋" w:eastAsia="仿宋" w:cs="仿宋"/>
                <w:b w:val="0"/>
                <w:bCs/>
                <w:color w:val="auto"/>
                <w:kern w:val="2"/>
                <w:sz w:val="21"/>
                <w:szCs w:val="21"/>
                <w:highlight w:val="none"/>
                <w:lang w:val="zh-CN"/>
              </w:rPr>
              <w:t>采购预算：人民币</w:t>
            </w:r>
            <w:r>
              <w:rPr>
                <w:rFonts w:hint="eastAsia" w:ascii="仿宋" w:hAnsi="仿宋" w:eastAsia="仿宋" w:cs="仿宋"/>
                <w:b w:val="0"/>
                <w:bCs/>
                <w:color w:val="auto"/>
                <w:kern w:val="2"/>
                <w:sz w:val="21"/>
                <w:szCs w:val="21"/>
                <w:highlight w:val="none"/>
                <w:lang w:val="en-US" w:eastAsia="zh-CN"/>
              </w:rPr>
              <w:t>60万元</w:t>
            </w:r>
            <w:r>
              <w:rPr>
                <w:rFonts w:hint="eastAsia" w:ascii="仿宋" w:hAnsi="仿宋" w:eastAsia="仿宋" w:cs="仿宋"/>
                <w:b w:val="0"/>
                <w:bCs/>
                <w:color w:val="auto"/>
                <w:kern w:val="2"/>
                <w:sz w:val="21"/>
                <w:szCs w:val="21"/>
                <w:highlight w:val="none"/>
                <w:lang w:val="zh-CN"/>
              </w:rPr>
              <w:t>。</w:t>
            </w:r>
          </w:p>
          <w:p>
            <w:pPr>
              <w:pStyle w:val="33"/>
              <w:spacing w:line="360" w:lineRule="auto"/>
              <w:ind w:left="420" w:leftChars="200"/>
              <w:rPr>
                <w:rFonts w:hint="eastAsia" w:ascii="仿宋" w:hAnsi="仿宋" w:eastAsia="仿宋" w:cs="仿宋"/>
                <w:b/>
                <w:color w:val="auto"/>
                <w:kern w:val="2"/>
                <w:sz w:val="21"/>
                <w:szCs w:val="21"/>
                <w:highlight w:val="none"/>
                <w:lang w:val="zh-CN"/>
              </w:rPr>
            </w:pPr>
            <w:r>
              <w:rPr>
                <w:rFonts w:hint="eastAsia" w:ascii="仿宋" w:hAnsi="仿宋" w:eastAsia="仿宋" w:cs="仿宋"/>
                <w:bCs/>
                <w:color w:val="auto"/>
                <w:kern w:val="2"/>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3</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lang w:val="zh-CN"/>
              </w:rPr>
              <w:t>最高限价</w:t>
            </w:r>
          </w:p>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（实质性要求）</w:t>
            </w:r>
          </w:p>
        </w:tc>
        <w:tc>
          <w:tcPr>
            <w:tcW w:w="6353" w:type="dxa"/>
            <w:tcBorders>
              <w:tl2br w:val="nil"/>
              <w:tr2bl w:val="nil"/>
            </w:tcBorders>
            <w:vAlign w:val="center"/>
          </w:tcPr>
          <w:p>
            <w:pPr>
              <w:pStyle w:val="33"/>
              <w:spacing w:line="360" w:lineRule="auto"/>
              <w:ind w:left="420" w:leftChars="200"/>
              <w:rPr>
                <w:rFonts w:hint="eastAsia" w:ascii="仿宋" w:hAnsi="仿宋" w:eastAsia="仿宋" w:cs="仿宋"/>
                <w:b w:val="0"/>
                <w:bCs/>
                <w:color w:val="auto"/>
                <w:kern w:val="2"/>
                <w:sz w:val="21"/>
                <w:szCs w:val="21"/>
                <w:highlight w:val="none"/>
                <w:lang w:val="zh-CN"/>
              </w:rPr>
            </w:pPr>
            <w:r>
              <w:rPr>
                <w:rFonts w:hint="eastAsia" w:ascii="仿宋" w:hAnsi="仿宋" w:eastAsia="仿宋" w:cs="仿宋"/>
                <w:b w:val="0"/>
                <w:bCs/>
                <w:color w:val="auto"/>
                <w:kern w:val="2"/>
                <w:sz w:val="21"/>
                <w:szCs w:val="21"/>
                <w:highlight w:val="none"/>
                <w:lang w:val="zh-CN"/>
              </w:rPr>
              <w:t>最高限价：人民币</w:t>
            </w:r>
            <w:r>
              <w:rPr>
                <w:rFonts w:hint="eastAsia" w:ascii="仿宋" w:hAnsi="仿宋" w:eastAsia="仿宋" w:cs="仿宋"/>
                <w:b w:val="0"/>
                <w:bCs/>
                <w:color w:val="auto"/>
                <w:kern w:val="2"/>
                <w:sz w:val="21"/>
                <w:szCs w:val="21"/>
                <w:highlight w:val="none"/>
                <w:lang w:val="en-US" w:eastAsia="zh-CN"/>
              </w:rPr>
              <w:t>60万元</w:t>
            </w:r>
            <w:r>
              <w:rPr>
                <w:rFonts w:hint="eastAsia" w:ascii="仿宋" w:hAnsi="仿宋" w:eastAsia="仿宋" w:cs="仿宋"/>
                <w:b w:val="0"/>
                <w:bCs/>
                <w:color w:val="auto"/>
                <w:kern w:val="2"/>
                <w:sz w:val="21"/>
                <w:szCs w:val="21"/>
                <w:highlight w:val="none"/>
              </w:rPr>
              <w:t>。</w:t>
            </w:r>
          </w:p>
          <w:p>
            <w:pPr>
              <w:pStyle w:val="33"/>
              <w:spacing w:line="360" w:lineRule="auto"/>
              <w:ind w:left="420" w:left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rPr>
              <w:t>4</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lang w:val="zh-CN"/>
              </w:rPr>
              <w:t>是否接受联合体</w:t>
            </w:r>
          </w:p>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（实质性要求）</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5</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低于成本价不正当竞争预防措施</w:t>
            </w:r>
          </w:p>
          <w:p>
            <w:pPr>
              <w:pStyle w:val="33"/>
              <w:spacing w:line="36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（实质性要求）</w:t>
            </w:r>
          </w:p>
        </w:tc>
        <w:tc>
          <w:tcPr>
            <w:tcW w:w="6353" w:type="dxa"/>
            <w:tcBorders>
              <w:tl2br w:val="nil"/>
              <w:tr2bl w:val="nil"/>
            </w:tcBorders>
            <w:vAlign w:val="center"/>
          </w:tcPr>
          <w:p>
            <w:pPr>
              <w:pStyle w:val="34"/>
              <w:tabs>
                <w:tab w:val="left" w:pos="314"/>
              </w:tabs>
              <w:spacing w:line="360" w:lineRule="auto"/>
              <w:ind w:firstLine="420" w:firstLineChars="200"/>
              <w:jc w:val="left"/>
              <w:rPr>
                <w:rFonts w:hint="eastAsia" w:ascii="仿宋" w:hAnsi="仿宋" w:eastAsia="仿宋" w:cs="仿宋"/>
                <w:bCs/>
                <w:color w:val="auto"/>
                <w:szCs w:val="21"/>
                <w:highlight w:val="none"/>
                <w:lang w:bidi="ar-SA"/>
              </w:rPr>
            </w:pPr>
            <w:r>
              <w:rPr>
                <w:rFonts w:hint="eastAsia" w:ascii="仿宋" w:hAnsi="仿宋" w:eastAsia="仿宋" w:cs="仿宋"/>
                <w:bCs/>
                <w:color w:val="auto"/>
                <w:szCs w:val="21"/>
                <w:highlight w:val="none"/>
                <w:lang w:bidi="ar-SA"/>
              </w:rPr>
              <w:t>（</w:t>
            </w:r>
            <w:r>
              <w:rPr>
                <w:rFonts w:hint="eastAsia" w:ascii="仿宋" w:hAnsi="仿宋" w:eastAsia="仿宋" w:cs="仿宋"/>
                <w:bCs/>
                <w:color w:val="auto"/>
                <w:szCs w:val="21"/>
                <w:highlight w:val="none"/>
                <w:lang w:val="en-US" w:bidi="ar-SA"/>
              </w:rPr>
              <w:t>1</w:t>
            </w:r>
            <w:r>
              <w:rPr>
                <w:rFonts w:hint="eastAsia" w:ascii="仿宋" w:hAnsi="仿宋" w:eastAsia="仿宋" w:cs="仿宋"/>
                <w:bCs/>
                <w:color w:val="auto"/>
                <w:szCs w:val="21"/>
                <w:highlight w:val="none"/>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4"/>
              <w:tabs>
                <w:tab w:val="left" w:pos="314"/>
              </w:tabs>
              <w:spacing w:line="360" w:lineRule="auto"/>
              <w:ind w:firstLine="420" w:firstLineChars="200"/>
              <w:jc w:val="left"/>
              <w:rPr>
                <w:rFonts w:hint="eastAsia" w:ascii="仿宋" w:hAnsi="仿宋" w:eastAsia="仿宋" w:cs="仿宋"/>
                <w:bCs/>
                <w:color w:val="auto"/>
                <w:szCs w:val="21"/>
                <w:highlight w:val="none"/>
                <w:lang w:bidi="ar-SA"/>
              </w:rPr>
            </w:pPr>
            <w:r>
              <w:rPr>
                <w:rFonts w:hint="eastAsia" w:ascii="仿宋" w:hAnsi="仿宋" w:eastAsia="仿宋" w:cs="仿宋"/>
                <w:bCs/>
                <w:color w:val="auto"/>
                <w:szCs w:val="21"/>
                <w:highlight w:val="none"/>
                <w:lang w:bidi="ar-SA"/>
              </w:rPr>
              <w:t>（</w:t>
            </w:r>
            <w:r>
              <w:rPr>
                <w:rFonts w:hint="eastAsia" w:ascii="仿宋" w:hAnsi="仿宋" w:eastAsia="仿宋" w:cs="仿宋"/>
                <w:bCs/>
                <w:color w:val="auto"/>
                <w:szCs w:val="21"/>
                <w:highlight w:val="none"/>
                <w:lang w:val="en-US" w:bidi="ar-SA"/>
              </w:rPr>
              <w:t>2</w:t>
            </w:r>
            <w:r>
              <w:rPr>
                <w:rFonts w:hint="eastAsia" w:ascii="仿宋" w:hAnsi="仿宋" w:eastAsia="仿宋" w:cs="仿宋"/>
                <w:bCs/>
                <w:color w:val="auto"/>
                <w:szCs w:val="21"/>
                <w:highlight w:val="none"/>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4"/>
              <w:tabs>
                <w:tab w:val="left" w:pos="314"/>
              </w:tabs>
              <w:spacing w:line="360" w:lineRule="auto"/>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SA"/>
              </w:rPr>
              <w:t>（</w:t>
            </w:r>
            <w:r>
              <w:rPr>
                <w:rFonts w:hint="eastAsia" w:ascii="仿宋" w:hAnsi="仿宋" w:eastAsia="仿宋" w:cs="仿宋"/>
                <w:bCs/>
                <w:color w:val="auto"/>
                <w:szCs w:val="21"/>
                <w:highlight w:val="none"/>
                <w:lang w:val="en-US" w:bidi="ar-SA"/>
              </w:rPr>
              <w:t>3</w:t>
            </w:r>
            <w:r>
              <w:rPr>
                <w:rFonts w:hint="eastAsia" w:ascii="仿宋" w:hAnsi="仿宋" w:eastAsia="仿宋" w:cs="仿宋"/>
                <w:bCs/>
                <w:color w:val="auto"/>
                <w:szCs w:val="21"/>
                <w:highlight w:val="none"/>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  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6</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小微企业（监狱企业、残疾人福利性单位视同小微企业）价格扣除</w:t>
            </w:r>
          </w:p>
          <w:p>
            <w:pPr>
              <w:pStyle w:val="33"/>
              <w:spacing w:line="36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sz w:val="21"/>
                <w:szCs w:val="21"/>
                <w:highlight w:val="none"/>
              </w:rPr>
              <w:t>（实质性要求）</w:t>
            </w:r>
          </w:p>
        </w:tc>
        <w:tc>
          <w:tcPr>
            <w:tcW w:w="6353" w:type="dxa"/>
            <w:tcBorders>
              <w:tl2br w:val="nil"/>
              <w:tr2bl w:val="nil"/>
            </w:tcBorders>
          </w:tcPr>
          <w:p>
            <w:pPr>
              <w:spacing w:line="360" w:lineRule="auto"/>
              <w:ind w:firstLine="42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一、小微企业（监狱企业、残疾人福利性单位均视同小微企业）价格扣除</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1、根据《政府采购促进中小企业发展暂行办法》（财库〔2020〕46号）的规定，对小型和微型企业产品的价格给予10%的价格扣除，用扣除后的价格参与评标。</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2、参加政府采购活动的中小企业应当提供《中小企业声明函》原件。监狱企业应当提供《监狱企业证明》原件。残疾人福利性单位应当提供《残疾人福利性单位声明函》原件。</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组成联合体或者接受分包的小微企业与联合体内其他企业、分包企业之间存在直接控股、管理关系的，不享受价格扣除优惠政策。</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4、符合中小企业划分标准的个体工商户，在政府采购活动中视同中小企业。</w:t>
            </w:r>
          </w:p>
          <w:p>
            <w:pPr>
              <w:pStyle w:val="33"/>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二</w:t>
            </w:r>
            <w:r>
              <w:rPr>
                <w:rFonts w:hint="eastAsia" w:ascii="仿宋" w:hAnsi="仿宋" w:eastAsia="仿宋" w:cs="仿宋"/>
                <w:b/>
                <w:bCs/>
                <w:color w:val="auto"/>
                <w:sz w:val="21"/>
                <w:szCs w:val="21"/>
                <w:highlight w:val="none"/>
              </w:rPr>
              <w:t>、符合扶持不发达地区和少数民族地区政策条件的，在同等条件下享有优先采购的机会。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7</w:t>
            </w:r>
          </w:p>
        </w:tc>
        <w:tc>
          <w:tcPr>
            <w:tcW w:w="1844" w:type="dxa"/>
            <w:tcBorders>
              <w:tl2br w:val="nil"/>
              <w:tr2bl w:val="nil"/>
            </w:tcBorders>
            <w:vAlign w:val="center"/>
          </w:tcPr>
          <w:p>
            <w:pPr>
              <w:spacing w:line="360" w:lineRule="auto"/>
              <w:ind w:left="105" w:leftChars="50" w:right="105" w:rightChars="50"/>
              <w:jc w:val="center"/>
              <w:rPr>
                <w:rFonts w:hint="eastAsia" w:ascii="仿宋" w:hAnsi="仿宋" w:eastAsia="仿宋" w:cs="仿宋"/>
                <w:bCs/>
                <w:color w:val="auto"/>
                <w:szCs w:val="21"/>
                <w:highlight w:val="none"/>
                <w:lang w:val="zh-CN"/>
              </w:rPr>
            </w:pPr>
            <w:r>
              <w:rPr>
                <w:rFonts w:hint="eastAsia" w:ascii="仿宋" w:hAnsi="仿宋" w:eastAsia="仿宋" w:cs="仿宋"/>
                <w:color w:val="auto"/>
                <w:kern w:val="0"/>
                <w:szCs w:val="21"/>
                <w:highlight w:val="none"/>
              </w:rPr>
              <w:t>节能、环保及无线局域网产品政府采购政策</w:t>
            </w:r>
          </w:p>
        </w:tc>
        <w:tc>
          <w:tcPr>
            <w:tcW w:w="6353" w:type="dxa"/>
            <w:tcBorders>
              <w:tl2br w:val="nil"/>
              <w:tr2bl w:val="nil"/>
            </w:tcBorders>
            <w:vAlign w:val="center"/>
          </w:tcPr>
          <w:p>
            <w:pPr>
              <w:spacing w:line="360" w:lineRule="auto"/>
              <w:ind w:right="105" w:rightChars="50" w:firstLine="420" w:firstLineChars="20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rPr>
              <w:t>8</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磋商情况公告</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9</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磋商保证金</w:t>
            </w:r>
          </w:p>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color w:val="auto"/>
                <w:sz w:val="21"/>
                <w:szCs w:val="21"/>
                <w:highlight w:val="none"/>
              </w:rPr>
              <w:t>（实质性要求）</w:t>
            </w:r>
          </w:p>
        </w:tc>
        <w:tc>
          <w:tcPr>
            <w:tcW w:w="6353" w:type="dxa"/>
            <w:tcBorders>
              <w:tl2br w:val="nil"/>
              <w:tr2bl w:val="nil"/>
            </w:tcBorders>
            <w:vAlign w:val="center"/>
          </w:tcPr>
          <w:p>
            <w:pPr>
              <w:spacing w:line="360" w:lineRule="auto"/>
              <w:ind w:firstLine="420" w:firstLineChars="200"/>
              <w:jc w:val="left"/>
              <w:rPr>
                <w:rFonts w:hint="eastAsia" w:ascii="仿宋" w:hAnsi="仿宋" w:eastAsia="仿宋" w:cs="仿宋"/>
                <w:bCs/>
                <w:color w:val="auto"/>
                <w:szCs w:val="21"/>
                <w:highlight w:val="none"/>
              </w:rPr>
            </w:pPr>
            <w:r>
              <w:rPr>
                <w:rFonts w:hint="eastAsia" w:ascii="仿宋" w:hAnsi="仿宋" w:eastAsia="仿宋" w:cs="仿宋"/>
                <w:b w:val="0"/>
                <w:bCs/>
                <w:color w:val="auto"/>
                <w:szCs w:val="21"/>
                <w:highlight w:val="none"/>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10</w:t>
            </w:r>
          </w:p>
        </w:tc>
        <w:tc>
          <w:tcPr>
            <w:tcW w:w="1844" w:type="dxa"/>
            <w:tcBorders>
              <w:tl2br w:val="nil"/>
              <w:tr2bl w:val="nil"/>
            </w:tcBorders>
            <w:shd w:val="clear" w:color="auto" w:fill="auto"/>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履约保证金</w:t>
            </w:r>
          </w:p>
        </w:tc>
        <w:tc>
          <w:tcPr>
            <w:tcW w:w="6353" w:type="dxa"/>
            <w:tcBorders>
              <w:tl2br w:val="nil"/>
              <w:tr2bl w:val="nil"/>
            </w:tcBorders>
            <w:shd w:val="clear" w:color="auto" w:fill="auto"/>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1</w:t>
            </w:r>
            <w:r>
              <w:rPr>
                <w:rFonts w:hint="eastAsia" w:ascii="仿宋" w:hAnsi="仿宋" w:eastAsia="仿宋" w:cs="仿宋"/>
                <w:bCs/>
                <w:color w:val="auto"/>
                <w:kern w:val="2"/>
                <w:sz w:val="21"/>
                <w:szCs w:val="21"/>
                <w:highlight w:val="none"/>
              </w:rPr>
              <w:t>1</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rPr>
              <w:t>磋商</w:t>
            </w:r>
            <w:r>
              <w:rPr>
                <w:rFonts w:hint="eastAsia" w:ascii="仿宋" w:hAnsi="仿宋" w:eastAsia="仿宋" w:cs="仿宋"/>
                <w:bCs/>
                <w:color w:val="auto"/>
                <w:kern w:val="2"/>
                <w:sz w:val="21"/>
                <w:szCs w:val="21"/>
                <w:highlight w:val="none"/>
                <w:lang w:val="zh-CN"/>
              </w:rPr>
              <w:t>文件咨询</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联系人：</w:t>
            </w:r>
            <w:r>
              <w:rPr>
                <w:rFonts w:hint="eastAsia" w:ascii="仿宋" w:hAnsi="仿宋" w:eastAsia="仿宋" w:cs="仿宋"/>
                <w:bCs/>
                <w:color w:val="auto"/>
                <w:kern w:val="2"/>
                <w:sz w:val="21"/>
                <w:szCs w:val="21"/>
                <w:highlight w:val="none"/>
                <w:lang w:eastAsia="zh-CN"/>
              </w:rPr>
              <w:t>黄女士</w:t>
            </w:r>
            <w:r>
              <w:rPr>
                <w:rFonts w:hint="eastAsia" w:ascii="仿宋" w:hAnsi="仿宋" w:eastAsia="仿宋" w:cs="仿宋"/>
                <w:bCs/>
                <w:color w:val="auto"/>
                <w:kern w:val="2"/>
                <w:sz w:val="21"/>
                <w:szCs w:val="21"/>
                <w:highlight w:val="none"/>
                <w:lang w:val="zh-CN"/>
              </w:rPr>
              <w:t xml:space="preserve">   联系电话：  028-85179390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1</w:t>
            </w:r>
            <w:r>
              <w:rPr>
                <w:rFonts w:hint="eastAsia" w:ascii="仿宋" w:hAnsi="仿宋" w:eastAsia="仿宋" w:cs="仿宋"/>
                <w:bCs/>
                <w:color w:val="auto"/>
                <w:kern w:val="2"/>
                <w:sz w:val="21"/>
                <w:szCs w:val="21"/>
                <w:highlight w:val="none"/>
              </w:rPr>
              <w:t>2</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磋商过程、结果工作咨询</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联系人：</w:t>
            </w:r>
            <w:r>
              <w:rPr>
                <w:rFonts w:hint="eastAsia" w:ascii="仿宋" w:hAnsi="仿宋" w:eastAsia="仿宋" w:cs="仿宋"/>
                <w:bCs/>
                <w:color w:val="auto"/>
                <w:kern w:val="2"/>
                <w:sz w:val="21"/>
                <w:szCs w:val="21"/>
                <w:highlight w:val="none"/>
                <w:lang w:eastAsia="zh-CN"/>
              </w:rPr>
              <w:t>黄女士</w:t>
            </w:r>
            <w:r>
              <w:rPr>
                <w:rFonts w:hint="eastAsia" w:ascii="仿宋" w:hAnsi="仿宋" w:eastAsia="仿宋" w:cs="仿宋"/>
                <w:bCs/>
                <w:color w:val="auto"/>
                <w:kern w:val="2"/>
                <w:sz w:val="21"/>
                <w:szCs w:val="21"/>
                <w:highlight w:val="none"/>
                <w:lang w:val="zh-CN"/>
              </w:rPr>
              <w:t xml:space="preserve">   联系电话：  028-85179390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1</w:t>
            </w:r>
            <w:r>
              <w:rPr>
                <w:rFonts w:hint="eastAsia" w:ascii="仿宋" w:hAnsi="仿宋" w:eastAsia="仿宋" w:cs="仿宋"/>
                <w:bCs/>
                <w:color w:val="auto"/>
                <w:kern w:val="2"/>
                <w:sz w:val="21"/>
                <w:szCs w:val="21"/>
                <w:highlight w:val="none"/>
              </w:rPr>
              <w:t>3</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成交通知书领取</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采购结果公告在四川政府采购网上发布后，请成交供应商凭有效身份证明证件到四川凯亿工程管理咨询有限公司领取成交通知书。</w:t>
            </w:r>
          </w:p>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联系电话：028-85179390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1</w:t>
            </w:r>
            <w:r>
              <w:rPr>
                <w:rFonts w:hint="eastAsia" w:ascii="仿宋" w:hAnsi="仿宋" w:eastAsia="仿宋" w:cs="仿宋"/>
                <w:bCs/>
                <w:color w:val="auto"/>
                <w:kern w:val="2"/>
                <w:sz w:val="21"/>
                <w:szCs w:val="21"/>
                <w:highlight w:val="none"/>
              </w:rPr>
              <w:t>4</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供应商询问</w:t>
            </w:r>
          </w:p>
        </w:tc>
        <w:tc>
          <w:tcPr>
            <w:tcW w:w="6353" w:type="dxa"/>
            <w:tcBorders>
              <w:tl2br w:val="nil"/>
              <w:tr2bl w:val="nil"/>
            </w:tcBorders>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根据委托代理协议约定，供应商询问由四川凯亿工程管理咨询有限公司负责答复。</w:t>
            </w:r>
          </w:p>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联系人：</w:t>
            </w:r>
            <w:r>
              <w:rPr>
                <w:rFonts w:hint="eastAsia" w:ascii="仿宋" w:hAnsi="仿宋" w:eastAsia="仿宋" w:cs="仿宋"/>
                <w:bCs/>
                <w:color w:val="auto"/>
                <w:kern w:val="2"/>
                <w:sz w:val="21"/>
                <w:szCs w:val="21"/>
                <w:highlight w:val="none"/>
                <w:lang w:eastAsia="zh-CN"/>
              </w:rPr>
              <w:t>黄女士</w:t>
            </w:r>
            <w:r>
              <w:rPr>
                <w:rFonts w:hint="eastAsia" w:ascii="仿宋" w:hAnsi="仿宋" w:eastAsia="仿宋" w:cs="仿宋"/>
                <w:bCs/>
                <w:color w:val="auto"/>
                <w:kern w:val="2"/>
                <w:sz w:val="21"/>
                <w:szCs w:val="21"/>
                <w:highlight w:val="none"/>
                <w:lang w:val="zh-CN"/>
              </w:rPr>
              <w:t xml:space="preserve">   联系电话：  028-85179390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1</w:t>
            </w:r>
            <w:r>
              <w:rPr>
                <w:rFonts w:hint="eastAsia" w:ascii="仿宋" w:hAnsi="仿宋" w:eastAsia="仿宋" w:cs="仿宋"/>
                <w:bCs/>
                <w:color w:val="auto"/>
                <w:kern w:val="2"/>
                <w:sz w:val="21"/>
                <w:szCs w:val="21"/>
                <w:highlight w:val="none"/>
              </w:rPr>
              <w:t>5</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供应商质疑</w:t>
            </w:r>
          </w:p>
        </w:tc>
        <w:tc>
          <w:tcPr>
            <w:tcW w:w="6353" w:type="dxa"/>
            <w:tcBorders>
              <w:tl2br w:val="nil"/>
              <w:tr2bl w:val="nil"/>
            </w:tcBorders>
            <w:vAlign w:val="center"/>
          </w:tcPr>
          <w:p>
            <w:pPr>
              <w:spacing w:line="360" w:lineRule="auto"/>
              <w:ind w:right="105" w:rightChars="50" w:firstLine="420" w:firstLineChars="200"/>
              <w:jc w:val="left"/>
              <w:rPr>
                <w:rFonts w:hint="eastAsia" w:ascii="仿宋" w:hAnsi="仿宋" w:eastAsia="仿宋" w:cs="仿宋"/>
                <w:color w:val="auto"/>
                <w:szCs w:val="21"/>
                <w:highlight w:val="none"/>
              </w:rPr>
            </w:pPr>
            <w:bookmarkStart w:id="23" w:name="PO_默认文件内容_30"/>
            <w:r>
              <w:rPr>
                <w:rFonts w:hint="eastAsia" w:ascii="仿宋" w:hAnsi="仿宋" w:eastAsia="仿宋" w:cs="仿宋"/>
                <w:color w:val="auto"/>
                <w:szCs w:val="21"/>
                <w:highlight w:val="none"/>
              </w:rPr>
              <w:t>根据委托代理协议约定，供应商质疑由</w:t>
            </w:r>
            <w:r>
              <w:rPr>
                <w:rFonts w:hint="eastAsia" w:ascii="仿宋" w:hAnsi="仿宋" w:eastAsia="仿宋" w:cs="仿宋"/>
                <w:color w:val="auto"/>
                <w:szCs w:val="21"/>
                <w:highlight w:val="none"/>
                <w:lang w:val="zh-CN"/>
              </w:rPr>
              <w:t>采购代理机构负责答复。</w:t>
            </w:r>
          </w:p>
          <w:p>
            <w:pPr>
              <w:spacing w:line="360" w:lineRule="auto"/>
              <w:ind w:firstLine="420" w:firstLineChars="20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联 系 人：</w:t>
            </w:r>
            <w:r>
              <w:rPr>
                <w:rFonts w:hint="eastAsia" w:ascii="仿宋" w:hAnsi="仿宋" w:eastAsia="仿宋" w:cs="仿宋"/>
                <w:color w:val="auto"/>
                <w:szCs w:val="21"/>
                <w:highlight w:val="none"/>
                <w:lang w:eastAsia="zh-CN"/>
              </w:rPr>
              <w:t>黄女士</w:t>
            </w:r>
          </w:p>
          <w:p>
            <w:pPr>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联系电话：</w:t>
            </w:r>
            <w:r>
              <w:rPr>
                <w:rFonts w:hint="eastAsia" w:ascii="仿宋" w:hAnsi="仿宋" w:eastAsia="仿宋" w:cs="仿宋"/>
                <w:bCs/>
                <w:color w:val="auto"/>
                <w:szCs w:val="21"/>
                <w:highlight w:val="none"/>
                <w:lang w:val="zh-CN"/>
              </w:rPr>
              <w:t>028-85179390</w:t>
            </w:r>
          </w:p>
          <w:p>
            <w:pPr>
              <w:spacing w:line="360" w:lineRule="auto"/>
              <w:ind w:right="105" w:rightChars="50"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地址：成都市高新区天府三街19号新希望国际A座20楼2003号。</w:t>
            </w:r>
          </w:p>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color w:val="auto"/>
                <w:sz w:val="21"/>
                <w:szCs w:val="21"/>
                <w:highlight w:val="none"/>
                <w:lang w:val="zh-CN"/>
              </w:rPr>
              <w:t>注：根据《中华人民共和国政府采购法》等规定，供应商质疑不得超出采购文件、采购过程、采购结果的范围</w:t>
            </w:r>
            <w:bookmarkEnd w:id="23"/>
            <w:r>
              <w:rPr>
                <w:rFonts w:hint="eastAsia" w:ascii="仿宋" w:hAnsi="仿宋" w:eastAsia="仿宋" w:cs="仿宋"/>
                <w:color w:val="auto"/>
                <w:sz w:val="21"/>
                <w:szCs w:val="21"/>
                <w:highlight w:val="none"/>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1</w:t>
            </w:r>
            <w:r>
              <w:rPr>
                <w:rFonts w:hint="eastAsia" w:ascii="仿宋" w:hAnsi="仿宋" w:eastAsia="仿宋" w:cs="仿宋"/>
                <w:bCs/>
                <w:color w:val="auto"/>
                <w:kern w:val="2"/>
                <w:sz w:val="21"/>
                <w:szCs w:val="21"/>
                <w:highlight w:val="none"/>
              </w:rPr>
              <w:t>6</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供应商投诉</w:t>
            </w:r>
          </w:p>
        </w:tc>
        <w:tc>
          <w:tcPr>
            <w:tcW w:w="6353" w:type="dxa"/>
            <w:tcBorders>
              <w:tl2br w:val="nil"/>
              <w:tr2bl w:val="nil"/>
            </w:tcBorders>
            <w:vAlign w:val="center"/>
          </w:tcPr>
          <w:p>
            <w:pPr>
              <w:spacing w:line="360" w:lineRule="auto"/>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投诉受理单位：本项目同级财政部门，即</w:t>
            </w:r>
            <w:r>
              <w:rPr>
                <w:rFonts w:hint="eastAsia" w:ascii="仿宋" w:hAnsi="仿宋" w:eastAsia="仿宋" w:cs="仿宋"/>
                <w:color w:val="auto"/>
                <w:szCs w:val="21"/>
                <w:highlight w:val="none"/>
                <w:lang w:val="en-US" w:eastAsia="zh-Hans"/>
              </w:rPr>
              <w:t>成都市金牛区</w:t>
            </w:r>
            <w:r>
              <w:rPr>
                <w:rFonts w:hint="eastAsia" w:ascii="仿宋" w:hAnsi="仿宋" w:eastAsia="仿宋" w:cs="仿宋"/>
                <w:color w:val="auto"/>
                <w:szCs w:val="21"/>
                <w:highlight w:val="none"/>
                <w:lang w:val="zh-CN"/>
              </w:rPr>
              <w:t>财政局。</w:t>
            </w:r>
          </w:p>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1</w:t>
            </w:r>
            <w:r>
              <w:rPr>
                <w:rFonts w:hint="eastAsia" w:ascii="仿宋" w:hAnsi="仿宋" w:eastAsia="仿宋" w:cs="仿宋"/>
                <w:bCs/>
                <w:color w:val="auto"/>
                <w:kern w:val="2"/>
                <w:sz w:val="21"/>
                <w:szCs w:val="21"/>
                <w:highlight w:val="none"/>
              </w:rPr>
              <w:t>7</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政府采购合同备案</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bookmarkStart w:id="24" w:name="PO_默认文件内容_18"/>
            <w:r>
              <w:rPr>
                <w:rFonts w:hint="eastAsia" w:ascii="仿宋" w:hAnsi="仿宋" w:eastAsia="仿宋" w:cs="仿宋"/>
                <w:bCs/>
                <w:color w:val="auto"/>
                <w:kern w:val="2"/>
                <w:sz w:val="21"/>
                <w:szCs w:val="21"/>
                <w:highlight w:val="none"/>
                <w:lang w:val="zh-CN"/>
              </w:rPr>
              <w:t>政府采购合同签订之日起2个工作日内，政府采购合同将在四川政府采购网公告；政府采购合同签订之日起七个工作日内，政府采购合同将向采购项目同级财政部门备案。</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rPr>
              <w:t>18</w:t>
            </w:r>
          </w:p>
        </w:tc>
        <w:tc>
          <w:tcPr>
            <w:tcW w:w="1844" w:type="dxa"/>
            <w:tcBorders>
              <w:tl2br w:val="nil"/>
              <w:tr2bl w:val="nil"/>
            </w:tcBorders>
            <w:vAlign w:val="center"/>
          </w:tcPr>
          <w:p>
            <w:pPr>
              <w:pStyle w:val="33"/>
              <w:spacing w:line="360" w:lineRule="auto"/>
              <w:jc w:val="center"/>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rPr>
              <w:t>代理服务费</w:t>
            </w:r>
          </w:p>
        </w:tc>
        <w:tc>
          <w:tcPr>
            <w:tcW w:w="6353" w:type="dxa"/>
            <w:tcBorders>
              <w:tl2br w:val="nil"/>
              <w:tr2bl w:val="nil"/>
            </w:tcBorders>
            <w:vAlign w:val="center"/>
          </w:tcPr>
          <w:p>
            <w:pPr>
              <w:pStyle w:val="33"/>
              <w:spacing w:line="360" w:lineRule="auto"/>
              <w:ind w:firstLine="420" w:firstLineChars="200"/>
              <w:jc w:val="both"/>
              <w:rPr>
                <w:rFonts w:hint="eastAsia" w:ascii="仿宋" w:hAnsi="仿宋" w:eastAsia="仿宋" w:cs="仿宋"/>
                <w:bCs/>
                <w:color w:val="auto"/>
                <w:kern w:val="2"/>
                <w:sz w:val="21"/>
                <w:szCs w:val="21"/>
                <w:highlight w:val="none"/>
                <w:lang w:eastAsia="zh-CN"/>
              </w:rPr>
            </w:pPr>
            <w:r>
              <w:rPr>
                <w:rFonts w:hint="eastAsia" w:ascii="仿宋" w:hAnsi="仿宋" w:eastAsia="仿宋" w:cs="仿宋"/>
                <w:bCs/>
                <w:color w:val="auto"/>
                <w:kern w:val="2"/>
                <w:sz w:val="21"/>
                <w:szCs w:val="21"/>
                <w:highlight w:val="none"/>
              </w:rPr>
              <w:t>以</w:t>
            </w:r>
            <w:r>
              <w:rPr>
                <w:rFonts w:hint="eastAsia" w:ascii="仿宋" w:hAnsi="仿宋" w:eastAsia="仿宋" w:cs="仿宋"/>
                <w:bCs/>
                <w:color w:val="auto"/>
                <w:kern w:val="2"/>
                <w:sz w:val="21"/>
                <w:szCs w:val="21"/>
                <w:highlight w:val="none"/>
                <w:lang w:val="en-US" w:eastAsia="zh-Hans"/>
              </w:rPr>
              <w:t>成交金额</w:t>
            </w:r>
            <w:r>
              <w:rPr>
                <w:rFonts w:hint="eastAsia" w:ascii="仿宋" w:hAnsi="仿宋" w:eastAsia="仿宋" w:cs="仿宋"/>
                <w:bCs/>
                <w:color w:val="auto"/>
                <w:kern w:val="2"/>
                <w:sz w:val="21"/>
                <w:szCs w:val="21"/>
                <w:highlight w:val="none"/>
              </w:rPr>
              <w:t>作为计算基数,参照原国家计委“计价格[2002]1980号”及“发改办价格[2003]857号通知”规定,由成交人在领取成交通知书前向采购代理机构交纳磋商代理服务费</w:t>
            </w:r>
            <w:r>
              <w:rPr>
                <w:rFonts w:hint="eastAsia" w:ascii="仿宋" w:hAnsi="仿宋" w:eastAsia="仿宋" w:cs="仿宋"/>
                <w:bCs/>
                <w:color w:val="auto"/>
                <w:kern w:val="2"/>
                <w:sz w:val="21"/>
                <w:szCs w:val="21"/>
                <w:highlight w:val="none"/>
                <w:lang w:eastAsia="zh-CN"/>
              </w:rPr>
              <w:t>。</w:t>
            </w:r>
          </w:p>
          <w:p>
            <w:pPr>
              <w:pStyle w:val="33"/>
              <w:spacing w:line="360" w:lineRule="auto"/>
              <w:ind w:firstLine="420" w:firstLineChars="200"/>
              <w:jc w:val="both"/>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收取方式为在成交通知书发出时，由成交单位支付给代理机构。</w:t>
            </w:r>
          </w:p>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单位名称：四川凯亿工程管理咨询有限公司</w:t>
            </w:r>
          </w:p>
          <w:p>
            <w:pPr>
              <w:pStyle w:val="33"/>
              <w:spacing w:line="360" w:lineRule="auto"/>
              <w:ind w:firstLine="420" w:firstLineChars="200"/>
              <w:rPr>
                <w:rFonts w:hint="eastAsia"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开户行：中国工商银行股份有限公司成都棕北支行</w:t>
            </w:r>
          </w:p>
          <w:p>
            <w:pPr>
              <w:pStyle w:val="33"/>
              <w:spacing w:line="360" w:lineRule="auto"/>
              <w:ind w:firstLine="420" w:firstLineChars="200"/>
              <w:jc w:val="both"/>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lang w:val="zh-CN"/>
              </w:rPr>
              <w:t>银行账号：4402 0221 0910 0101 388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19</w:t>
            </w:r>
          </w:p>
        </w:tc>
        <w:tc>
          <w:tcPr>
            <w:tcW w:w="1844" w:type="dxa"/>
            <w:tcBorders>
              <w:tl2br w:val="nil"/>
              <w:tr2bl w:val="nil"/>
            </w:tcBorders>
            <w:vAlign w:val="center"/>
          </w:tcPr>
          <w:p>
            <w:pPr>
              <w:pStyle w:val="33"/>
              <w:spacing w:line="360" w:lineRule="auto"/>
              <w:ind w:left="96"/>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政府采购信用融资政策</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根据《四川省财政厅关于推进四川省政府采购供应商信用融资工作的通知》（川财采〔2018〕123 号）规定，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20</w:t>
            </w:r>
          </w:p>
        </w:tc>
        <w:tc>
          <w:tcPr>
            <w:tcW w:w="1844" w:type="dxa"/>
            <w:tcBorders>
              <w:tl2br w:val="nil"/>
              <w:tr2bl w:val="nil"/>
            </w:tcBorders>
            <w:vAlign w:val="center"/>
          </w:tcPr>
          <w:p>
            <w:pPr>
              <w:pStyle w:val="33"/>
              <w:spacing w:line="360" w:lineRule="auto"/>
              <w:ind w:left="96"/>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响应文件份数</w:t>
            </w:r>
          </w:p>
        </w:tc>
        <w:tc>
          <w:tcPr>
            <w:tcW w:w="6353" w:type="dxa"/>
            <w:tcBorders>
              <w:tl2br w:val="nil"/>
              <w:tr2bl w:val="nil"/>
            </w:tcBorders>
            <w:vAlign w:val="center"/>
          </w:tcPr>
          <w:p>
            <w:pPr>
              <w:pStyle w:val="33"/>
              <w:spacing w:line="360" w:lineRule="auto"/>
              <w:ind w:firstLine="422" w:firstLineChars="200"/>
              <w:rPr>
                <w:rFonts w:hint="eastAsia" w:ascii="仿宋" w:hAnsi="仿宋" w:eastAsia="仿宋" w:cs="仿宋"/>
                <w:bCs/>
                <w:color w:val="auto"/>
                <w:kern w:val="2"/>
                <w:sz w:val="21"/>
                <w:szCs w:val="21"/>
                <w:highlight w:val="none"/>
                <w:lang w:eastAsia="zh-CN"/>
              </w:rPr>
            </w:pPr>
            <w:r>
              <w:rPr>
                <w:rFonts w:hint="eastAsia" w:ascii="仿宋" w:hAnsi="仿宋" w:eastAsia="仿宋" w:cs="仿宋"/>
                <w:b/>
                <w:color w:val="auto"/>
                <w:kern w:val="2"/>
                <w:sz w:val="21"/>
                <w:szCs w:val="21"/>
                <w:highlight w:val="none"/>
              </w:rPr>
              <w:t>正本壹套，副本贰套</w:t>
            </w:r>
            <w:r>
              <w:rPr>
                <w:rFonts w:hint="eastAsia" w:ascii="仿宋" w:hAnsi="仿宋" w:eastAsia="仿宋" w:cs="仿宋"/>
                <w:b/>
                <w:color w:val="auto"/>
                <w:kern w:val="2"/>
                <w:sz w:val="21"/>
                <w:szCs w:val="21"/>
                <w:highlight w:val="none"/>
                <w:lang w:eastAsia="zh-CN"/>
              </w:rPr>
              <w:t>（</w:t>
            </w:r>
            <w:r>
              <w:rPr>
                <w:rFonts w:hint="eastAsia" w:ascii="仿宋" w:hAnsi="仿宋" w:eastAsia="仿宋" w:cs="仿宋"/>
                <w:b/>
                <w:color w:val="auto"/>
                <w:kern w:val="2"/>
                <w:sz w:val="21"/>
                <w:szCs w:val="21"/>
                <w:highlight w:val="none"/>
              </w:rPr>
              <w:t>包括资格性响应文件及其他响应文件</w:t>
            </w:r>
            <w:r>
              <w:rPr>
                <w:rFonts w:hint="eastAsia" w:ascii="仿宋" w:hAnsi="仿宋" w:eastAsia="仿宋" w:cs="仿宋"/>
                <w:b/>
                <w:color w:val="auto"/>
                <w:kern w:val="2"/>
                <w:sz w:val="21"/>
                <w:szCs w:val="21"/>
                <w:highlight w:val="none"/>
                <w:lang w:eastAsia="zh-CN"/>
              </w:rPr>
              <w:t>）；</w:t>
            </w:r>
            <w:r>
              <w:rPr>
                <w:rFonts w:hint="eastAsia" w:ascii="仿宋" w:hAnsi="仿宋" w:eastAsia="仿宋" w:cs="仿宋"/>
                <w:b/>
                <w:bCs/>
                <w:color w:val="auto"/>
                <w:kern w:val="2"/>
                <w:sz w:val="21"/>
                <w:szCs w:val="21"/>
                <w:highlight w:val="none"/>
                <w:lang w:val="zh-CN" w:eastAsia="zh-CN" w:bidi="ar-SA"/>
              </w:rPr>
              <w:t>电子文档1份</w:t>
            </w:r>
            <w:r>
              <w:rPr>
                <w:rFonts w:hint="eastAsia" w:ascii="仿宋" w:hAnsi="仿宋" w:eastAsia="仿宋" w:cs="仿宋"/>
                <w:b/>
                <w:color w:val="auto"/>
                <w:kern w:val="2"/>
                <w:sz w:val="21"/>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21</w:t>
            </w:r>
          </w:p>
        </w:tc>
        <w:tc>
          <w:tcPr>
            <w:tcW w:w="1844" w:type="dxa"/>
            <w:tcBorders>
              <w:tl2br w:val="nil"/>
              <w:tr2bl w:val="nil"/>
            </w:tcBorders>
            <w:vAlign w:val="center"/>
          </w:tcPr>
          <w:p>
            <w:pPr>
              <w:pStyle w:val="54"/>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本项目所属行业</w:t>
            </w:r>
          </w:p>
        </w:tc>
        <w:tc>
          <w:tcPr>
            <w:tcW w:w="6353" w:type="dxa"/>
            <w:tcBorders>
              <w:tl2br w:val="nil"/>
              <w:tr2bl w:val="nil"/>
            </w:tcBorders>
            <w:vAlign w:val="center"/>
          </w:tcPr>
          <w:p>
            <w:pPr>
              <w:pStyle w:val="54"/>
              <w:snapToGrid w:val="0"/>
              <w:spacing w:line="240" w:lineRule="auto"/>
              <w:ind w:left="76" w:leftChars="36" w:right="31" w:rightChars="15" w:firstLine="210" w:firstLineChars="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本项目所属行业为其他未列明行业。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eastAsia="zh-CN"/>
              </w:rPr>
            </w:pPr>
            <w:r>
              <w:rPr>
                <w:rFonts w:hint="eastAsia" w:ascii="仿宋" w:hAnsi="仿宋" w:eastAsia="仿宋" w:cs="仿宋"/>
                <w:bCs/>
                <w:color w:val="auto"/>
                <w:kern w:val="2"/>
                <w:sz w:val="21"/>
                <w:szCs w:val="21"/>
                <w:highlight w:val="none"/>
              </w:rPr>
              <w:t>2</w:t>
            </w:r>
            <w:r>
              <w:rPr>
                <w:rFonts w:hint="eastAsia" w:ascii="仿宋" w:hAnsi="仿宋" w:eastAsia="仿宋" w:cs="仿宋"/>
                <w:bCs/>
                <w:color w:val="auto"/>
                <w:kern w:val="2"/>
                <w:sz w:val="21"/>
                <w:szCs w:val="21"/>
                <w:highlight w:val="none"/>
                <w:lang w:val="en-US" w:eastAsia="zh-CN"/>
              </w:rPr>
              <w:t>2</w:t>
            </w:r>
          </w:p>
        </w:tc>
        <w:tc>
          <w:tcPr>
            <w:tcW w:w="1844" w:type="dxa"/>
            <w:tcBorders>
              <w:tl2br w:val="nil"/>
              <w:tr2bl w:val="nil"/>
            </w:tcBorders>
            <w:vAlign w:val="center"/>
          </w:tcPr>
          <w:p>
            <w:pPr>
              <w:pStyle w:val="54"/>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应知事项</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1、除明确要求须声明或承诺的事项外，</w:t>
            </w:r>
            <w:r>
              <w:rPr>
                <w:rFonts w:hint="eastAsia" w:ascii="仿宋" w:hAnsi="仿宋" w:eastAsia="仿宋" w:cs="仿宋"/>
                <w:bCs/>
                <w:color w:val="auto"/>
                <w:kern w:val="2"/>
                <w:sz w:val="21"/>
                <w:szCs w:val="21"/>
                <w:highlight w:val="none"/>
                <w:lang w:val="zh-CN"/>
              </w:rPr>
              <w:t>供应商</w:t>
            </w:r>
            <w:r>
              <w:rPr>
                <w:rFonts w:hint="eastAsia" w:ascii="仿宋" w:hAnsi="仿宋" w:eastAsia="仿宋" w:cs="仿宋"/>
                <w:bCs/>
                <w:color w:val="auto"/>
                <w:kern w:val="2"/>
                <w:sz w:val="21"/>
                <w:szCs w:val="21"/>
                <w:highlight w:val="none"/>
              </w:rPr>
              <w:t>可不对未要求声明或承诺的实质性要求进行承诺，只要</w:t>
            </w:r>
            <w:r>
              <w:rPr>
                <w:rFonts w:hint="eastAsia" w:ascii="仿宋" w:hAnsi="仿宋" w:eastAsia="仿宋" w:cs="仿宋"/>
                <w:bCs/>
                <w:color w:val="auto"/>
                <w:kern w:val="2"/>
                <w:sz w:val="21"/>
                <w:szCs w:val="21"/>
                <w:highlight w:val="none"/>
                <w:lang w:val="zh-CN"/>
              </w:rPr>
              <w:t>供应商</w:t>
            </w:r>
            <w:r>
              <w:rPr>
                <w:rFonts w:hint="eastAsia" w:ascii="仿宋" w:hAnsi="仿宋" w:eastAsia="仿宋" w:cs="仿宋"/>
                <w:bCs/>
                <w:color w:val="auto"/>
                <w:kern w:val="2"/>
                <w:sz w:val="21"/>
                <w:szCs w:val="21"/>
                <w:highlight w:val="none"/>
              </w:rPr>
              <w:t>未明确表示不响应磋商文件的要求，即视为</w:t>
            </w:r>
            <w:r>
              <w:rPr>
                <w:rFonts w:hint="eastAsia" w:ascii="仿宋" w:hAnsi="仿宋" w:eastAsia="仿宋" w:cs="仿宋"/>
                <w:bCs/>
                <w:color w:val="auto"/>
                <w:kern w:val="2"/>
                <w:sz w:val="21"/>
                <w:szCs w:val="21"/>
                <w:highlight w:val="none"/>
                <w:lang w:val="zh-CN"/>
              </w:rPr>
              <w:t>供应商</w:t>
            </w:r>
            <w:r>
              <w:rPr>
                <w:rFonts w:hint="eastAsia" w:ascii="仿宋" w:hAnsi="仿宋" w:eastAsia="仿宋" w:cs="仿宋"/>
                <w:bCs/>
                <w:color w:val="auto"/>
                <w:kern w:val="2"/>
                <w:sz w:val="21"/>
                <w:szCs w:val="21"/>
                <w:highlight w:val="none"/>
              </w:rPr>
              <w:t>完全响应。</w:t>
            </w:r>
          </w:p>
          <w:p>
            <w:pPr>
              <w:pStyle w:val="33"/>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bCs/>
                <w:color w:val="auto"/>
                <w:kern w:val="2"/>
                <w:sz w:val="21"/>
                <w:szCs w:val="21"/>
                <w:highlight w:val="none"/>
              </w:rPr>
              <w:t>2、如因行业惯例或习惯，在磋商标文件中使用了非法定计量单位，不影响招响应文件的有效性和符合性。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3"/>
              <w:spacing w:line="360" w:lineRule="auto"/>
              <w:ind w:firstLine="420" w:firstLineChars="200"/>
              <w:rPr>
                <w:rFonts w:hint="eastAsia" w:ascii="仿宋" w:hAnsi="仿宋" w:eastAsia="仿宋" w:cs="仿宋"/>
                <w:bCs/>
                <w:color w:val="auto"/>
                <w:kern w:val="2"/>
                <w:sz w:val="21"/>
                <w:szCs w:val="21"/>
                <w:highlight w:val="none"/>
                <w:lang w:eastAsia="zh-CN"/>
              </w:rPr>
            </w:pPr>
            <w:r>
              <w:rPr>
                <w:rFonts w:hint="eastAsia" w:ascii="仿宋" w:hAnsi="仿宋" w:eastAsia="仿宋" w:cs="仿宋"/>
                <w:bCs/>
                <w:color w:val="auto"/>
                <w:kern w:val="2"/>
                <w:sz w:val="21"/>
                <w:szCs w:val="21"/>
                <w:highlight w:val="none"/>
              </w:rPr>
              <w:t>2</w:t>
            </w:r>
            <w:r>
              <w:rPr>
                <w:rFonts w:hint="eastAsia" w:ascii="仿宋" w:hAnsi="仿宋" w:eastAsia="仿宋" w:cs="仿宋"/>
                <w:bCs/>
                <w:color w:val="auto"/>
                <w:kern w:val="2"/>
                <w:sz w:val="21"/>
                <w:szCs w:val="21"/>
                <w:highlight w:val="none"/>
                <w:lang w:val="en-US" w:eastAsia="zh-CN"/>
              </w:rPr>
              <w:t>3</w:t>
            </w:r>
          </w:p>
        </w:tc>
        <w:tc>
          <w:tcPr>
            <w:tcW w:w="1844" w:type="dxa"/>
            <w:tcBorders>
              <w:tl2br w:val="nil"/>
              <w:tr2bl w:val="nil"/>
            </w:tcBorders>
            <w:vAlign w:val="center"/>
          </w:tcPr>
          <w:p>
            <w:pPr>
              <w:pStyle w:val="33"/>
              <w:spacing w:line="360" w:lineRule="auto"/>
              <w:ind w:left="96"/>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备注</w:t>
            </w:r>
          </w:p>
        </w:tc>
        <w:tc>
          <w:tcPr>
            <w:tcW w:w="6353" w:type="dxa"/>
            <w:tcBorders>
              <w:tl2br w:val="nil"/>
              <w:tr2bl w:val="nil"/>
            </w:tcBorders>
            <w:vAlign w:val="center"/>
          </w:tcPr>
          <w:p>
            <w:pPr>
              <w:pStyle w:val="33"/>
              <w:spacing w:line="360" w:lineRule="auto"/>
              <w:ind w:firstLine="420" w:firstLineChars="200"/>
              <w:rPr>
                <w:rFonts w:hint="eastAsia" w:ascii="仿宋" w:hAnsi="仿宋" w:eastAsia="仿宋" w:cs="仿宋"/>
                <w:b/>
                <w:color w:val="auto"/>
                <w:kern w:val="2"/>
                <w:sz w:val="21"/>
                <w:szCs w:val="21"/>
                <w:highlight w:val="none"/>
              </w:rPr>
            </w:pPr>
            <w:r>
              <w:rPr>
                <w:rFonts w:hint="eastAsia" w:ascii="仿宋" w:hAnsi="仿宋" w:eastAsia="仿宋" w:cs="仿宋"/>
                <w:bCs/>
                <w:color w:val="auto"/>
                <w:kern w:val="2"/>
                <w:sz w:val="21"/>
                <w:szCs w:val="21"/>
                <w:highlight w:val="none"/>
              </w:rPr>
              <w:t>若采购文件中同一事项表述与供应商须知附表内容不一致的，以供应商须知附表为准。</w:t>
            </w:r>
          </w:p>
        </w:tc>
      </w:tr>
    </w:tbl>
    <w:p>
      <w:pPr>
        <w:rPr>
          <w:rFonts w:hint="eastAsia" w:ascii="仿宋" w:hAnsi="仿宋" w:eastAsia="仿宋" w:cs="仿宋"/>
          <w:color w:val="auto"/>
          <w:highlight w:val="none"/>
        </w:rPr>
      </w:pPr>
      <w:bookmarkStart w:id="25" w:name="_Toc24300_WPSOffice_Level2"/>
      <w:r>
        <w:rPr>
          <w:rFonts w:hint="eastAsia" w:ascii="仿宋" w:hAnsi="仿宋" w:eastAsia="仿宋" w:cs="仿宋"/>
          <w:color w:val="auto"/>
          <w:highlight w:val="none"/>
        </w:rPr>
        <w:br w:type="page"/>
      </w:r>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  则</w:t>
      </w:r>
      <w:bookmarkEnd w:id="25"/>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bookmarkStart w:id="26" w:name="_Toc183582205"/>
      <w:bookmarkStart w:id="27" w:name="_Toc183682342"/>
      <w:bookmarkStart w:id="28" w:name="_Toc217446034"/>
      <w:r>
        <w:rPr>
          <w:rFonts w:hint="eastAsia" w:ascii="仿宋" w:hAnsi="仿宋" w:eastAsia="仿宋" w:cs="仿宋"/>
          <w:color w:val="auto"/>
          <w:sz w:val="24"/>
          <w:szCs w:val="24"/>
          <w:highlight w:val="none"/>
        </w:rPr>
        <w:t>1.</w:t>
      </w:r>
      <w:bookmarkEnd w:id="26"/>
      <w:bookmarkEnd w:id="27"/>
      <w:r>
        <w:rPr>
          <w:rFonts w:hint="eastAsia" w:ascii="仿宋" w:hAnsi="仿宋" w:eastAsia="仿宋" w:cs="仿宋"/>
          <w:color w:val="auto"/>
          <w:sz w:val="24"/>
          <w:szCs w:val="24"/>
          <w:highlight w:val="none"/>
        </w:rPr>
        <w:t>适用范围</w:t>
      </w:r>
      <w:bookmarkEnd w:id="28"/>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1.1本磋商文件仅适用于本次磋商所叙述的服务采购。</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1.2本磋商文件的解释权归采购人和采购代理机构所有。</w:t>
      </w:r>
    </w:p>
    <w:p>
      <w:pPr>
        <w:spacing w:line="360" w:lineRule="auto"/>
        <w:rPr>
          <w:rFonts w:hint="eastAsia" w:ascii="仿宋" w:hAnsi="仿宋" w:eastAsia="仿宋" w:cs="仿宋"/>
          <w:color w:val="auto"/>
          <w:szCs w:val="21"/>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bookmarkStart w:id="29" w:name="_Toc183682343"/>
      <w:bookmarkStart w:id="30" w:name="_Toc183582206"/>
      <w:bookmarkStart w:id="31" w:name="_Toc217446035"/>
      <w:r>
        <w:rPr>
          <w:rFonts w:hint="eastAsia" w:ascii="仿宋" w:hAnsi="仿宋" w:eastAsia="仿宋" w:cs="仿宋"/>
          <w:color w:val="auto"/>
          <w:sz w:val="24"/>
          <w:szCs w:val="24"/>
          <w:highlight w:val="none"/>
        </w:rPr>
        <w:t>2.</w:t>
      </w:r>
      <w:bookmarkEnd w:id="29"/>
      <w:bookmarkEnd w:id="30"/>
      <w:bookmarkEnd w:id="31"/>
      <w:r>
        <w:rPr>
          <w:rFonts w:hint="eastAsia" w:ascii="仿宋" w:hAnsi="仿宋" w:eastAsia="仿宋" w:cs="仿宋"/>
          <w:color w:val="auto"/>
          <w:sz w:val="24"/>
          <w:szCs w:val="24"/>
          <w:highlight w:val="none"/>
        </w:rPr>
        <w:t>采购主体</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lang w:eastAsia="zh-CN"/>
        </w:rPr>
        <w:t>成都市金牛区人民政府荷花池街道办事处</w:t>
      </w:r>
      <w:r>
        <w:rPr>
          <w:rFonts w:hint="eastAsia" w:ascii="仿宋" w:hAnsi="仿宋" w:eastAsia="仿宋" w:cs="仿宋"/>
          <w:color w:val="auto"/>
          <w:sz w:val="24"/>
          <w:highlight w:val="none"/>
        </w:rPr>
        <w:t>。</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2.2本次磋商的采购代理机构是</w:t>
      </w:r>
      <w:r>
        <w:rPr>
          <w:rFonts w:hint="eastAsia" w:ascii="仿宋" w:hAnsi="仿宋" w:eastAsia="仿宋" w:cs="仿宋"/>
          <w:color w:val="auto"/>
          <w:sz w:val="24"/>
          <w:highlight w:val="none"/>
          <w:lang w:eastAsia="zh-CN"/>
        </w:rPr>
        <w:t>四川凯亿工程管理咨询有限公司</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highlight w:val="none"/>
        </w:rPr>
      </w:pPr>
      <w:bookmarkStart w:id="32" w:name="_Toc217446036"/>
      <w:bookmarkStart w:id="33" w:name="_Toc183582207"/>
      <w:bookmarkStart w:id="34" w:name="_Toc217390843"/>
      <w:bookmarkStart w:id="35" w:name="_Toc183682344"/>
    </w:p>
    <w:p>
      <w:pPr>
        <w:pStyle w:val="5"/>
        <w:keepNext w:val="0"/>
        <w:keepLines w:val="0"/>
        <w:spacing w:before="0" w:after="0"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3.合格</w:t>
      </w:r>
      <w:bookmarkEnd w:id="32"/>
      <w:bookmarkEnd w:id="33"/>
      <w:bookmarkEnd w:id="34"/>
      <w:bookmarkEnd w:id="35"/>
      <w:r>
        <w:rPr>
          <w:rFonts w:hint="eastAsia" w:ascii="仿宋" w:hAnsi="仿宋" w:eastAsia="仿宋" w:cs="仿宋"/>
          <w:b w:val="0"/>
          <w:bCs w:val="0"/>
          <w:color w:val="auto"/>
          <w:sz w:val="24"/>
          <w:szCs w:val="24"/>
          <w:highlight w:val="none"/>
        </w:rPr>
        <w:t>供应商（实质性要求）</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合格供应商应具备以下条件：</w:t>
      </w:r>
    </w:p>
    <w:p>
      <w:pPr>
        <w:tabs>
          <w:tab w:val="left" w:pos="7665"/>
        </w:tabs>
        <w:spacing w:line="360"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3.1具备法律法规和本采购文件规定的资格条件</w:t>
      </w:r>
      <w:r>
        <w:rPr>
          <w:rFonts w:hint="eastAsia" w:ascii="仿宋" w:hAnsi="仿宋" w:eastAsia="仿宋" w:cs="仿宋"/>
          <w:color w:val="auto"/>
          <w:spacing w:val="-4"/>
          <w:sz w:val="24"/>
          <w:highlight w:val="none"/>
        </w:rPr>
        <w:t>；</w:t>
      </w:r>
    </w:p>
    <w:p>
      <w:pPr>
        <w:tabs>
          <w:tab w:val="left" w:pos="7665"/>
        </w:tabs>
        <w:spacing w:line="360"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3.2不属于禁止参加本项目采购活动的供应商；</w:t>
      </w:r>
    </w:p>
    <w:p>
      <w:pPr>
        <w:tabs>
          <w:tab w:val="left" w:pos="7665"/>
        </w:tabs>
        <w:spacing w:line="360"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3.3按照规定</w:t>
      </w:r>
      <w:r>
        <w:rPr>
          <w:rFonts w:hint="eastAsia" w:ascii="仿宋" w:hAnsi="仿宋" w:eastAsia="仿宋" w:cs="仿宋"/>
          <w:color w:val="auto"/>
          <w:sz w:val="24"/>
          <w:highlight w:val="none"/>
        </w:rPr>
        <w:t>获取了磋商文件，属于实质性参加政府采购活动的供应商。</w:t>
      </w:r>
    </w:p>
    <w:p>
      <w:pPr>
        <w:spacing w:line="360" w:lineRule="auto"/>
        <w:rPr>
          <w:rFonts w:hint="eastAsia" w:ascii="仿宋" w:hAnsi="仿宋" w:eastAsia="仿宋" w:cs="仿宋"/>
          <w:color w:val="auto"/>
          <w:highlight w:val="none"/>
        </w:rPr>
      </w:pPr>
      <w:bookmarkStart w:id="36" w:name="_Toc217446037"/>
      <w:bookmarkStart w:id="37" w:name="_Toc183582208"/>
      <w:bookmarkStart w:id="38" w:name="_Toc183682345"/>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4.磋商费用</w:t>
      </w:r>
      <w:bookmarkEnd w:id="36"/>
      <w:bookmarkEnd w:id="37"/>
      <w:bookmarkEnd w:id="38"/>
    </w:p>
    <w:p>
      <w:pPr>
        <w:tabs>
          <w:tab w:val="left" w:pos="7665"/>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供应商应自行承担参加磋商活动的全部费用。</w:t>
      </w:r>
    </w:p>
    <w:p>
      <w:pPr>
        <w:spacing w:line="360" w:lineRule="auto"/>
        <w:rPr>
          <w:rFonts w:hint="eastAsia" w:ascii="仿宋" w:hAnsi="仿宋" w:eastAsia="仿宋" w:cs="仿宋"/>
          <w:color w:val="auto"/>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5.充分、公平竞争保障措施（实质性要求）</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5.4供应商实际控制人或者中高级管理人员，同时是采购代理机构工作人员，不得参与本项目政府采购活动。</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5.5同一母公司的两家以上的子公司只能组成联合体参加本项目同一合同项下的采购活动，不得以不同供应商身份同时参加本项目同一合同项下的采购活动。</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5.6供应商与采购代理机构存在关联关系，或者是采购代理机构的母公司或子公司，不得参加本项目政府采购活动。</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5.7回避。政府采购活动中，采购人员及相关人员与供应商有下列利害关系之一的，应当回避：</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（1）参加采购活动前3年内与供应商存在劳动关系；</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（2）参加采购活动前3年内担任供应商的董事、监事；</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（3）参加采购活动前3年内是供应商的控股股东或者实际控制人；</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（4）与供应商的法定代表人或者负责人有夫妻、直系血亲、三代以内旁系血亲或者近姻亲关系；</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（5）与供应商有其他可能影响政府采购活动公平、公正进行的关系。</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6.磋商保证金（本项目不收取）</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6.1供应商必须以人民币为计量单位提交磋商文件规定数额的磋商保证金。联合体磋商的，可以由联合体的一方或者共同提交磋商保证金，以一方名义提交磋商保证金的，对联合体各方均具有约束力。</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6.2未按磋商文件要求在规定时间前交纳规定数额磋商保证金的响应文件无效。</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6.3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6.4发生下列情形之一的，采购代理机构将不予退还磋商保证金：</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7.响应文件有效期（实质性要求）</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hint="eastAsia" w:ascii="仿宋" w:hAnsi="仿宋" w:eastAsia="仿宋" w:cs="仿宋"/>
          <w:b/>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8.联合体竞争性磋商（实质性要求）</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本项目不接受联合体参与采购活动。</w:t>
      </w:r>
    </w:p>
    <w:p>
      <w:pPr>
        <w:spacing w:line="360" w:lineRule="auto"/>
        <w:rPr>
          <w:rFonts w:hint="eastAsia" w:ascii="仿宋" w:hAnsi="仿宋" w:eastAsia="仿宋" w:cs="仿宋"/>
          <w:color w:val="auto"/>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9.知识产权（实质性要求）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9.2除非磋商文件特别规定，采购人享有本项目实施过程中产生的知识成果及知识产权。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9.4如采用供应商所不拥有的知识产权，则在报价中必须包括合法获取该知识产权的相关费用。 </w:t>
      </w:r>
    </w:p>
    <w:p>
      <w:pPr>
        <w:pStyle w:val="4"/>
        <w:spacing w:before="0" w:after="0" w:line="360" w:lineRule="auto"/>
        <w:jc w:val="center"/>
        <w:rPr>
          <w:rFonts w:hint="eastAsia" w:ascii="仿宋" w:hAnsi="仿宋" w:eastAsia="仿宋" w:cs="仿宋"/>
          <w:color w:val="auto"/>
          <w:highlight w:val="none"/>
        </w:rPr>
      </w:pPr>
      <w:bookmarkStart w:id="39" w:name="_Toc217446038"/>
      <w:bookmarkStart w:id="40" w:name="_Toc183682346"/>
      <w:bookmarkStart w:id="41" w:name="_Toc183582209"/>
      <w:bookmarkStart w:id="42" w:name="_Toc7502_WPSOffice_Level2"/>
      <w:bookmarkStart w:id="43" w:name="_Toc77400779"/>
      <w:bookmarkStart w:id="44" w:name="_Toc89075875"/>
      <w:r>
        <w:rPr>
          <w:rFonts w:hint="eastAsia" w:ascii="仿宋" w:hAnsi="仿宋" w:eastAsia="仿宋" w:cs="仿宋"/>
          <w:color w:val="auto"/>
          <w:highlight w:val="none"/>
        </w:rPr>
        <w:t>三、磋商文件</w:t>
      </w:r>
      <w:bookmarkEnd w:id="39"/>
      <w:bookmarkEnd w:id="40"/>
      <w:bookmarkEnd w:id="41"/>
      <w:bookmarkEnd w:id="42"/>
      <w:bookmarkEnd w:id="43"/>
      <w:bookmarkEnd w:id="44"/>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bookmarkStart w:id="45" w:name="_Toc183682347"/>
      <w:bookmarkStart w:id="46" w:name="_Toc183582210"/>
      <w:bookmarkStart w:id="47" w:name="_Toc217446039"/>
      <w:r>
        <w:rPr>
          <w:rFonts w:hint="eastAsia" w:ascii="仿宋" w:hAnsi="仿宋" w:eastAsia="仿宋" w:cs="仿宋"/>
          <w:color w:val="auto"/>
          <w:sz w:val="24"/>
          <w:szCs w:val="24"/>
          <w:highlight w:val="none"/>
        </w:rPr>
        <w:t>10.磋商文件的构成</w:t>
      </w:r>
      <w:bookmarkEnd w:id="45"/>
      <w:bookmarkEnd w:id="46"/>
      <w:bookmarkEnd w:id="47"/>
      <w:r>
        <w:rPr>
          <w:rFonts w:hint="eastAsia" w:ascii="仿宋" w:hAnsi="仿宋" w:eastAsia="仿宋" w:cs="仿宋"/>
          <w:color w:val="auto"/>
          <w:sz w:val="24"/>
          <w:szCs w:val="24"/>
          <w:highlight w:val="none"/>
        </w:rPr>
        <w:t>（实质性要求）</w:t>
      </w:r>
    </w:p>
    <w:p>
      <w:pPr>
        <w:tabs>
          <w:tab w:val="left" w:pos="7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hint="eastAsia" w:ascii="仿宋" w:hAnsi="仿宋" w:eastAsia="仿宋" w:cs="仿宋"/>
          <w:color w:val="auto"/>
          <w:sz w:val="24"/>
          <w:highlight w:val="none"/>
        </w:rPr>
      </w:pPr>
      <w:bookmarkStart w:id="48" w:name="_Toc183582211"/>
      <w:bookmarkStart w:id="49" w:name="_Toc183682348"/>
      <w:bookmarkStart w:id="50" w:name="_Toc217446040"/>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11.磋商文件的澄清</w:t>
      </w:r>
      <w:bookmarkEnd w:id="48"/>
      <w:bookmarkEnd w:id="49"/>
      <w:r>
        <w:rPr>
          <w:rFonts w:hint="eastAsia" w:ascii="仿宋" w:hAnsi="仿宋" w:eastAsia="仿宋" w:cs="仿宋"/>
          <w:color w:val="auto"/>
          <w:sz w:val="24"/>
          <w:szCs w:val="24"/>
          <w:highlight w:val="none"/>
        </w:rPr>
        <w:t>和修改</w:t>
      </w:r>
      <w:bookmarkEnd w:id="50"/>
    </w:p>
    <w:p>
      <w:pPr>
        <w:tabs>
          <w:tab w:val="left" w:pos="7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11.1在递交响应文件截止时间前，采购人、采购代理机构可以对磋商文件进行澄清或者修改。</w:t>
      </w:r>
    </w:p>
    <w:p>
      <w:pPr>
        <w:tabs>
          <w:tab w:val="left" w:pos="7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11.3供应商认为采购代理机构需要对磋商文件进行澄清或者修改的，可以在首次响应文件截止之日起3日前以书面形式向采购代理机构提出申请，由采购代理机构决定是否采纳供应商的申请事项。</w:t>
      </w:r>
    </w:p>
    <w:p>
      <w:pPr>
        <w:spacing w:line="360" w:lineRule="auto"/>
        <w:rPr>
          <w:rFonts w:hint="eastAsia" w:ascii="仿宋" w:hAnsi="仿宋" w:eastAsia="仿宋" w:cs="仿宋"/>
          <w:color w:val="auto"/>
          <w:szCs w:val="21"/>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bookmarkStart w:id="51" w:name="_Toc208848971"/>
      <w:bookmarkStart w:id="52" w:name="_Toc217446041"/>
      <w:r>
        <w:rPr>
          <w:rFonts w:hint="eastAsia" w:ascii="仿宋" w:hAnsi="仿宋" w:eastAsia="仿宋" w:cs="仿宋"/>
          <w:color w:val="auto"/>
          <w:sz w:val="24"/>
          <w:szCs w:val="24"/>
          <w:highlight w:val="none"/>
        </w:rPr>
        <w:t>12.答疑会和现场考察</w:t>
      </w:r>
      <w:bookmarkEnd w:id="51"/>
      <w:bookmarkEnd w:id="52"/>
    </w:p>
    <w:p>
      <w:pPr>
        <w:tabs>
          <w:tab w:val="left" w:pos="720"/>
        </w:tabs>
        <w:spacing w:line="360" w:lineRule="auto"/>
        <w:ind w:firstLine="480" w:firstLineChars="200"/>
        <w:rPr>
          <w:rFonts w:hint="eastAsia" w:ascii="仿宋" w:hAnsi="仿宋" w:eastAsia="仿宋" w:cs="仿宋"/>
          <w:color w:val="auto"/>
          <w:sz w:val="24"/>
          <w:highlight w:val="none"/>
        </w:rPr>
      </w:pPr>
      <w:bookmarkStart w:id="53" w:name="_Toc89075876"/>
      <w:bookmarkStart w:id="54" w:name="_Toc183582214"/>
      <w:bookmarkStart w:id="55" w:name="_Toc77400780"/>
      <w:bookmarkStart w:id="56" w:name="_Toc183682351"/>
      <w:bookmarkStart w:id="57" w:name="_Toc217446042"/>
      <w:r>
        <w:rPr>
          <w:rFonts w:hint="eastAsia" w:ascii="仿宋" w:hAnsi="仿宋" w:eastAsia="仿宋" w:cs="仿宋"/>
          <w:color w:val="auto"/>
          <w:sz w:val="24"/>
          <w:highlight w:val="none"/>
        </w:rPr>
        <w:t>本项目不举办答疑会和现场考察,由供应商自行现场考察。</w:t>
      </w:r>
    </w:p>
    <w:p>
      <w:pPr>
        <w:pStyle w:val="4"/>
        <w:spacing w:before="0" w:after="0" w:line="360" w:lineRule="auto"/>
        <w:jc w:val="center"/>
        <w:rPr>
          <w:rFonts w:hint="eastAsia" w:ascii="仿宋" w:hAnsi="仿宋" w:eastAsia="仿宋" w:cs="仿宋"/>
          <w:color w:val="auto"/>
          <w:highlight w:val="none"/>
        </w:rPr>
      </w:pPr>
      <w:bookmarkStart w:id="58" w:name="_Toc3317_WPSOffice_Level2"/>
      <w:r>
        <w:rPr>
          <w:rFonts w:hint="eastAsia" w:ascii="仿宋" w:hAnsi="仿宋" w:eastAsia="仿宋" w:cs="仿宋"/>
          <w:color w:val="auto"/>
          <w:highlight w:val="none"/>
        </w:rPr>
        <w:t>四、响应文件</w:t>
      </w:r>
      <w:bookmarkEnd w:id="53"/>
      <w:bookmarkEnd w:id="54"/>
      <w:bookmarkEnd w:id="55"/>
      <w:bookmarkEnd w:id="56"/>
      <w:bookmarkEnd w:id="57"/>
      <w:bookmarkEnd w:id="58"/>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bookmarkStart w:id="59" w:name="_Toc217446043"/>
      <w:bookmarkStart w:id="60" w:name="_Toc183682352"/>
      <w:bookmarkStart w:id="61" w:name="_Toc183582215"/>
      <w:r>
        <w:rPr>
          <w:rFonts w:hint="eastAsia" w:ascii="仿宋" w:hAnsi="仿宋" w:eastAsia="仿宋" w:cs="仿宋"/>
          <w:color w:val="auto"/>
          <w:sz w:val="24"/>
          <w:szCs w:val="24"/>
          <w:highlight w:val="none"/>
        </w:rPr>
        <w:t>13.响应文件的组成</w:t>
      </w:r>
    </w:p>
    <w:p>
      <w:pPr>
        <w:spacing w:line="360"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14.响应文件的语言</w:t>
      </w:r>
      <w:bookmarkEnd w:id="59"/>
      <w:bookmarkEnd w:id="60"/>
      <w:bookmarkEnd w:id="61"/>
      <w:r>
        <w:rPr>
          <w:rFonts w:hint="eastAsia" w:ascii="仿宋" w:hAnsi="仿宋" w:eastAsia="仿宋" w:cs="仿宋"/>
          <w:bCs w:val="0"/>
          <w:color w:val="auto"/>
          <w:sz w:val="24"/>
          <w:szCs w:val="24"/>
          <w:highlight w:val="none"/>
        </w:rPr>
        <w:t>（实质性要求）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翻译的中文资料与外文资料如果出现差异和矛盾，以中文为准。但不能故意错误翻译，否则，供应商的响应文件将作为无效处理。</w:t>
      </w:r>
    </w:p>
    <w:p>
      <w:pPr>
        <w:spacing w:line="360" w:lineRule="auto"/>
        <w:rPr>
          <w:rFonts w:hint="eastAsia" w:ascii="仿宋" w:hAnsi="仿宋" w:eastAsia="仿宋" w:cs="仿宋"/>
          <w:color w:val="auto"/>
          <w:sz w:val="24"/>
          <w:highlight w:val="none"/>
        </w:rPr>
      </w:pPr>
      <w:bookmarkStart w:id="62" w:name="_Toc183582216"/>
      <w:bookmarkStart w:id="63" w:name="_Toc183682353"/>
      <w:bookmarkStart w:id="64" w:name="_Toc217446044"/>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15.计量单位</w:t>
      </w:r>
      <w:bookmarkEnd w:id="62"/>
      <w:bookmarkEnd w:id="63"/>
      <w:bookmarkEnd w:id="64"/>
      <w:r>
        <w:rPr>
          <w:rFonts w:hint="eastAsia" w:ascii="仿宋" w:hAnsi="仿宋" w:eastAsia="仿宋" w:cs="仿宋"/>
          <w:color w:val="auto"/>
          <w:sz w:val="24"/>
          <w:szCs w:val="24"/>
          <w:highlight w:val="none"/>
        </w:rPr>
        <w:t>（实质性要求）</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p>
    <w:p>
      <w:pPr>
        <w:spacing w:line="360" w:lineRule="auto"/>
        <w:rPr>
          <w:rFonts w:hint="eastAsia" w:ascii="仿宋" w:hAnsi="仿宋" w:eastAsia="仿宋" w:cs="仿宋"/>
          <w:b/>
          <w:bCs/>
          <w:color w:val="auto"/>
          <w:sz w:val="24"/>
          <w:highlight w:val="none"/>
        </w:rPr>
      </w:pPr>
      <w:bookmarkStart w:id="65" w:name="_Toc217446045"/>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16.报价（实质性要求）</w:t>
      </w:r>
    </w:p>
    <w:p>
      <w:pPr>
        <w:spacing w:line="360"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16.1本次磋商项目的</w:t>
      </w:r>
      <w:r>
        <w:rPr>
          <w:rFonts w:hint="eastAsia" w:ascii="仿宋" w:hAnsi="仿宋" w:eastAsia="仿宋" w:cs="仿宋"/>
          <w:color w:val="auto"/>
          <w:sz w:val="24"/>
          <w:highlight w:val="none"/>
        </w:rPr>
        <w:t>报价货币为</w:t>
      </w:r>
      <w:r>
        <w:rPr>
          <w:rFonts w:hint="eastAsia" w:ascii="仿宋" w:hAnsi="仿宋" w:eastAsia="仿宋" w:cs="仿宋"/>
          <w:bCs/>
          <w:color w:val="auto"/>
          <w:sz w:val="24"/>
          <w:highlight w:val="none"/>
        </w:rPr>
        <w:t>人民币，报价以磋商文件规定为准。</w:t>
      </w:r>
    </w:p>
    <w:p>
      <w:pPr>
        <w:spacing w:line="360"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16.2供应商的报价是其响应本项目要求的全部工作内容的价格体现，包括供应商完成本项目所需的一切费用。</w:t>
      </w:r>
    </w:p>
    <w:p>
      <w:pPr>
        <w:spacing w:line="360"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16.3供应商报价超过政府采购预算或最高限价（具体详见“供应商须知附表”）的，视为无效报价，将被淘汰。</w:t>
      </w:r>
    </w:p>
    <w:bookmarkEnd w:id="65"/>
    <w:p>
      <w:pPr>
        <w:spacing w:line="360" w:lineRule="auto"/>
        <w:rPr>
          <w:rFonts w:hint="eastAsia" w:ascii="仿宋" w:hAnsi="仿宋" w:eastAsia="仿宋" w:cs="仿宋"/>
          <w:bCs/>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17.响应文件格式</w:t>
      </w:r>
    </w:p>
    <w:p>
      <w:pPr>
        <w:spacing w:line="360"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17.1供应商应执行磋商文件第七章的规定要求。</w:t>
      </w:r>
    </w:p>
    <w:p>
      <w:pPr>
        <w:spacing w:line="360"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17.2对于没有格式要求的磋商文件由供应商自行编写。</w:t>
      </w:r>
    </w:p>
    <w:p>
      <w:pPr>
        <w:spacing w:line="360" w:lineRule="auto"/>
        <w:rPr>
          <w:rFonts w:hint="eastAsia" w:ascii="仿宋" w:hAnsi="仿宋" w:eastAsia="仿宋" w:cs="仿宋"/>
          <w:color w:val="auto"/>
          <w:sz w:val="24"/>
          <w:highlight w:val="none"/>
        </w:rPr>
      </w:pPr>
      <w:bookmarkStart w:id="66" w:name="_Toc217446051"/>
      <w:bookmarkStart w:id="67" w:name="_Toc183582224"/>
      <w:bookmarkStart w:id="68" w:name="_Toc183682361"/>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18.响应文件的编制和签署</w:t>
      </w:r>
    </w:p>
    <w:p>
      <w:pPr>
        <w:spacing w:line="360" w:lineRule="auto"/>
        <w:ind w:firstLine="468" w:firstLineChars="195"/>
        <w:rPr>
          <w:rFonts w:hint="eastAsia" w:ascii="仿宋" w:hAnsi="仿宋" w:eastAsia="仿宋" w:cs="仿宋"/>
          <w:bCs/>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b/>
          <w:bCs/>
          <w:color w:val="auto"/>
          <w:sz w:val="24"/>
          <w:highlight w:val="none"/>
        </w:rPr>
        <w:t>资格性响应文件正本壹份副本贰份</w:t>
      </w:r>
      <w:r>
        <w:rPr>
          <w:rFonts w:hint="eastAsia" w:ascii="仿宋" w:hAnsi="仿宋" w:eastAsia="仿宋" w:cs="仿宋"/>
          <w:bCs/>
          <w:color w:val="auto"/>
          <w:sz w:val="24"/>
          <w:highlight w:val="none"/>
        </w:rPr>
        <w:t>，并在其封面上清楚地标明资格性响应文件、项目名称、项目编号、包件号及名称（若有）、供应商名称以及“正本”或“副本”字样。若正本和副本（或电子文档）有不一致的内容，以正本书面响应文件为准。</w:t>
      </w:r>
    </w:p>
    <w:p>
      <w:pPr>
        <w:spacing w:line="360"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18.2</w:t>
      </w:r>
      <w:r>
        <w:rPr>
          <w:rFonts w:hint="eastAsia" w:ascii="仿宋" w:hAnsi="仿宋" w:eastAsia="仿宋" w:cs="仿宋"/>
          <w:b/>
          <w:color w:val="auto"/>
          <w:sz w:val="24"/>
          <w:highlight w:val="none"/>
        </w:rPr>
        <w:t>其他响应文件正本壹份副本</w:t>
      </w:r>
      <w:r>
        <w:rPr>
          <w:rFonts w:hint="eastAsia" w:ascii="仿宋" w:hAnsi="仿宋" w:eastAsia="仿宋" w:cs="仿宋"/>
          <w:b/>
          <w:bCs/>
          <w:color w:val="auto"/>
          <w:sz w:val="24"/>
          <w:highlight w:val="none"/>
        </w:rPr>
        <w:t>贰</w:t>
      </w:r>
      <w:r>
        <w:rPr>
          <w:rFonts w:hint="eastAsia" w:ascii="仿宋" w:hAnsi="仿宋" w:eastAsia="仿宋" w:cs="仿宋"/>
          <w:b/>
          <w:color w:val="auto"/>
          <w:sz w:val="24"/>
          <w:highlight w:val="none"/>
        </w:rPr>
        <w:t>份</w:t>
      </w:r>
      <w:r>
        <w:rPr>
          <w:rFonts w:hint="eastAsia" w:ascii="仿宋" w:hAnsi="仿宋" w:eastAsia="仿宋" w:cs="仿宋"/>
          <w:bCs/>
          <w:color w:val="auto"/>
          <w:sz w:val="24"/>
          <w:highlight w:val="none"/>
        </w:rPr>
        <w:t>，并在其封面上清楚地标明其他响应文件、项目名称、项目编号、包件号及名称（若有）、供应商名称以及“正本”或“副本”字样。若正本和副本有不一致的内容，以正本书面响应文件为准。</w:t>
      </w:r>
    </w:p>
    <w:p>
      <w:pPr>
        <w:pStyle w:val="2"/>
        <w:ind w:firstLine="482"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18.3响应文件电子文档（包含资格性响应文件和其他响应文件，U盘或光盘制作）壹份。</w:t>
      </w:r>
      <w:bookmarkEnd w:id="66"/>
      <w:bookmarkEnd w:id="67"/>
      <w:bookmarkEnd w:id="68"/>
    </w:p>
    <w:p>
      <w:pPr>
        <w:spacing w:line="360"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响应文件正本和副本均需在规定签章处签字和盖章。响应文件副本可采用正本的复印件。</w:t>
      </w:r>
    </w:p>
    <w:p>
      <w:pPr>
        <w:spacing w:line="360"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响应文件的打印和书写应清楚工整，任何行间插字、涂改或增删，必须由供应商的法定代表人或其授权代表签字并盖供应商公章。</w:t>
      </w:r>
    </w:p>
    <w:p>
      <w:pPr>
        <w:spacing w:line="360"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b/>
          <w:color w:val="auto"/>
          <w:sz w:val="24"/>
          <w:highlight w:val="none"/>
        </w:rPr>
        <w:t>（实质性要求）</w:t>
      </w:r>
      <w:r>
        <w:rPr>
          <w:rFonts w:hint="eastAsia" w:ascii="仿宋" w:hAnsi="仿宋" w:eastAsia="仿宋" w:cs="仿宋"/>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响应文件正本和副本需要逐页编目编码。</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响应文件正本和副本应当采用胶装方式装订成册，不得散装或者合页装订。</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响应文件应根据磋商文件的要求制作，签署、盖章。</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响应文件统一用A4幅面纸印制，除另有规定外。</w:t>
      </w:r>
    </w:p>
    <w:p>
      <w:pPr>
        <w:spacing w:line="360" w:lineRule="auto"/>
        <w:rPr>
          <w:rFonts w:hint="eastAsia" w:ascii="仿宋" w:hAnsi="仿宋" w:eastAsia="仿宋" w:cs="仿宋"/>
          <w:b/>
          <w:color w:val="auto"/>
          <w:sz w:val="24"/>
          <w:highlight w:val="none"/>
        </w:rPr>
      </w:pPr>
      <w:bookmarkStart w:id="69" w:name="_Toc183582226"/>
      <w:bookmarkStart w:id="70" w:name="_Toc217446053"/>
      <w:bookmarkStart w:id="71" w:name="_Toc77400781"/>
      <w:bookmarkStart w:id="72" w:name="_Toc89075877"/>
      <w:bookmarkStart w:id="73" w:name="_Toc183682363"/>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19.1响应文件可以单独密封包装，也可以所有响应文件密封包装在一个密封袋内。</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19.2响应文件密封袋的最外层应清楚地标明采购项目名称、采购项目编号、包号（若有）、供应商名称。</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19.3所有外层密封袋的封口处应粘贴牢固。</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19.4未按以上要求进行密封和标注的响应文件，采购人、采购代理机构将拒收或者在时间允许的范围内，要求修改完善后接收。</w:t>
      </w:r>
    </w:p>
    <w:bookmarkEnd w:id="69"/>
    <w:bookmarkEnd w:id="70"/>
    <w:bookmarkEnd w:id="71"/>
    <w:bookmarkEnd w:id="72"/>
    <w:bookmarkEnd w:id="73"/>
    <w:p>
      <w:pPr>
        <w:spacing w:line="360" w:lineRule="auto"/>
        <w:rPr>
          <w:rFonts w:hint="eastAsia" w:ascii="仿宋" w:hAnsi="仿宋" w:eastAsia="仿宋" w:cs="仿宋"/>
          <w:color w:val="auto"/>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bookmarkStart w:id="74" w:name="_Toc183582228"/>
      <w:bookmarkStart w:id="75" w:name="_Toc217446055"/>
      <w:bookmarkStart w:id="76" w:name="_Toc183682365"/>
      <w:r>
        <w:rPr>
          <w:rFonts w:hint="eastAsia" w:ascii="仿宋" w:hAnsi="仿宋" w:eastAsia="仿宋" w:cs="仿宋"/>
          <w:color w:val="auto"/>
          <w:sz w:val="24"/>
          <w:szCs w:val="24"/>
          <w:highlight w:val="none"/>
        </w:rPr>
        <w:t>20.响应文件的递交</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20.3报价表在磋商后，磋商小组要求供应商进行最后报价时递交。</w:t>
      </w:r>
    </w:p>
    <w:p>
      <w:pPr>
        <w:tabs>
          <w:tab w:val="left" w:pos="1080"/>
        </w:tabs>
        <w:spacing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20.4本次采购不接收邮寄的响应文件。</w:t>
      </w:r>
    </w:p>
    <w:p>
      <w:pPr>
        <w:spacing w:line="360" w:lineRule="auto"/>
        <w:rPr>
          <w:rFonts w:hint="eastAsia" w:ascii="仿宋" w:hAnsi="仿宋" w:eastAsia="仿宋" w:cs="仿宋"/>
          <w:color w:val="auto"/>
          <w:szCs w:val="21"/>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21.响应文件的修改和撤回（补充、修改响应文件的密封和标注按照本章“19.响应文件的密封和标注”规定处理）</w:t>
      </w:r>
    </w:p>
    <w:p>
      <w:pPr>
        <w:pStyle w:val="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21.3供应商不得在递交截止时间起至响应文件有效期期满前撤销其响应文件。否则其磋商保证金将按相关规定被没收。</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21.4响应文件中报价如果出现下列不一致的，可按以下原则进行修改：</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大写金额和小写金额不一致的，以大写金额为准</w:t>
      </w:r>
      <w:r>
        <w:rPr>
          <w:rFonts w:hint="eastAsia" w:ascii="仿宋" w:hAnsi="仿宋" w:eastAsia="仿宋" w:cs="仿宋"/>
          <w:color w:val="auto"/>
          <w:sz w:val="24"/>
          <w:highlight w:val="none"/>
        </w:rPr>
        <w:t>，但大写金额文字存在错误的，应当先对大写金额的文字错误进行澄清、说明或者更正，再行修正。</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总价金额与按单价汇总金额不一致的，以单价金额计算结果为准，</w:t>
      </w:r>
      <w:r>
        <w:rPr>
          <w:rFonts w:hint="eastAsia" w:ascii="仿宋" w:hAnsi="仿宋" w:eastAsia="仿宋" w:cs="仿宋"/>
          <w:color w:val="auto"/>
          <w:sz w:val="24"/>
          <w:highlight w:val="none"/>
        </w:rPr>
        <w:t>但</w:t>
      </w:r>
      <w:r>
        <w:rPr>
          <w:rFonts w:hint="eastAsia" w:ascii="仿宋" w:hAnsi="仿宋" w:eastAsia="仿宋" w:cs="仿宋"/>
          <w:color w:val="auto"/>
          <w:kern w:val="0"/>
          <w:sz w:val="24"/>
          <w:highlight w:val="none"/>
        </w:rPr>
        <w:t>单价或者单价汇总金额存在数字或者</w:t>
      </w:r>
      <w:r>
        <w:rPr>
          <w:rFonts w:hint="eastAsia" w:ascii="仿宋" w:hAnsi="仿宋" w:eastAsia="仿宋" w:cs="仿宋"/>
          <w:color w:val="auto"/>
          <w:sz w:val="24"/>
          <w:highlight w:val="none"/>
        </w:rPr>
        <w:t>文字错误的，应当先对</w:t>
      </w:r>
      <w:r>
        <w:rPr>
          <w:rFonts w:hint="eastAsia" w:ascii="仿宋" w:hAnsi="仿宋" w:eastAsia="仿宋" w:cs="仿宋"/>
          <w:color w:val="auto"/>
          <w:kern w:val="0"/>
          <w:sz w:val="24"/>
          <w:highlight w:val="none"/>
        </w:rPr>
        <w:t>数字或者</w:t>
      </w:r>
      <w:r>
        <w:rPr>
          <w:rFonts w:hint="eastAsia" w:ascii="仿宋" w:hAnsi="仿宋" w:eastAsia="仿宋" w:cs="仿宋"/>
          <w:color w:val="auto"/>
          <w:sz w:val="24"/>
          <w:highlight w:val="none"/>
        </w:rPr>
        <w:t>文字错误进行澄清、说明或者更正，再行修正。</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w:t>
      </w:r>
      <w:r>
        <w:rPr>
          <w:rFonts w:hint="eastAsia" w:ascii="仿宋" w:hAnsi="仿宋" w:eastAsia="仿宋" w:cs="仿宋"/>
          <w:color w:val="auto"/>
          <w:kern w:val="0"/>
          <w:sz w:val="24"/>
          <w:highlight w:val="none"/>
        </w:rPr>
        <w:t>或者百分比有明显错位的</w:t>
      </w:r>
      <w:r>
        <w:rPr>
          <w:rFonts w:hint="eastAsia" w:ascii="仿宋" w:hAnsi="仿宋" w:eastAsia="仿宋" w:cs="仿宋"/>
          <w:color w:val="auto"/>
          <w:sz w:val="24"/>
          <w:highlight w:val="none"/>
        </w:rPr>
        <w:t>，以总价为准，修正单价。</w:t>
      </w:r>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21.5供应商对其提交的响应文件的真实性、合法性承担法律责任。</w:t>
      </w:r>
      <w:bookmarkEnd w:id="74"/>
      <w:bookmarkEnd w:id="75"/>
      <w:bookmarkEnd w:id="76"/>
    </w:p>
    <w:p>
      <w:pPr>
        <w:pStyle w:val="4"/>
        <w:spacing w:before="0" w:after="0" w:line="360" w:lineRule="auto"/>
        <w:jc w:val="center"/>
        <w:rPr>
          <w:rFonts w:hint="eastAsia" w:ascii="仿宋" w:hAnsi="仿宋" w:eastAsia="仿宋" w:cs="仿宋"/>
          <w:color w:val="auto"/>
          <w:highlight w:val="none"/>
        </w:rPr>
      </w:pPr>
      <w:bookmarkStart w:id="77" w:name="_Toc6025_WPSOffice_Level2"/>
      <w:bookmarkStart w:id="78" w:name="_Toc183582231"/>
      <w:bookmarkStart w:id="79" w:name="_Toc217446056"/>
      <w:bookmarkStart w:id="80" w:name="_Toc77400782"/>
      <w:bookmarkStart w:id="81" w:name="_Toc183682368"/>
      <w:bookmarkStart w:id="82" w:name="_Toc89075878"/>
      <w:r>
        <w:rPr>
          <w:rFonts w:hint="eastAsia" w:ascii="仿宋" w:hAnsi="仿宋" w:eastAsia="仿宋" w:cs="仿宋"/>
          <w:color w:val="auto"/>
          <w:highlight w:val="none"/>
        </w:rPr>
        <w:t>五、评审</w:t>
      </w:r>
      <w:bookmarkEnd w:id="77"/>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22.磋商小组的组建及其评审工作按照有关法律制度和本文件第八章的规定进行。</w:t>
      </w:r>
    </w:p>
    <w:p>
      <w:pPr>
        <w:pStyle w:val="4"/>
        <w:spacing w:before="0" w:after="0" w:line="360" w:lineRule="auto"/>
        <w:jc w:val="center"/>
        <w:rPr>
          <w:rFonts w:hint="eastAsia" w:ascii="仿宋" w:hAnsi="仿宋" w:eastAsia="仿宋" w:cs="仿宋"/>
          <w:color w:val="auto"/>
          <w:highlight w:val="none"/>
        </w:rPr>
      </w:pPr>
      <w:bookmarkStart w:id="83" w:name="_Toc7528_WPSOffice_Level2"/>
      <w:r>
        <w:rPr>
          <w:rFonts w:hint="eastAsia" w:ascii="仿宋" w:hAnsi="仿宋" w:eastAsia="仿宋" w:cs="仿宋"/>
          <w:color w:val="auto"/>
          <w:highlight w:val="none"/>
        </w:rPr>
        <w:t>六、成交事项</w:t>
      </w:r>
      <w:bookmarkEnd w:id="83"/>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采购人将按磋商小组推荐的成交候选供应商顺序确定成交供应商。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23.1采购代理机构自评审结束后2个工作日内将磋商报告及有关资料送交采购人确定成交供应商。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23.3采购人确定成交供应商过程中，发现成交候选供应商有下列情形之一的，应当不予确定其为成交供应商：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（1）发现成交候选供应商存在禁止参加本项目采购活动的违法行为的；</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（2）成交候选供应商因不可抗力，不能继续参加政府采购活动；</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（3）成交候选供应商无偿赠与或者低于成本价竞争；</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（4）成交候选供应商提供虚假材料；</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（5）成交候选供应商恶意串通。</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24.1采购人确定成交供应商后，将及时书面通知采购代理机构，发出成交通知书并发布成交结果公告。</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24.2成交供应商应当及时领取成交通知书。</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24.3成交供应商不能及时领取成交通知书，采购人或者采购代理机应当通过邮寄、快递等方式将项目成交通知书送达成交供应商。</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25.1成交通知书为签订政府采购合同的依据之一，是合同的有效组成部分。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spacing w:before="0" w:after="0" w:line="360" w:lineRule="auto"/>
        <w:jc w:val="center"/>
        <w:rPr>
          <w:rFonts w:hint="eastAsia" w:ascii="仿宋" w:hAnsi="仿宋" w:eastAsia="仿宋" w:cs="仿宋"/>
          <w:color w:val="auto"/>
          <w:highlight w:val="none"/>
        </w:rPr>
      </w:pPr>
      <w:bookmarkStart w:id="84" w:name="_Toc17511_WPSOffice_Level2"/>
      <w:r>
        <w:rPr>
          <w:rFonts w:hint="eastAsia" w:ascii="仿宋" w:hAnsi="仿宋" w:eastAsia="仿宋" w:cs="仿宋"/>
          <w:color w:val="auto"/>
          <w:highlight w:val="none"/>
        </w:rPr>
        <w:t>七、合同事项</w:t>
      </w:r>
      <w:bookmarkEnd w:id="84"/>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bookmarkStart w:id="85" w:name="_Toc101250646"/>
      <w:bookmarkStart w:id="86" w:name="_Toc209847069"/>
      <w:bookmarkStart w:id="87" w:name="_Toc101174151"/>
      <w:bookmarkStart w:id="88" w:name="_Toc101338364"/>
      <w:bookmarkStart w:id="89" w:name="_Toc430773927"/>
      <w:r>
        <w:rPr>
          <w:rFonts w:hint="eastAsia" w:ascii="仿宋" w:hAnsi="仿宋" w:eastAsia="仿宋" w:cs="仿宋"/>
          <w:color w:val="auto"/>
          <w:sz w:val="24"/>
          <w:szCs w:val="24"/>
          <w:highlight w:val="none"/>
        </w:rPr>
        <w:t>26.签订合同</w:t>
      </w:r>
      <w:bookmarkEnd w:id="85"/>
      <w:bookmarkEnd w:id="86"/>
      <w:bookmarkEnd w:id="87"/>
      <w:bookmarkEnd w:id="88"/>
      <w:bookmarkEnd w:id="89"/>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26.2磋商文件、成交供应商的响应文件及双方确认的澄清文件等，均为有法律约束力的合同组成部分。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27.合同分包（实质性要求）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27.2采购合同实行分包履行的，成交供应商就采购项目和分包项目向采购人负责，分包供应商就分包项目承担责任。</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28.合同转包（实质性要求）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成交供应商转包的，视同拒绝履行政府采购合同义务，将依法追究法律责任。</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29.补充合同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30.履约保证金（实质性要求）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详见“供应商须知附表”。</w:t>
      </w:r>
    </w:p>
    <w:p>
      <w:pPr>
        <w:spacing w:line="360" w:lineRule="auto"/>
        <w:rPr>
          <w:rFonts w:hint="eastAsia" w:ascii="仿宋" w:hAnsi="仿宋" w:eastAsia="仿宋" w:cs="仿宋"/>
          <w:color w:val="auto"/>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31.合同公告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32.合同备案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采购人应当将政府采购合同副本自签订（双方当事人均已签字盖章）之日起七个工作日内报同级财政部门备案。</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33.履行合同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 成交供应商与采购人签订合同后，合同双方应严格执行合同条款，履行合同规定的义务，保证合同的顺利完成。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 在合同履行过程中，如发生合同纠纷，合同双方应按照《中华人民共和国民法典》的有关规定进行处理。</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34.验收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本项目采购人及其委托的采购代理机构将按照政府采购相关法律法规以及《财政</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部关于进一步加强政府采购需求和履约验收管理的指导意见》（财库〔2016〕205号）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的要求进行验收。</w:t>
      </w:r>
    </w:p>
    <w:p>
      <w:pPr>
        <w:spacing w:line="360" w:lineRule="auto"/>
        <w:rPr>
          <w:rFonts w:hint="eastAsia" w:ascii="仿宋" w:hAnsi="仿宋" w:eastAsia="仿宋" w:cs="仿宋"/>
          <w:color w:val="auto"/>
          <w:sz w:val="24"/>
          <w:highlight w:val="none"/>
        </w:rPr>
      </w:pPr>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35.资金支付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采购人将按照政府采购合同规定，及时向成交供应商支付采购资金。支付方式详见“第五章  采购项目技术、服务、政府采购合同内容条款及其他商务要求”</w:t>
      </w:r>
      <w:r>
        <w:rPr>
          <w:rFonts w:hint="eastAsia" w:ascii="仿宋" w:hAnsi="仿宋" w:eastAsia="仿宋" w:cs="仿宋"/>
          <w:color w:val="auto"/>
          <w:sz w:val="24"/>
          <w:highlight w:val="none"/>
          <w:lang w:val="zh-TW"/>
        </w:rPr>
        <w:t>。</w:t>
      </w:r>
    </w:p>
    <w:p>
      <w:pPr>
        <w:pStyle w:val="4"/>
        <w:spacing w:before="0" w:after="0" w:line="360" w:lineRule="auto"/>
        <w:jc w:val="center"/>
        <w:rPr>
          <w:rFonts w:hint="eastAsia" w:ascii="仿宋" w:hAnsi="仿宋" w:eastAsia="仿宋" w:cs="仿宋"/>
          <w:color w:val="auto"/>
          <w:sz w:val="24"/>
          <w:highlight w:val="none"/>
        </w:rPr>
      </w:pPr>
      <w:bookmarkStart w:id="90" w:name="_Toc26946_WPSOffice_Level2"/>
      <w:r>
        <w:rPr>
          <w:rFonts w:hint="eastAsia" w:ascii="仿宋" w:hAnsi="仿宋" w:eastAsia="仿宋" w:cs="仿宋"/>
          <w:color w:val="auto"/>
          <w:highlight w:val="none"/>
        </w:rPr>
        <w:t>八、磋商纪律要求</w:t>
      </w:r>
      <w:bookmarkEnd w:id="90"/>
    </w:p>
    <w:p>
      <w:pPr>
        <w:pStyle w:val="5"/>
        <w:keepNext w:val="0"/>
        <w:keepLines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36.供应商不得具有的情形</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（3）与采购人、采购代理机构、或其他供应商恶意串通；</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（4）向采购人、采购代理机构、磋商小组成员行贿或者提供其他不正当利益；</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（5）在磋商过程中与采购人、采购代理机构进行协商；</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（11）拒绝有关部门的监督检查或者向监督检查部门提供虚假情况；</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（12）法律法规规定的其他情形。</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供应商有上述情形的，按照规定追究法律责任，具备（1）-（10）条情形之一的，同时将取消被确认为成交供应商的资格或者认定成交无效。</w:t>
      </w:r>
    </w:p>
    <w:p>
      <w:pPr>
        <w:pStyle w:val="4"/>
        <w:spacing w:before="0" w:after="0" w:line="360" w:lineRule="auto"/>
        <w:jc w:val="center"/>
        <w:rPr>
          <w:rFonts w:hint="eastAsia" w:ascii="仿宋" w:hAnsi="仿宋" w:eastAsia="仿宋" w:cs="仿宋"/>
          <w:color w:val="auto"/>
          <w:highlight w:val="none"/>
        </w:rPr>
      </w:pPr>
      <w:bookmarkStart w:id="91" w:name="_Toc8729_WPSOffice_Level2"/>
      <w:r>
        <w:rPr>
          <w:rFonts w:hint="eastAsia" w:ascii="仿宋" w:hAnsi="仿宋" w:eastAsia="仿宋" w:cs="仿宋"/>
          <w:color w:val="auto"/>
          <w:highlight w:val="none"/>
        </w:rPr>
        <w:t>九、询问、质疑和投诉</w:t>
      </w:r>
      <w:bookmarkEnd w:id="91"/>
    </w:p>
    <w:p>
      <w:pPr>
        <w:tabs>
          <w:tab w:val="left" w:pos="851"/>
        </w:tabs>
        <w:spacing w:line="360" w:lineRule="auto"/>
        <w:ind w:firstLine="495"/>
        <w:rPr>
          <w:rFonts w:hint="eastAsia" w:ascii="仿宋" w:hAnsi="仿宋" w:eastAsia="仿宋" w:cs="仿宋"/>
          <w:color w:val="auto"/>
          <w:sz w:val="24"/>
          <w:highlight w:val="none"/>
        </w:rPr>
      </w:pPr>
      <w:r>
        <w:rPr>
          <w:rFonts w:hint="eastAsia" w:ascii="仿宋" w:hAnsi="仿宋" w:eastAsia="仿宋" w:cs="仿宋"/>
          <w:color w:val="auto"/>
          <w:sz w:val="24"/>
          <w:highlight w:val="none"/>
        </w:rPr>
        <w:t>37.询问、质疑、投诉的接收和处理严格按照《中华人共和国政府采购法》、《中华人民共和国政府采购法实施条例》、《财政部关于加强政府采购供应商投诉受理审查工作的通知》和四川省的有关规定办理（详细规定请在中国政府采购网政策法规模块查询）。</w:t>
      </w:r>
    </w:p>
    <w:p>
      <w:pPr>
        <w:pStyle w:val="4"/>
        <w:spacing w:before="0" w:after="0" w:line="360" w:lineRule="auto"/>
        <w:jc w:val="center"/>
        <w:rPr>
          <w:rFonts w:hint="eastAsia" w:ascii="仿宋" w:hAnsi="仿宋" w:eastAsia="仿宋" w:cs="仿宋"/>
          <w:color w:val="auto"/>
          <w:highlight w:val="none"/>
        </w:rPr>
      </w:pPr>
      <w:bookmarkStart w:id="92" w:name="_Toc25233_WPSOffice_Level2"/>
      <w:r>
        <w:rPr>
          <w:rFonts w:hint="eastAsia" w:ascii="仿宋" w:hAnsi="仿宋" w:eastAsia="仿宋" w:cs="仿宋"/>
          <w:color w:val="auto"/>
          <w:highlight w:val="none"/>
        </w:rPr>
        <w:t>十、其  他</w:t>
      </w:r>
      <w:bookmarkEnd w:id="92"/>
    </w:p>
    <w:p>
      <w:pPr>
        <w:tabs>
          <w:tab w:val="left" w:pos="851"/>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39.</w:t>
      </w:r>
      <w:r>
        <w:rPr>
          <w:rFonts w:hint="eastAsia" w:ascii="仿宋" w:hAnsi="仿宋" w:eastAsia="仿宋" w:cs="仿宋"/>
          <w:b/>
          <w:color w:val="auto"/>
          <w:sz w:val="24"/>
          <w:highlight w:val="none"/>
        </w:rPr>
        <w:t>（实质性要求）</w:t>
      </w:r>
      <w:r>
        <w:rPr>
          <w:rFonts w:hint="eastAsia" w:ascii="仿宋" w:hAnsi="仿宋" w:eastAsia="仿宋" w:cs="仿宋"/>
          <w:color w:val="auto"/>
          <w:sz w:val="24"/>
          <w:highlight w:val="none"/>
        </w:rPr>
        <w:t>国家或行业主管部门对供应商和采购产品的技术标准、质量标准和资格资质条件等有强制性规定的，必须符合其要求。</w:t>
      </w:r>
    </w:p>
    <w:p>
      <w:pPr>
        <w:spacing w:line="360" w:lineRule="auto"/>
        <w:ind w:firstLine="480" w:firstLineChars="200"/>
        <w:jc w:val="left"/>
        <w:rPr>
          <w:rFonts w:hint="eastAsia" w:ascii="仿宋" w:hAnsi="仿宋" w:eastAsia="仿宋" w:cs="仿宋"/>
          <w:color w:val="auto"/>
          <w:sz w:val="24"/>
          <w:highlight w:val="none"/>
        </w:rPr>
      </w:pPr>
      <w:bookmarkStart w:id="93" w:name="_Toc9334"/>
      <w:bookmarkStart w:id="94" w:name="_Toc5647"/>
      <w:r>
        <w:rPr>
          <w:rFonts w:hint="eastAsia" w:ascii="仿宋" w:hAnsi="仿宋" w:eastAsia="仿宋" w:cs="仿宋"/>
          <w:color w:val="auto"/>
          <w:sz w:val="24"/>
          <w:highlight w:val="none"/>
        </w:rPr>
        <w:t>40.采用竞争性磋商采购方式采购的政府购买服务项目（含政府和社会资本合作项目），在采购过程中符合要求的供应商（社会资本）只有2家的，竞争性磋商采购活动可以继续进行。</w:t>
      </w:r>
      <w:bookmarkEnd w:id="93"/>
      <w:bookmarkEnd w:id="94"/>
      <w:bookmarkStart w:id="95" w:name="_Toc23044"/>
      <w:bookmarkStart w:id="96" w:name="_Toc19505"/>
      <w:r>
        <w:rPr>
          <w:rFonts w:hint="eastAsia" w:ascii="仿宋" w:hAnsi="仿宋" w:eastAsia="仿宋" w:cs="仿宋"/>
          <w:color w:val="auto"/>
          <w:sz w:val="24"/>
          <w:highlight w:val="none"/>
        </w:rPr>
        <w:t>磋商小组按采购文件要求向采购人推荐2名成交候选供应商并依次排序，采购人按照磋商小组推荐的成交候选供应商顺序确定成交供应商。</w:t>
      </w:r>
      <w:bookmarkEnd w:id="95"/>
      <w:bookmarkEnd w:id="96"/>
    </w:p>
    <w:p>
      <w:pPr>
        <w:spacing w:line="360" w:lineRule="auto"/>
        <w:rPr>
          <w:rFonts w:hint="eastAsia" w:ascii="仿宋" w:hAnsi="仿宋" w:eastAsia="仿宋" w:cs="仿宋"/>
          <w:color w:val="auto"/>
          <w:highlight w:val="none"/>
        </w:rPr>
      </w:pPr>
    </w:p>
    <w:p>
      <w:pPr>
        <w:pStyle w:val="3"/>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97" w:name="_Toc3274"/>
      <w:bookmarkStart w:id="98" w:name="_Toc1712_WPSOffice_Level1"/>
      <w:bookmarkStart w:id="99" w:name="_Toc15229_WPSOffice_Level1"/>
      <w:r>
        <w:rPr>
          <w:rFonts w:hint="eastAsia" w:ascii="仿宋" w:hAnsi="仿宋" w:eastAsia="仿宋" w:cs="仿宋"/>
          <w:color w:val="auto"/>
          <w:highlight w:val="none"/>
        </w:rPr>
        <w:t>第三章  供应商资格条件要求</w:t>
      </w:r>
      <w:bookmarkEnd w:id="97"/>
      <w:bookmarkEnd w:id="98"/>
      <w:bookmarkEnd w:id="99"/>
    </w:p>
    <w:p>
      <w:pPr>
        <w:pStyle w:val="4"/>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一、供应商资格、资质性及其他类似效力要求</w:t>
      </w:r>
    </w:p>
    <w:p>
      <w:pPr>
        <w:spacing w:line="360" w:lineRule="auto"/>
        <w:ind w:firstLine="482" w:firstLineChars="200"/>
        <w:rPr>
          <w:rFonts w:hint="eastAsia" w:ascii="仿宋" w:hAnsi="仿宋" w:eastAsia="仿宋" w:cs="仿宋"/>
          <w:b/>
          <w:bCs/>
          <w:color w:val="auto"/>
          <w:sz w:val="24"/>
          <w:highlight w:val="none"/>
        </w:rPr>
      </w:pPr>
      <w:bookmarkStart w:id="100" w:name="_Toc9860_WPSOffice_Level2"/>
      <w:bookmarkStart w:id="101" w:name="_Toc24503_WPSOffice_Level2"/>
      <w:r>
        <w:rPr>
          <w:rFonts w:hint="eastAsia" w:ascii="仿宋" w:hAnsi="仿宋" w:eastAsia="仿宋" w:cs="仿宋"/>
          <w:b/>
          <w:bCs/>
          <w:color w:val="auto"/>
          <w:sz w:val="24"/>
          <w:highlight w:val="none"/>
        </w:rPr>
        <w:t>（一）资格要求：</w:t>
      </w:r>
      <w:bookmarkEnd w:id="100"/>
      <w:bookmarkEnd w:id="101"/>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1、具备《中华人民共和国政府采购法》第二十二条第一款规定的条件：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pPr>
        <w:spacing w:line="360" w:lineRule="auto"/>
        <w:ind w:firstLine="482" w:firstLineChars="200"/>
        <w:rPr>
          <w:rFonts w:hint="eastAsia" w:ascii="仿宋" w:hAnsi="仿宋" w:eastAsia="仿宋" w:cs="仿宋"/>
          <w:b/>
          <w:bCs/>
          <w:color w:val="auto"/>
          <w:sz w:val="24"/>
          <w:highlight w:val="none"/>
        </w:rPr>
      </w:pPr>
      <w:bookmarkStart w:id="102" w:name="_Toc12093_WPSOffice_Level2"/>
      <w:bookmarkStart w:id="103" w:name="_Toc11574_WPSOffice_Level2"/>
      <w:r>
        <w:rPr>
          <w:rFonts w:hint="eastAsia" w:ascii="仿宋" w:hAnsi="仿宋" w:eastAsia="仿宋" w:cs="仿宋"/>
          <w:b/>
          <w:bCs/>
          <w:color w:val="auto"/>
          <w:sz w:val="24"/>
          <w:highlight w:val="none"/>
        </w:rPr>
        <w:t>（二）根据采购项目提出的特殊条件：</w:t>
      </w:r>
      <w:bookmarkEnd w:id="102"/>
      <w:bookmarkEnd w:id="103"/>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（1）供应商及其现任法定代表人（非法人机构则为主要负责人）不得具有行贿犯罪记录；</w:t>
      </w:r>
    </w:p>
    <w:p>
      <w:pPr>
        <w:pStyle w:val="2"/>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本项目为非专门面向中小企业采购；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）本次磋商不接受联合体响应。</w:t>
      </w:r>
    </w:p>
    <w:p>
      <w:pPr>
        <w:spacing w:line="360" w:lineRule="auto"/>
        <w:ind w:firstLine="482" w:firstLineChars="200"/>
        <w:rPr>
          <w:rFonts w:hint="eastAsia" w:ascii="仿宋" w:hAnsi="仿宋" w:eastAsia="仿宋" w:cs="仿宋"/>
          <w:b/>
          <w:bCs/>
          <w:color w:val="auto"/>
          <w:sz w:val="24"/>
          <w:highlight w:val="none"/>
        </w:rPr>
      </w:pPr>
      <w:bookmarkStart w:id="104" w:name="_Toc12366_WPSOffice_Level2"/>
      <w:bookmarkStart w:id="105" w:name="_Toc8836_WPSOffice_Level2"/>
      <w:r>
        <w:rPr>
          <w:rFonts w:hint="eastAsia" w:ascii="仿宋" w:hAnsi="仿宋" w:eastAsia="仿宋" w:cs="仿宋"/>
          <w:b/>
          <w:bCs/>
          <w:color w:val="auto"/>
          <w:sz w:val="24"/>
          <w:highlight w:val="none"/>
        </w:rPr>
        <w:t>（三）其他类似效力要求：</w:t>
      </w:r>
      <w:bookmarkEnd w:id="104"/>
      <w:bookmarkEnd w:id="105"/>
    </w:p>
    <w:p>
      <w:pPr>
        <w:spacing w:line="360" w:lineRule="auto"/>
        <w:ind w:firstLine="480" w:firstLineChars="200"/>
        <w:rPr>
          <w:rFonts w:hint="eastAsia" w:ascii="仿宋" w:hAnsi="仿宋" w:eastAsia="仿宋" w:cs="仿宋"/>
          <w:color w:val="auto"/>
          <w:sz w:val="24"/>
          <w:highlight w:val="none"/>
        </w:rPr>
      </w:pPr>
      <w:bookmarkStart w:id="106" w:name="_Toc443658843"/>
      <w:r>
        <w:rPr>
          <w:rFonts w:hint="eastAsia" w:ascii="仿宋" w:hAnsi="仿宋" w:eastAsia="仿宋" w:cs="仿宋"/>
          <w:color w:val="auto"/>
          <w:sz w:val="24"/>
          <w:highlight w:val="none"/>
        </w:rPr>
        <w:t>（1）参加本次磋商活动代表的证明材料。</w:t>
      </w:r>
    </w:p>
    <w:p>
      <w:pPr>
        <w:pStyle w:val="4"/>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二、报价产品的资格、资质性及其他类似效力要求</w:t>
      </w:r>
      <w:bookmarkEnd w:id="106"/>
      <w:r>
        <w:rPr>
          <w:rFonts w:hint="eastAsia" w:ascii="仿宋" w:hAnsi="仿宋" w:eastAsia="仿宋" w:cs="仿宋"/>
          <w:color w:val="auto"/>
          <w:sz w:val="24"/>
          <w:szCs w:val="24"/>
          <w:highlight w:val="none"/>
        </w:rPr>
        <w:t>：无。</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jc w:val="center"/>
        <w:rPr>
          <w:rFonts w:hint="eastAsia" w:ascii="仿宋" w:hAnsi="仿宋" w:eastAsia="仿宋" w:cs="仿宋"/>
          <w:color w:val="auto"/>
          <w:highlight w:val="none"/>
        </w:rPr>
      </w:pPr>
      <w:r>
        <w:rPr>
          <w:rFonts w:hint="eastAsia" w:ascii="仿宋" w:hAnsi="仿宋" w:eastAsia="仿宋" w:cs="仿宋"/>
          <w:color w:val="auto"/>
          <w:sz w:val="24"/>
          <w:highlight w:val="none"/>
        </w:rPr>
        <w:t>4、供应商应对其所提供的资格证明材料来源的合法性、真实性承担法律责任。</w:t>
      </w:r>
      <w:r>
        <w:rPr>
          <w:rFonts w:hint="eastAsia" w:ascii="仿宋" w:hAnsi="仿宋" w:eastAsia="仿宋" w:cs="仿宋"/>
          <w:color w:val="auto"/>
          <w:highlight w:val="none"/>
        </w:rPr>
        <w:br w:type="page"/>
      </w:r>
      <w:bookmarkStart w:id="107" w:name="_Toc8156_WPSOffice_Level1"/>
      <w:bookmarkStart w:id="108" w:name="_Toc17387"/>
      <w:bookmarkStart w:id="109" w:name="_Toc1390_WPSOffice_Level1"/>
    </w:p>
    <w:p>
      <w:pPr>
        <w:pStyle w:val="3"/>
        <w:jc w:val="center"/>
        <w:rPr>
          <w:rFonts w:hint="eastAsia" w:ascii="仿宋" w:hAnsi="仿宋" w:eastAsia="仿宋" w:cs="仿宋"/>
          <w:color w:val="auto"/>
          <w:highlight w:val="none"/>
        </w:rPr>
      </w:pPr>
      <w:r>
        <w:rPr>
          <w:rFonts w:hint="eastAsia" w:ascii="仿宋" w:hAnsi="仿宋" w:eastAsia="仿宋" w:cs="仿宋"/>
          <w:color w:val="auto"/>
          <w:highlight w:val="none"/>
        </w:rPr>
        <w:t>第四章  供应商资格证明材料</w:t>
      </w:r>
      <w:bookmarkEnd w:id="107"/>
      <w:bookmarkEnd w:id="108"/>
      <w:bookmarkEnd w:id="109"/>
    </w:p>
    <w:p>
      <w:pPr>
        <w:pStyle w:val="4"/>
        <w:keepNext w:val="0"/>
        <w:keepLines w:val="0"/>
        <w:spacing w:before="0" w:after="0" w:line="360" w:lineRule="auto"/>
        <w:rPr>
          <w:rFonts w:hint="eastAsia" w:ascii="仿宋" w:hAnsi="仿宋" w:eastAsia="仿宋" w:cs="仿宋"/>
          <w:color w:val="auto"/>
          <w:sz w:val="24"/>
          <w:szCs w:val="24"/>
          <w:highlight w:val="none"/>
        </w:rPr>
      </w:pPr>
      <w:bookmarkStart w:id="110" w:name="_Toc29661_WPSOffice_Level2"/>
      <w:bookmarkStart w:id="111" w:name="_Toc2507_WPSOffice_Level2"/>
      <w:r>
        <w:rPr>
          <w:rFonts w:hint="eastAsia" w:ascii="仿宋" w:hAnsi="仿宋" w:eastAsia="仿宋" w:cs="仿宋"/>
          <w:color w:val="auto"/>
          <w:sz w:val="24"/>
          <w:szCs w:val="24"/>
          <w:highlight w:val="none"/>
        </w:rPr>
        <w:t>一、应当提供的供应商资格、资质性及其他类似效力要求的相关证明材料</w:t>
      </w:r>
      <w:bookmarkEnd w:id="110"/>
      <w:bookmarkEnd w:id="111"/>
    </w:p>
    <w:p>
      <w:pPr>
        <w:tabs>
          <w:tab w:val="left" w:pos="7665"/>
        </w:tabs>
        <w:snapToGrid w:val="0"/>
        <w:spacing w:line="360" w:lineRule="auto"/>
        <w:ind w:firstLine="482" w:firstLineChars="200"/>
        <w:rPr>
          <w:rFonts w:hint="eastAsia" w:ascii="仿宋" w:hAnsi="仿宋" w:eastAsia="仿宋" w:cs="仿宋"/>
          <w:b/>
          <w:bCs/>
          <w:color w:val="auto"/>
          <w:sz w:val="24"/>
          <w:highlight w:val="none"/>
        </w:rPr>
      </w:pPr>
      <w:bookmarkStart w:id="112" w:name="_Toc443658848"/>
      <w:r>
        <w:rPr>
          <w:rFonts w:hint="eastAsia" w:ascii="仿宋" w:hAnsi="仿宋" w:eastAsia="仿宋" w:cs="仿宋"/>
          <w:b/>
          <w:bCs/>
          <w:color w:val="auto"/>
          <w:sz w:val="24"/>
          <w:highlight w:val="none"/>
        </w:rPr>
        <w:t>（一）《中华人民共和国政府采购法》第二十二条第一款第（一）至（六）规定的条件：</w:t>
      </w:r>
    </w:p>
    <w:p>
      <w:pPr>
        <w:tabs>
          <w:tab w:val="left" w:pos="7665"/>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备健全的财务会计制度的证明材料。（①可提供2019或2020年经审计的财务报告复印件（至少包含审计报告和审计报告中所涉及的财务报表和报表附注）；②也可提供2019或2020年供应商内部的财务报表复印件（至少包含资产负债表）；③也可提供距文件递交截止日一年内银行出具的资信证明（复印件）；④供应商注册时间至文件递交截止日不足1年的，也可提供在工商备案的公司章程（复印件））。</w:t>
      </w:r>
    </w:p>
    <w:p>
      <w:pPr>
        <w:tabs>
          <w:tab w:val="left" w:pos="7665"/>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（3）提供具备良好商业信誉的承诺函原件（格式详见第七章）。</w:t>
      </w:r>
    </w:p>
    <w:p>
      <w:pPr>
        <w:tabs>
          <w:tab w:val="left" w:pos="7665"/>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（4）提供具有依法缴纳税收和社会保障资金的良好记录的承诺函原件（格式详见第七章）。</w:t>
      </w:r>
    </w:p>
    <w:p>
      <w:pPr>
        <w:tabs>
          <w:tab w:val="left" w:pos="7665"/>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（5）提供具备履行合同所必需的设备和专业技术能力的承诺函原件（格式详见第七章）。</w:t>
      </w:r>
    </w:p>
    <w:p>
      <w:pPr>
        <w:tabs>
          <w:tab w:val="left" w:pos="7665"/>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（7）提供具备法律、行政法规规定的其他条件的承诺函原件（格式详见第七章）。</w:t>
      </w:r>
    </w:p>
    <w:p>
      <w:pPr>
        <w:tabs>
          <w:tab w:val="left" w:pos="766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（二）根据采购项目提出的特殊条件：</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（1）供应商及其现任法定代表人（非法人机构则为主要负责人）不得具有行贿犯罪记录的承诺函原件（格式详见第七章）；</w:t>
      </w:r>
    </w:p>
    <w:p>
      <w:pPr>
        <w:tabs>
          <w:tab w:val="left" w:pos="766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（三）其他类似效力要求：</w:t>
      </w:r>
    </w:p>
    <w:p>
      <w:pPr>
        <w:tabs>
          <w:tab w:val="left" w:pos="7665"/>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hint="eastAsia" w:ascii="仿宋" w:hAnsi="仿宋" w:eastAsia="仿宋" w:cs="仿宋"/>
          <w:color w:val="auto"/>
          <w:sz w:val="24"/>
          <w:highlight w:val="none"/>
        </w:rPr>
      </w:pPr>
    </w:p>
    <w:p>
      <w:pPr>
        <w:pStyle w:val="4"/>
        <w:keepNext w:val="0"/>
        <w:keepLines w:val="0"/>
        <w:spacing w:before="0" w:after="0" w:line="360" w:lineRule="auto"/>
        <w:rPr>
          <w:rFonts w:hint="eastAsia" w:ascii="仿宋" w:hAnsi="仿宋" w:eastAsia="仿宋" w:cs="仿宋"/>
          <w:color w:val="auto"/>
          <w:sz w:val="24"/>
          <w:szCs w:val="24"/>
          <w:highlight w:val="none"/>
        </w:rPr>
      </w:pPr>
      <w:bookmarkStart w:id="113" w:name="_Toc20115_WPSOffice_Level2"/>
      <w:bookmarkStart w:id="114" w:name="_Toc24332_WPSOffice_Level2"/>
      <w:r>
        <w:rPr>
          <w:rFonts w:hint="eastAsia" w:ascii="仿宋" w:hAnsi="仿宋" w:eastAsia="仿宋" w:cs="仿宋"/>
          <w:color w:val="auto"/>
          <w:sz w:val="24"/>
          <w:szCs w:val="24"/>
          <w:highlight w:val="none"/>
        </w:rPr>
        <w:t>二、应当提供的报价产品的资格、资质性及其他类似效力要求的相关证明材料：</w:t>
      </w:r>
      <w:bookmarkEnd w:id="112"/>
      <w:bookmarkEnd w:id="113"/>
      <w:bookmarkEnd w:id="114"/>
    </w:p>
    <w:p>
      <w:pPr>
        <w:tabs>
          <w:tab w:val="left" w:pos="7665"/>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无。</w:t>
      </w:r>
    </w:p>
    <w:p>
      <w:pPr>
        <w:pStyle w:val="36"/>
        <w:snapToGrid w:val="0"/>
        <w:ind w:firstLine="0" w:firstLineChars="0"/>
        <w:rPr>
          <w:rFonts w:hint="eastAsia" w:ascii="仿宋" w:hAnsi="仿宋" w:eastAsia="仿宋" w:cs="仿宋"/>
          <w:color w:val="auto"/>
          <w:sz w:val="24"/>
          <w:highlight w:val="none"/>
        </w:rPr>
      </w:pPr>
    </w:p>
    <w:p>
      <w:pPr>
        <w:tabs>
          <w:tab w:val="left" w:pos="7665"/>
        </w:tabs>
        <w:snapToGrid w:val="0"/>
        <w:spacing w:line="360" w:lineRule="auto"/>
        <w:ind w:firstLine="482" w:firstLineChars="200"/>
        <w:rPr>
          <w:rFonts w:hint="eastAsia" w:ascii="仿宋" w:hAnsi="仿宋" w:eastAsia="仿宋" w:cs="仿宋"/>
          <w:b/>
          <w:color w:val="auto"/>
          <w:sz w:val="24"/>
          <w:highlight w:val="none"/>
        </w:rPr>
      </w:pPr>
    </w:p>
    <w:p>
      <w:pPr>
        <w:tabs>
          <w:tab w:val="left" w:pos="7665"/>
        </w:tabs>
        <w:snapToGrid w:val="0"/>
        <w:spacing w:line="360" w:lineRule="auto"/>
        <w:ind w:firstLine="482" w:firstLineChars="200"/>
        <w:rPr>
          <w:rFonts w:hint="eastAsia" w:ascii="仿宋" w:hAnsi="仿宋" w:eastAsia="仿宋" w:cs="仿宋"/>
          <w:b/>
          <w:color w:val="auto"/>
          <w:sz w:val="24"/>
          <w:highlight w:val="none"/>
        </w:rPr>
      </w:pPr>
    </w:p>
    <w:p>
      <w:pPr>
        <w:pStyle w:val="36"/>
        <w:snapToGrid w:val="0"/>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pStyle w:val="36"/>
        <w:snapToGrid w:val="0"/>
        <w:ind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（1）供应商提供的以上资格证明材料为复印件的均应加盖供应商公章。</w:t>
      </w:r>
    </w:p>
    <w:p>
      <w:pPr>
        <w:pStyle w:val="36"/>
        <w:snapToGrid w:val="0"/>
        <w:ind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（2）供应商所提供的资格证明材料应当真实、有效。</w:t>
      </w:r>
    </w:p>
    <w:p>
      <w:pPr>
        <w:pStyle w:val="3"/>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br w:type="page"/>
      </w:r>
      <w:bookmarkStart w:id="115" w:name="_Toc14938_WPSOffice_Level1"/>
      <w:bookmarkStart w:id="116" w:name="_Toc23697_WPSOffice_Level1"/>
      <w:bookmarkStart w:id="117" w:name="_Toc10654"/>
      <w:r>
        <w:rPr>
          <w:rFonts w:hint="eastAsia" w:ascii="仿宋" w:hAnsi="仿宋" w:eastAsia="仿宋" w:cs="仿宋"/>
          <w:color w:val="auto"/>
          <w:highlight w:val="none"/>
        </w:rPr>
        <w:t xml:space="preserve">第五章  </w:t>
      </w:r>
      <w:bookmarkEnd w:id="115"/>
      <w:bookmarkEnd w:id="116"/>
      <w:r>
        <w:rPr>
          <w:rFonts w:hint="eastAsia" w:ascii="仿宋" w:hAnsi="仿宋" w:eastAsia="仿宋" w:cs="仿宋"/>
          <w:color w:val="auto"/>
          <w:highlight w:val="none"/>
        </w:rPr>
        <w:t>采购项目技术、服务、政府采购合同内容条款及其他商务要求</w:t>
      </w:r>
      <w:bookmarkEnd w:id="117"/>
    </w:p>
    <w:p>
      <w:pPr>
        <w:spacing w:line="360" w:lineRule="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项目概况</w:t>
      </w:r>
    </w:p>
    <w:p>
      <w:pPr>
        <w:pStyle w:val="54"/>
        <w:keepNext w:val="0"/>
        <w:keepLines w:val="0"/>
        <w:pageBreakBefore w:val="0"/>
        <w:widowControl w:val="0"/>
        <w:kinsoku/>
        <w:wordWrap/>
        <w:overflowPunct/>
        <w:topLinePunct w:val="0"/>
        <w:autoSpaceDE/>
        <w:autoSpaceDN/>
        <w:bidi w:val="0"/>
        <w:adjustRightInd/>
        <w:snapToGrid/>
        <w:ind w:firstLine="480"/>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rPr>
        <w:t>通过政府购买服务的方式，</w:t>
      </w:r>
      <w:r>
        <w:rPr>
          <w:rFonts w:hint="eastAsia" w:ascii="仿宋" w:hAnsi="仿宋" w:eastAsia="仿宋" w:cs="仿宋"/>
          <w:color w:val="auto"/>
          <w:highlight w:val="none"/>
          <w:lang w:val="en-US" w:eastAsia="zh-CN"/>
        </w:rPr>
        <w:t>由成交供应商以专业社会工作组织作为平台和载体，组建专职社工组成的禁毒专业社工队伍，由社工组织根据采购人的要求，派驻禁毒专业社工配合街道办禁毒工作，按照《中华人民共和国禁毒法》、《戒毒条例》、《四川省禁毒条例》的规定，结合禁毒办下达的考核指标，主要负责社区戒毒社区康复“8.31”工程、社会面吸毒人员开展禁毒社会服务、禁毒宣传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二、服务内容及要求</w:t>
      </w:r>
    </w:p>
    <w:p>
      <w:pPr>
        <w:pStyle w:val="54"/>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1.提供戒毒康复服务：配合街道调查了解社区戒毒社区康复人员行动趋向、生活状况、社会关系、现实表现等情况，能为戒毒康复人员提供一定的心理咨询和心理疏导、认知行为治疗、家庭关系辅导、自我管理能力和社会交往能力提升等专业服务和其他有利于戒毒康复人员社会功能修复的其他专业服务。 </w:t>
      </w:r>
    </w:p>
    <w:p>
      <w:pPr>
        <w:pStyle w:val="54"/>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eastAsia="zh-CN"/>
        </w:rPr>
        <w:t>.</w:t>
      </w:r>
      <w:r>
        <w:rPr>
          <w:rFonts w:hint="eastAsia" w:ascii="仿宋" w:hAnsi="仿宋" w:eastAsia="仿宋" w:cs="仿宋"/>
          <w:color w:val="auto"/>
          <w:highlight w:val="none"/>
          <w:lang w:val="en-US" w:eastAsia="zh-CN"/>
        </w:rPr>
        <w:t xml:space="preserve">开展帮扶救助服务：能利用自身优势资源配合各街道为戒毒社区康复人员链接生活、就学、就业、医疗和戒毒药物维持治疗等方面的政府资源与社会资源，协助解决生活困难，改善社会支持网络，促进社会融入。 </w:t>
      </w:r>
    </w:p>
    <w:p>
      <w:pPr>
        <w:pStyle w:val="54"/>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eastAsia="zh-CN"/>
        </w:rPr>
        <w:t>.</w:t>
      </w:r>
      <w:r>
        <w:rPr>
          <w:rFonts w:hint="eastAsia" w:ascii="仿宋" w:hAnsi="仿宋" w:eastAsia="仿宋" w:cs="仿宋"/>
          <w:color w:val="auto"/>
          <w:highlight w:val="none"/>
          <w:lang w:val="en-US" w:eastAsia="zh-CN"/>
        </w:rPr>
        <w:t>参与禁毒宣传教育：能利用自身优势资源配合县禁毒办和各街道参与、组织一定规模的禁毒宣传活动，普及毒品预防相关知识、宣传禁毒政策和工作成效，有效利用媒体资源增强宣传覆盖面，提升荷花池街道办事处禁毒宣传效果。</w:t>
      </w:r>
    </w:p>
    <w:p>
      <w:pPr>
        <w:pStyle w:val="54"/>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eastAsia="zh-CN"/>
        </w:rPr>
        <w:t>.</w:t>
      </w:r>
      <w:r>
        <w:rPr>
          <w:rFonts w:hint="eastAsia" w:ascii="仿宋" w:hAnsi="仿宋" w:eastAsia="仿宋" w:cs="仿宋"/>
          <w:color w:val="auto"/>
          <w:highlight w:val="none"/>
          <w:lang w:val="en-US" w:eastAsia="zh-CN"/>
        </w:rPr>
        <w:t xml:space="preserve">协助开展有关禁毒管理事务：协助开展吸毒人员排查摸底工作；协助建立相关档案资料，做好工作台账，对工作对象的戒毒康复情况进行定期评估。协助做好社区戒毒和强制隔离戒毒人员出所衔接，督促、帮助社区戒毒社区康复人员、社会面吸毒人员和戒毒药物维持治疗人员履行协议，努力减少现实危害。发现社区戒毒社区康复人员拒绝报到或严重违反协议的、参加戒毒药物维持治疗人员严重违反治疗规定的，及时向各街道和禁毒办报告，协助收集提供有关材料。 </w:t>
      </w:r>
    </w:p>
    <w:p>
      <w:pPr>
        <w:pStyle w:val="54"/>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r>
        <w:rPr>
          <w:rFonts w:hint="default" w:ascii="仿宋" w:hAnsi="仿宋" w:eastAsia="仿宋" w:cs="仿宋"/>
          <w:b w:val="0"/>
          <w:bCs w:val="0"/>
          <w:color w:val="auto"/>
          <w:kern w:val="2"/>
          <w:sz w:val="24"/>
          <w:szCs w:val="24"/>
          <w:highlight w:val="none"/>
          <w:lang w:eastAsia="zh-CN" w:bidi="ar-SA"/>
        </w:rPr>
        <w:t>.</w:t>
      </w:r>
      <w:r>
        <w:rPr>
          <w:rFonts w:hint="eastAsia" w:ascii="仿宋" w:hAnsi="仿宋" w:eastAsia="仿宋" w:cs="仿宋"/>
          <w:b w:val="0"/>
          <w:bCs w:val="0"/>
          <w:color w:val="auto"/>
          <w:kern w:val="2"/>
          <w:sz w:val="24"/>
          <w:szCs w:val="24"/>
          <w:highlight w:val="none"/>
          <w:lang w:val="en-US" w:eastAsia="zh-CN" w:bidi="ar-SA"/>
        </w:rPr>
        <w:t>街道交办的其他禁毒相关工作任务。</w:t>
      </w:r>
    </w:p>
    <w:p>
      <w:pPr>
        <w:pStyle w:val="4"/>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商务要求：</w:t>
      </w:r>
    </w:p>
    <w:p>
      <w:pPr>
        <w:pStyle w:val="54"/>
        <w:numPr>
          <w:ilvl w:val="0"/>
          <w:numId w:val="3"/>
        </w:num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w:t>
      </w:r>
      <w:r>
        <w:rPr>
          <w:rFonts w:hint="default" w:ascii="仿宋" w:hAnsi="仿宋" w:eastAsia="仿宋" w:cs="仿宋"/>
          <w:color w:val="auto"/>
          <w:sz w:val="24"/>
          <w:highlight w:val="none"/>
        </w:rPr>
        <w:t>2021</w:t>
      </w:r>
      <w:r>
        <w:rPr>
          <w:rFonts w:hint="eastAsia" w:ascii="仿宋" w:hAnsi="仿宋" w:eastAsia="仿宋" w:cs="仿宋"/>
          <w:color w:val="auto"/>
          <w:sz w:val="24"/>
          <w:highlight w:val="none"/>
          <w:lang w:val="en-US" w:eastAsia="zh-Hans"/>
        </w:rPr>
        <w:t>年</w:t>
      </w:r>
      <w:r>
        <w:rPr>
          <w:rFonts w:hint="default" w:ascii="仿宋" w:hAnsi="仿宋" w:eastAsia="仿宋" w:cs="仿宋"/>
          <w:color w:val="auto"/>
          <w:sz w:val="24"/>
          <w:highlight w:val="none"/>
          <w:lang w:eastAsia="zh-Hans"/>
        </w:rPr>
        <w:t>9</w:t>
      </w:r>
      <w:r>
        <w:rPr>
          <w:rFonts w:hint="eastAsia" w:ascii="仿宋" w:hAnsi="仿宋" w:eastAsia="仿宋" w:cs="仿宋"/>
          <w:color w:val="auto"/>
          <w:sz w:val="24"/>
          <w:highlight w:val="none"/>
          <w:lang w:val="en-US" w:eastAsia="zh-Hans"/>
        </w:rPr>
        <w:t>月</w:t>
      </w:r>
      <w:r>
        <w:rPr>
          <w:rFonts w:hint="default" w:ascii="仿宋" w:hAnsi="仿宋" w:eastAsia="仿宋" w:cs="仿宋"/>
          <w:color w:val="auto"/>
          <w:sz w:val="24"/>
          <w:highlight w:val="none"/>
          <w:lang w:eastAsia="zh-Hans"/>
        </w:rPr>
        <w:t>-2022</w:t>
      </w:r>
      <w:r>
        <w:rPr>
          <w:rFonts w:hint="eastAsia" w:ascii="仿宋" w:hAnsi="仿宋" w:eastAsia="仿宋" w:cs="仿宋"/>
          <w:color w:val="auto"/>
          <w:sz w:val="24"/>
          <w:highlight w:val="none"/>
          <w:lang w:val="en-US" w:eastAsia="zh-Hans"/>
        </w:rPr>
        <w:t>年</w:t>
      </w:r>
      <w:r>
        <w:rPr>
          <w:rFonts w:hint="default" w:ascii="仿宋" w:hAnsi="仿宋" w:eastAsia="仿宋" w:cs="仿宋"/>
          <w:color w:val="auto"/>
          <w:sz w:val="24"/>
          <w:highlight w:val="none"/>
          <w:lang w:eastAsia="zh-Hans"/>
        </w:rPr>
        <w:t>8</w:t>
      </w:r>
      <w:r>
        <w:rPr>
          <w:rFonts w:hint="eastAsia" w:ascii="仿宋" w:hAnsi="仿宋" w:eastAsia="仿宋" w:cs="仿宋"/>
          <w:color w:val="auto"/>
          <w:sz w:val="24"/>
          <w:highlight w:val="none"/>
          <w:lang w:val="en-US" w:eastAsia="zh-Hans"/>
        </w:rPr>
        <w:t>月</w:t>
      </w:r>
      <w:r>
        <w:rPr>
          <w:rFonts w:hint="eastAsia" w:ascii="仿宋" w:hAnsi="仿宋" w:eastAsia="仿宋" w:cs="仿宋"/>
          <w:color w:val="auto"/>
          <w:highlight w:val="none"/>
          <w:lang w:eastAsia="zh-CN"/>
        </w:rPr>
        <w:t>。</w:t>
      </w:r>
    </w:p>
    <w:p>
      <w:pPr>
        <w:pStyle w:val="54"/>
        <w:numPr>
          <w:ilvl w:val="0"/>
          <w:numId w:val="0"/>
        </w:num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2、服务地点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成都市金牛区人民政府荷花池街道办事处辖区。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付款方式：按季度付款。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验收：</w:t>
      </w:r>
      <w:r>
        <w:rPr>
          <w:rFonts w:ascii="仿宋" w:hAnsi="仿宋" w:eastAsia="仿宋" w:cs="仿宋"/>
          <w:color w:val="auto"/>
          <w:kern w:val="0"/>
          <w:sz w:val="24"/>
          <w:szCs w:val="24"/>
          <w:highlight w:val="none"/>
          <w:lang w:val="en-US" w:eastAsia="zh-CN" w:bidi="ar"/>
        </w:rPr>
        <w:t>将按照政府采购相关法律法规以及《财政</w:t>
      </w:r>
      <w:r>
        <w:rPr>
          <w:rFonts w:hint="eastAsia" w:ascii="仿宋" w:hAnsi="仿宋" w:eastAsia="仿宋" w:cs="仿宋"/>
          <w:color w:val="auto"/>
          <w:kern w:val="0"/>
          <w:sz w:val="24"/>
          <w:szCs w:val="24"/>
          <w:highlight w:val="none"/>
          <w:lang w:val="en-US" w:eastAsia="zh-CN" w:bidi="ar"/>
        </w:rPr>
        <w:t>部关于进一步加强政府采购需求和履约验收管理的指导意见》（财库〔2016〕205号）的要求进行验收。</w:t>
      </w:r>
    </w:p>
    <w:p>
      <w:pPr>
        <w:pStyle w:val="17"/>
        <w:spacing w:before="0" w:beforeAutospacing="0" w:after="0" w:afterAutospacing="0" w:line="360" w:lineRule="auto"/>
        <w:rPr>
          <w:rFonts w:hint="eastAsia" w:ascii="仿宋" w:hAnsi="仿宋" w:eastAsia="仿宋" w:cs="仿宋"/>
          <w:b/>
          <w:bCs/>
          <w:color w:val="auto"/>
          <w:kern w:val="2"/>
          <w:sz w:val="24"/>
          <w:szCs w:val="24"/>
          <w:highlight w:val="none"/>
          <w:lang w:val="en-US" w:eastAsia="zh-CN" w:bidi="ar-SA"/>
        </w:rPr>
      </w:pPr>
    </w:p>
    <w:p>
      <w:pPr>
        <w:pStyle w:val="17"/>
        <w:spacing w:before="0" w:beforeAutospacing="0" w:after="0" w:afterAutospacing="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四、其他未尽事宜按双方合同约定。</w:t>
      </w:r>
    </w:p>
    <w:bookmarkEnd w:id="78"/>
    <w:bookmarkEnd w:id="79"/>
    <w:bookmarkEnd w:id="80"/>
    <w:bookmarkEnd w:id="81"/>
    <w:bookmarkEnd w:id="82"/>
    <w:p>
      <w:pPr>
        <w:pStyle w:val="2"/>
        <w:rPr>
          <w:rFonts w:hint="eastAsia"/>
          <w:color w:val="auto"/>
          <w:highlight w:val="none"/>
        </w:rPr>
      </w:pPr>
    </w:p>
    <w:p>
      <w:pPr>
        <w:rPr>
          <w:rFonts w:hint="eastAsia" w:ascii="仿宋" w:hAnsi="仿宋" w:eastAsia="仿宋" w:cs="仿宋"/>
          <w:color w:val="auto"/>
          <w:highlight w:val="none"/>
        </w:rPr>
        <w:sectPr>
          <w:footerReference r:id="rId9" w:type="default"/>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rtlGutter w:val="0"/>
          <w:docGrid w:type="lines" w:linePitch="314" w:charSpace="0"/>
        </w:sectPr>
      </w:pPr>
      <w:bookmarkStart w:id="118" w:name="_Toc183682369"/>
      <w:bookmarkStart w:id="119" w:name="_Toc217446057"/>
      <w:bookmarkStart w:id="120" w:name="_Toc183582232"/>
    </w:p>
    <w:p>
      <w:pPr>
        <w:pStyle w:val="3"/>
        <w:numPr>
          <w:ilvl w:val="0"/>
          <w:numId w:val="4"/>
        </w:numPr>
        <w:spacing w:before="0" w:after="0" w:line="360" w:lineRule="auto"/>
        <w:jc w:val="center"/>
        <w:rPr>
          <w:rFonts w:hint="eastAsia" w:ascii="仿宋" w:hAnsi="仿宋" w:eastAsia="仿宋" w:cs="仿宋"/>
          <w:color w:val="auto"/>
          <w:highlight w:val="none"/>
        </w:rPr>
      </w:pPr>
      <w:bookmarkStart w:id="121" w:name="_Toc19570_WPSOffice_Level1"/>
      <w:bookmarkStart w:id="122" w:name="_Toc23248_WPSOffice_Level1"/>
      <w:r>
        <w:rPr>
          <w:rFonts w:hint="eastAsia" w:ascii="仿宋" w:hAnsi="仿宋" w:eastAsia="仿宋" w:cs="仿宋"/>
          <w:color w:val="auto"/>
          <w:highlight w:val="none"/>
        </w:rPr>
        <w:t xml:space="preserve">  </w:t>
      </w:r>
      <w:bookmarkStart w:id="123" w:name="_Toc11441"/>
      <w:r>
        <w:rPr>
          <w:rFonts w:hint="eastAsia" w:ascii="仿宋" w:hAnsi="仿宋" w:eastAsia="仿宋" w:cs="仿宋"/>
          <w:color w:val="auto"/>
          <w:highlight w:val="none"/>
        </w:rPr>
        <w:t>磋商内容、磋商过程中可实质性变动的内容</w:t>
      </w:r>
      <w:bookmarkEnd w:id="123"/>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32"/>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仿宋" w:hAnsi="仿宋" w:eastAsia="仿宋" w:cs="仿宋"/>
          <w:color w:val="auto"/>
          <w:highlight w:val="none"/>
        </w:rPr>
        <w:br w:type="page"/>
      </w:r>
      <w:bookmarkEnd w:id="121"/>
      <w:bookmarkEnd w:id="122"/>
    </w:p>
    <w:p>
      <w:pPr>
        <w:pStyle w:val="3"/>
        <w:numPr>
          <w:ilvl w:val="0"/>
          <w:numId w:val="4"/>
        </w:numPr>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124" w:name="_Toc18082"/>
      <w:r>
        <w:rPr>
          <w:rFonts w:hint="eastAsia" w:ascii="仿宋" w:hAnsi="仿宋" w:eastAsia="仿宋" w:cs="仿宋"/>
          <w:color w:val="auto"/>
          <w:highlight w:val="none"/>
        </w:rPr>
        <w:t>响应文件格式</w:t>
      </w:r>
      <w:bookmarkEnd w:id="124"/>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pPr>
        <w:numPr>
          <w:ilvl w:val="0"/>
          <w:numId w:val="5"/>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本章所制响应文件格式中需要填写的相关内容事项，可能会与本采购项目无关，在不改变响应文件原义、不影响本项目采购需求的情况下，供应商可以不予填写。</w:t>
      </w:r>
    </w:p>
    <w:p>
      <w:pPr>
        <w:pStyle w:val="2"/>
        <w:numPr>
          <w:ilvl w:val="0"/>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本章所制响应文件格式中“注”的部分，供应商在编制响应文件时可以删除，也可以保留。</w:t>
      </w:r>
    </w:p>
    <w:p>
      <w:pPr>
        <w:pStyle w:val="2"/>
        <w:numPr>
          <w:ilvl w:val="0"/>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本章所制响应文件格式中涉及“法定代表人”的描述，在非法人机构参与磋商情况下可修改为“负责人”，在自然人参与磋商情况下可修改为“本人”。</w:t>
      </w:r>
    </w:p>
    <w:p>
      <w:pPr>
        <w:pStyle w:val="2"/>
        <w:numPr>
          <w:ilvl w:val="0"/>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本章所制响应文件格式中涉及加盖供应商公章的地方，在自然人参与磋商情况下可删除，仅由自然人本人或其响应代表签字即可。</w:t>
      </w:r>
    </w:p>
    <w:p>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25" w:name="_Toc15373_WPSOffice_Level2"/>
      <w:bookmarkStart w:id="126" w:name="_Toc14906_WPSOffice_Level2"/>
      <w:r>
        <w:rPr>
          <w:rFonts w:hint="eastAsia" w:ascii="仿宋" w:hAnsi="仿宋" w:eastAsia="仿宋" w:cs="仿宋"/>
          <w:color w:val="auto"/>
          <w:highlight w:val="none"/>
        </w:rPr>
        <w:t>（封面格式）</w:t>
      </w:r>
      <w:bookmarkEnd w:id="125"/>
      <w:bookmarkEnd w:id="126"/>
    </w:p>
    <w:p>
      <w:pPr>
        <w:autoSpaceDE w:val="0"/>
        <w:autoSpaceDN w:val="0"/>
        <w:adjustRightInd w:val="0"/>
        <w:spacing w:line="360" w:lineRule="auto"/>
        <w:ind w:firstLine="1680" w:firstLineChars="200"/>
        <w:jc w:val="center"/>
        <w:rPr>
          <w:rFonts w:hint="eastAsia" w:ascii="仿宋" w:hAnsi="仿宋" w:eastAsia="仿宋" w:cs="仿宋"/>
          <w:color w:val="auto"/>
          <w:sz w:val="84"/>
          <w:szCs w:val="84"/>
          <w:highlight w:val="none"/>
        </w:rPr>
      </w:pPr>
    </w:p>
    <w:p>
      <w:pPr>
        <w:autoSpaceDE w:val="0"/>
        <w:autoSpaceDN w:val="0"/>
        <w:adjustRightInd w:val="0"/>
        <w:spacing w:line="360" w:lineRule="auto"/>
        <w:ind w:firstLine="1680" w:firstLineChars="200"/>
        <w:jc w:val="center"/>
        <w:rPr>
          <w:rFonts w:hint="eastAsia" w:ascii="仿宋" w:hAnsi="仿宋" w:eastAsia="仿宋" w:cs="仿宋"/>
          <w:color w:val="auto"/>
          <w:sz w:val="84"/>
          <w:szCs w:val="84"/>
          <w:highlight w:val="none"/>
        </w:rPr>
      </w:pPr>
    </w:p>
    <w:p>
      <w:pPr>
        <w:autoSpaceDE w:val="0"/>
        <w:autoSpaceDN w:val="0"/>
        <w:adjustRightInd w:val="0"/>
        <w:spacing w:line="360" w:lineRule="auto"/>
        <w:jc w:val="center"/>
        <w:rPr>
          <w:rFonts w:hint="eastAsia" w:ascii="仿宋" w:hAnsi="仿宋" w:eastAsia="仿宋" w:cs="仿宋"/>
          <w:color w:val="auto"/>
          <w:sz w:val="84"/>
          <w:szCs w:val="84"/>
          <w:highlight w:val="none"/>
        </w:rPr>
      </w:pPr>
      <w:bookmarkStart w:id="127" w:name="_Toc7834_WPSOffice_Level2"/>
      <w:bookmarkStart w:id="128" w:name="_Toc2971_WPSOffice_Level2"/>
      <w:r>
        <w:rPr>
          <w:rFonts w:hint="eastAsia" w:ascii="仿宋" w:hAnsi="仿宋" w:eastAsia="仿宋" w:cs="仿宋"/>
          <w:color w:val="auto"/>
          <w:sz w:val="84"/>
          <w:szCs w:val="84"/>
          <w:highlight w:val="none"/>
        </w:rPr>
        <w:t>资格性响应文件</w:t>
      </w:r>
      <w:bookmarkEnd w:id="127"/>
      <w:bookmarkEnd w:id="128"/>
    </w:p>
    <w:p>
      <w:pPr>
        <w:autoSpaceDE w:val="0"/>
        <w:autoSpaceDN w:val="0"/>
        <w:adjustRightInd w:val="0"/>
        <w:spacing w:line="360" w:lineRule="auto"/>
        <w:ind w:firstLine="880" w:firstLineChars="200"/>
        <w:jc w:val="center"/>
        <w:rPr>
          <w:rFonts w:hint="eastAsia" w:ascii="仿宋" w:hAnsi="仿宋" w:eastAsia="仿宋" w:cs="仿宋"/>
          <w:color w:val="auto"/>
          <w:sz w:val="44"/>
          <w:highlight w:val="none"/>
        </w:rPr>
      </w:pPr>
    </w:p>
    <w:p>
      <w:pPr>
        <w:autoSpaceDE w:val="0"/>
        <w:autoSpaceDN w:val="0"/>
        <w:adjustRightInd w:val="0"/>
        <w:spacing w:line="360" w:lineRule="auto"/>
        <w:jc w:val="center"/>
        <w:rPr>
          <w:rFonts w:hint="eastAsia" w:ascii="仿宋" w:hAnsi="仿宋" w:eastAsia="仿宋" w:cs="仿宋"/>
          <w:color w:val="auto"/>
          <w:sz w:val="44"/>
          <w:highlight w:val="none"/>
        </w:rPr>
      </w:pPr>
      <w:bookmarkStart w:id="129" w:name="_Toc15121_WPSOffice_Level2"/>
      <w:bookmarkStart w:id="130" w:name="_Toc17870_WPSOffice_Level2"/>
      <w:r>
        <w:rPr>
          <w:rFonts w:hint="eastAsia" w:ascii="仿宋" w:hAnsi="仿宋" w:eastAsia="仿宋" w:cs="仿宋"/>
          <w:color w:val="auto"/>
          <w:sz w:val="44"/>
          <w:highlight w:val="none"/>
        </w:rPr>
        <w:t>（正本/副本）</w:t>
      </w:r>
      <w:bookmarkEnd w:id="129"/>
      <w:bookmarkEnd w:id="130"/>
    </w:p>
    <w:p>
      <w:pPr>
        <w:pStyle w:val="2"/>
        <w:spacing w:line="360" w:lineRule="auto"/>
        <w:rPr>
          <w:rFonts w:hint="eastAsia" w:ascii="仿宋" w:hAnsi="仿宋" w:eastAsia="仿宋" w:cs="仿宋"/>
          <w:color w:val="auto"/>
          <w:sz w:val="44"/>
          <w:highlight w:val="none"/>
        </w:rPr>
      </w:pPr>
    </w:p>
    <w:p>
      <w:pPr>
        <w:pStyle w:val="2"/>
        <w:spacing w:line="360" w:lineRule="auto"/>
        <w:rPr>
          <w:rFonts w:hint="eastAsia" w:ascii="仿宋" w:hAnsi="仿宋" w:eastAsia="仿宋" w:cs="仿宋"/>
          <w:color w:val="auto"/>
          <w:sz w:val="44"/>
          <w:highlight w:val="none"/>
        </w:rPr>
      </w:pPr>
    </w:p>
    <w:p>
      <w:pPr>
        <w:pStyle w:val="2"/>
        <w:spacing w:line="360" w:lineRule="auto"/>
        <w:rPr>
          <w:rFonts w:hint="eastAsia" w:ascii="仿宋" w:hAnsi="仿宋" w:eastAsia="仿宋" w:cs="仿宋"/>
          <w:color w:val="auto"/>
          <w:sz w:val="44"/>
          <w:highlight w:val="none"/>
        </w:rPr>
      </w:pPr>
    </w:p>
    <w:p>
      <w:pPr>
        <w:autoSpaceDE w:val="0"/>
        <w:autoSpaceDN w:val="0"/>
        <w:adjustRightInd w:val="0"/>
        <w:snapToGrid w:val="0"/>
        <w:spacing w:after="156" w:afterLines="5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 应 商：</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（公章）</w:t>
      </w:r>
    </w:p>
    <w:p>
      <w:pPr>
        <w:autoSpaceDE w:val="0"/>
        <w:autoSpaceDN w:val="0"/>
        <w:adjustRightInd w:val="0"/>
        <w:snapToGrid w:val="0"/>
        <w:spacing w:after="156" w:afterLines="5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pPr>
        <w:spacing w:line="360" w:lineRule="auto"/>
        <w:jc w:val="center"/>
        <w:rPr>
          <w:rFonts w:hint="eastAsia" w:ascii="仿宋" w:hAnsi="仿宋" w:eastAsia="仿宋" w:cs="仿宋"/>
          <w:b/>
          <w:bCs/>
          <w:color w:val="auto"/>
          <w:sz w:val="28"/>
          <w:szCs w:val="36"/>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36"/>
          <w:highlight w:val="none"/>
        </w:rPr>
        <w:t>目录（自拟）</w:t>
      </w:r>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31" w:name="_Toc4892_WPSOffice_Level2"/>
      <w:bookmarkStart w:id="132" w:name="_Toc27332_WPSOffice_Level2"/>
      <w:r>
        <w:rPr>
          <w:rFonts w:hint="eastAsia" w:ascii="仿宋" w:hAnsi="仿宋" w:eastAsia="仿宋" w:cs="仿宋"/>
          <w:color w:val="auto"/>
          <w:highlight w:val="none"/>
        </w:rPr>
        <w:t>一、法定代表人授权书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四川凯亿工程管理咨询有限公司</w:t>
      </w:r>
      <w:r>
        <w:rPr>
          <w:rFonts w:hint="eastAsia" w:ascii="仿宋" w:hAnsi="仿宋" w:eastAsia="仿宋" w:cs="仿宋"/>
          <w:color w:val="auto"/>
          <w:sz w:val="24"/>
          <w:highlight w:val="none"/>
        </w:rPr>
        <w:t>（采购代理机构名称）：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（法定代表人姓名、职务）授权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（被授权人姓名、职务）为我方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项目（项目编号：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）磋商采购活动的合法代表，全权处理该项目有关磋商采购、签订合同以及执行合同等一切事宜。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spacing w:line="360" w:lineRule="auto"/>
        <w:ind w:firstLine="480" w:firstLineChars="200"/>
        <w:rPr>
          <w:rFonts w:hint="eastAsia" w:ascii="仿宋" w:hAnsi="仿宋" w:eastAsia="仿宋" w:cs="仿宋"/>
          <w:bCs/>
          <w:color w:val="auto"/>
          <w:sz w:val="24"/>
          <w:highlight w:val="none"/>
        </w:rPr>
      </w:pPr>
    </w:p>
    <w:p>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附：（1）法定代表人有效身份证明材料正反面复印件</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（2）授权代表有效身份证明材料正反面复印件</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pStyle w:val="2"/>
        <w:spacing w:line="360" w:lineRule="auto"/>
        <w:rPr>
          <w:rFonts w:hint="eastAsia" w:ascii="仿宋" w:hAnsi="仿宋" w:eastAsia="仿宋" w:cs="仿宋"/>
          <w:color w:val="auto"/>
          <w:sz w:val="24"/>
          <w:highlight w:val="none"/>
        </w:rPr>
      </w:pPr>
    </w:p>
    <w:p>
      <w:pPr>
        <w:pStyle w:val="2"/>
        <w:spacing w:line="360" w:lineRule="auto"/>
        <w:rPr>
          <w:rFonts w:hint="eastAsia" w:ascii="仿宋" w:hAnsi="仿宋" w:eastAsia="仿宋" w:cs="仿宋"/>
          <w:color w:val="auto"/>
          <w:sz w:val="24"/>
          <w:highlight w:val="none"/>
        </w:rPr>
      </w:pPr>
    </w:p>
    <w:p>
      <w:pPr>
        <w:pStyle w:val="2"/>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法定代表人不亲自参加磋商，而授权代表参加磋商的适用。</w:t>
      </w:r>
    </w:p>
    <w:p>
      <w:pPr>
        <w:pStyle w:val="6"/>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highlight w:val="none"/>
        </w:rPr>
        <w:t>3、身份证明材料包括居民身份证或户口本或军官证或护照等。</w:t>
      </w:r>
      <w:r>
        <w:rPr>
          <w:rFonts w:hint="eastAsia" w:ascii="仿宋" w:hAnsi="仿宋" w:eastAsia="仿宋" w:cs="仿宋"/>
          <w:color w:val="auto"/>
          <w:sz w:val="24"/>
          <w:highlight w:val="none"/>
        </w:rPr>
        <w:br w:type="page"/>
      </w:r>
      <w:bookmarkEnd w:id="131"/>
      <w:bookmarkEnd w:id="132"/>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一、法定代表人证明书</w:t>
      </w:r>
    </w:p>
    <w:p>
      <w:pPr>
        <w:pStyle w:val="2"/>
        <w:tabs>
          <w:tab w:val="left" w:pos="1519"/>
          <w:tab w:val="left" w:pos="5419"/>
        </w:tabs>
        <w:spacing w:before="241" w:line="360" w:lineRule="auto"/>
        <w:ind w:left="800" w:right="496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2"/>
        <w:tabs>
          <w:tab w:val="left" w:pos="1519"/>
          <w:tab w:val="left" w:pos="5419"/>
        </w:tabs>
        <w:spacing w:before="241" w:line="360" w:lineRule="auto"/>
        <w:ind w:left="800" w:right="496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2"/>
        <w:tabs>
          <w:tab w:val="left" w:pos="1519"/>
          <w:tab w:val="left" w:pos="3079"/>
          <w:tab w:val="left" w:pos="4399"/>
          <w:tab w:val="left" w:pos="5719"/>
          <w:tab w:val="left" w:pos="7939"/>
        </w:tabs>
        <w:spacing w:before="1" w:line="360" w:lineRule="auto"/>
        <w:ind w:left="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2"/>
        <w:tabs>
          <w:tab w:val="left" w:pos="3295"/>
          <w:tab w:val="left" w:pos="4759"/>
          <w:tab w:val="left" w:pos="6871"/>
        </w:tabs>
        <w:spacing w:before="132" w:line="360" w:lineRule="auto"/>
        <w:ind w:left="320" w:right="317"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(供应商名称)的法定代表人/单位负责人。就参加</w:t>
      </w:r>
      <w:r>
        <w:rPr>
          <w:rFonts w:hint="eastAsia" w:ascii="仿宋" w:hAnsi="仿宋" w:eastAsia="仿宋" w:cs="仿宋"/>
          <w:color w:val="auto"/>
          <w:spacing w:val="-16"/>
          <w:sz w:val="24"/>
          <w:szCs w:val="24"/>
          <w:highlight w:val="none"/>
        </w:rPr>
        <w:t>你</w:t>
      </w:r>
      <w:r>
        <w:rPr>
          <w:rFonts w:hint="eastAsia" w:ascii="仿宋" w:hAnsi="仿宋" w:eastAsia="仿宋" w:cs="仿宋"/>
          <w:color w:val="auto"/>
          <w:sz w:val="24"/>
          <w:szCs w:val="24"/>
          <w:highlight w:val="none"/>
        </w:rPr>
        <w:t>单位组织</w:t>
      </w:r>
      <w:r>
        <w:rPr>
          <w:rFonts w:hint="eastAsia" w:ascii="仿宋" w:hAnsi="仿宋" w:eastAsia="仿宋" w:cs="仿宋"/>
          <w:color w:val="auto"/>
          <w:spacing w:val="-24"/>
          <w:sz w:val="24"/>
          <w:szCs w:val="24"/>
          <w:highlight w:val="none"/>
        </w:rPr>
        <w:t>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(项目名称)(项目编号</w:t>
      </w:r>
      <w:r>
        <w:rPr>
          <w:rFonts w:hint="eastAsia" w:ascii="仿宋" w:hAnsi="仿宋" w:eastAsia="仿宋" w:cs="仿宋"/>
          <w:color w:val="auto"/>
          <w:spacing w:val="-24"/>
          <w:sz w:val="24"/>
          <w:szCs w:val="24"/>
          <w:highlight w:val="none"/>
        </w:rPr>
        <w:t>：</w:t>
      </w:r>
      <w:r>
        <w:rPr>
          <w:rFonts w:hint="eastAsia" w:ascii="仿宋" w:hAnsi="仿宋" w:eastAsia="仿宋" w:cs="仿宋"/>
          <w:color w:val="auto"/>
          <w:spacing w:val="-24"/>
          <w:sz w:val="24"/>
          <w:szCs w:val="24"/>
          <w:highlight w:val="none"/>
          <w:u w:val="single"/>
        </w:rPr>
        <w:t xml:space="preserve">              </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的政府采购活动</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合同签</w:t>
      </w:r>
      <w:r>
        <w:rPr>
          <w:rFonts w:hint="eastAsia" w:ascii="仿宋" w:hAnsi="仿宋" w:eastAsia="仿宋" w:cs="仿宋"/>
          <w:color w:val="auto"/>
          <w:spacing w:val="-16"/>
          <w:sz w:val="24"/>
          <w:szCs w:val="24"/>
          <w:highlight w:val="none"/>
        </w:rPr>
        <w:t>订</w:t>
      </w:r>
      <w:r>
        <w:rPr>
          <w:rFonts w:hint="eastAsia" w:ascii="仿宋" w:hAnsi="仿宋" w:eastAsia="仿宋" w:cs="仿宋"/>
          <w:color w:val="auto"/>
          <w:sz w:val="24"/>
          <w:szCs w:val="24"/>
          <w:highlight w:val="none"/>
        </w:rPr>
        <w:t>以及合同履约等一切事宜，我单位均予承认，所产生的法律后果均由我单位承担。</w:t>
      </w:r>
    </w:p>
    <w:p>
      <w:pPr>
        <w:pStyle w:val="2"/>
        <w:spacing w:before="1" w:line="360" w:lineRule="auto"/>
        <w:ind w:left="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附：（1）法定代表人有效身份证明材料正反面复印件</w:t>
      </w:r>
    </w:p>
    <w:p>
      <w:pPr>
        <w:spacing w:line="360" w:lineRule="auto"/>
        <w:ind w:firstLine="480" w:firstLineChars="200"/>
        <w:rPr>
          <w:rFonts w:hint="eastAsia" w:ascii="仿宋" w:hAnsi="仿宋" w:eastAsia="仿宋" w:cs="仿宋"/>
          <w:color w:val="auto"/>
          <w:sz w:val="24"/>
          <w:highlight w:val="none"/>
        </w:rPr>
      </w:pPr>
    </w:p>
    <w:p>
      <w:pPr>
        <w:pStyle w:val="2"/>
        <w:spacing w:line="360" w:lineRule="auto"/>
        <w:rPr>
          <w:rFonts w:hint="eastAsia" w:ascii="仿宋" w:hAnsi="仿宋" w:eastAsia="仿宋" w:cs="仿宋"/>
          <w:color w:val="auto"/>
          <w:sz w:val="24"/>
          <w:highlight w:val="none"/>
        </w:rPr>
      </w:pPr>
    </w:p>
    <w:p>
      <w:pPr>
        <w:pStyle w:val="2"/>
        <w:spacing w:line="360" w:lineRule="auto"/>
        <w:rPr>
          <w:rFonts w:hint="eastAsia" w:ascii="仿宋" w:hAnsi="仿宋" w:eastAsia="仿宋" w:cs="仿宋"/>
          <w:color w:val="auto"/>
          <w:sz w:val="24"/>
          <w:highlight w:val="none"/>
        </w:rPr>
      </w:pPr>
    </w:p>
    <w:p>
      <w:pPr>
        <w:pStyle w:val="2"/>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法定代表人亲自参加磋商时适用本证明书。</w:t>
      </w:r>
    </w:p>
    <w:p>
      <w:pP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bCs/>
          <w:color w:val="auto"/>
          <w:sz w:val="24"/>
          <w:highlight w:val="none"/>
        </w:rPr>
        <w:t>2、身份证明材料包括居民身份证或户口本或军官证或护照等。</w:t>
      </w:r>
      <w:r>
        <w:rPr>
          <w:rFonts w:hint="eastAsia" w:ascii="仿宋" w:hAnsi="仿宋" w:eastAsia="仿宋" w:cs="仿宋"/>
          <w:color w:val="auto"/>
          <w:highlight w:val="none"/>
        </w:rPr>
        <w:br w:type="page"/>
      </w:r>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二、承诺函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四川凯亿工程管理咨询有限公司</w:t>
      </w:r>
      <w:r>
        <w:rPr>
          <w:rFonts w:hint="eastAsia" w:ascii="仿宋" w:hAnsi="仿宋" w:eastAsia="仿宋" w:cs="仿宋"/>
          <w:color w:val="auto"/>
          <w:sz w:val="24"/>
          <w:highlight w:val="none"/>
        </w:rPr>
        <w:t>（采购代理机构名称）：</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我公司作为本次采购项目的供应商，根据磋商文件要求，现郑重承诺如下：</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一、具备《中华人民共和国政府采购法》第二十二条第一款和本项目规定的条件：</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（七）根据采购项目提出的特殊条件。</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完全接受和满足本项目磋商文件中规定的实质性要求，如对磋商文件有异议，已经在磋商文件递交截止时间届满前依法进行维权救济，不存在对磋商文件有异议的同时又参加磋商以求侥幸成交或者为实现其他非法目的的行为。</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三、参加本次磋商采购活动，不存在与单位负责人为同一人或者存在直接控股、管理关系的其他供应商参与同一合同项下的政府采购活动的行为。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五、如果有《四川省政府采购当事人诚信管理办法》（川财采[2015]33号）规定的记入诚信档案的失信行为，将在响应文件中全面如实反映。</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六、截至响应文件递交截止日未被列入失信被执行人、重大税收违法案件当事人名单、政府采购严重违法失信行为记录名单。</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八、我公司及其现任法定代表人（非法人机构则为主要负责人）不具有行贿犯罪记录。</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本公司对上述承诺的内容事项真实性负责。如经查实上述承诺的内容事项存在虚假，我公司愿意接受以提供虚假材料谋取成交追究法律责任。</w:t>
      </w:r>
    </w:p>
    <w:p>
      <w:pPr>
        <w:widowControl/>
        <w:spacing w:line="360" w:lineRule="auto"/>
        <w:ind w:firstLine="480" w:firstLineChars="200"/>
        <w:jc w:val="left"/>
        <w:rPr>
          <w:rFonts w:hint="eastAsia" w:ascii="仿宋" w:hAnsi="仿宋" w:eastAsia="仿宋" w:cs="仿宋"/>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4"/>
        <w:spacing w:before="0" w:after="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0"/>
          <w:szCs w:val="30"/>
          <w:highlight w:val="none"/>
        </w:rPr>
        <w:br w:type="page"/>
      </w:r>
      <w:bookmarkStart w:id="133" w:name="_Toc4159_WPSOffice_Level2"/>
      <w:bookmarkStart w:id="134" w:name="_Toc31492_WPSOffice_Level2"/>
      <w:r>
        <w:rPr>
          <w:rFonts w:hint="eastAsia" w:ascii="仿宋" w:hAnsi="仿宋" w:eastAsia="仿宋" w:cs="仿宋"/>
          <w:color w:val="auto"/>
          <w:highlight w:val="none"/>
        </w:rPr>
        <w:t>三</w:t>
      </w:r>
      <w:r>
        <w:rPr>
          <w:rStyle w:val="39"/>
          <w:rFonts w:hint="eastAsia" w:ascii="仿宋" w:hAnsi="仿宋" w:eastAsia="仿宋" w:cs="仿宋"/>
          <w:b/>
          <w:bCs/>
          <w:color w:val="auto"/>
          <w:highlight w:val="none"/>
        </w:rPr>
        <w:t>、中小企业（监狱企业）声明函</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本公司郑重声明，根据《政府采购促进中小企业发展管理办法》（财库〔2020）46号）的规定，本公司参加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（单位名称）的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（项目名称）釆购活动,服务全部由符合政策要求的中小企业承接。相关企业（含联合体中的中小企业、签订分包意向协议的中小企业）的具体情况如下：</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XXXXXXXXXXXX项目（标的名称）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（釆购文件中明确的所属行业）、承建（承接）企业为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（企业名称）,从业人员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（中型企业、小型企业、微型企业、监狱企业）。</w:t>
      </w:r>
    </w:p>
    <w:p>
      <w:pPr>
        <w:adjustRightIn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adjustRightInd w:val="0"/>
        <w:spacing w:line="360" w:lineRule="auto"/>
        <w:ind w:firstLine="480" w:firstLineChars="200"/>
        <w:jc w:val="left"/>
        <w:rPr>
          <w:rFonts w:hint="eastAsia" w:ascii="仿宋" w:hAnsi="仿宋" w:eastAsia="仿宋" w:cs="仿宋"/>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tabs>
          <w:tab w:val="left" w:pos="7665"/>
        </w:tabs>
        <w:spacing w:line="400" w:lineRule="exact"/>
        <w:ind w:firstLine="480" w:firstLineChars="200"/>
        <w:rPr>
          <w:rFonts w:hint="eastAsia" w:ascii="仿宋" w:hAnsi="仿宋" w:eastAsia="仿宋" w:cs="仿宋"/>
          <w:color w:val="auto"/>
          <w:sz w:val="24"/>
          <w:highlight w:val="none"/>
        </w:rPr>
      </w:pPr>
    </w:p>
    <w:p>
      <w:pPr>
        <w:tabs>
          <w:tab w:val="left" w:pos="7665"/>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rFonts w:hint="eastAsia" w:ascii="仿宋" w:hAnsi="仿宋" w:eastAsia="仿宋" w:cs="仿宋"/>
          <w:color w:val="auto"/>
          <w:highlight w:val="none"/>
        </w:rPr>
      </w:pPr>
    </w:p>
    <w:p>
      <w:pPr>
        <w:pStyle w:val="4"/>
        <w:spacing w:before="0" w:after="0" w:line="360" w:lineRule="auto"/>
        <w:jc w:val="center"/>
        <w:rPr>
          <w:rFonts w:hint="eastAsia" w:ascii="仿宋" w:hAnsi="仿宋" w:eastAsia="仿宋" w:cs="仿宋"/>
          <w:color w:val="auto"/>
          <w:spacing w:val="6"/>
          <w:sz w:val="24"/>
          <w:highlight w:val="none"/>
        </w:rPr>
      </w:pPr>
      <w:r>
        <w:rPr>
          <w:rFonts w:hint="eastAsia" w:ascii="仿宋" w:hAnsi="仿宋" w:eastAsia="仿宋" w:cs="仿宋"/>
          <w:color w:val="auto"/>
          <w:highlight w:val="none"/>
        </w:rPr>
        <w:t>残疾人福利性单位声明函</w:t>
      </w:r>
    </w:p>
    <w:p>
      <w:pPr>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w:t>
      </w:r>
      <w:r>
        <w:rPr>
          <w:rFonts w:hint="eastAsia" w:ascii="仿宋" w:hAnsi="仿宋" w:eastAsia="仿宋" w:cs="仿宋"/>
          <w:b/>
          <w:bCs/>
          <w:color w:val="auto"/>
          <w:spacing w:val="6"/>
          <w:sz w:val="24"/>
          <w:highlight w:val="none"/>
        </w:rPr>
        <w:t>本单位为符合条件的残疾人福利性单位</w:t>
      </w:r>
      <w:r>
        <w:rPr>
          <w:rFonts w:hint="eastAsia" w:ascii="仿宋" w:hAnsi="仿宋" w:eastAsia="仿宋" w:cs="仿宋"/>
          <w:color w:val="auto"/>
          <w:spacing w:val="6"/>
          <w:sz w:val="24"/>
          <w:highlight w:val="none"/>
        </w:rPr>
        <w:t>，且本单位参加</w:t>
      </w:r>
      <w:r>
        <w:rPr>
          <w:rFonts w:hint="eastAsia" w:ascii="仿宋" w:hAnsi="仿宋" w:eastAsia="仿宋" w:cs="仿宋"/>
          <w:color w:val="auto"/>
          <w:sz w:val="24"/>
          <w:highlight w:val="none"/>
          <w:u w:val="single"/>
        </w:rPr>
        <w:t xml:space="preserve"> XXXX </w:t>
      </w:r>
      <w:r>
        <w:rPr>
          <w:rFonts w:hint="eastAsia" w:ascii="仿宋" w:hAnsi="仿宋" w:eastAsia="仿宋" w:cs="仿宋"/>
          <w:color w:val="auto"/>
          <w:spacing w:val="6"/>
          <w:sz w:val="24"/>
          <w:highlight w:val="none"/>
        </w:rPr>
        <w:t>单位的</w:t>
      </w:r>
      <w:r>
        <w:rPr>
          <w:rFonts w:hint="eastAsia" w:ascii="仿宋" w:hAnsi="仿宋" w:eastAsia="仿宋" w:cs="仿宋"/>
          <w:color w:val="auto"/>
          <w:sz w:val="24"/>
          <w:highlight w:val="none"/>
          <w:u w:val="single"/>
        </w:rPr>
        <w:t xml:space="preserve"> XXXX </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pacing w:line="360" w:lineRule="auto"/>
        <w:rPr>
          <w:rFonts w:hint="eastAsia" w:ascii="仿宋" w:hAnsi="仿宋" w:eastAsia="仿宋" w:cs="仿宋"/>
          <w:color w:val="auto"/>
          <w:spacing w:val="6"/>
          <w:sz w:val="24"/>
          <w:highlight w:val="none"/>
        </w:rPr>
      </w:pPr>
    </w:p>
    <w:p>
      <w:pPr>
        <w:spacing w:line="360" w:lineRule="auto"/>
        <w:rPr>
          <w:rFonts w:hint="eastAsia" w:ascii="仿宋" w:hAnsi="仿宋" w:eastAsia="仿宋" w:cs="仿宋"/>
          <w:color w:val="auto"/>
          <w:spacing w:val="6"/>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after="16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1.残疾人福利性单位视同小型、微型企业，享受预留份额、评审中价格扣除等促进中小企业发展的政府采购政策。残疾人福利性单位属于小型、微型企业的，不重复享受政策。</w:t>
      </w:r>
    </w:p>
    <w:p>
      <w:pPr>
        <w:spacing w:after="160"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2.供应商为非残疾人福利性单位的，可不提供此声明。</w:t>
      </w:r>
    </w:p>
    <w:p>
      <w:pPr>
        <w:pStyle w:val="4"/>
        <w:spacing w:before="0" w:after="0" w:line="360" w:lineRule="auto"/>
        <w:jc w:val="cente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其他资格证明资料及相关说明等</w:t>
      </w:r>
      <w:bookmarkEnd w:id="133"/>
      <w:bookmarkEnd w:id="134"/>
    </w:p>
    <w:p>
      <w:pPr>
        <w:adjustRightInd w:val="0"/>
        <w:snapToGrid w:val="0"/>
        <w:spacing w:after="156" w:after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对照“第四章  供应商资格证明材料”等具体要求提供。</w:t>
      </w:r>
    </w:p>
    <w:p>
      <w:pPr>
        <w:autoSpaceDE w:val="0"/>
        <w:autoSpaceDN w:val="0"/>
        <w:adjustRightInd w:val="0"/>
        <w:spacing w:line="360" w:lineRule="auto"/>
        <w:ind w:firstLine="602" w:firstLineChars="200"/>
        <w:jc w:val="center"/>
        <w:rPr>
          <w:rFonts w:hint="eastAsia" w:ascii="仿宋" w:hAnsi="仿宋" w:eastAsia="仿宋" w:cs="仿宋"/>
          <w:color w:val="auto"/>
          <w:sz w:val="28"/>
          <w:highlight w:val="none"/>
        </w:rPr>
      </w:pPr>
      <w:r>
        <w:rPr>
          <w:rFonts w:hint="eastAsia" w:ascii="仿宋" w:hAnsi="仿宋" w:eastAsia="仿宋" w:cs="仿宋"/>
          <w:b/>
          <w:color w:val="auto"/>
          <w:sz w:val="30"/>
          <w:szCs w:val="30"/>
          <w:highlight w:val="none"/>
        </w:rPr>
        <w:br w:type="page"/>
      </w:r>
      <w:bookmarkStart w:id="135" w:name="_Toc11589_WPSOffice_Level2"/>
      <w:bookmarkStart w:id="136" w:name="_Toc18398_WPSOffice_Level2"/>
      <w:r>
        <w:rPr>
          <w:rFonts w:hint="eastAsia" w:ascii="仿宋" w:hAnsi="仿宋" w:eastAsia="仿宋" w:cs="仿宋"/>
          <w:color w:val="auto"/>
          <w:sz w:val="28"/>
          <w:highlight w:val="none"/>
        </w:rPr>
        <w:t>（封面格式）</w:t>
      </w:r>
      <w:bookmarkEnd w:id="135"/>
      <w:bookmarkEnd w:id="136"/>
    </w:p>
    <w:p>
      <w:pPr>
        <w:autoSpaceDE w:val="0"/>
        <w:autoSpaceDN w:val="0"/>
        <w:adjustRightInd w:val="0"/>
        <w:spacing w:line="360" w:lineRule="auto"/>
        <w:ind w:firstLine="1680" w:firstLineChars="200"/>
        <w:jc w:val="center"/>
        <w:rPr>
          <w:rFonts w:hint="eastAsia" w:ascii="仿宋" w:hAnsi="仿宋" w:eastAsia="仿宋" w:cs="仿宋"/>
          <w:color w:val="auto"/>
          <w:sz w:val="84"/>
          <w:szCs w:val="84"/>
          <w:highlight w:val="none"/>
        </w:rPr>
      </w:pPr>
    </w:p>
    <w:p>
      <w:pPr>
        <w:autoSpaceDE w:val="0"/>
        <w:autoSpaceDN w:val="0"/>
        <w:adjustRightInd w:val="0"/>
        <w:spacing w:line="360" w:lineRule="auto"/>
        <w:ind w:firstLine="1680" w:firstLineChars="200"/>
        <w:rPr>
          <w:rFonts w:hint="eastAsia" w:ascii="仿宋" w:hAnsi="仿宋" w:eastAsia="仿宋" w:cs="仿宋"/>
          <w:color w:val="auto"/>
          <w:sz w:val="84"/>
          <w:szCs w:val="84"/>
          <w:highlight w:val="none"/>
        </w:rPr>
      </w:pPr>
      <w:bookmarkStart w:id="137" w:name="_Toc1892_WPSOffice_Level2"/>
      <w:bookmarkStart w:id="138" w:name="_Toc25492_WPSOffice_Level2"/>
      <w:r>
        <w:rPr>
          <w:rFonts w:hint="eastAsia" w:ascii="仿宋" w:hAnsi="仿宋" w:eastAsia="仿宋" w:cs="仿宋"/>
          <w:color w:val="auto"/>
          <w:sz w:val="84"/>
          <w:szCs w:val="84"/>
          <w:highlight w:val="none"/>
        </w:rPr>
        <w:t>其他响应文件</w:t>
      </w:r>
      <w:bookmarkEnd w:id="137"/>
      <w:bookmarkEnd w:id="138"/>
    </w:p>
    <w:p>
      <w:pPr>
        <w:autoSpaceDE w:val="0"/>
        <w:autoSpaceDN w:val="0"/>
        <w:adjustRightInd w:val="0"/>
        <w:spacing w:line="360" w:lineRule="auto"/>
        <w:ind w:firstLine="880" w:firstLineChars="200"/>
        <w:jc w:val="center"/>
        <w:rPr>
          <w:rFonts w:hint="eastAsia" w:ascii="仿宋" w:hAnsi="仿宋" w:eastAsia="仿宋" w:cs="仿宋"/>
          <w:color w:val="auto"/>
          <w:sz w:val="44"/>
          <w:highlight w:val="none"/>
        </w:rPr>
      </w:pPr>
    </w:p>
    <w:p>
      <w:pPr>
        <w:autoSpaceDE w:val="0"/>
        <w:autoSpaceDN w:val="0"/>
        <w:adjustRightInd w:val="0"/>
        <w:spacing w:line="360" w:lineRule="auto"/>
        <w:ind w:firstLine="3080" w:firstLineChars="700"/>
        <w:rPr>
          <w:rFonts w:hint="eastAsia" w:ascii="仿宋" w:hAnsi="仿宋" w:eastAsia="仿宋" w:cs="仿宋"/>
          <w:color w:val="auto"/>
          <w:sz w:val="44"/>
          <w:highlight w:val="none"/>
        </w:rPr>
      </w:pPr>
      <w:bookmarkStart w:id="139" w:name="_Toc22614_WPSOffice_Level2"/>
      <w:bookmarkStart w:id="140" w:name="_Toc26337_WPSOffice_Level2"/>
      <w:r>
        <w:rPr>
          <w:rFonts w:hint="eastAsia" w:ascii="仿宋" w:hAnsi="仿宋" w:eastAsia="仿宋" w:cs="仿宋"/>
          <w:color w:val="auto"/>
          <w:sz w:val="44"/>
          <w:highlight w:val="none"/>
        </w:rPr>
        <w:t>（正本/副本）</w:t>
      </w:r>
      <w:bookmarkEnd w:id="139"/>
      <w:bookmarkEnd w:id="140"/>
    </w:p>
    <w:p>
      <w:pPr>
        <w:pStyle w:val="2"/>
        <w:spacing w:line="360" w:lineRule="auto"/>
        <w:rPr>
          <w:rFonts w:hint="eastAsia" w:ascii="仿宋" w:hAnsi="仿宋" w:eastAsia="仿宋" w:cs="仿宋"/>
          <w:color w:val="auto"/>
          <w:sz w:val="44"/>
          <w:highlight w:val="none"/>
        </w:rPr>
      </w:pPr>
    </w:p>
    <w:p>
      <w:pPr>
        <w:pStyle w:val="2"/>
        <w:spacing w:line="360" w:lineRule="auto"/>
        <w:rPr>
          <w:rFonts w:hint="eastAsia" w:ascii="仿宋" w:hAnsi="仿宋" w:eastAsia="仿宋" w:cs="仿宋"/>
          <w:color w:val="auto"/>
          <w:sz w:val="44"/>
          <w:highlight w:val="none"/>
        </w:rPr>
      </w:pPr>
    </w:p>
    <w:p>
      <w:pPr>
        <w:autoSpaceDE w:val="0"/>
        <w:autoSpaceDN w:val="0"/>
        <w:adjustRightInd w:val="0"/>
        <w:snapToGrid w:val="0"/>
        <w:spacing w:after="156" w:afterLines="50" w:line="360" w:lineRule="auto"/>
        <w:ind w:firstLine="640" w:firstLineChars="200"/>
        <w:rPr>
          <w:rFonts w:hint="eastAsia" w:ascii="仿宋" w:hAnsi="仿宋" w:eastAsia="仿宋" w:cs="仿宋"/>
          <w:color w:val="auto"/>
          <w:sz w:val="32"/>
          <w:szCs w:val="32"/>
          <w:highlight w:val="none"/>
        </w:rPr>
      </w:pPr>
      <w:bookmarkStart w:id="141" w:name="_Toc30289_WPSOffice_Level2"/>
      <w:bookmarkStart w:id="142" w:name="_Toc14986_WPSOffice_Level2"/>
      <w:r>
        <w:rPr>
          <w:rFonts w:hint="eastAsia" w:ascii="仿宋" w:hAnsi="仿宋" w:eastAsia="仿宋" w:cs="仿宋"/>
          <w:color w:val="auto"/>
          <w:sz w:val="32"/>
          <w:szCs w:val="32"/>
          <w:highlight w:val="none"/>
        </w:rPr>
        <w:t>项目编号：</w:t>
      </w:r>
      <w:bookmarkEnd w:id="141"/>
      <w:bookmarkEnd w:id="142"/>
      <w:r>
        <w:rPr>
          <w:rFonts w:hint="eastAsia" w:ascii="仿宋" w:hAnsi="仿宋" w:eastAsia="仿宋" w:cs="仿宋"/>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仿宋" w:hAnsi="仿宋" w:eastAsia="仿宋" w:cs="仿宋"/>
          <w:color w:val="auto"/>
          <w:sz w:val="32"/>
          <w:szCs w:val="32"/>
          <w:highlight w:val="none"/>
          <w:u w:val="single"/>
        </w:rPr>
      </w:pPr>
      <w:bookmarkStart w:id="143" w:name="_Toc30244_WPSOffice_Level2"/>
      <w:bookmarkStart w:id="144" w:name="_Toc27590_WPSOffice_Level2"/>
      <w:r>
        <w:rPr>
          <w:rFonts w:hint="eastAsia" w:ascii="仿宋" w:hAnsi="仿宋" w:eastAsia="仿宋" w:cs="仿宋"/>
          <w:color w:val="auto"/>
          <w:sz w:val="32"/>
          <w:szCs w:val="32"/>
          <w:highlight w:val="none"/>
        </w:rPr>
        <w:t>项目名称：</w:t>
      </w:r>
      <w:bookmarkEnd w:id="143"/>
      <w:bookmarkEnd w:id="144"/>
      <w:r>
        <w:rPr>
          <w:rFonts w:hint="eastAsia" w:ascii="仿宋" w:hAnsi="仿宋" w:eastAsia="仿宋" w:cs="仿宋"/>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仿宋" w:hAnsi="仿宋" w:eastAsia="仿宋" w:cs="仿宋"/>
          <w:color w:val="auto"/>
          <w:sz w:val="32"/>
          <w:szCs w:val="32"/>
          <w:highlight w:val="none"/>
        </w:rPr>
      </w:pPr>
      <w:bookmarkStart w:id="145" w:name="_Toc1272_WPSOffice_Level2"/>
      <w:bookmarkStart w:id="146" w:name="_Toc30720_WPSOffice_Level2"/>
      <w:r>
        <w:rPr>
          <w:rFonts w:hint="eastAsia" w:ascii="仿宋" w:hAnsi="仿宋" w:eastAsia="仿宋" w:cs="仿宋"/>
          <w:color w:val="auto"/>
          <w:sz w:val="32"/>
          <w:szCs w:val="32"/>
          <w:highlight w:val="none"/>
        </w:rPr>
        <w:t>供 应 商：</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（公章）</w:t>
      </w:r>
      <w:bookmarkEnd w:id="145"/>
      <w:bookmarkEnd w:id="146"/>
    </w:p>
    <w:p>
      <w:pPr>
        <w:autoSpaceDE w:val="0"/>
        <w:autoSpaceDN w:val="0"/>
        <w:adjustRightInd w:val="0"/>
        <w:snapToGrid w:val="0"/>
        <w:spacing w:after="156" w:afterLines="50" w:line="360" w:lineRule="auto"/>
        <w:ind w:firstLine="640" w:firstLineChars="200"/>
        <w:rPr>
          <w:rFonts w:hint="eastAsia" w:ascii="仿宋" w:hAnsi="仿宋" w:eastAsia="仿宋" w:cs="仿宋"/>
          <w:color w:val="auto"/>
          <w:sz w:val="32"/>
          <w:szCs w:val="32"/>
          <w:highlight w:val="none"/>
        </w:rPr>
      </w:pPr>
      <w:bookmarkStart w:id="147" w:name="_Toc18121_WPSOffice_Level2"/>
      <w:bookmarkStart w:id="148" w:name="_Toc20218_WPSOffice_Level2"/>
      <w:r>
        <w:rPr>
          <w:rFonts w:hint="eastAsia" w:ascii="仿宋" w:hAnsi="仿宋" w:eastAsia="仿宋" w:cs="仿宋"/>
          <w:color w:val="auto"/>
          <w:sz w:val="32"/>
          <w:szCs w:val="32"/>
          <w:highlight w:val="none"/>
        </w:rPr>
        <w:t>日    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bookmarkEnd w:id="147"/>
      <w:bookmarkEnd w:id="148"/>
    </w:p>
    <w:p>
      <w:pPr>
        <w:spacing w:line="360" w:lineRule="auto"/>
        <w:jc w:val="center"/>
        <w:rPr>
          <w:rFonts w:hint="eastAsia" w:ascii="仿宋" w:hAnsi="仿宋" w:eastAsia="仿宋" w:cs="仿宋"/>
          <w:color w:val="auto"/>
          <w:szCs w:val="28"/>
          <w:highlight w:val="none"/>
        </w:rPr>
      </w:pPr>
      <w:r>
        <w:rPr>
          <w:rFonts w:hint="eastAsia" w:ascii="仿宋" w:hAnsi="仿宋" w:eastAsia="仿宋" w:cs="仿宋"/>
          <w:color w:val="auto"/>
          <w:highlight w:val="none"/>
        </w:rPr>
        <w:br w:type="page"/>
      </w:r>
      <w:bookmarkStart w:id="149" w:name="_Toc217446087"/>
      <w:r>
        <w:rPr>
          <w:rFonts w:hint="eastAsia" w:ascii="仿宋" w:hAnsi="仿宋" w:eastAsia="仿宋" w:cs="仿宋"/>
          <w:b/>
          <w:bCs/>
          <w:color w:val="auto"/>
          <w:sz w:val="28"/>
          <w:szCs w:val="36"/>
          <w:highlight w:val="none"/>
        </w:rPr>
        <w:t>目录（自拟）</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一、响应函</w:t>
      </w:r>
    </w:p>
    <w:p>
      <w:pPr>
        <w:pStyle w:val="11"/>
        <w:spacing w:after="0" w:line="360" w:lineRule="auto"/>
        <w:ind w:left="0" w:leftChars="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u w:val="single"/>
          <w:lang w:eastAsia="zh-CN"/>
        </w:rPr>
        <w:t>四川凯亿工程管理咨询有限公司</w:t>
      </w:r>
      <w:r>
        <w:rPr>
          <w:rFonts w:hint="eastAsia" w:ascii="仿宋" w:hAnsi="仿宋" w:eastAsia="仿宋" w:cs="仿宋"/>
          <w:bCs/>
          <w:color w:val="auto"/>
          <w:sz w:val="24"/>
          <w:highlight w:val="none"/>
        </w:rPr>
        <w:t>（采购代理机构名称）：</w:t>
      </w:r>
    </w:p>
    <w:p>
      <w:pPr>
        <w:pStyle w:val="11"/>
        <w:spacing w:after="0" w:line="360" w:lineRule="auto"/>
        <w:ind w:left="0" w:lef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我方全面研究了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”（项目名称）（项目编号：</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）磋商文件，决定参加贵单位组织的本项目磋商采购。</w:t>
      </w:r>
    </w:p>
    <w:p>
      <w:pPr>
        <w:pStyle w:val="11"/>
        <w:spacing w:after="0" w:line="360" w:lineRule="auto"/>
        <w:ind w:left="0" w:lef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1、我方自愿按照磋商文件规定的各项要求向采购人提供所需服务，第一次总报价为“第一次报价一览表”中所述价格。</w:t>
      </w:r>
    </w:p>
    <w:p>
      <w:pPr>
        <w:pStyle w:val="11"/>
        <w:numPr>
          <w:ilvl w:val="0"/>
          <w:numId w:val="6"/>
        </w:numPr>
        <w:spacing w:after="0" w:line="360" w:lineRule="auto"/>
        <w:ind w:left="0" w:lef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一旦我方成交，我方将严格履行合同规定的责任和义务，保证于合同签字生效后按合同约定时间完成，并交付采购人验收、使用。</w:t>
      </w:r>
    </w:p>
    <w:p>
      <w:pPr>
        <w:pStyle w:val="11"/>
        <w:numPr>
          <w:ilvl w:val="0"/>
          <w:numId w:val="6"/>
        </w:numPr>
        <w:spacing w:after="0" w:line="360" w:lineRule="auto"/>
        <w:ind w:left="0" w:lef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我方同意本磋商文件依据《四川省政府采购当事人诚信管理办法》（川财采〔2015〕33号文件）对我方可能存在的失信行为进行惩戒。</w:t>
      </w:r>
    </w:p>
    <w:p>
      <w:pPr>
        <w:pStyle w:val="11"/>
        <w:spacing w:after="0" w:line="360" w:lineRule="auto"/>
        <w:ind w:left="0" w:lef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4、我方为本项目提交的响应文件正本</w:t>
      </w:r>
      <w:r>
        <w:rPr>
          <w:rFonts w:hint="eastAsia" w:ascii="仿宋" w:hAnsi="仿宋" w:eastAsia="仿宋" w:cs="仿宋"/>
          <w:bCs/>
          <w:color w:val="auto"/>
          <w:sz w:val="24"/>
          <w:highlight w:val="none"/>
          <w:u w:val="single"/>
        </w:rPr>
        <w:t xml:space="preserve"> 壹 </w:t>
      </w:r>
      <w:r>
        <w:rPr>
          <w:rFonts w:hint="eastAsia" w:ascii="仿宋" w:hAnsi="仿宋" w:eastAsia="仿宋" w:cs="仿宋"/>
          <w:bCs/>
          <w:color w:val="auto"/>
          <w:sz w:val="24"/>
          <w:highlight w:val="none"/>
        </w:rPr>
        <w:t>份、副本</w:t>
      </w:r>
      <w:r>
        <w:rPr>
          <w:rFonts w:hint="eastAsia" w:ascii="仿宋" w:hAnsi="仿宋" w:eastAsia="仿宋" w:cs="仿宋"/>
          <w:bCs/>
          <w:color w:val="auto"/>
          <w:sz w:val="24"/>
          <w:highlight w:val="none"/>
          <w:u w:val="single"/>
        </w:rPr>
        <w:t xml:space="preserve"> 贰</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份、电子文档</w:t>
      </w:r>
      <w:r>
        <w:rPr>
          <w:rFonts w:hint="eastAsia" w:ascii="仿宋" w:hAnsi="仿宋" w:eastAsia="仿宋" w:cs="仿宋"/>
          <w:bCs/>
          <w:color w:val="auto"/>
          <w:sz w:val="24"/>
          <w:highlight w:val="none"/>
          <w:u w:val="single"/>
        </w:rPr>
        <w:t xml:space="preserve"> 壹 </w:t>
      </w:r>
      <w:r>
        <w:rPr>
          <w:rFonts w:hint="eastAsia" w:ascii="仿宋" w:hAnsi="仿宋" w:eastAsia="仿宋" w:cs="仿宋"/>
          <w:bCs/>
          <w:color w:val="auto"/>
          <w:sz w:val="24"/>
          <w:highlight w:val="none"/>
        </w:rPr>
        <w:t>份，本次磋商，我方递交的</w:t>
      </w:r>
      <w:r>
        <w:rPr>
          <w:rFonts w:hint="eastAsia" w:ascii="仿宋" w:hAnsi="仿宋" w:eastAsia="仿宋" w:cs="仿宋"/>
          <w:color w:val="auto"/>
          <w:sz w:val="24"/>
          <w:highlight w:val="none"/>
        </w:rPr>
        <w:t>响应文件有效期为递交磋商响应文件截止之日起</w:t>
      </w:r>
      <w:r>
        <w:rPr>
          <w:rFonts w:hint="eastAsia" w:ascii="仿宋" w:hAnsi="仿宋" w:eastAsia="仿宋" w:cs="仿宋"/>
          <w:color w:val="auto"/>
          <w:sz w:val="24"/>
          <w:highlight w:val="none"/>
          <w:u w:val="single"/>
        </w:rPr>
        <w:t>90天</w:t>
      </w:r>
      <w:r>
        <w:rPr>
          <w:rFonts w:hint="eastAsia" w:ascii="仿宋" w:hAnsi="仿宋" w:eastAsia="仿宋" w:cs="仿宋"/>
          <w:bCs/>
          <w:color w:val="auto"/>
          <w:sz w:val="24"/>
          <w:highlight w:val="none"/>
        </w:rPr>
        <w:t>。</w:t>
      </w:r>
    </w:p>
    <w:p>
      <w:pPr>
        <w:pStyle w:val="11"/>
        <w:spacing w:after="0" w:line="360" w:lineRule="auto"/>
        <w:ind w:left="0" w:lef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5、我方愿意提供贵单位可能另外要求的，与磋商有关的文件资料，并保证我方已提供和将要提供的文件资料是真实、准确的。</w:t>
      </w:r>
    </w:p>
    <w:p>
      <w:pPr>
        <w:pStyle w:val="11"/>
        <w:spacing w:after="0" w:line="360" w:lineRule="auto"/>
        <w:ind w:left="0" w:lef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6、国家或行业主管部门对采购产品的技术标准、质量标准和资格资质条件等有强制性规定的，我方承诺符合其要求。</w:t>
      </w:r>
    </w:p>
    <w:p>
      <w:pPr>
        <w:pStyle w:val="11"/>
        <w:spacing w:after="0" w:line="360" w:lineRule="auto"/>
        <w:ind w:left="0" w:lef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7、我方完全理解采购人不一定将合同授予最低报价的供应商的行为。</w:t>
      </w:r>
    </w:p>
    <w:p>
      <w:pPr>
        <w:adjustRightInd w:val="0"/>
        <w:spacing w:line="360" w:lineRule="auto"/>
        <w:jc w:val="left"/>
        <w:rPr>
          <w:rFonts w:hint="eastAsia" w:ascii="仿宋" w:hAnsi="仿宋" w:eastAsia="仿宋" w:cs="仿宋"/>
          <w:color w:val="auto"/>
          <w:sz w:val="24"/>
          <w:highlight w:val="none"/>
        </w:rPr>
      </w:pPr>
      <w:bookmarkStart w:id="150" w:name="_Toc217446085"/>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bookmarkEnd w:id="149"/>
      <w:bookmarkEnd w:id="150"/>
    </w:p>
    <w:p>
      <w:pPr>
        <w:rPr>
          <w:rFonts w:hint="eastAsia" w:ascii="仿宋" w:hAnsi="仿宋" w:eastAsia="仿宋" w:cs="仿宋"/>
          <w:color w:val="auto"/>
          <w:highlight w:val="none"/>
        </w:rPr>
      </w:pPr>
      <w:bookmarkStart w:id="151" w:name="_Toc4636_WPSOffice_Level2"/>
      <w:bookmarkStart w:id="152" w:name="_Toc17152_WPSOffice_Level2"/>
      <w:r>
        <w:rPr>
          <w:rFonts w:hint="eastAsia" w:ascii="仿宋" w:hAnsi="仿宋" w:eastAsia="仿宋" w:cs="仿宋"/>
          <w:color w:val="auto"/>
          <w:highlight w:val="none"/>
        </w:rPr>
        <w:br w:type="page"/>
      </w:r>
    </w:p>
    <w:p>
      <w:pPr>
        <w:pStyle w:val="4"/>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二、第一次报价一览表</w:t>
      </w:r>
    </w:p>
    <w:tbl>
      <w:tblPr>
        <w:tblStyle w:val="18"/>
        <w:tblW w:w="512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2109"/>
        <w:gridCol w:w="7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98" w:hRule="atLeast"/>
          <w:jc w:val="center"/>
        </w:trPr>
        <w:tc>
          <w:tcPr>
            <w:tcW w:w="1119" w:type="pct"/>
            <w:tcBorders>
              <w:top w:val="single" w:color="auto" w:sz="4" w:space="0"/>
            </w:tcBorders>
            <w:noWrap w:val="0"/>
            <w:vAlign w:val="center"/>
          </w:tcPr>
          <w:p>
            <w:pPr>
              <w:tabs>
                <w:tab w:val="left" w:pos="8364"/>
              </w:tabs>
              <w:snapToGrid w:val="0"/>
              <w:ind w:right="-58"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3880" w:type="pct"/>
            <w:tcBorders>
              <w:top w:val="single" w:color="auto" w:sz="4" w:space="0"/>
            </w:tcBorders>
            <w:noWrap w:val="0"/>
            <w:vAlign w:val="center"/>
          </w:tcPr>
          <w:p>
            <w:pPr>
              <w:tabs>
                <w:tab w:val="left" w:pos="8364"/>
              </w:tabs>
              <w:snapToGrid w:val="0"/>
              <w:ind w:right="-58" w:firstLine="482"/>
              <w:jc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103" w:hRule="atLeast"/>
          <w:jc w:val="center"/>
        </w:trPr>
        <w:tc>
          <w:tcPr>
            <w:tcW w:w="1119" w:type="pct"/>
            <w:tcBorders>
              <w:top w:val="single" w:color="auto" w:sz="4" w:space="0"/>
            </w:tcBorders>
            <w:noWrap w:val="0"/>
            <w:vAlign w:val="center"/>
          </w:tcPr>
          <w:p>
            <w:pPr>
              <w:tabs>
                <w:tab w:val="left" w:pos="8364"/>
              </w:tabs>
              <w:snapToGrid w:val="0"/>
              <w:ind w:right="-58"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c>
        <w:tc>
          <w:tcPr>
            <w:tcW w:w="3880" w:type="pct"/>
            <w:tcBorders>
              <w:top w:val="single" w:color="auto" w:sz="4" w:space="0"/>
            </w:tcBorders>
            <w:noWrap w:val="0"/>
            <w:vAlign w:val="center"/>
          </w:tcPr>
          <w:p>
            <w:pPr>
              <w:tabs>
                <w:tab w:val="left" w:pos="8364"/>
              </w:tabs>
              <w:snapToGrid w:val="0"/>
              <w:ind w:right="-58" w:firstLine="482"/>
              <w:jc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00" w:hRule="atLeast"/>
          <w:jc w:val="center"/>
        </w:trPr>
        <w:tc>
          <w:tcPr>
            <w:tcW w:w="1119" w:type="pct"/>
            <w:noWrap w:val="0"/>
            <w:vAlign w:val="center"/>
          </w:tcPr>
          <w:p>
            <w:pPr>
              <w:spacing w:line="360" w:lineRule="atLeast"/>
              <w:ind w:firstLine="0" w:firstLineChars="0"/>
              <w:jc w:val="center"/>
              <w:outlineLvl w:val="1"/>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报价合计</w:t>
            </w:r>
          </w:p>
        </w:tc>
        <w:tc>
          <w:tcPr>
            <w:tcW w:w="3880" w:type="pct"/>
            <w:noWrap w:val="0"/>
            <w:vAlign w:val="center"/>
          </w:tcPr>
          <w:p>
            <w:pPr>
              <w:ind w:firstLine="0" w:firstLineChars="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小写:        </w:t>
            </w:r>
          </w:p>
          <w:p>
            <w:pPr>
              <w:pStyle w:val="2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11" w:hRule="atLeast"/>
          <w:jc w:val="center"/>
        </w:trPr>
        <w:tc>
          <w:tcPr>
            <w:tcW w:w="1119" w:type="pct"/>
            <w:tcBorders>
              <w:bottom w:val="single" w:color="auto" w:sz="4" w:space="0"/>
            </w:tcBorders>
            <w:noWrap w:val="0"/>
            <w:vAlign w:val="center"/>
          </w:tcPr>
          <w:p>
            <w:pPr>
              <w:spacing w:line="360" w:lineRule="atLeast"/>
              <w:ind w:firstLine="0" w:firstLineChars="0"/>
              <w:jc w:val="center"/>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c>
          <w:tcPr>
            <w:tcW w:w="3880" w:type="pct"/>
            <w:tcBorders>
              <w:bottom w:val="single" w:color="auto" w:sz="4" w:space="0"/>
            </w:tcBorders>
            <w:noWrap w:val="0"/>
            <w:vAlign w:val="center"/>
          </w:tcPr>
          <w:p>
            <w:pPr>
              <w:pStyle w:val="29"/>
              <w:rPr>
                <w:rFonts w:hint="eastAsia" w:ascii="仿宋" w:hAnsi="仿宋" w:eastAsia="仿宋" w:cs="仿宋"/>
                <w:b/>
                <w:bCs/>
                <w:color w:val="auto"/>
                <w:sz w:val="24"/>
                <w:szCs w:val="24"/>
                <w:highlight w:val="none"/>
              </w:rPr>
            </w:pPr>
          </w:p>
        </w:tc>
      </w:tr>
    </w:tbl>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注:1.所有报价均用人民币表示。</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2.表格如不能完全表达相关内容，供应商可自行补充。</w:t>
      </w:r>
    </w:p>
    <w:p>
      <w:pPr>
        <w:spacing w:line="480" w:lineRule="auto"/>
        <w:rPr>
          <w:rFonts w:hint="eastAsia" w:ascii="仿宋" w:hAnsi="仿宋" w:eastAsia="仿宋" w:cs="仿宋"/>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rPr>
          <w:rStyle w:val="39"/>
          <w:rFonts w:hint="eastAsia" w:ascii="仿宋" w:hAnsi="仿宋" w:eastAsia="仿宋" w:cs="仿宋"/>
          <w:color w:val="auto"/>
          <w:highlight w:val="none"/>
        </w:rPr>
      </w:pPr>
      <w:r>
        <w:rPr>
          <w:rStyle w:val="39"/>
          <w:rFonts w:hint="eastAsia" w:ascii="仿宋" w:hAnsi="仿宋" w:eastAsia="仿宋" w:cs="仿宋"/>
          <w:color w:val="auto"/>
          <w:highlight w:val="none"/>
        </w:rPr>
        <w:br w:type="page"/>
      </w:r>
    </w:p>
    <w:p>
      <w:pPr>
        <w:pStyle w:val="4"/>
        <w:spacing w:line="360" w:lineRule="auto"/>
        <w:jc w:val="center"/>
        <w:rPr>
          <w:rStyle w:val="39"/>
          <w:rFonts w:hint="eastAsia" w:ascii="仿宋" w:hAnsi="仿宋" w:eastAsia="仿宋" w:cs="仿宋"/>
          <w:b/>
          <w:bCs/>
          <w:color w:val="auto"/>
          <w:highlight w:val="none"/>
        </w:rPr>
      </w:pPr>
      <w:r>
        <w:rPr>
          <w:rStyle w:val="39"/>
          <w:rFonts w:hint="eastAsia" w:ascii="仿宋" w:hAnsi="仿宋" w:eastAsia="仿宋" w:cs="仿宋"/>
          <w:b/>
          <w:bCs/>
          <w:color w:val="auto"/>
          <w:highlight w:val="none"/>
        </w:rPr>
        <w:t>三、商务、技术、服务应答表</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tbl>
      <w:tblPr>
        <w:tblStyle w:val="19"/>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9"/>
        <w:gridCol w:w="1839"/>
        <w:gridCol w:w="223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9" w:type="dxa"/>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磋商文件要求</w:t>
            </w:r>
          </w:p>
        </w:tc>
        <w:tc>
          <w:tcPr>
            <w:tcW w:w="1839" w:type="dxa"/>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响应文件应答</w:t>
            </w:r>
          </w:p>
        </w:tc>
        <w:tc>
          <w:tcPr>
            <w:tcW w:w="2234" w:type="dxa"/>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偏离情况（正偏离或负偏离或无偏离）</w:t>
            </w:r>
          </w:p>
        </w:tc>
        <w:tc>
          <w:tcPr>
            <w:tcW w:w="2425" w:type="dxa"/>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仿宋" w:hAnsi="仿宋" w:eastAsia="仿宋" w:cs="仿宋"/>
                <w:color w:val="auto"/>
                <w:szCs w:val="21"/>
                <w:highlight w:val="none"/>
              </w:rPr>
            </w:pPr>
          </w:p>
        </w:tc>
        <w:tc>
          <w:tcPr>
            <w:tcW w:w="1989" w:type="dxa"/>
          </w:tcPr>
          <w:p>
            <w:pPr>
              <w:spacing w:line="360" w:lineRule="auto"/>
              <w:jc w:val="center"/>
              <w:rPr>
                <w:rFonts w:hint="eastAsia" w:ascii="仿宋" w:hAnsi="仿宋" w:eastAsia="仿宋" w:cs="仿宋"/>
                <w:color w:val="auto"/>
                <w:szCs w:val="21"/>
                <w:highlight w:val="none"/>
              </w:rPr>
            </w:pPr>
          </w:p>
        </w:tc>
        <w:tc>
          <w:tcPr>
            <w:tcW w:w="1839" w:type="dxa"/>
          </w:tcPr>
          <w:p>
            <w:pPr>
              <w:spacing w:line="360" w:lineRule="auto"/>
              <w:jc w:val="center"/>
              <w:rPr>
                <w:rFonts w:hint="eastAsia" w:ascii="仿宋" w:hAnsi="仿宋" w:eastAsia="仿宋" w:cs="仿宋"/>
                <w:color w:val="auto"/>
                <w:szCs w:val="21"/>
                <w:highlight w:val="none"/>
              </w:rPr>
            </w:pPr>
          </w:p>
        </w:tc>
        <w:tc>
          <w:tcPr>
            <w:tcW w:w="2234" w:type="dxa"/>
          </w:tcPr>
          <w:p>
            <w:pPr>
              <w:spacing w:line="360" w:lineRule="auto"/>
              <w:jc w:val="center"/>
              <w:rPr>
                <w:rFonts w:hint="eastAsia" w:ascii="仿宋" w:hAnsi="仿宋" w:eastAsia="仿宋" w:cs="仿宋"/>
                <w:color w:val="auto"/>
                <w:szCs w:val="21"/>
                <w:highlight w:val="none"/>
              </w:rPr>
            </w:pPr>
          </w:p>
        </w:tc>
        <w:tc>
          <w:tcPr>
            <w:tcW w:w="2425" w:type="dxa"/>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仿宋" w:hAnsi="仿宋" w:eastAsia="仿宋" w:cs="仿宋"/>
                <w:color w:val="auto"/>
                <w:szCs w:val="21"/>
                <w:highlight w:val="none"/>
              </w:rPr>
            </w:pPr>
          </w:p>
        </w:tc>
        <w:tc>
          <w:tcPr>
            <w:tcW w:w="1989" w:type="dxa"/>
          </w:tcPr>
          <w:p>
            <w:pPr>
              <w:spacing w:line="360" w:lineRule="auto"/>
              <w:jc w:val="center"/>
              <w:rPr>
                <w:rFonts w:hint="eastAsia" w:ascii="仿宋" w:hAnsi="仿宋" w:eastAsia="仿宋" w:cs="仿宋"/>
                <w:color w:val="auto"/>
                <w:szCs w:val="21"/>
                <w:highlight w:val="none"/>
              </w:rPr>
            </w:pPr>
          </w:p>
        </w:tc>
        <w:tc>
          <w:tcPr>
            <w:tcW w:w="1839" w:type="dxa"/>
          </w:tcPr>
          <w:p>
            <w:pPr>
              <w:spacing w:line="360" w:lineRule="auto"/>
              <w:jc w:val="center"/>
              <w:rPr>
                <w:rFonts w:hint="eastAsia" w:ascii="仿宋" w:hAnsi="仿宋" w:eastAsia="仿宋" w:cs="仿宋"/>
                <w:color w:val="auto"/>
                <w:szCs w:val="21"/>
                <w:highlight w:val="none"/>
              </w:rPr>
            </w:pPr>
          </w:p>
        </w:tc>
        <w:tc>
          <w:tcPr>
            <w:tcW w:w="2234" w:type="dxa"/>
          </w:tcPr>
          <w:p>
            <w:pPr>
              <w:spacing w:line="360" w:lineRule="auto"/>
              <w:jc w:val="center"/>
              <w:rPr>
                <w:rFonts w:hint="eastAsia" w:ascii="仿宋" w:hAnsi="仿宋" w:eastAsia="仿宋" w:cs="仿宋"/>
                <w:color w:val="auto"/>
                <w:szCs w:val="21"/>
                <w:highlight w:val="none"/>
              </w:rPr>
            </w:pPr>
          </w:p>
        </w:tc>
        <w:tc>
          <w:tcPr>
            <w:tcW w:w="2425" w:type="dxa"/>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仿宋" w:hAnsi="仿宋" w:eastAsia="仿宋" w:cs="仿宋"/>
                <w:color w:val="auto"/>
                <w:szCs w:val="21"/>
                <w:highlight w:val="none"/>
              </w:rPr>
            </w:pPr>
          </w:p>
        </w:tc>
        <w:tc>
          <w:tcPr>
            <w:tcW w:w="1989" w:type="dxa"/>
          </w:tcPr>
          <w:p>
            <w:pPr>
              <w:spacing w:line="360" w:lineRule="auto"/>
              <w:jc w:val="center"/>
              <w:rPr>
                <w:rFonts w:hint="eastAsia" w:ascii="仿宋" w:hAnsi="仿宋" w:eastAsia="仿宋" w:cs="仿宋"/>
                <w:color w:val="auto"/>
                <w:szCs w:val="21"/>
                <w:highlight w:val="none"/>
              </w:rPr>
            </w:pPr>
          </w:p>
        </w:tc>
        <w:tc>
          <w:tcPr>
            <w:tcW w:w="1839" w:type="dxa"/>
          </w:tcPr>
          <w:p>
            <w:pPr>
              <w:spacing w:line="360" w:lineRule="auto"/>
              <w:jc w:val="center"/>
              <w:rPr>
                <w:rFonts w:hint="eastAsia" w:ascii="仿宋" w:hAnsi="仿宋" w:eastAsia="仿宋" w:cs="仿宋"/>
                <w:color w:val="auto"/>
                <w:szCs w:val="21"/>
                <w:highlight w:val="none"/>
              </w:rPr>
            </w:pPr>
          </w:p>
        </w:tc>
        <w:tc>
          <w:tcPr>
            <w:tcW w:w="2234" w:type="dxa"/>
          </w:tcPr>
          <w:p>
            <w:pPr>
              <w:spacing w:line="360" w:lineRule="auto"/>
              <w:jc w:val="center"/>
              <w:rPr>
                <w:rFonts w:hint="eastAsia" w:ascii="仿宋" w:hAnsi="仿宋" w:eastAsia="仿宋" w:cs="仿宋"/>
                <w:color w:val="auto"/>
                <w:szCs w:val="21"/>
                <w:highlight w:val="none"/>
              </w:rPr>
            </w:pPr>
          </w:p>
        </w:tc>
        <w:tc>
          <w:tcPr>
            <w:tcW w:w="2425" w:type="dxa"/>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仿宋" w:hAnsi="仿宋" w:eastAsia="仿宋" w:cs="仿宋"/>
                <w:color w:val="auto"/>
                <w:szCs w:val="21"/>
                <w:highlight w:val="none"/>
              </w:rPr>
            </w:pPr>
          </w:p>
        </w:tc>
        <w:tc>
          <w:tcPr>
            <w:tcW w:w="1989" w:type="dxa"/>
          </w:tcPr>
          <w:p>
            <w:pPr>
              <w:spacing w:line="360" w:lineRule="auto"/>
              <w:jc w:val="center"/>
              <w:rPr>
                <w:rFonts w:hint="eastAsia" w:ascii="仿宋" w:hAnsi="仿宋" w:eastAsia="仿宋" w:cs="仿宋"/>
                <w:color w:val="auto"/>
                <w:szCs w:val="21"/>
                <w:highlight w:val="none"/>
              </w:rPr>
            </w:pPr>
          </w:p>
        </w:tc>
        <w:tc>
          <w:tcPr>
            <w:tcW w:w="1839" w:type="dxa"/>
          </w:tcPr>
          <w:p>
            <w:pPr>
              <w:spacing w:line="360" w:lineRule="auto"/>
              <w:jc w:val="center"/>
              <w:rPr>
                <w:rFonts w:hint="eastAsia" w:ascii="仿宋" w:hAnsi="仿宋" w:eastAsia="仿宋" w:cs="仿宋"/>
                <w:color w:val="auto"/>
                <w:szCs w:val="21"/>
                <w:highlight w:val="none"/>
              </w:rPr>
            </w:pPr>
          </w:p>
        </w:tc>
        <w:tc>
          <w:tcPr>
            <w:tcW w:w="2234" w:type="dxa"/>
          </w:tcPr>
          <w:p>
            <w:pPr>
              <w:spacing w:line="360" w:lineRule="auto"/>
              <w:jc w:val="center"/>
              <w:rPr>
                <w:rFonts w:hint="eastAsia" w:ascii="仿宋" w:hAnsi="仿宋" w:eastAsia="仿宋" w:cs="仿宋"/>
                <w:color w:val="auto"/>
                <w:szCs w:val="21"/>
                <w:highlight w:val="none"/>
              </w:rPr>
            </w:pPr>
          </w:p>
        </w:tc>
        <w:tc>
          <w:tcPr>
            <w:tcW w:w="2425" w:type="dxa"/>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仿宋" w:hAnsi="仿宋" w:eastAsia="仿宋" w:cs="仿宋"/>
                <w:color w:val="auto"/>
                <w:szCs w:val="21"/>
                <w:highlight w:val="none"/>
              </w:rPr>
            </w:pPr>
          </w:p>
        </w:tc>
        <w:tc>
          <w:tcPr>
            <w:tcW w:w="1989" w:type="dxa"/>
          </w:tcPr>
          <w:p>
            <w:pPr>
              <w:spacing w:line="360" w:lineRule="auto"/>
              <w:jc w:val="center"/>
              <w:rPr>
                <w:rFonts w:hint="eastAsia" w:ascii="仿宋" w:hAnsi="仿宋" w:eastAsia="仿宋" w:cs="仿宋"/>
                <w:color w:val="auto"/>
                <w:szCs w:val="21"/>
                <w:highlight w:val="none"/>
              </w:rPr>
            </w:pPr>
          </w:p>
        </w:tc>
        <w:tc>
          <w:tcPr>
            <w:tcW w:w="1839" w:type="dxa"/>
          </w:tcPr>
          <w:p>
            <w:pPr>
              <w:spacing w:line="360" w:lineRule="auto"/>
              <w:jc w:val="center"/>
              <w:rPr>
                <w:rFonts w:hint="eastAsia" w:ascii="仿宋" w:hAnsi="仿宋" w:eastAsia="仿宋" w:cs="仿宋"/>
                <w:color w:val="auto"/>
                <w:szCs w:val="21"/>
                <w:highlight w:val="none"/>
              </w:rPr>
            </w:pPr>
          </w:p>
        </w:tc>
        <w:tc>
          <w:tcPr>
            <w:tcW w:w="2234" w:type="dxa"/>
          </w:tcPr>
          <w:p>
            <w:pPr>
              <w:spacing w:line="360" w:lineRule="auto"/>
              <w:jc w:val="center"/>
              <w:rPr>
                <w:rFonts w:hint="eastAsia" w:ascii="仿宋" w:hAnsi="仿宋" w:eastAsia="仿宋" w:cs="仿宋"/>
                <w:color w:val="auto"/>
                <w:szCs w:val="21"/>
                <w:highlight w:val="none"/>
              </w:rPr>
            </w:pPr>
          </w:p>
        </w:tc>
        <w:tc>
          <w:tcPr>
            <w:tcW w:w="2425" w:type="dxa"/>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仿宋" w:hAnsi="仿宋" w:eastAsia="仿宋" w:cs="仿宋"/>
                <w:color w:val="auto"/>
                <w:szCs w:val="21"/>
                <w:highlight w:val="none"/>
              </w:rPr>
            </w:pPr>
          </w:p>
        </w:tc>
        <w:tc>
          <w:tcPr>
            <w:tcW w:w="1989" w:type="dxa"/>
          </w:tcPr>
          <w:p>
            <w:pPr>
              <w:spacing w:line="360" w:lineRule="auto"/>
              <w:jc w:val="center"/>
              <w:rPr>
                <w:rFonts w:hint="eastAsia" w:ascii="仿宋" w:hAnsi="仿宋" w:eastAsia="仿宋" w:cs="仿宋"/>
                <w:color w:val="auto"/>
                <w:szCs w:val="21"/>
                <w:highlight w:val="none"/>
              </w:rPr>
            </w:pPr>
          </w:p>
        </w:tc>
        <w:tc>
          <w:tcPr>
            <w:tcW w:w="1839" w:type="dxa"/>
          </w:tcPr>
          <w:p>
            <w:pPr>
              <w:spacing w:line="360" w:lineRule="auto"/>
              <w:jc w:val="center"/>
              <w:rPr>
                <w:rFonts w:hint="eastAsia" w:ascii="仿宋" w:hAnsi="仿宋" w:eastAsia="仿宋" w:cs="仿宋"/>
                <w:color w:val="auto"/>
                <w:szCs w:val="21"/>
                <w:highlight w:val="none"/>
              </w:rPr>
            </w:pPr>
          </w:p>
        </w:tc>
        <w:tc>
          <w:tcPr>
            <w:tcW w:w="2234" w:type="dxa"/>
          </w:tcPr>
          <w:p>
            <w:pPr>
              <w:spacing w:line="360" w:lineRule="auto"/>
              <w:jc w:val="center"/>
              <w:rPr>
                <w:rFonts w:hint="eastAsia" w:ascii="仿宋" w:hAnsi="仿宋" w:eastAsia="仿宋" w:cs="仿宋"/>
                <w:color w:val="auto"/>
                <w:szCs w:val="21"/>
                <w:highlight w:val="none"/>
              </w:rPr>
            </w:pPr>
          </w:p>
        </w:tc>
        <w:tc>
          <w:tcPr>
            <w:tcW w:w="2425" w:type="dxa"/>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hint="eastAsia" w:ascii="仿宋" w:hAnsi="仿宋" w:eastAsia="仿宋" w:cs="仿宋"/>
                <w:color w:val="auto"/>
                <w:szCs w:val="21"/>
                <w:highlight w:val="none"/>
              </w:rPr>
            </w:pPr>
          </w:p>
        </w:tc>
        <w:tc>
          <w:tcPr>
            <w:tcW w:w="1989" w:type="dxa"/>
          </w:tcPr>
          <w:p>
            <w:pPr>
              <w:spacing w:line="360" w:lineRule="auto"/>
              <w:jc w:val="center"/>
              <w:rPr>
                <w:rFonts w:hint="eastAsia" w:ascii="仿宋" w:hAnsi="仿宋" w:eastAsia="仿宋" w:cs="仿宋"/>
                <w:color w:val="auto"/>
                <w:szCs w:val="21"/>
                <w:highlight w:val="none"/>
              </w:rPr>
            </w:pPr>
          </w:p>
        </w:tc>
        <w:tc>
          <w:tcPr>
            <w:tcW w:w="1839" w:type="dxa"/>
          </w:tcPr>
          <w:p>
            <w:pPr>
              <w:spacing w:line="360" w:lineRule="auto"/>
              <w:jc w:val="center"/>
              <w:rPr>
                <w:rFonts w:hint="eastAsia" w:ascii="仿宋" w:hAnsi="仿宋" w:eastAsia="仿宋" w:cs="仿宋"/>
                <w:color w:val="auto"/>
                <w:szCs w:val="21"/>
                <w:highlight w:val="none"/>
              </w:rPr>
            </w:pPr>
          </w:p>
        </w:tc>
        <w:tc>
          <w:tcPr>
            <w:tcW w:w="2234" w:type="dxa"/>
          </w:tcPr>
          <w:p>
            <w:pPr>
              <w:spacing w:line="360" w:lineRule="auto"/>
              <w:jc w:val="center"/>
              <w:rPr>
                <w:rFonts w:hint="eastAsia" w:ascii="仿宋" w:hAnsi="仿宋" w:eastAsia="仿宋" w:cs="仿宋"/>
                <w:color w:val="auto"/>
                <w:szCs w:val="21"/>
                <w:highlight w:val="none"/>
              </w:rPr>
            </w:pPr>
          </w:p>
        </w:tc>
        <w:tc>
          <w:tcPr>
            <w:tcW w:w="2425" w:type="dxa"/>
          </w:tcPr>
          <w:p>
            <w:pPr>
              <w:spacing w:line="360" w:lineRule="auto"/>
              <w:jc w:val="center"/>
              <w:rPr>
                <w:rFonts w:hint="eastAsia" w:ascii="仿宋" w:hAnsi="仿宋" w:eastAsia="仿宋" w:cs="仿宋"/>
                <w:color w:val="auto"/>
                <w:szCs w:val="21"/>
                <w:highlight w:val="none"/>
              </w:rPr>
            </w:pPr>
          </w:p>
        </w:tc>
      </w:tr>
    </w:tbl>
    <w:p>
      <w:pPr>
        <w:pStyle w:val="54"/>
        <w:ind w:firstLine="241" w:firstLineChars="10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1、以上表格格式行、列可增减。</w:t>
      </w: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2、供应商必须据实填写，不得虚假应答，否则将取消其投标或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资格。如与</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文件所列商务、技术、服务要求相关条款（指第五章采购项目技术、服务及商务要求）无偏离，则无须逐条应答；如有偏离条款（包括正偏离和负偏离），请将偏离条款逐条应答。</w:t>
      </w: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3、此表若空白则视为：①供应商对磋商文件第五章要求完全响应而无差异，②供应商对磋商文件表述的内容和要求完全理解而无异议。</w:t>
      </w:r>
    </w:p>
    <w:p>
      <w:pPr>
        <w:adjustRightInd w:val="0"/>
        <w:spacing w:line="360" w:lineRule="auto"/>
        <w:ind w:firstLine="480" w:firstLineChars="200"/>
        <w:jc w:val="left"/>
        <w:rPr>
          <w:rFonts w:hint="eastAsia" w:ascii="仿宋" w:hAnsi="仿宋" w:eastAsia="仿宋" w:cs="仿宋"/>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四</w:t>
      </w:r>
      <w:r>
        <w:rPr>
          <w:rStyle w:val="39"/>
          <w:rFonts w:hint="eastAsia" w:ascii="仿宋" w:hAnsi="仿宋" w:eastAsia="仿宋" w:cs="仿宋"/>
          <w:b/>
          <w:bCs/>
          <w:color w:val="auto"/>
          <w:highlight w:val="none"/>
        </w:rPr>
        <w:t>、供应商基本情况表</w:t>
      </w:r>
      <w:bookmarkEnd w:id="151"/>
      <w:bookmarkEnd w:id="152"/>
    </w:p>
    <w:tbl>
      <w:tblPr>
        <w:tblStyle w:val="18"/>
        <w:tblW w:w="93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1063"/>
        <w:gridCol w:w="1323"/>
        <w:gridCol w:w="1394"/>
        <w:gridCol w:w="1441"/>
        <w:gridCol w:w="176"/>
        <w:gridCol w:w="1114"/>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供应商名称</w:t>
            </w:r>
          </w:p>
        </w:tc>
        <w:tc>
          <w:tcPr>
            <w:tcW w:w="7696" w:type="dxa"/>
            <w:gridSpan w:val="7"/>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注册地址</w:t>
            </w:r>
          </w:p>
        </w:tc>
        <w:tc>
          <w:tcPr>
            <w:tcW w:w="3780" w:type="dxa"/>
            <w:gridSpan w:val="3"/>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441"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邮政编码</w:t>
            </w:r>
          </w:p>
        </w:tc>
        <w:tc>
          <w:tcPr>
            <w:tcW w:w="2475" w:type="dxa"/>
            <w:gridSpan w:val="3"/>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restart"/>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联系方式</w:t>
            </w:r>
          </w:p>
        </w:tc>
        <w:tc>
          <w:tcPr>
            <w:tcW w:w="1063"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w:t>
            </w:r>
          </w:p>
        </w:tc>
        <w:tc>
          <w:tcPr>
            <w:tcW w:w="2717"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441"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电话</w:t>
            </w:r>
          </w:p>
        </w:tc>
        <w:tc>
          <w:tcPr>
            <w:tcW w:w="2475" w:type="dxa"/>
            <w:gridSpan w:val="3"/>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continue"/>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063"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传真</w:t>
            </w:r>
          </w:p>
        </w:tc>
        <w:tc>
          <w:tcPr>
            <w:tcW w:w="2717"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441"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网址</w:t>
            </w:r>
          </w:p>
        </w:tc>
        <w:tc>
          <w:tcPr>
            <w:tcW w:w="2475" w:type="dxa"/>
            <w:gridSpan w:val="3"/>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组织结构</w:t>
            </w:r>
          </w:p>
        </w:tc>
        <w:tc>
          <w:tcPr>
            <w:tcW w:w="7696" w:type="dxa"/>
            <w:gridSpan w:val="7"/>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w:t>
            </w:r>
          </w:p>
        </w:tc>
        <w:tc>
          <w:tcPr>
            <w:tcW w:w="1063"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姓名</w:t>
            </w:r>
          </w:p>
        </w:tc>
        <w:tc>
          <w:tcPr>
            <w:tcW w:w="1323"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394"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技术职称</w:t>
            </w:r>
          </w:p>
        </w:tc>
        <w:tc>
          <w:tcPr>
            <w:tcW w:w="1441"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电话</w:t>
            </w:r>
          </w:p>
        </w:tc>
        <w:tc>
          <w:tcPr>
            <w:tcW w:w="1185" w:type="dxa"/>
            <w:vAlign w:val="center"/>
          </w:tcPr>
          <w:p>
            <w:pPr>
              <w:autoSpaceDE w:val="0"/>
              <w:autoSpaceDN w:val="0"/>
              <w:adjustRightInd w:val="0"/>
              <w:spacing w:line="360" w:lineRule="auto"/>
              <w:jc w:val="center"/>
              <w:rPr>
                <w:rFonts w:hint="eastAsia" w:ascii="仿宋" w:hAnsi="仿宋" w:eastAsia="仿宋" w:cs="仿宋"/>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技术负责人</w:t>
            </w:r>
          </w:p>
        </w:tc>
        <w:tc>
          <w:tcPr>
            <w:tcW w:w="1063"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姓名</w:t>
            </w:r>
          </w:p>
        </w:tc>
        <w:tc>
          <w:tcPr>
            <w:tcW w:w="1323"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394"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技术职称</w:t>
            </w:r>
          </w:p>
        </w:tc>
        <w:tc>
          <w:tcPr>
            <w:tcW w:w="1441"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电话</w:t>
            </w:r>
          </w:p>
        </w:tc>
        <w:tc>
          <w:tcPr>
            <w:tcW w:w="1185" w:type="dxa"/>
            <w:vAlign w:val="center"/>
          </w:tcPr>
          <w:p>
            <w:pPr>
              <w:autoSpaceDE w:val="0"/>
              <w:autoSpaceDN w:val="0"/>
              <w:adjustRightInd w:val="0"/>
              <w:spacing w:line="360" w:lineRule="auto"/>
              <w:jc w:val="center"/>
              <w:rPr>
                <w:rFonts w:hint="eastAsia" w:ascii="仿宋" w:hAnsi="仿宋" w:eastAsia="仿宋" w:cs="仿宋"/>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成立时间</w:t>
            </w:r>
          </w:p>
        </w:tc>
        <w:tc>
          <w:tcPr>
            <w:tcW w:w="2386"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5310" w:type="dxa"/>
            <w:gridSpan w:val="5"/>
            <w:vAlign w:val="center"/>
          </w:tcPr>
          <w:p>
            <w:pPr>
              <w:autoSpaceDE w:val="0"/>
              <w:autoSpaceDN w:val="0"/>
              <w:adjustRightInd w:val="0"/>
              <w:spacing w:line="360" w:lineRule="auto"/>
              <w:ind w:firstLine="1470" w:firstLineChars="7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企业资质等级</w:t>
            </w:r>
          </w:p>
        </w:tc>
        <w:tc>
          <w:tcPr>
            <w:tcW w:w="2386"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394" w:type="dxa"/>
            <w:vMerge w:val="restart"/>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其中</w:t>
            </w:r>
          </w:p>
        </w:tc>
        <w:tc>
          <w:tcPr>
            <w:tcW w:w="1617"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项目经理</w:t>
            </w:r>
          </w:p>
        </w:tc>
        <w:tc>
          <w:tcPr>
            <w:tcW w:w="2299" w:type="dxa"/>
            <w:gridSpan w:val="2"/>
            <w:vAlign w:val="center"/>
          </w:tcPr>
          <w:p>
            <w:pPr>
              <w:autoSpaceDE w:val="0"/>
              <w:autoSpaceDN w:val="0"/>
              <w:adjustRightInd w:val="0"/>
              <w:spacing w:line="360" w:lineRule="auto"/>
              <w:jc w:val="center"/>
              <w:rPr>
                <w:rFonts w:hint="eastAsia" w:ascii="仿宋" w:hAnsi="仿宋" w:eastAsia="仿宋" w:cs="仿宋"/>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营业执照号</w:t>
            </w:r>
          </w:p>
        </w:tc>
        <w:tc>
          <w:tcPr>
            <w:tcW w:w="2386"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高级职称人员</w:t>
            </w:r>
          </w:p>
        </w:tc>
        <w:tc>
          <w:tcPr>
            <w:tcW w:w="2299" w:type="dxa"/>
            <w:gridSpan w:val="2"/>
            <w:vAlign w:val="center"/>
          </w:tcPr>
          <w:p>
            <w:pPr>
              <w:autoSpaceDE w:val="0"/>
              <w:autoSpaceDN w:val="0"/>
              <w:adjustRightInd w:val="0"/>
              <w:spacing w:line="360" w:lineRule="auto"/>
              <w:jc w:val="center"/>
              <w:rPr>
                <w:rFonts w:hint="eastAsia" w:ascii="仿宋" w:hAnsi="仿宋" w:eastAsia="仿宋" w:cs="仿宋"/>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注册资金</w:t>
            </w:r>
          </w:p>
        </w:tc>
        <w:tc>
          <w:tcPr>
            <w:tcW w:w="2386"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中级职称人员</w:t>
            </w:r>
          </w:p>
        </w:tc>
        <w:tc>
          <w:tcPr>
            <w:tcW w:w="2299" w:type="dxa"/>
            <w:gridSpan w:val="2"/>
            <w:vAlign w:val="center"/>
          </w:tcPr>
          <w:p>
            <w:pPr>
              <w:autoSpaceDE w:val="0"/>
              <w:autoSpaceDN w:val="0"/>
              <w:adjustRightInd w:val="0"/>
              <w:spacing w:line="360" w:lineRule="auto"/>
              <w:jc w:val="center"/>
              <w:rPr>
                <w:rFonts w:hint="eastAsia" w:ascii="仿宋" w:hAnsi="仿宋" w:eastAsia="仿宋" w:cs="仿宋"/>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开户银行</w:t>
            </w:r>
          </w:p>
        </w:tc>
        <w:tc>
          <w:tcPr>
            <w:tcW w:w="2386"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初级职称人员</w:t>
            </w:r>
          </w:p>
        </w:tc>
        <w:tc>
          <w:tcPr>
            <w:tcW w:w="2299" w:type="dxa"/>
            <w:gridSpan w:val="2"/>
            <w:vAlign w:val="center"/>
          </w:tcPr>
          <w:p>
            <w:pPr>
              <w:autoSpaceDE w:val="0"/>
              <w:autoSpaceDN w:val="0"/>
              <w:adjustRightInd w:val="0"/>
              <w:spacing w:line="360" w:lineRule="auto"/>
              <w:jc w:val="center"/>
              <w:rPr>
                <w:rFonts w:hint="eastAsia" w:ascii="仿宋" w:hAnsi="仿宋" w:eastAsia="仿宋" w:cs="仿宋"/>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账号</w:t>
            </w:r>
          </w:p>
        </w:tc>
        <w:tc>
          <w:tcPr>
            <w:tcW w:w="2386"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技工</w:t>
            </w:r>
          </w:p>
        </w:tc>
        <w:tc>
          <w:tcPr>
            <w:tcW w:w="2299" w:type="dxa"/>
            <w:gridSpan w:val="2"/>
            <w:vAlign w:val="center"/>
          </w:tcPr>
          <w:p>
            <w:pPr>
              <w:autoSpaceDE w:val="0"/>
              <w:autoSpaceDN w:val="0"/>
              <w:adjustRightInd w:val="0"/>
              <w:spacing w:line="360" w:lineRule="auto"/>
              <w:jc w:val="center"/>
              <w:rPr>
                <w:rFonts w:hint="eastAsia" w:ascii="仿宋" w:hAnsi="仿宋" w:eastAsia="仿宋" w:cs="仿宋"/>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经营范围</w:t>
            </w:r>
          </w:p>
        </w:tc>
        <w:tc>
          <w:tcPr>
            <w:tcW w:w="7696" w:type="dxa"/>
            <w:gridSpan w:val="7"/>
            <w:vAlign w:val="center"/>
          </w:tcPr>
          <w:p>
            <w:pPr>
              <w:autoSpaceDE w:val="0"/>
              <w:autoSpaceDN w:val="0"/>
              <w:adjustRightInd w:val="0"/>
              <w:spacing w:line="360" w:lineRule="auto"/>
              <w:rPr>
                <w:rFonts w:hint="eastAsia" w:ascii="仿宋" w:hAnsi="仿宋" w:eastAsia="仿宋" w:cs="仿宋"/>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tcPr>
          <w:p>
            <w:pPr>
              <w:autoSpaceDE w:val="0"/>
              <w:autoSpaceDN w:val="0"/>
              <w:adjustRightIn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c>
          <w:tcPr>
            <w:tcW w:w="7696" w:type="dxa"/>
            <w:gridSpan w:val="7"/>
          </w:tcPr>
          <w:p>
            <w:pPr>
              <w:autoSpaceDE w:val="0"/>
              <w:autoSpaceDN w:val="0"/>
              <w:adjustRightInd w:val="0"/>
              <w:spacing w:line="360" w:lineRule="auto"/>
              <w:jc w:val="left"/>
              <w:rPr>
                <w:rFonts w:hint="eastAsia" w:ascii="仿宋" w:hAnsi="仿宋" w:eastAsia="仿宋" w:cs="仿宋"/>
                <w:color w:val="auto"/>
                <w:kern w:val="0"/>
                <w:szCs w:val="21"/>
                <w:highlight w:val="none"/>
              </w:rPr>
            </w:pPr>
          </w:p>
        </w:tc>
      </w:tr>
    </w:tbl>
    <w:p>
      <w:pPr>
        <w:adjustRightInd w:val="0"/>
        <w:spacing w:line="360" w:lineRule="auto"/>
        <w:ind w:firstLine="480" w:firstLineChars="200"/>
        <w:jc w:val="left"/>
        <w:rPr>
          <w:rFonts w:hint="eastAsia" w:ascii="仿宋" w:hAnsi="仿宋" w:eastAsia="仿宋" w:cs="仿宋"/>
          <w:color w:val="auto"/>
          <w:sz w:val="24"/>
          <w:highlight w:val="none"/>
        </w:rPr>
      </w:pPr>
      <w:bookmarkStart w:id="153" w:name="_Toc217446089"/>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54" w:name="_Toc1968_WPSOffice_Level2"/>
      <w:bookmarkStart w:id="155" w:name="_Toc562_WPSOffice_Level2"/>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五、供应商类似项目业绩一览表</w:t>
      </w:r>
      <w:bookmarkEnd w:id="153"/>
      <w:bookmarkEnd w:id="154"/>
      <w:bookmarkEnd w:id="155"/>
    </w:p>
    <w:tbl>
      <w:tblPr>
        <w:tblStyle w:val="18"/>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4"/>
        <w:gridCol w:w="1415"/>
        <w:gridCol w:w="1243"/>
        <w:gridCol w:w="1350"/>
        <w:gridCol w:w="9"/>
        <w:gridCol w:w="1452"/>
        <w:gridCol w:w="11"/>
        <w:gridCol w:w="1424"/>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top w:val="single" w:color="auto" w:sz="4" w:space="0"/>
            </w:tcBorders>
            <w:vAlign w:val="center"/>
          </w:tcPr>
          <w:p>
            <w:pPr>
              <w:spacing w:line="360" w:lineRule="auto"/>
              <w:ind w:firstLine="105" w:firstLineChars="5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年份</w:t>
            </w:r>
          </w:p>
        </w:tc>
        <w:tc>
          <w:tcPr>
            <w:tcW w:w="1544" w:type="dxa"/>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用户名称</w:t>
            </w:r>
          </w:p>
        </w:tc>
        <w:tc>
          <w:tcPr>
            <w:tcW w:w="1415" w:type="dxa"/>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项目名称</w:t>
            </w:r>
          </w:p>
        </w:tc>
        <w:tc>
          <w:tcPr>
            <w:tcW w:w="1243" w:type="dxa"/>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完成时间</w:t>
            </w:r>
          </w:p>
        </w:tc>
        <w:tc>
          <w:tcPr>
            <w:tcW w:w="1350" w:type="dxa"/>
            <w:vAlign w:val="center"/>
          </w:tcPr>
          <w:p>
            <w:pPr>
              <w:spacing w:line="360" w:lineRule="auto"/>
              <w:ind w:firstLine="105" w:firstLineChars="5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合同金额</w:t>
            </w:r>
          </w:p>
        </w:tc>
        <w:tc>
          <w:tcPr>
            <w:tcW w:w="1472" w:type="dxa"/>
            <w:gridSpan w:val="3"/>
            <w:tcBorders>
              <w:right w:val="single" w:color="auto" w:sz="4" w:space="0"/>
            </w:tcBorders>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是否通过验收</w:t>
            </w:r>
          </w:p>
        </w:tc>
        <w:tc>
          <w:tcPr>
            <w:tcW w:w="1437" w:type="dxa"/>
            <w:gridSpan w:val="2"/>
            <w:tcBorders>
              <w:right w:val="single" w:color="auto" w:sz="4" w:space="0"/>
            </w:tcBorders>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仿宋" w:hAnsi="仿宋" w:eastAsia="仿宋" w:cs="仿宋"/>
                <w:color w:val="auto"/>
                <w:szCs w:val="21"/>
                <w:highlight w:val="none"/>
              </w:rPr>
            </w:pPr>
          </w:p>
        </w:tc>
        <w:tc>
          <w:tcPr>
            <w:tcW w:w="1544" w:type="dxa"/>
            <w:vAlign w:val="center"/>
          </w:tcPr>
          <w:p>
            <w:pPr>
              <w:spacing w:line="360" w:lineRule="auto"/>
              <w:jc w:val="center"/>
              <w:rPr>
                <w:rFonts w:hint="eastAsia" w:ascii="仿宋" w:hAnsi="仿宋" w:eastAsia="仿宋" w:cs="仿宋"/>
                <w:color w:val="auto"/>
                <w:szCs w:val="21"/>
                <w:highlight w:val="none"/>
              </w:rPr>
            </w:pPr>
          </w:p>
        </w:tc>
        <w:tc>
          <w:tcPr>
            <w:tcW w:w="1415" w:type="dxa"/>
            <w:vAlign w:val="center"/>
          </w:tcPr>
          <w:p>
            <w:pPr>
              <w:spacing w:line="360" w:lineRule="auto"/>
              <w:jc w:val="center"/>
              <w:rPr>
                <w:rFonts w:hint="eastAsia" w:ascii="仿宋" w:hAnsi="仿宋" w:eastAsia="仿宋" w:cs="仿宋"/>
                <w:color w:val="auto"/>
                <w:szCs w:val="21"/>
                <w:highlight w:val="none"/>
              </w:rPr>
            </w:pPr>
          </w:p>
        </w:tc>
        <w:tc>
          <w:tcPr>
            <w:tcW w:w="1243" w:type="dxa"/>
            <w:vAlign w:val="center"/>
          </w:tcPr>
          <w:p>
            <w:pPr>
              <w:spacing w:line="360" w:lineRule="auto"/>
              <w:jc w:val="center"/>
              <w:rPr>
                <w:rFonts w:hint="eastAsia" w:ascii="仿宋" w:hAnsi="仿宋" w:eastAsia="仿宋" w:cs="仿宋"/>
                <w:color w:val="auto"/>
                <w:szCs w:val="21"/>
                <w:highlight w:val="none"/>
              </w:rPr>
            </w:pPr>
          </w:p>
        </w:tc>
        <w:tc>
          <w:tcPr>
            <w:tcW w:w="1350" w:type="dxa"/>
            <w:vAlign w:val="center"/>
          </w:tcPr>
          <w:p>
            <w:pPr>
              <w:spacing w:line="360" w:lineRule="auto"/>
              <w:jc w:val="center"/>
              <w:rPr>
                <w:rFonts w:hint="eastAsia" w:ascii="仿宋" w:hAnsi="仿宋" w:eastAsia="仿宋" w:cs="仿宋"/>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仿宋" w:hAnsi="仿宋" w:eastAsia="仿宋" w:cs="仿宋"/>
                <w:color w:val="auto"/>
                <w:szCs w:val="21"/>
                <w:highlight w:val="none"/>
              </w:rPr>
            </w:pPr>
          </w:p>
        </w:tc>
        <w:tc>
          <w:tcPr>
            <w:tcW w:w="1544" w:type="dxa"/>
            <w:vAlign w:val="center"/>
          </w:tcPr>
          <w:p>
            <w:pPr>
              <w:spacing w:line="360" w:lineRule="auto"/>
              <w:jc w:val="center"/>
              <w:rPr>
                <w:rFonts w:hint="eastAsia" w:ascii="仿宋" w:hAnsi="仿宋" w:eastAsia="仿宋" w:cs="仿宋"/>
                <w:color w:val="auto"/>
                <w:szCs w:val="21"/>
                <w:highlight w:val="none"/>
              </w:rPr>
            </w:pPr>
          </w:p>
        </w:tc>
        <w:tc>
          <w:tcPr>
            <w:tcW w:w="1415" w:type="dxa"/>
            <w:vAlign w:val="center"/>
          </w:tcPr>
          <w:p>
            <w:pPr>
              <w:spacing w:line="360" w:lineRule="auto"/>
              <w:jc w:val="center"/>
              <w:rPr>
                <w:rFonts w:hint="eastAsia" w:ascii="仿宋" w:hAnsi="仿宋" w:eastAsia="仿宋" w:cs="仿宋"/>
                <w:color w:val="auto"/>
                <w:szCs w:val="21"/>
                <w:highlight w:val="none"/>
              </w:rPr>
            </w:pPr>
          </w:p>
        </w:tc>
        <w:tc>
          <w:tcPr>
            <w:tcW w:w="1243" w:type="dxa"/>
            <w:vAlign w:val="center"/>
          </w:tcPr>
          <w:p>
            <w:pPr>
              <w:spacing w:line="360" w:lineRule="auto"/>
              <w:jc w:val="center"/>
              <w:rPr>
                <w:rFonts w:hint="eastAsia" w:ascii="仿宋" w:hAnsi="仿宋" w:eastAsia="仿宋" w:cs="仿宋"/>
                <w:color w:val="auto"/>
                <w:szCs w:val="21"/>
                <w:highlight w:val="none"/>
              </w:rPr>
            </w:pPr>
          </w:p>
        </w:tc>
        <w:tc>
          <w:tcPr>
            <w:tcW w:w="1350" w:type="dxa"/>
            <w:vAlign w:val="center"/>
          </w:tcPr>
          <w:p>
            <w:pPr>
              <w:spacing w:line="360" w:lineRule="auto"/>
              <w:jc w:val="center"/>
              <w:rPr>
                <w:rFonts w:hint="eastAsia" w:ascii="仿宋" w:hAnsi="仿宋" w:eastAsia="仿宋" w:cs="仿宋"/>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仿宋" w:hAnsi="仿宋" w:eastAsia="仿宋" w:cs="仿宋"/>
                <w:color w:val="auto"/>
                <w:szCs w:val="21"/>
                <w:highlight w:val="none"/>
              </w:rPr>
            </w:pPr>
          </w:p>
        </w:tc>
        <w:tc>
          <w:tcPr>
            <w:tcW w:w="1544" w:type="dxa"/>
            <w:vAlign w:val="center"/>
          </w:tcPr>
          <w:p>
            <w:pPr>
              <w:spacing w:line="360" w:lineRule="auto"/>
              <w:jc w:val="center"/>
              <w:rPr>
                <w:rFonts w:hint="eastAsia" w:ascii="仿宋" w:hAnsi="仿宋" w:eastAsia="仿宋" w:cs="仿宋"/>
                <w:color w:val="auto"/>
                <w:szCs w:val="21"/>
                <w:highlight w:val="none"/>
              </w:rPr>
            </w:pPr>
          </w:p>
        </w:tc>
        <w:tc>
          <w:tcPr>
            <w:tcW w:w="1415" w:type="dxa"/>
            <w:vAlign w:val="center"/>
          </w:tcPr>
          <w:p>
            <w:pPr>
              <w:spacing w:line="360" w:lineRule="auto"/>
              <w:jc w:val="center"/>
              <w:rPr>
                <w:rFonts w:hint="eastAsia" w:ascii="仿宋" w:hAnsi="仿宋" w:eastAsia="仿宋" w:cs="仿宋"/>
                <w:color w:val="auto"/>
                <w:szCs w:val="21"/>
                <w:highlight w:val="none"/>
              </w:rPr>
            </w:pPr>
          </w:p>
        </w:tc>
        <w:tc>
          <w:tcPr>
            <w:tcW w:w="1243" w:type="dxa"/>
            <w:vAlign w:val="center"/>
          </w:tcPr>
          <w:p>
            <w:pPr>
              <w:spacing w:line="360" w:lineRule="auto"/>
              <w:jc w:val="center"/>
              <w:rPr>
                <w:rFonts w:hint="eastAsia" w:ascii="仿宋" w:hAnsi="仿宋" w:eastAsia="仿宋" w:cs="仿宋"/>
                <w:color w:val="auto"/>
                <w:szCs w:val="21"/>
                <w:highlight w:val="none"/>
              </w:rPr>
            </w:pPr>
          </w:p>
        </w:tc>
        <w:tc>
          <w:tcPr>
            <w:tcW w:w="1350" w:type="dxa"/>
            <w:vAlign w:val="center"/>
          </w:tcPr>
          <w:p>
            <w:pPr>
              <w:spacing w:line="360" w:lineRule="auto"/>
              <w:jc w:val="center"/>
              <w:rPr>
                <w:rFonts w:hint="eastAsia" w:ascii="仿宋" w:hAnsi="仿宋" w:eastAsia="仿宋" w:cs="仿宋"/>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仿宋" w:hAnsi="仿宋" w:eastAsia="仿宋" w:cs="仿宋"/>
                <w:color w:val="auto"/>
                <w:szCs w:val="21"/>
                <w:highlight w:val="none"/>
              </w:rPr>
            </w:pPr>
          </w:p>
        </w:tc>
        <w:tc>
          <w:tcPr>
            <w:tcW w:w="1544" w:type="dxa"/>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15" w:type="dxa"/>
            <w:tcBorders>
              <w:lef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243" w:type="dxa"/>
            <w:vAlign w:val="center"/>
          </w:tcPr>
          <w:p>
            <w:pPr>
              <w:spacing w:line="360" w:lineRule="auto"/>
              <w:jc w:val="center"/>
              <w:rPr>
                <w:rFonts w:hint="eastAsia" w:ascii="仿宋" w:hAnsi="仿宋" w:eastAsia="仿宋" w:cs="仿宋"/>
                <w:color w:val="auto"/>
                <w:szCs w:val="21"/>
                <w:highlight w:val="none"/>
              </w:rPr>
            </w:pPr>
          </w:p>
        </w:tc>
        <w:tc>
          <w:tcPr>
            <w:tcW w:w="1350" w:type="dxa"/>
            <w:vAlign w:val="center"/>
          </w:tcPr>
          <w:p>
            <w:pPr>
              <w:spacing w:line="360" w:lineRule="auto"/>
              <w:jc w:val="center"/>
              <w:rPr>
                <w:rFonts w:hint="eastAsia" w:ascii="仿宋" w:hAnsi="仿宋" w:eastAsia="仿宋" w:cs="仿宋"/>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544"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1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243"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359" w:type="dxa"/>
            <w:gridSpan w:val="2"/>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63" w:type="dxa"/>
            <w:gridSpan w:val="2"/>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7" w:type="dxa"/>
            <w:gridSpan w:val="2"/>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仿宋" w:hAnsi="仿宋" w:eastAsia="仿宋" w:cs="仿宋"/>
                <w:color w:val="auto"/>
                <w:szCs w:val="21"/>
                <w:highlight w:val="none"/>
              </w:rPr>
            </w:pPr>
          </w:p>
        </w:tc>
        <w:tc>
          <w:tcPr>
            <w:tcW w:w="1544" w:type="dxa"/>
            <w:vAlign w:val="center"/>
          </w:tcPr>
          <w:p>
            <w:pPr>
              <w:spacing w:line="360" w:lineRule="auto"/>
              <w:jc w:val="center"/>
              <w:rPr>
                <w:rFonts w:hint="eastAsia" w:ascii="仿宋" w:hAnsi="仿宋" w:eastAsia="仿宋" w:cs="仿宋"/>
                <w:color w:val="auto"/>
                <w:szCs w:val="21"/>
                <w:highlight w:val="none"/>
              </w:rPr>
            </w:pPr>
          </w:p>
        </w:tc>
        <w:tc>
          <w:tcPr>
            <w:tcW w:w="1415" w:type="dxa"/>
            <w:vAlign w:val="center"/>
          </w:tcPr>
          <w:p>
            <w:pPr>
              <w:spacing w:line="360" w:lineRule="auto"/>
              <w:jc w:val="center"/>
              <w:rPr>
                <w:rFonts w:hint="eastAsia" w:ascii="仿宋" w:hAnsi="仿宋" w:eastAsia="仿宋" w:cs="仿宋"/>
                <w:color w:val="auto"/>
                <w:szCs w:val="21"/>
                <w:highlight w:val="none"/>
              </w:rPr>
            </w:pPr>
          </w:p>
        </w:tc>
        <w:tc>
          <w:tcPr>
            <w:tcW w:w="1243" w:type="dxa"/>
            <w:vAlign w:val="center"/>
          </w:tcPr>
          <w:p>
            <w:pPr>
              <w:spacing w:line="360" w:lineRule="auto"/>
              <w:jc w:val="center"/>
              <w:rPr>
                <w:rFonts w:hint="eastAsia" w:ascii="仿宋" w:hAnsi="仿宋" w:eastAsia="仿宋" w:cs="仿宋"/>
                <w:color w:val="auto"/>
                <w:szCs w:val="21"/>
                <w:highlight w:val="none"/>
              </w:rPr>
            </w:pPr>
          </w:p>
        </w:tc>
        <w:tc>
          <w:tcPr>
            <w:tcW w:w="1359" w:type="dxa"/>
            <w:gridSpan w:val="2"/>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仿宋" w:hAnsi="仿宋" w:eastAsia="仿宋" w:cs="仿宋"/>
                <w:color w:val="auto"/>
                <w:szCs w:val="21"/>
                <w:highlight w:val="none"/>
              </w:rPr>
            </w:pPr>
          </w:p>
        </w:tc>
        <w:tc>
          <w:tcPr>
            <w:tcW w:w="1544" w:type="dxa"/>
            <w:vAlign w:val="center"/>
          </w:tcPr>
          <w:p>
            <w:pPr>
              <w:spacing w:line="360" w:lineRule="auto"/>
              <w:jc w:val="center"/>
              <w:rPr>
                <w:rFonts w:hint="eastAsia" w:ascii="仿宋" w:hAnsi="仿宋" w:eastAsia="仿宋" w:cs="仿宋"/>
                <w:color w:val="auto"/>
                <w:szCs w:val="21"/>
                <w:highlight w:val="none"/>
              </w:rPr>
            </w:pPr>
          </w:p>
        </w:tc>
        <w:tc>
          <w:tcPr>
            <w:tcW w:w="1415" w:type="dxa"/>
            <w:vAlign w:val="center"/>
          </w:tcPr>
          <w:p>
            <w:pPr>
              <w:spacing w:line="360" w:lineRule="auto"/>
              <w:jc w:val="center"/>
              <w:rPr>
                <w:rFonts w:hint="eastAsia" w:ascii="仿宋" w:hAnsi="仿宋" w:eastAsia="仿宋" w:cs="仿宋"/>
                <w:color w:val="auto"/>
                <w:szCs w:val="21"/>
                <w:highlight w:val="none"/>
              </w:rPr>
            </w:pPr>
          </w:p>
        </w:tc>
        <w:tc>
          <w:tcPr>
            <w:tcW w:w="1243" w:type="dxa"/>
            <w:vAlign w:val="center"/>
          </w:tcPr>
          <w:p>
            <w:pPr>
              <w:spacing w:line="360" w:lineRule="auto"/>
              <w:jc w:val="center"/>
              <w:rPr>
                <w:rFonts w:hint="eastAsia" w:ascii="仿宋" w:hAnsi="仿宋" w:eastAsia="仿宋" w:cs="仿宋"/>
                <w:color w:val="auto"/>
                <w:szCs w:val="21"/>
                <w:highlight w:val="none"/>
              </w:rPr>
            </w:pPr>
          </w:p>
        </w:tc>
        <w:tc>
          <w:tcPr>
            <w:tcW w:w="1359" w:type="dxa"/>
            <w:gridSpan w:val="2"/>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仿宋" w:hAnsi="仿宋" w:eastAsia="仿宋" w:cs="仿宋"/>
                <w:color w:val="auto"/>
                <w:szCs w:val="21"/>
                <w:highlight w:val="none"/>
              </w:rPr>
            </w:pPr>
          </w:p>
        </w:tc>
        <w:tc>
          <w:tcPr>
            <w:tcW w:w="1544" w:type="dxa"/>
            <w:vAlign w:val="center"/>
          </w:tcPr>
          <w:p>
            <w:pPr>
              <w:spacing w:line="360" w:lineRule="auto"/>
              <w:jc w:val="center"/>
              <w:rPr>
                <w:rFonts w:hint="eastAsia" w:ascii="仿宋" w:hAnsi="仿宋" w:eastAsia="仿宋" w:cs="仿宋"/>
                <w:color w:val="auto"/>
                <w:szCs w:val="21"/>
                <w:highlight w:val="none"/>
              </w:rPr>
            </w:pPr>
          </w:p>
        </w:tc>
        <w:tc>
          <w:tcPr>
            <w:tcW w:w="1415" w:type="dxa"/>
            <w:vAlign w:val="center"/>
          </w:tcPr>
          <w:p>
            <w:pPr>
              <w:spacing w:line="360" w:lineRule="auto"/>
              <w:jc w:val="center"/>
              <w:rPr>
                <w:rFonts w:hint="eastAsia" w:ascii="仿宋" w:hAnsi="仿宋" w:eastAsia="仿宋" w:cs="仿宋"/>
                <w:color w:val="auto"/>
                <w:szCs w:val="21"/>
                <w:highlight w:val="none"/>
              </w:rPr>
            </w:pPr>
          </w:p>
        </w:tc>
        <w:tc>
          <w:tcPr>
            <w:tcW w:w="1243" w:type="dxa"/>
            <w:vAlign w:val="center"/>
          </w:tcPr>
          <w:p>
            <w:pPr>
              <w:spacing w:line="360" w:lineRule="auto"/>
              <w:jc w:val="center"/>
              <w:rPr>
                <w:rFonts w:hint="eastAsia" w:ascii="仿宋" w:hAnsi="仿宋" w:eastAsia="仿宋" w:cs="仿宋"/>
                <w:color w:val="auto"/>
                <w:szCs w:val="21"/>
                <w:highlight w:val="none"/>
              </w:rPr>
            </w:pPr>
          </w:p>
        </w:tc>
        <w:tc>
          <w:tcPr>
            <w:tcW w:w="1359" w:type="dxa"/>
            <w:gridSpan w:val="2"/>
            <w:tcBorders>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510" w:hRule="atLeast"/>
          <w:jc w:val="center"/>
        </w:trPr>
        <w:tc>
          <w:tcPr>
            <w:tcW w:w="770" w:type="dxa"/>
            <w:tcBorders>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544" w:type="dxa"/>
            <w:tcBorders>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15" w:type="dxa"/>
            <w:tcBorders>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243" w:type="dxa"/>
            <w:tcBorders>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359" w:type="dxa"/>
            <w:gridSpan w:val="2"/>
            <w:tcBorders>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52" w:type="dxa"/>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5" w:type="dxa"/>
            <w:gridSpan w:val="2"/>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50"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35" w:hRule="atLeast"/>
          <w:jc w:val="center"/>
        </w:trPr>
        <w:tc>
          <w:tcPr>
            <w:tcW w:w="770" w:type="dxa"/>
            <w:tcBorders>
              <w:top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544" w:type="dxa"/>
            <w:tcBorders>
              <w:top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15" w:type="dxa"/>
            <w:tcBorders>
              <w:top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243" w:type="dxa"/>
            <w:tcBorders>
              <w:top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359" w:type="dxa"/>
            <w:gridSpan w:val="2"/>
            <w:tcBorders>
              <w:top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52"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1435"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r>
    </w:tbl>
    <w:p>
      <w:pPr>
        <w:adjustRightInd w:val="0"/>
        <w:spacing w:line="360" w:lineRule="auto"/>
        <w:ind w:firstLine="480" w:firstLineChars="200"/>
        <w:jc w:val="left"/>
        <w:rPr>
          <w:rFonts w:hint="eastAsia" w:ascii="仿宋" w:hAnsi="仿宋" w:eastAsia="仿宋" w:cs="仿宋"/>
          <w:color w:val="auto"/>
          <w:sz w:val="24"/>
          <w:highlight w:val="none"/>
        </w:rPr>
      </w:pPr>
      <w:bookmarkStart w:id="156" w:name="_Toc217446091"/>
    </w:p>
    <w:p>
      <w:pPr>
        <w:adjustRightInd w:val="0"/>
        <w:spacing w:line="360" w:lineRule="auto"/>
        <w:ind w:firstLine="480" w:firstLineChars="200"/>
        <w:jc w:val="left"/>
        <w:rPr>
          <w:rFonts w:hint="eastAsia" w:ascii="仿宋" w:hAnsi="仿宋" w:eastAsia="仿宋" w:cs="仿宋"/>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color w:val="auto"/>
          <w:highlight w:val="none"/>
        </w:rPr>
      </w:pPr>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kern w:val="0"/>
          <w:highlight w:val="none"/>
        </w:rPr>
        <w:br w:type="page"/>
      </w:r>
      <w:bookmarkStart w:id="157" w:name="_Toc13243_WPSOffice_Level2"/>
      <w:bookmarkStart w:id="158" w:name="_Toc19674_WPSOffice_Level2"/>
      <w:r>
        <w:rPr>
          <w:rFonts w:hint="eastAsia" w:ascii="仿宋" w:hAnsi="仿宋" w:eastAsia="仿宋" w:cs="仿宋"/>
          <w:color w:val="auto"/>
          <w:kern w:val="0"/>
          <w:highlight w:val="none"/>
        </w:rPr>
        <w:t>六</w:t>
      </w:r>
      <w:r>
        <w:rPr>
          <w:rFonts w:hint="eastAsia" w:ascii="仿宋" w:hAnsi="仿宋" w:eastAsia="仿宋" w:cs="仿宋"/>
          <w:color w:val="auto"/>
          <w:highlight w:val="none"/>
        </w:rPr>
        <w:t>、供应商本项目管理、技术、服务人员情况表</w:t>
      </w:r>
      <w:bookmarkEnd w:id="156"/>
      <w:bookmarkEnd w:id="157"/>
      <w:bookmarkEnd w:id="158"/>
    </w:p>
    <w:p>
      <w:pPr>
        <w:snapToGrid w:val="0"/>
        <w:spacing w:line="360" w:lineRule="auto"/>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项目名称：</w:t>
      </w:r>
      <w:r>
        <w:rPr>
          <w:rFonts w:hint="eastAsia" w:ascii="仿宋" w:hAnsi="仿宋" w:eastAsia="仿宋" w:cs="仿宋"/>
          <w:bCs/>
          <w:color w:val="auto"/>
          <w:sz w:val="24"/>
          <w:highlight w:val="none"/>
          <w:u w:val="single"/>
        </w:rPr>
        <w:t xml:space="preserve">            </w:t>
      </w:r>
    </w:p>
    <w:p>
      <w:pPr>
        <w:snapToGrid w:val="0"/>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Cs w:val="21"/>
          <w:highlight w:val="none"/>
        </w:rPr>
        <w:t>项目编号：</w:t>
      </w:r>
      <w:r>
        <w:rPr>
          <w:rFonts w:hint="eastAsia" w:ascii="仿宋" w:hAnsi="仿宋" w:eastAsia="仿宋" w:cs="仿宋"/>
          <w:bCs/>
          <w:color w:val="auto"/>
          <w:sz w:val="24"/>
          <w:highlight w:val="none"/>
          <w:u w:val="single"/>
        </w:rPr>
        <w:t xml:space="preserve">            </w:t>
      </w:r>
    </w:p>
    <w:tbl>
      <w:tblPr>
        <w:tblStyle w:val="18"/>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75"/>
        <w:gridCol w:w="976"/>
        <w:gridCol w:w="976"/>
        <w:gridCol w:w="976"/>
        <w:gridCol w:w="1341"/>
        <w:gridCol w:w="851"/>
        <w:gridCol w:w="102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类别</w:t>
            </w:r>
          </w:p>
        </w:tc>
        <w:tc>
          <w:tcPr>
            <w:tcW w:w="975" w:type="dxa"/>
            <w:vMerge w:val="restart"/>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976" w:type="dxa"/>
            <w:vMerge w:val="restart"/>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976" w:type="dxa"/>
            <w:vMerge w:val="restart"/>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976" w:type="dxa"/>
            <w:vMerge w:val="restart"/>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常住地</w:t>
            </w:r>
          </w:p>
        </w:tc>
        <w:tc>
          <w:tcPr>
            <w:tcW w:w="4112" w:type="dxa"/>
            <w:gridSpan w:val="4"/>
            <w:vAlign w:val="center"/>
          </w:tcPr>
          <w:p>
            <w:pPr>
              <w:widowControl/>
              <w:spacing w:line="360" w:lineRule="atLeast"/>
              <w:ind w:firstLine="411" w:firstLineChars="196"/>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hint="eastAsia" w:ascii="仿宋" w:hAnsi="仿宋" w:eastAsia="仿宋" w:cs="仿宋"/>
                <w:color w:val="auto"/>
                <w:szCs w:val="21"/>
                <w:highlight w:val="none"/>
              </w:rPr>
            </w:pPr>
          </w:p>
        </w:tc>
        <w:tc>
          <w:tcPr>
            <w:tcW w:w="975" w:type="dxa"/>
            <w:vMerge w:val="continue"/>
            <w:vAlign w:val="center"/>
          </w:tcPr>
          <w:p>
            <w:pPr>
              <w:jc w:val="center"/>
              <w:rPr>
                <w:rFonts w:hint="eastAsia" w:ascii="仿宋" w:hAnsi="仿宋" w:eastAsia="仿宋" w:cs="仿宋"/>
                <w:color w:val="auto"/>
                <w:szCs w:val="21"/>
                <w:highlight w:val="none"/>
              </w:rPr>
            </w:pPr>
          </w:p>
        </w:tc>
        <w:tc>
          <w:tcPr>
            <w:tcW w:w="976" w:type="dxa"/>
            <w:vMerge w:val="continue"/>
            <w:vAlign w:val="center"/>
          </w:tcPr>
          <w:p>
            <w:pPr>
              <w:jc w:val="center"/>
              <w:rPr>
                <w:rFonts w:hint="eastAsia" w:ascii="仿宋" w:hAnsi="仿宋" w:eastAsia="仿宋" w:cs="仿宋"/>
                <w:color w:val="auto"/>
                <w:szCs w:val="21"/>
                <w:highlight w:val="none"/>
              </w:rPr>
            </w:pPr>
          </w:p>
        </w:tc>
        <w:tc>
          <w:tcPr>
            <w:tcW w:w="976" w:type="dxa"/>
            <w:vMerge w:val="continue"/>
            <w:vAlign w:val="center"/>
          </w:tcPr>
          <w:p>
            <w:pPr>
              <w:jc w:val="center"/>
              <w:rPr>
                <w:rFonts w:hint="eastAsia" w:ascii="仿宋" w:hAnsi="仿宋" w:eastAsia="仿宋" w:cs="仿宋"/>
                <w:color w:val="auto"/>
                <w:szCs w:val="21"/>
                <w:highlight w:val="none"/>
              </w:rPr>
            </w:pPr>
          </w:p>
        </w:tc>
        <w:tc>
          <w:tcPr>
            <w:tcW w:w="976" w:type="dxa"/>
            <w:vMerge w:val="continue"/>
            <w:vAlign w:val="center"/>
          </w:tcPr>
          <w:p>
            <w:pPr>
              <w:jc w:val="center"/>
              <w:rPr>
                <w:rFonts w:hint="eastAsia" w:ascii="仿宋" w:hAnsi="仿宋" w:eastAsia="仿宋" w:cs="仿宋"/>
                <w:color w:val="auto"/>
                <w:szCs w:val="21"/>
                <w:highlight w:val="none"/>
              </w:rPr>
            </w:pPr>
          </w:p>
        </w:tc>
        <w:tc>
          <w:tcPr>
            <w:tcW w:w="1341" w:type="dxa"/>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851" w:type="dxa"/>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级别</w:t>
            </w:r>
          </w:p>
        </w:tc>
        <w:tc>
          <w:tcPr>
            <w:tcW w:w="1025" w:type="dxa"/>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证号</w:t>
            </w:r>
          </w:p>
        </w:tc>
        <w:tc>
          <w:tcPr>
            <w:tcW w:w="895" w:type="dxa"/>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管理</w:t>
            </w:r>
          </w:p>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w:t>
            </w:r>
          </w:p>
        </w:tc>
        <w:tc>
          <w:tcPr>
            <w:tcW w:w="97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34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5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02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9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hint="eastAsia" w:ascii="仿宋" w:hAnsi="仿宋" w:eastAsia="仿宋" w:cs="仿宋"/>
                <w:color w:val="auto"/>
                <w:szCs w:val="21"/>
                <w:highlight w:val="none"/>
              </w:rPr>
            </w:pPr>
          </w:p>
        </w:tc>
        <w:tc>
          <w:tcPr>
            <w:tcW w:w="97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34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5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02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9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hint="eastAsia" w:ascii="仿宋" w:hAnsi="仿宋" w:eastAsia="仿宋" w:cs="仿宋"/>
                <w:color w:val="auto"/>
                <w:szCs w:val="21"/>
                <w:highlight w:val="none"/>
              </w:rPr>
            </w:pPr>
          </w:p>
        </w:tc>
        <w:tc>
          <w:tcPr>
            <w:tcW w:w="97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34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5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02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9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w:t>
            </w:r>
          </w:p>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w:t>
            </w:r>
          </w:p>
        </w:tc>
        <w:tc>
          <w:tcPr>
            <w:tcW w:w="97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34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5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02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9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hint="eastAsia" w:ascii="仿宋" w:hAnsi="仿宋" w:eastAsia="仿宋" w:cs="仿宋"/>
                <w:color w:val="auto"/>
                <w:szCs w:val="21"/>
                <w:highlight w:val="none"/>
              </w:rPr>
            </w:pPr>
          </w:p>
        </w:tc>
        <w:tc>
          <w:tcPr>
            <w:tcW w:w="97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34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5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02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9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hint="eastAsia" w:ascii="仿宋" w:hAnsi="仿宋" w:eastAsia="仿宋" w:cs="仿宋"/>
                <w:color w:val="auto"/>
                <w:szCs w:val="21"/>
                <w:highlight w:val="none"/>
              </w:rPr>
            </w:pPr>
          </w:p>
        </w:tc>
        <w:tc>
          <w:tcPr>
            <w:tcW w:w="97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34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5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02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9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售后服务人员</w:t>
            </w:r>
          </w:p>
        </w:tc>
        <w:tc>
          <w:tcPr>
            <w:tcW w:w="97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34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5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02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9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widowControl/>
              <w:spacing w:line="360" w:lineRule="atLeast"/>
              <w:jc w:val="center"/>
              <w:rPr>
                <w:rFonts w:hint="eastAsia" w:ascii="仿宋" w:hAnsi="仿宋" w:eastAsia="仿宋" w:cs="仿宋"/>
                <w:color w:val="auto"/>
                <w:szCs w:val="21"/>
                <w:highlight w:val="none"/>
              </w:rPr>
            </w:pPr>
          </w:p>
        </w:tc>
        <w:tc>
          <w:tcPr>
            <w:tcW w:w="97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34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5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02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9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tcBorders>
              <w:bottom w:val="single" w:color="auto" w:sz="4" w:space="0"/>
            </w:tcBorders>
            <w:vAlign w:val="center"/>
          </w:tcPr>
          <w:p>
            <w:pPr>
              <w:jc w:val="center"/>
              <w:rPr>
                <w:rFonts w:hint="eastAsia" w:ascii="仿宋" w:hAnsi="仿宋" w:eastAsia="仿宋" w:cs="仿宋"/>
                <w:color w:val="auto"/>
                <w:szCs w:val="21"/>
                <w:highlight w:val="none"/>
              </w:rPr>
            </w:pPr>
          </w:p>
        </w:tc>
        <w:tc>
          <w:tcPr>
            <w:tcW w:w="975" w:type="dxa"/>
            <w:tcBorders>
              <w:bottom w:val="single" w:color="auto" w:sz="4" w:space="0"/>
            </w:tcBorders>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976"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34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51"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102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c>
          <w:tcPr>
            <w:tcW w:w="895" w:type="dxa"/>
            <w:vAlign w:val="center"/>
          </w:tcPr>
          <w:p>
            <w:pPr>
              <w:widowControl/>
              <w:spacing w:line="360" w:lineRule="atLeast"/>
              <w:ind w:firstLine="411" w:firstLineChars="196"/>
              <w:jc w:val="center"/>
              <w:rPr>
                <w:rFonts w:hint="eastAsia" w:ascii="仿宋" w:hAnsi="仿宋" w:eastAsia="仿宋" w:cs="仿宋"/>
                <w:color w:val="auto"/>
                <w:szCs w:val="21"/>
                <w:highlight w:val="none"/>
              </w:rPr>
            </w:pPr>
          </w:p>
        </w:tc>
      </w:tr>
    </w:tbl>
    <w:p>
      <w:pPr>
        <w:adjustRightInd w:val="0"/>
        <w:spacing w:line="360" w:lineRule="auto"/>
        <w:ind w:firstLine="482" w:firstLineChars="200"/>
        <w:jc w:val="left"/>
        <w:rPr>
          <w:rFonts w:hint="eastAsia" w:ascii="仿宋" w:hAnsi="仿宋" w:eastAsia="仿宋" w:cs="仿宋"/>
          <w:b/>
          <w:color w:val="auto"/>
          <w:sz w:val="24"/>
          <w:highlight w:val="none"/>
        </w:rPr>
      </w:pPr>
    </w:p>
    <w:p>
      <w:pPr>
        <w:adjustRightInd w:val="0"/>
        <w:spacing w:line="360" w:lineRule="auto"/>
        <w:ind w:firstLine="482" w:firstLineChars="200"/>
        <w:jc w:val="left"/>
        <w:rPr>
          <w:rFonts w:hint="eastAsia" w:ascii="仿宋" w:hAnsi="仿宋" w:eastAsia="仿宋" w:cs="仿宋"/>
          <w:b/>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注：1、本格式为参考格式，供应商可根据实际情况进行调整</w:t>
      </w:r>
      <w:r>
        <w:rPr>
          <w:rFonts w:hint="eastAsia" w:ascii="仿宋" w:hAnsi="仿宋" w:eastAsia="仿宋" w:cs="仿宋"/>
          <w:color w:val="auto"/>
          <w:sz w:val="24"/>
          <w:highlight w:val="none"/>
        </w:rPr>
        <w:t>。</w:t>
      </w:r>
    </w:p>
    <w:p>
      <w:pPr>
        <w:adjustRightInd w:val="0"/>
        <w:spacing w:line="360" w:lineRule="auto"/>
        <w:ind w:firstLine="480" w:firstLineChars="200"/>
        <w:jc w:val="left"/>
        <w:rPr>
          <w:rFonts w:hint="eastAsia" w:ascii="仿宋" w:hAnsi="仿宋" w:eastAsia="仿宋" w:cs="仿宋"/>
          <w:color w:val="auto"/>
          <w:sz w:val="24"/>
          <w:highlight w:val="none"/>
        </w:rPr>
      </w:pPr>
    </w:p>
    <w:p>
      <w:pPr>
        <w:pStyle w:val="2"/>
        <w:spacing w:line="360" w:lineRule="auto"/>
        <w:rPr>
          <w:rFonts w:hint="eastAsia" w:ascii="仿宋" w:hAnsi="仿宋" w:eastAsia="仿宋" w:cs="仿宋"/>
          <w:color w:val="auto"/>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bCs/>
          <w:color w:val="auto"/>
          <w:sz w:val="24"/>
          <w:highlight w:val="none"/>
        </w:rPr>
      </w:pPr>
    </w:p>
    <w:p>
      <w:pPr>
        <w:adjustRightInd w:val="0"/>
        <w:spacing w:line="360" w:lineRule="auto"/>
        <w:ind w:firstLine="560" w:firstLineChars="200"/>
        <w:jc w:val="left"/>
        <w:rPr>
          <w:rFonts w:hint="eastAsia" w:ascii="仿宋" w:hAnsi="仿宋" w:eastAsia="仿宋" w:cs="仿宋"/>
          <w:color w:val="auto"/>
          <w:sz w:val="28"/>
          <w:highlight w:val="none"/>
        </w:rPr>
        <w:sectPr>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rtlGutter w:val="0"/>
          <w:docGrid w:type="lines" w:linePitch="314" w:charSpace="0"/>
        </w:sectPr>
      </w:pPr>
    </w:p>
    <w:p>
      <w:pPr>
        <w:pStyle w:val="4"/>
        <w:spacing w:before="0" w:after="0" w:line="360" w:lineRule="auto"/>
        <w:jc w:val="center"/>
        <w:rPr>
          <w:rFonts w:hint="eastAsia" w:ascii="仿宋" w:hAnsi="仿宋" w:eastAsia="仿宋" w:cs="仿宋"/>
          <w:color w:val="auto"/>
          <w:highlight w:val="none"/>
        </w:rPr>
      </w:pPr>
      <w:bookmarkStart w:id="159" w:name="_Toc29279_WPSOffice_Level2"/>
      <w:bookmarkStart w:id="160" w:name="_Toc4498_WPSOffice_Level2"/>
      <w:r>
        <w:rPr>
          <w:rFonts w:hint="eastAsia" w:ascii="仿宋" w:hAnsi="仿宋" w:eastAsia="仿宋" w:cs="仿宋"/>
          <w:color w:val="auto"/>
          <w:highlight w:val="none"/>
        </w:rPr>
        <w:t>七、关于知识产权的承诺函</w:t>
      </w:r>
    </w:p>
    <w:p>
      <w:pPr>
        <w:pStyle w:val="11"/>
        <w:spacing w:after="0" w:line="360" w:lineRule="auto"/>
        <w:ind w:left="0" w:leftChars="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u w:val="single"/>
          <w:lang w:eastAsia="zh-CN"/>
        </w:rPr>
        <w:t>四川凯亿工程管理咨询有限公司</w:t>
      </w:r>
      <w:r>
        <w:rPr>
          <w:rFonts w:hint="eastAsia" w:ascii="仿宋" w:hAnsi="仿宋" w:eastAsia="仿宋" w:cs="仿宋"/>
          <w:bCs/>
          <w:color w:val="auto"/>
          <w:sz w:val="24"/>
          <w:highlight w:val="none"/>
        </w:rPr>
        <w:t>（采购代理机构名称）：</w:t>
      </w:r>
    </w:p>
    <w:p>
      <w:pPr>
        <w:pStyle w:val="11"/>
        <w:spacing w:after="0" w:line="360" w:lineRule="auto"/>
        <w:ind w:left="0" w:lef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1"/>
        <w:spacing w:after="0" w:line="360" w:lineRule="auto"/>
        <w:ind w:left="0" w:leftChars="0" w:firstLine="480" w:firstLineChars="200"/>
        <w:jc w:val="left"/>
        <w:rPr>
          <w:rFonts w:hint="eastAsia" w:ascii="仿宋" w:hAnsi="仿宋" w:eastAsia="仿宋" w:cs="仿宋"/>
          <w:bCs/>
          <w:color w:val="auto"/>
          <w:sz w:val="24"/>
          <w:highlight w:val="none"/>
        </w:rPr>
      </w:pPr>
    </w:p>
    <w:p>
      <w:pPr>
        <w:pStyle w:val="11"/>
        <w:spacing w:line="360" w:lineRule="auto"/>
        <w:rPr>
          <w:rFonts w:hint="eastAsia" w:ascii="仿宋" w:hAnsi="仿宋" w:eastAsia="仿宋" w:cs="仿宋"/>
          <w:bCs/>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注：本承诺函为参考格式，供应商可根据磋商文件第二章总则中第 9 条及第五章相关要求进行承诺。</w:t>
      </w:r>
    </w:p>
    <w:p>
      <w:pPr>
        <w:adjustRightInd w:val="0"/>
        <w:spacing w:line="360" w:lineRule="auto"/>
        <w:ind w:firstLine="480" w:firstLineChars="200"/>
        <w:jc w:val="left"/>
        <w:rPr>
          <w:rFonts w:hint="eastAsia" w:ascii="仿宋" w:hAnsi="仿宋" w:eastAsia="仿宋" w:cs="仿宋"/>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color w:val="auto"/>
          <w:highlight w:val="none"/>
        </w:rPr>
      </w:pPr>
    </w:p>
    <w:p>
      <w:pPr>
        <w:widowControl/>
        <w:spacing w:line="360" w:lineRule="auto"/>
        <w:jc w:val="center"/>
        <w:outlineLvl w:val="1"/>
        <w:rPr>
          <w:rStyle w:val="39"/>
          <w:rFonts w:hint="eastAsia" w:ascii="仿宋" w:hAnsi="仿宋" w:eastAsia="仿宋" w:cs="仿宋"/>
          <w:color w:val="auto"/>
          <w:highlight w:val="none"/>
        </w:rPr>
      </w:pPr>
      <w:r>
        <w:rPr>
          <w:rFonts w:hint="eastAsia" w:ascii="仿宋" w:hAnsi="仿宋" w:eastAsia="仿宋" w:cs="仿宋"/>
          <w:color w:val="auto"/>
          <w:highlight w:val="none"/>
        </w:rPr>
        <w:br w:type="page"/>
      </w:r>
      <w:r>
        <w:rPr>
          <w:rStyle w:val="39"/>
          <w:rFonts w:hint="eastAsia" w:ascii="仿宋" w:hAnsi="仿宋" w:eastAsia="仿宋" w:cs="仿宋"/>
          <w:color w:val="auto"/>
          <w:highlight w:val="none"/>
        </w:rPr>
        <w:t>八、供应商诚信情况承诺函</w:t>
      </w:r>
    </w:p>
    <w:p>
      <w:pPr>
        <w:pStyle w:val="11"/>
        <w:spacing w:after="0" w:line="360" w:lineRule="auto"/>
        <w:ind w:left="0" w:leftChars="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u w:val="single"/>
          <w:lang w:eastAsia="zh-CN"/>
        </w:rPr>
        <w:t>四川凯亿工程管理咨询有限公司</w:t>
      </w:r>
      <w:r>
        <w:rPr>
          <w:rFonts w:hint="eastAsia" w:ascii="仿宋" w:hAnsi="仿宋" w:eastAsia="仿宋" w:cs="仿宋"/>
          <w:bCs/>
          <w:color w:val="auto"/>
          <w:sz w:val="24"/>
          <w:highlight w:val="none"/>
        </w:rPr>
        <w:t>（采购代理机构名称）：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本单位</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（供应商名称）参加</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（项目名称）（项目编号：</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）的政府采购活动，</w:t>
      </w:r>
      <w:r>
        <w:rPr>
          <w:rFonts w:hint="eastAsia" w:ascii="仿宋" w:hAnsi="仿宋" w:eastAsia="仿宋" w:cs="仿宋"/>
          <w:color w:val="auto"/>
          <w:sz w:val="24"/>
          <w:highlight w:val="none"/>
        </w:rPr>
        <w:t>现根据《四川省政府采购当事人诚信管理办法》川财采〔2015〕33号的相关规定，针</w:t>
      </w:r>
      <w:r>
        <w:rPr>
          <w:rFonts w:hint="eastAsia" w:ascii="仿宋" w:hAnsi="仿宋" w:eastAsia="仿宋" w:cs="仿宋"/>
          <w:bCs/>
          <w:color w:val="auto"/>
          <w:sz w:val="24"/>
          <w:highlight w:val="none"/>
        </w:rPr>
        <w:t>对本单位的诚信情况作出以下承诺：</w:t>
      </w:r>
    </w:p>
    <w:p>
      <w:pPr>
        <w:spacing w:line="360" w:lineRule="auto"/>
        <w:ind w:firstLine="480" w:firstLineChars="200"/>
        <w:rPr>
          <w:rFonts w:hint="eastAsia" w:ascii="仿宋" w:hAnsi="仿宋" w:eastAsia="仿宋" w:cs="仿宋"/>
          <w:bCs/>
          <w:color w:val="auto"/>
          <w:sz w:val="24"/>
          <w:highlight w:val="none"/>
        </w:rPr>
      </w:pP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我单位具有</w:t>
      </w:r>
      <w:r>
        <w:rPr>
          <w:rFonts w:hint="eastAsia" w:ascii="仿宋" w:hAnsi="仿宋" w:eastAsia="仿宋" w:cs="仿宋"/>
          <w:color w:val="auto"/>
          <w:sz w:val="24"/>
          <w:highlight w:val="none"/>
        </w:rPr>
        <w:t>《四川省政府采购当事人诚信管理办法》（川财采[2015]33号）所规定的失信行为</w:t>
      </w:r>
      <w:r>
        <w:rPr>
          <w:rFonts w:hint="eastAsia" w:ascii="仿宋" w:hAnsi="仿宋" w:eastAsia="仿宋" w:cs="仿宋"/>
          <w:color w:val="auto"/>
          <w:sz w:val="24"/>
          <w:highlight w:val="none"/>
          <w:u w:val="single"/>
        </w:rPr>
        <w:t xml:space="preserve">  XXX  </w:t>
      </w:r>
      <w:r>
        <w:rPr>
          <w:rFonts w:hint="eastAsia" w:ascii="仿宋" w:hAnsi="仿宋" w:eastAsia="仿宋" w:cs="仿宋"/>
          <w:color w:val="auto"/>
          <w:sz w:val="24"/>
          <w:highlight w:val="none"/>
        </w:rPr>
        <w:t>次（填写失信行为的次数时，建议使用大写数字，如零、壹、贰、叁、肆等。）；</w:t>
      </w:r>
      <w:r>
        <w:rPr>
          <w:rFonts w:hint="eastAsia" w:ascii="仿宋" w:hAnsi="仿宋" w:eastAsia="仿宋" w:cs="仿宋"/>
          <w:bCs/>
          <w:color w:val="auto"/>
          <w:sz w:val="24"/>
          <w:highlight w:val="none"/>
        </w:rPr>
        <w:t>（仅限递交响应文件截止当日仍在有效期的次数）</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bCs/>
          <w:color w:val="auto"/>
          <w:sz w:val="24"/>
          <w:highlight w:val="none"/>
        </w:rPr>
        <w:t>单位</w:t>
      </w:r>
      <w:r>
        <w:rPr>
          <w:rFonts w:hint="eastAsia" w:ascii="仿宋" w:hAnsi="仿宋" w:eastAsia="仿宋" w:cs="仿宋"/>
          <w:color w:val="auto"/>
          <w:sz w:val="24"/>
          <w:highlight w:val="none"/>
        </w:rPr>
        <w:t>对以上填写信息的真实性负责。如有不实，本</w:t>
      </w:r>
      <w:r>
        <w:rPr>
          <w:rFonts w:hint="eastAsia" w:ascii="仿宋" w:hAnsi="仿宋" w:eastAsia="仿宋" w:cs="仿宋"/>
          <w:bCs/>
          <w:color w:val="auto"/>
          <w:sz w:val="24"/>
          <w:highlight w:val="none"/>
        </w:rPr>
        <w:t>单位</w:t>
      </w:r>
      <w:r>
        <w:rPr>
          <w:rFonts w:hint="eastAsia" w:ascii="仿宋" w:hAnsi="仿宋" w:eastAsia="仿宋" w:cs="仿宋"/>
          <w:color w:val="auto"/>
          <w:sz w:val="24"/>
          <w:highlight w:val="none"/>
        </w:rPr>
        <w:t>愿承担由此产生的一切法律责任和后果。</w:t>
      </w:r>
    </w:p>
    <w:p>
      <w:pPr>
        <w:spacing w:line="360" w:lineRule="auto"/>
        <w:rPr>
          <w:rFonts w:hint="eastAsia" w:ascii="仿宋" w:hAnsi="仿宋" w:eastAsia="仿宋" w:cs="仿宋"/>
          <w:bCs/>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bCs/>
          <w:color w:val="auto"/>
          <w:sz w:val="24"/>
          <w:highlight w:val="none"/>
        </w:rPr>
      </w:pP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本表格式及内容仅供参考，供应商也可提供自己的格式；</w:t>
      </w: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供应商存在以上所述失信行为的，将按照</w:t>
      </w:r>
      <w:r>
        <w:rPr>
          <w:rFonts w:hint="eastAsia" w:ascii="仿宋" w:hAnsi="仿宋" w:eastAsia="仿宋" w:cs="仿宋"/>
          <w:color w:val="auto"/>
          <w:sz w:val="24"/>
          <w:highlight w:val="none"/>
        </w:rPr>
        <w:t>第二章须知附表的要求进行处理；</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color w:val="auto"/>
          <w:kern w:val="0"/>
          <w:sz w:val="24"/>
          <w:highlight w:val="none"/>
        </w:rPr>
        <w:t>确了有效期的，不再重复计算。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供应商的失信行为受到行政处罚或司法惩处的，评审时不再对其以价格加成进行惩戒。</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九、服务方案</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szCs w:val="32"/>
          <w:highlight w:val="none"/>
        </w:rPr>
        <w:t>（格式自拟）</w:t>
      </w:r>
      <w:r>
        <w:rPr>
          <w:rFonts w:hint="eastAsia" w:ascii="仿宋" w:hAnsi="仿宋" w:eastAsia="仿宋" w:cs="仿宋"/>
          <w:color w:val="auto"/>
          <w:highlight w:val="none"/>
        </w:rPr>
        <w:br w:type="page"/>
      </w:r>
    </w:p>
    <w:p>
      <w:pPr>
        <w:pStyle w:val="4"/>
        <w:spacing w:before="0" w:after="0" w:line="360" w:lineRule="auto"/>
        <w:jc w:val="center"/>
        <w:rPr>
          <w:rFonts w:hint="eastAsia" w:ascii="仿宋" w:hAnsi="仿宋" w:eastAsia="仿宋" w:cs="仿宋"/>
          <w:color w:val="auto"/>
          <w:sz w:val="28"/>
          <w:highlight w:val="none"/>
        </w:rPr>
      </w:pPr>
      <w:r>
        <w:rPr>
          <w:rFonts w:hint="eastAsia" w:ascii="仿宋" w:hAnsi="仿宋" w:eastAsia="仿宋" w:cs="仿宋"/>
          <w:color w:val="auto"/>
          <w:highlight w:val="none"/>
        </w:rPr>
        <w:t>十、其他资料及相关说明等</w:t>
      </w:r>
      <w:bookmarkEnd w:id="159"/>
      <w:bookmarkEnd w:id="160"/>
    </w:p>
    <w:p>
      <w:pPr>
        <w:adjustRightInd w:val="0"/>
        <w:snapToGrid w:val="0"/>
        <w:spacing w:line="360" w:lineRule="auto"/>
        <w:ind w:firstLine="480" w:firstLineChars="200"/>
        <w:rPr>
          <w:rFonts w:hint="eastAsia" w:ascii="仿宋" w:hAnsi="仿宋" w:eastAsia="仿宋" w:cs="仿宋"/>
          <w:color w:val="auto"/>
          <w:sz w:val="24"/>
          <w:highlight w:val="none"/>
        </w:rPr>
        <w:sectPr>
          <w:headerReference r:id="rId10" w:type="default"/>
          <w:footerReference r:id="rId11" w:type="default"/>
          <w:footerReference r:id="rId12" w:type="even"/>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rtlGutter w:val="0"/>
          <w:docGrid w:type="lines" w:linePitch="314" w:charSpace="0"/>
        </w:sectPr>
      </w:pPr>
      <w:r>
        <w:rPr>
          <w:rFonts w:hint="eastAsia" w:ascii="仿宋" w:hAnsi="仿宋" w:eastAsia="仿宋" w:cs="仿宋"/>
          <w:color w:val="auto"/>
          <w:sz w:val="24"/>
          <w:highlight w:val="none"/>
        </w:rPr>
        <w:t>对照采购文件关于采购需求与评分规则等具体要求应当提供的其他资料、相关说明等，以及供应商认为可以提供的其他证明资料、相关说明等，格式自拟。</w:t>
      </w:r>
    </w:p>
    <w:p>
      <w:pPr>
        <w:spacing w:after="160" w:line="360" w:lineRule="auto"/>
        <w:rPr>
          <w:rFonts w:hint="eastAsia" w:ascii="仿宋" w:hAnsi="仿宋" w:eastAsia="仿宋" w:cs="仿宋"/>
          <w:b/>
          <w:bCs/>
          <w:color w:val="auto"/>
          <w:sz w:val="24"/>
          <w:highlight w:val="none"/>
        </w:rPr>
      </w:pPr>
    </w:p>
    <w:p>
      <w:pPr>
        <w:pStyle w:val="4"/>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最终报价一览表</w:t>
      </w:r>
    </w:p>
    <w:p>
      <w:pPr>
        <w:pStyle w:val="7"/>
        <w:spacing w:before="100" w:beforeAutospacing="1"/>
        <w:ind w:firstLine="480"/>
        <w:rPr>
          <w:rFonts w:hint="eastAsia" w:ascii="仿宋" w:hAnsi="仿宋" w:eastAsia="仿宋" w:cs="仿宋"/>
          <w:color w:val="auto"/>
          <w:sz w:val="24"/>
          <w:highlight w:val="none"/>
        </w:rPr>
      </w:pPr>
    </w:p>
    <w:tbl>
      <w:tblPr>
        <w:tblStyle w:val="18"/>
        <w:tblW w:w="512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2109"/>
        <w:gridCol w:w="7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98" w:hRule="atLeast"/>
          <w:jc w:val="center"/>
        </w:trPr>
        <w:tc>
          <w:tcPr>
            <w:tcW w:w="1119" w:type="pct"/>
            <w:tcBorders>
              <w:top w:val="single" w:color="auto" w:sz="4" w:space="0"/>
            </w:tcBorders>
            <w:noWrap w:val="0"/>
            <w:vAlign w:val="center"/>
          </w:tcPr>
          <w:p>
            <w:pPr>
              <w:tabs>
                <w:tab w:val="left" w:pos="8364"/>
              </w:tabs>
              <w:snapToGrid w:val="0"/>
              <w:ind w:right="-58"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3880" w:type="pct"/>
            <w:tcBorders>
              <w:top w:val="single" w:color="auto" w:sz="4" w:space="0"/>
            </w:tcBorders>
            <w:noWrap w:val="0"/>
            <w:vAlign w:val="center"/>
          </w:tcPr>
          <w:p>
            <w:pPr>
              <w:tabs>
                <w:tab w:val="left" w:pos="8364"/>
              </w:tabs>
              <w:snapToGrid w:val="0"/>
              <w:ind w:right="-58" w:firstLine="482"/>
              <w:jc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103" w:hRule="atLeast"/>
          <w:jc w:val="center"/>
        </w:trPr>
        <w:tc>
          <w:tcPr>
            <w:tcW w:w="1119" w:type="pct"/>
            <w:tcBorders>
              <w:top w:val="single" w:color="auto" w:sz="4" w:space="0"/>
            </w:tcBorders>
            <w:noWrap w:val="0"/>
            <w:vAlign w:val="center"/>
          </w:tcPr>
          <w:p>
            <w:pPr>
              <w:tabs>
                <w:tab w:val="left" w:pos="8364"/>
              </w:tabs>
              <w:snapToGrid w:val="0"/>
              <w:ind w:right="-58"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c>
        <w:tc>
          <w:tcPr>
            <w:tcW w:w="3880" w:type="pct"/>
            <w:tcBorders>
              <w:top w:val="single" w:color="auto" w:sz="4" w:space="0"/>
            </w:tcBorders>
            <w:noWrap w:val="0"/>
            <w:vAlign w:val="center"/>
          </w:tcPr>
          <w:p>
            <w:pPr>
              <w:tabs>
                <w:tab w:val="left" w:pos="8364"/>
              </w:tabs>
              <w:snapToGrid w:val="0"/>
              <w:ind w:right="-58" w:firstLine="482"/>
              <w:jc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00" w:hRule="atLeast"/>
          <w:jc w:val="center"/>
        </w:trPr>
        <w:tc>
          <w:tcPr>
            <w:tcW w:w="1119" w:type="pct"/>
            <w:noWrap w:val="0"/>
            <w:vAlign w:val="center"/>
          </w:tcPr>
          <w:p>
            <w:pPr>
              <w:spacing w:line="360" w:lineRule="atLeast"/>
              <w:ind w:firstLine="0" w:firstLineChars="0"/>
              <w:jc w:val="center"/>
              <w:outlineLvl w:val="1"/>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报价合计</w:t>
            </w:r>
          </w:p>
        </w:tc>
        <w:tc>
          <w:tcPr>
            <w:tcW w:w="3880" w:type="pct"/>
            <w:noWrap w:val="0"/>
            <w:vAlign w:val="center"/>
          </w:tcPr>
          <w:p>
            <w:pPr>
              <w:ind w:firstLine="0" w:firstLineChars="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小写:        </w:t>
            </w:r>
          </w:p>
          <w:p>
            <w:pPr>
              <w:pStyle w:val="2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11" w:hRule="atLeast"/>
          <w:jc w:val="center"/>
        </w:trPr>
        <w:tc>
          <w:tcPr>
            <w:tcW w:w="1119" w:type="pct"/>
            <w:tcBorders>
              <w:bottom w:val="single" w:color="auto" w:sz="4" w:space="0"/>
            </w:tcBorders>
            <w:noWrap w:val="0"/>
            <w:vAlign w:val="center"/>
          </w:tcPr>
          <w:p>
            <w:pPr>
              <w:spacing w:line="360" w:lineRule="atLeast"/>
              <w:ind w:firstLine="0" w:firstLineChars="0"/>
              <w:jc w:val="center"/>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c>
          <w:tcPr>
            <w:tcW w:w="3880" w:type="pct"/>
            <w:tcBorders>
              <w:bottom w:val="single" w:color="auto" w:sz="4" w:space="0"/>
            </w:tcBorders>
            <w:noWrap w:val="0"/>
            <w:vAlign w:val="center"/>
          </w:tcPr>
          <w:p>
            <w:pPr>
              <w:pStyle w:val="29"/>
              <w:rPr>
                <w:rFonts w:hint="eastAsia" w:ascii="仿宋" w:hAnsi="仿宋" w:eastAsia="仿宋" w:cs="仿宋"/>
                <w:b/>
                <w:bCs/>
                <w:color w:val="auto"/>
                <w:sz w:val="24"/>
                <w:szCs w:val="24"/>
                <w:highlight w:val="none"/>
              </w:rPr>
            </w:pPr>
          </w:p>
        </w:tc>
      </w:tr>
    </w:tbl>
    <w:p>
      <w:pPr>
        <w:spacing w:line="400" w:lineRule="exact"/>
        <w:ind w:firstLine="480" w:firstLineChars="200"/>
        <w:jc w:val="left"/>
        <w:rPr>
          <w:rFonts w:hint="eastAsia" w:ascii="仿宋" w:hAnsi="仿宋" w:eastAsia="仿宋" w:cs="仿宋"/>
          <w:color w:val="auto"/>
          <w:sz w:val="24"/>
          <w:highlight w:val="none"/>
        </w:rPr>
      </w:pPr>
    </w:p>
    <w:p>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其他承诺：</w:t>
      </w:r>
    </w:p>
    <w:p>
      <w:pPr>
        <w:spacing w:line="400" w:lineRule="exact"/>
        <w:ind w:firstLine="482" w:firstLineChars="200"/>
        <w:jc w:val="left"/>
        <w:rPr>
          <w:rFonts w:hint="eastAsia" w:ascii="仿宋" w:hAnsi="仿宋" w:eastAsia="仿宋" w:cs="仿宋"/>
          <w:b/>
          <w:bCs/>
          <w:color w:val="auto"/>
          <w:sz w:val="24"/>
          <w:highlight w:val="none"/>
        </w:rPr>
      </w:pPr>
    </w:p>
    <w:p>
      <w:pPr>
        <w:spacing w:line="400" w:lineRule="exact"/>
        <w:ind w:firstLine="482" w:firstLineChars="200"/>
        <w:jc w:val="left"/>
        <w:rPr>
          <w:rFonts w:hint="eastAsia" w:ascii="仿宋" w:hAnsi="仿宋" w:eastAsia="仿宋" w:cs="仿宋"/>
          <w:b/>
          <w:bCs/>
          <w:color w:val="auto"/>
          <w:sz w:val="24"/>
          <w:highlight w:val="none"/>
        </w:rPr>
      </w:pPr>
    </w:p>
    <w:p>
      <w:pPr>
        <w:spacing w:line="40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注：此页不作为响应文件的组成部分，持空白页至磋商现场根据实际需要填写</w:t>
      </w:r>
      <w:r>
        <w:rPr>
          <w:rFonts w:hint="eastAsia" w:ascii="仿宋" w:hAnsi="仿宋" w:eastAsia="仿宋" w:cs="仿宋"/>
          <w:color w:val="auto"/>
          <w:sz w:val="24"/>
          <w:highlight w:val="none"/>
        </w:rPr>
        <w:t>。</w:t>
      </w: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0" w:firstLineChars="200"/>
        <w:rPr>
          <w:rFonts w:hint="eastAsia" w:ascii="仿宋" w:hAnsi="仿宋" w:eastAsia="仿宋" w:cs="仿宋"/>
          <w:color w:val="auto"/>
          <w:sz w:val="24"/>
          <w:highlight w:val="none"/>
        </w:rPr>
      </w:pP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p>
    <w:p>
      <w:pPr>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法定代表人或授权代表（签字或加盖个人名章）：</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61" w:name="_Toc4157"/>
      <w:bookmarkStart w:id="162" w:name="_Toc32541_WPSOffice_Level1"/>
      <w:bookmarkStart w:id="163" w:name="_Toc8290_WPSOffice_Level1"/>
      <w:r>
        <w:rPr>
          <w:rFonts w:hint="eastAsia" w:ascii="仿宋" w:hAnsi="仿宋" w:eastAsia="仿宋" w:cs="仿宋"/>
          <w:color w:val="auto"/>
          <w:highlight w:val="none"/>
        </w:rPr>
        <w:t>第八章  评审方法</w:t>
      </w:r>
      <w:bookmarkEnd w:id="161"/>
      <w:bookmarkEnd w:id="162"/>
      <w:bookmarkEnd w:id="163"/>
    </w:p>
    <w:p>
      <w:pPr>
        <w:pStyle w:val="4"/>
        <w:keepNext w:val="0"/>
        <w:keepLines w:val="0"/>
        <w:spacing w:before="0" w:after="0" w:line="360" w:lineRule="auto"/>
        <w:ind w:firstLine="472" w:firstLineChars="196"/>
        <w:rPr>
          <w:rFonts w:hint="eastAsia" w:ascii="仿宋" w:hAnsi="仿宋" w:eastAsia="仿宋" w:cs="仿宋"/>
          <w:color w:val="auto"/>
          <w:sz w:val="24"/>
          <w:szCs w:val="24"/>
          <w:highlight w:val="none"/>
        </w:rPr>
      </w:pPr>
      <w:bookmarkStart w:id="164" w:name="_Toc3628_WPSOffice_Level2"/>
      <w:bookmarkStart w:id="165" w:name="_Toc28831_WPSOffice_Level2"/>
      <w:bookmarkStart w:id="166" w:name="_Toc101174146"/>
      <w:bookmarkStart w:id="167" w:name="_Toc101250640"/>
      <w:bookmarkStart w:id="168" w:name="_Toc101338358"/>
      <w:bookmarkStart w:id="169" w:name="_Toc209847065"/>
      <w:bookmarkStart w:id="170" w:name="_Toc430773924"/>
      <w:r>
        <w:rPr>
          <w:rFonts w:hint="eastAsia" w:ascii="仿宋" w:hAnsi="仿宋" w:eastAsia="仿宋" w:cs="仿宋"/>
          <w:color w:val="auto"/>
          <w:sz w:val="24"/>
          <w:szCs w:val="24"/>
          <w:highlight w:val="none"/>
        </w:rPr>
        <w:t>1.总则</w:t>
      </w:r>
      <w:bookmarkEnd w:id="164"/>
      <w:bookmarkEnd w:id="165"/>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1.2磋商工作由采购代理机构负责组织，具体磋商由采购人/采购代理机构依法组建的磋商小组负责。</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1.3磋商工作应遵循公平、公正、科学及择优的原则，并以相同的磋商程序和标准对待所有的供应商。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1.4磋商小组按照磋商文件规定的磋商程序、评分方法和标准进行评审，并独立履行下列职责：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（2）审查供应商响应文件是否满足磋商文件要求，并作出公正评价；</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（4）推荐成交供应商，或者受采购人委托确定成交供应商；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（5）起草评审报告并进行签署；</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（6）向采购人/采购代理机构、财政部门或者其他监督部门报告非法干预评审工作的行为；</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（7）法律、法规和规章规定的其他职责。</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b/>
          <w:bCs/>
          <w:color w:val="auto"/>
          <w:sz w:val="24"/>
          <w:highlight w:val="none"/>
        </w:rPr>
        <w:t>（实质性要求）</w:t>
      </w:r>
      <w:r>
        <w:rPr>
          <w:rFonts w:hint="eastAsia" w:ascii="仿宋" w:hAnsi="仿宋" w:eastAsia="仿宋" w:cs="仿宋"/>
          <w:color w:val="auto"/>
          <w:sz w:val="24"/>
          <w:highlight w:val="none"/>
        </w:rPr>
        <w:t>磋商过程独立、保密。供应商非法干预磋商过程的，其响应文件作无效处理。</w:t>
      </w:r>
    </w:p>
    <w:p>
      <w:pPr>
        <w:spacing w:line="360" w:lineRule="auto"/>
        <w:rPr>
          <w:rFonts w:hint="eastAsia" w:ascii="仿宋" w:hAnsi="仿宋" w:eastAsia="仿宋" w:cs="仿宋"/>
          <w:color w:val="auto"/>
          <w:highlight w:val="none"/>
        </w:rPr>
      </w:pPr>
    </w:p>
    <w:p>
      <w:pPr>
        <w:pStyle w:val="4"/>
        <w:keepNext w:val="0"/>
        <w:keepLines w:val="0"/>
        <w:spacing w:before="0" w:after="0" w:line="360" w:lineRule="auto"/>
        <w:ind w:firstLine="472" w:firstLineChars="196"/>
        <w:rPr>
          <w:rFonts w:hint="eastAsia" w:ascii="仿宋" w:hAnsi="仿宋" w:eastAsia="仿宋" w:cs="仿宋"/>
          <w:color w:val="auto"/>
          <w:sz w:val="24"/>
          <w:szCs w:val="24"/>
          <w:highlight w:val="none"/>
        </w:rPr>
      </w:pPr>
      <w:bookmarkStart w:id="171" w:name="_Toc28315_WPSOffice_Level2"/>
      <w:bookmarkStart w:id="172" w:name="_Toc17993_WPSOffice_Level2"/>
      <w:r>
        <w:rPr>
          <w:rFonts w:hint="eastAsia" w:ascii="仿宋" w:hAnsi="仿宋" w:eastAsia="仿宋" w:cs="仿宋"/>
          <w:color w:val="auto"/>
          <w:sz w:val="24"/>
          <w:szCs w:val="24"/>
          <w:highlight w:val="none"/>
        </w:rPr>
        <w:t>2.磋商程序</w:t>
      </w:r>
      <w:bookmarkEnd w:id="171"/>
      <w:bookmarkEnd w:id="172"/>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2.1审查磋商文件和停止评审。</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2.1.2 本磋商文件有下列情形之一的，磋商小组应当停止评审：</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（1）磋商文件的规定存在歧义、重大缺陷的；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（2）磋商文件明显以不合理条件对供应商实行差别待遇或者歧视待遇的；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（3）采购项目属于国家规定的优先、强制采购范围，但是磋商文件未依法体现优先、强制采购相关规定的；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（4）采购项目属于政府采购促进中小企业发展的范围，但是磋商文件未依法体现促进中小企业发展相关规定的；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（5）磋商文件将供应商的资格条件列为评分因素的；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（6）磋商文件载明的成交原则不合法的；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（7）磋商文件有违反国家其他有关强制性规定的情形。</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2.2资格性审查。</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2.2.1本项目需要磋商小组进行资格性检查。</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2.2.4采购人或者采购代理机构宣布未通过资格性审查的供应商名单时，应当告知供应商未通过审查的原因。</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2.3 通过资格性审查的供应商不足3家的（本章2.3.1的情况除外），终止本次采购活动，并发布终止采购活动公告。</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2.4磋商。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2.4.2每轮磋商开始前，磋商小组应根据磋商文件的规定，并结合各供应商的响应文件拟定磋商内容。</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2.4.4对磋商文件作出的实质性变动是磋商文件的有效组成部分，磋商小组应当及时以书面形式同时通知所有参加磋商的供应商。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2.4.6磋商过程中，磋商的任何一方不得透露与磋商有关的其他供应商的技术资料、价格和其他信息。</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2.4.8磋商完成后，磋商小组应出具磋商情况记录表，磋商情况记录表需包含磋商内容、磋商意见、实质性变动内容等。   </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2.5最后报价。</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2.5.3符合</w:t>
      </w:r>
      <w:bookmarkStart w:id="173" w:name="_Toc30986"/>
      <w:r>
        <w:rPr>
          <w:rFonts w:hint="eastAsia" w:ascii="仿宋" w:hAnsi="仿宋" w:eastAsia="仿宋" w:cs="仿宋"/>
          <w:color w:val="auto"/>
          <w:sz w:val="24"/>
          <w:highlight w:val="none"/>
        </w:rPr>
        <w:t>《政府采购竞争性磋商采购方式管理暂行办法财库》〔2014〕214号</w:t>
      </w:r>
      <w:bookmarkEnd w:id="173"/>
      <w:r>
        <w:rPr>
          <w:rFonts w:hint="eastAsia" w:ascii="仿宋" w:hAnsi="仿宋" w:eastAsia="仿宋" w:cs="仿宋"/>
          <w:color w:val="auto"/>
          <w:sz w:val="24"/>
          <w:highlight w:val="none"/>
        </w:rPr>
        <w:t>第三条第四项情形的，提交最后报价的供应商可以为2家。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2.5.6报价如果出现下列不一致的，可按以下原则进行修改：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（3）单价金额小数点或者百分比有明显错位的，以总价为准，修正单价。</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不得未经澄清、说明或者更正，直接将供应商响应文件作为无效处理。对不同文字文本响应文件的解释发生异议的，以中文文本为准。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2.9采购组织单位现场复核评审结果。</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采购人/采购代理机构复核过程中，磋商小组成员不得离开评审现场。</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2.9.2有下列情形之一的，不得现场修改评审结果：</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（2）采购人/采购代理机构现场复核时，复核工作人员数量不足的；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（3）采购人/采购代理机构现场复核时，没有采购监督人员现场监督的；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（4）采购人/采购代理机构现场复核内容超出规定范围的；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（5）采购人/采购代理机构未提供书面建议的。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2.10编写磋商报告。磋商小组推荐成交候选供应商后，应向采购人/采购代理机构出具磋商报告。磋商报告应当包括以下主要内容：</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2.12供应商澄清、说明</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2.13终止磋商采购活动。</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pPr>
        <w:spacing w:line="360" w:lineRule="auto"/>
        <w:ind w:firstLine="470" w:firstLineChars="196"/>
        <w:rPr>
          <w:rFonts w:hint="eastAsia" w:ascii="仿宋" w:hAnsi="仿宋" w:eastAsia="仿宋" w:cs="仿宋"/>
          <w:color w:val="auto"/>
          <w:szCs w:val="21"/>
          <w:highlight w:val="none"/>
        </w:rPr>
      </w:pPr>
      <w:r>
        <w:rPr>
          <w:rFonts w:hint="eastAsia" w:ascii="仿宋" w:hAnsi="仿宋" w:eastAsia="仿宋" w:cs="仿宋"/>
          <w:color w:val="auto"/>
          <w:sz w:val="24"/>
          <w:highlight w:val="none"/>
        </w:rPr>
        <w:t>（3）除本章2.3.1和2.5.3的情况外，在采购过程中符合要求的供应商或者报价未超过采购预算的供应商不足3家的。</w:t>
      </w:r>
    </w:p>
    <w:p>
      <w:pPr>
        <w:spacing w:line="360" w:lineRule="auto"/>
        <w:rPr>
          <w:rFonts w:hint="eastAsia" w:ascii="仿宋" w:hAnsi="仿宋" w:eastAsia="仿宋" w:cs="仿宋"/>
          <w:color w:val="auto"/>
          <w:szCs w:val="21"/>
          <w:highlight w:val="none"/>
        </w:rPr>
      </w:pPr>
    </w:p>
    <w:p>
      <w:pPr>
        <w:pStyle w:val="4"/>
        <w:keepNext w:val="0"/>
        <w:keepLines w:val="0"/>
        <w:spacing w:before="0" w:after="0" w:line="360" w:lineRule="auto"/>
        <w:ind w:firstLine="472" w:firstLineChars="196"/>
        <w:rPr>
          <w:rFonts w:hint="eastAsia" w:ascii="仿宋" w:hAnsi="仿宋" w:eastAsia="仿宋" w:cs="仿宋"/>
          <w:color w:val="auto"/>
          <w:sz w:val="24"/>
          <w:szCs w:val="24"/>
          <w:highlight w:val="none"/>
        </w:rPr>
      </w:pPr>
      <w:bookmarkStart w:id="174" w:name="_Toc5686_WPSOffice_Level2"/>
      <w:bookmarkStart w:id="175" w:name="_Toc7215_WPSOffice_Level2"/>
      <w:r>
        <w:rPr>
          <w:rFonts w:hint="eastAsia" w:ascii="仿宋" w:hAnsi="仿宋" w:eastAsia="仿宋" w:cs="仿宋"/>
          <w:color w:val="auto"/>
          <w:sz w:val="24"/>
          <w:szCs w:val="24"/>
          <w:highlight w:val="none"/>
        </w:rPr>
        <w:t>3.综合评分</w:t>
      </w:r>
      <w:bookmarkEnd w:id="174"/>
      <w:bookmarkEnd w:id="175"/>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3.3综合评分明细表</w:t>
      </w:r>
    </w:p>
    <w:p>
      <w:pPr>
        <w:pStyle w:val="9"/>
        <w:tabs>
          <w:tab w:val="left" w:pos="600"/>
        </w:tabs>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pPr>
        <w:rPr>
          <w:rFonts w:hint="eastAsia" w:ascii="仿宋" w:hAnsi="仿宋" w:eastAsia="仿宋" w:cs="仿宋"/>
          <w:b/>
          <w:color w:val="auto"/>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3.3.2综合评分明细表：</w:t>
      </w:r>
      <w:r>
        <w:rPr>
          <w:rFonts w:hint="eastAsia" w:ascii="仿宋" w:hAnsi="仿宋" w:eastAsia="仿宋" w:cs="仿宋"/>
          <w:b/>
          <w:color w:val="auto"/>
          <w:highlight w:val="none"/>
        </w:rPr>
        <w:t xml:space="preserve"> </w:t>
      </w:r>
    </w:p>
    <w:p>
      <w:pPr>
        <w:pStyle w:val="2"/>
        <w:rPr>
          <w:rFonts w:hint="eastAsia"/>
          <w:color w:val="auto"/>
          <w:highlight w:val="none"/>
        </w:rPr>
      </w:pPr>
    </w:p>
    <w:tbl>
      <w:tblPr>
        <w:tblStyle w:val="18"/>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96"/>
        <w:gridCol w:w="951"/>
        <w:gridCol w:w="437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19"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396"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评分</w:t>
            </w:r>
          </w:p>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因素</w:t>
            </w:r>
          </w:p>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及权重</w:t>
            </w:r>
          </w:p>
        </w:tc>
        <w:tc>
          <w:tcPr>
            <w:tcW w:w="951"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分值</w:t>
            </w:r>
          </w:p>
        </w:tc>
        <w:tc>
          <w:tcPr>
            <w:tcW w:w="4378"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评分标准</w:t>
            </w:r>
          </w:p>
        </w:tc>
        <w:tc>
          <w:tcPr>
            <w:tcW w:w="1593"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719"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396"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报价</w:t>
            </w:r>
          </w:p>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w:t>
            </w:r>
          </w:p>
        </w:tc>
        <w:tc>
          <w:tcPr>
            <w:tcW w:w="951"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20分</w:t>
            </w:r>
          </w:p>
        </w:tc>
        <w:tc>
          <w:tcPr>
            <w:tcW w:w="4378" w:type="dxa"/>
            <w:noWrap w:val="0"/>
            <w:vAlign w:val="center"/>
          </w:tcPr>
          <w:p>
            <w:pPr>
              <w:contextualSpacing/>
              <w:jc w:val="left"/>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以本次最低有效投标报价为基准价，投标报价得分=(基准价／投标报价)×</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政策性鼓励与惩戒按照</w:t>
            </w:r>
            <w:r>
              <w:rPr>
                <w:rFonts w:hint="eastAsia" w:ascii="仿宋" w:hAnsi="仿宋" w:eastAsia="仿宋" w:cs="仿宋"/>
                <w:color w:val="auto"/>
                <w:sz w:val="24"/>
                <w:szCs w:val="24"/>
                <w:highlight w:val="none"/>
                <w:lang w:val="en-US" w:eastAsia="zh-CN"/>
              </w:rPr>
              <w:t>本磋商文件</w:t>
            </w:r>
            <w:r>
              <w:rPr>
                <w:rFonts w:hint="eastAsia" w:ascii="仿宋" w:hAnsi="仿宋" w:eastAsia="仿宋" w:cs="仿宋"/>
                <w:color w:val="auto"/>
                <w:sz w:val="24"/>
                <w:szCs w:val="24"/>
                <w:highlight w:val="none"/>
              </w:rPr>
              <w:t>规定执行。</w:t>
            </w:r>
          </w:p>
        </w:tc>
        <w:tc>
          <w:tcPr>
            <w:tcW w:w="1593" w:type="dxa"/>
            <w:noWrap w:val="0"/>
            <w:vAlign w:val="center"/>
          </w:tcPr>
          <w:p>
            <w:pPr>
              <w:contextualSpacing/>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5" w:hRule="atLeast"/>
        </w:trPr>
        <w:tc>
          <w:tcPr>
            <w:tcW w:w="719"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396"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人员配置20%</w:t>
            </w:r>
          </w:p>
        </w:tc>
        <w:tc>
          <w:tcPr>
            <w:tcW w:w="951"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20分</w:t>
            </w:r>
          </w:p>
        </w:tc>
        <w:tc>
          <w:tcPr>
            <w:tcW w:w="4378" w:type="dxa"/>
            <w:noWrap w:val="0"/>
            <w:vAlign w:val="center"/>
          </w:tcPr>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1、供应商每提供一个具有</w:t>
            </w:r>
            <w:r>
              <w:rPr>
                <w:rFonts w:hint="eastAsia" w:ascii="仿宋" w:hAnsi="仿宋" w:eastAsia="仿宋" w:cs="仿宋"/>
                <w:bCs/>
                <w:color w:val="auto"/>
                <w:sz w:val="24"/>
                <w:highlight w:val="none"/>
                <w:lang w:val="en-US" w:eastAsia="zh-CN"/>
              </w:rPr>
              <w:t>助理社会工作师及以上资格证书</w:t>
            </w:r>
            <w:r>
              <w:rPr>
                <w:rFonts w:hint="eastAsia" w:ascii="仿宋" w:hAnsi="仿宋" w:eastAsia="仿宋" w:cs="仿宋"/>
                <w:bCs/>
                <w:color w:val="auto"/>
                <w:sz w:val="24"/>
                <w:highlight w:val="none"/>
              </w:rPr>
              <w:t>的服务人员，得</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分，最多得</w:t>
            </w:r>
            <w:r>
              <w:rPr>
                <w:rFonts w:hint="eastAsia" w:ascii="仿宋" w:hAnsi="仿宋" w:eastAsia="仿宋" w:cs="仿宋"/>
                <w:bCs/>
                <w:color w:val="auto"/>
                <w:sz w:val="24"/>
                <w:highlight w:val="none"/>
                <w:lang w:val="en-US" w:eastAsia="zh-CN"/>
              </w:rPr>
              <w:t>18</w:t>
            </w:r>
            <w:r>
              <w:rPr>
                <w:rFonts w:hint="eastAsia" w:ascii="仿宋" w:hAnsi="仿宋" w:eastAsia="仿宋" w:cs="仿宋"/>
                <w:bCs/>
                <w:color w:val="auto"/>
                <w:sz w:val="24"/>
                <w:highlight w:val="none"/>
              </w:rPr>
              <w:t>分，未提供不得分。</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2、供应商提供的服务团队人员中具有国家心理咨询师证书的得2分，</w:t>
            </w:r>
            <w:r>
              <w:rPr>
                <w:rFonts w:hint="eastAsia" w:ascii="仿宋" w:hAnsi="仿宋" w:eastAsia="仿宋" w:cs="仿宋"/>
                <w:bCs/>
                <w:color w:val="auto"/>
                <w:sz w:val="24"/>
                <w:highlight w:val="none"/>
                <w:lang w:eastAsia="zh-CN"/>
              </w:rPr>
              <w:t>最多得</w:t>
            </w:r>
            <w:r>
              <w:rPr>
                <w:rFonts w:hint="eastAsia" w:ascii="仿宋" w:hAnsi="仿宋" w:eastAsia="仿宋" w:cs="仿宋"/>
                <w:bCs/>
                <w:color w:val="auto"/>
                <w:sz w:val="24"/>
                <w:highlight w:val="none"/>
                <w:lang w:val="en-US" w:eastAsia="zh-CN"/>
              </w:rPr>
              <w:t>2分，</w:t>
            </w:r>
            <w:r>
              <w:rPr>
                <w:rFonts w:hint="eastAsia" w:ascii="仿宋" w:hAnsi="仿宋" w:eastAsia="仿宋" w:cs="仿宋"/>
                <w:bCs/>
                <w:color w:val="auto"/>
                <w:sz w:val="24"/>
                <w:highlight w:val="none"/>
              </w:rPr>
              <w:t>未提供不得分。</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pPr>
              <w:contextualSpacing/>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需提供人员清单、身份证复印件、相关证书复印件并加盖鲜章</w:t>
            </w:r>
            <w:r>
              <w:rPr>
                <w:rFonts w:hint="eastAsia" w:ascii="仿宋" w:hAnsi="仿宋" w:eastAsia="仿宋" w:cs="仿宋"/>
                <w:bCs/>
                <w:color w:val="auto"/>
                <w:sz w:val="24"/>
                <w:highlight w:val="none"/>
                <w:lang w:eastAsia="zh-CN"/>
              </w:rPr>
              <w:t>。</w:t>
            </w:r>
          </w:p>
        </w:tc>
        <w:tc>
          <w:tcPr>
            <w:tcW w:w="1593"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719"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396"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项目背景分析</w:t>
            </w:r>
          </w:p>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951"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10分</w:t>
            </w:r>
          </w:p>
        </w:tc>
        <w:tc>
          <w:tcPr>
            <w:tcW w:w="4378" w:type="dxa"/>
            <w:noWrap w:val="0"/>
            <w:vAlign w:val="center"/>
          </w:tcPr>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供应商根据本项目特点，提供对本项目的项目背景分析包含但不限于①对项目背景的理解及分析、②对项目意义的认识，得10分，每有一项漏项的扣5分，每存在一项不完整的或与本项目实际情况不符合的扣</w:t>
            </w:r>
            <w:r>
              <w:rPr>
                <w:rFonts w:hint="default" w:ascii="仿宋" w:hAnsi="仿宋" w:eastAsia="仿宋" w:cs="仿宋"/>
                <w:bCs/>
                <w:color w:val="auto"/>
                <w:sz w:val="24"/>
                <w:highlight w:val="none"/>
              </w:rPr>
              <w:t>2</w:t>
            </w:r>
            <w:r>
              <w:rPr>
                <w:rFonts w:hint="eastAsia" w:ascii="仿宋" w:hAnsi="仿宋" w:eastAsia="仿宋" w:cs="仿宋"/>
                <w:bCs/>
                <w:color w:val="auto"/>
                <w:sz w:val="24"/>
                <w:highlight w:val="none"/>
              </w:rPr>
              <w:t>分</w:t>
            </w:r>
            <w:r>
              <w:rPr>
                <w:rFonts w:hint="default" w:ascii="仿宋" w:hAnsi="仿宋" w:eastAsia="仿宋" w:cs="仿宋"/>
                <w:bCs/>
                <w:color w:val="auto"/>
                <w:sz w:val="24"/>
                <w:highlight w:val="none"/>
              </w:rPr>
              <w:t>，</w:t>
            </w:r>
            <w:r>
              <w:rPr>
                <w:rFonts w:hint="eastAsia" w:ascii="仿宋" w:hAnsi="仿宋" w:eastAsia="仿宋" w:cs="仿宋"/>
                <w:bCs/>
                <w:color w:val="auto"/>
                <w:sz w:val="24"/>
                <w:highlight w:val="none"/>
                <w:lang w:val="en-US" w:eastAsia="zh-Hans"/>
              </w:rPr>
              <w:t>扣完为止</w:t>
            </w:r>
            <w:r>
              <w:rPr>
                <w:rFonts w:hint="default" w:ascii="仿宋" w:hAnsi="仿宋" w:eastAsia="仿宋" w:cs="仿宋"/>
                <w:bCs/>
                <w:color w:val="auto"/>
                <w:sz w:val="24"/>
                <w:highlight w:val="none"/>
                <w:lang w:eastAsia="zh-Hans"/>
              </w:rPr>
              <w:t>。</w:t>
            </w:r>
          </w:p>
        </w:tc>
        <w:tc>
          <w:tcPr>
            <w:tcW w:w="1593"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8" w:hRule="atLeast"/>
        </w:trPr>
        <w:tc>
          <w:tcPr>
            <w:tcW w:w="719"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396"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总体服务方案</w:t>
            </w:r>
          </w:p>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951"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10分</w:t>
            </w:r>
          </w:p>
        </w:tc>
        <w:tc>
          <w:tcPr>
            <w:tcW w:w="4378" w:type="dxa"/>
            <w:noWrap w:val="0"/>
            <w:vAlign w:val="center"/>
          </w:tcPr>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根据本项目特点，提供对本项目的总体服务方案包含但不限于①工作职能分配、②服务人员列表、③服务体系的，得6分，每有一项漏项的扣2分，每存在一项不完整的或与本项目实际情况不符合的扣1.5分。</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2.供应商提供的总体服务方案在包含以上内容的基础上，有增加内容的且增加内容有利于项目实施的，每增加一项内容加1分，最多加4分。</w:t>
            </w:r>
          </w:p>
          <w:p>
            <w:pPr>
              <w:contextualSpacing/>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3.本项最多得10分。</w:t>
            </w:r>
          </w:p>
        </w:tc>
        <w:tc>
          <w:tcPr>
            <w:tcW w:w="1593"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8" w:hRule="atLeast"/>
        </w:trPr>
        <w:tc>
          <w:tcPr>
            <w:tcW w:w="719"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396"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质量控制方案</w:t>
            </w:r>
          </w:p>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951"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10分</w:t>
            </w:r>
          </w:p>
        </w:tc>
        <w:tc>
          <w:tcPr>
            <w:tcW w:w="4378" w:type="dxa"/>
            <w:noWrap w:val="0"/>
            <w:vAlign w:val="center"/>
          </w:tcPr>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根据本项目特点，提供对本项目的质量控制方案包含但不限于①内部管理制度、②工作程序规范、③工作台账机制，得6分，每有一项漏项的扣2分，每存在一项不完整的或与本项目实际情况不符合的扣1.5分。</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2.供应商提供的质量控制方案在包含以上内容的基础上，有增加内容的且增加内容有利于项目实施的，每增加一项内容加1分，最多加4分。</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3.本项最多得10分。</w:t>
            </w:r>
          </w:p>
        </w:tc>
        <w:tc>
          <w:tcPr>
            <w:tcW w:w="1593"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719"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1396"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应急方案9%</w:t>
            </w:r>
          </w:p>
        </w:tc>
        <w:tc>
          <w:tcPr>
            <w:tcW w:w="951"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9分</w:t>
            </w:r>
          </w:p>
        </w:tc>
        <w:tc>
          <w:tcPr>
            <w:tcW w:w="4378" w:type="dxa"/>
            <w:noWrap w:val="0"/>
            <w:vAlign w:val="center"/>
          </w:tcPr>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根据本项目特点，提供对本项目的应急方案包含但不限于①列举可预见紧急情况、②对列举的可预见紧急情况的分析及应对措施、③针对不可预见的紧急情况的应急预案，得9分，每有一项漏项的扣3分，每存在一项不完整的或与本项目实际情况不符合的扣2分。</w:t>
            </w:r>
          </w:p>
        </w:tc>
        <w:tc>
          <w:tcPr>
            <w:tcW w:w="1593"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719"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1396"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业绩</w:t>
            </w:r>
          </w:p>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w:t>
            </w:r>
          </w:p>
        </w:tc>
        <w:tc>
          <w:tcPr>
            <w:tcW w:w="951"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c>
          <w:tcPr>
            <w:tcW w:w="4378" w:type="dxa"/>
            <w:noWrap w:val="0"/>
            <w:vAlign w:val="center"/>
          </w:tcPr>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供应商具有201</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年至今类似项目业绩，每提供一个类似项目业绩得</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分，满分</w:t>
            </w:r>
            <w:r>
              <w:rPr>
                <w:rFonts w:hint="eastAsia" w:ascii="仿宋" w:hAnsi="仿宋" w:eastAsia="仿宋" w:cs="仿宋"/>
                <w:bCs/>
                <w:color w:val="auto"/>
                <w:sz w:val="24"/>
                <w:highlight w:val="none"/>
                <w:lang w:val="en-US" w:eastAsia="zh-CN"/>
              </w:rPr>
              <w:t>14</w:t>
            </w:r>
            <w:r>
              <w:rPr>
                <w:rFonts w:hint="eastAsia" w:ascii="仿宋" w:hAnsi="仿宋" w:eastAsia="仿宋" w:cs="仿宋"/>
                <w:bCs/>
                <w:color w:val="auto"/>
                <w:sz w:val="24"/>
                <w:highlight w:val="none"/>
              </w:rPr>
              <w:t>分，未提供的不得分。</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需提供合同（协议）复印件或中标（成交）通知书复印件并加盖供应商鲜章。</w:t>
            </w:r>
          </w:p>
        </w:tc>
        <w:tc>
          <w:tcPr>
            <w:tcW w:w="1593"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trPr>
        <w:tc>
          <w:tcPr>
            <w:tcW w:w="719"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1396"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机构信誉、实力</w:t>
            </w:r>
          </w:p>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7分%</w:t>
            </w:r>
          </w:p>
        </w:tc>
        <w:tc>
          <w:tcPr>
            <w:tcW w:w="951"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7分</w:t>
            </w:r>
          </w:p>
        </w:tc>
        <w:tc>
          <w:tcPr>
            <w:tcW w:w="4378" w:type="dxa"/>
            <w:noWrap w:val="0"/>
            <w:vAlign w:val="center"/>
          </w:tcPr>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w:t>
            </w:r>
            <w:r>
              <w:rPr>
                <w:rFonts w:hint="eastAsia" w:ascii="仿宋" w:hAnsi="仿宋" w:eastAsia="仿宋" w:cs="仿宋"/>
                <w:bCs/>
                <w:color w:val="auto"/>
                <w:sz w:val="24"/>
                <w:highlight w:val="none"/>
                <w:lang w:val="en-US" w:eastAsia="zh-CN"/>
              </w:rPr>
              <w:t>因禁毒工作突出</w:t>
            </w:r>
            <w:r>
              <w:rPr>
                <w:rFonts w:hint="eastAsia" w:ascii="仿宋" w:hAnsi="仿宋" w:eastAsia="仿宋" w:cs="仿宋"/>
                <w:bCs/>
                <w:color w:val="auto"/>
                <w:sz w:val="24"/>
                <w:highlight w:val="none"/>
              </w:rPr>
              <w:t>被县级以上政府部门</w:t>
            </w:r>
            <w:r>
              <w:rPr>
                <w:rFonts w:hint="eastAsia" w:ascii="仿宋" w:hAnsi="仿宋" w:eastAsia="仿宋" w:cs="仿宋"/>
                <w:bCs/>
                <w:color w:val="auto"/>
                <w:sz w:val="24"/>
                <w:highlight w:val="none"/>
                <w:lang w:val="en-US" w:eastAsia="zh-CN"/>
              </w:rPr>
              <w:t>书面表彰的</w:t>
            </w:r>
            <w:r>
              <w:rPr>
                <w:rFonts w:hint="eastAsia" w:ascii="仿宋" w:hAnsi="仿宋" w:eastAsia="仿宋" w:cs="仿宋"/>
                <w:bCs/>
                <w:color w:val="auto"/>
                <w:sz w:val="24"/>
                <w:highlight w:val="none"/>
              </w:rPr>
              <w:t>得3分，最多得3分。</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2.供应商具有戒毒康复成功案例的，成功案例需提供图文说明，每具一个成功案例得1分，最高得4分。</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pPr>
              <w:numPr>
                <w:ilvl w:val="0"/>
                <w:numId w:val="7"/>
              </w:num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提供相关荣誉证书或荣誉的其他证明材料的复印件并加盖供应商鲜章。</w:t>
            </w:r>
          </w:p>
          <w:p>
            <w:pPr>
              <w:numPr>
                <w:ilvl w:val="0"/>
                <w:numId w:val="7"/>
              </w:num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提供的成功案例需提供图文说明并加盖供应商鲜章。</w:t>
            </w:r>
          </w:p>
          <w:p>
            <w:pPr>
              <w:contextualSpacing/>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3、未提供作证材料的荣誉或成功案例不计入得分范围。</w:t>
            </w:r>
          </w:p>
        </w:tc>
        <w:tc>
          <w:tcPr>
            <w:tcW w:w="1593" w:type="dxa"/>
            <w:noWrap w:val="0"/>
            <w:vAlign w:val="center"/>
          </w:tcPr>
          <w:p>
            <w:pPr>
              <w:contextualSpacing/>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共同评审因素</w:t>
            </w:r>
          </w:p>
        </w:tc>
      </w:tr>
    </w:tbl>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bookmarkEnd w:id="166"/>
      <w:bookmarkEnd w:id="167"/>
      <w:bookmarkEnd w:id="168"/>
      <w:bookmarkEnd w:id="169"/>
      <w:bookmarkStart w:id="176" w:name="_Toc21472_WPSOffice_Level2"/>
    </w:p>
    <w:p>
      <w:pPr>
        <w:pStyle w:val="2"/>
        <w:rPr>
          <w:rFonts w:hint="eastAsia"/>
          <w:color w:val="auto"/>
          <w:highlight w:val="none"/>
        </w:rPr>
      </w:pPr>
    </w:p>
    <w:p>
      <w:pPr>
        <w:pStyle w:val="4"/>
        <w:keepNext w:val="0"/>
        <w:keepLines w:val="0"/>
        <w:spacing w:before="0" w:after="0" w:line="360" w:lineRule="auto"/>
        <w:ind w:firstLine="472" w:firstLineChars="196"/>
        <w:rPr>
          <w:rFonts w:hint="eastAsia" w:ascii="仿宋" w:hAnsi="仿宋" w:eastAsia="仿宋" w:cs="仿宋"/>
          <w:color w:val="auto"/>
          <w:sz w:val="24"/>
          <w:szCs w:val="24"/>
          <w:highlight w:val="none"/>
        </w:rPr>
      </w:pPr>
      <w:bookmarkStart w:id="177" w:name="_Toc32701_WPSOffice_Level2"/>
      <w:r>
        <w:rPr>
          <w:rFonts w:hint="eastAsia" w:ascii="仿宋" w:hAnsi="仿宋" w:eastAsia="仿宋" w:cs="仿宋"/>
          <w:color w:val="auto"/>
          <w:sz w:val="24"/>
          <w:szCs w:val="24"/>
          <w:highlight w:val="none"/>
        </w:rPr>
        <w:t>4.磋商纪律及注意事项</w:t>
      </w:r>
      <w:bookmarkEnd w:id="176"/>
      <w:bookmarkEnd w:id="177"/>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pPr>
        <w:tabs>
          <w:tab w:val="left" w:pos="85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pPr>
        <w:spacing w:line="360" w:lineRule="auto"/>
        <w:rPr>
          <w:rFonts w:hint="eastAsia" w:ascii="仿宋" w:hAnsi="仿宋" w:eastAsia="仿宋" w:cs="仿宋"/>
          <w:color w:val="auto"/>
          <w:szCs w:val="21"/>
          <w:highlight w:val="none"/>
        </w:rPr>
      </w:pPr>
    </w:p>
    <w:p>
      <w:pPr>
        <w:pStyle w:val="4"/>
        <w:keepNext w:val="0"/>
        <w:keepLines w:val="0"/>
        <w:spacing w:before="0" w:after="0" w:line="360" w:lineRule="auto"/>
        <w:ind w:firstLine="472" w:firstLineChars="196"/>
        <w:rPr>
          <w:rFonts w:hint="eastAsia" w:ascii="仿宋" w:hAnsi="仿宋" w:eastAsia="仿宋" w:cs="仿宋"/>
          <w:color w:val="auto"/>
          <w:sz w:val="24"/>
          <w:szCs w:val="24"/>
          <w:highlight w:val="none"/>
        </w:rPr>
      </w:pPr>
      <w:bookmarkStart w:id="178" w:name="_Toc29183_WPSOffice_Level2"/>
      <w:bookmarkStart w:id="179" w:name="_Toc17761_WPSOffice_Level2"/>
      <w:r>
        <w:rPr>
          <w:rFonts w:hint="eastAsia" w:ascii="仿宋" w:hAnsi="仿宋" w:eastAsia="仿宋" w:cs="仿宋"/>
          <w:color w:val="auto"/>
          <w:sz w:val="24"/>
          <w:szCs w:val="24"/>
          <w:highlight w:val="none"/>
        </w:rPr>
        <w:t>5.</w:t>
      </w:r>
      <w:bookmarkEnd w:id="170"/>
      <w:r>
        <w:rPr>
          <w:rFonts w:hint="eastAsia" w:ascii="仿宋" w:hAnsi="仿宋" w:eastAsia="仿宋" w:cs="仿宋"/>
          <w:color w:val="auto"/>
          <w:sz w:val="24"/>
          <w:szCs w:val="24"/>
          <w:highlight w:val="none"/>
        </w:rPr>
        <w:t>磋商小组在政府采购活动中承担以下义务：</w:t>
      </w:r>
      <w:bookmarkEnd w:id="178"/>
      <w:bookmarkEnd w:id="179"/>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（1）遵守评审工作纪律；</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（2）按照客观、公正、审慎的原则，根据磋商文件规定的评审程序、评审方法和评审标准进行独立评审；</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（3）不得泄露评审文件、评审情况和在评审过程中获悉的商业秘密；</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（6）及时向财政、监察等部门举报在评审过程中受到非法干预的情况；</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（7）配合答复处理供应商的询问、质疑和投诉等事项；</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（8）法律、法规和规章规定的其他义务。</w:t>
      </w:r>
    </w:p>
    <w:p>
      <w:pPr>
        <w:spacing w:line="360" w:lineRule="auto"/>
        <w:rPr>
          <w:rFonts w:hint="eastAsia" w:ascii="仿宋" w:hAnsi="仿宋" w:eastAsia="仿宋" w:cs="仿宋"/>
          <w:color w:val="auto"/>
          <w:szCs w:val="21"/>
          <w:highlight w:val="none"/>
        </w:rPr>
      </w:pPr>
    </w:p>
    <w:p>
      <w:pPr>
        <w:pStyle w:val="4"/>
        <w:keepNext w:val="0"/>
        <w:keepLines w:val="0"/>
        <w:spacing w:before="0" w:after="0" w:line="360" w:lineRule="auto"/>
        <w:ind w:firstLine="472" w:firstLineChars="196"/>
        <w:rPr>
          <w:rFonts w:hint="eastAsia" w:ascii="仿宋" w:hAnsi="仿宋" w:eastAsia="仿宋" w:cs="仿宋"/>
          <w:color w:val="auto"/>
          <w:sz w:val="24"/>
          <w:szCs w:val="24"/>
          <w:highlight w:val="none"/>
        </w:rPr>
      </w:pPr>
      <w:bookmarkStart w:id="180" w:name="_Toc13308_WPSOffice_Level2"/>
      <w:bookmarkStart w:id="181" w:name="_Toc17404_WPSOffice_Level2"/>
      <w:r>
        <w:rPr>
          <w:rFonts w:hint="eastAsia" w:ascii="仿宋" w:hAnsi="仿宋" w:eastAsia="仿宋" w:cs="仿宋"/>
          <w:color w:val="auto"/>
          <w:sz w:val="24"/>
          <w:szCs w:val="24"/>
          <w:highlight w:val="none"/>
        </w:rPr>
        <w:t>6.评审专家在政府采购活动中应当遵守以下工作纪律：</w:t>
      </w:r>
      <w:bookmarkEnd w:id="180"/>
      <w:bookmarkEnd w:id="181"/>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（2）评审前，应当将通讯工具或者相关电子设备交由采购代理机构统一保管；</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（5）在评审过程中和评审结束后，不得记录、复制或带走任何评审资料，不得向外界透露评审内容；</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（6）评审现场服从采购代理机构工作人员的管理，接受现场监督人员的合法监督；</w:t>
      </w:r>
    </w:p>
    <w:p>
      <w:pPr>
        <w:tabs>
          <w:tab w:val="left" w:pos="766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（7）遵守有关廉洁自律规定，不得私下接触供应商，不得收受供应商及有关业务单位和个人的财物或好处，不得接受采购代理机构的请托。</w:t>
      </w:r>
    </w:p>
    <w:p>
      <w:pPr>
        <w:pStyle w:val="3"/>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82" w:name="_Toc10837"/>
      <w:bookmarkStart w:id="183" w:name="_Toc14405_WPSOffice_Level1"/>
      <w:bookmarkStart w:id="184" w:name="_Toc28556_WPSOffice_Level1"/>
      <w:r>
        <w:rPr>
          <w:rFonts w:hint="eastAsia" w:ascii="仿宋" w:hAnsi="仿宋" w:eastAsia="仿宋" w:cs="仿宋"/>
          <w:color w:val="auto"/>
          <w:highlight w:val="none"/>
        </w:rPr>
        <w:t>第九章  政府采购合同（草案）</w:t>
      </w:r>
      <w:bookmarkEnd w:id="118"/>
      <w:bookmarkEnd w:id="119"/>
      <w:bookmarkEnd w:id="120"/>
      <w:bookmarkEnd w:id="182"/>
      <w:bookmarkEnd w:id="183"/>
      <w:bookmarkEnd w:id="184"/>
    </w:p>
    <w:p>
      <w:pPr>
        <w:spacing w:line="360" w:lineRule="auto"/>
        <w:rPr>
          <w:rFonts w:hint="eastAsia" w:ascii="仿宋" w:hAnsi="仿宋" w:eastAsia="仿宋" w:cs="仿宋"/>
          <w:color w:val="auto"/>
          <w:highlight w:val="none"/>
        </w:rPr>
      </w:pPr>
      <w:bookmarkStart w:id="185" w:name="_Hlt101846155"/>
      <w:bookmarkEnd w:id="185"/>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合同编号：XXXX。</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签订地点：XXXX。</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签订时间：XXXX年XX月XX日。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供应商（乙方）：</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依据《中华人民共和国民法典》、《中华人民共和国政府采购法》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numPr>
          <w:ilvl w:val="0"/>
          <w:numId w:val="8"/>
        </w:numPr>
        <w:spacing w:line="360" w:lineRule="auto"/>
        <w:rPr>
          <w:rFonts w:hint="eastAsia" w:ascii="仿宋" w:hAnsi="仿宋" w:eastAsia="仿宋" w:cs="仿宋"/>
          <w:b/>
          <w:color w:val="auto"/>
          <w:sz w:val="24"/>
          <w:highlight w:val="none"/>
        </w:rPr>
      </w:pPr>
      <w:bookmarkStart w:id="186" w:name="_Toc12353_WPSOffice_Level2"/>
      <w:bookmarkStart w:id="187" w:name="_Toc24556_WPSOffice_Level2"/>
      <w:r>
        <w:rPr>
          <w:rFonts w:hint="eastAsia" w:ascii="仿宋" w:hAnsi="仿宋" w:eastAsia="仿宋" w:cs="仿宋"/>
          <w:b/>
          <w:color w:val="auto"/>
          <w:sz w:val="24"/>
          <w:highlight w:val="none"/>
        </w:rPr>
        <w:t>项目基本情况</w:t>
      </w:r>
      <w:bookmarkEnd w:id="186"/>
      <w:bookmarkEnd w:id="187"/>
    </w:p>
    <w:p>
      <w:pPr>
        <w:numPr>
          <w:ilvl w:val="0"/>
          <w:numId w:val="8"/>
        </w:numPr>
        <w:spacing w:line="360" w:lineRule="auto"/>
        <w:rPr>
          <w:rFonts w:hint="eastAsia" w:ascii="仿宋" w:hAnsi="仿宋" w:eastAsia="仿宋" w:cs="仿宋"/>
          <w:color w:val="auto"/>
          <w:sz w:val="24"/>
          <w:highlight w:val="none"/>
        </w:rPr>
      </w:pPr>
      <w:bookmarkStart w:id="188" w:name="_Toc23965_WPSOffice_Level2"/>
      <w:bookmarkStart w:id="189" w:name="_Toc13964_WPSOffice_Level2"/>
      <w:r>
        <w:rPr>
          <w:rFonts w:hint="eastAsia" w:ascii="仿宋" w:hAnsi="仿宋" w:eastAsia="仿宋" w:cs="仿宋"/>
          <w:b/>
          <w:color w:val="auto"/>
          <w:sz w:val="24"/>
          <w:highlight w:val="none"/>
        </w:rPr>
        <w:t>合同期限</w:t>
      </w:r>
      <w:bookmarkEnd w:id="188"/>
      <w:bookmarkEnd w:id="189"/>
    </w:p>
    <w:p>
      <w:pPr>
        <w:numPr>
          <w:ilvl w:val="0"/>
          <w:numId w:val="8"/>
        </w:numPr>
        <w:spacing w:line="360" w:lineRule="auto"/>
        <w:rPr>
          <w:rFonts w:hint="eastAsia" w:ascii="仿宋" w:hAnsi="仿宋" w:eastAsia="仿宋" w:cs="仿宋"/>
          <w:b/>
          <w:color w:val="auto"/>
          <w:sz w:val="24"/>
          <w:highlight w:val="none"/>
        </w:rPr>
      </w:pPr>
      <w:bookmarkStart w:id="190" w:name="_Toc11144_WPSOffice_Level2"/>
      <w:bookmarkStart w:id="191" w:name="_Toc23597_WPSOffice_Level2"/>
      <w:bookmarkStart w:id="192" w:name="_Toc225670751"/>
      <w:bookmarkStart w:id="193" w:name="_Toc282696226"/>
      <w:bookmarkStart w:id="194" w:name="_Toc241833903"/>
      <w:bookmarkStart w:id="195" w:name="_Toc225244852"/>
      <w:bookmarkStart w:id="196" w:name="_Toc238984975"/>
      <w:bookmarkStart w:id="197" w:name="_Toc283019214"/>
      <w:bookmarkStart w:id="198" w:name="_Toc232492928"/>
      <w:bookmarkStart w:id="199" w:name="_Toc239568418"/>
      <w:bookmarkStart w:id="200" w:name="_Toc211911348"/>
      <w:bookmarkStart w:id="201" w:name="_Toc212019594"/>
      <w:bookmarkStart w:id="202" w:name="_Toc239233914"/>
      <w:bookmarkStart w:id="203" w:name="_Toc185395249"/>
      <w:bookmarkStart w:id="204" w:name="_Toc211854449"/>
      <w:bookmarkStart w:id="205" w:name="_Toc251768862"/>
      <w:bookmarkStart w:id="206" w:name="_Toc247334841"/>
      <w:bookmarkStart w:id="207" w:name="_Toc237145406"/>
      <w:bookmarkStart w:id="208" w:name="_Toc286993786"/>
      <w:bookmarkStart w:id="209" w:name="_Toc225654644"/>
      <w:r>
        <w:rPr>
          <w:rFonts w:hint="eastAsia" w:ascii="仿宋" w:hAnsi="仿宋" w:eastAsia="仿宋" w:cs="仿宋"/>
          <w:b/>
          <w:color w:val="auto"/>
          <w:sz w:val="24"/>
          <w:highlight w:val="none"/>
        </w:rPr>
        <w:t>服务内容与质量标准</w:t>
      </w:r>
      <w:bookmarkEnd w:id="190"/>
      <w:bookmarkEnd w:id="191"/>
    </w:p>
    <w:p>
      <w:pPr>
        <w:spacing w:line="360" w:lineRule="auto"/>
        <w:ind w:left="567"/>
        <w:rPr>
          <w:rFonts w:hint="eastAsia" w:ascii="仿宋" w:hAnsi="仿宋" w:eastAsia="仿宋" w:cs="仿宋"/>
          <w:color w:val="auto"/>
          <w:sz w:val="24"/>
          <w:highlight w:val="none"/>
        </w:rPr>
      </w:pPr>
      <w:r>
        <w:rPr>
          <w:rFonts w:hint="eastAsia" w:ascii="仿宋" w:hAnsi="仿宋" w:eastAsia="仿宋" w:cs="仿宋"/>
          <w:color w:val="auto"/>
          <w:sz w:val="24"/>
          <w:highlight w:val="none"/>
        </w:rPr>
        <w:t>1、XXXX；</w:t>
      </w:r>
    </w:p>
    <w:p>
      <w:pPr>
        <w:spacing w:line="360" w:lineRule="auto"/>
        <w:ind w:left="567"/>
        <w:rPr>
          <w:rFonts w:hint="eastAsia" w:ascii="仿宋" w:hAnsi="仿宋" w:eastAsia="仿宋" w:cs="仿宋"/>
          <w:color w:val="auto"/>
          <w:sz w:val="24"/>
          <w:highlight w:val="none"/>
        </w:rPr>
      </w:pPr>
      <w:r>
        <w:rPr>
          <w:rFonts w:hint="eastAsia" w:ascii="仿宋" w:hAnsi="仿宋" w:eastAsia="仿宋" w:cs="仿宋"/>
          <w:color w:val="auto"/>
          <w:sz w:val="24"/>
          <w:highlight w:val="none"/>
        </w:rPr>
        <w:t>2、XXXX；</w:t>
      </w:r>
    </w:p>
    <w:p>
      <w:pPr>
        <w:spacing w:line="360" w:lineRule="auto"/>
        <w:ind w:left="567"/>
        <w:rPr>
          <w:rFonts w:hint="eastAsia" w:ascii="仿宋" w:hAnsi="仿宋" w:eastAsia="仿宋" w:cs="仿宋"/>
          <w:color w:val="auto"/>
          <w:sz w:val="24"/>
          <w:highlight w:val="none"/>
        </w:rPr>
      </w:pPr>
      <w:r>
        <w:rPr>
          <w:rFonts w:hint="eastAsia" w:ascii="仿宋" w:hAnsi="仿宋" w:eastAsia="仿宋" w:cs="仿宋"/>
          <w:color w:val="auto"/>
          <w:sz w:val="24"/>
          <w:highlight w:val="none"/>
        </w:rPr>
        <w:t>3、XXXX．</w:t>
      </w:r>
    </w:p>
    <w:p>
      <w:pPr>
        <w:numPr>
          <w:ilvl w:val="0"/>
          <w:numId w:val="8"/>
        </w:numPr>
        <w:spacing w:line="360" w:lineRule="auto"/>
        <w:rPr>
          <w:rFonts w:hint="eastAsia" w:ascii="仿宋" w:hAnsi="仿宋" w:eastAsia="仿宋" w:cs="仿宋"/>
          <w:b/>
          <w:color w:val="auto"/>
          <w:sz w:val="24"/>
          <w:highlight w:val="none"/>
        </w:rPr>
      </w:pPr>
      <w:bookmarkStart w:id="210" w:name="_Toc11083_WPSOffice_Level2"/>
      <w:bookmarkStart w:id="211" w:name="_Toc18159_WPSOffice_Level2"/>
      <w:r>
        <w:rPr>
          <w:rFonts w:hint="eastAsia" w:ascii="仿宋" w:hAnsi="仿宋" w:eastAsia="仿宋" w:cs="仿宋"/>
          <w:b/>
          <w:color w:val="auto"/>
          <w:sz w:val="24"/>
          <w:highlight w:val="none"/>
        </w:rPr>
        <w:t>服务费用及支付方式</w:t>
      </w:r>
      <w:bookmarkEnd w:id="210"/>
      <w:bookmarkEnd w:id="211"/>
    </w:p>
    <w:p>
      <w:pPr>
        <w:numPr>
          <w:ilvl w:val="0"/>
          <w:numId w:val="9"/>
        </w:numPr>
        <w:spacing w:line="360" w:lineRule="auto"/>
        <w:ind w:left="0" w:firstLine="56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本项目服务费用由以下组成：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1、XX万元；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2、XX万元；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3、XX万元。</w:t>
      </w:r>
    </w:p>
    <w:p>
      <w:pPr>
        <w:numPr>
          <w:ilvl w:val="0"/>
          <w:numId w:val="9"/>
        </w:numPr>
        <w:tabs>
          <w:tab w:val="left" w:pos="780"/>
        </w:tabs>
        <w:spacing w:line="360" w:lineRule="auto"/>
        <w:ind w:left="0" w:firstLine="56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服务费支付方式： </w:t>
      </w:r>
    </w:p>
    <w:p>
      <w:pPr>
        <w:numPr>
          <w:ilvl w:val="0"/>
          <w:numId w:val="8"/>
        </w:numPr>
        <w:spacing w:line="360" w:lineRule="auto"/>
        <w:rPr>
          <w:rFonts w:hint="eastAsia" w:ascii="仿宋" w:hAnsi="仿宋" w:eastAsia="仿宋" w:cs="仿宋"/>
          <w:b/>
          <w:color w:val="auto"/>
          <w:sz w:val="24"/>
          <w:highlight w:val="none"/>
        </w:rPr>
      </w:pPr>
      <w:bookmarkStart w:id="212" w:name="_Toc4051_WPSOffice_Level2"/>
      <w:bookmarkStart w:id="213" w:name="_Toc2167_WPSOffice_Level2"/>
      <w:r>
        <w:rPr>
          <w:rFonts w:hint="eastAsia" w:ascii="仿宋" w:hAnsi="仿宋" w:eastAsia="仿宋" w:cs="仿宋"/>
          <w:b/>
          <w:color w:val="auto"/>
          <w:sz w:val="24"/>
          <w:highlight w:val="none"/>
        </w:rPr>
        <w:t>知识产权</w:t>
      </w:r>
      <w:bookmarkEnd w:id="212"/>
      <w:bookmarkEnd w:id="213"/>
    </w:p>
    <w:p>
      <w:pPr>
        <w:tabs>
          <w:tab w:val="left" w:pos="144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乙方应保证所提供的服务或其任何一部分均不会侵犯任何第三方的专利权、商标权或著作权。</w:t>
      </w:r>
    </w:p>
    <w:p>
      <w:pPr>
        <w:numPr>
          <w:ilvl w:val="0"/>
          <w:numId w:val="8"/>
        </w:numPr>
        <w:spacing w:line="360" w:lineRule="auto"/>
        <w:rPr>
          <w:rFonts w:hint="eastAsia" w:ascii="仿宋" w:hAnsi="仿宋" w:eastAsia="仿宋" w:cs="仿宋"/>
          <w:b/>
          <w:color w:val="auto"/>
          <w:sz w:val="24"/>
          <w:highlight w:val="none"/>
        </w:rPr>
      </w:pPr>
      <w:bookmarkStart w:id="214" w:name="_Toc20624_WPSOffice_Level2"/>
      <w:bookmarkStart w:id="215" w:name="_Toc1356_WPSOffice_Level2"/>
      <w:r>
        <w:rPr>
          <w:rFonts w:hint="eastAsia" w:ascii="仿宋" w:hAnsi="仿宋" w:eastAsia="仿宋" w:cs="仿宋"/>
          <w:b/>
          <w:color w:val="auto"/>
          <w:sz w:val="24"/>
          <w:highlight w:val="none"/>
        </w:rPr>
        <w:t>无产权瑕疵条款</w:t>
      </w:r>
      <w:bookmarkEnd w:id="214"/>
      <w:bookmarkEnd w:id="215"/>
    </w:p>
    <w:p>
      <w:pPr>
        <w:tabs>
          <w:tab w:val="left" w:pos="144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乙方保证所提供的服务的所有权完全属于乙方且无任何抵押、查封等产权瑕疵。如有产权瑕疵的，视为乙方违约。乙方应负担由此而产生的一切损失。</w:t>
      </w:r>
    </w:p>
    <w:p>
      <w:pPr>
        <w:numPr>
          <w:ilvl w:val="0"/>
          <w:numId w:val="8"/>
        </w:numPr>
        <w:spacing w:line="360" w:lineRule="auto"/>
        <w:rPr>
          <w:rFonts w:hint="eastAsia" w:ascii="仿宋" w:hAnsi="仿宋" w:eastAsia="仿宋" w:cs="仿宋"/>
          <w:b/>
          <w:color w:val="auto"/>
          <w:sz w:val="24"/>
          <w:highlight w:val="none"/>
        </w:rPr>
      </w:pPr>
      <w:bookmarkStart w:id="216" w:name="_Toc4136_WPSOffice_Level2"/>
      <w:bookmarkStart w:id="217" w:name="_Toc23515_WPSOffice_Level2"/>
      <w:r>
        <w:rPr>
          <w:rFonts w:hint="eastAsia" w:ascii="仿宋" w:hAnsi="仿宋" w:eastAsia="仿宋" w:cs="仿宋"/>
          <w:b/>
          <w:color w:val="auto"/>
          <w:sz w:val="24"/>
          <w:highlight w:val="none"/>
        </w:rPr>
        <w:t>履约保证金</w:t>
      </w:r>
      <w:bookmarkEnd w:id="216"/>
      <w:bookmarkEnd w:id="217"/>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1、乙方交纳人民币</w:t>
      </w:r>
      <w:r>
        <w:rPr>
          <w:rFonts w:hint="eastAsia" w:ascii="仿宋" w:hAnsi="仿宋" w:eastAsia="仿宋" w:cs="仿宋"/>
          <w:color w:val="auto"/>
          <w:sz w:val="24"/>
          <w:highlight w:val="none"/>
        </w:rPr>
        <w:t>XX</w:t>
      </w:r>
      <w:r>
        <w:rPr>
          <w:rFonts w:hint="eastAsia" w:ascii="仿宋" w:hAnsi="仿宋" w:eastAsia="仿宋" w:cs="仿宋"/>
          <w:bCs/>
          <w:color w:val="auto"/>
          <w:sz w:val="24"/>
          <w:highlight w:val="none"/>
        </w:rPr>
        <w:t>元作为本合同的履约保证金。</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2、履约保证金作为违约金的一部分及用于补偿甲方因乙方不能履行合同义务而蒙受的损失。</w:t>
      </w:r>
    </w:p>
    <w:p>
      <w:pPr>
        <w:numPr>
          <w:ilvl w:val="0"/>
          <w:numId w:val="8"/>
        </w:numPr>
        <w:spacing w:line="360" w:lineRule="auto"/>
        <w:rPr>
          <w:rFonts w:hint="eastAsia" w:ascii="仿宋" w:hAnsi="仿宋" w:eastAsia="仿宋" w:cs="仿宋"/>
          <w:b/>
          <w:color w:val="auto"/>
          <w:sz w:val="24"/>
          <w:highlight w:val="none"/>
        </w:rPr>
      </w:pPr>
      <w:bookmarkStart w:id="218" w:name="_Toc18407_WPSOffice_Level2"/>
      <w:bookmarkStart w:id="219" w:name="_Toc23216_WPSOffice_Level2"/>
      <w:r>
        <w:rPr>
          <w:rFonts w:hint="eastAsia" w:ascii="仿宋" w:hAnsi="仿宋" w:eastAsia="仿宋" w:cs="仿宋"/>
          <w:b/>
          <w:color w:val="auto"/>
          <w:sz w:val="24"/>
          <w:highlight w:val="none"/>
        </w:rPr>
        <w:t>甲方的权利和义务</w:t>
      </w:r>
      <w:bookmarkEnd w:id="218"/>
      <w:bookmarkEnd w:id="219"/>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5、国家法律、法规所规定由甲方承担的其它责任。</w:t>
      </w:r>
    </w:p>
    <w:p>
      <w:pPr>
        <w:numPr>
          <w:ilvl w:val="0"/>
          <w:numId w:val="8"/>
        </w:numPr>
        <w:spacing w:line="360" w:lineRule="auto"/>
        <w:rPr>
          <w:rFonts w:hint="eastAsia" w:ascii="仿宋" w:hAnsi="仿宋" w:eastAsia="仿宋" w:cs="仿宋"/>
          <w:b/>
          <w:color w:val="auto"/>
          <w:sz w:val="24"/>
          <w:highlight w:val="none"/>
        </w:rPr>
      </w:pPr>
      <w:bookmarkStart w:id="220" w:name="_Toc29426_WPSOffice_Level2"/>
      <w:bookmarkStart w:id="221" w:name="_Toc28651_WPSOffice_Level2"/>
      <w:r>
        <w:rPr>
          <w:rFonts w:hint="eastAsia" w:ascii="仿宋" w:hAnsi="仿宋" w:eastAsia="仿宋" w:cs="仿宋"/>
          <w:b/>
          <w:color w:val="auto"/>
          <w:sz w:val="24"/>
          <w:highlight w:val="none"/>
        </w:rPr>
        <w:t>乙方的权利和义务</w:t>
      </w:r>
      <w:bookmarkEnd w:id="220"/>
      <w:bookmarkEnd w:id="221"/>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5、国家法律、法规所规定由乙方承担的其它责任。</w:t>
      </w:r>
    </w:p>
    <w:p>
      <w:pPr>
        <w:numPr>
          <w:ilvl w:val="0"/>
          <w:numId w:val="8"/>
        </w:numPr>
        <w:spacing w:line="360" w:lineRule="auto"/>
        <w:rPr>
          <w:rFonts w:hint="eastAsia" w:ascii="仿宋" w:hAnsi="仿宋" w:eastAsia="仿宋" w:cs="仿宋"/>
          <w:b/>
          <w:color w:val="auto"/>
          <w:sz w:val="24"/>
          <w:highlight w:val="none"/>
        </w:rPr>
      </w:pPr>
      <w:bookmarkStart w:id="222" w:name="_Toc22285_WPSOffice_Level2"/>
      <w:bookmarkStart w:id="223" w:name="_Toc12689_WPSOffice_Level2"/>
      <w:r>
        <w:rPr>
          <w:rFonts w:hint="eastAsia" w:ascii="仿宋" w:hAnsi="仿宋" w:eastAsia="仿宋" w:cs="仿宋"/>
          <w:b/>
          <w:color w:val="auto"/>
          <w:sz w:val="24"/>
          <w:highlight w:val="none"/>
        </w:rPr>
        <w:t>违约责任</w:t>
      </w:r>
      <w:bookmarkEnd w:id="222"/>
      <w:bookmarkEnd w:id="223"/>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8"/>
        </w:numPr>
        <w:spacing w:line="360" w:lineRule="auto"/>
        <w:rPr>
          <w:rFonts w:hint="eastAsia" w:ascii="仿宋" w:hAnsi="仿宋" w:eastAsia="仿宋" w:cs="仿宋"/>
          <w:b/>
          <w:color w:val="auto"/>
          <w:sz w:val="24"/>
          <w:highlight w:val="none"/>
        </w:rPr>
      </w:pPr>
      <w:bookmarkStart w:id="224" w:name="_Toc9930_WPSOffice_Level2"/>
      <w:r>
        <w:rPr>
          <w:rFonts w:hint="eastAsia" w:ascii="仿宋" w:hAnsi="仿宋" w:eastAsia="仿宋" w:cs="仿宋"/>
          <w:b/>
          <w:color w:val="auto"/>
          <w:sz w:val="24"/>
          <w:highlight w:val="none"/>
        </w:rPr>
        <w:t>不可抗力事件处理</w:t>
      </w:r>
      <w:bookmarkEnd w:id="224"/>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3、不可抗力事件延续XX天以上，双方应通过友好协商，确定是否继续履行合同。</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numPr>
          <w:ilvl w:val="0"/>
          <w:numId w:val="8"/>
        </w:numPr>
        <w:spacing w:line="360" w:lineRule="auto"/>
        <w:rPr>
          <w:rFonts w:hint="eastAsia" w:ascii="仿宋" w:hAnsi="仿宋" w:eastAsia="仿宋" w:cs="仿宋"/>
          <w:b/>
          <w:color w:val="auto"/>
          <w:sz w:val="24"/>
          <w:highlight w:val="none"/>
        </w:rPr>
      </w:pPr>
      <w:bookmarkStart w:id="225" w:name="_Toc225670756"/>
      <w:bookmarkStart w:id="226" w:name="_Toc212019599"/>
      <w:bookmarkStart w:id="227" w:name="_Toc239233919"/>
      <w:bookmarkStart w:id="228" w:name="_Toc232492933"/>
      <w:bookmarkStart w:id="229" w:name="_Toc241833908"/>
      <w:bookmarkStart w:id="230" w:name="_Toc211911353"/>
      <w:bookmarkStart w:id="231" w:name="_Toc238984980"/>
      <w:bookmarkStart w:id="232" w:name="_Toc12653_WPSOffice_Level2"/>
      <w:bookmarkStart w:id="233" w:name="_Toc237145411"/>
      <w:bookmarkStart w:id="234" w:name="_Toc239568423"/>
      <w:bookmarkStart w:id="235" w:name="_Toc225654649"/>
      <w:bookmarkStart w:id="236" w:name="_Toc185395254"/>
      <w:bookmarkStart w:id="237" w:name="_Toc286993792"/>
      <w:bookmarkStart w:id="238" w:name="_Toc251768867"/>
      <w:bookmarkStart w:id="239" w:name="_Toc225244857"/>
      <w:bookmarkStart w:id="240" w:name="_Toc211854454"/>
      <w:bookmarkStart w:id="241" w:name="_Toc247334846"/>
      <w:bookmarkStart w:id="242" w:name="_Toc31579_WPSOffice_Level2"/>
      <w:r>
        <w:rPr>
          <w:rFonts w:hint="eastAsia" w:ascii="仿宋" w:hAnsi="仿宋" w:eastAsia="仿宋" w:cs="仿宋"/>
          <w:b/>
          <w:color w:val="auto"/>
          <w:sz w:val="24"/>
          <w:highlight w:val="none"/>
        </w:rPr>
        <w:t>解决合同纠纷的方式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1、在执行本合同中发生的或与本合同有关的争端，双方应通过友好协商解决，经协商在XX天内不能达成协议时，应提交</w:t>
      </w:r>
      <w:r>
        <w:rPr>
          <w:rFonts w:hint="eastAsia" w:ascii="仿宋" w:hAnsi="仿宋" w:eastAsia="仿宋" w:cs="仿宋"/>
          <w:color w:val="auto"/>
          <w:sz w:val="24"/>
          <w:highlight w:val="none"/>
          <w:lang w:eastAsia="zh-CN"/>
        </w:rPr>
        <w:t>当地</w:t>
      </w:r>
      <w:r>
        <w:rPr>
          <w:rFonts w:hint="eastAsia" w:ascii="仿宋" w:hAnsi="仿宋" w:eastAsia="仿宋" w:cs="仿宋"/>
          <w:color w:val="auto"/>
          <w:sz w:val="24"/>
          <w:highlight w:val="none"/>
        </w:rPr>
        <w:t>仲裁委员会仲裁。</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2、仲裁裁决应为最终决定，并对双方具有约束力。</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3、除另有裁决外，仲裁费应由败诉方负担。 </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4、在仲裁期间，除正在进行仲裁部分外，合同其他部分继续执行。  </w:t>
      </w:r>
    </w:p>
    <w:p>
      <w:pPr>
        <w:numPr>
          <w:ilvl w:val="0"/>
          <w:numId w:val="8"/>
        </w:numPr>
        <w:spacing w:line="360" w:lineRule="auto"/>
        <w:rPr>
          <w:rFonts w:hint="eastAsia" w:ascii="仿宋" w:hAnsi="仿宋" w:eastAsia="仿宋" w:cs="仿宋"/>
          <w:b/>
          <w:color w:val="auto"/>
          <w:sz w:val="24"/>
          <w:highlight w:val="none"/>
        </w:rPr>
      </w:pPr>
      <w:bookmarkStart w:id="243" w:name="_Toc241833909"/>
      <w:bookmarkStart w:id="244" w:name="_Toc286993793"/>
      <w:bookmarkStart w:id="245" w:name="_Toc238984981"/>
      <w:bookmarkStart w:id="246" w:name="_Toc212019600"/>
      <w:bookmarkStart w:id="247" w:name="_Toc282696231"/>
      <w:bookmarkStart w:id="248" w:name="_Toc211911354"/>
      <w:bookmarkStart w:id="249" w:name="_Toc239568424"/>
      <w:bookmarkStart w:id="250" w:name="_Toc185395255"/>
      <w:bookmarkStart w:id="251" w:name="_Toc239233920"/>
      <w:bookmarkStart w:id="252" w:name="_Toc283019219"/>
      <w:bookmarkStart w:id="253" w:name="_Toc225670757"/>
      <w:bookmarkStart w:id="254" w:name="_Toc225244858"/>
      <w:bookmarkStart w:id="255" w:name="_Toc211854455"/>
      <w:bookmarkStart w:id="256" w:name="_Toc251768868"/>
      <w:bookmarkStart w:id="257" w:name="_Toc247334847"/>
      <w:bookmarkStart w:id="258" w:name="_Toc237145412"/>
      <w:bookmarkStart w:id="259" w:name="_Toc225654650"/>
      <w:bookmarkStart w:id="260" w:name="_Toc232492934"/>
      <w:bookmarkStart w:id="261" w:name="_Toc10503_WPSOffice_Level2"/>
      <w:bookmarkStart w:id="262" w:name="_Toc19069_WPSOffice_Level2"/>
      <w:r>
        <w:rPr>
          <w:rFonts w:hint="eastAsia" w:ascii="仿宋" w:hAnsi="仿宋" w:eastAsia="仿宋" w:cs="仿宋"/>
          <w:b/>
          <w:color w:val="auto"/>
          <w:sz w:val="24"/>
          <w:highlight w:val="none"/>
        </w:rPr>
        <w:t>合同</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ascii="仿宋" w:hAnsi="仿宋" w:eastAsia="仿宋" w:cs="仿宋"/>
          <w:b/>
          <w:color w:val="auto"/>
          <w:sz w:val="24"/>
          <w:highlight w:val="none"/>
        </w:rPr>
        <w:t>生效及其他</w:t>
      </w:r>
      <w:bookmarkEnd w:id="261"/>
      <w:bookmarkEnd w:id="262"/>
    </w:p>
    <w:p>
      <w:pPr>
        <w:pStyle w:val="3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1、合同经双方法定代表人或授权委托代理人签字并加盖单位公章后生效。</w:t>
      </w:r>
    </w:p>
    <w:p>
      <w:pPr>
        <w:pStyle w:val="3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3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3、本合同一式XX份，自双方签章之日起起效。甲方XX份，乙方XX份，政府采购代理机构XX份，同级财政部门备案XX份，具有同等法律效力。</w:t>
      </w:r>
    </w:p>
    <w:p>
      <w:pPr>
        <w:numPr>
          <w:ilvl w:val="0"/>
          <w:numId w:val="8"/>
        </w:numPr>
        <w:spacing w:line="360" w:lineRule="auto"/>
        <w:rPr>
          <w:rFonts w:hint="eastAsia" w:ascii="仿宋" w:hAnsi="仿宋" w:eastAsia="仿宋" w:cs="仿宋"/>
          <w:b/>
          <w:color w:val="auto"/>
          <w:sz w:val="24"/>
          <w:highlight w:val="none"/>
        </w:rPr>
      </w:pPr>
      <w:bookmarkStart w:id="263" w:name="_Toc14459_WPSOffice_Level2"/>
      <w:bookmarkStart w:id="264" w:name="_Toc28162_WPSOffice_Level2"/>
      <w:r>
        <w:rPr>
          <w:rFonts w:hint="eastAsia" w:ascii="仿宋" w:hAnsi="仿宋" w:eastAsia="仿宋" w:cs="仿宋"/>
          <w:b/>
          <w:color w:val="auto"/>
          <w:sz w:val="24"/>
          <w:highlight w:val="none"/>
        </w:rPr>
        <w:t>附件</w:t>
      </w:r>
      <w:bookmarkEnd w:id="263"/>
      <w:bookmarkEnd w:id="264"/>
    </w:p>
    <w:p>
      <w:pPr>
        <w:pStyle w:val="3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1、项目磋商文件</w:t>
      </w:r>
    </w:p>
    <w:p>
      <w:pPr>
        <w:pStyle w:val="3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2、项目修改澄清文件</w:t>
      </w:r>
    </w:p>
    <w:p>
      <w:pPr>
        <w:pStyle w:val="3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3、项目响应文件</w:t>
      </w:r>
    </w:p>
    <w:p>
      <w:pPr>
        <w:pStyle w:val="3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4、成交通知书</w:t>
      </w:r>
    </w:p>
    <w:p>
      <w:pPr>
        <w:pStyle w:val="3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   （盖章）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乙方：   （盖章）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           法定代表人（授权代表）：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地    址：</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账号：                             账号：</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                         电    话：</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传    真：</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签约日期：XX年XX月XX日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签约日期：XX年XX月XX日</w:t>
      </w:r>
    </w:p>
    <w:p>
      <w:pPr>
        <w:pStyle w:val="2"/>
        <w:spacing w:line="360" w:lineRule="auto"/>
        <w:ind w:firstLine="466"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pacing w:val="-4"/>
          <w:sz w:val="24"/>
          <w:szCs w:val="24"/>
          <w:highlight w:val="none"/>
        </w:rPr>
        <w:t>注：合同条款可根据采购人及成交人签订合同时的实际情况进行修改调整。</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widowControl/>
        <w:spacing w:line="360" w:lineRule="auto"/>
        <w:rPr>
          <w:rFonts w:hint="eastAsia" w:ascii="仿宋" w:hAnsi="仿宋" w:eastAsia="仿宋" w:cs="仿宋"/>
          <w:b/>
          <w:bCs/>
          <w:color w:val="auto"/>
          <w:highlight w:val="none"/>
        </w:rPr>
      </w:pPr>
      <w:r>
        <w:rPr>
          <w:rFonts w:hint="eastAsia" w:ascii="仿宋" w:hAnsi="仿宋" w:eastAsia="仿宋" w:cs="仿宋"/>
          <w:b/>
          <w:bCs/>
          <w:color w:val="auto"/>
          <w:sz w:val="24"/>
          <w:highlight w:val="none"/>
        </w:rPr>
        <w:t>附件一：</w:t>
      </w:r>
      <w:r>
        <w:rPr>
          <w:rFonts w:hint="eastAsia" w:ascii="仿宋" w:hAnsi="仿宋" w:eastAsia="仿宋" w:cs="仿宋"/>
          <w:b/>
          <w:bCs/>
          <w:color w:val="auto"/>
          <w:highlight w:val="none"/>
        </w:rPr>
        <w:t>《四川省财政厅关于推进四川省政府采购供应商信用融资工作的通知》(川财采〔2018〕123号文)</w:t>
      </w:r>
    </w:p>
    <w:p>
      <w:pPr>
        <w:pStyle w:val="17"/>
        <w:wordWrap w:val="0"/>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查询链接：</w:t>
      </w:r>
      <w:r>
        <w:rPr>
          <w:rFonts w:hint="eastAsia" w:ascii="仿宋" w:hAnsi="仿宋" w:eastAsia="仿宋" w:cs="仿宋"/>
          <w:b/>
          <w:bCs/>
          <w:color w:val="auto"/>
          <w:sz w:val="24"/>
          <w:szCs w:val="24"/>
          <w:highlight w:val="none"/>
        </w:rPr>
        <w:t>http://www.ccgp-sichuan.gov.cn/view/staticpags/sjzcfg/40288687657ff75501672fd954532414.html</w:t>
      </w:r>
    </w:p>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drawing>
          <wp:inline distT="0" distB="0" distL="114300" distR="114300">
            <wp:extent cx="5302250" cy="1859915"/>
            <wp:effectExtent l="0" t="0" r="635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cstate="print"/>
                    <a:stretch>
                      <a:fillRect/>
                    </a:stretch>
                  </pic:blipFill>
                  <pic:spPr>
                    <a:xfrm>
                      <a:off x="0" y="0"/>
                      <a:ext cx="5302250" cy="1859915"/>
                    </a:xfrm>
                    <a:prstGeom prst="rect">
                      <a:avLst/>
                    </a:prstGeom>
                    <a:noFill/>
                    <a:ln w="9525">
                      <a:noFill/>
                    </a:ln>
                  </pic:spPr>
                </pic:pic>
              </a:graphicData>
            </a:graphic>
          </wp:inline>
        </w:drawing>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各市（州）、扩权县（市）财政局，各省直机关、事业单位、团体组织，各金融机构，各采购代理机构，各政府采购供应商：</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一、融资概念</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二、基本原则</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（一）财政引导，市场运行</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（二）建立机制，服务银企</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（三）优质优惠，加强扶持</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三、基本条件</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（一）银行暨“政采贷”金融产品</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1、征集。</w:t>
      </w:r>
      <w:r>
        <w:rPr>
          <w:rFonts w:hint="eastAsia" w:ascii="仿宋" w:hAnsi="仿宋" w:eastAsia="仿宋" w:cs="仿宋"/>
          <w:color w:val="auto"/>
          <w:sz w:val="24"/>
          <w:szCs w:val="24"/>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银行提供的“政采贷”产品应当满足“无抵押担保、程序简便、利率优惠、放款及时”的基本条件以及本通知其他相关规定。</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银行申请材料中应当载明其自愿提供“政采贷”产品，自担风险，不得要求或者变相要求财政部门和采购人为其提供风险担保、承诺。</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2、公示。</w:t>
      </w:r>
      <w:r>
        <w:rPr>
          <w:rFonts w:hint="eastAsia" w:ascii="仿宋" w:hAnsi="仿宋" w:eastAsia="仿宋" w:cs="仿宋"/>
          <w:color w:val="auto"/>
          <w:sz w:val="24"/>
          <w:szCs w:val="24"/>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（二）供应商</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政府采购供应商向银行申请“政采贷”，应当满足下列基本条件：</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rPr>
        <w:t>具有依法承担民事责任的能力；</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具有依法履行政府采购合同的能力；</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参加的政府采购活动未被财政部门依法暂停、责令重新开展或者认定中标、成交无效；</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color w:val="auto"/>
          <w:sz w:val="24"/>
          <w:szCs w:val="24"/>
          <w:highlight w:val="none"/>
        </w:rPr>
        <w:t>无《政府采购法》第二十二条第一款第（五）项所称的重大违法记录；</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color w:val="auto"/>
          <w:sz w:val="24"/>
          <w:szCs w:val="24"/>
          <w:highlight w:val="none"/>
        </w:rPr>
        <w:t>未被法院、市场监管、税务、银行等部门单位纳入失信名单且在有效期内；</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color w:val="auto"/>
          <w:sz w:val="24"/>
          <w:szCs w:val="24"/>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color w:val="auto"/>
          <w:sz w:val="24"/>
          <w:szCs w:val="24"/>
          <w:highlight w:val="none"/>
        </w:rPr>
        <w:t>其他银行要求的不属于提供财产抵押或第三方担保的条件。</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四、构建平台</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四川省财政厅将在四川政府采购网统一构建四川省“政采贷”信息化服务平台，推进四川省“政采贷”工作信息化建设。</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五、财金互动</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六、基本流程</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（一）意向申请</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7"/>
        <w:spacing w:before="0" w:beforeAutospacing="0" w:after="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（二）正式申请</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（三）贷款审查</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（四）信息报送</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（五）资金支付</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政府采购资金支付过程中，银行需要查询采购资金支付进程有关信息的，财政部门和采购人应当支持。</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七、职责要求</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color w:val="auto"/>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color w:val="auto"/>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color w:val="auto"/>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w:t>
      </w:r>
      <w:r>
        <w:rPr>
          <w:rFonts w:hint="eastAsia" w:ascii="仿宋" w:hAnsi="仿宋" w:eastAsia="仿宋" w:cs="仿宋"/>
          <w:color w:val="auto"/>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（五）</w:t>
      </w:r>
      <w:r>
        <w:rPr>
          <w:rFonts w:hint="eastAsia" w:ascii="仿宋" w:hAnsi="仿宋" w:eastAsia="仿宋" w:cs="仿宋"/>
          <w:color w:val="auto"/>
          <w:sz w:val="24"/>
          <w:szCs w:val="24"/>
          <w:highlight w:val="none"/>
        </w:rPr>
        <w:t>供应商应当依法参加政府采购活动，公平竞争，诚实守信，严格按照政府采购合同履约，严格按照借款合同偿还债务。</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w:t>
      </w:r>
      <w:r>
        <w:rPr>
          <w:rFonts w:hint="eastAsia" w:ascii="仿宋" w:hAnsi="仿宋" w:eastAsia="仿宋" w:cs="仿宋"/>
          <w:color w:val="auto"/>
          <w:sz w:val="24"/>
          <w:szCs w:val="24"/>
          <w:highlight w:val="none"/>
        </w:rPr>
        <w:t>财政部门、采购人、采购代理机构及其他有关单位和个人不得违规干预供应商选择“政采贷”银行及其产品，也不得违规干预银行向供应商进行贷款。</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（七）</w:t>
      </w:r>
      <w:r>
        <w:rPr>
          <w:rFonts w:hint="eastAsia" w:ascii="仿宋" w:hAnsi="仿宋" w:eastAsia="仿宋" w:cs="仿宋"/>
          <w:color w:val="auto"/>
          <w:sz w:val="24"/>
          <w:szCs w:val="24"/>
          <w:highlight w:val="none"/>
        </w:rPr>
        <w:t>相关单位和个人在开展“政采贷”工作过程中，发现新问题、新情况或者有意见建议的，请及时向四川省财政厅反馈。</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八、违规处理</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（一）银行违规处理</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（二）供应商违规处理</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7"/>
        <w:spacing w:before="0" w:beforeAutospacing="0" w:after="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（三）其他违规处理</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7"/>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附件：四川省“政采贷”信息统计表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446405</wp:posOffset>
            </wp:positionV>
            <wp:extent cx="1771650" cy="1781175"/>
            <wp:effectExtent l="0" t="0" r="6350"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6" cstate="print"/>
                    <a:stretch>
                      <a:fillRect/>
                    </a:stretch>
                  </pic:blipFill>
                  <pic:spPr>
                    <a:xfrm>
                      <a:off x="0" y="0"/>
                      <a:ext cx="1771650" cy="1781175"/>
                    </a:xfrm>
                    <a:prstGeom prst="rect">
                      <a:avLst/>
                    </a:prstGeom>
                    <a:noFill/>
                    <a:ln w="9525">
                      <a:noFill/>
                    </a:ln>
                  </pic:spPr>
                </pic:pic>
              </a:graphicData>
            </a:graphic>
          </wp:anchor>
        </w:drawing>
      </w:r>
      <w:r>
        <w:rPr>
          <w:rFonts w:hint="eastAsia" w:ascii="仿宋" w:hAnsi="仿宋" w:eastAsia="仿宋" w:cs="仿宋"/>
          <w:color w:val="auto"/>
          <w:sz w:val="24"/>
          <w:highlight w:val="none"/>
        </w:rPr>
        <w:br w:type="page"/>
      </w:r>
    </w:p>
    <w:p>
      <w:pP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附件</w:t>
      </w:r>
      <w:r>
        <w:rPr>
          <w:rFonts w:hint="eastAsia" w:ascii="仿宋" w:hAnsi="仿宋" w:eastAsia="仿宋" w:cs="仿宋"/>
          <w:b/>
          <w:bCs/>
          <w:color w:val="auto"/>
          <w:sz w:val="28"/>
          <w:szCs w:val="36"/>
          <w:highlight w:val="none"/>
          <w:lang w:eastAsia="zh-CN"/>
        </w:rPr>
        <w:t>二</w:t>
      </w:r>
      <w:r>
        <w:rPr>
          <w:rFonts w:hint="eastAsia" w:ascii="仿宋" w:hAnsi="仿宋" w:eastAsia="仿宋" w:cs="仿宋"/>
          <w:b/>
          <w:bCs/>
          <w:color w:val="auto"/>
          <w:sz w:val="28"/>
          <w:szCs w:val="36"/>
          <w:highlight w:val="none"/>
        </w:rPr>
        <w:t xml:space="preserve">：         </w:t>
      </w:r>
    </w:p>
    <w:p>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2021年度信用评价服务效果调查表(供应商)</w:t>
      </w:r>
    </w:p>
    <w:p>
      <w:pPr>
        <w:pStyle w:val="51"/>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pStyle w:val="51"/>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p>
    <w:p>
      <w:pPr>
        <w:pStyle w:val="51"/>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被评价代理机构名称：</w:t>
      </w:r>
    </w:p>
    <w:tbl>
      <w:tblPr>
        <w:tblStyle w:val="18"/>
        <w:tblW w:w="9770" w:type="dxa"/>
        <w:jc w:val="center"/>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满意</w:t>
            </w:r>
          </w:p>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基本满意</w:t>
            </w:r>
          </w:p>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一般</w:t>
            </w:r>
          </w:p>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不满意</w:t>
            </w:r>
          </w:p>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(0分)</w:t>
            </w: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2"/>
              <w:rPr>
                <w:rFonts w:hint="eastAsia" w:ascii="仿宋" w:hAnsi="仿宋" w:eastAsia="仿宋" w:cs="仿宋"/>
                <w:b/>
                <w:bCs/>
                <w:color w:val="auto"/>
                <w:sz w:val="24"/>
                <w:highlight w:val="none"/>
              </w:rPr>
            </w:pPr>
          </w:p>
        </w:tc>
      </w:tr>
      <w:tr>
        <w:tblPrEx>
          <w:tblCellMar>
            <w:top w:w="15" w:type="dxa"/>
            <w:left w:w="15" w:type="dxa"/>
            <w:bottom w:w="15" w:type="dxa"/>
            <w:right w:w="15" w:type="dxa"/>
          </w:tblCellMar>
        </w:tblPrEx>
        <w:trPr>
          <w:trHeight w:val="480"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3"/>
              <w:ind w:left="4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对代理机构工作的其他建议：</w:t>
            </w:r>
          </w:p>
        </w:tc>
      </w:tr>
      <w:tr>
        <w:tblPrEx>
          <w:tblCellMar>
            <w:top w:w="15" w:type="dxa"/>
            <w:left w:w="15" w:type="dxa"/>
            <w:bottom w:w="15" w:type="dxa"/>
            <w:right w:w="15" w:type="dxa"/>
          </w:tblCellMar>
        </w:tblPrEx>
        <w:trPr>
          <w:trHeight w:val="200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3"/>
              <w:ind w:left="42"/>
              <w:jc w:val="center"/>
              <w:rPr>
                <w:rFonts w:hint="eastAsia" w:ascii="仿宋" w:hAnsi="仿宋" w:eastAsia="仿宋" w:cs="仿宋"/>
                <w:b/>
                <w:bCs/>
                <w:color w:val="auto"/>
                <w:sz w:val="24"/>
                <w:highlight w:val="none"/>
              </w:rPr>
            </w:pPr>
          </w:p>
        </w:tc>
      </w:tr>
      <w:tr>
        <w:tblPrEx>
          <w:tblCellMar>
            <w:top w:w="15" w:type="dxa"/>
            <w:left w:w="15" w:type="dxa"/>
            <w:bottom w:w="15" w:type="dxa"/>
            <w:right w:w="15" w:type="dxa"/>
          </w:tblCellMar>
        </w:tblPrEx>
        <w:trPr>
          <w:trHeight w:val="81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3"/>
              <w:ind w:left="4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供应商名称：</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(加盖鲜章)</w:t>
            </w:r>
          </w:p>
        </w:tc>
      </w:tr>
    </w:tbl>
    <w:p>
      <w:pPr>
        <w:pStyle w:val="2"/>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说明：1.请贵公司根据政府采购代理机构2021年度政府采购项目的实际情况，在“满意”、“基本满意”、“一般”、“不满意”四个评价档次栏中选取一栏打“√”，并加盖鲜章。</w:t>
      </w:r>
    </w:p>
    <w:p>
      <w:pPr>
        <w:pStyle w:val="2"/>
        <w:numPr>
          <w:ilvl w:val="0"/>
          <w:numId w:val="10"/>
        </w:numPr>
        <w:ind w:firstLine="482" w:firstLineChars="200"/>
        <w:rPr>
          <w:rFonts w:hint="eastAsia" w:ascii="ˎ̥" w:hAnsi="ˎ̥" w:cs="宋体"/>
          <w:color w:val="auto"/>
          <w:kern w:val="0"/>
          <w:sz w:val="44"/>
          <w:szCs w:val="44"/>
          <w:highlight w:val="none"/>
        </w:rPr>
      </w:pPr>
      <w:r>
        <w:rPr>
          <w:rFonts w:hint="eastAsia" w:ascii="仿宋" w:hAnsi="仿宋" w:eastAsia="仿宋" w:cs="仿宋"/>
          <w:b/>
          <w:bCs/>
          <w:color w:val="auto"/>
          <w:sz w:val="24"/>
          <w:szCs w:val="24"/>
          <w:highlight w:val="none"/>
        </w:rPr>
        <w:t>请贵公司于开标当日将此表原件交至代理机构工作人员。（不作为实质性要求，不作为评审依据）</w:t>
      </w:r>
    </w:p>
    <w:p>
      <w:pPr>
        <w:widowControl/>
        <w:spacing w:line="360" w:lineRule="auto"/>
        <w:jc w:val="both"/>
        <w:rPr>
          <w:rFonts w:hint="eastAsia" w:ascii="ˎ̥" w:hAnsi="ˎ̥" w:cs="宋体"/>
          <w:color w:val="auto"/>
          <w:kern w:val="0"/>
          <w:sz w:val="10"/>
          <w:szCs w:val="10"/>
          <w:highlight w:val="none"/>
        </w:rPr>
      </w:pPr>
    </w:p>
    <w:p>
      <w:pPr>
        <w:widowControl/>
        <w:spacing w:line="360" w:lineRule="auto"/>
        <w:jc w:val="center"/>
        <w:rPr>
          <w:rFonts w:hint="eastAsia" w:ascii="ˎ̥" w:hAnsi="ˎ̥" w:cs="宋体"/>
          <w:color w:val="auto"/>
          <w:kern w:val="0"/>
          <w:sz w:val="44"/>
          <w:szCs w:val="44"/>
          <w:highlight w:val="none"/>
        </w:rPr>
      </w:pPr>
      <w:r>
        <w:rPr>
          <w:rFonts w:hint="eastAsia" w:ascii="ˎ̥" w:hAnsi="ˎ̥" w:cs="宋体"/>
          <w:color w:val="auto"/>
          <w:kern w:val="0"/>
          <w:sz w:val="44"/>
          <w:szCs w:val="44"/>
          <w:highlight w:val="none"/>
        </w:rPr>
        <w:t>采购项目报名表</w:t>
      </w:r>
    </w:p>
    <w:p>
      <w:pPr>
        <w:widowControl/>
        <w:spacing w:line="360" w:lineRule="auto"/>
        <w:jc w:val="center"/>
        <w:rPr>
          <w:rFonts w:hint="eastAsia" w:ascii="ˎ̥" w:hAnsi="ˎ̥" w:cs="宋体"/>
          <w:color w:val="auto"/>
          <w:kern w:val="0"/>
          <w:sz w:val="10"/>
          <w:szCs w:val="10"/>
          <w:highlight w:val="none"/>
        </w:rPr>
      </w:pPr>
    </w:p>
    <w:tbl>
      <w:tblPr>
        <w:tblStyle w:val="18"/>
        <w:tblW w:w="8865" w:type="dxa"/>
        <w:jc w:val="center"/>
        <w:tblCellSpacing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820"/>
        <w:gridCol w:w="6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tcBorders>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    期</w:t>
            </w:r>
          </w:p>
        </w:tc>
        <w:tc>
          <w:tcPr>
            <w:tcW w:w="6045" w:type="dxa"/>
            <w:tcBorders>
              <w:left w:val="outset" w:color="auto" w:sz="6" w:space="0"/>
              <w:bottom w:val="outset" w:color="auto" w:sz="6" w:space="0"/>
            </w:tcBorders>
            <w:noWrap w:val="0"/>
            <w:vAlign w:val="center"/>
          </w:tcPr>
          <w:p>
            <w:pPr>
              <w:widowControl/>
              <w:spacing w:line="385" w:lineRule="atLeast"/>
              <w:jc w:val="center"/>
              <w:rPr>
                <w:rFonts w:ascii="ˎ̥" w:hAnsi="ˎ̥" w:cs="宋体"/>
                <w:color w:val="auto"/>
                <w:kern w:val="0"/>
                <w:sz w:val="26"/>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 目 名 称</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center"/>
              <w:rPr>
                <w:rFonts w:ascii="ˎ̥" w:hAnsi="ˎ̥" w:cs="宋体"/>
                <w:color w:val="auto"/>
                <w:kern w:val="0"/>
                <w:sz w:val="26"/>
                <w:szCs w:val="18"/>
                <w:highlight w:val="none"/>
              </w:rPr>
            </w:pPr>
            <w:r>
              <w:rPr>
                <w:rFonts w:hint="eastAsia" w:ascii="ˎ̥" w:hAnsi="ˎ̥" w:cs="宋体"/>
                <w:color w:val="auto"/>
                <w:kern w:val="0"/>
                <w:sz w:val="26"/>
                <w:szCs w:val="18"/>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 目 编 号</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center"/>
              <w:rPr>
                <w:rFonts w:ascii="ˎ̥" w:hAnsi="ˎ̥" w:cs="宋体"/>
                <w:color w:val="auto"/>
                <w:kern w:val="0"/>
                <w:sz w:val="26"/>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val="en-US" w:eastAsia="zh-CN"/>
              </w:rPr>
              <w:t>报名</w:t>
            </w:r>
            <w:r>
              <w:rPr>
                <w:rFonts w:hint="eastAsia" w:ascii="宋体" w:hAnsi="宋体" w:eastAsia="宋体" w:cs="宋体"/>
                <w:color w:val="auto"/>
                <w:kern w:val="0"/>
                <w:sz w:val="28"/>
                <w:szCs w:val="28"/>
                <w:highlight w:val="none"/>
              </w:rPr>
              <w:t>单位名称</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center"/>
              <w:rPr>
                <w:rFonts w:ascii="ˎ̥" w:hAnsi="ˎ̥" w:cs="宋体"/>
                <w:color w:val="auto"/>
                <w:kern w:val="0"/>
                <w:sz w:val="26"/>
                <w:szCs w:val="18"/>
                <w:highlight w:val="none"/>
              </w:rPr>
            </w:pPr>
            <w:r>
              <w:rPr>
                <w:rFonts w:hint="eastAsia" w:ascii="ˎ̥" w:hAnsi="ˎ̥" w:cs="宋体"/>
                <w:color w:val="auto"/>
                <w:kern w:val="0"/>
                <w:sz w:val="26"/>
                <w:szCs w:val="18"/>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8"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项目联系人</w:t>
            </w:r>
          </w:p>
          <w:p>
            <w:pPr>
              <w:widowControl/>
              <w:spacing w:line="385"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及身份证号码</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center"/>
              <w:rPr>
                <w:rFonts w:ascii="ˎ̥" w:hAnsi="ˎ̥" w:cs="宋体"/>
                <w:color w:val="auto"/>
                <w:kern w:val="0"/>
                <w:sz w:val="26"/>
                <w:szCs w:val="18"/>
                <w:highlight w:val="none"/>
              </w:rPr>
            </w:pPr>
            <w:r>
              <w:rPr>
                <w:rFonts w:hint="eastAsia" w:ascii="ˎ̥" w:hAnsi="ˎ̥" w:cs="宋体"/>
                <w:color w:val="auto"/>
                <w:kern w:val="0"/>
                <w:sz w:val="26"/>
                <w:szCs w:val="18"/>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1"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联系电话/手机</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center"/>
              <w:rPr>
                <w:rFonts w:ascii="ˎ̥" w:hAnsi="ˎ̥" w:cs="宋体"/>
                <w:color w:val="auto"/>
                <w:kern w:val="0"/>
                <w:sz w:val="26"/>
                <w:szCs w:val="18"/>
                <w:highlight w:val="none"/>
              </w:rPr>
            </w:pPr>
            <w:r>
              <w:rPr>
                <w:rFonts w:hint="eastAsia" w:ascii="ˎ̥" w:hAnsi="ˎ̥" w:cs="宋体"/>
                <w:color w:val="auto"/>
                <w:kern w:val="0"/>
                <w:sz w:val="26"/>
                <w:szCs w:val="18"/>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固定电话</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center"/>
              <w:rPr>
                <w:rFonts w:ascii="ˎ̥" w:hAnsi="ˎ̥" w:cs="宋体"/>
                <w:color w:val="auto"/>
                <w:kern w:val="0"/>
                <w:sz w:val="26"/>
                <w:szCs w:val="18"/>
                <w:highlight w:val="none"/>
              </w:rPr>
            </w:pPr>
            <w:r>
              <w:rPr>
                <w:rFonts w:hint="eastAsia" w:ascii="ˎ̥" w:hAnsi="ˎ̥" w:cs="宋体"/>
                <w:color w:val="auto"/>
                <w:kern w:val="0"/>
                <w:sz w:val="26"/>
                <w:szCs w:val="18"/>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电子邮箱</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center"/>
              <w:rPr>
                <w:rFonts w:ascii="ˎ̥" w:hAnsi="ˎ̥" w:cs="宋体"/>
                <w:color w:val="auto"/>
                <w:kern w:val="0"/>
                <w:sz w:val="26"/>
                <w:szCs w:val="18"/>
                <w:highlight w:val="none"/>
              </w:rPr>
            </w:pPr>
            <w:r>
              <w:rPr>
                <w:rFonts w:hint="eastAsia" w:ascii="ˎ̥" w:hAnsi="ˎ̥" w:cs="宋体"/>
                <w:color w:val="auto"/>
                <w:kern w:val="0"/>
                <w:sz w:val="26"/>
                <w:szCs w:val="18"/>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公司</w:t>
            </w:r>
            <w:r>
              <w:rPr>
                <w:rFonts w:hint="eastAsia" w:ascii="宋体" w:hAnsi="宋体" w:eastAsia="宋体" w:cs="宋体"/>
                <w:color w:val="auto"/>
                <w:kern w:val="0"/>
                <w:sz w:val="28"/>
                <w:szCs w:val="28"/>
                <w:highlight w:val="none"/>
              </w:rPr>
              <w:t>地 址</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center"/>
              <w:rPr>
                <w:rFonts w:ascii="ˎ̥" w:hAnsi="ˎ̥" w:cs="宋体"/>
                <w:color w:val="auto"/>
                <w:kern w:val="0"/>
                <w:sz w:val="26"/>
                <w:szCs w:val="18"/>
                <w:highlight w:val="none"/>
              </w:rPr>
            </w:pPr>
            <w:r>
              <w:rPr>
                <w:rFonts w:hint="eastAsia" w:ascii="ˎ̥" w:hAnsi="ˎ̥" w:cs="宋体"/>
                <w:color w:val="auto"/>
                <w:kern w:val="0"/>
                <w:sz w:val="26"/>
                <w:szCs w:val="18"/>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包</w:t>
            </w:r>
            <w:r>
              <w:rPr>
                <w:rFonts w:hint="eastAsia" w:ascii="宋体" w:hAnsi="宋体" w:eastAsia="宋体" w:cs="宋体"/>
                <w:color w:val="auto"/>
                <w:kern w:val="0"/>
                <w:sz w:val="28"/>
                <w:szCs w:val="28"/>
                <w:highlight w:val="none"/>
              </w:rPr>
              <w:t xml:space="preserve">      </w:t>
            </w:r>
            <w:r>
              <w:rPr>
                <w:rFonts w:hint="eastAsia" w:ascii="宋体" w:hAnsi="宋体" w:eastAsia="宋体" w:cs="宋体"/>
                <w:color w:val="auto"/>
                <w:kern w:val="0"/>
                <w:sz w:val="28"/>
                <w:szCs w:val="28"/>
                <w:highlight w:val="none"/>
                <w:lang w:val="en-US" w:eastAsia="zh-CN"/>
              </w:rPr>
              <w:t>号</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center"/>
              <w:rPr>
                <w:rFonts w:hint="eastAsia" w:ascii="ˎ̥" w:hAnsi="ˎ̥" w:cs="宋体"/>
                <w:color w:val="auto"/>
                <w:kern w:val="0"/>
                <w:sz w:val="26"/>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noWrap w:val="0"/>
            <w:vAlign w:val="center"/>
          </w:tcPr>
          <w:p>
            <w:pPr>
              <w:widowControl/>
              <w:spacing w:line="385" w:lineRule="atLeast"/>
              <w:jc w:val="center"/>
              <w:rPr>
                <w:rFonts w:hint="eastAsia" w:ascii="宋体" w:hAnsi="宋体" w:eastAsia="宋体" w:cs="宋体"/>
                <w:color w:val="auto"/>
                <w:kern w:val="0"/>
                <w:sz w:val="26"/>
                <w:szCs w:val="18"/>
                <w:highlight w:val="none"/>
                <w:lang w:val="en-US" w:eastAsia="zh-CN"/>
              </w:rPr>
            </w:pPr>
            <w:r>
              <w:rPr>
                <w:rFonts w:hint="eastAsia" w:ascii="宋体" w:hAnsi="宋体" w:eastAsia="宋体" w:cs="宋体"/>
                <w:color w:val="auto"/>
                <w:kern w:val="0"/>
                <w:sz w:val="28"/>
                <w:szCs w:val="28"/>
                <w:highlight w:val="none"/>
                <w:lang w:val="en-US" w:eastAsia="zh-CN"/>
              </w:rPr>
              <w:t>报名资料</w:t>
            </w:r>
          </w:p>
        </w:tc>
        <w:tc>
          <w:tcPr>
            <w:tcW w:w="6045" w:type="dxa"/>
            <w:tcBorders>
              <w:top w:val="outset" w:color="auto" w:sz="6" w:space="0"/>
              <w:left w:val="outset" w:color="auto" w:sz="6" w:space="0"/>
              <w:bottom w:val="outset" w:color="auto" w:sz="6" w:space="0"/>
            </w:tcBorders>
            <w:noWrap w:val="0"/>
            <w:vAlign w:val="center"/>
          </w:tcPr>
          <w:p>
            <w:pPr>
              <w:widowControl/>
              <w:spacing w:line="385" w:lineRule="atLeast"/>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6"/>
                <w:szCs w:val="18"/>
                <w:highlight w:val="none"/>
                <w:lang w:val="en-US" w:eastAsia="zh-CN"/>
              </w:rPr>
              <w:t xml:space="preserve"> </w:t>
            </w:r>
            <w:r>
              <w:rPr>
                <w:rFonts w:hint="eastAsia" w:ascii="宋体" w:hAnsi="宋体" w:eastAsia="宋体" w:cs="宋体"/>
                <w:color w:val="auto"/>
                <w:kern w:val="0"/>
                <w:sz w:val="28"/>
                <w:szCs w:val="28"/>
                <w:highlight w:val="none"/>
              </w:rPr>
              <w:sym w:font="Wingdings" w:char="00A8"/>
            </w:r>
            <w:r>
              <w:rPr>
                <w:rFonts w:hint="eastAsia" w:ascii="宋体" w:hAnsi="宋体" w:eastAsia="宋体" w:cs="宋体"/>
                <w:color w:val="auto"/>
                <w:kern w:val="0"/>
                <w:sz w:val="28"/>
                <w:szCs w:val="28"/>
                <w:highlight w:val="none"/>
                <w:lang w:val="en-US" w:eastAsia="zh-CN"/>
              </w:rPr>
              <w:t xml:space="preserve"> 介绍信（法定代表人授权书）</w:t>
            </w:r>
          </w:p>
          <w:p>
            <w:pPr>
              <w:widowControl/>
              <w:spacing w:line="385" w:lineRule="atLeast"/>
              <w:ind w:left="520" w:hanging="560" w:hanging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lang w:val="en-US" w:eastAsia="zh-CN"/>
              </w:rPr>
              <w:sym w:font="Wingdings" w:char="00A8"/>
            </w:r>
            <w:r>
              <w:rPr>
                <w:rFonts w:hint="eastAsia" w:ascii="宋体" w:hAnsi="宋体" w:eastAsia="宋体" w:cs="宋体"/>
                <w:color w:val="auto"/>
                <w:kern w:val="0"/>
                <w:sz w:val="28"/>
                <w:szCs w:val="28"/>
                <w:highlight w:val="none"/>
                <w:lang w:val="en-US" w:eastAsia="zh-CN"/>
              </w:rPr>
              <w:t xml:space="preserve"> 经办人身份证复印件（被授权人及法定代表身份证复印件）</w:t>
            </w:r>
          </w:p>
          <w:p>
            <w:pPr>
              <w:widowControl/>
              <w:spacing w:line="385" w:lineRule="atLeast"/>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lang w:val="en-US" w:eastAsia="zh-CN"/>
              </w:rPr>
              <w:sym w:font="Wingdings" w:char="00A8"/>
            </w:r>
            <w:r>
              <w:rPr>
                <w:rFonts w:hint="eastAsia" w:ascii="宋体" w:hAnsi="宋体" w:eastAsia="宋体" w:cs="宋体"/>
                <w:color w:val="auto"/>
                <w:kern w:val="0"/>
                <w:sz w:val="28"/>
                <w:szCs w:val="28"/>
                <w:highlight w:val="none"/>
                <w:lang w:val="en-US" w:eastAsia="zh-CN"/>
              </w:rPr>
              <w:t xml:space="preserve"> 营业执照复印件</w:t>
            </w:r>
          </w:p>
          <w:p>
            <w:pPr>
              <w:widowControl/>
              <w:spacing w:line="385" w:lineRule="atLeast"/>
              <w:jc w:val="left"/>
              <w:rPr>
                <w:rFonts w:hint="eastAsia" w:ascii="宋体" w:hAnsi="宋体" w:eastAsia="宋体" w:cs="宋体"/>
                <w:color w:val="auto"/>
                <w:kern w:val="0"/>
                <w:sz w:val="26"/>
                <w:szCs w:val="18"/>
                <w:highlight w:val="none"/>
                <w:lang w:val="en-US" w:eastAsia="zh-CN"/>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lang w:val="en-US" w:eastAsia="zh-CN"/>
              </w:rPr>
              <w:sym w:font="Wingdings" w:char="00A8"/>
            </w:r>
            <w:r>
              <w:rPr>
                <w:rFonts w:hint="eastAsia" w:ascii="宋体" w:hAnsi="宋体" w:eastAsia="宋体" w:cs="宋体"/>
                <w:color w:val="auto"/>
                <w:kern w:val="0"/>
                <w:sz w:val="28"/>
                <w:szCs w:val="28"/>
                <w:highlight w:val="none"/>
                <w:lang w:val="en-US" w:eastAsia="zh-CN"/>
              </w:rPr>
              <w:t xml:space="preserve"> 公司资质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01" w:hRule="atLeast"/>
          <w:tblCellSpacing w:w="0" w:type="dxa"/>
          <w:jc w:val="center"/>
        </w:trPr>
        <w:tc>
          <w:tcPr>
            <w:tcW w:w="8865" w:type="dxa"/>
            <w:gridSpan w:val="2"/>
            <w:tcBorders>
              <w:top w:val="outset" w:color="auto" w:sz="6" w:space="0"/>
            </w:tcBorders>
            <w:noWrap w:val="0"/>
            <w:vAlign w:val="center"/>
          </w:tcPr>
          <w:p>
            <w:pPr>
              <w:widowControl/>
              <w:spacing w:line="385" w:lineRule="atLeast"/>
              <w:rPr>
                <w:rFonts w:ascii="ˎ̥" w:hAnsi="ˎ̥" w:cs="宋体"/>
                <w:color w:val="auto"/>
                <w:kern w:val="0"/>
                <w:sz w:val="26"/>
                <w:szCs w:val="18"/>
                <w:highlight w:val="none"/>
              </w:rPr>
            </w:pPr>
            <w:r>
              <w:rPr>
                <w:rFonts w:hint="eastAsia" w:ascii="宋体" w:hAnsi="宋体" w:eastAsia="宋体" w:cs="宋体"/>
                <w:color w:val="auto"/>
                <w:kern w:val="0"/>
                <w:sz w:val="28"/>
                <w:szCs w:val="28"/>
                <w:highlight w:val="none"/>
              </w:rPr>
              <w:t>报名人（签</w:t>
            </w:r>
            <w:r>
              <w:rPr>
                <w:rFonts w:hint="eastAsia" w:ascii="宋体" w:hAnsi="宋体" w:eastAsia="宋体" w:cs="宋体"/>
                <w:color w:val="auto"/>
                <w:kern w:val="0"/>
                <w:sz w:val="28"/>
                <w:szCs w:val="28"/>
                <w:highlight w:val="none"/>
                <w:lang w:val="en-US" w:eastAsia="zh-CN"/>
              </w:rPr>
              <w:t>字</w:t>
            </w:r>
            <w:r>
              <w:rPr>
                <w:rFonts w:hint="eastAsia" w:ascii="宋体" w:hAnsi="宋体" w:eastAsia="宋体" w:cs="宋体"/>
                <w:color w:val="auto"/>
                <w:kern w:val="0"/>
                <w:sz w:val="28"/>
                <w:szCs w:val="28"/>
                <w:highlight w:val="none"/>
              </w:rPr>
              <w:t>）: </w:t>
            </w:r>
          </w:p>
        </w:tc>
      </w:tr>
    </w:tbl>
    <w:p>
      <w:pPr>
        <w:pStyle w:val="16"/>
        <w:numPr>
          <w:ilvl w:val="0"/>
          <w:numId w:val="0"/>
        </w:numPr>
        <w:jc w:val="both"/>
        <w:rPr>
          <w:rFonts w:hint="eastAsia"/>
          <w:color w:val="auto"/>
          <w:highlight w:val="none"/>
        </w:rPr>
      </w:pPr>
    </w:p>
    <w:sectPr>
      <w:footerReference r:id="rId13" w:type="default"/>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4</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oS99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rSiwzOPDT74fTn3+nv79I&#10;leTpPdSYdecxLw6f3YBLM98DXibWgwwmfZEPwTiKezyLK4ZIeCpaVstliSGOsdlB/OKx3AeIX4Qz&#10;JBkNDTi9LCo7fIM4ps4p6TXrbpTWeYLakr6hny6ry1xwjiC4tilX5F2YYBKlsfVkxWE7TDy3rj0i&#10;zR73oaEW158S/dWi3Gl1ZiPMxnYyEj74633EfnKbCXWEQnrJweFlotOipe146uesx5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hoS99ABAACkAwAADgAAAAAAAAABACAAAAAe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fldChar w:fldCharType="begin"/>
                          </w:r>
                          <w:r>
                            <w:instrText xml:space="preserve"> PAGE  \* MERGEFORMAT </w:instrText>
                          </w:r>
                          <w:r>
                            <w:fldChar w:fldCharType="separate"/>
                          </w:r>
                          <w:r>
                            <w:t>- 44 -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MYb9ABAACkAwAADgAAAGRycy9lMm9Eb2MueG1srVPNjtMwEL4j8Q6W&#10;7zTZSsuW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DieMWB37+8f388/f51zdy&#10;k+XpAzSYdR8wLw3v/IBLM98DXmbWg4o2f5EPwTiKe7qIK4dERC5aLVerGkMCY7OD+NVjeYiQ3ktv&#10;STYYjTi9Iio/foQ0ps4p+TXn77QxZYLGkZ7RN9fL6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2MYb9ABAACkAwAADgAAAAAAAAABACAAAAAe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fldChar w:fldCharType="begin"/>
                          </w:r>
                          <w:r>
                            <w:instrText xml:space="preserve"> PAGE  \* MERGEFORMAT </w:instrText>
                          </w:r>
                          <w:r>
                            <w:fldChar w:fldCharType="separate"/>
                          </w:r>
                          <w:r>
                            <w:t>- 48 -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MrQZYzwEAAKQDAAAOAAAAAAAAAAEAIAAAAB4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end"/>
    </w:r>
  </w:p>
  <w:p>
    <w:pPr>
      <w:pStyle w:val="1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r>
                            <w:fldChar w:fldCharType="begin"/>
                          </w:r>
                          <w:r>
                            <w:instrText xml:space="preserve"> PAGE  \* MERGEFORMAT </w:instrText>
                          </w:r>
                          <w:r>
                            <w:fldChar w:fldCharType="separate"/>
                          </w:r>
                          <w:r>
                            <w:t>- 61 -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e53HNABAACkAwAADgAAAAAAAAABACAAAAAe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- 61 -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1"/>
      </w:pBdr>
      <w:jc w:val="both"/>
      <w:rPr>
        <w:rFonts w:hint="eastAsia" w:ascii="宋体" w:hAnsi="宋体" w:eastAsia="宋体" w:cs="宋体"/>
        <w:lang w:val="en-US" w:eastAsia="zh-CN"/>
      </w:rPr>
    </w:pPr>
    <w:r>
      <w:rPr>
        <w:sz w:val="18"/>
      </w:rPr>
      <w:pict>
        <v:shape id="PowerPlusWaterMarkObject37661" o:spid="_x0000_s2052" o:spt="136" type="#_x0000_t136" style="position:absolute;left:0pt;height:44.2pt;width:543.0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四川凯亿工程管理咨询有限公司" style="font-family:宋体;font-size:36pt;v-same-letter-heights:f;v-text-align:center;"/>
        </v:shape>
      </w:pict>
    </w:r>
    <w:r>
      <w:rPr>
        <w:u w:val="none"/>
      </w:rPr>
      <w:drawing>
        <wp:inline distT="0" distB="0" distL="114300" distR="114300">
          <wp:extent cx="1896745" cy="355600"/>
          <wp:effectExtent l="0" t="0" r="8255" b="10160"/>
          <wp:docPr id="6" name="图片 6" descr="5{IQ{@JIAK]{B(LL({L4C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IQ{@JIAK]{B(LL({L4C2H"/>
                  <pic:cNvPicPr>
                    <a:picLocks noChangeAspect="1"/>
                  </pic:cNvPicPr>
                </pic:nvPicPr>
                <pic:blipFill>
                  <a:blip r:embed="rId1"/>
                  <a:stretch>
                    <a:fillRect/>
                  </a:stretch>
                </pic:blipFill>
                <pic:spPr>
                  <a:xfrm>
                    <a:off x="0" y="0"/>
                    <a:ext cx="1896745" cy="355600"/>
                  </a:xfrm>
                  <a:prstGeom prst="rect">
                    <a:avLst/>
                  </a:prstGeom>
                  <a:noFill/>
                  <a:ln>
                    <a:noFill/>
                  </a:ln>
                </pic:spPr>
              </pic:pic>
            </a:graphicData>
          </a:graphic>
        </wp:inline>
      </w:drawing>
    </w:r>
    <w:r>
      <w:rPr>
        <w:rFonts w:hint="eastAsia" w:ascii="宋体" w:hAnsi="宋体" w:eastAsia="宋体" w:cs="宋体"/>
        <w:b/>
        <w:bCs/>
        <w:szCs w:val="18"/>
      </w:rPr>
      <w:t xml:space="preserve">                            </w:t>
    </w:r>
    <w:r>
      <w:rPr>
        <w:rFonts w:hint="eastAsia" w:ascii="宋体" w:hAnsi="宋体" w:cs="宋体"/>
        <w:b/>
        <w:bCs/>
        <w:szCs w:val="18"/>
        <w:lang w:val="en-US" w:eastAsia="zh-CN"/>
      </w:rPr>
      <w:t xml:space="preserve">          </w:t>
    </w:r>
    <w:r>
      <w:rPr>
        <w:rFonts w:hint="eastAsia" w:ascii="宋体" w:hAnsi="宋体" w:eastAsia="宋体" w:cs="宋体"/>
        <w:b/>
        <w:bCs/>
        <w:szCs w:val="18"/>
      </w:rPr>
      <w:t xml:space="preserve"> </w:t>
    </w:r>
    <w:r>
      <w:rPr>
        <w:rFonts w:hint="eastAsia" w:ascii="宋体" w:hAnsi="宋体" w:eastAsia="宋体" w:cs="宋体"/>
        <w:b/>
        <w:bCs/>
        <w:szCs w:val="18"/>
        <w:lang w:val="en-US" w:eastAsia="zh-CN"/>
      </w:rPr>
      <w:t xml:space="preserve">   </w:t>
    </w:r>
    <w:r>
      <w:rPr>
        <w:rFonts w:hint="eastAsia" w:ascii="宋体" w:hAnsi="宋体" w:eastAsia="宋体" w:cs="宋体"/>
        <w:b/>
        <w:bCs/>
        <w:szCs w:val="18"/>
      </w:rPr>
      <w:t xml:space="preserve"> </w:t>
    </w:r>
    <w:r>
      <w:rPr>
        <w:rFonts w:hint="eastAsia" w:ascii="宋体" w:hAnsi="宋体" w:eastAsia="宋体" w:cs="宋体"/>
        <w:b/>
        <w:bCs/>
        <w:szCs w:val="18"/>
        <w:lang w:val="en-US" w:eastAsia="zh-CN"/>
      </w:rPr>
      <w:t xml:space="preserve"> </w:t>
    </w:r>
    <w:r>
      <w:rPr>
        <w:rFonts w:hint="eastAsia" w:ascii="宋体" w:hAnsi="宋体" w:eastAsia="宋体" w:cs="宋体"/>
        <w:b/>
        <w:bCs/>
        <w:szCs w:val="18"/>
      </w:rPr>
      <w:t xml:space="preserve"> 公开·公平·公正·诚信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b/>
        <w:sz w:val="28"/>
        <w:szCs w:val="18"/>
      </w:rPr>
    </w:pPr>
    <w:r>
      <w:drawing>
        <wp:inline distT="0" distB="0" distL="114300" distR="114300">
          <wp:extent cx="1618615" cy="381000"/>
          <wp:effectExtent l="0" t="0" r="635" b="0"/>
          <wp:docPr id="4" name="图片 1" descr="说明: C:\Users\Administrator\Desktop\肖郑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C:\Users\Administrator\Desktop\肖郑洁.png"/>
                  <pic:cNvPicPr>
                    <a:picLocks noChangeAspect="1"/>
                  </pic:cNvPicPr>
                </pic:nvPicPr>
                <pic:blipFill>
                  <a:blip r:embed="rId1"/>
                  <a:stretch>
                    <a:fillRect/>
                  </a:stretch>
                </pic:blipFill>
                <pic:spPr>
                  <a:xfrm>
                    <a:off x="0" y="0"/>
                    <a:ext cx="1618615" cy="381000"/>
                  </a:xfrm>
                  <a:prstGeom prst="rect">
                    <a:avLst/>
                  </a:prstGeom>
                  <a:noFill/>
                  <a:ln w="9525">
                    <a:noFill/>
                  </a:ln>
                </pic:spPr>
              </pic:pic>
            </a:graphicData>
          </a:graphic>
        </wp:inline>
      </w:drawing>
    </w:r>
    <w:r>
      <w:rPr>
        <w:rFonts w:hint="eastAsia"/>
      </w:rPr>
      <w:t xml:space="preserve">                      </w:t>
    </w:r>
    <w:r>
      <w:rPr>
        <w:b/>
        <w:sz w:val="28"/>
        <w:szCs w:val="18"/>
      </w:rPr>
      <w:t>效率成就品牌</w:t>
    </w:r>
    <w:r>
      <w:rPr>
        <w:rFonts w:hint="eastAsia"/>
        <w:b/>
        <w:sz w:val="28"/>
      </w:rPr>
      <w:t xml:space="preserve">   </w:t>
    </w:r>
    <w:r>
      <w:rPr>
        <w:b/>
        <w:sz w:val="28"/>
        <w:szCs w:val="18"/>
      </w:rPr>
      <w:t>诚信铸就未来</w:t>
    </w:r>
  </w:p>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1"/>
      </w:pBdr>
      <w:jc w:val="both"/>
      <w:rPr>
        <w:rFonts w:hint="eastAsia" w:eastAsia="宋体"/>
        <w:lang w:val="en-US" w:eastAsia="zh-CN"/>
      </w:rPr>
    </w:pPr>
    <w:r>
      <w:rPr>
        <w:sz w:val="18"/>
      </w:rPr>
      <w:pict>
        <v:shape id="_x0000_s2053" o:spid="_x0000_s2053" o:spt="136" type="#_x0000_t136" style="position:absolute;left:0pt;height:44.2pt;width:543.0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四川凯亿工程管理咨询有限公司" style="font-family:宋体;font-size:36pt;v-same-letter-heights:f;v-text-align:center;"/>
        </v:shape>
      </w:pict>
    </w:r>
    <w:r>
      <w:rPr>
        <w:u w:val="none"/>
      </w:rPr>
      <w:drawing>
        <wp:inline distT="0" distB="0" distL="114300" distR="114300">
          <wp:extent cx="1896745" cy="355600"/>
          <wp:effectExtent l="0" t="0" r="8255" b="10160"/>
          <wp:docPr id="9" name="图片 9" descr="5{IQ{@JIAK]{B(LL({L4C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IQ{@JIAK]{B(LL({L4C2H"/>
                  <pic:cNvPicPr>
                    <a:picLocks noChangeAspect="1"/>
                  </pic:cNvPicPr>
                </pic:nvPicPr>
                <pic:blipFill>
                  <a:blip r:embed="rId1"/>
                  <a:stretch>
                    <a:fillRect/>
                  </a:stretch>
                </pic:blipFill>
                <pic:spPr>
                  <a:xfrm>
                    <a:off x="0" y="0"/>
                    <a:ext cx="1896745" cy="355600"/>
                  </a:xfrm>
                  <a:prstGeom prst="rect">
                    <a:avLst/>
                  </a:prstGeom>
                  <a:noFill/>
                  <a:ln>
                    <a:noFill/>
                  </a:ln>
                </pic:spPr>
              </pic:pic>
            </a:graphicData>
          </a:graphic>
        </wp:inline>
      </w:drawing>
    </w:r>
    <w:r>
      <w:rPr>
        <w:rFonts w:hint="eastAsia" w:ascii="宋体" w:hAnsi="宋体" w:eastAsia="宋体" w:cs="宋体"/>
        <w:b/>
        <w:bCs/>
        <w:szCs w:val="18"/>
      </w:rPr>
      <w:t xml:space="preserve">                            </w:t>
    </w:r>
    <w:r>
      <w:rPr>
        <w:rFonts w:hint="eastAsia" w:ascii="宋体" w:hAnsi="宋体" w:cs="宋体"/>
        <w:b/>
        <w:bCs/>
        <w:szCs w:val="18"/>
        <w:lang w:val="en-US" w:eastAsia="zh-CN"/>
      </w:rPr>
      <w:t xml:space="preserve">       </w:t>
    </w:r>
    <w:r>
      <w:rPr>
        <w:rFonts w:hint="eastAsia" w:ascii="仿宋" w:hAnsi="仿宋" w:eastAsia="仿宋" w:cs="仿宋"/>
        <w:b/>
        <w:bCs/>
        <w:szCs w:val="18"/>
        <w:lang w:val="en-US" w:eastAsia="zh-CN"/>
      </w:rPr>
      <w:t xml:space="preserve">   </w:t>
    </w:r>
    <w:r>
      <w:rPr>
        <w:rFonts w:hint="eastAsia" w:ascii="仿宋" w:hAnsi="仿宋" w:eastAsia="仿宋" w:cs="仿宋"/>
        <w:b/>
        <w:bCs/>
        <w:szCs w:val="18"/>
      </w:rPr>
      <w:t xml:space="preserve"> </w:t>
    </w:r>
    <w:r>
      <w:rPr>
        <w:rFonts w:hint="eastAsia" w:ascii="仿宋" w:hAnsi="仿宋" w:eastAsia="仿宋" w:cs="仿宋"/>
        <w:b/>
        <w:bCs/>
        <w:szCs w:val="18"/>
        <w:lang w:val="en-US" w:eastAsia="zh-CN"/>
      </w:rPr>
      <w:t xml:space="preserve">   </w:t>
    </w:r>
    <w:r>
      <w:rPr>
        <w:rFonts w:hint="eastAsia" w:ascii="仿宋" w:hAnsi="仿宋" w:eastAsia="仿宋" w:cs="仿宋"/>
        <w:b/>
        <w:bCs/>
        <w:szCs w:val="18"/>
      </w:rPr>
      <w:t xml:space="preserve"> </w:t>
    </w:r>
    <w:r>
      <w:rPr>
        <w:rFonts w:hint="eastAsia" w:ascii="仿宋" w:hAnsi="仿宋" w:eastAsia="仿宋" w:cs="仿宋"/>
        <w:b/>
        <w:bCs/>
        <w:szCs w:val="18"/>
        <w:lang w:val="en-US" w:eastAsia="zh-CN"/>
      </w:rPr>
      <w:t xml:space="preserve"> </w:t>
    </w:r>
    <w:r>
      <w:rPr>
        <w:rFonts w:hint="eastAsia" w:ascii="仿宋" w:hAnsi="仿宋" w:eastAsia="仿宋" w:cs="仿宋"/>
        <w:b/>
        <w:bCs/>
        <w:szCs w:val="18"/>
      </w:rPr>
      <w:t xml:space="preserve"> 公开·公平·公正·诚信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1"/>
      </w:pBdr>
      <w:jc w:val="both"/>
      <w:rPr>
        <w:rFonts w:hint="eastAsia"/>
      </w:rPr>
    </w:pPr>
    <w:r>
      <w:rPr>
        <w:sz w:val="18"/>
      </w:rPr>
      <w:pict>
        <v:shape id="_x0000_s2055" o:spid="_x0000_s2055" o:spt="136" type="#_x0000_t136" style="position:absolute;left:0pt;margin-left:-43.3pt;margin-top:314.75pt;height:44.2pt;width:543.05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四川凯亿工程管理咨询有限公司" style="font-family:宋体;font-size:36pt;v-same-letter-heights:f;v-text-align:center;"/>
        </v:shape>
      </w:pict>
    </w:r>
    <w:r>
      <w:rPr>
        <w:u w:val="none"/>
      </w:rPr>
      <w:drawing>
        <wp:inline distT="0" distB="0" distL="114300" distR="114300">
          <wp:extent cx="1896745" cy="355600"/>
          <wp:effectExtent l="0" t="0" r="8255" b="10160"/>
          <wp:docPr id="10" name="图片 10" descr="5{IQ{@JIAK]{B(LL({L4C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IQ{@JIAK]{B(LL({L4C2H"/>
                  <pic:cNvPicPr>
                    <a:picLocks noChangeAspect="1"/>
                  </pic:cNvPicPr>
                </pic:nvPicPr>
                <pic:blipFill>
                  <a:blip r:embed="rId1"/>
                  <a:stretch>
                    <a:fillRect/>
                  </a:stretch>
                </pic:blipFill>
                <pic:spPr>
                  <a:xfrm>
                    <a:off x="0" y="0"/>
                    <a:ext cx="1896745" cy="355600"/>
                  </a:xfrm>
                  <a:prstGeom prst="rect">
                    <a:avLst/>
                  </a:prstGeom>
                  <a:noFill/>
                  <a:ln>
                    <a:noFill/>
                  </a:ln>
                </pic:spPr>
              </pic:pic>
            </a:graphicData>
          </a:graphic>
        </wp:inline>
      </w:drawing>
    </w:r>
    <w:r>
      <w:rPr>
        <w:rFonts w:hint="eastAsia" w:ascii="宋体" w:hAnsi="宋体" w:eastAsia="宋体" w:cs="宋体"/>
        <w:b/>
        <w:bCs/>
        <w:szCs w:val="18"/>
      </w:rPr>
      <w:t xml:space="preserve">                            </w:t>
    </w:r>
    <w:r>
      <w:rPr>
        <w:rFonts w:hint="eastAsia" w:ascii="宋体" w:hAnsi="宋体" w:cs="宋体"/>
        <w:b/>
        <w:bCs/>
        <w:szCs w:val="18"/>
        <w:lang w:val="en-US" w:eastAsia="zh-CN"/>
      </w:rPr>
      <w:t xml:space="preserve">          </w:t>
    </w:r>
    <w:r>
      <w:rPr>
        <w:rFonts w:hint="eastAsia" w:ascii="宋体" w:hAnsi="宋体" w:eastAsia="宋体" w:cs="宋体"/>
        <w:b/>
        <w:bCs/>
        <w:szCs w:val="18"/>
      </w:rPr>
      <w:t xml:space="preserve"> </w:t>
    </w:r>
    <w:r>
      <w:rPr>
        <w:rFonts w:hint="eastAsia" w:ascii="宋体" w:hAnsi="宋体" w:eastAsia="宋体" w:cs="宋体"/>
        <w:b/>
        <w:bCs/>
        <w:szCs w:val="18"/>
        <w:lang w:val="en-US" w:eastAsia="zh-CN"/>
      </w:rPr>
      <w:t xml:space="preserve">   </w:t>
    </w:r>
    <w:r>
      <w:rPr>
        <w:rFonts w:hint="eastAsia" w:ascii="宋体" w:hAnsi="宋体" w:eastAsia="宋体" w:cs="宋体"/>
        <w:b/>
        <w:bCs/>
        <w:szCs w:val="18"/>
      </w:rPr>
      <w:t xml:space="preserve"> </w:t>
    </w:r>
    <w:r>
      <w:rPr>
        <w:rFonts w:hint="eastAsia" w:ascii="宋体" w:hAnsi="宋体" w:eastAsia="宋体" w:cs="宋体"/>
        <w:b/>
        <w:bCs/>
        <w:szCs w:val="18"/>
        <w:lang w:val="en-US" w:eastAsia="zh-CN"/>
      </w:rPr>
      <w:t xml:space="preserve"> </w:t>
    </w:r>
    <w:r>
      <w:rPr>
        <w:rFonts w:hint="eastAsia" w:ascii="宋体" w:hAnsi="宋体" w:eastAsia="宋体" w:cs="宋体"/>
        <w:b/>
        <w:bCs/>
        <w:szCs w:val="18"/>
      </w:rPr>
      <w:t xml:space="preserve"> 公开·公平·公正·诚信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79F54"/>
    <w:multiLevelType w:val="singleLevel"/>
    <w:tmpl w:val="8D279F54"/>
    <w:lvl w:ilvl="0" w:tentative="0">
      <w:start w:val="3"/>
      <w:numFmt w:val="chineseCounting"/>
      <w:suff w:val="nothing"/>
      <w:lvlText w:val="（%1）"/>
      <w:lvlJc w:val="left"/>
      <w:rPr>
        <w:rFonts w:hint="eastAsia"/>
      </w:rPr>
    </w:lvl>
  </w:abstractNum>
  <w:abstractNum w:abstractNumId="1">
    <w:nsid w:val="928CF0EE"/>
    <w:multiLevelType w:val="singleLevel"/>
    <w:tmpl w:val="928CF0EE"/>
    <w:lvl w:ilvl="0" w:tentative="0">
      <w:start w:val="2"/>
      <w:numFmt w:val="decimal"/>
      <w:suff w:val="nothing"/>
      <w:lvlText w:val="%1、"/>
      <w:lvlJc w:val="left"/>
    </w:lvl>
  </w:abstractNum>
  <w:abstractNum w:abstractNumId="2">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8"/>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5072BA6"/>
    <w:multiLevelType w:val="singleLevel"/>
    <w:tmpl w:val="C5072BA6"/>
    <w:lvl w:ilvl="0" w:tentative="0">
      <w:start w:val="1"/>
      <w:numFmt w:val="decimal"/>
      <w:suff w:val="nothing"/>
      <w:lvlText w:val="%1、"/>
      <w:lvlJc w:val="left"/>
    </w:lvl>
  </w:abstractNum>
  <w:abstractNum w:abstractNumId="4">
    <w:nsid w:val="D8E4FB42"/>
    <w:multiLevelType w:val="singleLevel"/>
    <w:tmpl w:val="D8E4FB42"/>
    <w:lvl w:ilvl="0" w:tentative="0">
      <w:start w:val="2"/>
      <w:numFmt w:val="decimal"/>
      <w:lvlText w:val="%1."/>
      <w:lvlJc w:val="left"/>
      <w:pPr>
        <w:tabs>
          <w:tab w:val="left" w:pos="312"/>
        </w:tabs>
      </w:pPr>
    </w:lvl>
  </w:abstractNum>
  <w:abstractNum w:abstractNumId="5">
    <w:nsid w:val="EECA97B7"/>
    <w:multiLevelType w:val="singleLevel"/>
    <w:tmpl w:val="EECA97B7"/>
    <w:lvl w:ilvl="0" w:tentative="0">
      <w:start w:val="6"/>
      <w:numFmt w:val="chineseCounting"/>
      <w:suff w:val="space"/>
      <w:lvlText w:val="第%1章"/>
      <w:lvlJc w:val="left"/>
      <w:rPr>
        <w:rFonts w:hint="eastAsia"/>
      </w:rPr>
    </w:lvl>
  </w:abstractNum>
  <w:abstractNum w:abstractNumId="6">
    <w:nsid w:val="00000003"/>
    <w:multiLevelType w:val="multilevel"/>
    <w:tmpl w:val="00000003"/>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4"/>
    <w:multiLevelType w:val="singleLevel"/>
    <w:tmpl w:val="00000004"/>
    <w:lvl w:ilvl="0" w:tentative="0">
      <w:start w:val="1"/>
      <w:numFmt w:val="japaneseCounting"/>
      <w:lvlText w:val="第%1条"/>
      <w:lvlJc w:val="left"/>
      <w:pPr>
        <w:tabs>
          <w:tab w:val="left" w:pos="1521"/>
        </w:tabs>
        <w:ind w:left="1521" w:hanging="1095"/>
      </w:pPr>
      <w:rPr>
        <w:rFonts w:hint="eastAsia"/>
      </w:rPr>
    </w:lvl>
  </w:abstractNum>
  <w:abstractNum w:abstractNumId="8">
    <w:nsid w:val="007DED61"/>
    <w:multiLevelType w:val="singleLevel"/>
    <w:tmpl w:val="007DED61"/>
    <w:lvl w:ilvl="0" w:tentative="0">
      <w:start w:val="1"/>
      <w:numFmt w:val="decimal"/>
      <w:suff w:val="nothing"/>
      <w:lvlText w:val="%1、"/>
      <w:lvlJc w:val="left"/>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2"/>
  </w:num>
  <w:num w:numId="3">
    <w:abstractNumId w:val="3"/>
  </w:num>
  <w:num w:numId="4">
    <w:abstractNumId w:val="5"/>
  </w:num>
  <w:num w:numId="5">
    <w:abstractNumId w:val="0"/>
  </w:num>
  <w:num w:numId="6">
    <w:abstractNumId w:val="1"/>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A43D5"/>
    <w:rsid w:val="00030EA7"/>
    <w:rsid w:val="00031832"/>
    <w:rsid w:val="000543C3"/>
    <w:rsid w:val="000567E4"/>
    <w:rsid w:val="00076C26"/>
    <w:rsid w:val="0007706C"/>
    <w:rsid w:val="000B640B"/>
    <w:rsid w:val="000D71C9"/>
    <w:rsid w:val="001060AE"/>
    <w:rsid w:val="00112A4C"/>
    <w:rsid w:val="00131818"/>
    <w:rsid w:val="00147A75"/>
    <w:rsid w:val="001A1816"/>
    <w:rsid w:val="001C041D"/>
    <w:rsid w:val="001D12C7"/>
    <w:rsid w:val="00207A31"/>
    <w:rsid w:val="00211670"/>
    <w:rsid w:val="00212FB0"/>
    <w:rsid w:val="00227F52"/>
    <w:rsid w:val="00241789"/>
    <w:rsid w:val="002515A1"/>
    <w:rsid w:val="00260894"/>
    <w:rsid w:val="00276F8F"/>
    <w:rsid w:val="00297564"/>
    <w:rsid w:val="002A0E49"/>
    <w:rsid w:val="002B0E1B"/>
    <w:rsid w:val="002B58EB"/>
    <w:rsid w:val="002D36A7"/>
    <w:rsid w:val="002E458C"/>
    <w:rsid w:val="003564E7"/>
    <w:rsid w:val="00362497"/>
    <w:rsid w:val="00370F37"/>
    <w:rsid w:val="00383384"/>
    <w:rsid w:val="0039517C"/>
    <w:rsid w:val="0039652D"/>
    <w:rsid w:val="003A574C"/>
    <w:rsid w:val="003B4D8F"/>
    <w:rsid w:val="003F6BDD"/>
    <w:rsid w:val="0040135F"/>
    <w:rsid w:val="004025D5"/>
    <w:rsid w:val="0043307F"/>
    <w:rsid w:val="0043596E"/>
    <w:rsid w:val="004440FC"/>
    <w:rsid w:val="00464430"/>
    <w:rsid w:val="004644F5"/>
    <w:rsid w:val="00485A89"/>
    <w:rsid w:val="004A0B1C"/>
    <w:rsid w:val="004D319B"/>
    <w:rsid w:val="0054671F"/>
    <w:rsid w:val="00555A90"/>
    <w:rsid w:val="00560802"/>
    <w:rsid w:val="00562251"/>
    <w:rsid w:val="00581331"/>
    <w:rsid w:val="00582BA9"/>
    <w:rsid w:val="00583139"/>
    <w:rsid w:val="00595880"/>
    <w:rsid w:val="005A168A"/>
    <w:rsid w:val="005C47E1"/>
    <w:rsid w:val="005C562F"/>
    <w:rsid w:val="00613BAB"/>
    <w:rsid w:val="0061657E"/>
    <w:rsid w:val="00644A4A"/>
    <w:rsid w:val="0065051F"/>
    <w:rsid w:val="00684DAC"/>
    <w:rsid w:val="006A3292"/>
    <w:rsid w:val="006A51FB"/>
    <w:rsid w:val="006B0398"/>
    <w:rsid w:val="006E7840"/>
    <w:rsid w:val="00701505"/>
    <w:rsid w:val="007029AE"/>
    <w:rsid w:val="0070321D"/>
    <w:rsid w:val="007348A2"/>
    <w:rsid w:val="0073639D"/>
    <w:rsid w:val="007940AD"/>
    <w:rsid w:val="00795C81"/>
    <w:rsid w:val="007C3570"/>
    <w:rsid w:val="007C36D6"/>
    <w:rsid w:val="007C4D21"/>
    <w:rsid w:val="007D2CE7"/>
    <w:rsid w:val="00805F9B"/>
    <w:rsid w:val="0082633D"/>
    <w:rsid w:val="008309F2"/>
    <w:rsid w:val="008411A7"/>
    <w:rsid w:val="00851B24"/>
    <w:rsid w:val="00852910"/>
    <w:rsid w:val="00875B40"/>
    <w:rsid w:val="008832E5"/>
    <w:rsid w:val="008954E4"/>
    <w:rsid w:val="008A61D2"/>
    <w:rsid w:val="008B3A07"/>
    <w:rsid w:val="008B4D98"/>
    <w:rsid w:val="008B71A9"/>
    <w:rsid w:val="008D1C90"/>
    <w:rsid w:val="008F4F70"/>
    <w:rsid w:val="009014A8"/>
    <w:rsid w:val="00902EF2"/>
    <w:rsid w:val="0093340C"/>
    <w:rsid w:val="0094222E"/>
    <w:rsid w:val="00957CBA"/>
    <w:rsid w:val="00973B77"/>
    <w:rsid w:val="009748FD"/>
    <w:rsid w:val="009900D9"/>
    <w:rsid w:val="00991E61"/>
    <w:rsid w:val="00992668"/>
    <w:rsid w:val="009C181E"/>
    <w:rsid w:val="009C2E5B"/>
    <w:rsid w:val="009C4B25"/>
    <w:rsid w:val="009C5753"/>
    <w:rsid w:val="009D5242"/>
    <w:rsid w:val="009E7A78"/>
    <w:rsid w:val="009F5EBD"/>
    <w:rsid w:val="00A011E0"/>
    <w:rsid w:val="00A01CE0"/>
    <w:rsid w:val="00A079D8"/>
    <w:rsid w:val="00A239F0"/>
    <w:rsid w:val="00A35D49"/>
    <w:rsid w:val="00A5476D"/>
    <w:rsid w:val="00AA0CF6"/>
    <w:rsid w:val="00AA1FBC"/>
    <w:rsid w:val="00AB1822"/>
    <w:rsid w:val="00AE545B"/>
    <w:rsid w:val="00AE58FC"/>
    <w:rsid w:val="00B32520"/>
    <w:rsid w:val="00B41E6C"/>
    <w:rsid w:val="00B622C7"/>
    <w:rsid w:val="00B63692"/>
    <w:rsid w:val="00B811D0"/>
    <w:rsid w:val="00B85D54"/>
    <w:rsid w:val="00B86D4C"/>
    <w:rsid w:val="00BC076D"/>
    <w:rsid w:val="00BC2A67"/>
    <w:rsid w:val="00BD6D6C"/>
    <w:rsid w:val="00C24025"/>
    <w:rsid w:val="00C247FB"/>
    <w:rsid w:val="00C5343E"/>
    <w:rsid w:val="00C542D2"/>
    <w:rsid w:val="00CA2B3E"/>
    <w:rsid w:val="00CA5EC5"/>
    <w:rsid w:val="00CB451E"/>
    <w:rsid w:val="00CD4AA9"/>
    <w:rsid w:val="00CD548B"/>
    <w:rsid w:val="00CE19E1"/>
    <w:rsid w:val="00CE2853"/>
    <w:rsid w:val="00D208C5"/>
    <w:rsid w:val="00D36ADF"/>
    <w:rsid w:val="00D41E16"/>
    <w:rsid w:val="00DA7C7E"/>
    <w:rsid w:val="00DC21C7"/>
    <w:rsid w:val="00DC4741"/>
    <w:rsid w:val="00E02BF5"/>
    <w:rsid w:val="00E1047E"/>
    <w:rsid w:val="00E242B6"/>
    <w:rsid w:val="00E315E9"/>
    <w:rsid w:val="00E33D02"/>
    <w:rsid w:val="00E5050F"/>
    <w:rsid w:val="00E702E8"/>
    <w:rsid w:val="00E7133A"/>
    <w:rsid w:val="00EA0474"/>
    <w:rsid w:val="00EF27D5"/>
    <w:rsid w:val="00EF36E2"/>
    <w:rsid w:val="00F51264"/>
    <w:rsid w:val="00F52B10"/>
    <w:rsid w:val="00F603BE"/>
    <w:rsid w:val="00F927FD"/>
    <w:rsid w:val="00F96971"/>
    <w:rsid w:val="00FA3C2C"/>
    <w:rsid w:val="00FA3C8A"/>
    <w:rsid w:val="00FC1DCC"/>
    <w:rsid w:val="00FC2C55"/>
    <w:rsid w:val="00FC42D1"/>
    <w:rsid w:val="00FD0F6F"/>
    <w:rsid w:val="00FF37B4"/>
    <w:rsid w:val="01507077"/>
    <w:rsid w:val="015361BF"/>
    <w:rsid w:val="01974D3A"/>
    <w:rsid w:val="01B22ECC"/>
    <w:rsid w:val="01B43287"/>
    <w:rsid w:val="01F940C4"/>
    <w:rsid w:val="027C0CC9"/>
    <w:rsid w:val="02996C5B"/>
    <w:rsid w:val="03761B91"/>
    <w:rsid w:val="03983C53"/>
    <w:rsid w:val="03CD7504"/>
    <w:rsid w:val="03DF354C"/>
    <w:rsid w:val="03EA6394"/>
    <w:rsid w:val="04744E5E"/>
    <w:rsid w:val="0540023A"/>
    <w:rsid w:val="05C44BB2"/>
    <w:rsid w:val="05C76344"/>
    <w:rsid w:val="05FB6F08"/>
    <w:rsid w:val="06E86908"/>
    <w:rsid w:val="071346B3"/>
    <w:rsid w:val="073908B8"/>
    <w:rsid w:val="07863234"/>
    <w:rsid w:val="0787178A"/>
    <w:rsid w:val="078B5D27"/>
    <w:rsid w:val="07B61018"/>
    <w:rsid w:val="07FF2154"/>
    <w:rsid w:val="08547AFF"/>
    <w:rsid w:val="08635D00"/>
    <w:rsid w:val="088645DD"/>
    <w:rsid w:val="08ED2B56"/>
    <w:rsid w:val="08F25498"/>
    <w:rsid w:val="09B3219B"/>
    <w:rsid w:val="09FB430B"/>
    <w:rsid w:val="0B685A87"/>
    <w:rsid w:val="0B81788A"/>
    <w:rsid w:val="0BFD68F2"/>
    <w:rsid w:val="0C125656"/>
    <w:rsid w:val="0CC56F81"/>
    <w:rsid w:val="0CC85C93"/>
    <w:rsid w:val="0CD56C1C"/>
    <w:rsid w:val="0D700F9D"/>
    <w:rsid w:val="0DF759F2"/>
    <w:rsid w:val="0E135CE5"/>
    <w:rsid w:val="0E6C152C"/>
    <w:rsid w:val="0E910577"/>
    <w:rsid w:val="0EA72184"/>
    <w:rsid w:val="0EB469A8"/>
    <w:rsid w:val="0EDD5521"/>
    <w:rsid w:val="0F5E74D4"/>
    <w:rsid w:val="0FD802E2"/>
    <w:rsid w:val="0FDE4CDC"/>
    <w:rsid w:val="0FF37F8F"/>
    <w:rsid w:val="10101F72"/>
    <w:rsid w:val="1041584E"/>
    <w:rsid w:val="105276A1"/>
    <w:rsid w:val="10802135"/>
    <w:rsid w:val="11981D00"/>
    <w:rsid w:val="11DA4B55"/>
    <w:rsid w:val="12481913"/>
    <w:rsid w:val="12BE2380"/>
    <w:rsid w:val="12C51A9A"/>
    <w:rsid w:val="13556DDD"/>
    <w:rsid w:val="146A019E"/>
    <w:rsid w:val="14962431"/>
    <w:rsid w:val="149A7DC5"/>
    <w:rsid w:val="14C57B55"/>
    <w:rsid w:val="14DE68BC"/>
    <w:rsid w:val="14FF47B7"/>
    <w:rsid w:val="154452F5"/>
    <w:rsid w:val="15570101"/>
    <w:rsid w:val="15C954C4"/>
    <w:rsid w:val="15D17C46"/>
    <w:rsid w:val="16485B24"/>
    <w:rsid w:val="167546E7"/>
    <w:rsid w:val="16E03DE6"/>
    <w:rsid w:val="16F81284"/>
    <w:rsid w:val="179A31DF"/>
    <w:rsid w:val="180447D6"/>
    <w:rsid w:val="18416370"/>
    <w:rsid w:val="189A72DF"/>
    <w:rsid w:val="18AF2CDF"/>
    <w:rsid w:val="18BE00E0"/>
    <w:rsid w:val="19214B48"/>
    <w:rsid w:val="19AE23CB"/>
    <w:rsid w:val="1B1D2551"/>
    <w:rsid w:val="1B1E7852"/>
    <w:rsid w:val="1B1F1532"/>
    <w:rsid w:val="1B544DE1"/>
    <w:rsid w:val="1B7B2C67"/>
    <w:rsid w:val="1BF637E2"/>
    <w:rsid w:val="1BFC0A70"/>
    <w:rsid w:val="1C495970"/>
    <w:rsid w:val="1C8232A6"/>
    <w:rsid w:val="1C9D3F66"/>
    <w:rsid w:val="1CAB197B"/>
    <w:rsid w:val="1CFD2B56"/>
    <w:rsid w:val="1DC04E0E"/>
    <w:rsid w:val="1E0B6D28"/>
    <w:rsid w:val="1E156D56"/>
    <w:rsid w:val="1E771524"/>
    <w:rsid w:val="1EBA2D29"/>
    <w:rsid w:val="1F2B72DA"/>
    <w:rsid w:val="1F2F2A72"/>
    <w:rsid w:val="1F314EFE"/>
    <w:rsid w:val="1F32736C"/>
    <w:rsid w:val="1F5B063B"/>
    <w:rsid w:val="1F6C6291"/>
    <w:rsid w:val="1FBA6DCE"/>
    <w:rsid w:val="1FC14C0C"/>
    <w:rsid w:val="20181D0C"/>
    <w:rsid w:val="20952828"/>
    <w:rsid w:val="20EA7860"/>
    <w:rsid w:val="2117637D"/>
    <w:rsid w:val="212A186B"/>
    <w:rsid w:val="215A78DB"/>
    <w:rsid w:val="21845E59"/>
    <w:rsid w:val="224E51DF"/>
    <w:rsid w:val="22B845B7"/>
    <w:rsid w:val="22BB428C"/>
    <w:rsid w:val="22D0290B"/>
    <w:rsid w:val="22E61963"/>
    <w:rsid w:val="23301DD3"/>
    <w:rsid w:val="233A5BF6"/>
    <w:rsid w:val="23471CFF"/>
    <w:rsid w:val="236E7502"/>
    <w:rsid w:val="23734890"/>
    <w:rsid w:val="239631F9"/>
    <w:rsid w:val="23B20704"/>
    <w:rsid w:val="24075CF7"/>
    <w:rsid w:val="24570948"/>
    <w:rsid w:val="24FD4F69"/>
    <w:rsid w:val="251754F8"/>
    <w:rsid w:val="2528631F"/>
    <w:rsid w:val="25BD6947"/>
    <w:rsid w:val="25C74E89"/>
    <w:rsid w:val="25CE22F5"/>
    <w:rsid w:val="26186B12"/>
    <w:rsid w:val="263D57D9"/>
    <w:rsid w:val="268F0CFB"/>
    <w:rsid w:val="26B960C7"/>
    <w:rsid w:val="26BE58BE"/>
    <w:rsid w:val="26F009AC"/>
    <w:rsid w:val="27550EB7"/>
    <w:rsid w:val="276F41A3"/>
    <w:rsid w:val="28083A97"/>
    <w:rsid w:val="282B432D"/>
    <w:rsid w:val="285927F1"/>
    <w:rsid w:val="285F7809"/>
    <w:rsid w:val="28BD314E"/>
    <w:rsid w:val="29110057"/>
    <w:rsid w:val="29B045B9"/>
    <w:rsid w:val="29E11F5A"/>
    <w:rsid w:val="2A106282"/>
    <w:rsid w:val="2A3329A8"/>
    <w:rsid w:val="2A6B2554"/>
    <w:rsid w:val="2AA91CAC"/>
    <w:rsid w:val="2AFD4715"/>
    <w:rsid w:val="2B10501A"/>
    <w:rsid w:val="2BAF5EE1"/>
    <w:rsid w:val="2BB033E6"/>
    <w:rsid w:val="2C0B3048"/>
    <w:rsid w:val="2C5605F9"/>
    <w:rsid w:val="2C5E6EB3"/>
    <w:rsid w:val="2C885139"/>
    <w:rsid w:val="2CB94C34"/>
    <w:rsid w:val="2CD37004"/>
    <w:rsid w:val="2D083000"/>
    <w:rsid w:val="2D667589"/>
    <w:rsid w:val="2D743EC1"/>
    <w:rsid w:val="2DB24C23"/>
    <w:rsid w:val="2E185E3E"/>
    <w:rsid w:val="2E7308E2"/>
    <w:rsid w:val="2F766362"/>
    <w:rsid w:val="2F767079"/>
    <w:rsid w:val="2F80004E"/>
    <w:rsid w:val="2FA45E84"/>
    <w:rsid w:val="2FEA6E37"/>
    <w:rsid w:val="30775589"/>
    <w:rsid w:val="30EE667A"/>
    <w:rsid w:val="3125096C"/>
    <w:rsid w:val="31392E8B"/>
    <w:rsid w:val="31E3404D"/>
    <w:rsid w:val="324B7453"/>
    <w:rsid w:val="326128EF"/>
    <w:rsid w:val="32677576"/>
    <w:rsid w:val="32735594"/>
    <w:rsid w:val="32792D1E"/>
    <w:rsid w:val="32B22BB5"/>
    <w:rsid w:val="33074A00"/>
    <w:rsid w:val="331173A4"/>
    <w:rsid w:val="334D429D"/>
    <w:rsid w:val="33CD5B17"/>
    <w:rsid w:val="33D02C1F"/>
    <w:rsid w:val="3463024B"/>
    <w:rsid w:val="34980CBE"/>
    <w:rsid w:val="351C6B89"/>
    <w:rsid w:val="35CC5D64"/>
    <w:rsid w:val="362D3772"/>
    <w:rsid w:val="364C0682"/>
    <w:rsid w:val="36716DEA"/>
    <w:rsid w:val="36913732"/>
    <w:rsid w:val="36CB524E"/>
    <w:rsid w:val="37011865"/>
    <w:rsid w:val="372B31FE"/>
    <w:rsid w:val="375D0F21"/>
    <w:rsid w:val="37A41DF4"/>
    <w:rsid w:val="386E262B"/>
    <w:rsid w:val="387B5650"/>
    <w:rsid w:val="38F3713A"/>
    <w:rsid w:val="3A247DEA"/>
    <w:rsid w:val="3A595553"/>
    <w:rsid w:val="3A5E5E0B"/>
    <w:rsid w:val="3A7F2F89"/>
    <w:rsid w:val="3AA76CBB"/>
    <w:rsid w:val="3B600B12"/>
    <w:rsid w:val="3B95277F"/>
    <w:rsid w:val="3C213B4E"/>
    <w:rsid w:val="3C270A76"/>
    <w:rsid w:val="3CE5312C"/>
    <w:rsid w:val="3D911AA7"/>
    <w:rsid w:val="3DAE3721"/>
    <w:rsid w:val="3DAF5D14"/>
    <w:rsid w:val="3E0B493A"/>
    <w:rsid w:val="3E8423AC"/>
    <w:rsid w:val="3EE84FCF"/>
    <w:rsid w:val="40814253"/>
    <w:rsid w:val="40A42037"/>
    <w:rsid w:val="40EF7660"/>
    <w:rsid w:val="410E521B"/>
    <w:rsid w:val="41E15103"/>
    <w:rsid w:val="42015529"/>
    <w:rsid w:val="42687D13"/>
    <w:rsid w:val="426C14D6"/>
    <w:rsid w:val="42862F3B"/>
    <w:rsid w:val="42C85B9B"/>
    <w:rsid w:val="434D2F2B"/>
    <w:rsid w:val="438C79AD"/>
    <w:rsid w:val="43912DB8"/>
    <w:rsid w:val="43A7141B"/>
    <w:rsid w:val="43BD6F43"/>
    <w:rsid w:val="43FC4318"/>
    <w:rsid w:val="443B4A8A"/>
    <w:rsid w:val="44CB47F9"/>
    <w:rsid w:val="44FA17FE"/>
    <w:rsid w:val="4511055C"/>
    <w:rsid w:val="454B1DCC"/>
    <w:rsid w:val="45952042"/>
    <w:rsid w:val="45E00F6F"/>
    <w:rsid w:val="45FE0E92"/>
    <w:rsid w:val="467D2FD5"/>
    <w:rsid w:val="46994B11"/>
    <w:rsid w:val="46AE295E"/>
    <w:rsid w:val="46D26B0F"/>
    <w:rsid w:val="47113FA0"/>
    <w:rsid w:val="48337848"/>
    <w:rsid w:val="487402C3"/>
    <w:rsid w:val="48C5783A"/>
    <w:rsid w:val="49222F17"/>
    <w:rsid w:val="4944028F"/>
    <w:rsid w:val="497F67C2"/>
    <w:rsid w:val="49B7581B"/>
    <w:rsid w:val="4AE70EE2"/>
    <w:rsid w:val="4B6E15F6"/>
    <w:rsid w:val="4B6F5FD0"/>
    <w:rsid w:val="4B774BE2"/>
    <w:rsid w:val="4BE17268"/>
    <w:rsid w:val="4BE610AE"/>
    <w:rsid w:val="4BED13F1"/>
    <w:rsid w:val="4BEE5B09"/>
    <w:rsid w:val="4BF23532"/>
    <w:rsid w:val="4C5A43D5"/>
    <w:rsid w:val="4C681980"/>
    <w:rsid w:val="4CB06B51"/>
    <w:rsid w:val="4D3721CB"/>
    <w:rsid w:val="4D67049B"/>
    <w:rsid w:val="4D897489"/>
    <w:rsid w:val="4DB85A75"/>
    <w:rsid w:val="4E1459DE"/>
    <w:rsid w:val="4E3D4764"/>
    <w:rsid w:val="4E8B2071"/>
    <w:rsid w:val="4EBC34E2"/>
    <w:rsid w:val="4EC26460"/>
    <w:rsid w:val="4EF72A6E"/>
    <w:rsid w:val="4F5D3E6A"/>
    <w:rsid w:val="4FA56B31"/>
    <w:rsid w:val="4FAC29DE"/>
    <w:rsid w:val="501C7D2E"/>
    <w:rsid w:val="501D21FE"/>
    <w:rsid w:val="503F41C8"/>
    <w:rsid w:val="50D128A2"/>
    <w:rsid w:val="50D85F33"/>
    <w:rsid w:val="50DC1098"/>
    <w:rsid w:val="51390A7C"/>
    <w:rsid w:val="517D4527"/>
    <w:rsid w:val="51BD5983"/>
    <w:rsid w:val="51E71C48"/>
    <w:rsid w:val="52240DEE"/>
    <w:rsid w:val="522F3BA6"/>
    <w:rsid w:val="525036E8"/>
    <w:rsid w:val="52811CAC"/>
    <w:rsid w:val="53A54125"/>
    <w:rsid w:val="53B2556A"/>
    <w:rsid w:val="53BF557A"/>
    <w:rsid w:val="53EA2371"/>
    <w:rsid w:val="546B2526"/>
    <w:rsid w:val="554C1853"/>
    <w:rsid w:val="558B3012"/>
    <w:rsid w:val="56291E55"/>
    <w:rsid w:val="564E773E"/>
    <w:rsid w:val="568E4FEC"/>
    <w:rsid w:val="56A52DAF"/>
    <w:rsid w:val="570714FA"/>
    <w:rsid w:val="57A969B8"/>
    <w:rsid w:val="58144F4B"/>
    <w:rsid w:val="58180559"/>
    <w:rsid w:val="58230A0D"/>
    <w:rsid w:val="585820EB"/>
    <w:rsid w:val="585E373A"/>
    <w:rsid w:val="5884468B"/>
    <w:rsid w:val="58B11CC8"/>
    <w:rsid w:val="59F94AD5"/>
    <w:rsid w:val="5A5D7423"/>
    <w:rsid w:val="5A823454"/>
    <w:rsid w:val="5B27596D"/>
    <w:rsid w:val="5BA55B46"/>
    <w:rsid w:val="5BA71D03"/>
    <w:rsid w:val="5BEC69CB"/>
    <w:rsid w:val="5C175839"/>
    <w:rsid w:val="5C421D1E"/>
    <w:rsid w:val="5C6A2B77"/>
    <w:rsid w:val="5C7A324F"/>
    <w:rsid w:val="5C7C27BD"/>
    <w:rsid w:val="5C8D485A"/>
    <w:rsid w:val="5C9B60B3"/>
    <w:rsid w:val="5CBF301A"/>
    <w:rsid w:val="5CFD68CB"/>
    <w:rsid w:val="5D023515"/>
    <w:rsid w:val="5D94601D"/>
    <w:rsid w:val="5DB76400"/>
    <w:rsid w:val="5DF145E5"/>
    <w:rsid w:val="5EC54706"/>
    <w:rsid w:val="5EE07706"/>
    <w:rsid w:val="5EE50307"/>
    <w:rsid w:val="5F023323"/>
    <w:rsid w:val="5F3E7AA3"/>
    <w:rsid w:val="5F605263"/>
    <w:rsid w:val="60743C50"/>
    <w:rsid w:val="60931E13"/>
    <w:rsid w:val="60B53BFD"/>
    <w:rsid w:val="60E81E15"/>
    <w:rsid w:val="60FB122F"/>
    <w:rsid w:val="616A2044"/>
    <w:rsid w:val="61E15B5A"/>
    <w:rsid w:val="622862BE"/>
    <w:rsid w:val="62466F58"/>
    <w:rsid w:val="62594562"/>
    <w:rsid w:val="627D48AE"/>
    <w:rsid w:val="6281129E"/>
    <w:rsid w:val="62B235D0"/>
    <w:rsid w:val="62B87BD2"/>
    <w:rsid w:val="62C342A0"/>
    <w:rsid w:val="62C707D7"/>
    <w:rsid w:val="63597842"/>
    <w:rsid w:val="636C192D"/>
    <w:rsid w:val="63815C1C"/>
    <w:rsid w:val="63F964F3"/>
    <w:rsid w:val="64BE2E5D"/>
    <w:rsid w:val="64C5759F"/>
    <w:rsid w:val="64C8434D"/>
    <w:rsid w:val="6537556A"/>
    <w:rsid w:val="65544B09"/>
    <w:rsid w:val="656168FD"/>
    <w:rsid w:val="656D1421"/>
    <w:rsid w:val="65D73042"/>
    <w:rsid w:val="65EC7124"/>
    <w:rsid w:val="66031AB3"/>
    <w:rsid w:val="668D709F"/>
    <w:rsid w:val="66942B37"/>
    <w:rsid w:val="66A5275B"/>
    <w:rsid w:val="68373DF6"/>
    <w:rsid w:val="683E55C8"/>
    <w:rsid w:val="684622FB"/>
    <w:rsid w:val="68B8300C"/>
    <w:rsid w:val="68BA1B1D"/>
    <w:rsid w:val="69170529"/>
    <w:rsid w:val="691B5EED"/>
    <w:rsid w:val="69883FAB"/>
    <w:rsid w:val="69B64A16"/>
    <w:rsid w:val="6A0D7E63"/>
    <w:rsid w:val="6A154D9D"/>
    <w:rsid w:val="6A6B3729"/>
    <w:rsid w:val="6A895990"/>
    <w:rsid w:val="6AB23C46"/>
    <w:rsid w:val="6B081EB1"/>
    <w:rsid w:val="6B5B2A96"/>
    <w:rsid w:val="6BF35E58"/>
    <w:rsid w:val="6C2455EB"/>
    <w:rsid w:val="6C59654E"/>
    <w:rsid w:val="6CAE4DAD"/>
    <w:rsid w:val="6CE4320B"/>
    <w:rsid w:val="6D826A3F"/>
    <w:rsid w:val="6DA67AFF"/>
    <w:rsid w:val="6E5A04A8"/>
    <w:rsid w:val="6F23208A"/>
    <w:rsid w:val="6F4B2011"/>
    <w:rsid w:val="6F6819E7"/>
    <w:rsid w:val="6FFB031D"/>
    <w:rsid w:val="711834C0"/>
    <w:rsid w:val="713F4FA7"/>
    <w:rsid w:val="71875217"/>
    <w:rsid w:val="71AA4903"/>
    <w:rsid w:val="730E14F5"/>
    <w:rsid w:val="73BD06D1"/>
    <w:rsid w:val="73E106E0"/>
    <w:rsid w:val="74020CAF"/>
    <w:rsid w:val="740956F0"/>
    <w:rsid w:val="74DD00DD"/>
    <w:rsid w:val="752E760E"/>
    <w:rsid w:val="756623A9"/>
    <w:rsid w:val="75B10EA6"/>
    <w:rsid w:val="75BD1916"/>
    <w:rsid w:val="75DD623F"/>
    <w:rsid w:val="7646521A"/>
    <w:rsid w:val="77784BCC"/>
    <w:rsid w:val="77834E95"/>
    <w:rsid w:val="781962FC"/>
    <w:rsid w:val="78873407"/>
    <w:rsid w:val="78E405C9"/>
    <w:rsid w:val="7A0D4C2E"/>
    <w:rsid w:val="7AA05504"/>
    <w:rsid w:val="7B6A795D"/>
    <w:rsid w:val="7B934A4E"/>
    <w:rsid w:val="7C765308"/>
    <w:rsid w:val="7CBB2ED5"/>
    <w:rsid w:val="7D006FED"/>
    <w:rsid w:val="7D160961"/>
    <w:rsid w:val="7D2E6022"/>
    <w:rsid w:val="7DC07C47"/>
    <w:rsid w:val="7DC91087"/>
    <w:rsid w:val="7DE23CED"/>
    <w:rsid w:val="7E4C5883"/>
    <w:rsid w:val="7E997EB1"/>
    <w:rsid w:val="7EA60D2E"/>
    <w:rsid w:val="7EFA3F1E"/>
    <w:rsid w:val="7F8056E0"/>
    <w:rsid w:val="7F842EFE"/>
    <w:rsid w:val="7F915703"/>
    <w:rsid w:val="7FB790AD"/>
    <w:rsid w:val="7FC03A09"/>
    <w:rsid w:val="7FC2649F"/>
    <w:rsid w:val="FDFFAD5D"/>
    <w:rsid w:val="FE3E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4"/>
    <w:qFormat/>
    <w:uiPriority w:val="0"/>
    <w:pPr>
      <w:spacing w:line="480" w:lineRule="exact"/>
    </w:pPr>
    <w:rPr>
      <w:rFonts w:ascii="仿宋_GB2312" w:hAnsi="Times New Roman" w:eastAsia="仿宋_GB2312"/>
      <w:sz w:val="28"/>
      <w:szCs w:val="28"/>
    </w:rPr>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pPr>
      <w:autoSpaceDE w:val="0"/>
      <w:autoSpaceDN w:val="0"/>
      <w:adjustRightInd w:val="0"/>
    </w:pPr>
    <w:rPr>
      <w:rFonts w:hAnsi="Tms Rmn" w:cstheme="minorBidi"/>
      <w:szCs w:val="22"/>
    </w:rPr>
  </w:style>
  <w:style w:type="paragraph" w:styleId="11">
    <w:name w:val="Body Text Indent 2"/>
    <w:basedOn w:val="1"/>
    <w:qFormat/>
    <w:uiPriority w:val="0"/>
    <w:pPr>
      <w:spacing w:after="120" w:line="480" w:lineRule="auto"/>
      <w:ind w:left="420" w:leftChars="200"/>
    </w:pPr>
    <w:rPr>
      <w:rFonts w:ascii="Times New Roman" w:hAnsi="Times New Roman"/>
    </w:rPr>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tLeast"/>
      <w:jc w:val="center"/>
      <w:outlineLvl w:val="1"/>
    </w:pPr>
    <w:rPr>
      <w:rFonts w:ascii="Cambria" w:hAnsi="Cambria"/>
      <w:b/>
      <w:bCs/>
      <w:kern w:val="28"/>
      <w:sz w:val="32"/>
      <w:szCs w:val="32"/>
      <w:lang w:val="zh-CN"/>
    </w:r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9">
    <w:name w:val="Table Grid"/>
    <w:basedOn w:val="18"/>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character" w:styleId="22">
    <w:name w:val="FollowedHyperlink"/>
    <w:basedOn w:val="20"/>
    <w:qFormat/>
    <w:uiPriority w:val="0"/>
    <w:rPr>
      <w:color w:val="3D3D3D"/>
      <w:u w:val="none"/>
    </w:rPr>
  </w:style>
  <w:style w:type="character" w:styleId="23">
    <w:name w:val="Emphasis"/>
    <w:basedOn w:val="20"/>
    <w:qFormat/>
    <w:uiPriority w:val="20"/>
    <w:rPr>
      <w:i/>
      <w:iCs/>
    </w:rPr>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rFonts w:ascii="Times New Roman" w:hAnsi="Times New Roman" w:eastAsia="宋体" w:cs="Times New Roman"/>
      <w:color w:val="333333"/>
      <w:u w:val="none"/>
    </w:rPr>
  </w:style>
  <w:style w:type="character" w:styleId="27">
    <w:name w:val="HTML Code"/>
    <w:basedOn w:val="20"/>
    <w:qFormat/>
    <w:uiPriority w:val="0"/>
    <w:rPr>
      <w:rFonts w:ascii="Courier New" w:hAnsi="Courier New"/>
      <w:sz w:val="20"/>
    </w:rPr>
  </w:style>
  <w:style w:type="character" w:styleId="28">
    <w:name w:val="HTML Cite"/>
    <w:basedOn w:val="20"/>
    <w:qFormat/>
    <w:uiPriority w:val="0"/>
  </w:style>
  <w:style w:type="paragraph" w:customStyle="1" w:styleId="29">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30">
    <w:name w:val="标题 5（有编号）（绿盟科技）"/>
    <w:basedOn w:val="1"/>
    <w:next w:val="31"/>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2">
    <w:name w:val="WPSOffice手动目录 1"/>
    <w:qFormat/>
    <w:uiPriority w:val="0"/>
    <w:rPr>
      <w:rFonts w:ascii="Calibri" w:hAnsi="Calibri" w:eastAsia="宋体" w:cs="Times New Roman"/>
      <w:lang w:val="en-US" w:eastAsia="zh-CN" w:bidi="ar-SA"/>
    </w:rPr>
  </w:style>
  <w:style w:type="paragraph" w:customStyle="1" w:styleId="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Table Paragraph"/>
    <w:basedOn w:val="1"/>
    <w:qFormat/>
    <w:uiPriority w:val="0"/>
    <w:rPr>
      <w:rFonts w:ascii="宋体" w:hAnsi="宋体" w:cs="宋体"/>
      <w:lang w:val="zh-CN" w:bidi="zh-CN"/>
    </w:rPr>
  </w:style>
  <w:style w:type="paragraph" w:customStyle="1" w:styleId="35">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6">
    <w:name w:val="正文首行缩进两字符"/>
    <w:basedOn w:val="1"/>
    <w:qFormat/>
    <w:uiPriority w:val="0"/>
    <w:pPr>
      <w:spacing w:line="360" w:lineRule="auto"/>
      <w:ind w:firstLine="200" w:firstLineChars="200"/>
    </w:pPr>
    <w:rPr>
      <w:rFonts w:ascii="Times New Roman" w:hAnsi="Times New Roman"/>
    </w:rPr>
  </w:style>
  <w:style w:type="paragraph" w:customStyle="1" w:styleId="37">
    <w:name w:val="List Paragraph"/>
    <w:basedOn w:val="1"/>
    <w:qFormat/>
    <w:uiPriority w:val="0"/>
    <w:pPr>
      <w:ind w:firstLine="420" w:firstLineChars="200"/>
    </w:pPr>
  </w:style>
  <w:style w:type="paragraph" w:customStyle="1" w:styleId="38">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9">
    <w:name w:val="标题 2 字符"/>
    <w:link w:val="4"/>
    <w:qFormat/>
    <w:uiPriority w:val="0"/>
    <w:rPr>
      <w:rFonts w:ascii="Arial" w:hAnsi="Arial" w:eastAsia="黑体" w:cs="Times New Roman"/>
      <w:b/>
      <w:bCs/>
      <w:sz w:val="32"/>
      <w:szCs w:val="32"/>
    </w:rPr>
  </w:style>
  <w:style w:type="paragraph" w:customStyle="1" w:styleId="40">
    <w:name w:val="列出段落1"/>
    <w:basedOn w:val="1"/>
    <w:qFormat/>
    <w:uiPriority w:val="34"/>
    <w:pPr>
      <w:ind w:firstLine="420" w:firstLineChars="200"/>
    </w:pPr>
  </w:style>
  <w:style w:type="character" w:customStyle="1" w:styleId="41">
    <w:name w:val="批注框文本 字符"/>
    <w:basedOn w:val="20"/>
    <w:link w:val="12"/>
    <w:qFormat/>
    <w:uiPriority w:val="0"/>
    <w:rPr>
      <w:rFonts w:ascii="Calibri" w:hAnsi="Calibri" w:eastAsia="宋体" w:cs="Times New Roman"/>
      <w:kern w:val="2"/>
      <w:sz w:val="18"/>
      <w:szCs w:val="18"/>
    </w:rPr>
  </w:style>
  <w:style w:type="character" w:customStyle="1" w:styleId="42">
    <w:name w:val="C503-正文格式 Char"/>
    <w:link w:val="43"/>
    <w:qFormat/>
    <w:uiPriority w:val="0"/>
    <w:rPr>
      <w:rFonts w:ascii="Times New Roman" w:hAnsi="Times New Roman" w:cs="宋体"/>
      <w:kern w:val="2"/>
      <w:sz w:val="24"/>
    </w:rPr>
  </w:style>
  <w:style w:type="paragraph" w:customStyle="1" w:styleId="43">
    <w:name w:val="C503-正文格式"/>
    <w:basedOn w:val="1"/>
    <w:link w:val="42"/>
    <w:qFormat/>
    <w:uiPriority w:val="0"/>
    <w:pPr>
      <w:spacing w:line="360" w:lineRule="auto"/>
      <w:ind w:firstLine="480" w:firstLineChars="200"/>
    </w:pPr>
    <w:rPr>
      <w:rFonts w:ascii="Times New Roman" w:hAnsi="Times New Roman" w:cs="宋体" w:eastAsiaTheme="minorEastAsia"/>
      <w:sz w:val="24"/>
      <w:szCs w:val="20"/>
    </w:rPr>
  </w:style>
  <w:style w:type="character" w:customStyle="1" w:styleId="44">
    <w:name w:val="正文文本 字符"/>
    <w:basedOn w:val="20"/>
    <w:link w:val="2"/>
    <w:qFormat/>
    <w:uiPriority w:val="0"/>
    <w:rPr>
      <w:rFonts w:ascii="仿宋_GB2312" w:hAnsi="Times New Roman" w:eastAsia="仿宋_GB2312" w:cs="Times New Roman"/>
      <w:kern w:val="2"/>
      <w:sz w:val="28"/>
      <w:szCs w:val="28"/>
    </w:rPr>
  </w:style>
  <w:style w:type="paragraph" w:customStyle="1" w:styleId="45">
    <w:name w:val="表格"/>
    <w:basedOn w:val="1"/>
    <w:qFormat/>
    <w:uiPriority w:val="0"/>
    <w:pPr>
      <w:spacing w:line="400" w:lineRule="exact"/>
    </w:pPr>
    <w:rPr>
      <w:rFonts w:ascii="Times New Roman" w:hAnsi="Times New Roman"/>
      <w:sz w:val="24"/>
    </w:rPr>
  </w:style>
  <w:style w:type="character" w:customStyle="1" w:styleId="46">
    <w:name w:val="font31"/>
    <w:basedOn w:val="20"/>
    <w:qFormat/>
    <w:uiPriority w:val="0"/>
    <w:rPr>
      <w:rFonts w:hint="eastAsia" w:ascii="宋体" w:hAnsi="宋体" w:eastAsia="宋体" w:cs="宋体"/>
      <w:color w:val="000000"/>
      <w:sz w:val="21"/>
      <w:szCs w:val="21"/>
      <w:u w:val="none"/>
    </w:rPr>
  </w:style>
  <w:style w:type="character" w:customStyle="1" w:styleId="47">
    <w:name w:val="font11"/>
    <w:basedOn w:val="20"/>
    <w:qFormat/>
    <w:uiPriority w:val="0"/>
    <w:rPr>
      <w:rFonts w:hint="eastAsia" w:ascii="宋体" w:hAnsi="宋体" w:eastAsia="宋体" w:cs="宋体"/>
      <w:color w:val="000000"/>
      <w:sz w:val="20"/>
      <w:szCs w:val="20"/>
      <w:u w:val="none"/>
    </w:rPr>
  </w:style>
  <w:style w:type="paragraph" w:customStyle="1" w:styleId="48">
    <w:name w:val="15、“一、”二级标题"/>
    <w:basedOn w:val="1"/>
    <w:qFormat/>
    <w:uiPriority w:val="0"/>
    <w:pPr>
      <w:numPr>
        <w:ilvl w:val="1"/>
        <w:numId w:val="2"/>
      </w:numPr>
      <w:tabs>
        <w:tab w:val="left" w:pos="0"/>
      </w:tabs>
      <w:wordWrap w:val="0"/>
      <w:topLinePunct/>
      <w:ind w:firstLine="803" w:firstLineChars="200"/>
      <w:outlineLvl w:val="1"/>
    </w:pPr>
    <w:rPr>
      <w:b/>
    </w:rPr>
  </w:style>
  <w:style w:type="paragraph" w:customStyle="1" w:styleId="49">
    <w:name w:val="02、首行缩进2字符正文"/>
    <w:basedOn w:val="1"/>
    <w:qFormat/>
    <w:uiPriority w:val="0"/>
    <w:pPr>
      <w:tabs>
        <w:tab w:val="left" w:pos="0"/>
      </w:tabs>
      <w:wordWrap w:val="0"/>
      <w:topLinePunct/>
      <w:ind w:firstLine="480" w:firstLineChars="200"/>
    </w:pPr>
  </w:style>
  <w:style w:type="paragraph" w:customStyle="1" w:styleId="50">
    <w:name w:val="03、“注：”正文(加粗，首行缩进2字符)"/>
    <w:basedOn w:val="51"/>
    <w:qFormat/>
    <w:uiPriority w:val="0"/>
    <w:pPr>
      <w:tabs>
        <w:tab w:val="left" w:pos="0"/>
      </w:tabs>
      <w:ind w:firstLine="480" w:firstLineChars="200"/>
    </w:pPr>
    <w:rPr>
      <w:b/>
    </w:rPr>
  </w:style>
  <w:style w:type="paragraph" w:customStyle="1" w:styleId="51">
    <w:name w:val="01、普通正文"/>
    <w:basedOn w:val="1"/>
    <w:qFormat/>
    <w:uiPriority w:val="0"/>
    <w:pPr>
      <w:tabs>
        <w:tab w:val="left" w:pos="0"/>
      </w:tabs>
      <w:wordWrap w:val="0"/>
      <w:topLinePunct/>
    </w:pPr>
    <w:rPr>
      <w:snapToGrid w:val="0"/>
    </w:rPr>
  </w:style>
  <w:style w:type="paragraph" w:customStyle="1" w:styleId="52">
    <w:name w:val="13、表格内居中正文"/>
    <w:basedOn w:val="1"/>
    <w:qFormat/>
    <w:uiPriority w:val="0"/>
    <w:pPr>
      <w:tabs>
        <w:tab w:val="left" w:pos="0"/>
      </w:tabs>
      <w:wordWrap w:val="0"/>
      <w:topLinePunct/>
      <w:spacing w:line="360" w:lineRule="exact"/>
      <w:jc w:val="center"/>
    </w:pPr>
  </w:style>
  <w:style w:type="paragraph" w:customStyle="1" w:styleId="53">
    <w:name w:val="12、表格内左对齐正文"/>
    <w:basedOn w:val="1"/>
    <w:qFormat/>
    <w:uiPriority w:val="0"/>
    <w:pPr>
      <w:tabs>
        <w:tab w:val="left" w:pos="0"/>
      </w:tabs>
      <w:wordWrap w:val="0"/>
      <w:topLinePunct/>
      <w:spacing w:line="360" w:lineRule="exact"/>
      <w:ind w:left="48" w:leftChars="20"/>
    </w:pPr>
    <w:rPr>
      <w:snapToGrid w:val="0"/>
    </w:rPr>
  </w:style>
  <w:style w:type="paragraph" w:customStyle="1" w:styleId="54">
    <w:name w:val="GW-正文"/>
    <w:basedOn w:val="1"/>
    <w:qFormat/>
    <w:uiPriority w:val="0"/>
    <w:pPr>
      <w:spacing w:line="360" w:lineRule="auto"/>
      <w:ind w:firstLine="200" w:firstLineChars="200"/>
    </w:pPr>
    <w:rPr>
      <w:rFonts w:ascii="Times New Roman" w:eastAsia="仿宋_GB2312"/>
      <w:sz w:val="24"/>
    </w:rPr>
  </w:style>
  <w:style w:type="character" w:customStyle="1" w:styleId="55">
    <w:name w:val="font41"/>
    <w:qFormat/>
    <w:uiPriority w:val="0"/>
    <w:rPr>
      <w:rFonts w:hint="eastAsia" w:ascii="宋体" w:hAnsi="宋体" w:eastAsia="宋体" w:cs="宋体"/>
      <w:color w:val="000000"/>
      <w:sz w:val="20"/>
      <w:szCs w:val="20"/>
      <w:u w:val="none"/>
      <w:vertAlign w:val="subscript"/>
    </w:rPr>
  </w:style>
  <w:style w:type="character" w:customStyle="1" w:styleId="56">
    <w:name w:val="font51"/>
    <w:qFormat/>
    <w:uiPriority w:val="0"/>
    <w:rPr>
      <w:rFonts w:hint="default" w:ascii="Times New Roman" w:hAnsi="Times New Roman" w:cs="Times New Roman"/>
      <w:color w:val="000000"/>
      <w:sz w:val="20"/>
      <w:szCs w:val="20"/>
      <w:u w:val="none"/>
      <w:vertAlign w:val="subscript"/>
    </w:rPr>
  </w:style>
  <w:style w:type="character" w:customStyle="1" w:styleId="57">
    <w:name w:val="font01"/>
    <w:qFormat/>
    <w:uiPriority w:val="0"/>
    <w:rPr>
      <w:rFonts w:hint="eastAsia" w:ascii="宋体" w:hAnsi="宋体" w:eastAsia="宋体" w:cs="宋体"/>
      <w:color w:val="000000"/>
      <w:sz w:val="20"/>
      <w:szCs w:val="20"/>
      <w:u w:val="none"/>
      <w:vertAlign w:val="superscript"/>
    </w:rPr>
  </w:style>
  <w:style w:type="character" w:customStyle="1" w:styleId="58">
    <w:name w:val="font81"/>
    <w:basedOn w:val="20"/>
    <w:qFormat/>
    <w:uiPriority w:val="0"/>
    <w:rPr>
      <w:rFonts w:hint="eastAsia" w:ascii="宋体" w:hAnsi="宋体" w:eastAsia="宋体" w:cs="宋体"/>
      <w:color w:val="000000"/>
      <w:sz w:val="20"/>
      <w:szCs w:val="20"/>
      <w:u w:val="none"/>
    </w:rPr>
  </w:style>
  <w:style w:type="character" w:customStyle="1" w:styleId="59">
    <w:name w:val="font112"/>
    <w:basedOn w:val="20"/>
    <w:qFormat/>
    <w:uiPriority w:val="0"/>
    <w:rPr>
      <w:rFonts w:hint="eastAsia" w:ascii="宋体" w:hAnsi="宋体" w:eastAsia="宋体" w:cs="宋体"/>
      <w:color w:val="000000"/>
      <w:sz w:val="20"/>
      <w:szCs w:val="20"/>
      <w:u w:val="none"/>
      <w:vertAlign w:val="superscript"/>
    </w:rPr>
  </w:style>
  <w:style w:type="character" w:customStyle="1" w:styleId="60">
    <w:name w:val="font121"/>
    <w:basedOn w:val="20"/>
    <w:qFormat/>
    <w:uiPriority w:val="0"/>
    <w:rPr>
      <w:rFonts w:hint="eastAsia" w:ascii="宋体" w:hAnsi="宋体" w:eastAsia="宋体" w:cs="宋体"/>
      <w:color w:val="000000"/>
      <w:sz w:val="20"/>
      <w:szCs w:val="20"/>
      <w:u w:val="none"/>
    </w:rPr>
  </w:style>
  <w:style w:type="character" w:customStyle="1" w:styleId="61">
    <w:name w:val="font91"/>
    <w:basedOn w:val="20"/>
    <w:qFormat/>
    <w:uiPriority w:val="0"/>
    <w:rPr>
      <w:rFonts w:hint="eastAsia" w:ascii="宋体" w:hAnsi="宋体" w:eastAsia="宋体" w:cs="宋体"/>
      <w:color w:val="000000"/>
      <w:sz w:val="20"/>
      <w:szCs w:val="20"/>
      <w:u w:val="none"/>
    </w:rPr>
  </w:style>
  <w:style w:type="character" w:customStyle="1" w:styleId="62">
    <w:name w:val="font131"/>
    <w:basedOn w:val="20"/>
    <w:qFormat/>
    <w:uiPriority w:val="0"/>
    <w:rPr>
      <w:rFonts w:hint="eastAsia" w:ascii="宋体" w:hAnsi="宋体" w:eastAsia="宋体" w:cs="宋体"/>
      <w:color w:val="FF0000"/>
      <w:sz w:val="22"/>
      <w:szCs w:val="22"/>
      <w:u w:val="none"/>
    </w:rPr>
  </w:style>
  <w:style w:type="character" w:customStyle="1" w:styleId="63">
    <w:name w:val="img"/>
    <w:basedOn w:val="20"/>
    <w:qFormat/>
    <w:uiPriority w:val="0"/>
  </w:style>
  <w:style w:type="character" w:customStyle="1" w:styleId="64">
    <w:name w:val="img1"/>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GIF"/><Relationship Id="rId15" Type="http://schemas.openxmlformats.org/officeDocument/2006/relationships/image" Target="media/image3.GI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3"/>
    <customShpInfo spid="_x0000_s1026" textRotate="1"/>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36110</Words>
  <Characters>37442</Characters>
  <Lines>407</Lines>
  <Paragraphs>114</Paragraphs>
  <TotalTime>10</TotalTime>
  <ScaleCrop>false</ScaleCrop>
  <LinksUpToDate>false</LinksUpToDate>
  <CharactersWithSpaces>39282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2019-10-11T11:00:00Z</dcterms:created>
  <dc:creator>Administrator</dc:creator>
  <cp:lastModifiedBy>Colorful。</cp:lastModifiedBy>
  <cp:lastPrinted>2020-09-21T14:28:00Z</cp:lastPrinted>
  <dcterms:modified xsi:type="dcterms:W3CDTF">2021-08-16T01:50:41Z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9A765799CC504FA6AFECED79003F5731</vt:lpwstr>
  </property>
</Properties>
</file>