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b/>
          <w:sz w:val="30"/>
          <w:szCs w:val="30"/>
        </w:rPr>
      </w:pPr>
      <w:bookmarkStart w:id="0" w:name="_Hlt101233737"/>
      <w:bookmarkEnd w:id="0"/>
      <w:bookmarkStart w:id="1" w:name="_Hlt101843627"/>
      <w:bookmarkEnd w:id="1"/>
    </w:p>
    <w:p>
      <w:pPr>
        <w:spacing w:line="360" w:lineRule="auto"/>
        <w:jc w:val="left"/>
        <w:rPr>
          <w:rFonts w:ascii="仿宋" w:hAnsi="仿宋" w:eastAsia="仿宋" w:cs="仿宋"/>
          <w:b/>
          <w:sz w:val="28"/>
          <w:szCs w:val="28"/>
        </w:rPr>
      </w:pPr>
      <w:r>
        <w:rPr>
          <w:rFonts w:hint="eastAsia" w:ascii="仿宋" w:hAnsi="仿宋" w:eastAsia="仿宋" w:cs="仿宋"/>
          <w:b/>
          <w:sz w:val="28"/>
          <w:szCs w:val="28"/>
        </w:rPr>
        <w:t>项目编号：510106202100064</w:t>
      </w:r>
    </w:p>
    <w:p>
      <w:pPr>
        <w:spacing w:line="360" w:lineRule="auto"/>
        <w:jc w:val="left"/>
        <w:rPr>
          <w:rFonts w:ascii="仿宋" w:hAnsi="仿宋" w:eastAsia="仿宋" w:cs="仿宋"/>
          <w:b/>
          <w:sz w:val="44"/>
          <w:szCs w:val="44"/>
        </w:rPr>
      </w:pPr>
      <w:bookmarkStart w:id="2" w:name="_Toc18738"/>
      <w:bookmarkStart w:id="3" w:name="_Toc10017"/>
      <w:bookmarkStart w:id="4" w:name="_Toc6636"/>
    </w:p>
    <w:p>
      <w:pPr>
        <w:spacing w:line="360" w:lineRule="auto"/>
        <w:jc w:val="center"/>
        <w:rPr>
          <w:rFonts w:ascii="仿宋" w:hAnsi="仿宋" w:eastAsia="仿宋" w:cs="仿宋"/>
          <w:b/>
          <w:sz w:val="72"/>
          <w:szCs w:val="72"/>
        </w:rPr>
      </w:pPr>
      <w:r>
        <w:rPr>
          <w:rFonts w:hint="eastAsia" w:ascii="仿宋" w:hAnsi="仿宋" w:eastAsia="仿宋" w:cs="仿宋"/>
          <w:b/>
          <w:sz w:val="52"/>
          <w:szCs w:val="52"/>
          <w:lang w:eastAsia="zh-CN"/>
        </w:rPr>
        <w:t>2021年荷花池商圈综治服务项</w:t>
      </w:r>
      <w:r>
        <w:rPr>
          <w:rFonts w:hint="eastAsia" w:ascii="仿宋" w:hAnsi="仿宋" w:eastAsia="仿宋" w:cs="仿宋"/>
          <w:b/>
          <w:sz w:val="52"/>
          <w:szCs w:val="52"/>
        </w:rPr>
        <w:t>目</w:t>
      </w:r>
    </w:p>
    <w:p>
      <w:pPr>
        <w:spacing w:line="360" w:lineRule="auto"/>
        <w:jc w:val="center"/>
        <w:rPr>
          <w:rFonts w:ascii="仿宋" w:hAnsi="仿宋" w:eastAsia="仿宋" w:cs="仿宋"/>
          <w:b/>
          <w:sz w:val="72"/>
          <w:szCs w:val="72"/>
        </w:rPr>
      </w:pPr>
    </w:p>
    <w:p>
      <w:pPr>
        <w:spacing w:line="360" w:lineRule="auto"/>
        <w:jc w:val="center"/>
        <w:rPr>
          <w:rFonts w:ascii="仿宋" w:hAnsi="仿宋" w:eastAsia="仿宋" w:cs="仿宋"/>
          <w:b/>
          <w:sz w:val="72"/>
          <w:szCs w:val="72"/>
        </w:rPr>
      </w:pPr>
    </w:p>
    <w:p>
      <w:pPr>
        <w:spacing w:line="360" w:lineRule="auto"/>
        <w:jc w:val="center"/>
        <w:rPr>
          <w:rFonts w:ascii="仿宋" w:hAnsi="仿宋" w:eastAsia="仿宋" w:cs="仿宋"/>
          <w:b/>
          <w:sz w:val="72"/>
          <w:szCs w:val="72"/>
        </w:rPr>
      </w:pPr>
      <w:r>
        <w:rPr>
          <w:rFonts w:hint="eastAsia" w:ascii="仿宋" w:hAnsi="仿宋" w:eastAsia="仿宋" w:cs="仿宋"/>
          <w:b/>
          <w:sz w:val="72"/>
          <w:szCs w:val="72"/>
        </w:rPr>
        <w:t>竞争性磋商</w:t>
      </w:r>
      <w:bookmarkEnd w:id="2"/>
    </w:p>
    <w:p>
      <w:pPr>
        <w:spacing w:line="360" w:lineRule="auto"/>
        <w:jc w:val="center"/>
        <w:rPr>
          <w:rFonts w:ascii="仿宋" w:hAnsi="仿宋" w:eastAsia="仿宋" w:cs="仿宋"/>
          <w:b/>
          <w:sz w:val="32"/>
          <w:szCs w:val="40"/>
        </w:rPr>
      </w:pPr>
      <w:bookmarkStart w:id="5" w:name="_Toc15473"/>
      <w:r>
        <w:rPr>
          <w:rFonts w:hint="eastAsia" w:ascii="仿宋" w:hAnsi="仿宋" w:eastAsia="仿宋" w:cs="仿宋"/>
          <w:b/>
          <w:sz w:val="72"/>
          <w:szCs w:val="72"/>
        </w:rPr>
        <w:t>采购文件</w:t>
      </w:r>
      <w:bookmarkEnd w:id="3"/>
      <w:bookmarkEnd w:id="4"/>
      <w:bookmarkEnd w:id="5"/>
    </w:p>
    <w:p>
      <w:pPr>
        <w:pStyle w:val="2"/>
        <w:spacing w:line="360" w:lineRule="auto"/>
        <w:rPr>
          <w:rFonts w:ascii="仿宋" w:hAnsi="仿宋" w:eastAsia="仿宋" w:cs="仿宋"/>
          <w:b/>
          <w:w w:val="90"/>
          <w:sz w:val="36"/>
          <w:szCs w:val="36"/>
        </w:rPr>
      </w:pPr>
    </w:p>
    <w:p>
      <w:pPr>
        <w:spacing w:line="360" w:lineRule="auto"/>
        <w:rPr>
          <w:rFonts w:ascii="仿宋" w:hAnsi="仿宋" w:eastAsia="仿宋" w:cs="仿宋"/>
          <w:b/>
          <w:w w:val="90"/>
          <w:sz w:val="36"/>
          <w:szCs w:val="36"/>
        </w:rPr>
      </w:pPr>
    </w:p>
    <w:p>
      <w:pPr>
        <w:spacing w:line="360" w:lineRule="auto"/>
        <w:jc w:val="center"/>
        <w:rPr>
          <w:rFonts w:ascii="仿宋" w:hAnsi="仿宋" w:eastAsia="仿宋" w:cs="仿宋"/>
          <w:b/>
          <w:w w:val="90"/>
          <w:sz w:val="36"/>
          <w:szCs w:val="36"/>
        </w:rPr>
      </w:pPr>
    </w:p>
    <w:p>
      <w:pPr>
        <w:tabs>
          <w:tab w:val="left" w:pos="19854"/>
        </w:tabs>
        <w:spacing w:line="360" w:lineRule="auto"/>
        <w:jc w:val="left"/>
        <w:rPr>
          <w:rFonts w:ascii="仿宋" w:hAnsi="仿宋" w:eastAsia="仿宋" w:cs="仿宋"/>
          <w:b/>
          <w:w w:val="90"/>
          <w:sz w:val="36"/>
          <w:szCs w:val="36"/>
        </w:rPr>
      </w:pPr>
      <w:r>
        <w:rPr>
          <w:rFonts w:hint="eastAsia" w:ascii="仿宋" w:hAnsi="仿宋" w:eastAsia="仿宋" w:cs="仿宋"/>
          <w:b/>
          <w:w w:val="90"/>
          <w:sz w:val="36"/>
          <w:szCs w:val="36"/>
        </w:rPr>
        <w:tab/>
      </w:r>
    </w:p>
    <w:p>
      <w:pPr>
        <w:spacing w:line="360" w:lineRule="auto"/>
        <w:jc w:val="center"/>
        <w:rPr>
          <w:rFonts w:ascii="仿宋" w:hAnsi="仿宋" w:eastAsia="仿宋" w:cs="仿宋"/>
          <w:b/>
          <w:w w:val="90"/>
          <w:sz w:val="36"/>
          <w:szCs w:val="36"/>
        </w:rPr>
      </w:pPr>
      <w:r>
        <w:rPr>
          <w:rFonts w:hint="eastAsia" w:ascii="仿宋" w:hAnsi="仿宋" w:eastAsia="仿宋" w:cs="仿宋"/>
          <w:b/>
          <w:w w:val="90"/>
          <w:sz w:val="36"/>
          <w:szCs w:val="36"/>
        </w:rPr>
        <w:t>中国·四川</w:t>
      </w:r>
    </w:p>
    <w:p>
      <w:pPr>
        <w:rPr>
          <w:rFonts w:ascii="仿宋" w:hAnsi="仿宋" w:eastAsia="仿宋" w:cs="仿宋"/>
        </w:rPr>
      </w:pPr>
    </w:p>
    <w:p>
      <w:pPr>
        <w:spacing w:line="360" w:lineRule="auto"/>
        <w:jc w:val="center"/>
        <w:rPr>
          <w:rFonts w:hint="eastAsia" w:ascii="仿宋" w:hAnsi="仿宋" w:eastAsia="仿宋" w:cs="仿宋"/>
          <w:b/>
          <w:w w:val="90"/>
          <w:sz w:val="36"/>
          <w:szCs w:val="36"/>
          <w:lang w:eastAsia="zh-CN"/>
        </w:rPr>
      </w:pPr>
      <w:r>
        <w:rPr>
          <w:rFonts w:hint="eastAsia" w:ascii="仿宋" w:hAnsi="仿宋" w:eastAsia="仿宋" w:cs="仿宋"/>
          <w:b/>
          <w:w w:val="90"/>
          <w:sz w:val="36"/>
          <w:szCs w:val="36"/>
        </w:rPr>
        <w:t>采购人：</w:t>
      </w:r>
      <w:r>
        <w:rPr>
          <w:rFonts w:hint="eastAsia" w:ascii="仿宋" w:hAnsi="仿宋" w:eastAsia="仿宋" w:cs="仿宋"/>
          <w:b/>
          <w:w w:val="90"/>
          <w:sz w:val="36"/>
          <w:szCs w:val="36"/>
          <w:lang w:eastAsia="zh-CN"/>
        </w:rPr>
        <w:t>成都市金牛区人民政府荷花池街道办事处</w:t>
      </w:r>
    </w:p>
    <w:p>
      <w:pPr>
        <w:spacing w:line="360" w:lineRule="auto"/>
        <w:jc w:val="center"/>
        <w:rPr>
          <w:rFonts w:ascii="仿宋" w:hAnsi="仿宋" w:eastAsia="仿宋" w:cs="仿宋"/>
          <w:b/>
          <w:w w:val="90"/>
          <w:sz w:val="36"/>
          <w:szCs w:val="36"/>
        </w:rPr>
      </w:pPr>
      <w:r>
        <w:rPr>
          <w:rFonts w:hint="eastAsia" w:ascii="仿宋" w:hAnsi="仿宋" w:eastAsia="仿宋" w:cs="仿宋"/>
          <w:b/>
          <w:w w:val="90"/>
          <w:sz w:val="36"/>
          <w:szCs w:val="36"/>
        </w:rPr>
        <w:t>代理机构：四川凯亿工程管理咨询有限公司</w:t>
      </w:r>
    </w:p>
    <w:p>
      <w:pPr>
        <w:spacing w:line="360" w:lineRule="auto"/>
        <w:jc w:val="center"/>
        <w:rPr>
          <w:rFonts w:ascii="仿宋" w:hAnsi="仿宋" w:eastAsia="仿宋" w:cs="仿宋"/>
          <w:b/>
          <w:w w:val="90"/>
          <w:sz w:val="36"/>
          <w:szCs w:val="36"/>
        </w:rPr>
      </w:pPr>
      <w:r>
        <w:rPr>
          <w:rFonts w:hint="eastAsia" w:ascii="仿宋" w:hAnsi="仿宋" w:eastAsia="仿宋" w:cs="仿宋"/>
          <w:b/>
          <w:w w:val="90"/>
          <w:sz w:val="36"/>
          <w:szCs w:val="36"/>
        </w:rPr>
        <w:t>（共同编制）</w:t>
      </w:r>
    </w:p>
    <w:p>
      <w:pPr>
        <w:spacing w:line="360" w:lineRule="auto"/>
        <w:jc w:val="center"/>
        <w:rPr>
          <w:rFonts w:ascii="仿宋" w:hAnsi="仿宋" w:eastAsia="仿宋" w:cs="仿宋"/>
          <w:b/>
          <w:w w:val="90"/>
          <w:sz w:val="36"/>
          <w:szCs w:val="36"/>
        </w:rPr>
      </w:pPr>
      <w:r>
        <w:rPr>
          <w:rFonts w:hint="eastAsia" w:ascii="仿宋" w:hAnsi="仿宋" w:eastAsia="仿宋" w:cs="仿宋"/>
          <w:b/>
          <w:w w:val="90"/>
          <w:sz w:val="36"/>
          <w:szCs w:val="36"/>
        </w:rPr>
        <w:t>二○二一年</w:t>
      </w:r>
      <w:r>
        <w:rPr>
          <w:rFonts w:hint="eastAsia" w:ascii="仿宋" w:hAnsi="仿宋" w:eastAsia="仿宋" w:cs="仿宋"/>
          <w:b/>
          <w:w w:val="90"/>
          <w:sz w:val="36"/>
          <w:szCs w:val="36"/>
          <w:lang w:val="en-US" w:eastAsia="zh-CN"/>
        </w:rPr>
        <w:t>六</w:t>
      </w:r>
      <w:r>
        <w:rPr>
          <w:rFonts w:hint="eastAsia" w:ascii="仿宋" w:hAnsi="仿宋" w:eastAsia="仿宋" w:cs="仿宋"/>
          <w:b/>
          <w:w w:val="90"/>
          <w:sz w:val="36"/>
          <w:szCs w:val="36"/>
        </w:rPr>
        <w:t>月</w:t>
      </w:r>
      <w:r>
        <w:rPr>
          <w:rFonts w:hint="eastAsia" w:ascii="仿宋" w:hAnsi="仿宋" w:eastAsia="仿宋" w:cs="仿宋"/>
          <w:b/>
          <w:w w:val="90"/>
          <w:sz w:val="36"/>
          <w:szCs w:val="36"/>
        </w:rPr>
        <w:br w:type="page"/>
      </w:r>
    </w:p>
    <w:p>
      <w:pPr>
        <w:spacing w:line="360" w:lineRule="auto"/>
        <w:jc w:val="center"/>
        <w:rPr>
          <w:rFonts w:ascii="仿宋" w:hAnsi="仿宋" w:eastAsia="仿宋" w:cs="仿宋"/>
          <w:b/>
          <w:bCs/>
          <w:sz w:val="40"/>
          <w:szCs w:val="48"/>
        </w:rPr>
      </w:pPr>
      <w:r>
        <w:rPr>
          <w:rFonts w:hint="eastAsia" w:ascii="仿宋" w:hAnsi="仿宋" w:eastAsia="仿宋" w:cs="仿宋"/>
          <w:b/>
          <w:bCs/>
          <w:sz w:val="40"/>
          <w:szCs w:val="48"/>
        </w:rPr>
        <w:t>政府采购廉洁承诺书</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lang w:val="zh-CN"/>
        </w:rPr>
        <w:t>1、不与他人串通，</w:t>
      </w:r>
      <w:r>
        <w:rPr>
          <w:rFonts w:hint="eastAsia" w:ascii="仿宋" w:hAnsi="仿宋" w:eastAsia="仿宋" w:cs="仿宋"/>
          <w:sz w:val="24"/>
          <w:szCs w:val="32"/>
        </w:rPr>
        <w:t>泄露</w:t>
      </w:r>
      <w:r>
        <w:rPr>
          <w:rFonts w:hint="eastAsia" w:ascii="仿宋" w:hAnsi="仿宋" w:eastAsia="仿宋" w:cs="仿宋"/>
          <w:sz w:val="24"/>
          <w:szCs w:val="32"/>
          <w:lang w:val="zh-CN"/>
        </w:rPr>
        <w:t>招标投标机密。</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lang w:val="zh-CN"/>
        </w:rPr>
        <w:t>2、不与采购人、供应商串通投标。</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lang w:val="zh-CN"/>
        </w:rPr>
        <w:t>3、不向评标专家支付合理报酬以外的</w:t>
      </w:r>
      <w:r>
        <w:rPr>
          <w:rFonts w:hint="eastAsia" w:ascii="仿宋" w:hAnsi="仿宋" w:eastAsia="仿宋" w:cs="仿宋"/>
          <w:sz w:val="24"/>
          <w:szCs w:val="32"/>
        </w:rPr>
        <w:t>费用，包括并不限于</w:t>
      </w:r>
      <w:r>
        <w:rPr>
          <w:rFonts w:hint="eastAsia" w:ascii="仿宋" w:hAnsi="仿宋" w:eastAsia="仿宋" w:cs="仿宋"/>
          <w:sz w:val="24"/>
          <w:szCs w:val="32"/>
          <w:lang w:val="zh-CN"/>
        </w:rPr>
        <w:t>现金、购物卡、礼品、实物等，</w:t>
      </w:r>
      <w:r>
        <w:rPr>
          <w:rFonts w:hint="eastAsia" w:ascii="仿宋" w:hAnsi="仿宋" w:eastAsia="仿宋" w:cs="仿宋"/>
          <w:sz w:val="24"/>
          <w:szCs w:val="32"/>
        </w:rPr>
        <w:t>不进行</w:t>
      </w:r>
      <w:r>
        <w:rPr>
          <w:rFonts w:hint="eastAsia" w:ascii="仿宋" w:hAnsi="仿宋" w:eastAsia="仿宋" w:cs="仿宋"/>
          <w:sz w:val="24"/>
          <w:szCs w:val="32"/>
          <w:lang w:val="zh-CN"/>
        </w:rPr>
        <w:t>其他可能影响客观公正评审的活动。</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lang w:val="zh-CN"/>
        </w:rPr>
        <w:t>4、不向招标投标监督人员或机构请客、送礼及组织其它有可能影响客观公正监督的活动。</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rPr>
        <w:t>5、</w:t>
      </w:r>
      <w:r>
        <w:rPr>
          <w:rFonts w:hint="eastAsia" w:ascii="仿宋" w:hAnsi="仿宋" w:eastAsia="仿宋" w:cs="仿宋"/>
          <w:sz w:val="24"/>
          <w:szCs w:val="32"/>
          <w:lang w:val="zh-CN"/>
        </w:rPr>
        <w:t>不向采购人提供任何不正当利益的方式谋求合作关系。</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rPr>
        <w:t>6、</w:t>
      </w:r>
      <w:r>
        <w:rPr>
          <w:rFonts w:hint="eastAsia" w:ascii="仿宋" w:hAnsi="仿宋" w:eastAsia="仿宋" w:cs="仿宋"/>
          <w:sz w:val="24"/>
          <w:szCs w:val="32"/>
          <w:lang w:val="zh-CN"/>
        </w:rPr>
        <w:t>不采取恶性竞争等不正当手段竞争业务。</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rPr>
        <w:t>7、禁止一切</w:t>
      </w:r>
      <w:r>
        <w:rPr>
          <w:rFonts w:hint="eastAsia" w:ascii="仿宋" w:hAnsi="仿宋" w:eastAsia="仿宋" w:cs="仿宋"/>
          <w:sz w:val="24"/>
          <w:szCs w:val="32"/>
          <w:lang w:val="zh-CN"/>
        </w:rPr>
        <w:t>行贿倾向、建议等行为。</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rPr>
        <w:t>8、</w:t>
      </w:r>
      <w:r>
        <w:rPr>
          <w:rFonts w:hint="eastAsia" w:ascii="仿宋" w:hAnsi="仿宋" w:eastAsia="仿宋" w:cs="仿宋"/>
          <w:sz w:val="24"/>
          <w:szCs w:val="32"/>
          <w:lang w:val="zh-CN"/>
        </w:rPr>
        <w:t>禁止员工有索贿、受贿等行为。</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val="zh-CN"/>
        </w:rPr>
        <w:t>本承诺书由承诺人盖章签字生效，如出现上述行为，</w:t>
      </w:r>
      <w:r>
        <w:rPr>
          <w:rFonts w:hint="eastAsia" w:ascii="仿宋" w:hAnsi="仿宋" w:eastAsia="仿宋" w:cs="仿宋"/>
          <w:sz w:val="24"/>
          <w:szCs w:val="32"/>
        </w:rPr>
        <w:t>承诺人</w:t>
      </w:r>
      <w:r>
        <w:rPr>
          <w:rFonts w:hint="eastAsia" w:ascii="仿宋" w:hAnsi="仿宋" w:eastAsia="仿宋" w:cs="仿宋"/>
          <w:sz w:val="24"/>
          <w:szCs w:val="32"/>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仿宋" w:hAnsi="仿宋" w:eastAsia="仿宋" w:cs="仿宋"/>
          <w:sz w:val="24"/>
          <w:szCs w:val="32"/>
        </w:rPr>
        <w:t>将</w:t>
      </w:r>
      <w:r>
        <w:rPr>
          <w:rFonts w:hint="eastAsia" w:ascii="仿宋" w:hAnsi="仿宋" w:eastAsia="仿宋" w:cs="仿宋"/>
          <w:sz w:val="24"/>
          <w:szCs w:val="32"/>
          <w:lang w:val="zh-CN"/>
        </w:rPr>
        <w:t>严格按照公司规定处理，涉及违法违纪的将追究相关法律责任。</w:t>
      </w:r>
    </w:p>
    <w:p>
      <w:pPr>
        <w:spacing w:line="360" w:lineRule="auto"/>
        <w:ind w:firstLine="480" w:firstLineChars="200"/>
        <w:rPr>
          <w:rFonts w:ascii="仿宋" w:hAnsi="仿宋" w:eastAsia="仿宋" w:cs="仿宋"/>
          <w:sz w:val="24"/>
          <w:szCs w:val="32"/>
          <w:lang w:val="zh-CN"/>
        </w:rPr>
      </w:pPr>
      <w:r>
        <w:rPr>
          <w:rFonts w:hint="eastAsia" w:ascii="仿宋" w:hAnsi="仿宋" w:eastAsia="仿宋" w:cs="仿宋"/>
          <w:sz w:val="24"/>
          <w:szCs w:val="32"/>
          <w:lang w:val="zh-CN"/>
        </w:rPr>
        <w:t>请各采购人及供应商监督！</w:t>
      </w:r>
    </w:p>
    <w:p>
      <w:pPr>
        <w:pStyle w:val="2"/>
        <w:spacing w:line="360" w:lineRule="auto"/>
        <w:rPr>
          <w:rFonts w:ascii="仿宋" w:hAnsi="仿宋" w:eastAsia="仿宋" w:cs="仿宋"/>
        </w:rPr>
      </w:pPr>
    </w:p>
    <w:p>
      <w:pPr>
        <w:pStyle w:val="2"/>
        <w:spacing w:line="360" w:lineRule="auto"/>
        <w:rPr>
          <w:rFonts w:ascii="仿宋" w:hAnsi="仿宋" w:eastAsia="仿宋" w:cs="仿宋"/>
        </w:rPr>
      </w:pPr>
    </w:p>
    <w:p>
      <w:pPr>
        <w:spacing w:line="360" w:lineRule="auto"/>
        <w:jc w:val="right"/>
        <w:rPr>
          <w:rFonts w:ascii="仿宋" w:hAnsi="仿宋" w:eastAsia="仿宋" w:cs="仿宋"/>
        </w:rPr>
        <w:sectPr>
          <w:headerReference r:id="rId5" w:type="first"/>
          <w:headerReference r:id="rId3" w:type="default"/>
          <w:headerReference r:id="rId4" w:type="even"/>
          <w:footerReference r:id="rId6" w:type="even"/>
          <w:pgSz w:w="11850" w:h="16783"/>
          <w:pgMar w:top="1440" w:right="1304" w:bottom="1440" w:left="1417" w:header="851" w:footer="992" w:gutter="0"/>
          <w:pgNumType w:start="1"/>
          <w:cols w:space="0" w:num="1"/>
          <w:docGrid w:type="lines" w:linePitch="312" w:charSpace="0"/>
        </w:sectPr>
      </w:pPr>
      <w:r>
        <w:rPr>
          <w:rFonts w:hint="eastAsia" w:ascii="仿宋" w:hAnsi="仿宋" w:eastAsia="仿宋" w:cs="仿宋"/>
          <w:sz w:val="24"/>
          <w:szCs w:val="32"/>
          <w:lang w:val="zh-CN"/>
        </w:rPr>
        <w:t>招标代理机构：四川凯亿工程管理咨询有限公司</w:t>
      </w:r>
    </w:p>
    <w:p>
      <w:pPr>
        <w:spacing w:line="360" w:lineRule="auto"/>
        <w:jc w:val="center"/>
        <w:rPr>
          <w:rFonts w:ascii="仿宋" w:hAnsi="仿宋" w:eastAsia="仿宋" w:cs="仿宋"/>
          <w:sz w:val="44"/>
          <w:szCs w:val="44"/>
        </w:rPr>
      </w:pPr>
      <w:bookmarkStart w:id="6" w:name="_Toc9019_WPSOffice_Type2"/>
      <w:r>
        <w:rPr>
          <w:rFonts w:hint="eastAsia" w:ascii="仿宋" w:hAnsi="仿宋" w:eastAsia="仿宋" w:cs="仿宋"/>
          <w:sz w:val="44"/>
          <w:szCs w:val="44"/>
        </w:rPr>
        <w:t>目 录</w:t>
      </w:r>
    </w:p>
    <w:bookmarkEnd w:id="6"/>
    <w:p>
      <w:pPr>
        <w:pStyle w:val="16"/>
        <w:tabs>
          <w:tab w:val="right" w:leader="dot" w:pos="9129"/>
        </w:tabs>
        <w:spacing w:line="360" w:lineRule="auto"/>
        <w:rPr>
          <w:rFonts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TOC \o "1-1" \h \u </w:instrText>
      </w:r>
      <w:r>
        <w:rPr>
          <w:rFonts w:hint="eastAsia" w:ascii="仿宋" w:hAnsi="仿宋" w:eastAsia="仿宋" w:cs="仿宋"/>
          <w:sz w:val="24"/>
          <w:szCs w:val="32"/>
        </w:rPr>
        <w:fldChar w:fldCharType="separate"/>
      </w:r>
      <w:r>
        <w:fldChar w:fldCharType="begin"/>
      </w:r>
      <w:r>
        <w:instrText xml:space="preserve"> HYPERLINK \l "_Toc11976" </w:instrText>
      </w:r>
      <w:r>
        <w:fldChar w:fldCharType="separate"/>
      </w:r>
      <w:r>
        <w:rPr>
          <w:rFonts w:hint="eastAsia" w:ascii="仿宋" w:hAnsi="仿宋" w:eastAsia="仿宋" w:cs="仿宋"/>
          <w:sz w:val="24"/>
          <w:szCs w:val="32"/>
        </w:rPr>
        <w:t>第一章  磋商邀请</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_Toc11976 </w:instrText>
      </w:r>
      <w:r>
        <w:rPr>
          <w:rFonts w:hint="eastAsia" w:ascii="仿宋" w:hAnsi="仿宋" w:eastAsia="仿宋" w:cs="仿宋"/>
          <w:sz w:val="24"/>
          <w:szCs w:val="32"/>
        </w:rPr>
        <w:fldChar w:fldCharType="separate"/>
      </w:r>
      <w:r>
        <w:rPr>
          <w:rFonts w:hint="eastAsia" w:ascii="仿宋" w:hAnsi="仿宋" w:eastAsia="仿宋" w:cs="仿宋"/>
          <w:sz w:val="24"/>
          <w:szCs w:val="32"/>
        </w:rPr>
        <w:t>- 2 -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"_Toc16992" </w:instrText>
      </w:r>
      <w:r>
        <w:fldChar w:fldCharType="separate"/>
      </w:r>
      <w:r>
        <w:rPr>
          <w:rFonts w:hint="eastAsia" w:ascii="仿宋" w:hAnsi="仿宋" w:eastAsia="仿宋" w:cs="仿宋"/>
          <w:sz w:val="24"/>
          <w:szCs w:val="32"/>
        </w:rPr>
        <w:t>第二章  磋商须知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_Toc16992 </w:instrText>
      </w:r>
      <w:r>
        <w:rPr>
          <w:rFonts w:hint="eastAsia" w:ascii="仿宋" w:hAnsi="仿宋" w:eastAsia="仿宋" w:cs="仿宋"/>
          <w:sz w:val="24"/>
          <w:szCs w:val="32"/>
        </w:rPr>
        <w:fldChar w:fldCharType="separate"/>
      </w:r>
      <w:r>
        <w:rPr>
          <w:rFonts w:hint="eastAsia" w:ascii="仿宋" w:hAnsi="仿宋" w:eastAsia="仿宋" w:cs="仿宋"/>
          <w:sz w:val="24"/>
          <w:szCs w:val="32"/>
        </w:rPr>
        <w:t>- 5 -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"_Toc3274" </w:instrText>
      </w:r>
      <w:r>
        <w:fldChar w:fldCharType="separate"/>
      </w:r>
      <w:r>
        <w:rPr>
          <w:rFonts w:hint="eastAsia" w:ascii="仿宋" w:hAnsi="仿宋" w:eastAsia="仿宋" w:cs="仿宋"/>
          <w:sz w:val="24"/>
          <w:szCs w:val="32"/>
        </w:rPr>
        <w:t>第三章  供应商资格条件要求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_Toc3274 </w:instrText>
      </w:r>
      <w:r>
        <w:rPr>
          <w:rFonts w:hint="eastAsia" w:ascii="仿宋" w:hAnsi="仿宋" w:eastAsia="仿宋" w:cs="仿宋"/>
          <w:sz w:val="24"/>
          <w:szCs w:val="32"/>
        </w:rPr>
        <w:fldChar w:fldCharType="separate"/>
      </w:r>
      <w:r>
        <w:rPr>
          <w:rFonts w:hint="eastAsia" w:ascii="仿宋" w:hAnsi="仿宋" w:eastAsia="仿宋" w:cs="仿宋"/>
          <w:sz w:val="24"/>
          <w:szCs w:val="32"/>
        </w:rPr>
        <w:t>- 21 -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"_Toc17387" </w:instrText>
      </w:r>
      <w:r>
        <w:fldChar w:fldCharType="separate"/>
      </w:r>
      <w:r>
        <w:rPr>
          <w:rFonts w:hint="eastAsia" w:ascii="仿宋" w:hAnsi="仿宋" w:eastAsia="仿宋" w:cs="仿宋"/>
          <w:sz w:val="24"/>
          <w:szCs w:val="32"/>
        </w:rPr>
        <w:t>第四章  供应商资格证明材料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_Toc17387 </w:instrText>
      </w:r>
      <w:r>
        <w:rPr>
          <w:rFonts w:hint="eastAsia" w:ascii="仿宋" w:hAnsi="仿宋" w:eastAsia="仿宋" w:cs="仿宋"/>
          <w:sz w:val="24"/>
          <w:szCs w:val="32"/>
        </w:rPr>
        <w:fldChar w:fldCharType="separate"/>
      </w:r>
      <w:r>
        <w:rPr>
          <w:rFonts w:hint="eastAsia" w:ascii="仿宋" w:hAnsi="仿宋" w:eastAsia="仿宋" w:cs="仿宋"/>
          <w:sz w:val="24"/>
          <w:szCs w:val="32"/>
        </w:rPr>
        <w:t>- 23 -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"_Toc10654" </w:instrText>
      </w:r>
      <w:r>
        <w:fldChar w:fldCharType="separate"/>
      </w:r>
      <w:r>
        <w:rPr>
          <w:rFonts w:hint="eastAsia" w:ascii="仿宋" w:hAnsi="仿宋" w:eastAsia="仿宋" w:cs="仿宋"/>
          <w:sz w:val="24"/>
          <w:szCs w:val="32"/>
        </w:rPr>
        <w:t>第五章  采购项目技术、服务、政府采购合同内容条款及其他商务要求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_Toc10654 </w:instrText>
      </w:r>
      <w:r>
        <w:rPr>
          <w:rFonts w:hint="eastAsia" w:ascii="仿宋" w:hAnsi="仿宋" w:eastAsia="仿宋" w:cs="仿宋"/>
          <w:sz w:val="24"/>
          <w:szCs w:val="32"/>
        </w:rPr>
        <w:fldChar w:fldCharType="separate"/>
      </w:r>
      <w:r>
        <w:rPr>
          <w:rFonts w:hint="eastAsia" w:ascii="仿宋" w:hAnsi="仿宋" w:eastAsia="仿宋" w:cs="仿宋"/>
          <w:sz w:val="24"/>
          <w:szCs w:val="32"/>
        </w:rPr>
        <w:t>- 25 -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"_Toc11441" </w:instrText>
      </w:r>
      <w:r>
        <w:fldChar w:fldCharType="separate"/>
      </w:r>
      <w:r>
        <w:rPr>
          <w:rFonts w:hint="eastAsia" w:ascii="仿宋" w:hAnsi="仿宋" w:eastAsia="仿宋" w:cs="仿宋"/>
          <w:sz w:val="24"/>
          <w:szCs w:val="32"/>
        </w:rPr>
        <w:t>第六章 磋商内容、磋商过程中可实质性变动的内容</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_Toc11441 </w:instrText>
      </w:r>
      <w:r>
        <w:rPr>
          <w:rFonts w:hint="eastAsia" w:ascii="仿宋" w:hAnsi="仿宋" w:eastAsia="仿宋" w:cs="仿宋"/>
          <w:sz w:val="24"/>
          <w:szCs w:val="32"/>
        </w:rPr>
        <w:fldChar w:fldCharType="separate"/>
      </w:r>
      <w:r>
        <w:rPr>
          <w:rFonts w:hint="eastAsia" w:ascii="仿宋" w:hAnsi="仿宋" w:eastAsia="仿宋" w:cs="仿宋"/>
          <w:sz w:val="24"/>
          <w:szCs w:val="32"/>
        </w:rPr>
        <w:t>- 27 -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"_Toc18082" </w:instrText>
      </w:r>
      <w:r>
        <w:fldChar w:fldCharType="separate"/>
      </w:r>
      <w:r>
        <w:rPr>
          <w:rFonts w:hint="eastAsia" w:ascii="仿宋" w:hAnsi="仿宋" w:eastAsia="仿宋" w:cs="仿宋"/>
          <w:sz w:val="24"/>
          <w:szCs w:val="32"/>
        </w:rPr>
        <w:t>第七章 响应文件格式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_Toc18082 </w:instrText>
      </w:r>
      <w:r>
        <w:rPr>
          <w:rFonts w:hint="eastAsia" w:ascii="仿宋" w:hAnsi="仿宋" w:eastAsia="仿宋" w:cs="仿宋"/>
          <w:sz w:val="24"/>
          <w:szCs w:val="32"/>
        </w:rPr>
        <w:fldChar w:fldCharType="separate"/>
      </w:r>
      <w:r>
        <w:rPr>
          <w:rFonts w:hint="eastAsia" w:ascii="仿宋" w:hAnsi="仿宋" w:eastAsia="仿宋" w:cs="仿宋"/>
          <w:sz w:val="24"/>
          <w:szCs w:val="32"/>
        </w:rPr>
        <w:t>- 28 -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"_Toc4157" </w:instrText>
      </w:r>
      <w:r>
        <w:fldChar w:fldCharType="separate"/>
      </w:r>
      <w:r>
        <w:rPr>
          <w:rFonts w:hint="eastAsia" w:ascii="仿宋" w:hAnsi="仿宋" w:eastAsia="仿宋" w:cs="仿宋"/>
          <w:sz w:val="24"/>
          <w:szCs w:val="32"/>
        </w:rPr>
        <w:t>第八章  评审方法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_Toc4157 </w:instrText>
      </w:r>
      <w:r>
        <w:rPr>
          <w:rFonts w:hint="eastAsia" w:ascii="仿宋" w:hAnsi="仿宋" w:eastAsia="仿宋" w:cs="仿宋"/>
          <w:sz w:val="24"/>
          <w:szCs w:val="32"/>
        </w:rPr>
        <w:fldChar w:fldCharType="separate"/>
      </w:r>
      <w:r>
        <w:rPr>
          <w:rFonts w:hint="eastAsia" w:ascii="仿宋" w:hAnsi="仿宋" w:eastAsia="仿宋" w:cs="仿宋"/>
          <w:sz w:val="24"/>
          <w:szCs w:val="32"/>
        </w:rPr>
        <w:t>- 49 -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16"/>
        <w:tabs>
          <w:tab w:val="right" w:leader="dot" w:pos="9129"/>
        </w:tabs>
        <w:spacing w:line="360" w:lineRule="auto"/>
        <w:rPr>
          <w:rFonts w:ascii="仿宋" w:hAnsi="仿宋" w:eastAsia="仿宋" w:cs="仿宋"/>
          <w:sz w:val="24"/>
          <w:szCs w:val="32"/>
        </w:rPr>
      </w:pPr>
      <w:r>
        <w:fldChar w:fldCharType="begin"/>
      </w:r>
      <w:r>
        <w:instrText xml:space="preserve"> HYPERLINK \l "_Toc10837" </w:instrText>
      </w:r>
      <w:r>
        <w:fldChar w:fldCharType="separate"/>
      </w:r>
      <w:r>
        <w:rPr>
          <w:rFonts w:hint="eastAsia" w:ascii="仿宋" w:hAnsi="仿宋" w:eastAsia="仿宋" w:cs="仿宋"/>
          <w:sz w:val="24"/>
          <w:szCs w:val="32"/>
        </w:rPr>
        <w:t>第九章  政府采购合同（草案）</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_Toc10837 </w:instrText>
      </w:r>
      <w:r>
        <w:rPr>
          <w:rFonts w:hint="eastAsia" w:ascii="仿宋" w:hAnsi="仿宋" w:eastAsia="仿宋" w:cs="仿宋"/>
          <w:sz w:val="24"/>
          <w:szCs w:val="32"/>
        </w:rPr>
        <w:fldChar w:fldCharType="separate"/>
      </w:r>
      <w:r>
        <w:rPr>
          <w:rFonts w:hint="eastAsia" w:ascii="仿宋" w:hAnsi="仿宋" w:eastAsia="仿宋" w:cs="仿宋"/>
          <w:sz w:val="24"/>
          <w:szCs w:val="32"/>
        </w:rPr>
        <w:t>- 59 -</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spacing w:line="360" w:lineRule="auto"/>
        <w:rPr>
          <w:rFonts w:ascii="仿宋" w:hAnsi="仿宋" w:eastAsia="仿宋" w:cs="仿宋"/>
        </w:rPr>
      </w:pPr>
      <w:r>
        <w:rPr>
          <w:rFonts w:hint="eastAsia" w:ascii="仿宋" w:hAnsi="仿宋" w:eastAsia="仿宋" w:cs="仿宋"/>
          <w:sz w:val="24"/>
          <w:szCs w:val="32"/>
        </w:rPr>
        <w:fldChar w:fldCharType="end"/>
      </w:r>
    </w:p>
    <w:p>
      <w:pPr>
        <w:spacing w:line="360" w:lineRule="auto"/>
        <w:rPr>
          <w:rFonts w:ascii="仿宋" w:hAnsi="仿宋" w:eastAsia="仿宋" w:cs="仿宋"/>
        </w:rPr>
      </w:pPr>
    </w:p>
    <w:p>
      <w:pPr>
        <w:spacing w:line="360" w:lineRule="auto"/>
        <w:rPr>
          <w:rFonts w:ascii="仿宋" w:hAnsi="仿宋" w:eastAsia="仿宋" w:cs="仿宋"/>
        </w:rPr>
      </w:pPr>
    </w:p>
    <w:p>
      <w:pPr>
        <w:pStyle w:val="4"/>
        <w:spacing w:line="360" w:lineRule="auto"/>
        <w:jc w:val="center"/>
        <w:rPr>
          <w:rFonts w:ascii="仿宋" w:hAnsi="仿宋" w:eastAsia="仿宋" w:cs="仿宋"/>
        </w:rPr>
      </w:pPr>
      <w:bookmarkStart w:id="7" w:name="_Toc25399_WPSOffice_Level1"/>
    </w:p>
    <w:p>
      <w:pPr>
        <w:rPr>
          <w:rFonts w:ascii="仿宋" w:hAnsi="仿宋" w:eastAsia="仿宋" w:cs="仿宋"/>
        </w:rPr>
      </w:pPr>
    </w:p>
    <w:p>
      <w:pPr>
        <w:rPr>
          <w:rFonts w:ascii="仿宋" w:hAnsi="仿宋" w:eastAsia="仿宋" w:cs="仿宋"/>
        </w:rPr>
      </w:pPr>
    </w:p>
    <w:p>
      <w:pPr>
        <w:tabs>
          <w:tab w:val="left" w:pos="3166"/>
        </w:tabs>
        <w:jc w:val="left"/>
        <w:rPr>
          <w:rFonts w:ascii="仿宋" w:hAnsi="仿宋" w:eastAsia="仿宋" w:cs="仿宋"/>
        </w:rPr>
        <w:sectPr>
          <w:headerReference r:id="rId7" w:type="default"/>
          <w:footerReference r:id="rId8" w:type="default"/>
          <w:pgSz w:w="11850" w:h="16783"/>
          <w:pgMar w:top="1440" w:right="1304" w:bottom="1440" w:left="1417" w:header="850" w:footer="850" w:gutter="0"/>
          <w:pgNumType w:fmt="numberInDash" w:start="1"/>
          <w:cols w:space="0" w:num="1"/>
          <w:docGrid w:type="lines" w:linePitch="312" w:charSpace="0"/>
        </w:sectPr>
      </w:pPr>
      <w:r>
        <w:rPr>
          <w:rFonts w:hint="eastAsia" w:ascii="仿宋" w:hAnsi="仿宋" w:eastAsia="仿宋" w:cs="仿宋"/>
        </w:rPr>
        <w:tab/>
      </w:r>
    </w:p>
    <w:p>
      <w:pPr>
        <w:pStyle w:val="4"/>
        <w:spacing w:before="0" w:after="0" w:line="360" w:lineRule="auto"/>
        <w:jc w:val="center"/>
        <w:rPr>
          <w:rFonts w:ascii="仿宋" w:hAnsi="仿宋" w:eastAsia="仿宋" w:cs="仿宋"/>
        </w:rPr>
      </w:pPr>
      <w:bookmarkStart w:id="8" w:name="_Toc7773_WPSOffice_Level1"/>
      <w:bookmarkStart w:id="9" w:name="_Toc11976"/>
      <w:r>
        <w:rPr>
          <w:rFonts w:hint="eastAsia" w:ascii="仿宋" w:hAnsi="仿宋" w:eastAsia="仿宋" w:cs="仿宋"/>
        </w:rPr>
        <w:t>第一章  磋商邀请</w:t>
      </w:r>
      <w:bookmarkEnd w:id="7"/>
      <w:bookmarkEnd w:id="8"/>
      <w:bookmarkEnd w:id="9"/>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四川凯亿工程管理咨询有限公司（采购代理机构）受</w:t>
      </w:r>
      <w:r>
        <w:rPr>
          <w:rFonts w:hint="eastAsia" w:ascii="仿宋" w:hAnsi="仿宋" w:eastAsia="仿宋" w:cs="仿宋"/>
          <w:sz w:val="24"/>
          <w:lang w:eastAsia="zh-CN"/>
        </w:rPr>
        <w:t>成都市金牛区人民政府荷花池街道办事处</w:t>
      </w:r>
      <w:r>
        <w:rPr>
          <w:rFonts w:hint="eastAsia" w:ascii="仿宋" w:hAnsi="仿宋" w:eastAsia="仿宋" w:cs="仿宋"/>
          <w:sz w:val="24"/>
        </w:rPr>
        <w:t>（采购人）委托，拟对</w:t>
      </w:r>
      <w:r>
        <w:rPr>
          <w:rFonts w:hint="eastAsia" w:ascii="仿宋" w:hAnsi="仿宋" w:eastAsia="仿宋" w:cs="仿宋"/>
          <w:sz w:val="24"/>
          <w:lang w:eastAsia="zh-CN"/>
        </w:rPr>
        <w:t>2021年荷花池商圈综治服务项</w:t>
      </w:r>
      <w:r>
        <w:rPr>
          <w:rFonts w:hint="eastAsia" w:ascii="仿宋" w:hAnsi="仿宋" w:eastAsia="仿宋" w:cs="仿宋"/>
          <w:sz w:val="24"/>
        </w:rPr>
        <w:t>目采用竞争性磋商方式进行采购，特邀请符合本次采购要求的供应商参加本项目的竞争性磋商。</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一、采购项目基本情况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1.项目编号：510106202100064</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2.采购项目名称：</w:t>
      </w:r>
      <w:r>
        <w:rPr>
          <w:rFonts w:hint="eastAsia" w:ascii="仿宋" w:hAnsi="仿宋" w:eastAsia="仿宋" w:cs="仿宋"/>
          <w:sz w:val="24"/>
          <w:lang w:eastAsia="zh-CN"/>
        </w:rPr>
        <w:t>2021年荷花池商圈综治服务项</w:t>
      </w:r>
      <w:r>
        <w:rPr>
          <w:rFonts w:hint="eastAsia" w:ascii="仿宋" w:hAnsi="仿宋" w:eastAsia="仿宋" w:cs="仿宋"/>
          <w:sz w:val="24"/>
        </w:rPr>
        <w:t>目</w:t>
      </w:r>
    </w:p>
    <w:p>
      <w:pPr>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3.采购人：</w:t>
      </w:r>
      <w:r>
        <w:rPr>
          <w:rFonts w:hint="eastAsia" w:ascii="仿宋" w:hAnsi="仿宋" w:eastAsia="仿宋" w:cs="仿宋"/>
          <w:sz w:val="24"/>
          <w:lang w:eastAsia="zh-CN"/>
        </w:rPr>
        <w:t>成都市金牛区人民政府荷花池街道办事处</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4.采购代理机构：四川凯亿工程管理咨询有限公司</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二、资金情况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1.资金来源：财政性资金；比例100%；已落实。</w:t>
      </w:r>
    </w:p>
    <w:p>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4"/>
          <w:sz w:val="24"/>
          <w:highlight w:val="none"/>
        </w:rPr>
        <w:t>采购预算：人民币</w:t>
      </w:r>
      <w:r>
        <w:rPr>
          <w:rFonts w:hint="eastAsia" w:ascii="仿宋" w:hAnsi="仿宋" w:eastAsia="仿宋" w:cs="仿宋"/>
          <w:color w:val="auto"/>
          <w:spacing w:val="-4"/>
          <w:sz w:val="24"/>
          <w:highlight w:val="none"/>
          <w:lang w:val="en-US" w:eastAsia="zh-CN"/>
        </w:rPr>
        <w:t>110万</w:t>
      </w:r>
      <w:r>
        <w:rPr>
          <w:rFonts w:hint="eastAsia" w:ascii="仿宋" w:hAnsi="仿宋" w:eastAsia="仿宋" w:cs="仿宋"/>
          <w:color w:val="auto"/>
          <w:spacing w:val="-4"/>
          <w:sz w:val="24"/>
          <w:highlight w:val="none"/>
        </w:rPr>
        <w:t>元</w:t>
      </w:r>
      <w:r>
        <w:rPr>
          <w:rFonts w:hint="eastAsia" w:ascii="仿宋" w:hAnsi="仿宋" w:eastAsia="仿宋" w:cs="仿宋"/>
          <w:bCs/>
          <w:color w:val="auto"/>
          <w:sz w:val="24"/>
          <w:highlight w:val="none"/>
        </w:rPr>
        <w:t>。</w:t>
      </w:r>
    </w:p>
    <w:p>
      <w:pPr>
        <w:spacing w:line="360" w:lineRule="auto"/>
        <w:ind w:firstLine="482" w:firstLineChars="200"/>
        <w:jc w:val="left"/>
        <w:rPr>
          <w:rFonts w:ascii="仿宋" w:hAnsi="仿宋" w:eastAsia="仿宋" w:cs="仿宋"/>
          <w:sz w:val="24"/>
        </w:rPr>
      </w:pPr>
      <w:r>
        <w:rPr>
          <w:rFonts w:hint="eastAsia" w:ascii="仿宋" w:hAnsi="仿宋" w:eastAsia="仿宋" w:cs="仿宋"/>
          <w:b/>
          <w:sz w:val="24"/>
        </w:rPr>
        <w:t>三、采购项目简介：</w:t>
      </w:r>
      <w:bookmarkStart w:id="10" w:name="PO_默认文件内容_3"/>
      <w:bookmarkStart w:id="11" w:name="PO_默认文件内容_2"/>
      <w:r>
        <w:rPr>
          <w:rFonts w:hint="eastAsia" w:ascii="仿宋" w:hAnsi="仿宋" w:eastAsia="仿宋" w:cs="仿宋"/>
          <w:sz w:val="24"/>
        </w:rPr>
        <w:t>本项目共1个包，详见磋商文件第五章。</w:t>
      </w:r>
    </w:p>
    <w:p>
      <w:pPr>
        <w:pStyle w:val="2"/>
        <w:ind w:firstLine="480" w:firstLineChars="200"/>
        <w:rPr>
          <w:rFonts w:ascii="仿宋" w:hAnsi="仿宋" w:eastAsia="仿宋" w:cs="仿宋"/>
          <w:sz w:val="24"/>
          <w:szCs w:val="24"/>
        </w:rPr>
      </w:pPr>
      <w:r>
        <w:rPr>
          <w:rFonts w:hint="eastAsia" w:ascii="仿宋" w:hAnsi="仿宋" w:eastAsia="仿宋" w:cs="仿宋"/>
          <w:sz w:val="24"/>
          <w:szCs w:val="24"/>
          <w:lang w:eastAsia="zh-CN"/>
        </w:rPr>
        <w:t>2021年荷花池商圈综治服务项</w:t>
      </w:r>
      <w:r>
        <w:rPr>
          <w:rFonts w:hint="eastAsia" w:ascii="仿宋" w:hAnsi="仿宋" w:eastAsia="仿宋" w:cs="仿宋"/>
          <w:sz w:val="24"/>
          <w:szCs w:val="24"/>
        </w:rPr>
        <w:t>目。</w:t>
      </w:r>
    </w:p>
    <w:bookmarkEnd w:id="10"/>
    <w:bookmarkEnd w:id="11"/>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四、供应商邀请方式</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公告方式：本次竞争性磋商邀请在四川政府采购网（</w:t>
      </w:r>
      <w:r>
        <w:fldChar w:fldCharType="begin"/>
      </w:r>
      <w:r>
        <w:instrText xml:space="preserve"> HYPERLINK "http://www.ccgp-sichuan.gov.cn/" </w:instrText>
      </w:r>
      <w:r>
        <w:fldChar w:fldCharType="separate"/>
      </w:r>
      <w:r>
        <w:rPr>
          <w:rStyle w:val="24"/>
          <w:rFonts w:hint="eastAsia" w:ascii="仿宋" w:hAnsi="仿宋" w:eastAsia="仿宋" w:cs="仿宋"/>
          <w:color w:val="auto"/>
          <w:sz w:val="24"/>
        </w:rPr>
        <w:t>http://www.ccgp-sichuan.gov.cn</w:t>
      </w:r>
      <w:r>
        <w:rPr>
          <w:rStyle w:val="24"/>
          <w:rFonts w:hint="eastAsia" w:ascii="仿宋" w:hAnsi="仿宋" w:eastAsia="仿宋" w:cs="仿宋"/>
          <w:color w:val="auto"/>
          <w:sz w:val="24"/>
        </w:rPr>
        <w:fldChar w:fldCharType="end"/>
      </w:r>
      <w:r>
        <w:rPr>
          <w:rFonts w:hint="eastAsia" w:ascii="仿宋" w:hAnsi="仿宋" w:eastAsia="仿宋" w:cs="仿宋"/>
          <w:sz w:val="24"/>
        </w:rPr>
        <w:t>）上以公告形式发布。本项目采购公告期限为采购公告发布之日起3个工作日。</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五、供应商参加本次政府采购活动应具备下列条件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2.具有良好的商业信誉和健全的财务会计制度；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7.1供应商及其现任法定代表人（非法人机构则为主要负责人）不得具有行贿犯罪记录；</w:t>
      </w:r>
    </w:p>
    <w:p>
      <w:pPr>
        <w:pStyle w:val="2"/>
        <w:ind w:firstLine="480" w:firstLineChars="200"/>
        <w:rPr>
          <w:rFonts w:ascii="仿宋" w:hAnsi="仿宋" w:eastAsia="仿宋" w:cs="仿宋"/>
        </w:rPr>
      </w:pPr>
      <w:r>
        <w:rPr>
          <w:rFonts w:hint="eastAsia" w:ascii="仿宋" w:hAnsi="仿宋" w:eastAsia="仿宋" w:cs="仿宋"/>
          <w:sz w:val="24"/>
        </w:rPr>
        <w:t>7.2本项目为专门面向中小企业采购；</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7.3本次磋商不接受联合体响应。</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六、禁止参加本次采购活动的供应商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七、磋商文件获取方式、时间、地点：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磋商文件发售时间：2021年</w:t>
      </w:r>
      <w:r>
        <w:rPr>
          <w:rFonts w:hint="eastAsia" w:ascii="仿宋" w:hAnsi="仿宋" w:eastAsia="仿宋" w:cs="仿宋"/>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08</w:t>
      </w:r>
      <w:r>
        <w:rPr>
          <w:rFonts w:hint="eastAsia" w:ascii="仿宋" w:hAnsi="仿宋" w:eastAsia="仿宋" w:cs="仿宋"/>
          <w:sz w:val="24"/>
        </w:rPr>
        <w:t>日至 2021年</w:t>
      </w:r>
      <w:r>
        <w:rPr>
          <w:rFonts w:hint="eastAsia" w:ascii="仿宋" w:hAnsi="仿宋" w:eastAsia="仿宋" w:cs="仿宋"/>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日（北京时间，9:00-17:00，法定节假日除外）。供应商应在规定的时间内到四川凯亿工程管理咨询有限公司 （成都市高新区天府三街19号新希望国际A座20楼2003号）购买本竞争性磋商文件，并登记备案，如在规定时间内未购买竞争性磋商文件并登记备案的供应商均无资格参加该项目的竞争性磋商。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方式：现场获取或通过邮件方式获取。①供应商在现场购买竞争性磋商文件时须携带下列有效证明文件：供应商为法人或者其他组织的，提供单位介绍信原件、经办人身份证复印件；供应商为自然人的，只需提供本人身份证复印件以及证明是法人的资料。②通过邮件方式报名时，请将加盖公章的单位介绍信（介绍信须注明项目名称、项目编号、联系人、联系电话、邮箱）、加盖公章的经办人身份证复印件、报名登记表（详见附件）传至采购代理机构邮箱：</w:t>
      </w:r>
      <w:r>
        <w:fldChar w:fldCharType="begin"/>
      </w:r>
      <w:r>
        <w:instrText xml:space="preserve"> HYPERLINK "mailto:1191745350@qq.com。" </w:instrText>
      </w:r>
      <w:r>
        <w:fldChar w:fldCharType="separate"/>
      </w:r>
      <w:r>
        <w:rPr>
          <w:rFonts w:hint="eastAsia" w:ascii="仿宋" w:hAnsi="仿宋" w:eastAsia="仿宋" w:cs="仿宋"/>
          <w:sz w:val="24"/>
          <w:lang w:val="en-US" w:eastAsia="zh-CN"/>
        </w:rPr>
        <w:t>1685536422</w:t>
      </w:r>
      <w:r>
        <w:rPr>
          <w:rFonts w:hint="eastAsia" w:ascii="仿宋" w:hAnsi="仿宋" w:eastAsia="仿宋" w:cs="仿宋"/>
          <w:sz w:val="24"/>
        </w:rPr>
        <w:t>@qq.com。</w:t>
      </w:r>
      <w:r>
        <w:rPr>
          <w:rFonts w:hint="eastAsia" w:ascii="仿宋" w:hAnsi="仿宋" w:eastAsia="仿宋" w:cs="仿宋"/>
          <w:sz w:val="24"/>
        </w:rPr>
        <w:fldChar w:fldCharType="end"/>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注：供应商通过邮件方式获取磋商文件时，请先自行下载公告附件中的报名登记表；报名登记表原件、介绍信原件、经办人身份证复印件加盖单位公章请于开标当日交至四川凯亿工程管理咨询有限公司磋商文件发售办理处。</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磋商文件售价：人民币0元/份（磋商文件售后不退, 磋商资格不能转让）。</w:t>
      </w:r>
    </w:p>
    <w:p>
      <w:pPr>
        <w:spacing w:line="360" w:lineRule="auto"/>
        <w:ind w:firstLine="482" w:firstLineChars="200"/>
        <w:jc w:val="left"/>
        <w:rPr>
          <w:rFonts w:ascii="仿宋" w:hAnsi="仿宋" w:eastAsia="仿宋" w:cs="仿宋"/>
          <w:sz w:val="24"/>
        </w:rPr>
      </w:pPr>
      <w:r>
        <w:rPr>
          <w:rFonts w:hint="eastAsia" w:ascii="仿宋" w:hAnsi="仿宋" w:eastAsia="仿宋" w:cs="仿宋"/>
          <w:b/>
          <w:sz w:val="24"/>
        </w:rPr>
        <w:t>八、递交响应文件截止时间</w:t>
      </w:r>
      <w:r>
        <w:rPr>
          <w:rFonts w:hint="eastAsia" w:ascii="仿宋" w:hAnsi="仿宋" w:eastAsia="仿宋" w:cs="仿宋"/>
          <w:sz w:val="24"/>
        </w:rPr>
        <w:t>：2021年</w:t>
      </w:r>
      <w:r>
        <w:rPr>
          <w:rFonts w:hint="eastAsia" w:ascii="仿宋" w:hAnsi="仿宋" w:eastAsia="仿宋" w:cs="仿宋"/>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日10:30(北京时间)。</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九、递交响应文件地点：</w:t>
      </w:r>
      <w:r>
        <w:rPr>
          <w:rFonts w:hint="eastAsia" w:ascii="仿宋" w:hAnsi="仿宋" w:eastAsia="仿宋" w:cs="仿宋"/>
          <w:bCs/>
          <w:sz w:val="24"/>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ascii="仿宋" w:hAnsi="仿宋" w:eastAsia="仿宋" w:cs="仿宋"/>
          <w:sz w:val="24"/>
        </w:rPr>
      </w:pPr>
      <w:r>
        <w:rPr>
          <w:rFonts w:hint="eastAsia" w:ascii="仿宋" w:hAnsi="仿宋" w:eastAsia="仿宋" w:cs="仿宋"/>
          <w:b/>
          <w:sz w:val="24"/>
        </w:rPr>
        <w:t>十、响应文件开启时间：</w:t>
      </w:r>
      <w:r>
        <w:rPr>
          <w:rFonts w:hint="eastAsia" w:ascii="仿宋" w:hAnsi="仿宋" w:eastAsia="仿宋" w:cs="仿宋"/>
          <w:sz w:val="24"/>
        </w:rPr>
        <w:t>2021年</w:t>
      </w:r>
      <w:r>
        <w:rPr>
          <w:rFonts w:hint="eastAsia" w:ascii="仿宋" w:hAnsi="仿宋" w:eastAsia="仿宋" w:cs="仿宋"/>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日10:30</w:t>
      </w:r>
      <w:r>
        <w:rPr>
          <w:rFonts w:hint="eastAsia" w:ascii="仿宋" w:hAnsi="仿宋" w:eastAsia="仿宋" w:cs="仿宋"/>
          <w:bCs/>
          <w:sz w:val="24"/>
        </w:rPr>
        <w:t>（北京时间）在磋商地点开启。</w:t>
      </w:r>
    </w:p>
    <w:p>
      <w:pPr>
        <w:spacing w:line="360" w:lineRule="auto"/>
        <w:ind w:firstLine="482" w:firstLineChars="200"/>
        <w:jc w:val="left"/>
        <w:rPr>
          <w:rFonts w:ascii="仿宋" w:hAnsi="仿宋" w:eastAsia="仿宋" w:cs="仿宋"/>
          <w:sz w:val="24"/>
        </w:rPr>
      </w:pPr>
      <w:r>
        <w:rPr>
          <w:rFonts w:hint="eastAsia" w:ascii="仿宋" w:hAnsi="仿宋" w:eastAsia="仿宋" w:cs="仿宋"/>
          <w:b/>
          <w:sz w:val="24"/>
        </w:rPr>
        <w:t>十一、磋商地点：四川凯亿工程管理咨询有限公司开标厅（成都市高新区天府三街19号新希望国际A座20楼2003号）</w:t>
      </w:r>
      <w:r>
        <w:rPr>
          <w:rFonts w:hint="eastAsia" w:ascii="仿宋" w:hAnsi="仿宋" w:eastAsia="仿宋" w:cs="仿宋"/>
          <w:sz w:val="24"/>
        </w:rPr>
        <w:t>。</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十二、供应商信用融资：</w:t>
      </w:r>
    </w:p>
    <w:p>
      <w:pPr>
        <w:spacing w:line="360" w:lineRule="auto"/>
        <w:ind w:firstLine="720" w:firstLineChars="300"/>
        <w:jc w:val="left"/>
        <w:rPr>
          <w:rFonts w:ascii="仿宋" w:hAnsi="仿宋" w:eastAsia="仿宋" w:cs="仿宋"/>
          <w:bCs/>
          <w:sz w:val="24"/>
        </w:rPr>
      </w:pPr>
      <w:r>
        <w:rPr>
          <w:rFonts w:hint="eastAsia" w:ascii="仿宋" w:hAnsi="仿宋" w:eastAsia="仿宋" w:cs="仿宋"/>
          <w:bCs/>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十三、联系方式</w:t>
      </w:r>
    </w:p>
    <w:p>
      <w:pPr>
        <w:spacing w:line="360" w:lineRule="auto"/>
        <w:ind w:firstLine="482" w:firstLineChars="200"/>
        <w:jc w:val="left"/>
        <w:rPr>
          <w:rFonts w:hint="eastAsia" w:ascii="仿宋" w:hAnsi="仿宋" w:eastAsia="仿宋" w:cs="仿宋"/>
          <w:b/>
          <w:bCs/>
          <w:sz w:val="24"/>
          <w:lang w:eastAsia="zh-CN"/>
        </w:rPr>
      </w:pPr>
      <w:r>
        <w:rPr>
          <w:rFonts w:hint="eastAsia" w:ascii="仿宋" w:hAnsi="仿宋" w:eastAsia="仿宋" w:cs="仿宋"/>
          <w:b/>
          <w:bCs/>
          <w:sz w:val="24"/>
        </w:rPr>
        <w:t>采 购 人：</w:t>
      </w:r>
      <w:r>
        <w:rPr>
          <w:rFonts w:hint="eastAsia" w:ascii="仿宋" w:hAnsi="仿宋" w:eastAsia="仿宋" w:cs="仿宋"/>
          <w:b/>
          <w:bCs/>
          <w:sz w:val="24"/>
          <w:lang w:eastAsia="zh-CN"/>
        </w:rPr>
        <w:t>成都市金牛区人民政府荷花池街道办事处</w:t>
      </w:r>
    </w:p>
    <w:p>
      <w:pPr>
        <w:pStyle w:val="33"/>
        <w:ind w:firstLine="480"/>
        <w:jc w:val="left"/>
        <w:rPr>
          <w:rFonts w:ascii="仿宋" w:hAnsi="仿宋" w:eastAsia="仿宋" w:cs="仿宋"/>
          <w:bCs/>
          <w:sz w:val="24"/>
        </w:rPr>
      </w:pPr>
      <w:r>
        <w:rPr>
          <w:rFonts w:hint="eastAsia" w:ascii="仿宋" w:hAnsi="仿宋" w:eastAsia="仿宋" w:cs="仿宋"/>
          <w:bCs/>
          <w:sz w:val="24"/>
        </w:rPr>
        <w:t>通讯地址：成都市金牛区北站东一路</w:t>
      </w:r>
      <w:r>
        <w:rPr>
          <w:rFonts w:hint="eastAsia" w:ascii="仿宋" w:hAnsi="仿宋" w:eastAsia="仿宋" w:cs="仿宋"/>
          <w:bCs/>
          <w:sz w:val="24"/>
          <w:lang w:val="en-US" w:eastAsia="zh-CN"/>
        </w:rPr>
        <w:t>37</w:t>
      </w:r>
      <w:r>
        <w:rPr>
          <w:rFonts w:hint="eastAsia" w:ascii="仿宋" w:hAnsi="仿宋" w:eastAsia="仿宋" w:cs="仿宋"/>
          <w:bCs/>
          <w:sz w:val="24"/>
        </w:rPr>
        <w:t>号</w:t>
      </w:r>
    </w:p>
    <w:p>
      <w:pPr>
        <w:pStyle w:val="33"/>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联系人：</w:t>
      </w:r>
      <w:r>
        <w:rPr>
          <w:rFonts w:hint="eastAsia" w:ascii="仿宋" w:hAnsi="仿宋" w:eastAsia="仿宋" w:cs="仿宋"/>
          <w:bCs/>
          <w:color w:val="auto"/>
          <w:sz w:val="24"/>
          <w:highlight w:val="none"/>
          <w:lang w:val="en-US" w:eastAsia="zh-CN"/>
        </w:rPr>
        <w:t>郑老师</w:t>
      </w:r>
    </w:p>
    <w:p>
      <w:pPr>
        <w:pStyle w:val="33"/>
        <w:ind w:firstLine="48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联系电话：028</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69061588</w:t>
      </w:r>
    </w:p>
    <w:p>
      <w:pPr>
        <w:pStyle w:val="33"/>
        <w:ind w:firstLine="482"/>
        <w:jc w:val="left"/>
        <w:rPr>
          <w:rFonts w:ascii="仿宋" w:hAnsi="仿宋" w:eastAsia="仿宋" w:cs="仿宋"/>
          <w:b/>
          <w:sz w:val="24"/>
        </w:rPr>
      </w:pPr>
      <w:r>
        <w:rPr>
          <w:rFonts w:hint="eastAsia" w:ascii="仿宋" w:hAnsi="仿宋" w:eastAsia="仿宋" w:cs="仿宋"/>
          <w:b/>
          <w:color w:val="auto"/>
          <w:sz w:val="24"/>
          <w:highlight w:val="none"/>
        </w:rPr>
        <w:t>采购代理机构：四川凯亿工程管理咨</w:t>
      </w:r>
      <w:r>
        <w:rPr>
          <w:rFonts w:hint="eastAsia" w:ascii="仿宋" w:hAnsi="仿宋" w:eastAsia="仿宋" w:cs="仿宋"/>
          <w:b/>
          <w:sz w:val="24"/>
        </w:rPr>
        <w:t xml:space="preserve">询有限公司  </w:t>
      </w:r>
    </w:p>
    <w:p>
      <w:pPr>
        <w:pStyle w:val="33"/>
        <w:ind w:firstLine="480"/>
        <w:jc w:val="left"/>
        <w:rPr>
          <w:rFonts w:ascii="仿宋" w:hAnsi="仿宋" w:eastAsia="仿宋" w:cs="仿宋"/>
          <w:sz w:val="24"/>
        </w:rPr>
      </w:pPr>
      <w:r>
        <w:rPr>
          <w:rFonts w:hint="eastAsia" w:ascii="仿宋" w:hAnsi="仿宋" w:eastAsia="仿宋" w:cs="仿宋"/>
          <w:sz w:val="24"/>
        </w:rPr>
        <w:t xml:space="preserve">通讯地址：成都市高新区天府三街19号新希望国际A座20楼2003号 </w:t>
      </w:r>
    </w:p>
    <w:p>
      <w:pPr>
        <w:pStyle w:val="33"/>
        <w:ind w:firstLine="480"/>
        <w:jc w:val="left"/>
        <w:rPr>
          <w:rFonts w:ascii="仿宋" w:hAnsi="仿宋" w:eastAsia="仿宋" w:cs="仿宋"/>
          <w:sz w:val="24"/>
        </w:rPr>
      </w:pPr>
      <w:r>
        <w:rPr>
          <w:rFonts w:hint="eastAsia" w:ascii="仿宋" w:hAnsi="仿宋" w:eastAsia="仿宋" w:cs="仿宋"/>
          <w:sz w:val="24"/>
        </w:rPr>
        <w:t>邮    编：</w:t>
      </w:r>
      <w:bookmarkStart w:id="12" w:name="PO_代理公司邮编_1"/>
      <w:r>
        <w:rPr>
          <w:rFonts w:hint="eastAsia" w:ascii="仿宋" w:hAnsi="仿宋" w:eastAsia="仿宋" w:cs="仿宋"/>
          <w:sz w:val="24"/>
        </w:rPr>
        <w:t>610000</w:t>
      </w:r>
      <w:bookmarkEnd w:id="12"/>
    </w:p>
    <w:p>
      <w:pPr>
        <w:pStyle w:val="33"/>
        <w:ind w:firstLine="480"/>
        <w:jc w:val="left"/>
        <w:rPr>
          <w:rFonts w:ascii="仿宋" w:hAnsi="仿宋" w:eastAsia="仿宋" w:cs="仿宋"/>
          <w:sz w:val="24"/>
        </w:rPr>
      </w:pPr>
      <w:r>
        <w:rPr>
          <w:rFonts w:hint="eastAsia" w:ascii="仿宋" w:hAnsi="仿宋" w:eastAsia="仿宋" w:cs="仿宋"/>
          <w:sz w:val="24"/>
        </w:rPr>
        <w:t>联 系 人：黄女士</w:t>
      </w:r>
    </w:p>
    <w:p>
      <w:pPr>
        <w:pStyle w:val="33"/>
        <w:ind w:firstLine="480"/>
        <w:jc w:val="left"/>
        <w:rPr>
          <w:rFonts w:ascii="仿宋" w:hAnsi="仿宋" w:eastAsia="仿宋" w:cs="仿宋"/>
          <w:sz w:val="24"/>
        </w:rPr>
      </w:pPr>
      <w:r>
        <w:rPr>
          <w:rFonts w:hint="eastAsia" w:ascii="仿宋" w:hAnsi="仿宋" w:eastAsia="仿宋" w:cs="仿宋"/>
          <w:sz w:val="24"/>
        </w:rPr>
        <w:t>联系电话：028-85179390</w:t>
      </w:r>
    </w:p>
    <w:p>
      <w:pPr>
        <w:pStyle w:val="33"/>
        <w:ind w:firstLine="480"/>
        <w:jc w:val="left"/>
        <w:rPr>
          <w:rFonts w:ascii="仿宋" w:hAnsi="仿宋" w:eastAsia="仿宋" w:cs="仿宋"/>
          <w:sz w:val="24"/>
        </w:rPr>
      </w:pPr>
      <w:r>
        <w:rPr>
          <w:rFonts w:hint="eastAsia" w:ascii="仿宋" w:hAnsi="仿宋" w:eastAsia="仿宋" w:cs="仿宋"/>
          <w:sz w:val="24"/>
        </w:rPr>
        <w:t>传    真：028-85179390</w:t>
      </w:r>
    </w:p>
    <w:p>
      <w:pPr>
        <w:spacing w:line="360" w:lineRule="auto"/>
        <w:jc w:val="right"/>
        <w:rPr>
          <w:rFonts w:ascii="仿宋" w:hAnsi="仿宋" w:eastAsia="仿宋" w:cs="仿宋"/>
        </w:rPr>
      </w:pPr>
      <w:bookmarkStart w:id="13" w:name="_Toc9280_WPSOffice_Level1"/>
      <w:bookmarkStart w:id="14" w:name="_Toc213396945"/>
      <w:bookmarkStart w:id="15" w:name="_Toc1282"/>
      <w:bookmarkStart w:id="16" w:name="_Toc213396759"/>
      <w:bookmarkStart w:id="17" w:name="_Toc8230_WPSOffice_Level1"/>
      <w:bookmarkStart w:id="18" w:name="_Toc217446031"/>
      <w:bookmarkStart w:id="19" w:name="_Toc213496267"/>
      <w:bookmarkStart w:id="20" w:name="_Toc213397009"/>
      <w:r>
        <w:rPr>
          <w:rFonts w:hint="eastAsia" w:ascii="仿宋" w:hAnsi="仿宋" w:eastAsia="仿宋" w:cs="仿宋"/>
        </w:rPr>
        <w:br w:type="page"/>
      </w:r>
    </w:p>
    <w:p>
      <w:pPr>
        <w:pStyle w:val="4"/>
        <w:spacing w:before="0" w:after="0" w:line="360" w:lineRule="auto"/>
        <w:jc w:val="center"/>
        <w:rPr>
          <w:rFonts w:ascii="仿宋" w:hAnsi="仿宋" w:eastAsia="仿宋" w:cs="仿宋"/>
        </w:rPr>
      </w:pPr>
      <w:bookmarkStart w:id="21" w:name="_Toc16992"/>
      <w:r>
        <w:rPr>
          <w:rFonts w:hint="eastAsia" w:ascii="仿宋" w:hAnsi="仿宋" w:eastAsia="仿宋" w:cs="仿宋"/>
        </w:rPr>
        <w:t>第二章  磋商须知</w:t>
      </w:r>
      <w:bookmarkEnd w:id="13"/>
      <w:bookmarkEnd w:id="14"/>
      <w:bookmarkEnd w:id="15"/>
      <w:bookmarkEnd w:id="16"/>
      <w:bookmarkEnd w:id="17"/>
      <w:bookmarkEnd w:id="18"/>
      <w:bookmarkEnd w:id="19"/>
      <w:bookmarkEnd w:id="20"/>
      <w:bookmarkEnd w:id="21"/>
    </w:p>
    <w:p>
      <w:pPr>
        <w:pStyle w:val="5"/>
        <w:spacing w:before="0" w:after="0" w:line="360" w:lineRule="auto"/>
        <w:jc w:val="center"/>
        <w:rPr>
          <w:rFonts w:ascii="仿宋" w:hAnsi="仿宋" w:eastAsia="仿宋" w:cs="仿宋"/>
        </w:rPr>
      </w:pPr>
      <w:bookmarkStart w:id="22" w:name="_Toc6814_WPSOffice_Level2"/>
      <w:r>
        <w:rPr>
          <w:rFonts w:hint="eastAsia" w:ascii="仿宋" w:hAnsi="仿宋" w:eastAsia="仿宋" w:cs="仿宋"/>
        </w:rPr>
        <w:t>一、供应商须知附表</w:t>
      </w:r>
      <w:bookmarkEnd w:id="22"/>
    </w:p>
    <w:tbl>
      <w:tblPr>
        <w:tblStyle w:val="18"/>
        <w:tblW w:w="91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974"/>
        <w:gridCol w:w="1844"/>
        <w:gridCol w:w="63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974" w:type="dxa"/>
            <w:tcBorders>
              <w:tl2br w:val="nil"/>
              <w:tr2bl w:val="nil"/>
            </w:tcBorders>
            <w:vAlign w:val="center"/>
          </w:tcPr>
          <w:p>
            <w:pPr>
              <w:pStyle w:val="30"/>
              <w:spacing w:line="360" w:lineRule="auto"/>
              <w:jc w:val="center"/>
              <w:rPr>
                <w:rFonts w:ascii="仿宋" w:hAnsi="仿宋" w:eastAsia="仿宋" w:cs="仿宋"/>
                <w:b/>
                <w:kern w:val="2"/>
                <w:sz w:val="21"/>
                <w:szCs w:val="21"/>
                <w:lang w:val="zh-CN"/>
              </w:rPr>
            </w:pPr>
            <w:r>
              <w:rPr>
                <w:rFonts w:hint="eastAsia" w:ascii="仿宋" w:hAnsi="仿宋" w:eastAsia="仿宋" w:cs="仿宋"/>
                <w:b/>
                <w:kern w:val="2"/>
                <w:sz w:val="21"/>
                <w:szCs w:val="21"/>
                <w:lang w:val="zh-CN"/>
              </w:rPr>
              <w:t>序号</w:t>
            </w:r>
          </w:p>
        </w:tc>
        <w:tc>
          <w:tcPr>
            <w:tcW w:w="1844" w:type="dxa"/>
            <w:tcBorders>
              <w:tl2br w:val="nil"/>
              <w:tr2bl w:val="nil"/>
            </w:tcBorders>
            <w:vAlign w:val="center"/>
          </w:tcPr>
          <w:p>
            <w:pPr>
              <w:pStyle w:val="30"/>
              <w:spacing w:line="360" w:lineRule="auto"/>
              <w:ind w:firstLine="422" w:firstLineChars="200"/>
              <w:jc w:val="center"/>
              <w:rPr>
                <w:rFonts w:ascii="仿宋" w:hAnsi="仿宋" w:eastAsia="仿宋" w:cs="仿宋"/>
                <w:b/>
                <w:kern w:val="2"/>
                <w:sz w:val="21"/>
                <w:szCs w:val="21"/>
                <w:lang w:val="zh-CN"/>
              </w:rPr>
            </w:pPr>
            <w:r>
              <w:rPr>
                <w:rFonts w:hint="eastAsia" w:ascii="仿宋" w:hAnsi="仿宋" w:eastAsia="仿宋" w:cs="仿宋"/>
                <w:b/>
                <w:kern w:val="2"/>
                <w:sz w:val="21"/>
                <w:szCs w:val="21"/>
                <w:lang w:val="zh-CN"/>
              </w:rPr>
              <w:t>应知事项</w:t>
            </w:r>
          </w:p>
        </w:tc>
        <w:tc>
          <w:tcPr>
            <w:tcW w:w="6353" w:type="dxa"/>
            <w:tcBorders>
              <w:tl2br w:val="nil"/>
              <w:tr2bl w:val="nil"/>
            </w:tcBorders>
            <w:vAlign w:val="center"/>
          </w:tcPr>
          <w:p>
            <w:pPr>
              <w:pStyle w:val="30"/>
              <w:spacing w:line="360" w:lineRule="auto"/>
              <w:jc w:val="center"/>
              <w:rPr>
                <w:rFonts w:ascii="仿宋" w:hAnsi="仿宋" w:eastAsia="仿宋" w:cs="仿宋"/>
                <w:b/>
                <w:kern w:val="2"/>
                <w:sz w:val="21"/>
                <w:szCs w:val="21"/>
                <w:lang w:val="zh-CN"/>
              </w:rPr>
            </w:pPr>
            <w:r>
              <w:rPr>
                <w:rFonts w:hint="eastAsia" w:ascii="仿宋" w:hAnsi="仿宋" w:eastAsia="仿宋" w:cs="仿宋"/>
                <w:b/>
                <w:kern w:val="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确定邀请磋商的供应商数量和方式</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本次磋商邀请的供应商数量：不限制。</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2</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采购预算</w:t>
            </w:r>
          </w:p>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（实质性要求）</w:t>
            </w:r>
          </w:p>
        </w:tc>
        <w:tc>
          <w:tcPr>
            <w:tcW w:w="6353" w:type="dxa"/>
            <w:tcBorders>
              <w:tl2br w:val="nil"/>
              <w:tr2bl w:val="nil"/>
            </w:tcBorders>
            <w:vAlign w:val="center"/>
          </w:tcPr>
          <w:p>
            <w:pPr>
              <w:pStyle w:val="30"/>
              <w:spacing w:line="360" w:lineRule="auto"/>
              <w:ind w:left="420" w:leftChars="200"/>
              <w:rPr>
                <w:rFonts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采购预算：人民币</w:t>
            </w:r>
            <w:r>
              <w:rPr>
                <w:rFonts w:hint="eastAsia" w:ascii="仿宋" w:hAnsi="仿宋" w:eastAsia="仿宋" w:cs="仿宋"/>
                <w:bCs/>
                <w:color w:val="auto"/>
                <w:kern w:val="2"/>
                <w:sz w:val="21"/>
                <w:szCs w:val="21"/>
                <w:highlight w:val="none"/>
                <w:lang w:val="en-US" w:eastAsia="zh-CN"/>
              </w:rPr>
              <w:t>110</w:t>
            </w:r>
            <w:r>
              <w:rPr>
                <w:rFonts w:hint="eastAsia" w:ascii="仿宋" w:hAnsi="仿宋" w:eastAsia="仿宋" w:cs="仿宋"/>
                <w:bCs/>
                <w:color w:val="auto"/>
                <w:kern w:val="2"/>
                <w:sz w:val="21"/>
                <w:szCs w:val="21"/>
                <w:highlight w:val="none"/>
                <w:lang w:val="zh-CN"/>
              </w:rPr>
              <w:t>万元。</w:t>
            </w:r>
          </w:p>
          <w:p>
            <w:pPr>
              <w:pStyle w:val="30"/>
              <w:spacing w:line="360" w:lineRule="auto"/>
              <w:ind w:left="420" w:leftChars="200"/>
              <w:rPr>
                <w:rFonts w:ascii="仿宋" w:hAnsi="仿宋" w:eastAsia="仿宋" w:cs="仿宋"/>
                <w:b/>
                <w:color w:val="auto"/>
                <w:kern w:val="2"/>
                <w:sz w:val="21"/>
                <w:szCs w:val="21"/>
                <w:highlight w:val="none"/>
                <w:lang w:val="zh-CN"/>
              </w:rPr>
            </w:pPr>
            <w:r>
              <w:rPr>
                <w:rFonts w:hint="eastAsia" w:ascii="仿宋" w:hAnsi="仿宋" w:eastAsia="仿宋" w:cs="仿宋"/>
                <w:bCs/>
                <w:color w:val="auto"/>
                <w:kern w:val="2"/>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3</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rPr>
            </w:pPr>
            <w:r>
              <w:rPr>
                <w:rFonts w:hint="eastAsia" w:ascii="仿宋" w:hAnsi="仿宋" w:eastAsia="仿宋" w:cs="仿宋"/>
                <w:bCs/>
                <w:kern w:val="2"/>
                <w:sz w:val="21"/>
                <w:szCs w:val="21"/>
                <w:lang w:val="zh-CN"/>
              </w:rPr>
              <w:t>最高限价</w:t>
            </w:r>
          </w:p>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（实质性要求）</w:t>
            </w:r>
          </w:p>
        </w:tc>
        <w:tc>
          <w:tcPr>
            <w:tcW w:w="6353" w:type="dxa"/>
            <w:tcBorders>
              <w:tl2br w:val="nil"/>
              <w:tr2bl w:val="nil"/>
            </w:tcBorders>
            <w:vAlign w:val="center"/>
          </w:tcPr>
          <w:p>
            <w:pPr>
              <w:pStyle w:val="30"/>
              <w:spacing w:line="360" w:lineRule="auto"/>
              <w:ind w:left="420" w:leftChars="200"/>
              <w:rPr>
                <w:rFonts w:ascii="仿宋" w:hAnsi="仿宋" w:eastAsia="仿宋" w:cs="仿宋"/>
                <w:bCs/>
                <w:color w:val="auto"/>
                <w:kern w:val="2"/>
                <w:sz w:val="21"/>
                <w:szCs w:val="21"/>
                <w:highlight w:val="none"/>
                <w:lang w:val="zh-CN"/>
              </w:rPr>
            </w:pPr>
            <w:r>
              <w:rPr>
                <w:rFonts w:hint="eastAsia" w:ascii="仿宋" w:hAnsi="仿宋" w:eastAsia="仿宋" w:cs="仿宋"/>
                <w:bCs/>
                <w:color w:val="auto"/>
                <w:kern w:val="2"/>
                <w:sz w:val="21"/>
                <w:szCs w:val="21"/>
                <w:highlight w:val="none"/>
                <w:lang w:val="zh-CN"/>
              </w:rPr>
              <w:t>最高限价：人民币</w:t>
            </w:r>
            <w:r>
              <w:rPr>
                <w:rFonts w:hint="eastAsia" w:ascii="仿宋" w:hAnsi="仿宋" w:eastAsia="仿宋" w:cs="仿宋"/>
                <w:bCs/>
                <w:color w:val="auto"/>
                <w:kern w:val="2"/>
                <w:sz w:val="21"/>
                <w:szCs w:val="21"/>
                <w:highlight w:val="none"/>
                <w:lang w:val="en-US" w:eastAsia="zh-CN"/>
              </w:rPr>
              <w:t>110</w:t>
            </w:r>
            <w:r>
              <w:rPr>
                <w:rFonts w:hint="eastAsia" w:ascii="仿宋" w:hAnsi="仿宋" w:eastAsia="仿宋" w:cs="仿宋"/>
                <w:bCs/>
                <w:color w:val="auto"/>
                <w:kern w:val="2"/>
                <w:sz w:val="21"/>
                <w:szCs w:val="21"/>
                <w:highlight w:val="none"/>
                <w:lang w:val="zh-CN"/>
              </w:rPr>
              <w:t>万元</w:t>
            </w:r>
            <w:r>
              <w:rPr>
                <w:rFonts w:hint="eastAsia" w:ascii="仿宋" w:hAnsi="仿宋" w:eastAsia="仿宋" w:cs="仿宋"/>
                <w:bCs/>
                <w:color w:val="auto"/>
                <w:kern w:val="2"/>
                <w:sz w:val="21"/>
                <w:szCs w:val="21"/>
                <w:highlight w:val="none"/>
              </w:rPr>
              <w:t>。</w:t>
            </w:r>
          </w:p>
          <w:p>
            <w:pPr>
              <w:pStyle w:val="30"/>
              <w:spacing w:line="360" w:lineRule="auto"/>
              <w:ind w:left="420" w:leftChars="200"/>
              <w:rPr>
                <w:rFonts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rPr>
              <w:t>4</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rPr>
            </w:pPr>
            <w:r>
              <w:rPr>
                <w:rFonts w:hint="eastAsia" w:ascii="仿宋" w:hAnsi="仿宋" w:eastAsia="仿宋" w:cs="仿宋"/>
                <w:bCs/>
                <w:kern w:val="2"/>
                <w:sz w:val="21"/>
                <w:szCs w:val="21"/>
                <w:lang w:val="zh-CN"/>
              </w:rPr>
              <w:t>是否接受联合体</w:t>
            </w:r>
          </w:p>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（实质性要求）</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5</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rPr>
            </w:pPr>
            <w:r>
              <w:rPr>
                <w:rFonts w:hint="eastAsia" w:ascii="仿宋" w:hAnsi="仿宋" w:eastAsia="仿宋" w:cs="仿宋"/>
                <w:bCs/>
                <w:kern w:val="2"/>
                <w:sz w:val="21"/>
                <w:szCs w:val="21"/>
              </w:rPr>
              <w:t>低于成本价不正当竞争预防措施</w:t>
            </w:r>
          </w:p>
          <w:p>
            <w:pPr>
              <w:pStyle w:val="30"/>
              <w:spacing w:line="360" w:lineRule="auto"/>
              <w:jc w:val="center"/>
              <w:rPr>
                <w:rFonts w:ascii="仿宋" w:hAnsi="仿宋" w:eastAsia="仿宋" w:cs="仿宋"/>
                <w:bCs/>
                <w:kern w:val="2"/>
                <w:sz w:val="21"/>
                <w:szCs w:val="21"/>
              </w:rPr>
            </w:pPr>
            <w:r>
              <w:rPr>
                <w:rFonts w:hint="eastAsia" w:ascii="仿宋" w:hAnsi="仿宋" w:eastAsia="仿宋" w:cs="仿宋"/>
                <w:bCs/>
                <w:kern w:val="2"/>
                <w:sz w:val="21"/>
                <w:szCs w:val="21"/>
              </w:rPr>
              <w:t>（实质性要求）</w:t>
            </w:r>
          </w:p>
        </w:tc>
        <w:tc>
          <w:tcPr>
            <w:tcW w:w="6353" w:type="dxa"/>
            <w:tcBorders>
              <w:tl2br w:val="nil"/>
              <w:tr2bl w:val="nil"/>
            </w:tcBorders>
            <w:vAlign w:val="center"/>
          </w:tcPr>
          <w:p>
            <w:pPr>
              <w:pStyle w:val="31"/>
              <w:tabs>
                <w:tab w:val="left" w:pos="314"/>
              </w:tabs>
              <w:spacing w:line="360" w:lineRule="auto"/>
              <w:ind w:firstLine="420" w:firstLineChars="200"/>
              <w:jc w:val="left"/>
              <w:rPr>
                <w:rFonts w:ascii="仿宋" w:hAnsi="仿宋" w:eastAsia="仿宋" w:cs="仿宋"/>
                <w:bCs/>
                <w:szCs w:val="21"/>
                <w:lang w:bidi="ar-SA"/>
              </w:rPr>
            </w:pPr>
            <w:r>
              <w:rPr>
                <w:rFonts w:hint="eastAsia" w:ascii="仿宋" w:hAnsi="仿宋" w:eastAsia="仿宋" w:cs="仿宋"/>
                <w:bCs/>
                <w:szCs w:val="21"/>
                <w:lang w:bidi="ar-SA"/>
              </w:rPr>
              <w:t>（</w:t>
            </w:r>
            <w:r>
              <w:rPr>
                <w:rFonts w:hint="eastAsia" w:ascii="仿宋" w:hAnsi="仿宋" w:eastAsia="仿宋" w:cs="仿宋"/>
                <w:bCs/>
                <w:szCs w:val="21"/>
                <w:lang w:val="en-US" w:bidi="ar-SA"/>
              </w:rPr>
              <w:t>1</w:t>
            </w:r>
            <w:r>
              <w:rPr>
                <w:rFonts w:hint="eastAsia" w:ascii="仿宋" w:hAnsi="仿宋" w:eastAsia="仿宋" w:cs="仿宋"/>
                <w:bCs/>
                <w:szCs w:val="21"/>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1"/>
              <w:tabs>
                <w:tab w:val="left" w:pos="314"/>
              </w:tabs>
              <w:spacing w:line="360" w:lineRule="auto"/>
              <w:ind w:firstLine="420" w:firstLineChars="200"/>
              <w:jc w:val="left"/>
              <w:rPr>
                <w:rFonts w:ascii="仿宋" w:hAnsi="仿宋" w:eastAsia="仿宋" w:cs="仿宋"/>
                <w:bCs/>
                <w:szCs w:val="21"/>
                <w:lang w:bidi="ar-SA"/>
              </w:rPr>
            </w:pPr>
            <w:r>
              <w:rPr>
                <w:rFonts w:hint="eastAsia" w:ascii="仿宋" w:hAnsi="仿宋" w:eastAsia="仿宋" w:cs="仿宋"/>
                <w:bCs/>
                <w:szCs w:val="21"/>
                <w:lang w:bidi="ar-SA"/>
              </w:rPr>
              <w:t>（</w:t>
            </w:r>
            <w:r>
              <w:rPr>
                <w:rFonts w:hint="eastAsia" w:ascii="仿宋" w:hAnsi="仿宋" w:eastAsia="仿宋" w:cs="仿宋"/>
                <w:bCs/>
                <w:szCs w:val="21"/>
                <w:lang w:val="en-US" w:bidi="ar-SA"/>
              </w:rPr>
              <w:t>2</w:t>
            </w:r>
            <w:r>
              <w:rPr>
                <w:rFonts w:hint="eastAsia" w:ascii="仿宋" w:hAnsi="仿宋" w:eastAsia="仿宋" w:cs="仿宋"/>
                <w:bCs/>
                <w:szCs w:val="21"/>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1"/>
              <w:tabs>
                <w:tab w:val="left" w:pos="314"/>
              </w:tabs>
              <w:spacing w:line="360" w:lineRule="auto"/>
              <w:ind w:firstLine="420" w:firstLineChars="200"/>
              <w:jc w:val="left"/>
              <w:rPr>
                <w:rFonts w:ascii="仿宋" w:hAnsi="仿宋" w:eastAsia="仿宋" w:cs="仿宋"/>
                <w:bCs/>
                <w:szCs w:val="21"/>
              </w:rPr>
            </w:pPr>
            <w:r>
              <w:rPr>
                <w:rFonts w:hint="eastAsia" w:ascii="仿宋" w:hAnsi="仿宋" w:eastAsia="仿宋" w:cs="仿宋"/>
                <w:bCs/>
                <w:szCs w:val="21"/>
                <w:lang w:bidi="ar-SA"/>
              </w:rPr>
              <w:t>（</w:t>
            </w:r>
            <w:r>
              <w:rPr>
                <w:rFonts w:hint="eastAsia" w:ascii="仿宋" w:hAnsi="仿宋" w:eastAsia="仿宋" w:cs="仿宋"/>
                <w:bCs/>
                <w:szCs w:val="21"/>
                <w:lang w:val="en-US" w:bidi="ar-SA"/>
              </w:rPr>
              <w:t>3</w:t>
            </w:r>
            <w:r>
              <w:rPr>
                <w:rFonts w:hint="eastAsia" w:ascii="仿宋" w:hAnsi="仿宋" w:eastAsia="仿宋" w:cs="仿宋"/>
                <w:bCs/>
                <w:szCs w:val="21"/>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  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6</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rPr>
            </w:pPr>
            <w:r>
              <w:rPr>
                <w:rFonts w:hint="eastAsia" w:ascii="仿宋" w:hAnsi="仿宋" w:eastAsia="仿宋" w:cs="仿宋"/>
                <w:bCs/>
                <w:kern w:val="2"/>
                <w:sz w:val="21"/>
                <w:szCs w:val="21"/>
              </w:rPr>
              <w:t>小微企业（监狱企业、残疾人福利性单位视同小微企业）价格扣除</w:t>
            </w:r>
          </w:p>
          <w:p>
            <w:pPr>
              <w:pStyle w:val="30"/>
              <w:spacing w:line="360" w:lineRule="auto"/>
              <w:jc w:val="center"/>
              <w:rPr>
                <w:rFonts w:ascii="仿宋" w:hAnsi="仿宋" w:eastAsia="仿宋" w:cs="仿宋"/>
                <w:bCs/>
                <w:kern w:val="2"/>
                <w:sz w:val="21"/>
                <w:szCs w:val="21"/>
              </w:rPr>
            </w:pPr>
            <w:r>
              <w:rPr>
                <w:rFonts w:hint="eastAsia" w:ascii="仿宋" w:hAnsi="仿宋" w:eastAsia="仿宋" w:cs="仿宋"/>
                <w:sz w:val="21"/>
                <w:szCs w:val="21"/>
              </w:rPr>
              <w:t>（实质性要求）</w:t>
            </w:r>
          </w:p>
        </w:tc>
        <w:tc>
          <w:tcPr>
            <w:tcW w:w="6353" w:type="dxa"/>
            <w:tcBorders>
              <w:tl2br w:val="nil"/>
              <w:tr2bl w:val="nil"/>
            </w:tcBorders>
          </w:tcPr>
          <w:p>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一、小微企业（监狱企业、残疾人福利性单位均视同小微企业）价格扣除（本项目不适用，专门面向中小企业）</w:t>
            </w:r>
          </w:p>
          <w:p>
            <w:pPr>
              <w:spacing w:line="360" w:lineRule="auto"/>
              <w:ind w:firstLine="420" w:firstLineChars="200"/>
              <w:rPr>
                <w:rFonts w:ascii="仿宋" w:hAnsi="仿宋" w:eastAsia="仿宋" w:cs="仿宋"/>
                <w:szCs w:val="21"/>
              </w:rPr>
            </w:pPr>
            <w:r>
              <w:rPr>
                <w:rFonts w:hint="eastAsia" w:ascii="仿宋" w:hAnsi="仿宋" w:eastAsia="仿宋" w:cs="仿宋"/>
                <w:szCs w:val="21"/>
              </w:rPr>
              <w:t>1、根据《政府采购促进中小企业发展暂行办法》（财库〔2020〕46号）的规定，对小型和微型企业产品的价格给予10%的价格扣除，用扣除后的价格参与评标。</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2、参加政府采购活动的中小企业应当提供《中小企业声明函》原件。监狱企业应当提供《监狱企业证明》原件。残疾人福利性单位应当提供《残疾人福利性单位声明函》原件。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w:t>
            </w:r>
          </w:p>
          <w:p>
            <w:pPr>
              <w:spacing w:line="360" w:lineRule="auto"/>
              <w:ind w:firstLine="420" w:firstLineChars="200"/>
              <w:rPr>
                <w:rFonts w:ascii="仿宋" w:hAnsi="仿宋" w:eastAsia="仿宋" w:cs="仿宋"/>
                <w:szCs w:val="21"/>
              </w:rPr>
            </w:pPr>
            <w:r>
              <w:rPr>
                <w:rFonts w:hint="eastAsia" w:ascii="仿宋" w:hAnsi="仿宋" w:eastAsia="仿宋" w:cs="仿宋"/>
                <w:szCs w:val="21"/>
              </w:rPr>
              <w:t>组成联合体或者接受分包的小微企业与联合体内其他企业、分包企业之间存在直接控股、管理关系的，不享受价格扣除优惠政策。</w:t>
            </w:r>
          </w:p>
          <w:p>
            <w:pPr>
              <w:spacing w:line="360" w:lineRule="auto"/>
              <w:ind w:firstLine="420" w:firstLineChars="200"/>
              <w:rPr>
                <w:rFonts w:ascii="仿宋" w:hAnsi="仿宋" w:eastAsia="仿宋" w:cs="仿宋"/>
                <w:szCs w:val="21"/>
              </w:rPr>
            </w:pPr>
            <w:r>
              <w:rPr>
                <w:rFonts w:hint="eastAsia" w:ascii="仿宋" w:hAnsi="仿宋" w:eastAsia="仿宋" w:cs="仿宋"/>
                <w:szCs w:val="21"/>
              </w:rPr>
              <w:t>4、符合中小企业划分标准的个体工商户，在政府采购活动中视同中小企业。</w:t>
            </w:r>
          </w:p>
          <w:p>
            <w:pPr>
              <w:pStyle w:val="30"/>
              <w:spacing w:line="360" w:lineRule="auto"/>
              <w:ind w:firstLine="422" w:firstLineChars="200"/>
              <w:rPr>
                <w:rFonts w:ascii="仿宋" w:hAnsi="仿宋" w:eastAsia="仿宋" w:cs="仿宋"/>
                <w:sz w:val="21"/>
                <w:szCs w:val="21"/>
              </w:rPr>
            </w:pPr>
            <w:r>
              <w:rPr>
                <w:rFonts w:hint="eastAsia" w:ascii="仿宋" w:hAnsi="仿宋" w:eastAsia="仿宋" w:cs="仿宋"/>
                <w:b/>
                <w:bCs/>
                <w:sz w:val="21"/>
                <w:szCs w:val="21"/>
              </w:rPr>
              <w:t>二、符合扶持不发达地区和少数民族地区政策条件的，在同等条件下享有优先采购的机会。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7</w:t>
            </w:r>
          </w:p>
        </w:tc>
        <w:tc>
          <w:tcPr>
            <w:tcW w:w="1844" w:type="dxa"/>
            <w:tcBorders>
              <w:tl2br w:val="nil"/>
              <w:tr2bl w:val="nil"/>
            </w:tcBorders>
            <w:vAlign w:val="center"/>
          </w:tcPr>
          <w:p>
            <w:pPr>
              <w:spacing w:line="360" w:lineRule="auto"/>
              <w:ind w:left="105" w:leftChars="50" w:right="105" w:rightChars="50"/>
              <w:jc w:val="center"/>
              <w:rPr>
                <w:rFonts w:ascii="仿宋" w:hAnsi="仿宋" w:eastAsia="仿宋" w:cs="仿宋"/>
                <w:bCs/>
                <w:szCs w:val="21"/>
                <w:lang w:val="zh-CN"/>
              </w:rPr>
            </w:pPr>
            <w:r>
              <w:rPr>
                <w:rFonts w:hint="eastAsia" w:ascii="仿宋" w:hAnsi="仿宋" w:eastAsia="仿宋" w:cs="仿宋"/>
                <w:kern w:val="0"/>
                <w:szCs w:val="21"/>
              </w:rPr>
              <w:t>节能、环保及无线局域网产品政府采购政策</w:t>
            </w:r>
          </w:p>
        </w:tc>
        <w:tc>
          <w:tcPr>
            <w:tcW w:w="6353" w:type="dxa"/>
            <w:tcBorders>
              <w:tl2br w:val="nil"/>
              <w:tr2bl w:val="nil"/>
            </w:tcBorders>
            <w:vAlign w:val="center"/>
          </w:tcPr>
          <w:p>
            <w:pPr>
              <w:spacing w:line="360" w:lineRule="auto"/>
              <w:ind w:right="105" w:rightChars="50" w:firstLine="420" w:firstLineChars="200"/>
              <w:rPr>
                <w:rFonts w:ascii="仿宋" w:hAnsi="仿宋" w:eastAsia="仿宋" w:cs="仿宋"/>
                <w:bCs/>
                <w:szCs w:val="21"/>
                <w:lang w:val="zh-CN"/>
              </w:rPr>
            </w:pPr>
            <w:r>
              <w:rPr>
                <w:rFonts w:hint="eastAsia" w:ascii="仿宋" w:hAnsi="仿宋" w:eastAsia="仿宋" w:cs="仿宋"/>
                <w:bCs/>
                <w:szCs w:val="21"/>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rPr>
              <w:t>8</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磋商情况公告</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9</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磋商保证金</w:t>
            </w:r>
          </w:p>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sz w:val="21"/>
                <w:szCs w:val="21"/>
              </w:rPr>
              <w:t>（实质性要求）</w:t>
            </w:r>
          </w:p>
        </w:tc>
        <w:tc>
          <w:tcPr>
            <w:tcW w:w="6353" w:type="dxa"/>
            <w:tcBorders>
              <w:tl2br w:val="nil"/>
              <w:tr2bl w:val="nil"/>
            </w:tcBorders>
            <w:vAlign w:val="center"/>
          </w:tcPr>
          <w:p>
            <w:pPr>
              <w:spacing w:line="360" w:lineRule="auto"/>
              <w:ind w:firstLine="420" w:firstLineChars="200"/>
              <w:jc w:val="left"/>
              <w:rPr>
                <w:rFonts w:ascii="仿宋" w:hAnsi="仿宋" w:eastAsia="仿宋" w:cs="仿宋"/>
                <w:bCs/>
                <w:szCs w:val="21"/>
              </w:rPr>
            </w:pPr>
            <w:r>
              <w:rPr>
                <w:rFonts w:hint="eastAsia" w:ascii="仿宋" w:hAnsi="仿宋" w:eastAsia="仿宋" w:cs="仿宋"/>
                <w:bCs/>
                <w:szCs w:val="21"/>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10</w:t>
            </w:r>
          </w:p>
        </w:tc>
        <w:tc>
          <w:tcPr>
            <w:tcW w:w="1844" w:type="dxa"/>
            <w:tcBorders>
              <w:tl2br w:val="nil"/>
              <w:tr2bl w:val="nil"/>
            </w:tcBorders>
            <w:shd w:val="clear" w:color="auto" w:fill="auto"/>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履约保证金</w:t>
            </w:r>
          </w:p>
        </w:tc>
        <w:tc>
          <w:tcPr>
            <w:tcW w:w="6353" w:type="dxa"/>
            <w:tcBorders>
              <w:tl2br w:val="nil"/>
              <w:tr2bl w:val="nil"/>
            </w:tcBorders>
            <w:shd w:val="clear" w:color="auto" w:fill="auto"/>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1</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rPr>
              <w:t>磋商</w:t>
            </w:r>
            <w:r>
              <w:rPr>
                <w:rFonts w:hint="eastAsia" w:ascii="仿宋" w:hAnsi="仿宋" w:eastAsia="仿宋" w:cs="仿宋"/>
                <w:bCs/>
                <w:kern w:val="2"/>
                <w:sz w:val="21"/>
                <w:szCs w:val="21"/>
                <w:lang w:val="zh-CN"/>
              </w:rPr>
              <w:t>文件咨询</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联系人：</w:t>
            </w:r>
            <w:r>
              <w:rPr>
                <w:rFonts w:hint="eastAsia" w:ascii="仿宋" w:hAnsi="仿宋" w:eastAsia="仿宋" w:cs="仿宋"/>
                <w:bCs/>
                <w:kern w:val="2"/>
                <w:sz w:val="21"/>
                <w:szCs w:val="21"/>
              </w:rPr>
              <w:t>黄女士</w:t>
            </w:r>
            <w:r>
              <w:rPr>
                <w:rFonts w:hint="eastAsia" w:ascii="仿宋" w:hAnsi="仿宋" w:eastAsia="仿宋" w:cs="仿宋"/>
                <w:bCs/>
                <w:kern w:val="2"/>
                <w:sz w:val="21"/>
                <w:szCs w:val="21"/>
                <w:lang w:val="zh-CN"/>
              </w:rPr>
              <w:t xml:space="preserve">   联系电话：  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2</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磋商过程、结果工作咨询</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联系人：</w:t>
            </w:r>
            <w:r>
              <w:rPr>
                <w:rFonts w:hint="eastAsia" w:ascii="仿宋" w:hAnsi="仿宋" w:eastAsia="仿宋" w:cs="仿宋"/>
                <w:bCs/>
                <w:kern w:val="2"/>
                <w:sz w:val="21"/>
                <w:szCs w:val="21"/>
              </w:rPr>
              <w:t>黄女士</w:t>
            </w:r>
            <w:r>
              <w:rPr>
                <w:rFonts w:hint="eastAsia" w:ascii="仿宋" w:hAnsi="仿宋" w:eastAsia="仿宋" w:cs="仿宋"/>
                <w:bCs/>
                <w:kern w:val="2"/>
                <w:sz w:val="21"/>
                <w:szCs w:val="21"/>
                <w:lang w:val="zh-CN"/>
              </w:rPr>
              <w:t xml:space="preserve">   联系电话：  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3</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成交通知书领取</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采购结果公告在四川政府采购网上发布后，请成交供应商凭有效身份证明证件到四川凯亿工程管理咨询有限公司领取成交通知书。</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联系电话：028-85179390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4</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供应商询问</w:t>
            </w:r>
          </w:p>
        </w:tc>
        <w:tc>
          <w:tcPr>
            <w:tcW w:w="6353" w:type="dxa"/>
            <w:tcBorders>
              <w:tl2br w:val="nil"/>
              <w:tr2bl w:val="nil"/>
            </w:tcBorders>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根据委托代理协议约定，供应商询问由四川凯亿工程管理咨询有限公司负责答复。</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联系人：</w:t>
            </w:r>
            <w:r>
              <w:rPr>
                <w:rFonts w:hint="eastAsia" w:ascii="仿宋" w:hAnsi="仿宋" w:eastAsia="仿宋" w:cs="仿宋"/>
                <w:bCs/>
                <w:kern w:val="2"/>
                <w:sz w:val="21"/>
                <w:szCs w:val="21"/>
              </w:rPr>
              <w:t>黄女士</w:t>
            </w:r>
            <w:r>
              <w:rPr>
                <w:rFonts w:hint="eastAsia" w:ascii="仿宋" w:hAnsi="仿宋" w:eastAsia="仿宋" w:cs="仿宋"/>
                <w:bCs/>
                <w:kern w:val="2"/>
                <w:sz w:val="21"/>
                <w:szCs w:val="21"/>
                <w:lang w:val="zh-CN"/>
              </w:rPr>
              <w:t xml:space="preserve">   联系电话：  028-85179390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5</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供应商质疑</w:t>
            </w:r>
          </w:p>
        </w:tc>
        <w:tc>
          <w:tcPr>
            <w:tcW w:w="6353" w:type="dxa"/>
            <w:tcBorders>
              <w:tl2br w:val="nil"/>
              <w:tr2bl w:val="nil"/>
            </w:tcBorders>
            <w:vAlign w:val="center"/>
          </w:tcPr>
          <w:p>
            <w:pPr>
              <w:spacing w:line="360" w:lineRule="auto"/>
              <w:ind w:right="105" w:rightChars="50" w:firstLine="420" w:firstLineChars="200"/>
              <w:jc w:val="left"/>
              <w:rPr>
                <w:rFonts w:ascii="仿宋" w:hAnsi="仿宋" w:eastAsia="仿宋" w:cs="仿宋"/>
                <w:szCs w:val="21"/>
              </w:rPr>
            </w:pPr>
            <w:bookmarkStart w:id="23" w:name="PO_默认文件内容_30"/>
            <w:r>
              <w:rPr>
                <w:rFonts w:hint="eastAsia" w:ascii="仿宋" w:hAnsi="仿宋" w:eastAsia="仿宋" w:cs="仿宋"/>
                <w:szCs w:val="21"/>
              </w:rPr>
              <w:t>根据委托代理协议约定，供应商质疑由</w:t>
            </w:r>
            <w:r>
              <w:rPr>
                <w:rFonts w:hint="eastAsia" w:ascii="仿宋" w:hAnsi="仿宋" w:eastAsia="仿宋" w:cs="仿宋"/>
                <w:szCs w:val="21"/>
                <w:lang w:val="zh-CN"/>
              </w:rPr>
              <w:t>采购代理机构负责答复。</w:t>
            </w:r>
          </w:p>
          <w:p>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联 系 人：</w:t>
            </w:r>
            <w:r>
              <w:rPr>
                <w:rFonts w:hint="eastAsia" w:ascii="仿宋" w:hAnsi="仿宋" w:eastAsia="仿宋" w:cs="仿宋"/>
                <w:szCs w:val="21"/>
              </w:rPr>
              <w:t>黄女士</w:t>
            </w:r>
          </w:p>
          <w:p>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联系电话：</w:t>
            </w:r>
            <w:r>
              <w:rPr>
                <w:rFonts w:hint="eastAsia" w:ascii="仿宋" w:hAnsi="仿宋" w:eastAsia="仿宋" w:cs="仿宋"/>
                <w:bCs/>
                <w:szCs w:val="21"/>
                <w:lang w:val="zh-CN"/>
              </w:rPr>
              <w:t>028-85179390</w:t>
            </w:r>
          </w:p>
          <w:p>
            <w:pPr>
              <w:spacing w:line="360" w:lineRule="auto"/>
              <w:ind w:right="105" w:rightChars="50" w:firstLine="420" w:firstLineChars="200"/>
              <w:jc w:val="left"/>
              <w:rPr>
                <w:rFonts w:ascii="仿宋" w:hAnsi="仿宋" w:eastAsia="仿宋" w:cs="仿宋"/>
                <w:szCs w:val="21"/>
                <w:lang w:val="zh-CN"/>
              </w:rPr>
            </w:pPr>
            <w:r>
              <w:rPr>
                <w:rFonts w:hint="eastAsia" w:ascii="仿宋" w:hAnsi="仿宋" w:eastAsia="仿宋" w:cs="仿宋"/>
                <w:szCs w:val="21"/>
                <w:lang w:val="zh-CN"/>
              </w:rPr>
              <w:t>地址：成都市高新区天府三街19号新希望国际A座20楼2003号。</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sz w:val="21"/>
                <w:szCs w:val="21"/>
                <w:lang w:val="zh-CN"/>
              </w:rPr>
              <w:t>注：根据《中华人民共和国政府采购法》等规定，供应商质疑不得超出采购文件、采购过程、采购结果的范围</w:t>
            </w:r>
            <w:bookmarkEnd w:id="23"/>
            <w:r>
              <w:rPr>
                <w:rFonts w:hint="eastAsia" w:ascii="仿宋" w:hAnsi="仿宋" w:eastAsia="仿宋" w:cs="仿宋"/>
                <w:sz w:val="21"/>
                <w:szCs w:val="21"/>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6</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供应商投诉</w:t>
            </w:r>
          </w:p>
        </w:tc>
        <w:tc>
          <w:tcPr>
            <w:tcW w:w="6353" w:type="dxa"/>
            <w:tcBorders>
              <w:tl2br w:val="nil"/>
              <w:tr2bl w:val="nil"/>
            </w:tcBorders>
            <w:vAlign w:val="center"/>
          </w:tcPr>
          <w:p>
            <w:pPr>
              <w:spacing w:line="36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投诉受理单位：本项目同级财政部门，即</w:t>
            </w:r>
            <w:r>
              <w:rPr>
                <w:rFonts w:hint="eastAsia" w:ascii="仿宋" w:hAnsi="仿宋" w:eastAsia="仿宋" w:cs="仿宋"/>
                <w:szCs w:val="21"/>
                <w:lang w:val="en-US" w:eastAsia="zh-CN"/>
              </w:rPr>
              <w:t>成都市金牛区财政局</w:t>
            </w:r>
            <w:r>
              <w:rPr>
                <w:rFonts w:hint="eastAsia" w:ascii="仿宋" w:hAnsi="仿宋" w:eastAsia="仿宋" w:cs="仿宋"/>
                <w:szCs w:val="21"/>
                <w:lang w:val="zh-CN"/>
              </w:rPr>
              <w:t>。</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1</w:t>
            </w:r>
            <w:r>
              <w:rPr>
                <w:rFonts w:hint="eastAsia" w:ascii="仿宋" w:hAnsi="仿宋" w:eastAsia="仿宋" w:cs="仿宋"/>
                <w:bCs/>
                <w:kern w:val="2"/>
                <w:sz w:val="21"/>
                <w:szCs w:val="21"/>
              </w:rPr>
              <w:t>7</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lang w:val="zh-CN"/>
              </w:rPr>
              <w:t>政府采购合同备案</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bookmarkStart w:id="24" w:name="PO_默认文件内容_18"/>
            <w:r>
              <w:rPr>
                <w:rFonts w:hint="eastAsia" w:ascii="仿宋" w:hAnsi="仿宋" w:eastAsia="仿宋" w:cs="仿宋"/>
                <w:bCs/>
                <w:kern w:val="2"/>
                <w:sz w:val="21"/>
                <w:szCs w:val="21"/>
                <w:lang w:val="zh-CN"/>
              </w:rPr>
              <w:t>政府采购合同签订之日起2个工作日内，政府采购合同将在四川政府采购网公告；政府采购合同签订之日起七个工作日内，政府采购合同将向采购项目同级财政部门备案。</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rPr>
              <w:t>18</w:t>
            </w:r>
          </w:p>
        </w:tc>
        <w:tc>
          <w:tcPr>
            <w:tcW w:w="1844" w:type="dxa"/>
            <w:tcBorders>
              <w:tl2br w:val="nil"/>
              <w:tr2bl w:val="nil"/>
            </w:tcBorders>
            <w:vAlign w:val="center"/>
          </w:tcPr>
          <w:p>
            <w:pPr>
              <w:pStyle w:val="30"/>
              <w:spacing w:line="360" w:lineRule="auto"/>
              <w:jc w:val="center"/>
              <w:rPr>
                <w:rFonts w:ascii="仿宋" w:hAnsi="仿宋" w:eastAsia="仿宋" w:cs="仿宋"/>
                <w:bCs/>
                <w:kern w:val="2"/>
                <w:sz w:val="21"/>
                <w:szCs w:val="21"/>
                <w:lang w:val="zh-CN"/>
              </w:rPr>
            </w:pPr>
            <w:r>
              <w:rPr>
                <w:rFonts w:hint="eastAsia" w:ascii="仿宋" w:hAnsi="仿宋" w:eastAsia="仿宋" w:cs="仿宋"/>
                <w:bCs/>
                <w:kern w:val="2"/>
                <w:sz w:val="21"/>
                <w:szCs w:val="21"/>
              </w:rPr>
              <w:t>代理服务费</w:t>
            </w:r>
          </w:p>
        </w:tc>
        <w:tc>
          <w:tcPr>
            <w:tcW w:w="6353" w:type="dxa"/>
            <w:tcBorders>
              <w:tl2br w:val="nil"/>
              <w:tr2bl w:val="nil"/>
            </w:tcBorders>
            <w:vAlign w:val="center"/>
          </w:tcPr>
          <w:p>
            <w:pPr>
              <w:pStyle w:val="30"/>
              <w:spacing w:line="36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rPr>
              <w:t>以</w:t>
            </w:r>
            <w:r>
              <w:rPr>
                <w:rFonts w:hint="eastAsia" w:ascii="仿宋" w:hAnsi="仿宋" w:eastAsia="仿宋" w:cs="仿宋"/>
                <w:sz w:val="21"/>
                <w:szCs w:val="21"/>
                <w:lang w:val="en-US" w:eastAsia="zh-CN"/>
              </w:rPr>
              <w:t>采购预算</w:t>
            </w:r>
            <w:r>
              <w:rPr>
                <w:rFonts w:hint="eastAsia" w:ascii="仿宋" w:hAnsi="仿宋" w:eastAsia="仿宋" w:cs="仿宋"/>
                <w:sz w:val="21"/>
                <w:szCs w:val="21"/>
              </w:rPr>
              <w:t>作为计算基数,参照原国家计委“计价格[2002]1980号”及“发改办价格[2003]857号通知”规定,由</w:t>
            </w:r>
            <w:r>
              <w:rPr>
                <w:rFonts w:hint="eastAsia" w:ascii="仿宋" w:hAnsi="仿宋" w:eastAsia="仿宋" w:cs="仿宋"/>
                <w:sz w:val="21"/>
                <w:szCs w:val="21"/>
                <w:lang w:val="en-US" w:eastAsia="zh-CN"/>
              </w:rPr>
              <w:t>成交</w:t>
            </w:r>
            <w:r>
              <w:rPr>
                <w:rFonts w:hint="eastAsia" w:ascii="仿宋" w:hAnsi="仿宋" w:eastAsia="仿宋" w:cs="仿宋"/>
                <w:sz w:val="21"/>
                <w:szCs w:val="21"/>
              </w:rPr>
              <w:t>人在领取</w:t>
            </w:r>
            <w:r>
              <w:rPr>
                <w:rFonts w:hint="eastAsia" w:ascii="仿宋" w:hAnsi="仿宋" w:eastAsia="仿宋" w:cs="仿宋"/>
                <w:sz w:val="21"/>
                <w:szCs w:val="21"/>
                <w:lang w:val="en-US" w:eastAsia="zh-CN"/>
              </w:rPr>
              <w:t>成交</w:t>
            </w:r>
            <w:r>
              <w:rPr>
                <w:rFonts w:hint="eastAsia" w:ascii="仿宋" w:hAnsi="仿宋" w:eastAsia="仿宋" w:cs="仿宋"/>
                <w:sz w:val="21"/>
                <w:szCs w:val="21"/>
              </w:rPr>
              <w:t>通知书前向招标代理机构交纳招标服务费。</w:t>
            </w:r>
          </w:p>
          <w:p>
            <w:pPr>
              <w:pStyle w:val="30"/>
              <w:spacing w:line="360" w:lineRule="auto"/>
              <w:ind w:firstLine="420" w:firstLineChars="200"/>
              <w:jc w:val="both"/>
              <w:rPr>
                <w:rFonts w:ascii="仿宋" w:hAnsi="仿宋" w:eastAsia="仿宋" w:cs="仿宋"/>
                <w:bCs/>
                <w:kern w:val="2"/>
                <w:sz w:val="21"/>
                <w:szCs w:val="21"/>
              </w:rPr>
            </w:pPr>
            <w:r>
              <w:rPr>
                <w:rFonts w:hint="eastAsia" w:ascii="仿宋" w:hAnsi="仿宋" w:eastAsia="仿宋" w:cs="仿宋"/>
                <w:bCs/>
                <w:kern w:val="2"/>
                <w:sz w:val="21"/>
                <w:szCs w:val="21"/>
              </w:rPr>
              <w:t>收取方式为在成交通知书发出时，由成交单位支付给代理机构。</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单位名称：四川凯亿工程管理咨询有限公司</w:t>
            </w:r>
          </w:p>
          <w:p>
            <w:pPr>
              <w:pStyle w:val="30"/>
              <w:spacing w:line="360" w:lineRule="auto"/>
              <w:ind w:firstLine="420" w:firstLineChars="200"/>
              <w:rPr>
                <w:rFonts w:ascii="仿宋" w:hAnsi="仿宋" w:eastAsia="仿宋" w:cs="仿宋"/>
                <w:bCs/>
                <w:kern w:val="2"/>
                <w:sz w:val="21"/>
                <w:szCs w:val="21"/>
                <w:lang w:val="zh-CN"/>
              </w:rPr>
            </w:pPr>
            <w:r>
              <w:rPr>
                <w:rFonts w:hint="eastAsia" w:ascii="仿宋" w:hAnsi="仿宋" w:eastAsia="仿宋" w:cs="仿宋"/>
                <w:bCs/>
                <w:kern w:val="2"/>
                <w:sz w:val="21"/>
                <w:szCs w:val="21"/>
                <w:lang w:val="zh-CN"/>
              </w:rPr>
              <w:t>开户行：中国工商银行股份有限公司成都棕北支行</w:t>
            </w:r>
          </w:p>
          <w:p>
            <w:pPr>
              <w:pStyle w:val="30"/>
              <w:spacing w:line="360" w:lineRule="auto"/>
              <w:ind w:firstLine="420" w:firstLineChars="200"/>
              <w:jc w:val="both"/>
              <w:rPr>
                <w:rFonts w:ascii="仿宋" w:hAnsi="仿宋" w:eastAsia="仿宋" w:cs="仿宋"/>
                <w:bCs/>
                <w:kern w:val="2"/>
                <w:sz w:val="21"/>
                <w:szCs w:val="21"/>
              </w:rPr>
            </w:pPr>
            <w:r>
              <w:rPr>
                <w:rFonts w:hint="eastAsia" w:ascii="仿宋" w:hAnsi="仿宋" w:eastAsia="仿宋" w:cs="仿宋"/>
                <w:bCs/>
                <w:kern w:val="2"/>
                <w:sz w:val="21"/>
                <w:szCs w:val="21"/>
                <w:lang w:val="zh-CN"/>
              </w:rPr>
              <w:t>银行账号：4402 0221 0910 0101 388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19</w:t>
            </w:r>
          </w:p>
        </w:tc>
        <w:tc>
          <w:tcPr>
            <w:tcW w:w="1844" w:type="dxa"/>
            <w:tcBorders>
              <w:tl2br w:val="nil"/>
              <w:tr2bl w:val="nil"/>
            </w:tcBorders>
            <w:vAlign w:val="center"/>
          </w:tcPr>
          <w:p>
            <w:pPr>
              <w:pStyle w:val="30"/>
              <w:spacing w:line="360" w:lineRule="auto"/>
              <w:ind w:left="96"/>
              <w:jc w:val="center"/>
              <w:rPr>
                <w:rFonts w:ascii="仿宋" w:hAnsi="仿宋" w:eastAsia="仿宋" w:cs="仿宋"/>
                <w:bCs/>
                <w:kern w:val="2"/>
                <w:sz w:val="21"/>
                <w:szCs w:val="21"/>
              </w:rPr>
            </w:pPr>
            <w:r>
              <w:rPr>
                <w:rFonts w:hint="eastAsia" w:ascii="仿宋" w:hAnsi="仿宋" w:eastAsia="仿宋" w:cs="仿宋"/>
                <w:bCs/>
                <w:kern w:val="2"/>
                <w:sz w:val="21"/>
                <w:szCs w:val="21"/>
              </w:rPr>
              <w:t>政府采购信用融资政策</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根据《四川省财政厅关于推进四川省政府采购供应商信用融资工作的通知》（川财采〔2018〕123 号）规定，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20</w:t>
            </w:r>
          </w:p>
        </w:tc>
        <w:tc>
          <w:tcPr>
            <w:tcW w:w="1844" w:type="dxa"/>
            <w:tcBorders>
              <w:tl2br w:val="nil"/>
              <w:tr2bl w:val="nil"/>
            </w:tcBorders>
            <w:vAlign w:val="center"/>
          </w:tcPr>
          <w:p>
            <w:pPr>
              <w:pStyle w:val="30"/>
              <w:spacing w:line="360" w:lineRule="auto"/>
              <w:ind w:left="96"/>
              <w:jc w:val="center"/>
              <w:rPr>
                <w:rFonts w:ascii="仿宋" w:hAnsi="仿宋" w:eastAsia="仿宋" w:cs="仿宋"/>
                <w:bCs/>
                <w:kern w:val="2"/>
                <w:sz w:val="21"/>
                <w:szCs w:val="21"/>
              </w:rPr>
            </w:pPr>
            <w:r>
              <w:rPr>
                <w:rFonts w:hint="eastAsia" w:ascii="仿宋" w:hAnsi="仿宋" w:eastAsia="仿宋" w:cs="仿宋"/>
                <w:bCs/>
                <w:kern w:val="2"/>
                <w:sz w:val="21"/>
                <w:szCs w:val="21"/>
              </w:rPr>
              <w:t>响应文件份数</w:t>
            </w:r>
          </w:p>
        </w:tc>
        <w:tc>
          <w:tcPr>
            <w:tcW w:w="6353" w:type="dxa"/>
            <w:tcBorders>
              <w:tl2br w:val="nil"/>
              <w:tr2bl w:val="nil"/>
            </w:tcBorders>
            <w:vAlign w:val="center"/>
          </w:tcPr>
          <w:p>
            <w:pPr>
              <w:pStyle w:val="30"/>
              <w:spacing w:line="360" w:lineRule="auto"/>
              <w:ind w:firstLine="422" w:firstLineChars="200"/>
              <w:rPr>
                <w:rFonts w:ascii="仿宋" w:hAnsi="仿宋" w:eastAsia="仿宋" w:cs="仿宋"/>
                <w:bCs/>
                <w:kern w:val="2"/>
                <w:sz w:val="21"/>
                <w:szCs w:val="21"/>
              </w:rPr>
            </w:pPr>
            <w:r>
              <w:rPr>
                <w:rFonts w:hint="eastAsia" w:ascii="仿宋" w:hAnsi="仿宋" w:eastAsia="仿宋" w:cs="仿宋"/>
                <w:b/>
                <w:kern w:val="2"/>
                <w:sz w:val="21"/>
                <w:szCs w:val="21"/>
              </w:rPr>
              <w:t>正本壹套，副本贰套（包括资格性响应文件及其他响应文件）；</w:t>
            </w:r>
            <w:r>
              <w:rPr>
                <w:rFonts w:hint="eastAsia" w:ascii="仿宋" w:hAnsi="仿宋" w:eastAsia="仿宋" w:cs="仿宋"/>
                <w:b/>
                <w:bCs/>
                <w:kern w:val="2"/>
                <w:sz w:val="21"/>
                <w:szCs w:val="21"/>
                <w:lang w:val="zh-CN"/>
              </w:rPr>
              <w:t>电子文档1份</w:t>
            </w:r>
            <w:r>
              <w:rPr>
                <w:rFonts w:hint="eastAsia" w:ascii="仿宋" w:hAnsi="仿宋" w:eastAsia="仿宋" w:cs="仿宋"/>
                <w:b/>
                <w:kern w:val="2"/>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21</w:t>
            </w:r>
          </w:p>
        </w:tc>
        <w:tc>
          <w:tcPr>
            <w:tcW w:w="1844" w:type="dxa"/>
            <w:tcBorders>
              <w:tl2br w:val="nil"/>
              <w:tr2bl w:val="nil"/>
            </w:tcBorders>
            <w:vAlign w:val="center"/>
          </w:tcPr>
          <w:p>
            <w:pPr>
              <w:pStyle w:val="51"/>
              <w:snapToGrid w:val="0"/>
              <w:spacing w:line="240" w:lineRule="auto"/>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本项目所属行业</w:t>
            </w:r>
          </w:p>
        </w:tc>
        <w:tc>
          <w:tcPr>
            <w:tcW w:w="6353" w:type="dxa"/>
            <w:tcBorders>
              <w:tl2br w:val="nil"/>
              <w:tr2bl w:val="nil"/>
            </w:tcBorders>
            <w:vAlign w:val="center"/>
          </w:tcPr>
          <w:p>
            <w:pPr>
              <w:pStyle w:val="51"/>
              <w:snapToGrid w:val="0"/>
              <w:spacing w:line="240" w:lineRule="auto"/>
              <w:ind w:left="76" w:leftChars="36" w:right="31" w:rightChars="15" w:firstLine="210" w:firstLineChars="100"/>
              <w:rPr>
                <w:rFonts w:ascii="仿宋" w:hAnsi="仿宋" w:eastAsia="仿宋" w:cs="仿宋"/>
                <w:kern w:val="0"/>
                <w:sz w:val="21"/>
                <w:szCs w:val="21"/>
                <w:lang w:val="zh-CN"/>
              </w:rPr>
            </w:pPr>
            <w:r>
              <w:rPr>
                <w:rFonts w:hint="eastAsia" w:ascii="仿宋" w:hAnsi="仿宋" w:eastAsia="仿宋" w:cs="仿宋"/>
                <w:kern w:val="0"/>
                <w:sz w:val="21"/>
                <w:szCs w:val="21"/>
                <w:lang w:val="zh-CN"/>
              </w:rPr>
              <w:t>本项目所属行业为</w:t>
            </w:r>
            <w:r>
              <w:rPr>
                <w:rFonts w:hint="eastAsia" w:ascii="仿宋" w:hAnsi="仿宋" w:eastAsia="仿宋" w:cs="仿宋"/>
                <w:kern w:val="0"/>
                <w:sz w:val="21"/>
                <w:szCs w:val="21"/>
                <w:lang w:val="en-US" w:eastAsia="zh-CN"/>
              </w:rPr>
              <w:t>租赁与商务服务业</w:t>
            </w:r>
            <w:r>
              <w:rPr>
                <w:rFonts w:hint="eastAsia" w:ascii="仿宋" w:hAnsi="仿宋" w:eastAsia="仿宋" w:cs="仿宋"/>
                <w:kern w:val="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22</w:t>
            </w:r>
          </w:p>
        </w:tc>
        <w:tc>
          <w:tcPr>
            <w:tcW w:w="1844" w:type="dxa"/>
            <w:tcBorders>
              <w:tl2br w:val="nil"/>
              <w:tr2bl w:val="nil"/>
            </w:tcBorders>
            <w:vAlign w:val="center"/>
          </w:tcPr>
          <w:p>
            <w:pPr>
              <w:pStyle w:val="51"/>
              <w:snapToGrid w:val="0"/>
              <w:spacing w:line="240" w:lineRule="auto"/>
              <w:ind w:firstLine="0" w:firstLineChars="0"/>
              <w:jc w:val="center"/>
              <w:rPr>
                <w:rFonts w:ascii="仿宋" w:hAnsi="仿宋" w:eastAsia="仿宋" w:cs="仿宋"/>
                <w:kern w:val="0"/>
                <w:sz w:val="21"/>
                <w:szCs w:val="21"/>
              </w:rPr>
            </w:pPr>
            <w:r>
              <w:rPr>
                <w:rFonts w:hint="eastAsia" w:ascii="仿宋" w:hAnsi="仿宋" w:eastAsia="仿宋" w:cs="仿宋"/>
                <w:sz w:val="21"/>
                <w:szCs w:val="21"/>
                <w:lang w:val="zh-CN"/>
              </w:rPr>
              <w:t>应知事项</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1、除明确要求须声明或承诺的事项外，</w:t>
            </w:r>
            <w:r>
              <w:rPr>
                <w:rFonts w:hint="eastAsia" w:ascii="仿宋" w:hAnsi="仿宋" w:eastAsia="仿宋" w:cs="仿宋"/>
                <w:bCs/>
                <w:kern w:val="2"/>
                <w:sz w:val="21"/>
                <w:szCs w:val="21"/>
                <w:lang w:val="zh-CN"/>
              </w:rPr>
              <w:t>供应商</w:t>
            </w:r>
            <w:r>
              <w:rPr>
                <w:rFonts w:hint="eastAsia" w:ascii="仿宋" w:hAnsi="仿宋" w:eastAsia="仿宋" w:cs="仿宋"/>
                <w:bCs/>
                <w:kern w:val="2"/>
                <w:sz w:val="21"/>
                <w:szCs w:val="21"/>
              </w:rPr>
              <w:t>可不对未要求声明或承诺的实质性要求进行承诺，只要</w:t>
            </w:r>
            <w:r>
              <w:rPr>
                <w:rFonts w:hint="eastAsia" w:ascii="仿宋" w:hAnsi="仿宋" w:eastAsia="仿宋" w:cs="仿宋"/>
                <w:bCs/>
                <w:kern w:val="2"/>
                <w:sz w:val="21"/>
                <w:szCs w:val="21"/>
                <w:lang w:val="zh-CN"/>
              </w:rPr>
              <w:t>供应商</w:t>
            </w:r>
            <w:r>
              <w:rPr>
                <w:rFonts w:hint="eastAsia" w:ascii="仿宋" w:hAnsi="仿宋" w:eastAsia="仿宋" w:cs="仿宋"/>
                <w:bCs/>
                <w:kern w:val="2"/>
                <w:sz w:val="21"/>
                <w:szCs w:val="21"/>
              </w:rPr>
              <w:t>未明确表示不响应磋商文件的要求，即视为</w:t>
            </w:r>
            <w:r>
              <w:rPr>
                <w:rFonts w:hint="eastAsia" w:ascii="仿宋" w:hAnsi="仿宋" w:eastAsia="仿宋" w:cs="仿宋"/>
                <w:bCs/>
                <w:kern w:val="2"/>
                <w:sz w:val="21"/>
                <w:szCs w:val="21"/>
                <w:lang w:val="zh-CN"/>
              </w:rPr>
              <w:t>供应商</w:t>
            </w:r>
            <w:r>
              <w:rPr>
                <w:rFonts w:hint="eastAsia" w:ascii="仿宋" w:hAnsi="仿宋" w:eastAsia="仿宋" w:cs="仿宋"/>
                <w:bCs/>
                <w:kern w:val="2"/>
                <w:sz w:val="21"/>
                <w:szCs w:val="21"/>
              </w:rPr>
              <w:t>完全响应。</w:t>
            </w:r>
          </w:p>
          <w:p>
            <w:pPr>
              <w:pStyle w:val="30"/>
              <w:spacing w:line="360" w:lineRule="auto"/>
              <w:ind w:firstLine="420" w:firstLineChars="200"/>
              <w:rPr>
                <w:rFonts w:ascii="仿宋" w:hAnsi="仿宋" w:eastAsia="仿宋" w:cs="仿宋"/>
                <w:sz w:val="21"/>
                <w:szCs w:val="21"/>
                <w:lang w:val="zh-CN"/>
              </w:rPr>
            </w:pPr>
            <w:r>
              <w:rPr>
                <w:rFonts w:hint="eastAsia" w:ascii="仿宋" w:hAnsi="仿宋" w:eastAsia="仿宋" w:cs="仿宋"/>
                <w:bCs/>
                <w:kern w:val="2"/>
                <w:sz w:val="21"/>
                <w:szCs w:val="21"/>
              </w:rPr>
              <w:t>2、如因行业惯例或习惯，在磋商标文件中使用了非法定计量单位，不影响招响应文件的有效性和符合性。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974" w:type="dxa"/>
            <w:tcBorders>
              <w:tl2br w:val="nil"/>
              <w:tr2bl w:val="nil"/>
            </w:tcBorders>
            <w:vAlign w:val="center"/>
          </w:tcPr>
          <w:p>
            <w:pPr>
              <w:pStyle w:val="30"/>
              <w:spacing w:line="360" w:lineRule="auto"/>
              <w:ind w:firstLine="420" w:firstLineChars="200"/>
              <w:rPr>
                <w:rFonts w:ascii="仿宋" w:hAnsi="仿宋" w:eastAsia="仿宋" w:cs="仿宋"/>
                <w:bCs/>
                <w:kern w:val="2"/>
                <w:sz w:val="21"/>
                <w:szCs w:val="21"/>
              </w:rPr>
            </w:pPr>
            <w:r>
              <w:rPr>
                <w:rFonts w:hint="eastAsia" w:ascii="仿宋" w:hAnsi="仿宋" w:eastAsia="仿宋" w:cs="仿宋"/>
                <w:bCs/>
                <w:kern w:val="2"/>
                <w:sz w:val="21"/>
                <w:szCs w:val="21"/>
              </w:rPr>
              <w:t>23</w:t>
            </w:r>
          </w:p>
        </w:tc>
        <w:tc>
          <w:tcPr>
            <w:tcW w:w="1844" w:type="dxa"/>
            <w:tcBorders>
              <w:tl2br w:val="nil"/>
              <w:tr2bl w:val="nil"/>
            </w:tcBorders>
            <w:vAlign w:val="center"/>
          </w:tcPr>
          <w:p>
            <w:pPr>
              <w:pStyle w:val="30"/>
              <w:spacing w:line="360" w:lineRule="auto"/>
              <w:ind w:left="96"/>
              <w:jc w:val="center"/>
              <w:rPr>
                <w:rFonts w:ascii="仿宋" w:hAnsi="仿宋" w:eastAsia="仿宋" w:cs="仿宋"/>
                <w:bCs/>
                <w:kern w:val="2"/>
                <w:sz w:val="21"/>
                <w:szCs w:val="21"/>
              </w:rPr>
            </w:pPr>
            <w:r>
              <w:rPr>
                <w:rFonts w:hint="eastAsia" w:ascii="仿宋" w:hAnsi="仿宋" w:eastAsia="仿宋" w:cs="仿宋"/>
                <w:bCs/>
                <w:kern w:val="2"/>
                <w:sz w:val="21"/>
                <w:szCs w:val="21"/>
              </w:rPr>
              <w:t>备注</w:t>
            </w:r>
          </w:p>
        </w:tc>
        <w:tc>
          <w:tcPr>
            <w:tcW w:w="6353" w:type="dxa"/>
            <w:tcBorders>
              <w:tl2br w:val="nil"/>
              <w:tr2bl w:val="nil"/>
            </w:tcBorders>
            <w:vAlign w:val="center"/>
          </w:tcPr>
          <w:p>
            <w:pPr>
              <w:pStyle w:val="30"/>
              <w:spacing w:line="360" w:lineRule="auto"/>
              <w:ind w:firstLine="420" w:firstLineChars="200"/>
              <w:rPr>
                <w:rFonts w:ascii="仿宋" w:hAnsi="仿宋" w:eastAsia="仿宋" w:cs="仿宋"/>
                <w:b/>
                <w:kern w:val="2"/>
                <w:sz w:val="21"/>
                <w:szCs w:val="21"/>
              </w:rPr>
            </w:pPr>
            <w:r>
              <w:rPr>
                <w:rFonts w:hint="eastAsia" w:ascii="仿宋" w:hAnsi="仿宋" w:eastAsia="仿宋" w:cs="仿宋"/>
                <w:bCs/>
                <w:kern w:val="2"/>
                <w:sz w:val="21"/>
                <w:szCs w:val="21"/>
              </w:rPr>
              <w:t>若采购文件中同一事项表述与供应商须知附表内容不一致的，以供应商须知附表为准。</w:t>
            </w:r>
          </w:p>
        </w:tc>
      </w:tr>
    </w:tbl>
    <w:p>
      <w:pPr>
        <w:rPr>
          <w:rFonts w:ascii="仿宋" w:hAnsi="仿宋" w:eastAsia="仿宋" w:cs="仿宋"/>
        </w:rPr>
      </w:pPr>
      <w:bookmarkStart w:id="25" w:name="_Toc24300_WPSOffice_Level2"/>
      <w:r>
        <w:rPr>
          <w:rFonts w:hint="eastAsia" w:ascii="仿宋" w:hAnsi="仿宋" w:eastAsia="仿宋" w:cs="仿宋"/>
        </w:rPr>
        <w:br w:type="page"/>
      </w:r>
    </w:p>
    <w:p>
      <w:pPr>
        <w:pStyle w:val="5"/>
        <w:spacing w:before="0" w:after="0" w:line="360" w:lineRule="auto"/>
        <w:jc w:val="center"/>
        <w:rPr>
          <w:rFonts w:ascii="仿宋" w:hAnsi="仿宋" w:eastAsia="仿宋" w:cs="仿宋"/>
        </w:rPr>
      </w:pPr>
      <w:r>
        <w:rPr>
          <w:rFonts w:hint="eastAsia" w:ascii="仿宋" w:hAnsi="仿宋" w:eastAsia="仿宋" w:cs="仿宋"/>
        </w:rPr>
        <w:t>二、总  则</w:t>
      </w:r>
      <w:bookmarkEnd w:id="25"/>
    </w:p>
    <w:p>
      <w:pPr>
        <w:pStyle w:val="6"/>
        <w:keepNext w:val="0"/>
        <w:keepLines w:val="0"/>
        <w:spacing w:before="0" w:after="0" w:line="360" w:lineRule="auto"/>
        <w:ind w:firstLine="482" w:firstLineChars="200"/>
        <w:rPr>
          <w:rFonts w:ascii="仿宋" w:hAnsi="仿宋" w:eastAsia="仿宋" w:cs="仿宋"/>
          <w:sz w:val="24"/>
          <w:szCs w:val="24"/>
        </w:rPr>
      </w:pPr>
      <w:bookmarkStart w:id="26" w:name="_Toc183682342"/>
      <w:bookmarkStart w:id="27" w:name="_Toc183582205"/>
      <w:bookmarkStart w:id="28" w:name="_Toc217446034"/>
      <w:r>
        <w:rPr>
          <w:rFonts w:hint="eastAsia" w:ascii="仿宋" w:hAnsi="仿宋" w:eastAsia="仿宋" w:cs="仿宋"/>
          <w:sz w:val="24"/>
          <w:szCs w:val="24"/>
        </w:rPr>
        <w:t>1.</w:t>
      </w:r>
      <w:bookmarkEnd w:id="26"/>
      <w:bookmarkEnd w:id="27"/>
      <w:r>
        <w:rPr>
          <w:rFonts w:hint="eastAsia" w:ascii="仿宋" w:hAnsi="仿宋" w:eastAsia="仿宋" w:cs="仿宋"/>
          <w:sz w:val="24"/>
          <w:szCs w:val="24"/>
        </w:rPr>
        <w:t>适用范围</w:t>
      </w:r>
      <w:bookmarkEnd w:id="28"/>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1.1本磋商文件仅适用于本次磋商所叙述的服务采购。</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1.2本磋商文件的解释权归采购人和采购代理机构所有。</w:t>
      </w:r>
    </w:p>
    <w:p>
      <w:pPr>
        <w:spacing w:line="360" w:lineRule="auto"/>
        <w:rPr>
          <w:rFonts w:ascii="仿宋" w:hAnsi="仿宋" w:eastAsia="仿宋" w:cs="仿宋"/>
          <w:szCs w:val="21"/>
        </w:rPr>
      </w:pPr>
    </w:p>
    <w:p>
      <w:pPr>
        <w:pStyle w:val="6"/>
        <w:keepNext w:val="0"/>
        <w:keepLines w:val="0"/>
        <w:spacing w:before="0" w:after="0" w:line="360" w:lineRule="auto"/>
        <w:ind w:firstLine="482" w:firstLineChars="200"/>
        <w:rPr>
          <w:rFonts w:ascii="仿宋" w:hAnsi="仿宋" w:eastAsia="仿宋" w:cs="仿宋"/>
          <w:sz w:val="24"/>
          <w:szCs w:val="24"/>
        </w:rPr>
      </w:pPr>
      <w:bookmarkStart w:id="29" w:name="_Toc217446035"/>
      <w:bookmarkStart w:id="30" w:name="_Toc183582206"/>
      <w:bookmarkStart w:id="31" w:name="_Toc183682343"/>
      <w:r>
        <w:rPr>
          <w:rFonts w:hint="eastAsia" w:ascii="仿宋" w:hAnsi="仿宋" w:eastAsia="仿宋" w:cs="仿宋"/>
          <w:sz w:val="24"/>
          <w:szCs w:val="24"/>
        </w:rPr>
        <w:t>2.</w:t>
      </w:r>
      <w:bookmarkEnd w:id="29"/>
      <w:bookmarkEnd w:id="30"/>
      <w:bookmarkEnd w:id="31"/>
      <w:r>
        <w:rPr>
          <w:rFonts w:hint="eastAsia" w:ascii="仿宋" w:hAnsi="仿宋" w:eastAsia="仿宋" w:cs="仿宋"/>
          <w:sz w:val="24"/>
          <w:szCs w:val="24"/>
        </w:rPr>
        <w:t>采购主体</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2.1本次磋商的采购人是</w:t>
      </w:r>
      <w:r>
        <w:rPr>
          <w:rFonts w:hint="eastAsia" w:ascii="仿宋" w:hAnsi="仿宋" w:eastAsia="仿宋" w:cs="仿宋"/>
          <w:sz w:val="24"/>
          <w:lang w:eastAsia="zh-CN"/>
        </w:rPr>
        <w:t>成都市金牛区人民政府荷花池街道办事处</w:t>
      </w:r>
      <w:r>
        <w:rPr>
          <w:rFonts w:hint="eastAsia" w:ascii="仿宋" w:hAnsi="仿宋" w:eastAsia="仿宋" w:cs="仿宋"/>
          <w:sz w:val="24"/>
        </w:rPr>
        <w:t>。</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2.2本次磋商的采购代理机构是四川凯亿工程管理咨询有限公司。</w:t>
      </w:r>
    </w:p>
    <w:p>
      <w:pPr>
        <w:spacing w:line="360" w:lineRule="auto"/>
        <w:rPr>
          <w:rFonts w:ascii="仿宋" w:hAnsi="仿宋" w:eastAsia="仿宋" w:cs="仿宋"/>
        </w:rPr>
      </w:pPr>
      <w:bookmarkStart w:id="32" w:name="_Toc217390843"/>
      <w:bookmarkStart w:id="33" w:name="_Toc217446036"/>
      <w:bookmarkStart w:id="34" w:name="_Toc183582207"/>
      <w:bookmarkStart w:id="35" w:name="_Toc183682344"/>
    </w:p>
    <w:p>
      <w:pPr>
        <w:pStyle w:val="6"/>
        <w:keepNext w:val="0"/>
        <w:keepLines w:val="0"/>
        <w:spacing w:before="0" w:after="0"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3.合格</w:t>
      </w:r>
      <w:bookmarkEnd w:id="32"/>
      <w:bookmarkEnd w:id="33"/>
      <w:bookmarkEnd w:id="34"/>
      <w:bookmarkEnd w:id="35"/>
      <w:r>
        <w:rPr>
          <w:rFonts w:hint="eastAsia" w:ascii="仿宋" w:hAnsi="仿宋" w:eastAsia="仿宋" w:cs="仿宋"/>
          <w:b w:val="0"/>
          <w:bCs w:val="0"/>
          <w:sz w:val="24"/>
          <w:szCs w:val="24"/>
        </w:rPr>
        <w:t>供应商（实质性要求）</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合格供应商应具备以下条件：</w:t>
      </w:r>
    </w:p>
    <w:p>
      <w:pPr>
        <w:tabs>
          <w:tab w:val="left" w:pos="7665"/>
        </w:tabs>
        <w:spacing w:line="360" w:lineRule="auto"/>
        <w:ind w:firstLine="480" w:firstLineChars="200"/>
        <w:rPr>
          <w:rFonts w:ascii="仿宋" w:hAnsi="仿宋" w:eastAsia="仿宋" w:cs="仿宋"/>
          <w:spacing w:val="-4"/>
          <w:sz w:val="24"/>
        </w:rPr>
      </w:pPr>
      <w:r>
        <w:rPr>
          <w:rFonts w:hint="eastAsia" w:ascii="仿宋" w:hAnsi="仿宋" w:eastAsia="仿宋" w:cs="仿宋"/>
          <w:sz w:val="24"/>
        </w:rPr>
        <w:t>3.1具备法律法规和本采购文件规定的资格条件</w:t>
      </w:r>
      <w:r>
        <w:rPr>
          <w:rFonts w:hint="eastAsia" w:ascii="仿宋" w:hAnsi="仿宋" w:eastAsia="仿宋" w:cs="仿宋"/>
          <w:spacing w:val="-4"/>
          <w:sz w:val="24"/>
        </w:rPr>
        <w:t>；</w:t>
      </w:r>
    </w:p>
    <w:p>
      <w:pPr>
        <w:tabs>
          <w:tab w:val="left" w:pos="7665"/>
        </w:tabs>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3.2不属于禁止参加本项目采购活动的供应商；</w:t>
      </w:r>
    </w:p>
    <w:p>
      <w:pPr>
        <w:tabs>
          <w:tab w:val="left" w:pos="7665"/>
        </w:tabs>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3.3按照规定</w:t>
      </w:r>
      <w:r>
        <w:rPr>
          <w:rFonts w:hint="eastAsia" w:ascii="仿宋" w:hAnsi="仿宋" w:eastAsia="仿宋" w:cs="仿宋"/>
          <w:sz w:val="24"/>
        </w:rPr>
        <w:t>获取了磋商文件，属于实质性参加政府采购活动的供应商。</w:t>
      </w:r>
    </w:p>
    <w:p>
      <w:pPr>
        <w:spacing w:line="360" w:lineRule="auto"/>
        <w:rPr>
          <w:rFonts w:ascii="仿宋" w:hAnsi="仿宋" w:eastAsia="仿宋" w:cs="仿宋"/>
        </w:rPr>
      </w:pPr>
      <w:bookmarkStart w:id="36" w:name="_Toc217446037"/>
      <w:bookmarkStart w:id="37" w:name="_Toc183582208"/>
      <w:bookmarkStart w:id="38" w:name="_Toc183682345"/>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4.磋商费用</w:t>
      </w:r>
      <w:bookmarkEnd w:id="36"/>
      <w:bookmarkEnd w:id="37"/>
      <w:bookmarkEnd w:id="38"/>
    </w:p>
    <w:p>
      <w:pPr>
        <w:tabs>
          <w:tab w:val="left" w:pos="7665"/>
        </w:tabs>
        <w:spacing w:line="360" w:lineRule="auto"/>
        <w:ind w:firstLine="480"/>
        <w:rPr>
          <w:rFonts w:ascii="仿宋" w:hAnsi="仿宋" w:eastAsia="仿宋" w:cs="仿宋"/>
          <w:sz w:val="24"/>
        </w:rPr>
      </w:pPr>
      <w:r>
        <w:rPr>
          <w:rFonts w:hint="eastAsia" w:ascii="仿宋" w:hAnsi="仿宋" w:eastAsia="仿宋" w:cs="仿宋"/>
          <w:sz w:val="24"/>
        </w:rPr>
        <w:t>供应商应自行承担参加磋商活动的全部费用。</w:t>
      </w:r>
    </w:p>
    <w:p>
      <w:pPr>
        <w:spacing w:line="360" w:lineRule="auto"/>
        <w:rPr>
          <w:rFonts w:ascii="仿宋" w:hAnsi="仿宋" w:eastAsia="仿宋" w:cs="仿宋"/>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5.充分、公平竞争保障措施（实质性要求）</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5.4供应商实际控制人或者中高级管理人员，同时是采购代理机构工作人员，不得参与本项目政府采购活动。</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5.7回避。政府采购活动中，采购人员及相关人员与供应商有下列利害关系之一的，应当回避：</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（1）参加采购活动前3年内与供应商存在劳动关系；</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（2）参加采购活动前3年内担任供应商的董事、监事；</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（3）参加采购活动前3年内是供应商的控股股东或者实际控制人；</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（4）与供应商的法定代表人或者负责人有夫妻、直系血亲、三代以内旁系血亲或者近姻亲关系；</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（5）与供应商有其他可能影响政府采购活动公平、公正进行的关系。</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
        <w:keepNext w:val="0"/>
        <w:keepLines w:val="0"/>
        <w:spacing w:before="0" w:after="0" w:line="360" w:lineRule="auto"/>
        <w:ind w:firstLine="482" w:firstLineChars="200"/>
        <w:rPr>
          <w:rFonts w:ascii="仿宋" w:hAnsi="仿宋" w:eastAsia="仿宋" w:cs="仿宋"/>
          <w:sz w:val="24"/>
        </w:rPr>
      </w:pPr>
      <w:r>
        <w:rPr>
          <w:rFonts w:hint="eastAsia" w:ascii="仿宋" w:hAnsi="仿宋" w:eastAsia="仿宋" w:cs="仿宋"/>
          <w:sz w:val="24"/>
          <w:szCs w:val="24"/>
        </w:rPr>
        <w:t>6.磋商保证金：本项目不收取。</w:t>
      </w: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7.响应文件有效期（实质性要求）</w:t>
      </w:r>
    </w:p>
    <w:p>
      <w:pPr>
        <w:spacing w:line="360" w:lineRule="auto"/>
        <w:ind w:firstLine="470" w:firstLineChars="196"/>
        <w:rPr>
          <w:rFonts w:ascii="仿宋" w:hAnsi="仿宋" w:eastAsia="仿宋" w:cs="仿宋"/>
          <w:sz w:val="24"/>
        </w:rPr>
      </w:pPr>
      <w:r>
        <w:rPr>
          <w:rFonts w:hint="eastAsia" w:ascii="仿宋" w:hAnsi="仿宋" w:eastAsia="仿宋" w:cs="仿宋"/>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仿宋" w:hAnsi="仿宋" w:eastAsia="仿宋" w:cs="仿宋"/>
          <w:b/>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8.联合体竞争性磋商（实质性要求）</w:t>
      </w:r>
    </w:p>
    <w:p>
      <w:pPr>
        <w:spacing w:line="360" w:lineRule="auto"/>
        <w:ind w:firstLine="470" w:firstLineChars="196"/>
        <w:rPr>
          <w:rFonts w:ascii="仿宋" w:hAnsi="仿宋" w:eastAsia="仿宋" w:cs="仿宋"/>
          <w:sz w:val="24"/>
        </w:rPr>
      </w:pPr>
      <w:r>
        <w:rPr>
          <w:rFonts w:hint="eastAsia" w:ascii="仿宋" w:hAnsi="仿宋" w:eastAsia="仿宋" w:cs="仿宋"/>
          <w:sz w:val="24"/>
        </w:rPr>
        <w:t>本项目不接受联合体参与采购活动。</w:t>
      </w:r>
    </w:p>
    <w:p>
      <w:pPr>
        <w:spacing w:line="360" w:lineRule="auto"/>
        <w:rPr>
          <w:rFonts w:ascii="仿宋" w:hAnsi="仿宋" w:eastAsia="仿宋" w:cs="仿宋"/>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9.知识产权（实质性要求）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仿宋" w:hAnsi="仿宋" w:eastAsia="仿宋" w:cs="仿宋"/>
          <w:sz w:val="24"/>
        </w:rPr>
      </w:pPr>
      <w:r>
        <w:rPr>
          <w:rFonts w:hint="eastAsia" w:ascii="仿宋" w:hAnsi="仿宋" w:eastAsia="仿宋" w:cs="仿宋"/>
          <w:sz w:val="24"/>
        </w:rPr>
        <w:t>9.2除非磋商文件特别规定，采购人享有本项目实施过程中产生的知识成果及知识产权。</w:t>
      </w:r>
    </w:p>
    <w:p>
      <w:pPr>
        <w:spacing w:line="360" w:lineRule="auto"/>
        <w:ind w:firstLine="480" w:firstLineChars="200"/>
        <w:rPr>
          <w:rFonts w:ascii="仿宋" w:hAnsi="仿宋" w:eastAsia="仿宋" w:cs="仿宋"/>
          <w:sz w:val="24"/>
        </w:rPr>
      </w:pPr>
      <w:r>
        <w:rPr>
          <w:rFonts w:hint="eastAsia" w:ascii="仿宋" w:hAnsi="仿宋" w:eastAsia="仿宋" w:cs="仿宋"/>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仿宋"/>
          <w:sz w:val="24"/>
        </w:rPr>
      </w:pPr>
      <w:r>
        <w:rPr>
          <w:rFonts w:hint="eastAsia" w:ascii="仿宋" w:hAnsi="仿宋" w:eastAsia="仿宋" w:cs="仿宋"/>
          <w:sz w:val="24"/>
        </w:rPr>
        <w:t xml:space="preserve">9.4如采用供应商所不拥有的知识产权，则在报价中必须包括合法获取该知识产权的相关费用。 </w:t>
      </w:r>
    </w:p>
    <w:p>
      <w:pPr>
        <w:pStyle w:val="5"/>
        <w:spacing w:before="0" w:after="0" w:line="360" w:lineRule="auto"/>
        <w:jc w:val="center"/>
        <w:rPr>
          <w:rFonts w:ascii="仿宋" w:hAnsi="仿宋" w:eastAsia="仿宋" w:cs="仿宋"/>
        </w:rPr>
      </w:pPr>
      <w:bookmarkStart w:id="39" w:name="_Toc89075875"/>
      <w:bookmarkStart w:id="40" w:name="_Toc7502_WPSOffice_Level2"/>
      <w:bookmarkStart w:id="41" w:name="_Toc183582209"/>
      <w:bookmarkStart w:id="42" w:name="_Toc183682346"/>
      <w:bookmarkStart w:id="43" w:name="_Toc77400779"/>
      <w:bookmarkStart w:id="44" w:name="_Toc217446038"/>
      <w:r>
        <w:rPr>
          <w:rFonts w:hint="eastAsia" w:ascii="仿宋" w:hAnsi="仿宋" w:eastAsia="仿宋" w:cs="仿宋"/>
        </w:rPr>
        <w:t>三、磋商文件</w:t>
      </w:r>
      <w:bookmarkEnd w:id="39"/>
      <w:bookmarkEnd w:id="40"/>
      <w:bookmarkEnd w:id="41"/>
      <w:bookmarkEnd w:id="42"/>
      <w:bookmarkEnd w:id="43"/>
      <w:bookmarkEnd w:id="44"/>
    </w:p>
    <w:p>
      <w:pPr>
        <w:pStyle w:val="6"/>
        <w:keepNext w:val="0"/>
        <w:keepLines w:val="0"/>
        <w:spacing w:before="0" w:after="0" w:line="360" w:lineRule="auto"/>
        <w:ind w:firstLine="482" w:firstLineChars="200"/>
        <w:rPr>
          <w:rFonts w:ascii="仿宋" w:hAnsi="仿宋" w:eastAsia="仿宋" w:cs="仿宋"/>
          <w:sz w:val="24"/>
          <w:szCs w:val="24"/>
        </w:rPr>
      </w:pPr>
      <w:bookmarkStart w:id="45" w:name="_Toc183682347"/>
      <w:bookmarkStart w:id="46" w:name="_Toc217446039"/>
      <w:bookmarkStart w:id="47" w:name="_Toc183582210"/>
      <w:r>
        <w:rPr>
          <w:rFonts w:hint="eastAsia" w:ascii="仿宋" w:hAnsi="仿宋" w:eastAsia="仿宋" w:cs="仿宋"/>
          <w:sz w:val="24"/>
          <w:szCs w:val="24"/>
        </w:rPr>
        <w:t>10.磋商文件的构成</w:t>
      </w:r>
      <w:bookmarkEnd w:id="45"/>
      <w:bookmarkEnd w:id="46"/>
      <w:bookmarkEnd w:id="47"/>
      <w:r>
        <w:rPr>
          <w:rFonts w:hint="eastAsia" w:ascii="仿宋" w:hAnsi="仿宋" w:eastAsia="仿宋" w:cs="仿宋"/>
          <w:sz w:val="24"/>
          <w:szCs w:val="24"/>
        </w:rPr>
        <w:t>（实质性要求）</w:t>
      </w:r>
    </w:p>
    <w:p>
      <w:pPr>
        <w:tabs>
          <w:tab w:val="left" w:pos="720"/>
        </w:tabs>
        <w:spacing w:line="360" w:lineRule="auto"/>
        <w:ind w:firstLine="480" w:firstLineChars="200"/>
        <w:rPr>
          <w:rFonts w:ascii="仿宋" w:hAnsi="仿宋" w:eastAsia="仿宋" w:cs="仿宋"/>
          <w:sz w:val="24"/>
        </w:rPr>
      </w:pPr>
      <w:r>
        <w:rPr>
          <w:rFonts w:hint="eastAsia" w:ascii="仿宋" w:hAnsi="仿宋" w:eastAsia="仿宋" w:cs="仿宋"/>
          <w:sz w:val="24"/>
        </w:rPr>
        <w:t>10</w:t>
      </w:r>
      <w:r>
        <w:rPr>
          <w:rFonts w:hint="eastAsia" w:ascii="仿宋" w:hAnsi="仿宋" w:eastAsia="仿宋" w:cs="仿宋"/>
          <w:b/>
          <w:bCs/>
          <w:sz w:val="24"/>
        </w:rPr>
        <w:t>.</w:t>
      </w:r>
      <w:r>
        <w:rPr>
          <w:rFonts w:hint="eastAsia" w:ascii="仿宋" w:hAnsi="仿宋" w:eastAsia="仿宋" w:cs="仿宋"/>
          <w:sz w:val="24"/>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10</w:t>
      </w:r>
      <w:r>
        <w:rPr>
          <w:rFonts w:hint="eastAsia" w:ascii="仿宋" w:hAnsi="仿宋" w:eastAsia="仿宋" w:cs="仿宋"/>
          <w:b/>
          <w:bCs/>
          <w:sz w:val="24"/>
        </w:rPr>
        <w:t>.</w:t>
      </w:r>
      <w:r>
        <w:rPr>
          <w:rFonts w:hint="eastAsia" w:ascii="仿宋" w:hAnsi="仿宋" w:eastAsia="仿宋" w:cs="仿宋"/>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ascii="仿宋" w:hAnsi="仿宋" w:eastAsia="仿宋" w:cs="仿宋"/>
          <w:sz w:val="24"/>
        </w:rPr>
      </w:pPr>
      <w:bookmarkStart w:id="48" w:name="_Toc183682348"/>
      <w:bookmarkStart w:id="49" w:name="_Toc183582211"/>
      <w:bookmarkStart w:id="50" w:name="_Toc217446040"/>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11.磋商文件的澄清</w:t>
      </w:r>
      <w:bookmarkEnd w:id="48"/>
      <w:bookmarkEnd w:id="49"/>
      <w:r>
        <w:rPr>
          <w:rFonts w:hint="eastAsia" w:ascii="仿宋" w:hAnsi="仿宋" w:eastAsia="仿宋" w:cs="仿宋"/>
          <w:sz w:val="24"/>
          <w:szCs w:val="24"/>
        </w:rPr>
        <w:t>和修改</w:t>
      </w:r>
      <w:bookmarkEnd w:id="50"/>
    </w:p>
    <w:p>
      <w:pPr>
        <w:tabs>
          <w:tab w:val="left" w:pos="720"/>
        </w:tabs>
        <w:spacing w:line="360" w:lineRule="auto"/>
        <w:ind w:firstLine="480" w:firstLineChars="200"/>
        <w:rPr>
          <w:rFonts w:ascii="仿宋" w:hAnsi="仿宋" w:eastAsia="仿宋" w:cs="仿宋"/>
          <w:sz w:val="24"/>
        </w:rPr>
      </w:pPr>
      <w:r>
        <w:rPr>
          <w:rFonts w:hint="eastAsia" w:ascii="仿宋" w:hAnsi="仿宋" w:eastAsia="仿宋" w:cs="仿宋"/>
          <w:sz w:val="24"/>
        </w:rPr>
        <w:t>11.1在递交响应文件截止时间前，采购人、采购代理机构可以对磋商文件进行澄清或者修改。</w:t>
      </w:r>
    </w:p>
    <w:p>
      <w:pPr>
        <w:tabs>
          <w:tab w:val="left" w:pos="720"/>
        </w:tabs>
        <w:spacing w:line="360" w:lineRule="auto"/>
        <w:ind w:firstLine="480" w:firstLineChars="200"/>
        <w:rPr>
          <w:rFonts w:ascii="仿宋" w:hAnsi="仿宋" w:eastAsia="仿宋" w:cs="仿宋"/>
          <w:sz w:val="24"/>
        </w:rPr>
      </w:pPr>
      <w:r>
        <w:rPr>
          <w:rFonts w:hint="eastAsia" w:ascii="仿宋" w:hAnsi="仿宋" w:eastAsia="仿宋" w:cs="仿宋"/>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ascii="仿宋" w:hAnsi="仿宋" w:eastAsia="仿宋" w:cs="仿宋"/>
          <w:sz w:val="24"/>
        </w:rPr>
      </w:pPr>
      <w:r>
        <w:rPr>
          <w:rFonts w:hint="eastAsia" w:ascii="仿宋" w:hAnsi="仿宋" w:eastAsia="仿宋" w:cs="仿宋"/>
          <w:sz w:val="24"/>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ascii="仿宋" w:hAnsi="仿宋" w:eastAsia="仿宋" w:cs="仿宋"/>
          <w:szCs w:val="21"/>
        </w:rPr>
      </w:pPr>
    </w:p>
    <w:p>
      <w:pPr>
        <w:pStyle w:val="6"/>
        <w:keepNext w:val="0"/>
        <w:keepLines w:val="0"/>
        <w:spacing w:before="0" w:after="0" w:line="360" w:lineRule="auto"/>
        <w:ind w:firstLine="482" w:firstLineChars="200"/>
        <w:rPr>
          <w:rFonts w:ascii="仿宋" w:hAnsi="仿宋" w:eastAsia="仿宋" w:cs="仿宋"/>
          <w:sz w:val="24"/>
          <w:szCs w:val="24"/>
        </w:rPr>
      </w:pPr>
      <w:bookmarkStart w:id="51" w:name="_Toc208848971"/>
      <w:bookmarkStart w:id="52" w:name="_Toc217446041"/>
      <w:r>
        <w:rPr>
          <w:rFonts w:hint="eastAsia" w:ascii="仿宋" w:hAnsi="仿宋" w:eastAsia="仿宋" w:cs="仿宋"/>
          <w:sz w:val="24"/>
          <w:szCs w:val="24"/>
        </w:rPr>
        <w:t>12.答疑会和现场考察</w:t>
      </w:r>
      <w:bookmarkEnd w:id="51"/>
      <w:bookmarkEnd w:id="52"/>
    </w:p>
    <w:p>
      <w:pPr>
        <w:tabs>
          <w:tab w:val="left" w:pos="720"/>
        </w:tabs>
        <w:spacing w:line="360" w:lineRule="auto"/>
        <w:ind w:firstLine="480" w:firstLineChars="200"/>
        <w:rPr>
          <w:rFonts w:ascii="仿宋" w:hAnsi="仿宋" w:eastAsia="仿宋" w:cs="仿宋"/>
          <w:sz w:val="24"/>
        </w:rPr>
      </w:pPr>
      <w:bookmarkStart w:id="53" w:name="_Toc217446042"/>
      <w:bookmarkStart w:id="54" w:name="_Toc183582214"/>
      <w:bookmarkStart w:id="55" w:name="_Toc77400780"/>
      <w:bookmarkStart w:id="56" w:name="_Toc89075876"/>
      <w:bookmarkStart w:id="57" w:name="_Toc183682351"/>
      <w:r>
        <w:rPr>
          <w:rFonts w:hint="eastAsia" w:ascii="仿宋" w:hAnsi="仿宋" w:eastAsia="仿宋" w:cs="仿宋"/>
          <w:sz w:val="24"/>
        </w:rPr>
        <w:t>本项目不举办答疑会和现场考察,由供应商自行现场考察。</w:t>
      </w:r>
    </w:p>
    <w:p>
      <w:pPr>
        <w:pStyle w:val="5"/>
        <w:spacing w:before="0" w:after="0" w:line="360" w:lineRule="auto"/>
        <w:jc w:val="center"/>
        <w:rPr>
          <w:rFonts w:ascii="仿宋" w:hAnsi="仿宋" w:eastAsia="仿宋" w:cs="仿宋"/>
        </w:rPr>
      </w:pPr>
      <w:bookmarkStart w:id="58" w:name="_Toc3317_WPSOffice_Level2"/>
      <w:r>
        <w:rPr>
          <w:rFonts w:hint="eastAsia" w:ascii="仿宋" w:hAnsi="仿宋" w:eastAsia="仿宋" w:cs="仿宋"/>
        </w:rPr>
        <w:t>四、响应文件</w:t>
      </w:r>
      <w:bookmarkEnd w:id="53"/>
      <w:bookmarkEnd w:id="54"/>
      <w:bookmarkEnd w:id="55"/>
      <w:bookmarkEnd w:id="56"/>
      <w:bookmarkEnd w:id="57"/>
      <w:bookmarkEnd w:id="58"/>
    </w:p>
    <w:p>
      <w:pPr>
        <w:pStyle w:val="6"/>
        <w:keepNext w:val="0"/>
        <w:keepLines w:val="0"/>
        <w:spacing w:before="0" w:after="0" w:line="360" w:lineRule="auto"/>
        <w:ind w:firstLine="482" w:firstLineChars="200"/>
        <w:rPr>
          <w:rFonts w:ascii="仿宋" w:hAnsi="仿宋" w:eastAsia="仿宋" w:cs="仿宋"/>
          <w:sz w:val="24"/>
          <w:szCs w:val="24"/>
        </w:rPr>
      </w:pPr>
      <w:bookmarkStart w:id="59" w:name="_Toc183582215"/>
      <w:bookmarkStart w:id="60" w:name="_Toc183682352"/>
      <w:bookmarkStart w:id="61" w:name="_Toc217446043"/>
      <w:r>
        <w:rPr>
          <w:rFonts w:hint="eastAsia" w:ascii="仿宋" w:hAnsi="仿宋" w:eastAsia="仿宋" w:cs="仿宋"/>
          <w:sz w:val="24"/>
          <w:szCs w:val="24"/>
        </w:rPr>
        <w:t>13.响应文件的组成</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bCs w:val="0"/>
          <w:sz w:val="24"/>
          <w:szCs w:val="24"/>
        </w:rPr>
      </w:pPr>
      <w:r>
        <w:rPr>
          <w:rFonts w:hint="eastAsia" w:ascii="仿宋" w:hAnsi="仿宋" w:eastAsia="仿宋" w:cs="仿宋"/>
          <w:bCs w:val="0"/>
          <w:sz w:val="24"/>
          <w:szCs w:val="24"/>
        </w:rPr>
        <w:t>14.响应文件的语言</w:t>
      </w:r>
      <w:bookmarkEnd w:id="59"/>
      <w:bookmarkEnd w:id="60"/>
      <w:bookmarkEnd w:id="61"/>
      <w:r>
        <w:rPr>
          <w:rFonts w:hint="eastAsia" w:ascii="仿宋" w:hAnsi="仿宋" w:eastAsia="仿宋" w:cs="仿宋"/>
          <w:bCs w:val="0"/>
          <w:sz w:val="24"/>
          <w:szCs w:val="24"/>
        </w:rPr>
        <w:t>（实质性要求）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仿宋" w:hAnsi="仿宋" w:eastAsia="仿宋" w:cs="仿宋"/>
          <w:sz w:val="24"/>
        </w:rPr>
      </w:pPr>
      <w:r>
        <w:rPr>
          <w:rFonts w:hint="eastAsia" w:ascii="仿宋" w:hAnsi="仿宋" w:eastAsia="仿宋" w:cs="仿宋"/>
          <w:sz w:val="24"/>
        </w:rPr>
        <w:t>14.2 翻译的中文资料与外文资料如果出现差异和矛盾，以中文为准。但不能故意错误翻译，否则，供应商的响应文件将作为无效处理。</w:t>
      </w:r>
    </w:p>
    <w:p>
      <w:pPr>
        <w:spacing w:line="360" w:lineRule="auto"/>
        <w:rPr>
          <w:rFonts w:ascii="仿宋" w:hAnsi="仿宋" w:eastAsia="仿宋" w:cs="仿宋"/>
          <w:sz w:val="24"/>
        </w:rPr>
      </w:pPr>
      <w:bookmarkStart w:id="62" w:name="_Toc183582216"/>
      <w:bookmarkStart w:id="63" w:name="_Toc217446044"/>
      <w:bookmarkStart w:id="64" w:name="_Toc183682353"/>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15.计量单位</w:t>
      </w:r>
      <w:bookmarkEnd w:id="62"/>
      <w:bookmarkEnd w:id="63"/>
      <w:bookmarkEnd w:id="64"/>
      <w:r>
        <w:rPr>
          <w:rFonts w:hint="eastAsia" w:ascii="仿宋" w:hAnsi="仿宋" w:eastAsia="仿宋" w:cs="仿宋"/>
          <w:sz w:val="24"/>
          <w:szCs w:val="24"/>
        </w:rPr>
        <w:t>（实质性要求）</w:t>
      </w:r>
    </w:p>
    <w:p>
      <w:pPr>
        <w:spacing w:line="360" w:lineRule="auto"/>
        <w:ind w:firstLine="470" w:firstLineChars="196"/>
        <w:rPr>
          <w:rFonts w:ascii="仿宋" w:hAnsi="仿宋" w:eastAsia="仿宋" w:cs="仿宋"/>
          <w:sz w:val="24"/>
        </w:rPr>
      </w:pPr>
      <w:r>
        <w:rPr>
          <w:rFonts w:hint="eastAsia" w:ascii="仿宋" w:hAnsi="仿宋" w:eastAsia="仿宋" w:cs="仿宋"/>
          <w:sz w:val="24"/>
        </w:rPr>
        <w:t>除磋商文件中另有规定外，本次采购项目所有合同项下的报价均采用国家法定的计量单位。</w:t>
      </w:r>
    </w:p>
    <w:p>
      <w:pPr>
        <w:spacing w:line="360" w:lineRule="auto"/>
        <w:rPr>
          <w:rFonts w:ascii="仿宋" w:hAnsi="仿宋" w:eastAsia="仿宋" w:cs="仿宋"/>
          <w:b/>
          <w:bCs/>
          <w:sz w:val="24"/>
        </w:rPr>
      </w:pPr>
      <w:bookmarkStart w:id="65" w:name="_Toc217446045"/>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16.报价（实质性要求）</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16.1本次磋商项目的</w:t>
      </w:r>
      <w:r>
        <w:rPr>
          <w:rFonts w:hint="eastAsia" w:ascii="仿宋" w:hAnsi="仿宋" w:eastAsia="仿宋" w:cs="仿宋"/>
          <w:sz w:val="24"/>
        </w:rPr>
        <w:t>报价货币为</w:t>
      </w:r>
      <w:r>
        <w:rPr>
          <w:rFonts w:hint="eastAsia" w:ascii="仿宋" w:hAnsi="仿宋" w:eastAsia="仿宋" w:cs="仿宋"/>
          <w:bCs/>
          <w:sz w:val="24"/>
        </w:rPr>
        <w:t>人民币，报价以磋商文件规定为准。</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16.2供应商的报价是其响应本项目要求的全部工作内容的价格体现，包括供应商完成本项目所需的一切费用。</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16.3供应商报价超过政府采购预算或最高限价（具体详见“供应商须知附表”）的，视为无效报价，将被淘汰。</w:t>
      </w:r>
    </w:p>
    <w:p>
      <w:pPr>
        <w:spacing w:line="360" w:lineRule="auto"/>
        <w:rPr>
          <w:rFonts w:ascii="仿宋" w:hAnsi="仿宋" w:eastAsia="仿宋" w:cs="仿宋"/>
          <w:bCs/>
          <w:sz w:val="24"/>
        </w:rPr>
      </w:pPr>
    </w:p>
    <w:bookmarkEnd w:id="65"/>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17.响应文件格式</w:t>
      </w:r>
    </w:p>
    <w:p>
      <w:pPr>
        <w:spacing w:line="360" w:lineRule="auto"/>
        <w:ind w:left="2" w:leftChars="1" w:firstLine="480" w:firstLineChars="200"/>
        <w:rPr>
          <w:rFonts w:ascii="仿宋" w:hAnsi="仿宋" w:eastAsia="仿宋" w:cs="仿宋"/>
          <w:bCs/>
          <w:sz w:val="24"/>
        </w:rPr>
      </w:pPr>
      <w:r>
        <w:rPr>
          <w:rFonts w:hint="eastAsia" w:ascii="仿宋" w:hAnsi="仿宋" w:eastAsia="仿宋" w:cs="仿宋"/>
          <w:bCs/>
          <w:sz w:val="24"/>
        </w:rPr>
        <w:t>17.1供应商应执行磋商文件第七章的规定要求。</w:t>
      </w:r>
    </w:p>
    <w:p>
      <w:pPr>
        <w:spacing w:line="360" w:lineRule="auto"/>
        <w:ind w:left="2" w:leftChars="1" w:firstLine="480" w:firstLineChars="200"/>
        <w:rPr>
          <w:rFonts w:ascii="仿宋" w:hAnsi="仿宋" w:eastAsia="仿宋" w:cs="仿宋"/>
          <w:sz w:val="24"/>
        </w:rPr>
      </w:pPr>
      <w:r>
        <w:rPr>
          <w:rFonts w:hint="eastAsia" w:ascii="仿宋" w:hAnsi="仿宋" w:eastAsia="仿宋" w:cs="仿宋"/>
          <w:sz w:val="24"/>
        </w:rPr>
        <w:t>17.2对于没有格式要求的磋商文件由供应商自行编写。</w:t>
      </w:r>
    </w:p>
    <w:p>
      <w:pPr>
        <w:spacing w:line="360" w:lineRule="auto"/>
        <w:rPr>
          <w:rFonts w:ascii="仿宋" w:hAnsi="仿宋" w:eastAsia="仿宋" w:cs="仿宋"/>
          <w:sz w:val="24"/>
        </w:rPr>
      </w:pPr>
      <w:bookmarkStart w:id="66" w:name="_Toc217446051"/>
      <w:bookmarkStart w:id="67" w:name="_Toc183682361"/>
      <w:bookmarkStart w:id="68" w:name="_Toc183582224"/>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18.响应文件的编制和签署</w:t>
      </w:r>
    </w:p>
    <w:p>
      <w:pPr>
        <w:spacing w:line="360" w:lineRule="auto"/>
        <w:ind w:firstLine="468" w:firstLineChars="195"/>
        <w:rPr>
          <w:rFonts w:ascii="仿宋" w:hAnsi="仿宋" w:eastAsia="仿宋" w:cs="仿宋"/>
          <w:bCs/>
          <w:sz w:val="24"/>
        </w:rPr>
      </w:pPr>
      <w:r>
        <w:rPr>
          <w:rFonts w:hint="eastAsia" w:ascii="仿宋" w:hAnsi="仿宋" w:eastAsia="仿宋" w:cs="仿宋"/>
          <w:sz w:val="24"/>
        </w:rPr>
        <w:t>18.1</w:t>
      </w:r>
      <w:r>
        <w:rPr>
          <w:rFonts w:hint="eastAsia" w:ascii="仿宋" w:hAnsi="仿宋" w:eastAsia="仿宋" w:cs="仿宋"/>
          <w:b/>
          <w:bCs/>
          <w:sz w:val="24"/>
        </w:rPr>
        <w:t>资格性响应文件正本壹份副本贰份</w:t>
      </w:r>
      <w:r>
        <w:rPr>
          <w:rFonts w:hint="eastAsia" w:ascii="仿宋" w:hAnsi="仿宋" w:eastAsia="仿宋" w:cs="仿宋"/>
          <w:bCs/>
          <w:sz w:val="24"/>
        </w:rPr>
        <w:t>，并在其封面上清楚地标明资格性响应文件、项目名称、项目编号、包件号及名称（若有）、供应商名称以及“正本”或“副本”字样。若正本和副本（或电子文档）有不一致的内容，以正本书面响应文件为准。</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18.2</w:t>
      </w:r>
      <w:r>
        <w:rPr>
          <w:rFonts w:hint="eastAsia" w:ascii="仿宋" w:hAnsi="仿宋" w:eastAsia="仿宋" w:cs="仿宋"/>
          <w:b/>
          <w:sz w:val="24"/>
        </w:rPr>
        <w:t>其他响应文件正本壹份副本</w:t>
      </w:r>
      <w:r>
        <w:rPr>
          <w:rFonts w:hint="eastAsia" w:ascii="仿宋" w:hAnsi="仿宋" w:eastAsia="仿宋" w:cs="仿宋"/>
          <w:b/>
          <w:bCs/>
          <w:sz w:val="24"/>
        </w:rPr>
        <w:t>贰</w:t>
      </w:r>
      <w:r>
        <w:rPr>
          <w:rFonts w:hint="eastAsia" w:ascii="仿宋" w:hAnsi="仿宋" w:eastAsia="仿宋" w:cs="仿宋"/>
          <w:b/>
          <w:sz w:val="24"/>
        </w:rPr>
        <w:t>份</w:t>
      </w:r>
      <w:r>
        <w:rPr>
          <w:rFonts w:hint="eastAsia" w:ascii="仿宋" w:hAnsi="仿宋" w:eastAsia="仿宋" w:cs="仿宋"/>
          <w:bCs/>
          <w:sz w:val="24"/>
        </w:rPr>
        <w:t>，并在其封面上清楚地标明其他响应文件、项目名称、项目编号、包件号及名称（若有）、供应商名称以及“正本”或“副本”字样。若正本和副本有不一致的内容，以正本书面响应文件为准。</w:t>
      </w:r>
    </w:p>
    <w:p>
      <w:pPr>
        <w:pStyle w:val="2"/>
        <w:ind w:firstLine="482" w:firstLineChars="200"/>
        <w:rPr>
          <w:rFonts w:ascii="仿宋" w:hAnsi="仿宋" w:eastAsia="仿宋" w:cs="仿宋"/>
          <w:bCs/>
          <w:sz w:val="24"/>
          <w:szCs w:val="24"/>
        </w:rPr>
      </w:pPr>
      <w:r>
        <w:rPr>
          <w:rFonts w:hint="eastAsia" w:ascii="仿宋" w:hAnsi="仿宋" w:eastAsia="仿宋" w:cs="仿宋"/>
          <w:b/>
          <w:sz w:val="24"/>
          <w:szCs w:val="24"/>
        </w:rPr>
        <w:t>18.3响应文件电子文档（包含资格性响应文件和其他响应文件，U盘或光盘制作）壹份。</w:t>
      </w:r>
    </w:p>
    <w:bookmarkEnd w:id="66"/>
    <w:bookmarkEnd w:id="67"/>
    <w:bookmarkEnd w:id="68"/>
    <w:p>
      <w:pPr>
        <w:spacing w:line="360" w:lineRule="auto"/>
        <w:ind w:firstLine="468" w:firstLineChars="195"/>
        <w:rPr>
          <w:rFonts w:ascii="仿宋" w:hAnsi="仿宋" w:eastAsia="仿宋" w:cs="仿宋"/>
          <w:bCs/>
          <w:sz w:val="24"/>
        </w:rPr>
      </w:pPr>
      <w:r>
        <w:rPr>
          <w:rFonts w:hint="eastAsia" w:ascii="仿宋" w:hAnsi="仿宋" w:eastAsia="仿宋" w:cs="仿宋"/>
          <w:bCs/>
          <w:sz w:val="24"/>
        </w:rPr>
        <w:t>18.4响应文件正本和副本均需在规定签章处签字和盖章。响应文件副本可采用正本的复印件。</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18.5响应文件的打印和书写应清楚工整，任何行间插字、涂改或增删，必须由供应商的法定代表人或其授权代表签字并盖供应商公章。</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18.6</w:t>
      </w:r>
      <w:r>
        <w:rPr>
          <w:rFonts w:hint="eastAsia" w:ascii="仿宋" w:hAnsi="仿宋" w:eastAsia="仿宋" w:cs="仿宋"/>
          <w:b/>
          <w:sz w:val="24"/>
        </w:rPr>
        <w:t>（实质性要求）</w:t>
      </w:r>
      <w:r>
        <w:rPr>
          <w:rFonts w:hint="eastAsia" w:ascii="仿宋" w:hAnsi="仿宋" w:eastAsia="仿宋" w:cs="仿宋"/>
          <w:bCs/>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仿宋" w:hAnsi="仿宋" w:eastAsia="仿宋" w:cs="仿宋"/>
          <w:bCs/>
          <w:sz w:val="24"/>
        </w:rPr>
      </w:pPr>
      <w:r>
        <w:rPr>
          <w:rFonts w:hint="eastAsia" w:ascii="仿宋" w:hAnsi="仿宋" w:eastAsia="仿宋" w:cs="仿宋"/>
          <w:bCs/>
          <w:sz w:val="24"/>
        </w:rPr>
        <w:t>18.7响应文件正本和副本需要逐页编目编码。</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18.8响应文件正本和副本应当采用胶装方式装订成册，不得散装或者合页装订。</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18.9响应文件应根据磋商文件的要求制作，签署、盖章。</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18.10响应文件统一用A4幅面纸印制，除另有规定外。</w:t>
      </w:r>
    </w:p>
    <w:p>
      <w:pPr>
        <w:spacing w:line="360" w:lineRule="auto"/>
        <w:rPr>
          <w:rFonts w:ascii="仿宋" w:hAnsi="仿宋" w:eastAsia="仿宋" w:cs="仿宋"/>
          <w:b/>
          <w:sz w:val="24"/>
        </w:rPr>
      </w:pPr>
      <w:bookmarkStart w:id="69" w:name="_Toc183582226"/>
      <w:bookmarkStart w:id="70" w:name="_Toc77400781"/>
      <w:bookmarkStart w:id="71" w:name="_Toc183682363"/>
      <w:bookmarkStart w:id="72" w:name="_Toc89075877"/>
      <w:bookmarkStart w:id="73" w:name="_Toc217446053"/>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19.1响应文件可以单独密封包装，也可以所有响应文件密封包装在一个密封袋内。</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19.2响应文件密封袋的最外层应清楚地标明采购项目名称、采购项目编号、包号（若有）、供应商名称。</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19.3所有外层密封袋的封口处应粘贴牢固。</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19.4未按以上要求进行密封和标注的响应文件，采购人、采购代理机构将拒收或者在时间允许的范围内，要求修改完善后接收。</w:t>
      </w:r>
    </w:p>
    <w:p>
      <w:pPr>
        <w:spacing w:line="360" w:lineRule="auto"/>
        <w:rPr>
          <w:rFonts w:ascii="仿宋" w:hAnsi="仿宋" w:eastAsia="仿宋" w:cs="仿宋"/>
        </w:rPr>
      </w:pPr>
    </w:p>
    <w:bookmarkEnd w:id="69"/>
    <w:bookmarkEnd w:id="70"/>
    <w:bookmarkEnd w:id="71"/>
    <w:bookmarkEnd w:id="72"/>
    <w:bookmarkEnd w:id="73"/>
    <w:p>
      <w:pPr>
        <w:pStyle w:val="6"/>
        <w:keepNext w:val="0"/>
        <w:keepLines w:val="0"/>
        <w:spacing w:before="0" w:after="0" w:line="360" w:lineRule="auto"/>
        <w:ind w:firstLine="482" w:firstLineChars="200"/>
        <w:rPr>
          <w:rFonts w:ascii="仿宋" w:hAnsi="仿宋" w:eastAsia="仿宋" w:cs="仿宋"/>
          <w:sz w:val="24"/>
          <w:szCs w:val="24"/>
        </w:rPr>
      </w:pPr>
      <w:bookmarkStart w:id="74" w:name="_Toc217446055"/>
      <w:bookmarkStart w:id="75" w:name="_Toc183682365"/>
      <w:bookmarkStart w:id="76" w:name="_Toc183582228"/>
      <w:r>
        <w:rPr>
          <w:rFonts w:hint="eastAsia" w:ascii="仿宋" w:hAnsi="仿宋" w:eastAsia="仿宋" w:cs="仿宋"/>
          <w:sz w:val="24"/>
          <w:szCs w:val="24"/>
        </w:rPr>
        <w:t>20.响应文件的递交</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20.2采购代理机构将向通过资格审查的供应商发出磋商邀请；告知未通过资格审查的供应商未通过的原因。</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20.3报价表在磋商后，磋商小组要求供应商进行最后报价时递交。</w:t>
      </w:r>
    </w:p>
    <w:p>
      <w:pPr>
        <w:tabs>
          <w:tab w:val="left" w:pos="1080"/>
        </w:tabs>
        <w:spacing w:line="360" w:lineRule="auto"/>
        <w:ind w:firstLine="460" w:firstLineChars="192"/>
        <w:rPr>
          <w:rFonts w:ascii="仿宋" w:hAnsi="仿宋" w:eastAsia="仿宋" w:cs="仿宋"/>
          <w:sz w:val="24"/>
        </w:rPr>
      </w:pPr>
      <w:r>
        <w:rPr>
          <w:rFonts w:hint="eastAsia" w:ascii="仿宋" w:hAnsi="仿宋" w:eastAsia="仿宋" w:cs="仿宋"/>
          <w:sz w:val="24"/>
        </w:rPr>
        <w:t>20.4本次采购不接收邮寄的响应文件。</w:t>
      </w:r>
    </w:p>
    <w:p>
      <w:pPr>
        <w:spacing w:line="360" w:lineRule="auto"/>
        <w:rPr>
          <w:rFonts w:ascii="仿宋" w:hAnsi="仿宋" w:eastAsia="仿宋" w:cs="仿宋"/>
          <w:szCs w:val="21"/>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21.响应文件的修改和撤回（补充、修改响应文件的密封和标注按照本章“19.响应文件的密封和标注”规定处理）</w:t>
      </w:r>
    </w:p>
    <w:p>
      <w:pPr>
        <w:pStyle w:val="8"/>
        <w:spacing w:line="360" w:lineRule="auto"/>
        <w:ind w:firstLine="480"/>
        <w:rPr>
          <w:rFonts w:ascii="仿宋" w:hAnsi="仿宋" w:eastAsia="仿宋" w:cs="仿宋"/>
          <w:sz w:val="24"/>
        </w:rPr>
      </w:pPr>
      <w:r>
        <w:rPr>
          <w:rFonts w:hint="eastAsia" w:ascii="仿宋" w:hAnsi="仿宋" w:eastAsia="仿宋" w:cs="仿宋"/>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21.3供应商不得在递交截止时间起至响应文件有效期期满前撤销其响应文件。否则其磋商保证金将按相关规定被没收。</w:t>
      </w:r>
    </w:p>
    <w:p>
      <w:pPr>
        <w:spacing w:line="360" w:lineRule="auto"/>
        <w:ind w:firstLine="480"/>
        <w:rPr>
          <w:rFonts w:ascii="仿宋" w:hAnsi="仿宋" w:eastAsia="仿宋" w:cs="仿宋"/>
          <w:sz w:val="24"/>
        </w:rPr>
      </w:pPr>
      <w:r>
        <w:rPr>
          <w:rFonts w:hint="eastAsia" w:ascii="仿宋" w:hAnsi="仿宋" w:eastAsia="仿宋" w:cs="仿宋"/>
          <w:sz w:val="24"/>
        </w:rPr>
        <w:t>21.4响应文件中报价如果出现下列不一致的，可按以下原则进行修改：</w:t>
      </w:r>
    </w:p>
    <w:p>
      <w:pPr>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rPr>
        <w:t>大写金额和小写金额不一致的，以大写金额为准</w:t>
      </w:r>
      <w:r>
        <w:rPr>
          <w:rFonts w:hint="eastAsia" w:ascii="仿宋" w:hAnsi="仿宋" w:eastAsia="仿宋" w:cs="仿宋"/>
          <w:sz w:val="24"/>
        </w:rPr>
        <w:t>，但大写金额文字存在错误的，应当先对大写金额的文字错误进行澄清、说明或者更正，再行修正。</w:t>
      </w:r>
    </w:p>
    <w:p>
      <w:pPr>
        <w:spacing w:line="360" w:lineRule="auto"/>
        <w:ind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总价金额与按单价汇总金额不一致的，以单价金额计算结果为准，</w:t>
      </w:r>
      <w:r>
        <w:rPr>
          <w:rFonts w:hint="eastAsia" w:ascii="仿宋" w:hAnsi="仿宋" w:eastAsia="仿宋" w:cs="仿宋"/>
          <w:sz w:val="24"/>
        </w:rPr>
        <w:t>但</w:t>
      </w:r>
      <w:r>
        <w:rPr>
          <w:rFonts w:hint="eastAsia" w:ascii="仿宋" w:hAnsi="仿宋" w:eastAsia="仿宋" w:cs="仿宋"/>
          <w:kern w:val="0"/>
          <w:sz w:val="24"/>
        </w:rPr>
        <w:t>单价或者单价汇总金额存在数字或者</w:t>
      </w:r>
      <w:r>
        <w:rPr>
          <w:rFonts w:hint="eastAsia" w:ascii="仿宋" w:hAnsi="仿宋" w:eastAsia="仿宋" w:cs="仿宋"/>
          <w:sz w:val="24"/>
        </w:rPr>
        <w:t>文字错误的，应当先对</w:t>
      </w:r>
      <w:r>
        <w:rPr>
          <w:rFonts w:hint="eastAsia" w:ascii="仿宋" w:hAnsi="仿宋" w:eastAsia="仿宋" w:cs="仿宋"/>
          <w:kern w:val="0"/>
          <w:sz w:val="24"/>
        </w:rPr>
        <w:t>数字或者</w:t>
      </w:r>
      <w:r>
        <w:rPr>
          <w:rFonts w:hint="eastAsia" w:ascii="仿宋" w:hAnsi="仿宋" w:eastAsia="仿宋" w:cs="仿宋"/>
          <w:sz w:val="24"/>
        </w:rPr>
        <w:t>文字错误进行澄清、说明或者更正，再行修正。</w:t>
      </w:r>
    </w:p>
    <w:p>
      <w:pPr>
        <w:spacing w:line="360" w:lineRule="auto"/>
        <w:ind w:firstLine="480"/>
        <w:rPr>
          <w:rFonts w:ascii="仿宋" w:hAnsi="仿宋" w:eastAsia="仿宋" w:cs="仿宋"/>
          <w:sz w:val="24"/>
        </w:rPr>
      </w:pPr>
      <w:r>
        <w:rPr>
          <w:rFonts w:hint="eastAsia" w:ascii="仿宋" w:hAnsi="仿宋" w:eastAsia="仿宋" w:cs="仿宋"/>
          <w:sz w:val="24"/>
        </w:rPr>
        <w:t>（3）单价金额小数点</w:t>
      </w:r>
      <w:r>
        <w:rPr>
          <w:rFonts w:hint="eastAsia" w:ascii="仿宋" w:hAnsi="仿宋" w:eastAsia="仿宋" w:cs="仿宋"/>
          <w:kern w:val="0"/>
          <w:sz w:val="24"/>
        </w:rPr>
        <w:t>或者百分比有明显错位的</w:t>
      </w:r>
      <w:r>
        <w:rPr>
          <w:rFonts w:hint="eastAsia" w:ascii="仿宋" w:hAnsi="仿宋" w:eastAsia="仿宋" w:cs="仿宋"/>
          <w:sz w:val="24"/>
        </w:rPr>
        <w:t>，以总价为准，修正单价。</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仿宋" w:hAnsi="仿宋" w:eastAsia="仿宋" w:cs="仿宋"/>
          <w:sz w:val="24"/>
        </w:rPr>
      </w:pPr>
      <w:r>
        <w:rPr>
          <w:rFonts w:hint="eastAsia" w:ascii="仿宋" w:hAnsi="仿宋" w:eastAsia="仿宋" w:cs="仿宋"/>
          <w:sz w:val="24"/>
        </w:rPr>
        <w:t>21.5供应商对其提交的响应文件的真实性、合法性承担法律责任。</w:t>
      </w:r>
      <w:bookmarkEnd w:id="74"/>
      <w:bookmarkEnd w:id="75"/>
      <w:bookmarkEnd w:id="76"/>
    </w:p>
    <w:p>
      <w:pPr>
        <w:pStyle w:val="5"/>
        <w:spacing w:before="0" w:after="0" w:line="360" w:lineRule="auto"/>
        <w:jc w:val="center"/>
        <w:rPr>
          <w:rFonts w:ascii="仿宋" w:hAnsi="仿宋" w:eastAsia="仿宋" w:cs="仿宋"/>
        </w:rPr>
      </w:pPr>
      <w:bookmarkStart w:id="77" w:name="_Toc6025_WPSOffice_Level2"/>
      <w:bookmarkStart w:id="78" w:name="_Toc183582231"/>
      <w:bookmarkStart w:id="79" w:name="_Toc89075878"/>
      <w:bookmarkStart w:id="80" w:name="_Toc77400782"/>
      <w:bookmarkStart w:id="81" w:name="_Toc217446056"/>
      <w:bookmarkStart w:id="82" w:name="_Toc183682368"/>
      <w:r>
        <w:rPr>
          <w:rFonts w:hint="eastAsia" w:ascii="仿宋" w:hAnsi="仿宋" w:eastAsia="仿宋" w:cs="仿宋"/>
        </w:rPr>
        <w:t>五、评审</w:t>
      </w:r>
      <w:bookmarkEnd w:id="77"/>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22.磋商小组的组建及其评审工作按照有关法律制度和本文件第八章的规定进行。</w:t>
      </w:r>
    </w:p>
    <w:p>
      <w:pPr>
        <w:pStyle w:val="5"/>
        <w:spacing w:before="0" w:after="0" w:line="360" w:lineRule="auto"/>
        <w:jc w:val="center"/>
        <w:rPr>
          <w:rFonts w:ascii="仿宋" w:hAnsi="仿宋" w:eastAsia="仿宋" w:cs="仿宋"/>
        </w:rPr>
      </w:pPr>
      <w:bookmarkStart w:id="83" w:name="_Toc7528_WPSOffice_Level2"/>
      <w:r>
        <w:rPr>
          <w:rFonts w:hint="eastAsia" w:ascii="仿宋" w:hAnsi="仿宋" w:eastAsia="仿宋" w:cs="仿宋"/>
        </w:rPr>
        <w:t>六、成交事项</w:t>
      </w:r>
      <w:bookmarkEnd w:id="83"/>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23.确定成交供应商</w:t>
      </w:r>
    </w:p>
    <w:p>
      <w:pPr>
        <w:spacing w:line="360" w:lineRule="auto"/>
        <w:ind w:firstLine="480"/>
        <w:rPr>
          <w:rFonts w:ascii="仿宋" w:hAnsi="仿宋" w:eastAsia="仿宋" w:cs="仿宋"/>
          <w:sz w:val="24"/>
        </w:rPr>
      </w:pPr>
      <w:r>
        <w:rPr>
          <w:rFonts w:hint="eastAsia" w:ascii="仿宋" w:hAnsi="仿宋" w:eastAsia="仿宋" w:cs="仿宋"/>
          <w:sz w:val="24"/>
        </w:rPr>
        <w:t>采购人将按磋商小组推荐的成交候选供应商顺序确定成交供应商。</w:t>
      </w:r>
    </w:p>
    <w:p>
      <w:pPr>
        <w:spacing w:line="360" w:lineRule="auto"/>
        <w:ind w:firstLine="480"/>
        <w:rPr>
          <w:rFonts w:ascii="仿宋" w:hAnsi="仿宋" w:eastAsia="仿宋" w:cs="仿宋"/>
          <w:sz w:val="24"/>
        </w:rPr>
      </w:pPr>
      <w:r>
        <w:rPr>
          <w:rFonts w:hint="eastAsia" w:ascii="仿宋" w:hAnsi="仿宋" w:eastAsia="仿宋" w:cs="仿宋"/>
          <w:sz w:val="24"/>
        </w:rPr>
        <w:t>23.1采购代理机构自评审结束后2个工作日内将磋商报告及有关资料送交采购人确定成交供应商。</w:t>
      </w:r>
    </w:p>
    <w:p>
      <w:pPr>
        <w:spacing w:line="360" w:lineRule="auto"/>
        <w:ind w:firstLine="480"/>
        <w:rPr>
          <w:rFonts w:ascii="仿宋" w:hAnsi="仿宋" w:eastAsia="仿宋" w:cs="仿宋"/>
          <w:sz w:val="24"/>
        </w:rPr>
      </w:pPr>
      <w:r>
        <w:rPr>
          <w:rFonts w:hint="eastAsia" w:ascii="仿宋" w:hAnsi="仿宋" w:eastAsia="仿宋" w:cs="仿宋"/>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ascii="仿宋" w:hAnsi="仿宋" w:eastAsia="仿宋" w:cs="仿宋"/>
          <w:sz w:val="24"/>
        </w:rPr>
      </w:pPr>
      <w:r>
        <w:rPr>
          <w:rFonts w:hint="eastAsia" w:ascii="仿宋" w:hAnsi="仿宋" w:eastAsia="仿宋" w:cs="仿宋"/>
          <w:sz w:val="24"/>
        </w:rPr>
        <w:t>23.3采购人确定成交供应商过程中，发现成交候选供应商有下列情形之一的，应当不予确定其为成交供应商：</w:t>
      </w:r>
    </w:p>
    <w:p>
      <w:pPr>
        <w:spacing w:line="360" w:lineRule="auto"/>
        <w:ind w:firstLine="480"/>
        <w:rPr>
          <w:rFonts w:ascii="仿宋" w:hAnsi="仿宋" w:eastAsia="仿宋" w:cs="仿宋"/>
          <w:sz w:val="24"/>
        </w:rPr>
      </w:pPr>
      <w:r>
        <w:rPr>
          <w:rFonts w:hint="eastAsia" w:ascii="仿宋" w:hAnsi="仿宋" w:eastAsia="仿宋" w:cs="仿宋"/>
          <w:sz w:val="24"/>
        </w:rPr>
        <w:t>（1）发现成交候选供应商存在禁止参加本项目采购活动的违法行为的；</w:t>
      </w:r>
    </w:p>
    <w:p>
      <w:pPr>
        <w:spacing w:line="360" w:lineRule="auto"/>
        <w:ind w:firstLine="480"/>
        <w:rPr>
          <w:rFonts w:ascii="仿宋" w:hAnsi="仿宋" w:eastAsia="仿宋" w:cs="仿宋"/>
          <w:sz w:val="24"/>
        </w:rPr>
      </w:pPr>
      <w:r>
        <w:rPr>
          <w:rFonts w:hint="eastAsia" w:ascii="仿宋" w:hAnsi="仿宋" w:eastAsia="仿宋" w:cs="仿宋"/>
          <w:sz w:val="24"/>
        </w:rPr>
        <w:t>（2）成交候选供应商因不可抗力，不能继续参加政府采购活动；</w:t>
      </w:r>
    </w:p>
    <w:p>
      <w:pPr>
        <w:spacing w:line="360" w:lineRule="auto"/>
        <w:ind w:firstLine="480"/>
        <w:rPr>
          <w:rFonts w:ascii="仿宋" w:hAnsi="仿宋" w:eastAsia="仿宋" w:cs="仿宋"/>
          <w:sz w:val="24"/>
        </w:rPr>
      </w:pPr>
      <w:r>
        <w:rPr>
          <w:rFonts w:hint="eastAsia" w:ascii="仿宋" w:hAnsi="仿宋" w:eastAsia="仿宋" w:cs="仿宋"/>
          <w:sz w:val="24"/>
        </w:rPr>
        <w:t>（3）成交候选供应商无偿赠与或者低于成本价竞争；</w:t>
      </w:r>
    </w:p>
    <w:p>
      <w:pPr>
        <w:spacing w:line="360" w:lineRule="auto"/>
        <w:ind w:firstLine="480"/>
        <w:rPr>
          <w:rFonts w:ascii="仿宋" w:hAnsi="仿宋" w:eastAsia="仿宋" w:cs="仿宋"/>
          <w:sz w:val="24"/>
        </w:rPr>
      </w:pPr>
      <w:r>
        <w:rPr>
          <w:rFonts w:hint="eastAsia" w:ascii="仿宋" w:hAnsi="仿宋" w:eastAsia="仿宋" w:cs="仿宋"/>
          <w:sz w:val="24"/>
        </w:rPr>
        <w:t>（4）成交候选供应商提供虚假材料；</w:t>
      </w:r>
    </w:p>
    <w:p>
      <w:pPr>
        <w:spacing w:line="360" w:lineRule="auto"/>
        <w:ind w:firstLine="480"/>
        <w:rPr>
          <w:rFonts w:ascii="仿宋" w:hAnsi="仿宋" w:eastAsia="仿宋" w:cs="仿宋"/>
          <w:sz w:val="24"/>
        </w:rPr>
      </w:pPr>
      <w:r>
        <w:rPr>
          <w:rFonts w:hint="eastAsia" w:ascii="仿宋" w:hAnsi="仿宋" w:eastAsia="仿宋" w:cs="仿宋"/>
          <w:sz w:val="24"/>
        </w:rPr>
        <w:t>（5）成交候选供应商恶意串通。</w:t>
      </w:r>
    </w:p>
    <w:p>
      <w:pPr>
        <w:spacing w:line="360" w:lineRule="auto"/>
        <w:ind w:firstLine="480"/>
        <w:rPr>
          <w:rFonts w:ascii="仿宋" w:hAnsi="仿宋" w:eastAsia="仿宋" w:cs="仿宋"/>
          <w:sz w:val="24"/>
        </w:rPr>
      </w:pPr>
      <w:r>
        <w:rPr>
          <w:rFonts w:hint="eastAsia" w:ascii="仿宋" w:hAnsi="仿宋" w:eastAsia="仿宋" w:cs="仿宋"/>
          <w:sz w:val="24"/>
        </w:rPr>
        <w:t>成交候选供应商有本条情形之一的，采购人可以确定后一位成交候选供应商为成交供应商，依次类推。无法确定成交供应商的，应当重新组织采购。</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24.成交结果</w:t>
      </w:r>
    </w:p>
    <w:p>
      <w:pPr>
        <w:spacing w:line="360" w:lineRule="auto"/>
        <w:ind w:firstLine="480"/>
        <w:rPr>
          <w:rFonts w:ascii="仿宋" w:hAnsi="仿宋" w:eastAsia="仿宋" w:cs="仿宋"/>
          <w:sz w:val="24"/>
        </w:rPr>
      </w:pPr>
      <w:r>
        <w:rPr>
          <w:rFonts w:hint="eastAsia" w:ascii="仿宋" w:hAnsi="仿宋" w:eastAsia="仿宋" w:cs="仿宋"/>
          <w:sz w:val="24"/>
        </w:rPr>
        <w:t>24.1采购人确定成交供应商后，将及时书面通知采购代理机构，发出成交通知书并发布成交结果公告。</w:t>
      </w:r>
    </w:p>
    <w:p>
      <w:pPr>
        <w:spacing w:line="360" w:lineRule="auto"/>
        <w:ind w:firstLine="480"/>
        <w:rPr>
          <w:rFonts w:ascii="仿宋" w:hAnsi="仿宋" w:eastAsia="仿宋" w:cs="仿宋"/>
          <w:sz w:val="24"/>
        </w:rPr>
      </w:pPr>
      <w:r>
        <w:rPr>
          <w:rFonts w:hint="eastAsia" w:ascii="仿宋" w:hAnsi="仿宋" w:eastAsia="仿宋" w:cs="仿宋"/>
          <w:sz w:val="24"/>
        </w:rPr>
        <w:t>24.2成交供应商应当及时领取成交通知书。</w:t>
      </w:r>
    </w:p>
    <w:p>
      <w:pPr>
        <w:spacing w:line="360" w:lineRule="auto"/>
        <w:ind w:firstLine="480"/>
        <w:rPr>
          <w:rFonts w:ascii="仿宋" w:hAnsi="仿宋" w:eastAsia="仿宋" w:cs="仿宋"/>
          <w:sz w:val="24"/>
        </w:rPr>
      </w:pPr>
      <w:r>
        <w:rPr>
          <w:rFonts w:hint="eastAsia" w:ascii="仿宋" w:hAnsi="仿宋" w:eastAsia="仿宋" w:cs="仿宋"/>
          <w:sz w:val="24"/>
        </w:rPr>
        <w:t>24.3成交供应商不能及时领取成交通知书，采购人或者采购代理机应当通过邮寄、快递等方式将项目成交通知书送达成交供应商。</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25.成交通知书</w:t>
      </w:r>
    </w:p>
    <w:p>
      <w:pPr>
        <w:spacing w:line="360" w:lineRule="auto"/>
        <w:ind w:firstLine="480"/>
        <w:rPr>
          <w:rFonts w:ascii="仿宋" w:hAnsi="仿宋" w:eastAsia="仿宋" w:cs="仿宋"/>
          <w:sz w:val="24"/>
        </w:rPr>
      </w:pPr>
      <w:r>
        <w:rPr>
          <w:rFonts w:hint="eastAsia" w:ascii="仿宋" w:hAnsi="仿宋" w:eastAsia="仿宋" w:cs="仿宋"/>
          <w:sz w:val="24"/>
        </w:rPr>
        <w:t>25.1成交通知书为签订政府采购合同的依据之一，是合同的有效组成部分。</w:t>
      </w:r>
    </w:p>
    <w:p>
      <w:pPr>
        <w:spacing w:line="360" w:lineRule="auto"/>
        <w:ind w:firstLine="480"/>
        <w:rPr>
          <w:rFonts w:ascii="仿宋" w:hAnsi="仿宋" w:eastAsia="仿宋" w:cs="仿宋"/>
          <w:sz w:val="24"/>
        </w:rPr>
      </w:pPr>
      <w:r>
        <w:rPr>
          <w:rFonts w:hint="eastAsia" w:ascii="仿宋" w:hAnsi="仿宋" w:eastAsia="仿宋" w:cs="仿宋"/>
          <w:sz w:val="24"/>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ascii="仿宋" w:hAnsi="仿宋" w:eastAsia="仿宋" w:cs="仿宋"/>
          <w:sz w:val="24"/>
        </w:rPr>
      </w:pPr>
      <w:r>
        <w:rPr>
          <w:rFonts w:hint="eastAsia" w:ascii="仿宋" w:hAnsi="仿宋" w:eastAsia="仿宋" w:cs="仿宋"/>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spacing w:before="0" w:after="0" w:line="360" w:lineRule="auto"/>
        <w:jc w:val="center"/>
        <w:rPr>
          <w:rFonts w:ascii="仿宋" w:hAnsi="仿宋" w:eastAsia="仿宋" w:cs="仿宋"/>
        </w:rPr>
      </w:pPr>
      <w:bookmarkStart w:id="84" w:name="_Toc17511_WPSOffice_Level2"/>
      <w:r>
        <w:rPr>
          <w:rFonts w:hint="eastAsia" w:ascii="仿宋" w:hAnsi="仿宋" w:eastAsia="仿宋" w:cs="仿宋"/>
        </w:rPr>
        <w:t>七、合同事项</w:t>
      </w:r>
      <w:bookmarkEnd w:id="84"/>
    </w:p>
    <w:p>
      <w:pPr>
        <w:pStyle w:val="6"/>
        <w:keepNext w:val="0"/>
        <w:keepLines w:val="0"/>
        <w:spacing w:before="0" w:after="0" w:line="360" w:lineRule="auto"/>
        <w:ind w:firstLine="482" w:firstLineChars="200"/>
        <w:rPr>
          <w:rFonts w:ascii="仿宋" w:hAnsi="仿宋" w:eastAsia="仿宋" w:cs="仿宋"/>
          <w:sz w:val="24"/>
          <w:szCs w:val="24"/>
        </w:rPr>
      </w:pPr>
      <w:bookmarkStart w:id="85" w:name="_Toc430773927"/>
      <w:bookmarkStart w:id="86" w:name="_Toc101250646"/>
      <w:bookmarkStart w:id="87" w:name="_Toc209847069"/>
      <w:bookmarkStart w:id="88" w:name="_Toc101174151"/>
      <w:bookmarkStart w:id="89" w:name="_Toc101338364"/>
      <w:r>
        <w:rPr>
          <w:rFonts w:hint="eastAsia" w:ascii="仿宋" w:hAnsi="仿宋" w:eastAsia="仿宋" w:cs="仿宋"/>
          <w:sz w:val="24"/>
          <w:szCs w:val="24"/>
        </w:rPr>
        <w:t>26.签订合同</w:t>
      </w:r>
      <w:bookmarkEnd w:id="85"/>
      <w:bookmarkEnd w:id="86"/>
      <w:bookmarkEnd w:id="87"/>
      <w:bookmarkEnd w:id="88"/>
      <w:bookmarkEnd w:id="89"/>
    </w:p>
    <w:p>
      <w:pPr>
        <w:spacing w:line="360" w:lineRule="auto"/>
        <w:ind w:firstLine="480" w:firstLineChars="200"/>
        <w:rPr>
          <w:rFonts w:ascii="仿宋" w:hAnsi="仿宋" w:eastAsia="仿宋" w:cs="仿宋"/>
          <w:sz w:val="24"/>
        </w:rPr>
      </w:pPr>
      <w:r>
        <w:rPr>
          <w:rFonts w:hint="eastAsia" w:ascii="仿宋" w:hAnsi="仿宋" w:eastAsia="仿宋" w:cs="仿宋"/>
          <w:sz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cs="仿宋"/>
          <w:sz w:val="24"/>
        </w:rPr>
      </w:pPr>
      <w:r>
        <w:rPr>
          <w:rFonts w:hint="eastAsia" w:ascii="仿宋" w:hAnsi="仿宋" w:eastAsia="仿宋" w:cs="仿宋"/>
          <w:sz w:val="24"/>
        </w:rPr>
        <w:t>26.2磋商文件、成交供应商的响应文件及双方确认的澄清文件等，均为有法律约束力的合同组成部分。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仿宋" w:hAnsi="仿宋" w:eastAsia="仿宋" w:cs="仿宋"/>
          <w:sz w:val="24"/>
        </w:rPr>
      </w:pPr>
      <w:r>
        <w:rPr>
          <w:rFonts w:hint="eastAsia" w:ascii="仿宋" w:hAnsi="仿宋" w:eastAsia="仿宋" w:cs="仿宋"/>
          <w:sz w:val="24"/>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仿宋" w:hAnsi="仿宋" w:eastAsia="仿宋" w:cs="仿宋"/>
          <w:sz w:val="24"/>
        </w:rPr>
      </w:pPr>
      <w:r>
        <w:rPr>
          <w:rFonts w:hint="eastAsia" w:ascii="仿宋" w:hAnsi="仿宋" w:eastAsia="仿宋" w:cs="仿宋"/>
          <w:sz w:val="24"/>
        </w:rPr>
        <w:t>26.5竞争性磋商文件、成交供应商提交的响应文件、磋商中的最后报价、成交供应商承诺书、成交通知书等均称为有法律约束力的合同组成内容。</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27.合同分包（实质性要求）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仿宋" w:hAnsi="仿宋" w:eastAsia="仿宋" w:cs="仿宋"/>
          <w:sz w:val="24"/>
        </w:rPr>
      </w:pPr>
      <w:r>
        <w:rPr>
          <w:rFonts w:hint="eastAsia" w:ascii="仿宋" w:hAnsi="仿宋" w:eastAsia="仿宋" w:cs="仿宋"/>
          <w:sz w:val="24"/>
        </w:rPr>
        <w:t>分包履行合同的部分应当为采购项目的非主体、非关键性工作，不属于成交供应商的主要合同义务。</w:t>
      </w:r>
    </w:p>
    <w:p>
      <w:pPr>
        <w:spacing w:line="360" w:lineRule="auto"/>
        <w:ind w:firstLine="480" w:firstLineChars="200"/>
        <w:rPr>
          <w:rFonts w:ascii="仿宋" w:hAnsi="仿宋" w:eastAsia="仿宋" w:cs="仿宋"/>
          <w:sz w:val="24"/>
        </w:rPr>
      </w:pPr>
      <w:r>
        <w:rPr>
          <w:rFonts w:hint="eastAsia" w:ascii="仿宋" w:hAnsi="仿宋" w:eastAsia="仿宋" w:cs="仿宋"/>
          <w:sz w:val="24"/>
        </w:rPr>
        <w:t>27.2采购合同实行分包履行的，成交供应商就采购项目和分包项目向采购人负责，分包供应商就分包项目承担责任。</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28.合同转包（实质性要求）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仿宋" w:hAnsi="仿宋" w:eastAsia="仿宋" w:cs="仿宋"/>
          <w:sz w:val="24"/>
        </w:rPr>
      </w:pPr>
      <w:r>
        <w:rPr>
          <w:rFonts w:hint="eastAsia" w:ascii="仿宋" w:hAnsi="仿宋" w:eastAsia="仿宋" w:cs="仿宋"/>
          <w:sz w:val="24"/>
        </w:rPr>
        <w:t>成交供应商转包的，视同拒绝履行政府采购合同义务，将依法追究法律责任。</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29.补充合同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30.履约保证金（实质性要求）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详见“供应商须知附表”。</w:t>
      </w:r>
    </w:p>
    <w:p>
      <w:pPr>
        <w:spacing w:line="360" w:lineRule="auto"/>
        <w:rPr>
          <w:rFonts w:ascii="仿宋" w:hAnsi="仿宋" w:eastAsia="仿宋" w:cs="仿宋"/>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31.合同公告</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32.合同备案</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采购人应当将政府采购合同副本自签订（双方当事人均已签字盖章）之日起七个工作日内报同级财政部门备案。</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33.履行合同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33.1 成交供应商与采购人签订合同后，合同双方应严格执行合同条款，履行合同规定的义务，保证合同的顺利完成。</w:t>
      </w:r>
    </w:p>
    <w:p>
      <w:pPr>
        <w:spacing w:line="360" w:lineRule="auto"/>
        <w:ind w:firstLine="480" w:firstLineChars="200"/>
        <w:rPr>
          <w:rFonts w:ascii="仿宋" w:hAnsi="仿宋" w:eastAsia="仿宋" w:cs="仿宋"/>
          <w:sz w:val="24"/>
        </w:rPr>
      </w:pPr>
      <w:r>
        <w:rPr>
          <w:rFonts w:hint="eastAsia" w:ascii="仿宋" w:hAnsi="仿宋" w:eastAsia="仿宋" w:cs="仿宋"/>
          <w:sz w:val="24"/>
        </w:rPr>
        <w:t>33.2 在合同履行过程中，如发生合同纠纷，合同双方应按照《中华人民共和国民法典》的有关规定进行处理。</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34.验收</w:t>
      </w:r>
    </w:p>
    <w:p>
      <w:pPr>
        <w:spacing w:line="360" w:lineRule="auto"/>
        <w:ind w:firstLine="480" w:firstLineChars="200"/>
        <w:rPr>
          <w:rFonts w:ascii="仿宋" w:hAnsi="仿宋" w:eastAsia="仿宋" w:cs="仿宋"/>
          <w:sz w:val="24"/>
        </w:rPr>
      </w:pPr>
      <w:r>
        <w:rPr>
          <w:rFonts w:hint="eastAsia" w:ascii="仿宋" w:hAnsi="仿宋" w:eastAsia="仿宋" w:cs="仿宋"/>
          <w:sz w:val="24"/>
        </w:rPr>
        <w:t>按国家有关规定以及本项目采购文件的质量要求和技术指标或者中标供应商的投标文件及承诺等进行验收。</w:t>
      </w:r>
    </w:p>
    <w:p>
      <w:pPr>
        <w:spacing w:line="360" w:lineRule="auto"/>
        <w:rPr>
          <w:rFonts w:ascii="仿宋" w:hAnsi="仿宋" w:eastAsia="仿宋" w:cs="仿宋"/>
          <w:sz w:val="24"/>
        </w:rPr>
      </w:pPr>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35.资金支付</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采购人将按照政府采购合同规定，及时向成交供应商支付采购资金。支付方式详见“第五章  采购项目技术、服务、政府采购合同内容条款及其他商务要求”</w:t>
      </w:r>
      <w:r>
        <w:rPr>
          <w:rFonts w:hint="eastAsia" w:ascii="仿宋" w:hAnsi="仿宋" w:eastAsia="仿宋" w:cs="仿宋"/>
          <w:sz w:val="24"/>
          <w:lang w:val="zh-TW"/>
        </w:rPr>
        <w:t>。</w:t>
      </w:r>
    </w:p>
    <w:p>
      <w:pPr>
        <w:pStyle w:val="5"/>
        <w:spacing w:before="0" w:after="0" w:line="360" w:lineRule="auto"/>
        <w:jc w:val="center"/>
        <w:rPr>
          <w:rFonts w:ascii="仿宋" w:hAnsi="仿宋" w:eastAsia="仿宋" w:cs="仿宋"/>
          <w:sz w:val="24"/>
        </w:rPr>
      </w:pPr>
      <w:bookmarkStart w:id="90" w:name="_Toc26946_WPSOffice_Level2"/>
      <w:r>
        <w:rPr>
          <w:rFonts w:hint="eastAsia" w:ascii="仿宋" w:hAnsi="仿宋" w:eastAsia="仿宋" w:cs="仿宋"/>
        </w:rPr>
        <w:t>八、磋商纪律要求</w:t>
      </w:r>
      <w:bookmarkEnd w:id="90"/>
    </w:p>
    <w:p>
      <w:pPr>
        <w:pStyle w:val="6"/>
        <w:keepNext w:val="0"/>
        <w:keepLines w:val="0"/>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36.供应商不得具有的情形</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供应商参加本项目磋商不得有下列情形：</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（1）提供虚假材料谋取成交；</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（2）采取不正当手段诋毁、排挤其他供应商；</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（3）与采购人、采购代理机构、或其他供应商恶意串通；</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（4）向采购人、采购代理机构、磋商小组成员行贿或者提供其他不正当利益；</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（5）在磋商过程中与采购人、采购代理机构进行协商；</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（6）成交后无正当理由拒不与采购人签订政府采购合同；</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（7）未按照磋商文件确定的事项签订政府采购合同；</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（8）将政府采购合同转包或者违规分包；</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（9）提供假冒伪劣产品；</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（10）擅自变更、中止或者终止政府采购合同；</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（12）法律法规规定的其他情形。</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供应商有上述情形的，按照规定追究法律责任，具备（1）-（10）条情形之一的，同时将取消被确认为成交供应商的资格或者认定成交无效。</w:t>
      </w:r>
    </w:p>
    <w:p>
      <w:pPr>
        <w:pStyle w:val="5"/>
        <w:spacing w:before="0" w:after="0" w:line="360" w:lineRule="auto"/>
        <w:jc w:val="center"/>
        <w:rPr>
          <w:rFonts w:ascii="仿宋" w:hAnsi="仿宋" w:eastAsia="仿宋" w:cs="仿宋"/>
        </w:rPr>
      </w:pPr>
      <w:bookmarkStart w:id="91" w:name="_Toc8729_WPSOffice_Level2"/>
      <w:r>
        <w:rPr>
          <w:rFonts w:hint="eastAsia" w:ascii="仿宋" w:hAnsi="仿宋" w:eastAsia="仿宋" w:cs="仿宋"/>
        </w:rPr>
        <w:t>九、询问、质疑和投诉</w:t>
      </w:r>
      <w:bookmarkEnd w:id="91"/>
    </w:p>
    <w:p>
      <w:pPr>
        <w:tabs>
          <w:tab w:val="left" w:pos="851"/>
        </w:tabs>
        <w:spacing w:line="360" w:lineRule="auto"/>
        <w:ind w:firstLine="495"/>
        <w:rPr>
          <w:rFonts w:ascii="仿宋" w:hAnsi="仿宋" w:eastAsia="仿宋" w:cs="仿宋"/>
          <w:sz w:val="24"/>
        </w:rPr>
      </w:pPr>
      <w:r>
        <w:rPr>
          <w:rFonts w:hint="eastAsia" w:ascii="仿宋" w:hAnsi="仿宋" w:eastAsia="仿宋" w:cs="仿宋"/>
          <w:sz w:val="24"/>
        </w:rPr>
        <w:t>37.询问、质疑、投诉的接收和处理严格按照《中华人共和国政府采购法》、《中华人民共和国政府采购法实施条例》、《财政部关于加强政府采购供应商投诉受理审查工作的通知》和四川省的有关规定办理（详细规定请在中国政府采购网政策法规模块查询）。</w:t>
      </w:r>
    </w:p>
    <w:p>
      <w:pPr>
        <w:pStyle w:val="5"/>
        <w:spacing w:before="0" w:after="0" w:line="360" w:lineRule="auto"/>
        <w:jc w:val="center"/>
        <w:rPr>
          <w:rFonts w:ascii="仿宋" w:hAnsi="仿宋" w:eastAsia="仿宋" w:cs="仿宋"/>
        </w:rPr>
      </w:pPr>
      <w:bookmarkStart w:id="92" w:name="_Toc25233_WPSOffice_Level2"/>
      <w:r>
        <w:rPr>
          <w:rFonts w:hint="eastAsia" w:ascii="仿宋" w:hAnsi="仿宋" w:eastAsia="仿宋" w:cs="仿宋"/>
        </w:rPr>
        <w:t>十、其  他</w:t>
      </w:r>
      <w:bookmarkEnd w:id="92"/>
    </w:p>
    <w:p>
      <w:pPr>
        <w:tabs>
          <w:tab w:val="left" w:pos="851"/>
        </w:tabs>
        <w:spacing w:line="360" w:lineRule="auto"/>
        <w:ind w:firstLine="480" w:firstLineChars="200"/>
        <w:jc w:val="left"/>
        <w:rPr>
          <w:rFonts w:ascii="仿宋" w:hAnsi="仿宋" w:eastAsia="仿宋" w:cs="仿宋"/>
          <w:sz w:val="24"/>
        </w:rPr>
      </w:pPr>
      <w:r>
        <w:rPr>
          <w:rFonts w:hint="eastAsia" w:ascii="仿宋" w:hAnsi="仿宋" w:eastAsia="仿宋" w:cs="仿宋"/>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39.</w:t>
      </w:r>
      <w:r>
        <w:rPr>
          <w:rFonts w:hint="eastAsia" w:ascii="仿宋" w:hAnsi="仿宋" w:eastAsia="仿宋" w:cs="仿宋"/>
          <w:b/>
          <w:sz w:val="24"/>
        </w:rPr>
        <w:t>（实质性要求）</w:t>
      </w:r>
      <w:r>
        <w:rPr>
          <w:rFonts w:hint="eastAsia" w:ascii="仿宋" w:hAnsi="仿宋" w:eastAsia="仿宋" w:cs="仿宋"/>
          <w:sz w:val="24"/>
        </w:rPr>
        <w:t>国家或行业主管部门对供应商和采购产品的技术标准、质量标准和资格资质条件等有强制性规定的，必须符合其要求。</w:t>
      </w:r>
    </w:p>
    <w:p>
      <w:pPr>
        <w:spacing w:line="360" w:lineRule="auto"/>
        <w:ind w:firstLine="480" w:firstLineChars="200"/>
        <w:jc w:val="left"/>
        <w:rPr>
          <w:rFonts w:ascii="仿宋" w:hAnsi="仿宋" w:eastAsia="仿宋" w:cs="仿宋"/>
          <w:sz w:val="24"/>
        </w:rPr>
      </w:pPr>
      <w:bookmarkStart w:id="93" w:name="_Toc9334"/>
      <w:bookmarkStart w:id="94" w:name="_Toc5647"/>
      <w:r>
        <w:rPr>
          <w:rFonts w:hint="eastAsia" w:ascii="仿宋" w:hAnsi="仿宋" w:eastAsia="仿宋" w:cs="仿宋"/>
          <w:sz w:val="24"/>
        </w:rPr>
        <w:t>40.采用竞争性磋商采购方式采购的政府购买服务项目（含政府和社会资本合作项目），在采购过程中符合要求的供应商（社会资本）只有2家的，竞争性磋商采购活动可以继续进行。</w:t>
      </w:r>
      <w:bookmarkEnd w:id="93"/>
      <w:bookmarkEnd w:id="94"/>
      <w:bookmarkStart w:id="95" w:name="_Toc23044"/>
      <w:bookmarkStart w:id="96" w:name="_Toc19505"/>
      <w:r>
        <w:rPr>
          <w:rFonts w:hint="eastAsia" w:ascii="仿宋" w:hAnsi="仿宋" w:eastAsia="仿宋" w:cs="仿宋"/>
          <w:sz w:val="24"/>
        </w:rPr>
        <w:t>磋商小组按采购文件要求向采购人推荐2名成交候选供应商并依次排序，采购人按照磋商小组推荐的成交候选供应商顺序确定成交供应商。</w:t>
      </w:r>
      <w:bookmarkEnd w:id="95"/>
      <w:bookmarkEnd w:id="96"/>
    </w:p>
    <w:p>
      <w:pPr>
        <w:spacing w:line="360" w:lineRule="auto"/>
        <w:rPr>
          <w:rFonts w:ascii="仿宋" w:hAnsi="仿宋" w:eastAsia="仿宋" w:cs="仿宋"/>
        </w:rPr>
      </w:pPr>
    </w:p>
    <w:p>
      <w:pPr>
        <w:pStyle w:val="4"/>
        <w:spacing w:before="0" w:after="0" w:line="360" w:lineRule="auto"/>
        <w:jc w:val="center"/>
        <w:rPr>
          <w:rFonts w:ascii="仿宋" w:hAnsi="仿宋" w:eastAsia="仿宋" w:cs="仿宋"/>
        </w:rPr>
      </w:pPr>
      <w:r>
        <w:rPr>
          <w:rFonts w:hint="eastAsia" w:ascii="仿宋" w:hAnsi="仿宋" w:eastAsia="仿宋" w:cs="仿宋"/>
        </w:rPr>
        <w:br w:type="page"/>
      </w:r>
      <w:bookmarkStart w:id="97" w:name="_Toc3274"/>
      <w:bookmarkStart w:id="98" w:name="_Toc15229_WPSOffice_Level1"/>
      <w:bookmarkStart w:id="99" w:name="_Toc1712_WPSOffice_Level1"/>
      <w:r>
        <w:rPr>
          <w:rFonts w:hint="eastAsia" w:ascii="仿宋" w:hAnsi="仿宋" w:eastAsia="仿宋" w:cs="仿宋"/>
        </w:rPr>
        <w:t>第三章  供应商资格条件要求</w:t>
      </w:r>
      <w:bookmarkEnd w:id="97"/>
      <w:bookmarkEnd w:id="98"/>
      <w:bookmarkEnd w:id="99"/>
    </w:p>
    <w:p>
      <w:pPr>
        <w:pStyle w:val="5"/>
        <w:keepNext w:val="0"/>
        <w:keepLines w:val="0"/>
        <w:spacing w:before="0" w:after="0" w:line="360" w:lineRule="auto"/>
        <w:rPr>
          <w:rFonts w:ascii="仿宋" w:hAnsi="仿宋" w:eastAsia="仿宋" w:cs="仿宋"/>
          <w:sz w:val="24"/>
          <w:szCs w:val="24"/>
        </w:rPr>
      </w:pPr>
      <w:r>
        <w:rPr>
          <w:rFonts w:hint="eastAsia" w:ascii="仿宋" w:hAnsi="仿宋" w:eastAsia="仿宋" w:cs="仿宋"/>
          <w:sz w:val="24"/>
          <w:szCs w:val="24"/>
        </w:rPr>
        <w:t>一、供应商资格、资质性及其他类似效力要求</w:t>
      </w:r>
    </w:p>
    <w:p>
      <w:pPr>
        <w:spacing w:line="360" w:lineRule="auto"/>
        <w:ind w:firstLine="482" w:firstLineChars="200"/>
        <w:rPr>
          <w:rFonts w:ascii="仿宋" w:hAnsi="仿宋" w:eastAsia="仿宋" w:cs="仿宋"/>
          <w:b/>
          <w:bCs/>
          <w:sz w:val="24"/>
        </w:rPr>
      </w:pPr>
      <w:bookmarkStart w:id="100" w:name="_Toc24503_WPSOffice_Level2"/>
      <w:bookmarkStart w:id="101" w:name="_Toc9860_WPSOffice_Level2"/>
      <w:r>
        <w:rPr>
          <w:rFonts w:hint="eastAsia" w:ascii="仿宋" w:hAnsi="仿宋" w:eastAsia="仿宋" w:cs="仿宋"/>
          <w:b/>
          <w:bCs/>
          <w:sz w:val="24"/>
        </w:rPr>
        <w:t>（一）资格要求：</w:t>
      </w:r>
      <w:bookmarkEnd w:id="100"/>
      <w:bookmarkEnd w:id="101"/>
    </w:p>
    <w:p>
      <w:pPr>
        <w:spacing w:line="360" w:lineRule="auto"/>
        <w:ind w:firstLine="480" w:firstLineChars="200"/>
        <w:rPr>
          <w:rFonts w:ascii="仿宋" w:hAnsi="仿宋" w:eastAsia="仿宋" w:cs="仿宋"/>
          <w:sz w:val="24"/>
        </w:rPr>
      </w:pPr>
      <w:r>
        <w:rPr>
          <w:rFonts w:hint="eastAsia" w:ascii="仿宋" w:hAnsi="仿宋" w:eastAsia="仿宋" w:cs="仿宋"/>
          <w:sz w:val="24"/>
        </w:rPr>
        <w:t>1、具备《中华人民共和国政府采购法》第二十二条第一款规定的条件：</w:t>
      </w:r>
    </w:p>
    <w:p>
      <w:pPr>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sz w:val="24"/>
        </w:rPr>
        <w:t>（6）法律、行政法规规定的其他条件。</w:t>
      </w:r>
    </w:p>
    <w:p>
      <w:pPr>
        <w:spacing w:line="360" w:lineRule="auto"/>
        <w:ind w:firstLine="482" w:firstLineChars="200"/>
        <w:rPr>
          <w:rFonts w:ascii="仿宋" w:hAnsi="仿宋" w:eastAsia="仿宋" w:cs="仿宋"/>
          <w:b/>
          <w:bCs/>
          <w:sz w:val="24"/>
        </w:rPr>
      </w:pPr>
      <w:bookmarkStart w:id="102" w:name="_Toc11574_WPSOffice_Level2"/>
      <w:bookmarkStart w:id="103" w:name="_Toc12093_WPSOffice_Level2"/>
      <w:r>
        <w:rPr>
          <w:rFonts w:hint="eastAsia" w:ascii="仿宋" w:hAnsi="仿宋" w:eastAsia="仿宋" w:cs="仿宋"/>
          <w:b/>
          <w:bCs/>
          <w:sz w:val="24"/>
        </w:rPr>
        <w:t>（二）根据采购项目提出的特殊条件：</w:t>
      </w:r>
      <w:bookmarkEnd w:id="102"/>
      <w:bookmarkEnd w:id="103"/>
    </w:p>
    <w:p>
      <w:pPr>
        <w:spacing w:line="360" w:lineRule="auto"/>
        <w:ind w:firstLine="480" w:firstLineChars="200"/>
        <w:rPr>
          <w:rFonts w:ascii="仿宋" w:hAnsi="仿宋" w:eastAsia="仿宋" w:cs="仿宋"/>
          <w:sz w:val="24"/>
        </w:rPr>
      </w:pPr>
      <w:r>
        <w:rPr>
          <w:rFonts w:hint="eastAsia" w:ascii="仿宋" w:hAnsi="仿宋" w:eastAsia="仿宋" w:cs="仿宋"/>
          <w:sz w:val="24"/>
        </w:rPr>
        <w:t>（1）供应商及其现任法定代表人（非法人机构则为主要负责人）不得具有行贿犯罪记录；</w:t>
      </w:r>
    </w:p>
    <w:p>
      <w:pPr>
        <w:pStyle w:val="2"/>
        <w:spacing w:line="360" w:lineRule="auto"/>
        <w:ind w:firstLine="480" w:firstLineChars="200"/>
        <w:rPr>
          <w:rFonts w:ascii="仿宋" w:hAnsi="仿宋" w:eastAsia="仿宋" w:cs="仿宋"/>
        </w:rPr>
      </w:pPr>
      <w:r>
        <w:rPr>
          <w:rFonts w:hint="eastAsia" w:ascii="仿宋" w:hAnsi="仿宋" w:eastAsia="仿宋" w:cs="仿宋"/>
          <w:sz w:val="24"/>
        </w:rPr>
        <w:t>（2）本项目为专门面向中小企业采购；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（3）本次磋商不接受联合体响应。</w:t>
      </w:r>
    </w:p>
    <w:p>
      <w:pPr>
        <w:spacing w:line="360" w:lineRule="auto"/>
        <w:ind w:firstLine="482" w:firstLineChars="200"/>
        <w:rPr>
          <w:rFonts w:ascii="仿宋" w:hAnsi="仿宋" w:eastAsia="仿宋" w:cs="仿宋"/>
          <w:b/>
          <w:bCs/>
          <w:sz w:val="24"/>
        </w:rPr>
      </w:pPr>
      <w:bookmarkStart w:id="104" w:name="_Toc12366_WPSOffice_Level2"/>
      <w:bookmarkStart w:id="105" w:name="_Toc8836_WPSOffice_Level2"/>
      <w:r>
        <w:rPr>
          <w:rFonts w:hint="eastAsia" w:ascii="仿宋" w:hAnsi="仿宋" w:eastAsia="仿宋" w:cs="仿宋"/>
          <w:b/>
          <w:bCs/>
          <w:sz w:val="24"/>
        </w:rPr>
        <w:t>（三）其他类似效力要求：</w:t>
      </w:r>
      <w:bookmarkEnd w:id="104"/>
      <w:bookmarkEnd w:id="105"/>
    </w:p>
    <w:p>
      <w:pPr>
        <w:spacing w:line="360" w:lineRule="auto"/>
        <w:ind w:firstLine="480" w:firstLineChars="200"/>
        <w:rPr>
          <w:rFonts w:ascii="仿宋" w:hAnsi="仿宋" w:eastAsia="仿宋" w:cs="仿宋"/>
          <w:sz w:val="24"/>
        </w:rPr>
      </w:pPr>
      <w:bookmarkStart w:id="106" w:name="_Toc443658843"/>
      <w:r>
        <w:rPr>
          <w:rFonts w:hint="eastAsia" w:ascii="仿宋" w:hAnsi="仿宋" w:eastAsia="仿宋" w:cs="仿宋"/>
          <w:sz w:val="24"/>
        </w:rPr>
        <w:t>（1）参加本次磋商活动代表的证明材料。</w:t>
      </w:r>
    </w:p>
    <w:p>
      <w:pPr>
        <w:pStyle w:val="5"/>
        <w:keepNext w:val="0"/>
        <w:keepLines w:val="0"/>
        <w:spacing w:before="0" w:after="0" w:line="360" w:lineRule="auto"/>
        <w:rPr>
          <w:rFonts w:ascii="仿宋" w:hAnsi="仿宋" w:eastAsia="仿宋" w:cs="仿宋"/>
          <w:sz w:val="24"/>
          <w:szCs w:val="24"/>
        </w:rPr>
      </w:pPr>
      <w:r>
        <w:rPr>
          <w:rFonts w:hint="eastAsia" w:ascii="仿宋" w:hAnsi="仿宋" w:eastAsia="仿宋" w:cs="仿宋"/>
          <w:sz w:val="24"/>
          <w:szCs w:val="24"/>
        </w:rPr>
        <w:t>二、报价产品的资格、资质性及其他类似效力要求</w:t>
      </w:r>
      <w:bookmarkEnd w:id="106"/>
      <w:r>
        <w:rPr>
          <w:rFonts w:hint="eastAsia" w:ascii="仿宋" w:hAnsi="仿宋" w:eastAsia="仿宋" w:cs="仿宋"/>
          <w:sz w:val="24"/>
          <w:szCs w:val="24"/>
        </w:rPr>
        <w:t>：无。</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ascii="仿宋" w:hAnsi="仿宋" w:eastAsia="仿宋" w:cs="仿宋"/>
          <w:sz w:val="24"/>
        </w:rPr>
      </w:pPr>
      <w:r>
        <w:rPr>
          <w:rFonts w:hint="eastAsia" w:ascii="仿宋" w:hAnsi="仿宋" w:eastAsia="仿宋" w:cs="仿宋"/>
          <w:sz w:val="24"/>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rFonts w:ascii="仿宋" w:hAnsi="仿宋" w:eastAsia="仿宋" w:cs="仿宋"/>
        </w:rPr>
      </w:pPr>
      <w:r>
        <w:rPr>
          <w:rFonts w:hint="eastAsia" w:ascii="仿宋" w:hAnsi="仿宋" w:eastAsia="仿宋" w:cs="仿宋"/>
          <w:sz w:val="24"/>
        </w:rPr>
        <w:t>4、供应商应对其所提供的资格证明材料来源的合法性、真实性承担法律责任。</w:t>
      </w:r>
      <w:r>
        <w:rPr>
          <w:rFonts w:hint="eastAsia" w:ascii="仿宋" w:hAnsi="仿宋" w:eastAsia="仿宋" w:cs="仿宋"/>
        </w:rPr>
        <w:br w:type="page"/>
      </w:r>
      <w:bookmarkStart w:id="107" w:name="_Toc1390_WPSOffice_Level1"/>
      <w:bookmarkStart w:id="108" w:name="_Toc17387"/>
      <w:bookmarkStart w:id="109" w:name="_Toc8156_WPSOffice_Level1"/>
    </w:p>
    <w:p>
      <w:pPr>
        <w:pStyle w:val="4"/>
        <w:jc w:val="center"/>
        <w:rPr>
          <w:rFonts w:ascii="仿宋" w:hAnsi="仿宋" w:eastAsia="仿宋" w:cs="仿宋"/>
        </w:rPr>
      </w:pPr>
      <w:r>
        <w:rPr>
          <w:rFonts w:hint="eastAsia" w:ascii="仿宋" w:hAnsi="仿宋" w:eastAsia="仿宋" w:cs="仿宋"/>
        </w:rPr>
        <w:t>第四章  供应商资格证明材料</w:t>
      </w:r>
      <w:bookmarkEnd w:id="107"/>
      <w:bookmarkEnd w:id="108"/>
      <w:bookmarkEnd w:id="109"/>
    </w:p>
    <w:p>
      <w:pPr>
        <w:pStyle w:val="5"/>
        <w:keepNext w:val="0"/>
        <w:keepLines w:val="0"/>
        <w:spacing w:before="0" w:after="0" w:line="360" w:lineRule="auto"/>
        <w:rPr>
          <w:rFonts w:ascii="仿宋" w:hAnsi="仿宋" w:eastAsia="仿宋" w:cs="仿宋"/>
          <w:sz w:val="24"/>
          <w:szCs w:val="24"/>
        </w:rPr>
      </w:pPr>
      <w:bookmarkStart w:id="110" w:name="_Toc2507_WPSOffice_Level2"/>
      <w:bookmarkStart w:id="111" w:name="_Toc29661_WPSOffice_Level2"/>
      <w:r>
        <w:rPr>
          <w:rFonts w:hint="eastAsia" w:ascii="仿宋" w:hAnsi="仿宋" w:eastAsia="仿宋" w:cs="仿宋"/>
          <w:sz w:val="24"/>
          <w:szCs w:val="24"/>
        </w:rPr>
        <w:t>一、应当提供的供应商资格、资质性及其他类似效力要求的相关证明材料</w:t>
      </w:r>
      <w:bookmarkEnd w:id="110"/>
      <w:bookmarkEnd w:id="111"/>
    </w:p>
    <w:p>
      <w:pPr>
        <w:tabs>
          <w:tab w:val="left" w:pos="7665"/>
        </w:tabs>
        <w:snapToGrid w:val="0"/>
        <w:spacing w:line="360" w:lineRule="auto"/>
        <w:ind w:firstLine="482" w:firstLineChars="200"/>
        <w:rPr>
          <w:rFonts w:ascii="仿宋" w:hAnsi="仿宋" w:eastAsia="仿宋" w:cs="仿宋"/>
          <w:b/>
          <w:bCs/>
          <w:sz w:val="24"/>
        </w:rPr>
      </w:pPr>
      <w:bookmarkStart w:id="112" w:name="_Toc443658848"/>
      <w:r>
        <w:rPr>
          <w:rFonts w:hint="eastAsia" w:ascii="仿宋" w:hAnsi="仿宋" w:eastAsia="仿宋" w:cs="仿宋"/>
          <w:b/>
          <w:bCs/>
          <w:sz w:val="24"/>
        </w:rPr>
        <w:t>（一）《中华人民共和国政府采购法》第二十二条第一款第（一）至（六）规定的条件：</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具备健全的财务会计制度的证明材料。（①可提供2019或2020年经审计的财务报告复印件（至少包含审计报告和审计报告中所涉及的财务报表和报表附注）；②也可提供2019或2020年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（3）提供具备良好商业信誉的承诺函原件（格式详见第七章）。</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（4）提供具有依法缴纳税收和社会保障资金的良好记录的承诺函原件（格式详见第七章）。</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（5）提供具备履行合同所必需的设备和专业技术能力的承诺函原件（格式详见第七章）。</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（7）提供具备法律、行政法规规定的其他条件的承诺函原件（格式详见第七章）。</w:t>
      </w:r>
    </w:p>
    <w:p>
      <w:pPr>
        <w:tabs>
          <w:tab w:val="left" w:pos="7665"/>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（二）根据采购项目提出的特殊条件：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（1）供应商及其现任法定代表人（非法人机构则为主要负责人）不得具有行贿犯罪记录的承诺函原件（格式详见第七章）；</w:t>
      </w:r>
    </w:p>
    <w:p>
      <w:pPr>
        <w:pStyle w:val="2"/>
        <w:ind w:firstLine="480" w:firstLineChars="200"/>
        <w:rPr>
          <w:rFonts w:ascii="仿宋" w:hAnsi="仿宋" w:eastAsia="仿宋" w:cs="仿宋"/>
        </w:rPr>
      </w:pPr>
      <w:r>
        <w:rPr>
          <w:rFonts w:hint="eastAsia" w:ascii="仿宋" w:hAnsi="仿宋" w:eastAsia="仿宋" w:cs="仿宋"/>
          <w:sz w:val="24"/>
        </w:rPr>
        <w:t>（2）本项目为专门面向中小企业采购；（提供声明函）</w:t>
      </w:r>
    </w:p>
    <w:p>
      <w:pPr>
        <w:tabs>
          <w:tab w:val="left" w:pos="7665"/>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（三）其他类似效力要求：</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ascii="仿宋" w:hAnsi="仿宋" w:eastAsia="仿宋" w:cs="仿宋"/>
          <w:sz w:val="24"/>
        </w:rPr>
      </w:pPr>
    </w:p>
    <w:p>
      <w:pPr>
        <w:pStyle w:val="5"/>
        <w:keepNext w:val="0"/>
        <w:keepLines w:val="0"/>
        <w:spacing w:before="0" w:after="0" w:line="360" w:lineRule="auto"/>
        <w:rPr>
          <w:rFonts w:ascii="仿宋" w:hAnsi="仿宋" w:eastAsia="仿宋" w:cs="仿宋"/>
          <w:sz w:val="24"/>
          <w:szCs w:val="24"/>
        </w:rPr>
      </w:pPr>
      <w:bookmarkStart w:id="113" w:name="_Toc24332_WPSOffice_Level2"/>
      <w:bookmarkStart w:id="114" w:name="_Toc20115_WPSOffice_Level2"/>
      <w:r>
        <w:rPr>
          <w:rFonts w:hint="eastAsia" w:ascii="仿宋" w:hAnsi="仿宋" w:eastAsia="仿宋" w:cs="仿宋"/>
          <w:sz w:val="24"/>
          <w:szCs w:val="24"/>
        </w:rPr>
        <w:t>二、应当提供的报价产品的资格、资质性及其他类似效力要求的相关证明材料：</w:t>
      </w:r>
      <w:bookmarkEnd w:id="112"/>
      <w:bookmarkEnd w:id="113"/>
      <w:bookmarkEnd w:id="114"/>
    </w:p>
    <w:p>
      <w:pPr>
        <w:tabs>
          <w:tab w:val="left" w:pos="7665"/>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无。</w:t>
      </w:r>
    </w:p>
    <w:p>
      <w:pPr>
        <w:pStyle w:val="33"/>
        <w:snapToGrid w:val="0"/>
        <w:ind w:firstLine="0" w:firstLineChars="0"/>
        <w:rPr>
          <w:rFonts w:ascii="仿宋" w:hAnsi="仿宋" w:eastAsia="仿宋" w:cs="仿宋"/>
          <w:sz w:val="24"/>
        </w:rPr>
      </w:pPr>
    </w:p>
    <w:p>
      <w:pPr>
        <w:tabs>
          <w:tab w:val="left" w:pos="7665"/>
        </w:tabs>
        <w:snapToGrid w:val="0"/>
        <w:spacing w:line="360" w:lineRule="auto"/>
        <w:ind w:firstLine="482" w:firstLineChars="200"/>
        <w:rPr>
          <w:rFonts w:ascii="仿宋" w:hAnsi="仿宋" w:eastAsia="仿宋" w:cs="仿宋"/>
          <w:b/>
          <w:sz w:val="24"/>
        </w:rPr>
      </w:pPr>
    </w:p>
    <w:p>
      <w:pPr>
        <w:tabs>
          <w:tab w:val="left" w:pos="7665"/>
        </w:tabs>
        <w:snapToGrid w:val="0"/>
        <w:spacing w:line="360" w:lineRule="auto"/>
        <w:ind w:firstLine="482" w:firstLineChars="200"/>
        <w:rPr>
          <w:rFonts w:ascii="仿宋" w:hAnsi="仿宋" w:eastAsia="仿宋" w:cs="仿宋"/>
          <w:b/>
          <w:sz w:val="24"/>
        </w:rPr>
      </w:pPr>
    </w:p>
    <w:p>
      <w:pPr>
        <w:pStyle w:val="33"/>
        <w:snapToGrid w:val="0"/>
        <w:ind w:firstLine="0" w:firstLineChars="0"/>
        <w:rPr>
          <w:rFonts w:ascii="仿宋" w:hAnsi="仿宋" w:eastAsia="仿宋" w:cs="仿宋"/>
          <w:sz w:val="24"/>
        </w:rPr>
      </w:pPr>
      <w:r>
        <w:rPr>
          <w:rFonts w:hint="eastAsia" w:ascii="仿宋" w:hAnsi="仿宋" w:eastAsia="仿宋" w:cs="仿宋"/>
          <w:sz w:val="24"/>
        </w:rPr>
        <w:t>说明：</w:t>
      </w:r>
    </w:p>
    <w:p>
      <w:pPr>
        <w:pStyle w:val="33"/>
        <w:snapToGrid w:val="0"/>
        <w:ind w:firstLine="0" w:firstLineChars="0"/>
        <w:rPr>
          <w:rFonts w:ascii="仿宋" w:hAnsi="仿宋" w:eastAsia="仿宋" w:cs="仿宋"/>
          <w:b/>
          <w:bCs/>
          <w:sz w:val="24"/>
        </w:rPr>
      </w:pPr>
      <w:r>
        <w:rPr>
          <w:rFonts w:hint="eastAsia" w:ascii="仿宋" w:hAnsi="仿宋" w:eastAsia="仿宋" w:cs="仿宋"/>
          <w:b/>
          <w:bCs/>
          <w:sz w:val="24"/>
        </w:rPr>
        <w:t>（1）供应商提供的以上资格证明材料为复印件的均应加盖供应商公章。</w:t>
      </w:r>
    </w:p>
    <w:p>
      <w:pPr>
        <w:pStyle w:val="33"/>
        <w:snapToGrid w:val="0"/>
        <w:ind w:firstLine="0" w:firstLineChars="0"/>
        <w:rPr>
          <w:rFonts w:ascii="仿宋" w:hAnsi="仿宋" w:eastAsia="仿宋" w:cs="仿宋"/>
          <w:b/>
          <w:bCs/>
          <w:sz w:val="24"/>
        </w:rPr>
      </w:pPr>
      <w:r>
        <w:rPr>
          <w:rFonts w:hint="eastAsia" w:ascii="仿宋" w:hAnsi="仿宋" w:eastAsia="仿宋" w:cs="仿宋"/>
          <w:b/>
          <w:bCs/>
          <w:sz w:val="24"/>
        </w:rPr>
        <w:t>（2）供应商所提供的资格证明材料应当真实、有效。</w:t>
      </w:r>
    </w:p>
    <w:p>
      <w:pPr>
        <w:pStyle w:val="4"/>
        <w:spacing w:before="0" w:after="0" w:line="360" w:lineRule="auto"/>
        <w:jc w:val="center"/>
        <w:rPr>
          <w:rFonts w:ascii="仿宋" w:hAnsi="仿宋" w:eastAsia="仿宋" w:cs="仿宋"/>
          <w:color w:val="auto"/>
          <w:highlight w:val="none"/>
        </w:rPr>
      </w:pPr>
      <w:r>
        <w:rPr>
          <w:rFonts w:hint="eastAsia" w:ascii="仿宋" w:hAnsi="仿宋" w:eastAsia="仿宋" w:cs="仿宋"/>
          <w:sz w:val="24"/>
        </w:rPr>
        <w:br w:type="page"/>
      </w:r>
      <w:bookmarkStart w:id="115" w:name="_Toc14938_WPSOffice_Level1"/>
      <w:bookmarkStart w:id="116" w:name="_Toc23697_WPSOffice_Level1"/>
      <w:bookmarkStart w:id="117" w:name="_Toc10654"/>
      <w:r>
        <w:rPr>
          <w:rFonts w:hint="eastAsia" w:ascii="仿宋" w:hAnsi="仿宋" w:eastAsia="仿宋" w:cs="仿宋"/>
          <w:color w:val="auto"/>
          <w:highlight w:val="none"/>
        </w:rPr>
        <w:t xml:space="preserve">第五章  </w:t>
      </w:r>
      <w:bookmarkEnd w:id="115"/>
      <w:bookmarkEnd w:id="116"/>
      <w:r>
        <w:rPr>
          <w:rFonts w:hint="eastAsia" w:ascii="仿宋" w:hAnsi="仿宋" w:eastAsia="仿宋" w:cs="仿宋"/>
          <w:color w:val="auto"/>
          <w:highlight w:val="none"/>
        </w:rPr>
        <w:t>采购项目技术、服务、政府采购合同内容条款及其他商务要求</w:t>
      </w:r>
      <w:bookmarkEnd w:id="117"/>
    </w:p>
    <w:p>
      <w:pPr>
        <w:pStyle w:val="28"/>
        <w:numPr>
          <w:ilvl w:val="0"/>
          <w:numId w:val="0"/>
        </w:numPr>
        <w:spacing w:line="360" w:lineRule="auto"/>
        <w:rPr>
          <w:rFonts w:hint="eastAsia" w:ascii="仿宋" w:hAnsi="仿宋" w:eastAsia="仿宋" w:cs="仿宋"/>
          <w:b/>
          <w:szCs w:val="24"/>
          <w:lang w:val="en-US" w:eastAsia="zh-CN"/>
        </w:rPr>
      </w:pPr>
      <w:r>
        <w:rPr>
          <w:rFonts w:hint="eastAsia" w:ascii="仿宋" w:hAnsi="仿宋" w:eastAsia="仿宋" w:cs="仿宋"/>
          <w:b/>
          <w:szCs w:val="24"/>
          <w:lang w:val="en-US" w:eastAsia="zh-CN"/>
        </w:rPr>
        <w:t>一、项目简介</w:t>
      </w:r>
    </w:p>
    <w:p>
      <w:pPr>
        <w:pStyle w:val="28"/>
        <w:numPr>
          <w:ilvl w:val="0"/>
          <w:numId w:val="0"/>
        </w:numPr>
        <w:spacing w:line="360" w:lineRule="auto"/>
        <w:ind w:firstLine="440" w:firstLineChars="200"/>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在区级部门及荷花池街道办事处领导</w:t>
      </w:r>
      <w:r>
        <w:rPr>
          <w:rFonts w:hint="eastAsia" w:ascii="仿宋" w:hAnsi="仿宋" w:eastAsia="仿宋" w:cs="仿宋"/>
          <w:b w:val="0"/>
          <w:bCs/>
          <w:color w:val="auto"/>
          <w:sz w:val="22"/>
          <w:szCs w:val="22"/>
          <w:highlight w:val="none"/>
          <w:lang w:val="en-US" w:eastAsia="zh-CN"/>
        </w:rPr>
        <w:t xml:space="preserve">下，配合荷花池街道开展指定服务区域内综治维稳辅助服务工作。 </w:t>
      </w:r>
    </w:p>
    <w:p>
      <w:pPr>
        <w:pStyle w:val="28"/>
        <w:numPr>
          <w:ilvl w:val="0"/>
          <w:numId w:val="0"/>
        </w:numPr>
        <w:spacing w:line="360" w:lineRule="auto"/>
        <w:rPr>
          <w:rFonts w:hint="eastAsia" w:ascii="仿宋" w:hAnsi="仿宋" w:eastAsia="仿宋" w:cs="仿宋"/>
          <w:b/>
          <w:szCs w:val="24"/>
        </w:rPr>
      </w:pPr>
      <w:r>
        <w:rPr>
          <w:rFonts w:hint="eastAsia" w:ascii="仿宋" w:hAnsi="仿宋" w:eastAsia="仿宋" w:cs="仿宋"/>
          <w:b/>
          <w:szCs w:val="24"/>
        </w:rPr>
        <w:t>二、服务内容：</w:t>
      </w:r>
    </w:p>
    <w:p>
      <w:pPr>
        <w:spacing w:line="360" w:lineRule="auto"/>
        <w:ind w:firstLine="420" w:firstLineChars="200"/>
        <w:rPr>
          <w:rFonts w:hint="eastAsia" w:ascii="仿宋" w:hAnsi="仿宋" w:eastAsia="仿宋" w:cs="仿宋"/>
          <w:b/>
          <w:bCs w:val="0"/>
          <w:sz w:val="22"/>
          <w:szCs w:val="22"/>
          <w:lang w:eastAsia="zh-CN"/>
        </w:rPr>
      </w:pPr>
      <w:r>
        <w:rPr>
          <w:rFonts w:hint="eastAsia" w:ascii="仿宋" w:hAnsi="仿宋" w:eastAsia="仿宋" w:cs="仿宋"/>
          <w:lang w:val="zh-CN"/>
        </w:rPr>
        <w:t>★</w:t>
      </w:r>
      <w:r>
        <w:rPr>
          <w:rFonts w:hint="eastAsia" w:ascii="仿宋" w:hAnsi="仿宋" w:eastAsia="仿宋" w:cs="仿宋"/>
          <w:bCs/>
          <w:sz w:val="24"/>
        </w:rPr>
        <w:t>1、</w:t>
      </w:r>
      <w:r>
        <w:rPr>
          <w:rFonts w:hint="eastAsia" w:ascii="仿宋" w:hAnsi="仿宋" w:eastAsia="仿宋" w:cs="仿宋"/>
          <w:color w:val="000000"/>
          <w:lang w:val="zh-CN"/>
        </w:rPr>
        <w:t>服务人员要求：</w:t>
      </w:r>
      <w:r>
        <w:rPr>
          <w:rFonts w:hint="eastAsia" w:ascii="仿宋" w:hAnsi="仿宋" w:eastAsia="仿宋" w:cs="仿宋"/>
          <w:color w:val="000000"/>
          <w:lang w:val="en-US" w:eastAsia="zh-CN"/>
        </w:rPr>
        <w:t>拟派本项目人员</w:t>
      </w:r>
      <w:r>
        <w:rPr>
          <w:rFonts w:hint="eastAsia" w:ascii="仿宋" w:hAnsi="仿宋" w:eastAsia="仿宋" w:cs="仿宋"/>
          <w:color w:val="000000"/>
          <w:lang w:val="zh-CN"/>
        </w:rPr>
        <w:t>年龄在</w:t>
      </w:r>
      <w:r>
        <w:rPr>
          <w:rFonts w:hint="eastAsia" w:ascii="仿宋" w:hAnsi="仿宋" w:eastAsia="仿宋" w:cs="仿宋"/>
          <w:color w:val="000000"/>
          <w:lang w:val="en-US" w:eastAsia="zh-CN"/>
        </w:rPr>
        <w:t>18</w:t>
      </w:r>
      <w:r>
        <w:rPr>
          <w:rFonts w:hint="eastAsia" w:ascii="仿宋" w:hAnsi="仿宋" w:eastAsia="仿宋" w:cs="仿宋"/>
          <w:color w:val="000000"/>
          <w:lang w:val="zh-CN"/>
        </w:rPr>
        <w:t>至45岁之间，五官端正，视力1.0以上；身体健康，肝功能正常，无传染病，无残疾，身体显著部位无纹身或标记；无犯罪史；高中毕业以上文化程度；需经过半个月以上的综治维稳业务知识培训</w:t>
      </w:r>
      <w:r>
        <w:rPr>
          <w:rFonts w:hint="eastAsia" w:ascii="仿宋" w:hAnsi="仿宋" w:eastAsia="仿宋" w:cs="仿宋"/>
          <w:color w:val="000000"/>
        </w:rPr>
        <w:t>及廉洁自律教育</w:t>
      </w:r>
      <w:r>
        <w:rPr>
          <w:rFonts w:hint="eastAsia" w:ascii="仿宋" w:hAnsi="仿宋" w:eastAsia="仿宋" w:cs="仿宋"/>
          <w:color w:val="000000"/>
          <w:lang w:val="zh-CN"/>
        </w:rPr>
        <w:t>。成交供应商应向采购人提供服务人员无犯罪记录、身体健康、受过综治维稳业务知识培训等证明材料及体检报告（含尿检）</w:t>
      </w:r>
      <w:r>
        <w:rPr>
          <w:rFonts w:hint="eastAsia" w:ascii="仿宋" w:hAnsi="仿宋" w:eastAsia="仿宋" w:cs="仿宋"/>
          <w:bCs/>
          <w:sz w:val="24"/>
        </w:rPr>
        <w:t>。</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lang w:val="en-US" w:eastAsia="zh-CN"/>
        </w:rPr>
        <w:t>提供承诺函</w:t>
      </w:r>
      <w:r>
        <w:rPr>
          <w:rFonts w:hint="eastAsia" w:ascii="仿宋" w:hAnsi="仿宋" w:eastAsia="仿宋" w:cs="仿宋"/>
          <w:b/>
          <w:bCs w:val="0"/>
          <w:sz w:val="22"/>
          <w:szCs w:val="22"/>
          <w:lang w:eastAsia="zh-CN"/>
        </w:rPr>
        <w:t>）</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w:t>
      </w:r>
      <w:r>
        <w:rPr>
          <w:rFonts w:hint="eastAsia" w:ascii="仿宋" w:hAnsi="仿宋" w:eastAsia="仿宋" w:cs="仿宋"/>
          <w:color w:val="000000"/>
          <w:lang w:val="zh-CN"/>
        </w:rPr>
        <w:t>工作要求：</w:t>
      </w:r>
    </w:p>
    <w:p>
      <w:pPr>
        <w:spacing w:line="360" w:lineRule="auto"/>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1.服务区域：</w:t>
      </w:r>
      <w:r>
        <w:rPr>
          <w:rFonts w:hint="eastAsia" w:ascii="仿宋" w:hAnsi="仿宋" w:eastAsia="仿宋" w:cs="仿宋"/>
          <w:color w:val="auto"/>
          <w:highlight w:val="none"/>
          <w:lang w:val="en-US" w:eastAsia="zh-CN"/>
        </w:rPr>
        <w:t>荷花池街道辖区内</w:t>
      </w:r>
      <w:r>
        <w:rPr>
          <w:rFonts w:hint="eastAsia" w:ascii="仿宋" w:hAnsi="仿宋" w:eastAsia="仿宋" w:cs="仿宋"/>
          <w:color w:val="auto"/>
          <w:highlight w:val="none"/>
          <w:lang w:val="zh-CN"/>
        </w:rPr>
        <w:t>。</w:t>
      </w:r>
    </w:p>
    <w:p>
      <w:pPr>
        <w:spacing w:line="360" w:lineRule="auto"/>
        <w:ind w:firstLine="420" w:firstLineChars="200"/>
        <w:rPr>
          <w:rFonts w:hint="eastAsia" w:ascii="仿宋" w:hAnsi="仿宋" w:eastAsia="仿宋" w:cs="仿宋"/>
          <w:color w:val="auto"/>
          <w:highlight w:val="none"/>
          <w:lang w:val="zh-CN"/>
        </w:rPr>
      </w:pPr>
      <w:r>
        <w:rPr>
          <w:rFonts w:hint="eastAsia" w:ascii="仿宋" w:hAnsi="仿宋" w:eastAsia="仿宋" w:cs="仿宋"/>
          <w:color w:val="000000"/>
          <w:lang w:val="en-US" w:eastAsia="zh-CN"/>
        </w:rPr>
        <w:t>2.2</w:t>
      </w:r>
      <w:r>
        <w:rPr>
          <w:rFonts w:hint="eastAsia" w:ascii="仿宋" w:hAnsi="仿宋" w:eastAsia="仿宋" w:cs="仿宋"/>
          <w:color w:val="000000"/>
          <w:lang w:val="zh-CN"/>
        </w:rPr>
        <w:t>.</w:t>
      </w:r>
      <w:r>
        <w:rPr>
          <w:rFonts w:hint="eastAsia" w:ascii="仿宋" w:hAnsi="仿宋" w:eastAsia="仿宋" w:cs="仿宋"/>
          <w:color w:val="auto"/>
          <w:highlight w:val="none"/>
          <w:lang w:val="zh-CN"/>
        </w:rPr>
        <w:t>在</w:t>
      </w:r>
      <w:r>
        <w:rPr>
          <w:rFonts w:hint="eastAsia" w:ascii="仿宋" w:hAnsi="仿宋" w:eastAsia="仿宋" w:cs="仿宋"/>
          <w:color w:val="auto"/>
          <w:highlight w:val="none"/>
          <w:lang w:val="en-US" w:eastAsia="zh-CN"/>
        </w:rPr>
        <w:t>荷花池街道的</w:t>
      </w:r>
      <w:r>
        <w:rPr>
          <w:rFonts w:hint="eastAsia" w:ascii="仿宋" w:hAnsi="仿宋" w:eastAsia="仿宋" w:cs="仿宋"/>
          <w:color w:val="auto"/>
          <w:highlight w:val="none"/>
          <w:lang w:val="zh-CN"/>
        </w:rPr>
        <w:t>领导下做好</w:t>
      </w:r>
      <w:r>
        <w:rPr>
          <w:rFonts w:hint="eastAsia" w:ascii="仿宋" w:hAnsi="仿宋" w:eastAsia="仿宋" w:cs="仿宋"/>
          <w:color w:val="auto"/>
          <w:highlight w:val="none"/>
          <w:lang w:val="en-US" w:eastAsia="zh-CN"/>
        </w:rPr>
        <w:t>服务区域的</w:t>
      </w:r>
      <w:r>
        <w:rPr>
          <w:rFonts w:hint="eastAsia" w:ascii="仿宋" w:hAnsi="仿宋" w:eastAsia="仿宋" w:cs="仿宋"/>
          <w:color w:val="auto"/>
          <w:highlight w:val="none"/>
          <w:lang w:val="zh-CN"/>
        </w:rPr>
        <w:t>综治维稳辅助服务工作。协助维稳处突、抢险救援、临时应急、</w:t>
      </w:r>
      <w:r>
        <w:rPr>
          <w:rFonts w:hint="eastAsia" w:ascii="仿宋" w:hAnsi="仿宋" w:eastAsia="仿宋" w:cs="仿宋"/>
          <w:color w:val="auto"/>
          <w:highlight w:val="none"/>
          <w:lang w:val="en-US" w:eastAsia="zh-CN"/>
        </w:rPr>
        <w:t>治安防范</w:t>
      </w:r>
      <w:r>
        <w:rPr>
          <w:rFonts w:hint="eastAsia" w:ascii="仿宋" w:hAnsi="仿宋" w:eastAsia="仿宋" w:cs="仿宋"/>
          <w:color w:val="auto"/>
          <w:highlight w:val="none"/>
          <w:lang w:val="zh-CN"/>
        </w:rPr>
        <w:t>等工作</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2.3</w:t>
      </w:r>
      <w:r>
        <w:rPr>
          <w:rFonts w:hint="eastAsia" w:ascii="仿宋" w:hAnsi="仿宋" w:eastAsia="仿宋" w:cs="仿宋"/>
          <w:color w:val="000000"/>
          <w:lang w:val="zh-CN"/>
        </w:rPr>
        <w:t>.采购人交办的其他工作。</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2.4</w:t>
      </w:r>
      <w:r>
        <w:rPr>
          <w:rFonts w:hint="eastAsia" w:ascii="仿宋" w:hAnsi="仿宋" w:eastAsia="仿宋" w:cs="仿宋"/>
          <w:color w:val="000000"/>
          <w:lang w:val="zh-CN"/>
        </w:rPr>
        <w:t>.在合同服务期内，能够提供畅通的信息沟通渠道，固定的联络人员、联系方式，保障每周7X24小时应急服务响应。</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2.5</w:t>
      </w:r>
      <w:r>
        <w:rPr>
          <w:rFonts w:hint="eastAsia" w:ascii="仿宋" w:hAnsi="仿宋" w:eastAsia="仿宋" w:cs="仿宋"/>
          <w:color w:val="000000"/>
          <w:lang w:val="zh-CN"/>
        </w:rPr>
        <w:t>.在合同服务期内，配备2名业务熟练、工作能力强的全职管理人员负责对本服务项目的日常管理。</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2.6</w:t>
      </w:r>
      <w:r>
        <w:rPr>
          <w:rFonts w:hint="eastAsia" w:ascii="仿宋" w:hAnsi="仿宋" w:eastAsia="仿宋" w:cs="仿宋"/>
          <w:color w:val="000000"/>
          <w:lang w:val="zh-CN"/>
        </w:rPr>
        <w:t>.合同服务期包含周末和法定节假日。</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2.7</w:t>
      </w:r>
      <w:r>
        <w:rPr>
          <w:rFonts w:hint="eastAsia" w:ascii="仿宋" w:hAnsi="仿宋" w:eastAsia="仿宋" w:cs="仿宋"/>
          <w:color w:val="000000"/>
          <w:lang w:val="zh-CN"/>
        </w:rPr>
        <w:t>.服务人员规范着装、举止文明、服从命令、自觉遵守各项法律法规和规章制度。</w:t>
      </w:r>
    </w:p>
    <w:p>
      <w:pPr>
        <w:spacing w:line="360" w:lineRule="auto"/>
        <w:ind w:firstLine="420" w:firstLineChars="200"/>
        <w:rPr>
          <w:rFonts w:hint="eastAsia" w:ascii="仿宋" w:hAnsi="仿宋" w:eastAsia="仿宋" w:cs="仿宋"/>
          <w:color w:val="000000"/>
          <w:lang w:val="zh-CN"/>
        </w:rPr>
      </w:pPr>
      <w:r>
        <w:rPr>
          <w:rFonts w:hint="eastAsia" w:ascii="仿宋" w:hAnsi="仿宋" w:eastAsia="仿宋" w:cs="仿宋"/>
          <w:color w:val="000000"/>
          <w:lang w:val="en-US" w:eastAsia="zh-CN"/>
        </w:rPr>
        <w:t>2.8.</w:t>
      </w:r>
      <w:r>
        <w:rPr>
          <w:rFonts w:hint="eastAsia" w:ascii="仿宋" w:hAnsi="仿宋" w:eastAsia="仿宋" w:cs="仿宋"/>
          <w:color w:val="000000"/>
          <w:lang w:val="zh-CN"/>
        </w:rPr>
        <w:t>成交供应商应提供符合标准的专职服务人员，并保持服务人员稳定。</w:t>
      </w:r>
      <w:r>
        <w:rPr>
          <w:rFonts w:hint="eastAsia" w:ascii="仿宋" w:hAnsi="仿宋" w:eastAsia="仿宋" w:cs="仿宋"/>
          <w:color w:val="000000"/>
          <w:lang w:val="en-US" w:eastAsia="zh-CN"/>
        </w:rPr>
        <w:t>采购人</w:t>
      </w:r>
      <w:r>
        <w:rPr>
          <w:rFonts w:hint="eastAsia" w:ascii="仿宋" w:hAnsi="仿宋" w:eastAsia="仿宋" w:cs="仿宋"/>
          <w:color w:val="000000"/>
          <w:lang w:val="zh-CN"/>
        </w:rPr>
        <w:t>认定的骨干服务人员，未经采购人同意，成交供应商不得擅自更换。</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3、其他要求</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3.1.服务人员必须经过试训后再确定，采购人有权挑选符合条件的特殊岗位的服务人员。</w:t>
      </w:r>
    </w:p>
    <w:p>
      <w:pPr>
        <w:spacing w:line="360" w:lineRule="auto"/>
        <w:ind w:firstLine="420" w:firstLineChars="200"/>
        <w:rPr>
          <w:rFonts w:hint="default" w:ascii="仿宋" w:hAnsi="仿宋" w:eastAsia="仿宋" w:cs="仿宋"/>
          <w:color w:val="000000"/>
          <w:lang w:val="en-US" w:eastAsia="zh-CN"/>
        </w:rPr>
      </w:pPr>
      <w:r>
        <w:rPr>
          <w:rFonts w:hint="eastAsia" w:ascii="仿宋" w:hAnsi="仿宋" w:eastAsia="仿宋" w:cs="仿宋"/>
          <w:color w:val="000000"/>
          <w:lang w:val="en-US" w:eastAsia="zh-CN"/>
        </w:rPr>
        <w:t>3.2.如因服务人员的休请假、撤换或辞退造成人数不足最低服务人数，成交供应商应在一个工作日内予以补充。</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3.3.采购人有权提出更换不符合使用要求的服务人员，成交供应商应无条件接受要求，并在三个工作日内予以更换。</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3.4.遵守采购人的工作守则。服务人员应按采购人要求坚守岗位，履职尽责到位。因服务人员失职而造成采购人损失的，采购人有权要求成交供应商赔偿损失。对服务人员失职、违规或不服从指挥的，成交供应商应及时加以整改。</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3.5.按照工作需要，将服务人员安排到服务区域，做到服务区域全覆盖。</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3.6.成交供应商应建立完善的考核管理规定制度，加强对服务人员日常管理及培训教育。如发生服务人员吃拿卡要等重大违规行为，一经查实，采购人有权扣除一定的服务费。情节严重造成恶劣影响的，从重扣除服务费，并纳入黑名单，3年内不得参与采购人同种类型招标项目。</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3.7.服务人员存在违规行为，造成他人人身、财产损失的，由成交供应商依法承担全部责任。</w:t>
      </w:r>
    </w:p>
    <w:p>
      <w:pPr>
        <w:spacing w:line="360" w:lineRule="auto"/>
        <w:ind w:firstLine="420" w:firstLineChars="200"/>
        <w:rPr>
          <w:rFonts w:hint="eastAsia" w:ascii="仿宋" w:hAnsi="仿宋" w:eastAsia="仿宋" w:cs="仿宋"/>
          <w:color w:val="000000"/>
          <w:lang w:val="en-US" w:eastAsia="zh-CN"/>
        </w:rPr>
      </w:pPr>
    </w:p>
    <w:p>
      <w:pPr>
        <w:pStyle w:val="28"/>
        <w:keepNext w:val="0"/>
        <w:keepLines w:val="0"/>
        <w:pageBreakBefore w:val="0"/>
        <w:widowControl w:val="0"/>
        <w:kinsoku/>
        <w:wordWrap/>
        <w:overflowPunct/>
        <w:topLinePunct w:val="0"/>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三、商务要求</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1、服务时间：1年。</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2、验收标准和方法：按合同约定。</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3、履行合同的时间及方式：服务应保障每周7X24小时应急服务响应。</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4、合同价款支付方式和条件：</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服务费根据实际考核情况按月支付。</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供应商报价应严格考虑国家相应政策和本项目的服务性质，合理报价，并对合同价款支付方式和条件做出相应承诺，供应商报价按照服务费用总额报价。</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付款方式：银行转账，采购人于次月将上月的结算费用支付给供应商。如供应商账户发生变化，应提前15天以书面形式通知采购人。</w:t>
      </w:r>
    </w:p>
    <w:p>
      <w:pPr>
        <w:spacing w:line="360" w:lineRule="auto"/>
        <w:ind w:firstLine="42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5、伴随服务</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000000"/>
          <w:lang w:val="en-US" w:eastAsia="zh-CN"/>
        </w:rPr>
        <w:t>5.1.成交供应商必须严格按照国家、省、市有关劳动法规和保险条例，为服务人员提供劳动权益保障，且购买服务人员的养老保险、医疗保险、失业保险、工伤保险和生育保险。严禁拖欠服务人员工资，任何与社会劳动保障方面的纠纷与采购人无关。因服务公司原因，未按时足额发放服务人员</w:t>
      </w:r>
      <w:r>
        <w:rPr>
          <w:rFonts w:hint="eastAsia" w:ascii="仿宋" w:hAnsi="仿宋" w:eastAsia="仿宋" w:cs="仿宋"/>
          <w:color w:val="auto"/>
          <w:highlight w:val="none"/>
          <w:lang w:val="en-US" w:eastAsia="zh-CN"/>
        </w:rPr>
        <w:t>工资待遇，造成恶劣影响的，扣除成交供应商相应金额履约保证金，并承担相应法律责任。</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5.2.由于服务人员需协助采购人开展综治维稳等相关工作，具有一定的职业风险，供应商必须书面承诺，保证在服务期内为每一名服务人员购买至少100/人/年的意外伤害保险。当国家相关政策发生变化时，上述标准做出相应调整。</w:t>
      </w:r>
    </w:p>
    <w:bookmarkEnd w:id="78"/>
    <w:bookmarkEnd w:id="79"/>
    <w:bookmarkEnd w:id="80"/>
    <w:bookmarkEnd w:id="81"/>
    <w:bookmarkEnd w:id="82"/>
    <w:p>
      <w:pPr>
        <w:rPr>
          <w:rFonts w:ascii="仿宋" w:hAnsi="仿宋" w:eastAsia="仿宋" w:cs="仿宋"/>
        </w:rPr>
        <w:sectPr>
          <w:footerReference r:id="rId9" w:type="default"/>
          <w:pgSz w:w="11850" w:h="16783"/>
          <w:pgMar w:top="1440" w:right="1304" w:bottom="1440" w:left="1417" w:header="851" w:footer="992" w:gutter="0"/>
          <w:pgNumType w:fmt="numberInDash"/>
          <w:cols w:space="0" w:num="1"/>
          <w:docGrid w:type="lines" w:linePitch="314" w:charSpace="0"/>
        </w:sectPr>
      </w:pPr>
      <w:bookmarkStart w:id="118" w:name="_Toc183582232"/>
      <w:bookmarkStart w:id="119" w:name="_Toc217446057"/>
      <w:bookmarkStart w:id="120" w:name="_Toc183682369"/>
    </w:p>
    <w:p>
      <w:pPr>
        <w:pStyle w:val="4"/>
        <w:numPr>
          <w:ilvl w:val="0"/>
          <w:numId w:val="3"/>
        </w:numPr>
        <w:spacing w:before="0" w:after="0" w:line="360" w:lineRule="auto"/>
        <w:jc w:val="center"/>
        <w:rPr>
          <w:rFonts w:ascii="仿宋" w:hAnsi="仿宋" w:eastAsia="仿宋" w:cs="仿宋"/>
        </w:rPr>
      </w:pPr>
      <w:bookmarkStart w:id="121" w:name="_Toc23248_WPSOffice_Level1"/>
      <w:bookmarkStart w:id="122" w:name="_Toc19570_WPSOffice_Level1"/>
      <w:r>
        <w:rPr>
          <w:rFonts w:hint="eastAsia" w:ascii="仿宋" w:hAnsi="仿宋" w:eastAsia="仿宋" w:cs="仿宋"/>
        </w:rPr>
        <w:t xml:space="preserve">  </w:t>
      </w:r>
      <w:bookmarkStart w:id="123" w:name="_Toc11441"/>
      <w:r>
        <w:rPr>
          <w:rFonts w:hint="eastAsia" w:ascii="仿宋" w:hAnsi="仿宋" w:eastAsia="仿宋" w:cs="仿宋"/>
        </w:rPr>
        <w:t>磋商内容、磋商过程中可实质性变动的内容</w:t>
      </w:r>
      <w:bookmarkEnd w:id="123"/>
    </w:p>
    <w:p>
      <w:pPr>
        <w:spacing w:line="360" w:lineRule="auto"/>
        <w:ind w:firstLine="480" w:firstLineChars="200"/>
        <w:rPr>
          <w:rFonts w:ascii="仿宋" w:hAnsi="仿宋" w:eastAsia="仿宋" w:cs="仿宋"/>
        </w:rPr>
      </w:pPr>
      <w:r>
        <w:rPr>
          <w:rFonts w:hint="eastAsia" w:ascii="仿宋" w:hAnsi="仿宋" w:eastAsia="仿宋" w:cs="仿宋"/>
          <w:sz w:val="24"/>
          <w:szCs w:val="32"/>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仿宋" w:hAnsi="仿宋" w:eastAsia="仿宋" w:cs="仿宋"/>
        </w:rPr>
        <w:br w:type="page"/>
      </w:r>
      <w:bookmarkEnd w:id="121"/>
      <w:bookmarkEnd w:id="122"/>
    </w:p>
    <w:p>
      <w:pPr>
        <w:pStyle w:val="4"/>
        <w:numPr>
          <w:ilvl w:val="0"/>
          <w:numId w:val="3"/>
        </w:numPr>
        <w:spacing w:before="0" w:after="0" w:line="360" w:lineRule="auto"/>
        <w:jc w:val="center"/>
        <w:rPr>
          <w:rFonts w:ascii="仿宋" w:hAnsi="仿宋" w:eastAsia="仿宋" w:cs="仿宋"/>
        </w:rPr>
      </w:pPr>
      <w:r>
        <w:rPr>
          <w:rFonts w:hint="eastAsia" w:ascii="仿宋" w:hAnsi="仿宋" w:eastAsia="仿宋" w:cs="仿宋"/>
        </w:rPr>
        <w:t xml:space="preserve">  </w:t>
      </w:r>
      <w:bookmarkStart w:id="124" w:name="_Toc18082"/>
      <w:r>
        <w:rPr>
          <w:rFonts w:hint="eastAsia" w:ascii="仿宋" w:hAnsi="仿宋" w:eastAsia="仿宋" w:cs="仿宋"/>
        </w:rPr>
        <w:t>响应文件格式</w:t>
      </w:r>
      <w:bookmarkEnd w:id="124"/>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仿宋" w:hAnsi="仿宋" w:eastAsia="仿宋" w:cs="仿宋"/>
          <w:sz w:val="24"/>
        </w:rPr>
      </w:pPr>
      <w:r>
        <w:rPr>
          <w:rFonts w:hint="eastAsia" w:ascii="仿宋" w:hAnsi="仿宋" w:eastAsia="仿宋" w:cs="仿宋"/>
          <w:sz w:val="24"/>
        </w:rPr>
        <w:t>（二）本章所制响应文件格式有关表格中的备注栏，由供应商根据自身响应情况作解释性说明，不作为必填项。</w:t>
      </w:r>
    </w:p>
    <w:p>
      <w:pPr>
        <w:numPr>
          <w:ilvl w:val="0"/>
          <w:numId w:val="4"/>
        </w:numPr>
        <w:spacing w:line="360" w:lineRule="auto"/>
        <w:rPr>
          <w:rFonts w:ascii="仿宋" w:hAnsi="仿宋" w:eastAsia="仿宋" w:cs="仿宋"/>
          <w:sz w:val="24"/>
        </w:rPr>
      </w:pPr>
      <w:r>
        <w:rPr>
          <w:rFonts w:hint="eastAsia" w:ascii="仿宋" w:hAnsi="仿宋" w:eastAsia="仿宋" w:cs="仿宋"/>
          <w:sz w:val="24"/>
        </w:rPr>
        <w:t>本章所制响应文件格式中需要填写的相关内容事项，可能会与本采购项目无关，在不改变响应文件原义、不影响本项目采购需求的情况下，供应商可以不予填写。</w:t>
      </w:r>
    </w:p>
    <w:p>
      <w:pPr>
        <w:pStyle w:val="2"/>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本章所制响应文件格式中“注”的部分，供应商在编制响应文件时可以删除，也可以保留。</w:t>
      </w:r>
    </w:p>
    <w:p>
      <w:pPr>
        <w:pStyle w:val="2"/>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本章所制响应文件格式中涉及“法定代表人”的描述，在非法人机构参与磋商情况下可修改为“负责人”，在自然人参与磋商情况下可修改为“本人”。</w:t>
      </w:r>
    </w:p>
    <w:p>
      <w:pPr>
        <w:pStyle w:val="2"/>
        <w:numPr>
          <w:ilvl w:val="0"/>
          <w:numId w:val="4"/>
        </w:numPr>
        <w:spacing w:line="360" w:lineRule="auto"/>
        <w:rPr>
          <w:rFonts w:ascii="仿宋" w:hAnsi="仿宋" w:eastAsia="仿宋" w:cs="仿宋"/>
          <w:sz w:val="24"/>
          <w:szCs w:val="24"/>
        </w:rPr>
      </w:pPr>
      <w:r>
        <w:rPr>
          <w:rFonts w:hint="eastAsia" w:ascii="仿宋" w:hAnsi="仿宋" w:eastAsia="仿宋" w:cs="仿宋"/>
          <w:sz w:val="24"/>
          <w:szCs w:val="24"/>
        </w:rPr>
        <w:t>本章所制响应文件格式中涉及加盖供应商公章的地方，在自然人参与磋商情况下可删除，仅由自然人本人或其响应代表签字即可。</w:t>
      </w:r>
    </w:p>
    <w:p>
      <w:pPr>
        <w:pStyle w:val="2"/>
        <w:spacing w:line="360" w:lineRule="auto"/>
        <w:rPr>
          <w:rFonts w:ascii="仿宋" w:hAnsi="仿宋" w:eastAsia="仿宋" w:cs="仿宋"/>
        </w:rPr>
      </w:pPr>
      <w:r>
        <w:rPr>
          <w:rFonts w:hint="eastAsia" w:ascii="仿宋" w:hAnsi="仿宋" w:eastAsia="仿宋" w:cs="仿宋"/>
        </w:rPr>
        <w:br w:type="page"/>
      </w:r>
      <w:bookmarkStart w:id="125" w:name="_Toc14906_WPSOffice_Level2"/>
      <w:bookmarkStart w:id="126" w:name="_Toc15373_WPSOffice_Level2"/>
      <w:r>
        <w:rPr>
          <w:rFonts w:hint="eastAsia" w:ascii="仿宋" w:hAnsi="仿宋" w:eastAsia="仿宋" w:cs="仿宋"/>
        </w:rPr>
        <w:t>（封面格式）</w:t>
      </w:r>
      <w:bookmarkEnd w:id="125"/>
      <w:bookmarkEnd w:id="126"/>
    </w:p>
    <w:p>
      <w:pPr>
        <w:autoSpaceDE w:val="0"/>
        <w:autoSpaceDN w:val="0"/>
        <w:adjustRightInd w:val="0"/>
        <w:spacing w:line="360" w:lineRule="auto"/>
        <w:ind w:firstLine="1680" w:firstLineChars="200"/>
        <w:jc w:val="center"/>
        <w:rPr>
          <w:rFonts w:ascii="仿宋" w:hAnsi="仿宋" w:eastAsia="仿宋" w:cs="仿宋"/>
          <w:sz w:val="84"/>
          <w:szCs w:val="84"/>
        </w:rPr>
      </w:pPr>
    </w:p>
    <w:p>
      <w:pPr>
        <w:autoSpaceDE w:val="0"/>
        <w:autoSpaceDN w:val="0"/>
        <w:adjustRightInd w:val="0"/>
        <w:spacing w:line="360" w:lineRule="auto"/>
        <w:ind w:firstLine="1680" w:firstLineChars="200"/>
        <w:jc w:val="center"/>
        <w:rPr>
          <w:rFonts w:ascii="仿宋" w:hAnsi="仿宋" w:eastAsia="仿宋" w:cs="仿宋"/>
          <w:sz w:val="84"/>
          <w:szCs w:val="84"/>
        </w:rPr>
      </w:pPr>
    </w:p>
    <w:p>
      <w:pPr>
        <w:autoSpaceDE w:val="0"/>
        <w:autoSpaceDN w:val="0"/>
        <w:adjustRightInd w:val="0"/>
        <w:spacing w:line="360" w:lineRule="auto"/>
        <w:jc w:val="center"/>
        <w:rPr>
          <w:rFonts w:ascii="仿宋" w:hAnsi="仿宋" w:eastAsia="仿宋" w:cs="仿宋"/>
          <w:sz w:val="84"/>
          <w:szCs w:val="84"/>
        </w:rPr>
      </w:pPr>
      <w:bookmarkStart w:id="127" w:name="_Toc7834_WPSOffice_Level2"/>
      <w:bookmarkStart w:id="128" w:name="_Toc2971_WPSOffice_Level2"/>
      <w:r>
        <w:rPr>
          <w:rFonts w:hint="eastAsia" w:ascii="仿宋" w:hAnsi="仿宋" w:eastAsia="仿宋" w:cs="仿宋"/>
          <w:sz w:val="84"/>
          <w:szCs w:val="84"/>
        </w:rPr>
        <w:t>资格性响应文件</w:t>
      </w:r>
      <w:bookmarkEnd w:id="127"/>
      <w:bookmarkEnd w:id="128"/>
    </w:p>
    <w:p>
      <w:pPr>
        <w:autoSpaceDE w:val="0"/>
        <w:autoSpaceDN w:val="0"/>
        <w:adjustRightInd w:val="0"/>
        <w:spacing w:line="360" w:lineRule="auto"/>
        <w:ind w:firstLine="880" w:firstLineChars="200"/>
        <w:jc w:val="center"/>
        <w:rPr>
          <w:rFonts w:ascii="仿宋" w:hAnsi="仿宋" w:eastAsia="仿宋" w:cs="仿宋"/>
          <w:sz w:val="44"/>
        </w:rPr>
      </w:pPr>
    </w:p>
    <w:p>
      <w:pPr>
        <w:autoSpaceDE w:val="0"/>
        <w:autoSpaceDN w:val="0"/>
        <w:adjustRightInd w:val="0"/>
        <w:spacing w:line="360" w:lineRule="auto"/>
        <w:jc w:val="center"/>
        <w:rPr>
          <w:rFonts w:ascii="仿宋" w:hAnsi="仿宋" w:eastAsia="仿宋" w:cs="仿宋"/>
          <w:sz w:val="44"/>
        </w:rPr>
      </w:pPr>
      <w:bookmarkStart w:id="129" w:name="_Toc15121_WPSOffice_Level2"/>
      <w:bookmarkStart w:id="130" w:name="_Toc17870_WPSOffice_Level2"/>
      <w:r>
        <w:rPr>
          <w:rFonts w:hint="eastAsia" w:ascii="仿宋" w:hAnsi="仿宋" w:eastAsia="仿宋" w:cs="仿宋"/>
          <w:sz w:val="44"/>
        </w:rPr>
        <w:t>（正本/副本）</w:t>
      </w:r>
      <w:bookmarkEnd w:id="129"/>
      <w:bookmarkEnd w:id="130"/>
    </w:p>
    <w:p>
      <w:pPr>
        <w:pStyle w:val="2"/>
        <w:spacing w:line="360" w:lineRule="auto"/>
        <w:rPr>
          <w:rFonts w:ascii="仿宋" w:hAnsi="仿宋" w:eastAsia="仿宋" w:cs="仿宋"/>
          <w:sz w:val="44"/>
        </w:rPr>
      </w:pPr>
    </w:p>
    <w:p>
      <w:pPr>
        <w:pStyle w:val="2"/>
        <w:spacing w:line="360" w:lineRule="auto"/>
        <w:rPr>
          <w:rFonts w:ascii="仿宋" w:hAnsi="仿宋" w:eastAsia="仿宋" w:cs="仿宋"/>
          <w:sz w:val="44"/>
        </w:rPr>
      </w:pPr>
    </w:p>
    <w:p>
      <w:pPr>
        <w:pStyle w:val="2"/>
        <w:spacing w:line="360" w:lineRule="auto"/>
        <w:rPr>
          <w:rFonts w:ascii="仿宋" w:hAnsi="仿宋" w:eastAsia="仿宋" w:cs="仿宋"/>
          <w:sz w:val="44"/>
        </w:rPr>
      </w:pPr>
    </w:p>
    <w:p>
      <w:pPr>
        <w:autoSpaceDE w:val="0"/>
        <w:autoSpaceDN w:val="0"/>
        <w:adjustRightInd w:val="0"/>
        <w:snapToGrid w:val="0"/>
        <w:spacing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p>
    <w:p>
      <w:pPr>
        <w:autoSpaceDE w:val="0"/>
        <w:autoSpaceDN w:val="0"/>
        <w:adjustRightInd w:val="0"/>
        <w:snapToGrid w:val="0"/>
        <w:spacing w:afterLines="50"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pPr>
        <w:autoSpaceDE w:val="0"/>
        <w:autoSpaceDN w:val="0"/>
        <w:adjustRightInd w:val="0"/>
        <w:snapToGrid w:val="0"/>
        <w:spacing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供 应 商：</w:t>
      </w:r>
      <w:r>
        <w:rPr>
          <w:rFonts w:hint="eastAsia" w:ascii="仿宋" w:hAnsi="仿宋" w:eastAsia="仿宋" w:cs="仿宋"/>
          <w:sz w:val="32"/>
          <w:szCs w:val="32"/>
          <w:u w:val="single"/>
        </w:rPr>
        <w:t xml:space="preserve">                     </w:t>
      </w:r>
      <w:r>
        <w:rPr>
          <w:rFonts w:hint="eastAsia" w:ascii="仿宋" w:hAnsi="仿宋" w:eastAsia="仿宋" w:cs="仿宋"/>
          <w:sz w:val="32"/>
          <w:szCs w:val="32"/>
        </w:rPr>
        <w:t>（公章）</w:t>
      </w:r>
    </w:p>
    <w:p>
      <w:pPr>
        <w:autoSpaceDE w:val="0"/>
        <w:autoSpaceDN w:val="0"/>
        <w:adjustRightInd w:val="0"/>
        <w:snapToGrid w:val="0"/>
        <w:spacing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360" w:lineRule="auto"/>
        <w:jc w:val="center"/>
        <w:rPr>
          <w:rFonts w:ascii="仿宋" w:hAnsi="仿宋" w:eastAsia="仿宋" w:cs="仿宋"/>
          <w:b/>
          <w:bCs/>
          <w:sz w:val="28"/>
          <w:szCs w:val="36"/>
        </w:rPr>
      </w:pPr>
      <w:r>
        <w:rPr>
          <w:rFonts w:hint="eastAsia" w:ascii="仿宋" w:hAnsi="仿宋" w:eastAsia="仿宋" w:cs="仿宋"/>
        </w:rPr>
        <w:br w:type="page"/>
      </w:r>
      <w:r>
        <w:rPr>
          <w:rFonts w:hint="eastAsia" w:ascii="仿宋" w:hAnsi="仿宋" w:eastAsia="仿宋" w:cs="仿宋"/>
          <w:b/>
          <w:bCs/>
          <w:sz w:val="28"/>
          <w:szCs w:val="36"/>
        </w:rPr>
        <w:t>目录（自拟）</w:t>
      </w:r>
    </w:p>
    <w:p>
      <w:pPr>
        <w:pStyle w:val="5"/>
        <w:spacing w:before="0" w:after="0" w:line="360" w:lineRule="auto"/>
        <w:jc w:val="center"/>
        <w:rPr>
          <w:rFonts w:ascii="仿宋" w:hAnsi="仿宋" w:eastAsia="仿宋" w:cs="仿宋"/>
        </w:rPr>
      </w:pPr>
      <w:r>
        <w:rPr>
          <w:rFonts w:hint="eastAsia" w:ascii="仿宋" w:hAnsi="仿宋" w:eastAsia="仿宋" w:cs="仿宋"/>
        </w:rPr>
        <w:br w:type="page"/>
      </w:r>
      <w:bookmarkStart w:id="131" w:name="_Toc4892_WPSOffice_Level2"/>
      <w:bookmarkStart w:id="132" w:name="_Toc27332_WPSOffice_Level2"/>
      <w:r>
        <w:rPr>
          <w:rFonts w:hint="eastAsia" w:ascii="仿宋" w:hAnsi="仿宋" w:eastAsia="仿宋" w:cs="仿宋"/>
        </w:rPr>
        <w:t>一、法定代表人授权书</w:t>
      </w:r>
    </w:p>
    <w:p>
      <w:pPr>
        <w:spacing w:line="360" w:lineRule="auto"/>
        <w:rPr>
          <w:rFonts w:ascii="仿宋" w:hAnsi="仿宋" w:eastAsia="仿宋" w:cs="仿宋"/>
          <w:sz w:val="24"/>
        </w:rPr>
      </w:pPr>
      <w:r>
        <w:rPr>
          <w:rFonts w:hint="eastAsia" w:ascii="仿宋" w:hAnsi="仿宋" w:eastAsia="仿宋" w:cs="仿宋"/>
          <w:sz w:val="24"/>
          <w:u w:val="single"/>
        </w:rPr>
        <w:t>四川凯亿工程管理咨询有限公司</w:t>
      </w:r>
      <w:r>
        <w:rPr>
          <w:rFonts w:hint="eastAsia" w:ascii="仿宋" w:hAnsi="仿宋" w:eastAsia="仿宋" w:cs="仿宋"/>
          <w:sz w:val="24"/>
        </w:rPr>
        <w:t>（采购代理机构名称）：</w:t>
      </w:r>
    </w:p>
    <w:p>
      <w:pPr>
        <w:spacing w:line="360" w:lineRule="auto"/>
        <w:ind w:firstLine="480" w:firstLineChars="200"/>
        <w:rPr>
          <w:rFonts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w:t>
      </w: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（法定代表人姓名、职务）授权</w:t>
      </w:r>
      <w:r>
        <w:rPr>
          <w:rFonts w:hint="eastAsia" w:ascii="仿宋" w:hAnsi="仿宋" w:eastAsia="仿宋" w:cs="仿宋"/>
          <w:sz w:val="24"/>
          <w:u w:val="single"/>
        </w:rPr>
        <w:t xml:space="preserve">                        </w:t>
      </w:r>
      <w:r>
        <w:rPr>
          <w:rFonts w:hint="eastAsia" w:ascii="仿宋" w:hAnsi="仿宋" w:eastAsia="仿宋" w:cs="仿宋"/>
          <w:sz w:val="24"/>
        </w:rPr>
        <w:t xml:space="preserve">（被授权人姓名、职务）为我方 “ </w:t>
      </w:r>
      <w:r>
        <w:rPr>
          <w:rFonts w:hint="eastAsia" w:ascii="仿宋" w:hAnsi="仿宋" w:eastAsia="仿宋" w:cs="仿宋"/>
          <w:sz w:val="24"/>
          <w:u w:val="single"/>
        </w:rPr>
        <w:t xml:space="preserve">             </w:t>
      </w:r>
      <w:r>
        <w:rPr>
          <w:rFonts w:hint="eastAsia" w:ascii="仿宋" w:hAnsi="仿宋" w:eastAsia="仿宋" w:cs="仿宋"/>
          <w:sz w:val="24"/>
        </w:rPr>
        <w:t>” 项目（项目编号：</w:t>
      </w:r>
      <w:r>
        <w:rPr>
          <w:rFonts w:hint="eastAsia" w:ascii="仿宋" w:hAnsi="仿宋" w:eastAsia="仿宋" w:cs="仿宋"/>
          <w:sz w:val="24"/>
          <w:u w:val="single"/>
        </w:rPr>
        <w:t xml:space="preserve">         </w:t>
      </w:r>
      <w:r>
        <w:rPr>
          <w:rFonts w:hint="eastAsia" w:ascii="仿宋" w:hAnsi="仿宋" w:eastAsia="仿宋" w:cs="仿宋"/>
          <w:sz w:val="24"/>
        </w:rPr>
        <w:t>）磋商采购活动的合法代表，全权处理该项目有关磋商采购、签订合同以及执行合同等一切事宜。</w:t>
      </w:r>
    </w:p>
    <w:p>
      <w:pPr>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spacing w:line="360" w:lineRule="auto"/>
        <w:ind w:firstLine="480" w:firstLineChars="200"/>
        <w:rPr>
          <w:rFonts w:ascii="仿宋" w:hAnsi="仿宋" w:eastAsia="仿宋" w:cs="仿宋"/>
          <w:bCs/>
          <w:sz w:val="24"/>
        </w:rPr>
      </w:pPr>
    </w:p>
    <w:p>
      <w:pPr>
        <w:spacing w:line="360" w:lineRule="auto"/>
        <w:rPr>
          <w:rFonts w:ascii="仿宋" w:hAnsi="仿宋" w:eastAsia="仿宋" w:cs="仿宋"/>
          <w:sz w:val="24"/>
          <w:szCs w:val="32"/>
        </w:rPr>
      </w:pPr>
      <w:r>
        <w:rPr>
          <w:rFonts w:hint="eastAsia" w:ascii="仿宋" w:hAnsi="仿宋" w:eastAsia="仿宋" w:cs="仿宋"/>
          <w:sz w:val="24"/>
          <w:szCs w:val="32"/>
        </w:rPr>
        <w:t>附：（1）法定代表人有效身份证明材料正反面复印件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（2）授权代表有效身份证明材料正反面复印件</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pStyle w:val="2"/>
        <w:spacing w:line="360" w:lineRule="auto"/>
        <w:rPr>
          <w:rFonts w:ascii="仿宋" w:hAnsi="仿宋" w:eastAsia="仿宋" w:cs="仿宋"/>
          <w:sz w:val="24"/>
        </w:rPr>
      </w:pPr>
    </w:p>
    <w:p>
      <w:pPr>
        <w:pStyle w:val="2"/>
        <w:spacing w:line="360" w:lineRule="auto"/>
        <w:rPr>
          <w:rFonts w:ascii="仿宋" w:hAnsi="仿宋" w:eastAsia="仿宋" w:cs="仿宋"/>
          <w:sz w:val="24"/>
        </w:rPr>
      </w:pPr>
    </w:p>
    <w:p>
      <w:pPr>
        <w:pStyle w:val="2"/>
        <w:spacing w:line="360" w:lineRule="auto"/>
        <w:rPr>
          <w:rFonts w:ascii="仿宋" w:hAnsi="仿宋" w:eastAsia="仿宋" w:cs="仿宋"/>
          <w:sz w:val="24"/>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法定代表人（签字或加盖个人名章）：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rPr>
      </w:pPr>
    </w:p>
    <w:p>
      <w:pPr>
        <w:spacing w:line="360" w:lineRule="auto"/>
        <w:rPr>
          <w:rFonts w:ascii="仿宋" w:hAnsi="仿宋" w:eastAsia="仿宋" w:cs="仿宋"/>
          <w:b/>
          <w:sz w:val="24"/>
        </w:rPr>
      </w:pPr>
      <w:r>
        <w:rPr>
          <w:rFonts w:hint="eastAsia" w:ascii="仿宋" w:hAnsi="仿宋" w:eastAsia="仿宋" w:cs="仿宋"/>
          <w:sz w:val="24"/>
        </w:rPr>
        <w:t>注：</w:t>
      </w:r>
      <w:r>
        <w:rPr>
          <w:rFonts w:hint="eastAsia" w:ascii="仿宋" w:hAnsi="仿宋" w:eastAsia="仿宋" w:cs="仿宋"/>
          <w:b/>
          <w:bCs/>
          <w:sz w:val="24"/>
        </w:rPr>
        <w:t>1、</w:t>
      </w:r>
      <w:r>
        <w:rPr>
          <w:rFonts w:hint="eastAsia" w:ascii="仿宋" w:hAnsi="仿宋" w:eastAsia="仿宋" w:cs="仿宋"/>
          <w:b/>
          <w:sz w:val="24"/>
        </w:rPr>
        <w:t>法定代表人不亲自参加磋商，而授权代表参加磋商的适用。</w:t>
      </w:r>
    </w:p>
    <w:p>
      <w:pPr>
        <w:pStyle w:val="7"/>
        <w:spacing w:line="360" w:lineRule="auto"/>
        <w:ind w:firstLine="482" w:firstLineChars="200"/>
        <w:rPr>
          <w:rFonts w:ascii="仿宋" w:hAnsi="仿宋" w:eastAsia="仿宋" w:cs="仿宋"/>
          <w:color w:val="auto"/>
          <w:sz w:val="24"/>
          <w:szCs w:val="24"/>
        </w:rPr>
      </w:pPr>
      <w:r>
        <w:rPr>
          <w:rFonts w:hint="eastAsia" w:ascii="仿宋" w:hAnsi="仿宋" w:eastAsia="仿宋" w:cs="仿宋"/>
          <w:b/>
          <w:color w:val="auto"/>
          <w:sz w:val="24"/>
          <w:szCs w:val="24"/>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ascii="仿宋" w:hAnsi="仿宋" w:eastAsia="仿宋" w:cs="仿宋"/>
        </w:rPr>
      </w:pPr>
      <w:r>
        <w:rPr>
          <w:rFonts w:hint="eastAsia" w:ascii="仿宋" w:hAnsi="仿宋" w:eastAsia="仿宋" w:cs="仿宋"/>
          <w:b/>
          <w:sz w:val="24"/>
        </w:rPr>
        <w:t>3、身份证明材料包括居民身份证或户口本或军官证或护照等。</w:t>
      </w:r>
      <w:r>
        <w:rPr>
          <w:rFonts w:hint="eastAsia" w:ascii="仿宋" w:hAnsi="仿宋" w:eastAsia="仿宋" w:cs="仿宋"/>
          <w:sz w:val="24"/>
        </w:rPr>
        <w:br w:type="page"/>
      </w:r>
      <w:bookmarkEnd w:id="131"/>
      <w:bookmarkEnd w:id="132"/>
    </w:p>
    <w:p>
      <w:pPr>
        <w:pStyle w:val="5"/>
        <w:spacing w:before="0" w:after="0" w:line="360" w:lineRule="auto"/>
        <w:jc w:val="center"/>
        <w:rPr>
          <w:rFonts w:ascii="仿宋" w:hAnsi="仿宋" w:eastAsia="仿宋" w:cs="仿宋"/>
        </w:rPr>
      </w:pPr>
      <w:r>
        <w:rPr>
          <w:rFonts w:hint="eastAsia" w:ascii="仿宋" w:hAnsi="仿宋" w:eastAsia="仿宋" w:cs="仿宋"/>
        </w:rPr>
        <w:t>一、法定代表人证明书</w:t>
      </w:r>
    </w:p>
    <w:p>
      <w:pPr>
        <w:pStyle w:val="2"/>
        <w:tabs>
          <w:tab w:val="left" w:pos="1519"/>
          <w:tab w:val="left" w:pos="5419"/>
        </w:tabs>
        <w:spacing w:before="241" w:line="360" w:lineRule="auto"/>
        <w:ind w:left="800" w:right="4964"/>
        <w:rPr>
          <w:rFonts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2"/>
        <w:tabs>
          <w:tab w:val="left" w:pos="1519"/>
          <w:tab w:val="left" w:pos="5419"/>
        </w:tabs>
        <w:spacing w:before="241" w:line="360" w:lineRule="auto"/>
        <w:ind w:left="800" w:right="4964"/>
        <w:rPr>
          <w:rFonts w:ascii="仿宋" w:hAnsi="仿宋" w:eastAsia="仿宋" w:cs="仿宋"/>
          <w:sz w:val="24"/>
          <w:szCs w:val="24"/>
        </w:rPr>
      </w:pPr>
      <w:r>
        <w:rPr>
          <w:rFonts w:hint="eastAsia" w:ascii="仿宋" w:hAnsi="仿宋" w:eastAsia="仿宋" w:cs="仿宋"/>
          <w:sz w:val="24"/>
          <w:szCs w:val="24"/>
        </w:rPr>
        <w:t>地</w:t>
      </w:r>
      <w:r>
        <w:rPr>
          <w:rFonts w:hint="eastAsia" w:ascii="仿宋" w:hAnsi="仿宋" w:eastAsia="仿宋" w:cs="仿宋"/>
          <w:sz w:val="24"/>
          <w:szCs w:val="24"/>
        </w:rPr>
        <w:tab/>
      </w:r>
      <w:r>
        <w:rPr>
          <w:rFonts w:hint="eastAsia" w:ascii="仿宋" w:hAnsi="仿宋" w:eastAsia="仿宋" w:cs="仿宋"/>
          <w:sz w:val="24"/>
          <w:szCs w:val="24"/>
        </w:rPr>
        <w:t>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2"/>
        <w:tabs>
          <w:tab w:val="left" w:pos="1519"/>
          <w:tab w:val="left" w:pos="3079"/>
          <w:tab w:val="left" w:pos="4399"/>
          <w:tab w:val="left" w:pos="5719"/>
          <w:tab w:val="left" w:pos="7939"/>
        </w:tabs>
        <w:spacing w:before="1" w:line="360" w:lineRule="auto"/>
        <w:ind w:left="800"/>
        <w:rPr>
          <w:rFonts w:ascii="仿宋" w:hAnsi="仿宋" w:eastAsia="仿宋" w:cs="仿宋"/>
          <w:sz w:val="24"/>
          <w:szCs w:val="24"/>
        </w:rPr>
      </w:pPr>
      <w:r>
        <w:rPr>
          <w:rFonts w:hint="eastAsia" w:ascii="仿宋" w:hAnsi="仿宋" w:eastAsia="仿宋" w:cs="仿宋"/>
          <w:sz w:val="24"/>
          <w:szCs w:val="24"/>
        </w:rPr>
        <w:t>姓</w:t>
      </w:r>
      <w:r>
        <w:rPr>
          <w:rFonts w:hint="eastAsia" w:ascii="仿宋" w:hAnsi="仿宋" w:eastAsia="仿宋" w:cs="仿宋"/>
          <w:sz w:val="24"/>
          <w:szCs w:val="24"/>
        </w:rPr>
        <w:tab/>
      </w:r>
      <w:r>
        <w:rPr>
          <w:rFonts w:hint="eastAsia" w:ascii="仿宋" w:hAnsi="仿宋" w:eastAsia="仿宋" w:cs="仿宋"/>
          <w:sz w:val="24"/>
          <w:szCs w:val="24"/>
        </w:rPr>
        <w:t>名：</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2"/>
        <w:tabs>
          <w:tab w:val="left" w:pos="3295"/>
          <w:tab w:val="left" w:pos="4759"/>
          <w:tab w:val="left" w:pos="6871"/>
        </w:tabs>
        <w:spacing w:before="132" w:line="360" w:lineRule="auto"/>
        <w:ind w:left="320" w:right="317" w:firstLine="480"/>
        <w:rPr>
          <w:rFonts w:ascii="仿宋" w:hAnsi="仿宋" w:eastAsia="仿宋" w:cs="仿宋"/>
          <w:sz w:val="24"/>
          <w:szCs w:val="24"/>
        </w:rPr>
      </w:pPr>
      <w:r>
        <w:rPr>
          <w:rFonts w:hint="eastAsia" w:ascii="仿宋" w:hAnsi="仿宋" w:eastAsia="仿宋" w:cs="仿宋"/>
          <w:sz w:val="24"/>
          <w:szCs w:val="24"/>
        </w:rPr>
        <w:t>本人系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(供应商名称)的法定代表人/单位负责人。就参加</w:t>
      </w:r>
      <w:r>
        <w:rPr>
          <w:rFonts w:hint="eastAsia" w:ascii="仿宋" w:hAnsi="仿宋" w:eastAsia="仿宋" w:cs="仿宋"/>
          <w:spacing w:val="-16"/>
          <w:sz w:val="24"/>
          <w:szCs w:val="24"/>
        </w:rPr>
        <w:t>你</w:t>
      </w:r>
      <w:r>
        <w:rPr>
          <w:rFonts w:hint="eastAsia" w:ascii="仿宋" w:hAnsi="仿宋" w:eastAsia="仿宋" w:cs="仿宋"/>
          <w:sz w:val="24"/>
          <w:szCs w:val="24"/>
        </w:rPr>
        <w:t>单位组织</w:t>
      </w:r>
      <w:r>
        <w:rPr>
          <w:rFonts w:hint="eastAsia" w:ascii="仿宋" w:hAnsi="仿宋" w:eastAsia="仿宋" w:cs="仿宋"/>
          <w:spacing w:val="-24"/>
          <w:sz w:val="24"/>
          <w:szCs w:val="24"/>
        </w:rPr>
        <w:t>的</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(项目名称)(项目编号</w:t>
      </w:r>
      <w:r>
        <w:rPr>
          <w:rFonts w:hint="eastAsia" w:ascii="仿宋" w:hAnsi="仿宋" w:eastAsia="仿宋" w:cs="仿宋"/>
          <w:spacing w:val="-24"/>
          <w:sz w:val="24"/>
          <w:szCs w:val="24"/>
        </w:rPr>
        <w:t>：</w:t>
      </w:r>
      <w:r>
        <w:rPr>
          <w:rFonts w:hint="eastAsia" w:ascii="仿宋" w:hAnsi="仿宋" w:eastAsia="仿宋" w:cs="仿宋"/>
          <w:spacing w:val="-24"/>
          <w:sz w:val="24"/>
          <w:szCs w:val="24"/>
          <w:u w:val="single"/>
        </w:rPr>
        <w:t xml:space="preserve">              </w:t>
      </w:r>
      <w:r>
        <w:rPr>
          <w:rFonts w:hint="eastAsia" w:ascii="仿宋" w:hAnsi="仿宋" w:eastAsia="仿宋" w:cs="仿宋"/>
          <w:spacing w:val="-12"/>
          <w:sz w:val="24"/>
          <w:szCs w:val="24"/>
        </w:rPr>
        <w:t>)”</w:t>
      </w:r>
      <w:r>
        <w:rPr>
          <w:rFonts w:hint="eastAsia" w:ascii="仿宋" w:hAnsi="仿宋" w:eastAsia="仿宋" w:cs="仿宋"/>
          <w:sz w:val="24"/>
          <w:szCs w:val="24"/>
        </w:rPr>
        <w:t>的政府采购活动</w:t>
      </w:r>
      <w:r>
        <w:rPr>
          <w:rFonts w:hint="eastAsia" w:ascii="仿宋" w:hAnsi="仿宋" w:eastAsia="仿宋" w:cs="仿宋"/>
          <w:spacing w:val="-22"/>
          <w:sz w:val="24"/>
          <w:szCs w:val="24"/>
        </w:rPr>
        <w:t>、</w:t>
      </w:r>
      <w:r>
        <w:rPr>
          <w:rFonts w:hint="eastAsia" w:ascii="仿宋" w:hAnsi="仿宋" w:eastAsia="仿宋" w:cs="仿宋"/>
          <w:sz w:val="24"/>
          <w:szCs w:val="24"/>
        </w:rPr>
        <w:t>合同签</w:t>
      </w:r>
      <w:r>
        <w:rPr>
          <w:rFonts w:hint="eastAsia" w:ascii="仿宋" w:hAnsi="仿宋" w:eastAsia="仿宋" w:cs="仿宋"/>
          <w:spacing w:val="-16"/>
          <w:sz w:val="24"/>
          <w:szCs w:val="24"/>
        </w:rPr>
        <w:t>订</w:t>
      </w:r>
      <w:r>
        <w:rPr>
          <w:rFonts w:hint="eastAsia" w:ascii="仿宋" w:hAnsi="仿宋" w:eastAsia="仿宋" w:cs="仿宋"/>
          <w:sz w:val="24"/>
          <w:szCs w:val="24"/>
        </w:rPr>
        <w:t>以及合同履约等一切事宜，我单位均予承认，所产生的法律后果均由我单位承担。</w:t>
      </w:r>
    </w:p>
    <w:p>
      <w:pPr>
        <w:pStyle w:val="2"/>
        <w:spacing w:before="1" w:line="360" w:lineRule="auto"/>
        <w:ind w:left="800"/>
        <w:rPr>
          <w:rFonts w:ascii="仿宋" w:hAnsi="仿宋" w:eastAsia="仿宋" w:cs="仿宋"/>
          <w:sz w:val="24"/>
          <w:szCs w:val="24"/>
        </w:rPr>
      </w:pPr>
      <w:r>
        <w:rPr>
          <w:rFonts w:hint="eastAsia" w:ascii="仿宋" w:hAnsi="仿宋" w:eastAsia="仿宋" w:cs="仿宋"/>
          <w:sz w:val="24"/>
          <w:szCs w:val="24"/>
        </w:rPr>
        <w:t>特此证明。</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附：（1）法定代表人有效身份证明材料正反面复印件</w:t>
      </w:r>
    </w:p>
    <w:p>
      <w:pPr>
        <w:spacing w:line="360" w:lineRule="auto"/>
        <w:ind w:firstLine="480" w:firstLineChars="200"/>
        <w:rPr>
          <w:rFonts w:ascii="仿宋" w:hAnsi="仿宋" w:eastAsia="仿宋" w:cs="仿宋"/>
          <w:sz w:val="24"/>
        </w:rPr>
      </w:pPr>
    </w:p>
    <w:p>
      <w:pPr>
        <w:pStyle w:val="2"/>
        <w:spacing w:line="360" w:lineRule="auto"/>
        <w:rPr>
          <w:rFonts w:ascii="仿宋" w:hAnsi="仿宋" w:eastAsia="仿宋" w:cs="仿宋"/>
          <w:sz w:val="24"/>
        </w:rPr>
      </w:pPr>
    </w:p>
    <w:p>
      <w:pPr>
        <w:pStyle w:val="2"/>
        <w:spacing w:line="360" w:lineRule="auto"/>
        <w:rPr>
          <w:rFonts w:ascii="仿宋" w:hAnsi="仿宋" w:eastAsia="仿宋" w:cs="仿宋"/>
          <w:sz w:val="24"/>
        </w:rPr>
      </w:pPr>
    </w:p>
    <w:p>
      <w:pPr>
        <w:pStyle w:val="2"/>
        <w:spacing w:line="360" w:lineRule="auto"/>
        <w:rPr>
          <w:rFonts w:ascii="仿宋" w:hAnsi="仿宋" w:eastAsia="仿宋" w:cs="仿宋"/>
          <w:sz w:val="24"/>
        </w:rPr>
      </w:pP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法定代表人（签字或加盖个人名章）：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rPr>
      </w:pPr>
    </w:p>
    <w:p>
      <w:pPr>
        <w:spacing w:line="360" w:lineRule="auto"/>
        <w:rPr>
          <w:rFonts w:ascii="仿宋" w:hAnsi="仿宋" w:eastAsia="仿宋" w:cs="仿宋"/>
          <w:b/>
          <w:sz w:val="24"/>
        </w:rPr>
      </w:pPr>
      <w:r>
        <w:rPr>
          <w:rFonts w:hint="eastAsia" w:ascii="仿宋" w:hAnsi="仿宋" w:eastAsia="仿宋" w:cs="仿宋"/>
          <w:sz w:val="24"/>
        </w:rPr>
        <w:t>注：</w:t>
      </w:r>
      <w:r>
        <w:rPr>
          <w:rFonts w:hint="eastAsia" w:ascii="仿宋" w:hAnsi="仿宋" w:eastAsia="仿宋" w:cs="仿宋"/>
          <w:b/>
          <w:bCs/>
          <w:sz w:val="24"/>
        </w:rPr>
        <w:t>1、</w:t>
      </w:r>
      <w:r>
        <w:rPr>
          <w:rFonts w:hint="eastAsia" w:ascii="仿宋" w:hAnsi="仿宋" w:eastAsia="仿宋" w:cs="仿宋"/>
          <w:b/>
          <w:sz w:val="24"/>
        </w:rPr>
        <w:t>法定代表人亲自参加磋商时适用本证明书。</w:t>
      </w:r>
    </w:p>
    <w:p>
      <w:pPr>
        <w:spacing w:line="360" w:lineRule="auto"/>
        <w:ind w:firstLine="482" w:firstLineChars="200"/>
        <w:rPr>
          <w:rFonts w:ascii="仿宋" w:hAnsi="仿宋" w:eastAsia="仿宋" w:cs="仿宋"/>
        </w:rPr>
      </w:pPr>
      <w:r>
        <w:rPr>
          <w:rFonts w:hint="eastAsia" w:ascii="仿宋" w:hAnsi="仿宋" w:eastAsia="仿宋" w:cs="仿宋"/>
          <w:b/>
          <w:bCs/>
          <w:sz w:val="24"/>
        </w:rPr>
        <w:t>2、身份证明材料包括居民身份证或户口本或军官证或护照等。</w:t>
      </w:r>
      <w:r>
        <w:rPr>
          <w:rFonts w:hint="eastAsia" w:ascii="仿宋" w:hAnsi="仿宋" w:eastAsia="仿宋" w:cs="仿宋"/>
        </w:rPr>
        <w:br w:type="page"/>
      </w:r>
    </w:p>
    <w:p>
      <w:pPr>
        <w:pStyle w:val="5"/>
        <w:spacing w:before="0" w:after="0" w:line="360" w:lineRule="auto"/>
        <w:jc w:val="center"/>
        <w:rPr>
          <w:rFonts w:ascii="仿宋" w:hAnsi="仿宋" w:eastAsia="仿宋" w:cs="仿宋"/>
        </w:rPr>
      </w:pPr>
      <w:r>
        <w:rPr>
          <w:rFonts w:hint="eastAsia" w:ascii="仿宋" w:hAnsi="仿宋" w:eastAsia="仿宋" w:cs="仿宋"/>
        </w:rPr>
        <w:t>二、承诺函</w:t>
      </w:r>
    </w:p>
    <w:p>
      <w:pPr>
        <w:spacing w:line="360" w:lineRule="auto"/>
        <w:rPr>
          <w:rFonts w:ascii="仿宋" w:hAnsi="仿宋" w:eastAsia="仿宋" w:cs="仿宋"/>
          <w:sz w:val="24"/>
        </w:rPr>
      </w:pPr>
      <w:r>
        <w:rPr>
          <w:rFonts w:hint="eastAsia" w:ascii="仿宋" w:hAnsi="仿宋" w:eastAsia="仿宋" w:cs="仿宋"/>
          <w:sz w:val="24"/>
          <w:u w:val="single"/>
        </w:rPr>
        <w:t>四川凯亿工程管理咨询有限公司</w:t>
      </w:r>
      <w:r>
        <w:rPr>
          <w:rFonts w:hint="eastAsia" w:ascii="仿宋" w:hAnsi="仿宋" w:eastAsia="仿宋" w:cs="仿宋"/>
          <w:sz w:val="24"/>
        </w:rPr>
        <w:t>（采购代理机构名称）：</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我公司作为本次采购项目的供应商，根据磋商文件要求，现郑重承诺如下：</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一、具备《中华人民共和国政府采购法》第二十二条第一款和本项目规定的条件：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（一）具有独立承担民事责任的能力；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（二）具有良好的商业信誉和健全的财务会计制度；</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（三）具有履行合同所必需的设备和专业技术能力；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（四）有依法缴纳税收和社会保障资金的良好记录；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（六）法律、行政法规规定的其他条件；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（七）根据采购项目提出的特殊条件。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二、完全接受和满足本项目磋商文件中规定的实质性要求，如对磋商文件有异议，已经在磋商文件递交截止时间届满前依法进行维权救济，不存在对磋商文件有异议的同时又参加磋商以求侥幸成交或者为实现其他非法目的的行为。</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六、我公司及其现任法定代表人（非法人机构则为主要负责人）不具有行贿犯罪记录。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spacing w:before="0" w:after="0" w:line="360" w:lineRule="auto"/>
        <w:jc w:val="center"/>
        <w:rPr>
          <w:rFonts w:ascii="仿宋" w:hAnsi="仿宋" w:eastAsia="仿宋" w:cs="仿宋"/>
          <w:sz w:val="24"/>
        </w:rPr>
      </w:pPr>
      <w:r>
        <w:rPr>
          <w:rFonts w:hint="eastAsia" w:ascii="仿宋" w:hAnsi="仿宋" w:eastAsia="仿宋" w:cs="仿宋"/>
          <w:sz w:val="30"/>
          <w:szCs w:val="30"/>
        </w:rPr>
        <w:br w:type="page"/>
      </w:r>
      <w:bookmarkStart w:id="133" w:name="_Toc31492_WPSOffice_Level2"/>
      <w:bookmarkStart w:id="134" w:name="_Toc4159_WPSOffice_Level2"/>
      <w:r>
        <w:rPr>
          <w:rFonts w:hint="eastAsia" w:ascii="仿宋" w:hAnsi="仿宋" w:eastAsia="仿宋" w:cs="仿宋"/>
        </w:rPr>
        <w:t>三、</w:t>
      </w:r>
      <w:r>
        <w:rPr>
          <w:rStyle w:val="36"/>
          <w:rFonts w:hint="eastAsia" w:ascii="仿宋" w:hAnsi="仿宋" w:eastAsia="仿宋" w:cs="仿宋"/>
          <w:b/>
          <w:bCs/>
        </w:rPr>
        <w:t>中小企业声明函</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w:t>
      </w:r>
      <w:r>
        <w:rPr>
          <w:rFonts w:hint="eastAsia" w:ascii="仿宋" w:hAnsi="仿宋" w:eastAsia="仿宋" w:cs="仿宋"/>
          <w:sz w:val="24"/>
          <w:u w:val="single"/>
        </w:rPr>
        <w:t xml:space="preserve">       </w:t>
      </w:r>
      <w:r>
        <w:rPr>
          <w:rFonts w:hint="eastAsia" w:ascii="仿宋" w:hAnsi="仿宋" w:eastAsia="仿宋" w:cs="仿宋"/>
          <w:sz w:val="24"/>
        </w:rPr>
        <w:t>（单位名称）的</w:t>
      </w:r>
      <w:r>
        <w:rPr>
          <w:rFonts w:hint="eastAsia" w:ascii="仿宋" w:hAnsi="仿宋" w:eastAsia="仿宋" w:cs="仿宋"/>
          <w:sz w:val="24"/>
          <w:u w:val="single"/>
        </w:rPr>
        <w:t xml:space="preserve">        </w:t>
      </w:r>
      <w:r>
        <w:rPr>
          <w:rFonts w:hint="eastAsia" w:ascii="仿宋" w:hAnsi="仿宋" w:eastAsia="仿宋" w:cs="仿宋"/>
          <w:sz w:val="24"/>
        </w:rPr>
        <w:t>（项目名称）釆购活动,服务全部由符合政策要求的中小企业承接。相关企业（含联合体中的中小企业、签订分包意向协议的中小企业）的具体情况如下：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XXXXXXXXXXXX项目（标的名称）</w:t>
      </w:r>
      <w:r>
        <w:rPr>
          <w:rFonts w:hint="eastAsia" w:ascii="仿宋" w:hAnsi="仿宋" w:eastAsia="仿宋" w:cs="仿宋"/>
          <w:sz w:val="24"/>
        </w:rPr>
        <w:t>，属于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行业</w:t>
      </w:r>
      <w:r>
        <w:rPr>
          <w:rFonts w:hint="eastAsia" w:ascii="仿宋" w:hAnsi="仿宋" w:eastAsia="仿宋" w:cs="仿宋"/>
          <w:sz w:val="24"/>
        </w:rPr>
        <w:t>（釆购文件中明确的所属行业）、承建（承接）企业为</w:t>
      </w:r>
      <w:r>
        <w:rPr>
          <w:rFonts w:hint="eastAsia" w:ascii="仿宋" w:hAnsi="仿宋" w:eastAsia="仿宋" w:cs="仿宋"/>
          <w:sz w:val="24"/>
          <w:u w:val="single"/>
        </w:rPr>
        <w:t xml:space="preserve">          </w:t>
      </w:r>
      <w:r>
        <w:rPr>
          <w:rFonts w:hint="eastAsia" w:ascii="仿宋" w:hAnsi="仿宋" w:eastAsia="仿宋" w:cs="仿宋"/>
          <w:sz w:val="24"/>
        </w:rPr>
        <w:t>（企业名称）,从业人员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（中型企业、小型企业、微型企业、监狱企业）。</w:t>
      </w:r>
    </w:p>
    <w:p>
      <w:pPr>
        <w:adjustRightIn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pacing w:line="360" w:lineRule="auto"/>
        <w:ind w:firstLine="480" w:firstLineChars="200"/>
        <w:jc w:val="left"/>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tabs>
          <w:tab w:val="left" w:pos="7665"/>
        </w:tabs>
        <w:spacing w:line="400" w:lineRule="exact"/>
        <w:ind w:firstLine="480" w:firstLineChars="200"/>
        <w:rPr>
          <w:rFonts w:ascii="仿宋" w:hAnsi="仿宋" w:eastAsia="仿宋" w:cs="仿宋"/>
          <w:sz w:val="24"/>
        </w:rPr>
      </w:pPr>
    </w:p>
    <w:p>
      <w:pPr>
        <w:tabs>
          <w:tab w:val="left" w:pos="7665"/>
        </w:tabs>
        <w:spacing w:line="400" w:lineRule="exact"/>
        <w:rPr>
          <w:rFonts w:ascii="仿宋" w:hAnsi="仿宋" w:eastAsia="仿宋" w:cs="仿宋"/>
          <w:sz w:val="24"/>
        </w:rPr>
      </w:pPr>
      <w:r>
        <w:rPr>
          <w:rFonts w:hint="eastAsia" w:ascii="仿宋" w:hAnsi="仿宋" w:eastAsia="仿宋" w:cs="仿宋"/>
          <w:sz w:val="24"/>
        </w:rPr>
        <w:t>注：</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1.从业人员、营业收入、资产总额填报上一年度数据，无上一年度数据的新成立企业可不填报。</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仿宋" w:hAnsi="仿宋" w:eastAsia="仿宋" w:cs="仿宋"/>
        </w:rPr>
      </w:pPr>
    </w:p>
    <w:p>
      <w:pPr>
        <w:pStyle w:val="5"/>
        <w:spacing w:before="0" w:after="0" w:line="360" w:lineRule="auto"/>
        <w:jc w:val="center"/>
        <w:rPr>
          <w:rFonts w:ascii="仿宋" w:hAnsi="仿宋" w:eastAsia="仿宋" w:cs="仿宋"/>
        </w:rPr>
      </w:pPr>
    </w:p>
    <w:p>
      <w:pPr>
        <w:pStyle w:val="5"/>
        <w:numPr>
          <w:ilvl w:val="0"/>
          <w:numId w:val="5"/>
        </w:numPr>
        <w:spacing w:before="0" w:after="0" w:line="360" w:lineRule="auto"/>
        <w:jc w:val="center"/>
        <w:rPr>
          <w:rFonts w:ascii="仿宋" w:hAnsi="仿宋" w:eastAsia="仿宋" w:cs="仿宋"/>
        </w:rPr>
      </w:pPr>
      <w:r>
        <w:rPr>
          <w:rFonts w:hint="eastAsia" w:ascii="仿宋" w:hAnsi="仿宋" w:eastAsia="仿宋" w:cs="仿宋"/>
        </w:rPr>
        <w:t>残疾人福利性单位声明函</w:t>
      </w:r>
    </w:p>
    <w:p>
      <w:pPr>
        <w:rPr>
          <w:rFonts w:ascii="仿宋" w:hAnsi="仿宋" w:eastAsia="仿宋" w:cs="仿宋"/>
        </w:rPr>
      </w:pP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z w:val="24"/>
          <w:u w:val="single"/>
        </w:rPr>
        <w:t xml:space="preserve"> XXXX </w:t>
      </w:r>
      <w:r>
        <w:rPr>
          <w:rFonts w:hint="eastAsia" w:ascii="仿宋" w:hAnsi="仿宋" w:eastAsia="仿宋" w:cs="仿宋"/>
          <w:spacing w:val="6"/>
          <w:sz w:val="24"/>
        </w:rPr>
        <w:t>单位的</w:t>
      </w:r>
      <w:r>
        <w:rPr>
          <w:rFonts w:hint="eastAsia" w:ascii="仿宋" w:hAnsi="仿宋" w:eastAsia="仿宋" w:cs="仿宋"/>
          <w:sz w:val="24"/>
          <w:u w:val="single"/>
        </w:rPr>
        <w:t xml:space="preserve"> XXXX </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360" w:lineRule="auto"/>
        <w:rPr>
          <w:rFonts w:ascii="仿宋" w:hAnsi="仿宋" w:eastAsia="仿宋" w:cs="仿宋"/>
          <w:spacing w:val="6"/>
          <w:sz w:val="24"/>
        </w:rPr>
      </w:pPr>
    </w:p>
    <w:p>
      <w:pPr>
        <w:spacing w:line="360" w:lineRule="auto"/>
        <w:rPr>
          <w:rFonts w:ascii="仿宋" w:hAnsi="仿宋" w:eastAsia="仿宋" w:cs="仿宋"/>
          <w:spacing w:val="6"/>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注：</w:t>
      </w:r>
    </w:p>
    <w:p>
      <w:pPr>
        <w:spacing w:after="160" w:line="360" w:lineRule="auto"/>
        <w:rPr>
          <w:rFonts w:ascii="仿宋" w:hAnsi="仿宋" w:eastAsia="仿宋" w:cs="仿宋"/>
          <w:sz w:val="24"/>
        </w:rPr>
      </w:pPr>
      <w:r>
        <w:rPr>
          <w:rFonts w:hint="eastAsia" w:ascii="仿宋" w:hAnsi="仿宋" w:eastAsia="仿宋" w:cs="仿宋"/>
          <w:sz w:val="24"/>
        </w:rPr>
        <w:t>1.残疾人福利性单位视同小型、微型企业，享受预留份额、评审中价格扣除等促进中小企业发展的政府采购政策。残疾人福利性单位属于小型、微型企业的，不重复享受政策。</w:t>
      </w:r>
    </w:p>
    <w:p>
      <w:pPr>
        <w:spacing w:after="160" w:line="360" w:lineRule="auto"/>
        <w:rPr>
          <w:rFonts w:ascii="仿宋" w:hAnsi="仿宋" w:eastAsia="仿宋" w:cs="仿宋"/>
          <w:b/>
          <w:bCs/>
          <w:sz w:val="24"/>
        </w:rPr>
      </w:pPr>
      <w:r>
        <w:rPr>
          <w:rFonts w:hint="eastAsia" w:ascii="仿宋" w:hAnsi="仿宋" w:eastAsia="仿宋" w:cs="仿宋"/>
          <w:b/>
          <w:bCs/>
          <w:sz w:val="24"/>
        </w:rPr>
        <w:t>2.供应商为非残疾人福利性单位的，可不提供此声明。</w:t>
      </w:r>
    </w:p>
    <w:p>
      <w:pPr>
        <w:spacing w:after="160" w:line="360" w:lineRule="auto"/>
        <w:rPr>
          <w:rFonts w:ascii="仿宋" w:hAnsi="仿宋" w:eastAsia="仿宋" w:cs="仿宋"/>
          <w:b/>
          <w:bCs/>
          <w:sz w:val="24"/>
        </w:rPr>
      </w:pPr>
      <w:r>
        <w:rPr>
          <w:rFonts w:hint="eastAsia" w:ascii="仿宋" w:hAnsi="仿宋" w:eastAsia="仿宋" w:cs="仿宋"/>
          <w:b/>
          <w:bCs/>
          <w:sz w:val="24"/>
        </w:rPr>
        <w:br w:type="page"/>
      </w:r>
    </w:p>
    <w:p>
      <w:pPr>
        <w:rPr>
          <w:rFonts w:ascii="仿宋" w:hAnsi="仿宋" w:eastAsia="仿宋" w:cs="仿宋"/>
        </w:rPr>
      </w:pPr>
    </w:p>
    <w:p>
      <w:pPr>
        <w:pStyle w:val="5"/>
        <w:numPr>
          <w:ilvl w:val="0"/>
          <w:numId w:val="5"/>
        </w:numPr>
        <w:spacing w:before="0" w:after="0" w:line="360" w:lineRule="auto"/>
        <w:jc w:val="center"/>
        <w:rPr>
          <w:rFonts w:ascii="仿宋" w:hAnsi="仿宋" w:eastAsia="仿宋" w:cs="仿宋"/>
        </w:rPr>
      </w:pPr>
      <w:r>
        <w:rPr>
          <w:rFonts w:hint="eastAsia" w:ascii="仿宋" w:hAnsi="仿宋" w:eastAsia="仿宋" w:cs="仿宋"/>
        </w:rPr>
        <w:t>其他资格证明资料及相关说明等</w:t>
      </w:r>
      <w:bookmarkEnd w:id="133"/>
      <w:bookmarkEnd w:id="134"/>
    </w:p>
    <w:p>
      <w:pPr>
        <w:rPr>
          <w:rFonts w:ascii="仿宋" w:hAnsi="仿宋" w:eastAsia="仿宋" w:cs="仿宋"/>
        </w:rPr>
      </w:pPr>
    </w:p>
    <w:p>
      <w:pPr>
        <w:adjustRightInd w:val="0"/>
        <w:snapToGrid w:val="0"/>
        <w:spacing w:afterLines="50" w:line="360" w:lineRule="auto"/>
        <w:ind w:firstLine="480" w:firstLineChars="200"/>
        <w:rPr>
          <w:rFonts w:ascii="仿宋" w:hAnsi="仿宋" w:eastAsia="仿宋" w:cs="仿宋"/>
          <w:sz w:val="24"/>
        </w:rPr>
      </w:pPr>
      <w:r>
        <w:rPr>
          <w:rFonts w:hint="eastAsia" w:ascii="仿宋" w:hAnsi="仿宋" w:eastAsia="仿宋" w:cs="仿宋"/>
          <w:sz w:val="24"/>
        </w:rPr>
        <w:t>对照“第四章  供应商资格证明材料”等具体要求提供。</w:t>
      </w:r>
    </w:p>
    <w:p>
      <w:pPr>
        <w:autoSpaceDE w:val="0"/>
        <w:autoSpaceDN w:val="0"/>
        <w:adjustRightInd w:val="0"/>
        <w:spacing w:line="360" w:lineRule="auto"/>
        <w:ind w:firstLine="602" w:firstLineChars="200"/>
        <w:jc w:val="center"/>
        <w:rPr>
          <w:rFonts w:ascii="仿宋" w:hAnsi="仿宋" w:eastAsia="仿宋" w:cs="仿宋"/>
          <w:sz w:val="28"/>
        </w:rPr>
      </w:pPr>
      <w:r>
        <w:rPr>
          <w:rFonts w:hint="eastAsia" w:ascii="仿宋" w:hAnsi="仿宋" w:eastAsia="仿宋" w:cs="仿宋"/>
          <w:b/>
          <w:sz w:val="30"/>
          <w:szCs w:val="30"/>
        </w:rPr>
        <w:br w:type="page"/>
      </w:r>
      <w:bookmarkStart w:id="135" w:name="_Toc11589_WPSOffice_Level2"/>
      <w:bookmarkStart w:id="136" w:name="_Toc18398_WPSOffice_Level2"/>
      <w:r>
        <w:rPr>
          <w:rFonts w:hint="eastAsia" w:ascii="仿宋" w:hAnsi="仿宋" w:eastAsia="仿宋" w:cs="仿宋"/>
          <w:sz w:val="28"/>
        </w:rPr>
        <w:t>（封面格式）</w:t>
      </w:r>
      <w:bookmarkEnd w:id="135"/>
      <w:bookmarkEnd w:id="136"/>
    </w:p>
    <w:p>
      <w:pPr>
        <w:autoSpaceDE w:val="0"/>
        <w:autoSpaceDN w:val="0"/>
        <w:adjustRightInd w:val="0"/>
        <w:spacing w:line="360" w:lineRule="auto"/>
        <w:ind w:firstLine="1680" w:firstLineChars="200"/>
        <w:jc w:val="center"/>
        <w:rPr>
          <w:rFonts w:ascii="仿宋" w:hAnsi="仿宋" w:eastAsia="仿宋" w:cs="仿宋"/>
          <w:sz w:val="84"/>
          <w:szCs w:val="84"/>
        </w:rPr>
      </w:pPr>
    </w:p>
    <w:p>
      <w:pPr>
        <w:autoSpaceDE w:val="0"/>
        <w:autoSpaceDN w:val="0"/>
        <w:adjustRightInd w:val="0"/>
        <w:spacing w:line="360" w:lineRule="auto"/>
        <w:ind w:firstLine="1680" w:firstLineChars="200"/>
        <w:rPr>
          <w:rFonts w:ascii="仿宋" w:hAnsi="仿宋" w:eastAsia="仿宋" w:cs="仿宋"/>
          <w:sz w:val="84"/>
          <w:szCs w:val="84"/>
        </w:rPr>
      </w:pPr>
      <w:bookmarkStart w:id="137" w:name="_Toc25492_WPSOffice_Level2"/>
      <w:bookmarkStart w:id="138" w:name="_Toc1892_WPSOffice_Level2"/>
      <w:r>
        <w:rPr>
          <w:rFonts w:hint="eastAsia" w:ascii="仿宋" w:hAnsi="仿宋" w:eastAsia="仿宋" w:cs="仿宋"/>
          <w:sz w:val="84"/>
          <w:szCs w:val="84"/>
        </w:rPr>
        <w:t>其他响应文件</w:t>
      </w:r>
      <w:bookmarkEnd w:id="137"/>
      <w:bookmarkEnd w:id="138"/>
    </w:p>
    <w:p>
      <w:pPr>
        <w:autoSpaceDE w:val="0"/>
        <w:autoSpaceDN w:val="0"/>
        <w:adjustRightInd w:val="0"/>
        <w:spacing w:line="360" w:lineRule="auto"/>
        <w:ind w:firstLine="880" w:firstLineChars="200"/>
        <w:jc w:val="center"/>
        <w:rPr>
          <w:rFonts w:ascii="仿宋" w:hAnsi="仿宋" w:eastAsia="仿宋" w:cs="仿宋"/>
          <w:sz w:val="44"/>
        </w:rPr>
      </w:pPr>
    </w:p>
    <w:p>
      <w:pPr>
        <w:autoSpaceDE w:val="0"/>
        <w:autoSpaceDN w:val="0"/>
        <w:adjustRightInd w:val="0"/>
        <w:spacing w:line="360" w:lineRule="auto"/>
        <w:ind w:firstLine="3080" w:firstLineChars="700"/>
        <w:rPr>
          <w:rFonts w:ascii="仿宋" w:hAnsi="仿宋" w:eastAsia="仿宋" w:cs="仿宋"/>
          <w:sz w:val="44"/>
        </w:rPr>
      </w:pPr>
      <w:bookmarkStart w:id="139" w:name="_Toc26337_WPSOffice_Level2"/>
      <w:bookmarkStart w:id="140" w:name="_Toc22614_WPSOffice_Level2"/>
      <w:r>
        <w:rPr>
          <w:rFonts w:hint="eastAsia" w:ascii="仿宋" w:hAnsi="仿宋" w:eastAsia="仿宋" w:cs="仿宋"/>
          <w:sz w:val="44"/>
        </w:rPr>
        <w:t>（正本/副本）</w:t>
      </w:r>
      <w:bookmarkEnd w:id="139"/>
      <w:bookmarkEnd w:id="140"/>
    </w:p>
    <w:p>
      <w:pPr>
        <w:pStyle w:val="2"/>
        <w:spacing w:line="360" w:lineRule="auto"/>
        <w:rPr>
          <w:rFonts w:ascii="仿宋" w:hAnsi="仿宋" w:eastAsia="仿宋" w:cs="仿宋"/>
          <w:sz w:val="44"/>
        </w:rPr>
      </w:pPr>
    </w:p>
    <w:p>
      <w:pPr>
        <w:pStyle w:val="2"/>
        <w:spacing w:line="360" w:lineRule="auto"/>
        <w:rPr>
          <w:rFonts w:ascii="仿宋" w:hAnsi="仿宋" w:eastAsia="仿宋" w:cs="仿宋"/>
          <w:sz w:val="44"/>
        </w:rPr>
      </w:pPr>
    </w:p>
    <w:p>
      <w:pPr>
        <w:autoSpaceDE w:val="0"/>
        <w:autoSpaceDN w:val="0"/>
        <w:adjustRightInd w:val="0"/>
        <w:snapToGrid w:val="0"/>
        <w:spacing w:afterLines="50" w:line="360" w:lineRule="auto"/>
        <w:ind w:firstLine="640" w:firstLineChars="200"/>
        <w:rPr>
          <w:rFonts w:ascii="仿宋" w:hAnsi="仿宋" w:eastAsia="仿宋" w:cs="仿宋"/>
          <w:sz w:val="32"/>
          <w:szCs w:val="32"/>
        </w:rPr>
      </w:pPr>
      <w:bookmarkStart w:id="141" w:name="_Toc14986_WPSOffice_Level2"/>
      <w:bookmarkStart w:id="142" w:name="_Toc30289_WPSOffice_Level2"/>
      <w:r>
        <w:rPr>
          <w:rFonts w:hint="eastAsia" w:ascii="仿宋" w:hAnsi="仿宋" w:eastAsia="仿宋" w:cs="仿宋"/>
          <w:sz w:val="32"/>
          <w:szCs w:val="32"/>
        </w:rPr>
        <w:t>项目编号：</w:t>
      </w:r>
      <w:bookmarkEnd w:id="141"/>
      <w:bookmarkEnd w:id="142"/>
      <w:r>
        <w:rPr>
          <w:rFonts w:hint="eastAsia" w:ascii="仿宋" w:hAnsi="仿宋" w:eastAsia="仿宋" w:cs="仿宋"/>
          <w:sz w:val="32"/>
          <w:szCs w:val="32"/>
          <w:u w:val="single"/>
        </w:rPr>
        <w:t xml:space="preserve">                     </w:t>
      </w:r>
    </w:p>
    <w:p>
      <w:pPr>
        <w:autoSpaceDE w:val="0"/>
        <w:autoSpaceDN w:val="0"/>
        <w:adjustRightInd w:val="0"/>
        <w:snapToGrid w:val="0"/>
        <w:spacing w:afterLines="50" w:line="360" w:lineRule="auto"/>
        <w:ind w:firstLine="640" w:firstLineChars="200"/>
        <w:rPr>
          <w:rFonts w:ascii="仿宋" w:hAnsi="仿宋" w:eastAsia="仿宋" w:cs="仿宋"/>
          <w:sz w:val="32"/>
          <w:szCs w:val="32"/>
          <w:u w:val="single"/>
        </w:rPr>
      </w:pPr>
      <w:bookmarkStart w:id="143" w:name="_Toc27590_WPSOffice_Level2"/>
      <w:bookmarkStart w:id="144" w:name="_Toc30244_WPSOffice_Level2"/>
      <w:r>
        <w:rPr>
          <w:rFonts w:hint="eastAsia" w:ascii="仿宋" w:hAnsi="仿宋" w:eastAsia="仿宋" w:cs="仿宋"/>
          <w:sz w:val="32"/>
          <w:szCs w:val="32"/>
        </w:rPr>
        <w:t>项目名称：</w:t>
      </w:r>
      <w:bookmarkEnd w:id="143"/>
      <w:bookmarkEnd w:id="144"/>
      <w:r>
        <w:rPr>
          <w:rFonts w:hint="eastAsia" w:ascii="仿宋" w:hAnsi="仿宋" w:eastAsia="仿宋" w:cs="仿宋"/>
          <w:sz w:val="32"/>
          <w:szCs w:val="32"/>
          <w:u w:val="single"/>
        </w:rPr>
        <w:t xml:space="preserve">                     </w:t>
      </w:r>
    </w:p>
    <w:p>
      <w:pPr>
        <w:autoSpaceDE w:val="0"/>
        <w:autoSpaceDN w:val="0"/>
        <w:adjustRightInd w:val="0"/>
        <w:snapToGrid w:val="0"/>
        <w:spacing w:afterLines="50" w:line="360" w:lineRule="auto"/>
        <w:ind w:firstLine="640" w:firstLineChars="200"/>
        <w:rPr>
          <w:rFonts w:ascii="仿宋" w:hAnsi="仿宋" w:eastAsia="仿宋" w:cs="仿宋"/>
          <w:sz w:val="32"/>
          <w:szCs w:val="32"/>
        </w:rPr>
      </w:pPr>
      <w:bookmarkStart w:id="145" w:name="_Toc1272_WPSOffice_Level2"/>
      <w:bookmarkStart w:id="146" w:name="_Toc30720_WPSOffice_Level2"/>
      <w:r>
        <w:rPr>
          <w:rFonts w:hint="eastAsia" w:ascii="仿宋" w:hAnsi="仿宋" w:eastAsia="仿宋" w:cs="仿宋"/>
          <w:sz w:val="32"/>
          <w:szCs w:val="32"/>
        </w:rPr>
        <w:t>供 应 商：</w:t>
      </w:r>
      <w:r>
        <w:rPr>
          <w:rFonts w:hint="eastAsia" w:ascii="仿宋" w:hAnsi="仿宋" w:eastAsia="仿宋" w:cs="仿宋"/>
          <w:sz w:val="32"/>
          <w:szCs w:val="32"/>
          <w:u w:val="single"/>
        </w:rPr>
        <w:t xml:space="preserve">                     </w:t>
      </w:r>
      <w:r>
        <w:rPr>
          <w:rFonts w:hint="eastAsia" w:ascii="仿宋" w:hAnsi="仿宋" w:eastAsia="仿宋" w:cs="仿宋"/>
          <w:sz w:val="32"/>
          <w:szCs w:val="32"/>
        </w:rPr>
        <w:t>（公章）</w:t>
      </w:r>
      <w:bookmarkEnd w:id="145"/>
      <w:bookmarkEnd w:id="146"/>
    </w:p>
    <w:p>
      <w:pPr>
        <w:autoSpaceDE w:val="0"/>
        <w:autoSpaceDN w:val="0"/>
        <w:adjustRightInd w:val="0"/>
        <w:snapToGrid w:val="0"/>
        <w:spacing w:afterLines="50" w:line="360" w:lineRule="auto"/>
        <w:ind w:firstLine="640" w:firstLineChars="200"/>
        <w:rPr>
          <w:rFonts w:ascii="仿宋" w:hAnsi="仿宋" w:eastAsia="仿宋" w:cs="仿宋"/>
          <w:sz w:val="32"/>
          <w:szCs w:val="32"/>
        </w:rPr>
      </w:pPr>
      <w:bookmarkStart w:id="147" w:name="_Toc20218_WPSOffice_Level2"/>
      <w:bookmarkStart w:id="148" w:name="_Toc18121_WPSOffice_Level2"/>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bookmarkEnd w:id="147"/>
      <w:bookmarkEnd w:id="148"/>
    </w:p>
    <w:p>
      <w:pPr>
        <w:spacing w:line="360" w:lineRule="auto"/>
        <w:jc w:val="center"/>
        <w:rPr>
          <w:rFonts w:ascii="仿宋" w:hAnsi="仿宋" w:eastAsia="仿宋" w:cs="仿宋"/>
          <w:szCs w:val="28"/>
        </w:rPr>
      </w:pPr>
      <w:r>
        <w:rPr>
          <w:rFonts w:hint="eastAsia" w:ascii="仿宋" w:hAnsi="仿宋" w:eastAsia="仿宋" w:cs="仿宋"/>
        </w:rPr>
        <w:br w:type="page"/>
      </w:r>
      <w:bookmarkStart w:id="149" w:name="_Toc217446087"/>
      <w:r>
        <w:rPr>
          <w:rFonts w:hint="eastAsia" w:ascii="仿宋" w:hAnsi="仿宋" w:eastAsia="仿宋" w:cs="仿宋"/>
          <w:b/>
          <w:bCs/>
          <w:sz w:val="28"/>
          <w:szCs w:val="36"/>
        </w:rPr>
        <w:t>目录（自拟）</w:t>
      </w:r>
    </w:p>
    <w:p>
      <w:pPr>
        <w:spacing w:line="360" w:lineRule="auto"/>
        <w:rPr>
          <w:rFonts w:ascii="仿宋" w:hAnsi="仿宋" w:eastAsia="仿宋" w:cs="仿宋"/>
        </w:rPr>
      </w:pPr>
      <w:r>
        <w:rPr>
          <w:rFonts w:hint="eastAsia" w:ascii="仿宋" w:hAnsi="仿宋" w:eastAsia="仿宋" w:cs="仿宋"/>
        </w:rPr>
        <w:br w:type="page"/>
      </w:r>
    </w:p>
    <w:p>
      <w:pPr>
        <w:pStyle w:val="5"/>
        <w:spacing w:before="0" w:after="0" w:line="360" w:lineRule="auto"/>
        <w:jc w:val="center"/>
        <w:rPr>
          <w:rFonts w:ascii="仿宋" w:hAnsi="仿宋" w:eastAsia="仿宋" w:cs="仿宋"/>
        </w:rPr>
      </w:pPr>
      <w:r>
        <w:rPr>
          <w:rFonts w:hint="eastAsia" w:ascii="仿宋" w:hAnsi="仿宋" w:eastAsia="仿宋" w:cs="仿宋"/>
        </w:rPr>
        <w:t>一、响应函</w:t>
      </w:r>
    </w:p>
    <w:p>
      <w:pPr>
        <w:pStyle w:val="12"/>
        <w:spacing w:after="0" w:line="360" w:lineRule="auto"/>
        <w:ind w:left="0" w:leftChars="0"/>
        <w:jc w:val="left"/>
        <w:rPr>
          <w:rFonts w:ascii="仿宋" w:hAnsi="仿宋" w:eastAsia="仿宋" w:cs="仿宋"/>
          <w:bCs/>
          <w:sz w:val="24"/>
        </w:rPr>
      </w:pPr>
      <w:r>
        <w:rPr>
          <w:rFonts w:hint="eastAsia" w:ascii="仿宋" w:hAnsi="仿宋" w:eastAsia="仿宋" w:cs="仿宋"/>
          <w:sz w:val="24"/>
          <w:u w:val="single"/>
        </w:rPr>
        <w:t>四川凯亿工程管理咨询有限公司</w:t>
      </w:r>
      <w:r>
        <w:rPr>
          <w:rFonts w:hint="eastAsia" w:ascii="仿宋" w:hAnsi="仿宋" w:eastAsia="仿宋" w:cs="仿宋"/>
          <w:bCs/>
          <w:sz w:val="24"/>
        </w:rPr>
        <w:t>（采购代理机构名称）：</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我方全面研究了 “</w:t>
      </w:r>
      <w:r>
        <w:rPr>
          <w:rFonts w:hint="eastAsia" w:ascii="仿宋" w:hAnsi="仿宋" w:eastAsia="仿宋" w:cs="仿宋"/>
          <w:bCs/>
          <w:sz w:val="24"/>
          <w:u w:val="single"/>
        </w:rPr>
        <w:t xml:space="preserve">           </w:t>
      </w:r>
      <w:r>
        <w:rPr>
          <w:rFonts w:hint="eastAsia" w:ascii="仿宋" w:hAnsi="仿宋" w:eastAsia="仿宋" w:cs="仿宋"/>
          <w:bCs/>
          <w:sz w:val="24"/>
        </w:rPr>
        <w:t>”（项目名称）（项目编号：</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bCs/>
          <w:sz w:val="24"/>
        </w:rPr>
        <w:t>）磋商文件，决定参加贵单位组织的本项目磋商采购。</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1、我方自愿按照磋商文件规定的各项要求向采购人提供所需服务，第一次总报价为“第一次报价一览表”中所述价格。</w:t>
      </w:r>
    </w:p>
    <w:p>
      <w:pPr>
        <w:pStyle w:val="12"/>
        <w:numPr>
          <w:ilvl w:val="0"/>
          <w:numId w:val="6"/>
        </w:numPr>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一旦我方成交，我方将严格履行合同规定的责任和义务，保证于合同签字生效后按合同约定时间完成，并交付采购人验收、使用。</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3、我方为本项目提交的响应文件正本</w:t>
      </w:r>
      <w:r>
        <w:rPr>
          <w:rFonts w:hint="eastAsia" w:ascii="仿宋" w:hAnsi="仿宋" w:eastAsia="仿宋" w:cs="仿宋"/>
          <w:bCs/>
          <w:sz w:val="24"/>
          <w:u w:val="single"/>
        </w:rPr>
        <w:t xml:space="preserve"> 壹 </w:t>
      </w:r>
      <w:r>
        <w:rPr>
          <w:rFonts w:hint="eastAsia" w:ascii="仿宋" w:hAnsi="仿宋" w:eastAsia="仿宋" w:cs="仿宋"/>
          <w:bCs/>
          <w:sz w:val="24"/>
        </w:rPr>
        <w:t>份、副本</w:t>
      </w:r>
      <w:r>
        <w:rPr>
          <w:rFonts w:hint="eastAsia" w:ascii="仿宋" w:hAnsi="仿宋" w:eastAsia="仿宋" w:cs="仿宋"/>
          <w:bCs/>
          <w:sz w:val="24"/>
          <w:u w:val="single"/>
        </w:rPr>
        <w:t xml:space="preserve"> 贰</w:t>
      </w:r>
      <w:r>
        <w:rPr>
          <w:rFonts w:hint="eastAsia" w:ascii="仿宋" w:hAnsi="仿宋" w:eastAsia="仿宋" w:cs="仿宋"/>
          <w:sz w:val="24"/>
          <w:u w:val="single"/>
        </w:rPr>
        <w:t xml:space="preserve"> </w:t>
      </w:r>
      <w:r>
        <w:rPr>
          <w:rFonts w:hint="eastAsia" w:ascii="仿宋" w:hAnsi="仿宋" w:eastAsia="仿宋" w:cs="仿宋"/>
          <w:bCs/>
          <w:sz w:val="24"/>
        </w:rPr>
        <w:t>份、电子文档</w:t>
      </w:r>
      <w:r>
        <w:rPr>
          <w:rFonts w:hint="eastAsia" w:ascii="仿宋" w:hAnsi="仿宋" w:eastAsia="仿宋" w:cs="仿宋"/>
          <w:bCs/>
          <w:sz w:val="24"/>
          <w:u w:val="single"/>
        </w:rPr>
        <w:t xml:space="preserve"> 壹 </w:t>
      </w:r>
      <w:r>
        <w:rPr>
          <w:rFonts w:hint="eastAsia" w:ascii="仿宋" w:hAnsi="仿宋" w:eastAsia="仿宋" w:cs="仿宋"/>
          <w:bCs/>
          <w:sz w:val="24"/>
        </w:rPr>
        <w:t>份，本次磋商，我方递交的</w:t>
      </w:r>
      <w:r>
        <w:rPr>
          <w:rFonts w:hint="eastAsia" w:ascii="仿宋" w:hAnsi="仿宋" w:eastAsia="仿宋" w:cs="仿宋"/>
          <w:sz w:val="24"/>
        </w:rPr>
        <w:t>响应文件有效期为递交磋商响应文件截止之日起</w:t>
      </w:r>
      <w:r>
        <w:rPr>
          <w:rFonts w:hint="eastAsia" w:ascii="仿宋" w:hAnsi="仿宋" w:eastAsia="仿宋" w:cs="仿宋"/>
          <w:sz w:val="24"/>
          <w:u w:val="single"/>
        </w:rPr>
        <w:t>90天</w:t>
      </w:r>
      <w:r>
        <w:rPr>
          <w:rFonts w:hint="eastAsia" w:ascii="仿宋" w:hAnsi="仿宋" w:eastAsia="仿宋" w:cs="仿宋"/>
          <w:bCs/>
          <w:sz w:val="24"/>
        </w:rPr>
        <w:t>。</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4、我方愿意提供贵单位可能另外要求的，与磋商有关的文件资料，并保证我方已提供和将要提供的文件资料是真实、准确的。</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5、国家或行业主管部门对采购产品的技术标准、质量标准和资格资质条件等有强制性规定的，我方承诺符合其要求。</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6、我方完全理解采购人不一定将合同授予最低报价的供应商的行为。</w:t>
      </w:r>
    </w:p>
    <w:p>
      <w:pPr>
        <w:adjustRightInd w:val="0"/>
        <w:spacing w:line="360" w:lineRule="auto"/>
        <w:jc w:val="left"/>
        <w:rPr>
          <w:rFonts w:ascii="仿宋" w:hAnsi="仿宋" w:eastAsia="仿宋" w:cs="仿宋"/>
          <w:sz w:val="24"/>
        </w:rPr>
      </w:pPr>
      <w:bookmarkStart w:id="150" w:name="_Toc217446085"/>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bookmarkEnd w:id="149"/>
    <w:bookmarkEnd w:id="150"/>
    <w:p>
      <w:pPr>
        <w:rPr>
          <w:rFonts w:ascii="仿宋" w:hAnsi="仿宋" w:eastAsia="仿宋" w:cs="仿宋"/>
        </w:rPr>
      </w:pPr>
      <w:bookmarkStart w:id="151" w:name="_Toc17152_WPSOffice_Level2"/>
      <w:bookmarkStart w:id="152" w:name="_Toc4636_WPSOffice_Level2"/>
      <w:r>
        <w:rPr>
          <w:rFonts w:hint="eastAsia" w:ascii="仿宋" w:hAnsi="仿宋" w:eastAsia="仿宋" w:cs="仿宋"/>
        </w:rPr>
        <w:br w:type="page"/>
      </w:r>
    </w:p>
    <w:p>
      <w:pPr>
        <w:pStyle w:val="5"/>
        <w:spacing w:line="360" w:lineRule="auto"/>
        <w:jc w:val="center"/>
        <w:rPr>
          <w:rFonts w:ascii="仿宋" w:hAnsi="仿宋" w:eastAsia="仿宋" w:cs="仿宋"/>
        </w:rPr>
      </w:pPr>
      <w:r>
        <w:rPr>
          <w:rFonts w:hint="eastAsia" w:ascii="仿宋" w:hAnsi="仿宋" w:eastAsia="仿宋" w:cs="仿宋"/>
        </w:rPr>
        <w:t>二、第一次报价一览表</w:t>
      </w:r>
    </w:p>
    <w:tbl>
      <w:tblPr>
        <w:tblStyle w:val="18"/>
        <w:tblW w:w="512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2109"/>
        <w:gridCol w:w="7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16" w:hRule="atLeast"/>
          <w:jc w:val="center"/>
        </w:trPr>
        <w:tc>
          <w:tcPr>
            <w:tcW w:w="1119" w:type="pct"/>
            <w:tcBorders>
              <w:top w:val="single" w:color="auto" w:sz="4" w:space="0"/>
            </w:tcBorders>
            <w:vAlign w:val="center"/>
          </w:tcPr>
          <w:p>
            <w:pPr>
              <w:tabs>
                <w:tab w:val="left" w:pos="8364"/>
              </w:tabs>
              <w:snapToGrid w:val="0"/>
              <w:ind w:right="-58"/>
              <w:jc w:val="center"/>
              <w:rPr>
                <w:rFonts w:ascii="仿宋" w:hAnsi="仿宋" w:eastAsia="仿宋" w:cs="仿宋"/>
                <w:b/>
                <w:bCs/>
                <w:sz w:val="24"/>
              </w:rPr>
            </w:pPr>
            <w:r>
              <w:rPr>
                <w:rFonts w:hint="eastAsia" w:ascii="仿宋" w:hAnsi="仿宋" w:eastAsia="仿宋" w:cs="仿宋"/>
                <w:b/>
                <w:bCs/>
                <w:sz w:val="24"/>
              </w:rPr>
              <w:t>项目名称</w:t>
            </w:r>
          </w:p>
        </w:tc>
        <w:tc>
          <w:tcPr>
            <w:tcW w:w="3880" w:type="pct"/>
            <w:tcBorders>
              <w:top w:val="single" w:color="auto" w:sz="4" w:space="0"/>
            </w:tcBorders>
            <w:vAlign w:val="center"/>
          </w:tcPr>
          <w:p>
            <w:pPr>
              <w:tabs>
                <w:tab w:val="left" w:pos="8364"/>
              </w:tabs>
              <w:snapToGrid w:val="0"/>
              <w:ind w:right="-58" w:firstLine="482"/>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600" w:hRule="atLeast"/>
          <w:jc w:val="center"/>
        </w:trPr>
        <w:tc>
          <w:tcPr>
            <w:tcW w:w="1119" w:type="pct"/>
            <w:tcBorders>
              <w:top w:val="single" w:color="auto" w:sz="4" w:space="0"/>
            </w:tcBorders>
            <w:vAlign w:val="center"/>
          </w:tcPr>
          <w:p>
            <w:pPr>
              <w:tabs>
                <w:tab w:val="left" w:pos="8364"/>
              </w:tabs>
              <w:snapToGrid w:val="0"/>
              <w:ind w:right="-58"/>
              <w:jc w:val="center"/>
              <w:rPr>
                <w:rFonts w:ascii="仿宋" w:hAnsi="仿宋" w:eastAsia="仿宋" w:cs="仿宋"/>
                <w:b/>
                <w:bCs/>
                <w:sz w:val="24"/>
              </w:rPr>
            </w:pPr>
            <w:r>
              <w:rPr>
                <w:rFonts w:hint="eastAsia" w:ascii="仿宋" w:hAnsi="仿宋" w:eastAsia="仿宋" w:cs="仿宋"/>
                <w:b/>
                <w:bCs/>
                <w:sz w:val="24"/>
              </w:rPr>
              <w:t>项目编号</w:t>
            </w:r>
          </w:p>
        </w:tc>
        <w:tc>
          <w:tcPr>
            <w:tcW w:w="3880" w:type="pct"/>
            <w:tcBorders>
              <w:top w:val="single" w:color="auto" w:sz="4" w:space="0"/>
            </w:tcBorders>
            <w:vAlign w:val="center"/>
          </w:tcPr>
          <w:p>
            <w:pPr>
              <w:tabs>
                <w:tab w:val="left" w:pos="8364"/>
              </w:tabs>
              <w:snapToGrid w:val="0"/>
              <w:ind w:right="-58" w:firstLine="482"/>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713" w:hRule="atLeast"/>
          <w:jc w:val="center"/>
        </w:trPr>
        <w:tc>
          <w:tcPr>
            <w:tcW w:w="1119" w:type="pct"/>
            <w:vAlign w:val="center"/>
          </w:tcPr>
          <w:p>
            <w:pPr>
              <w:spacing w:line="360" w:lineRule="atLeast"/>
              <w:jc w:val="center"/>
              <w:outlineLvl w:val="1"/>
              <w:rPr>
                <w:rFonts w:ascii="仿宋" w:hAnsi="仿宋" w:eastAsia="仿宋" w:cs="仿宋"/>
                <w:b/>
                <w:bCs/>
                <w:sz w:val="24"/>
              </w:rPr>
            </w:pPr>
            <w:r>
              <w:rPr>
                <w:rFonts w:hint="eastAsia" w:ascii="仿宋" w:hAnsi="仿宋" w:eastAsia="仿宋" w:cs="仿宋"/>
                <w:b/>
                <w:sz w:val="24"/>
              </w:rPr>
              <w:t>报价合计</w:t>
            </w:r>
          </w:p>
        </w:tc>
        <w:tc>
          <w:tcPr>
            <w:tcW w:w="3880" w:type="pct"/>
            <w:vAlign w:val="center"/>
          </w:tcPr>
          <w:p>
            <w:pPr>
              <w:outlineLvl w:val="1"/>
              <w:rPr>
                <w:rFonts w:ascii="仿宋" w:hAnsi="仿宋" w:eastAsia="仿宋" w:cs="仿宋"/>
                <w:b/>
                <w:bCs/>
                <w:sz w:val="24"/>
              </w:rPr>
            </w:pPr>
            <w:r>
              <w:rPr>
                <w:rFonts w:hint="eastAsia" w:ascii="仿宋" w:hAnsi="仿宋" w:eastAsia="仿宋" w:cs="仿宋"/>
                <w:b/>
                <w:bCs/>
                <w:sz w:val="24"/>
              </w:rPr>
              <w:t xml:space="preserve">小写:        </w:t>
            </w:r>
          </w:p>
          <w:p>
            <w:pPr>
              <w:pStyle w:val="28"/>
              <w:rPr>
                <w:rFonts w:ascii="仿宋" w:hAnsi="仿宋" w:eastAsia="仿宋" w:cs="仿宋"/>
                <w:b/>
                <w:bCs/>
                <w:color w:val="auto"/>
                <w:szCs w:val="24"/>
              </w:rPr>
            </w:pPr>
            <w:r>
              <w:rPr>
                <w:rFonts w:hint="eastAsia" w:ascii="仿宋" w:hAnsi="仿宋" w:eastAsia="仿宋" w:cs="仿宋"/>
                <w:b/>
                <w:bCs/>
                <w:color w:val="auto"/>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11" w:hRule="atLeast"/>
          <w:jc w:val="center"/>
        </w:trPr>
        <w:tc>
          <w:tcPr>
            <w:tcW w:w="1119" w:type="pct"/>
            <w:tcBorders>
              <w:bottom w:val="single" w:color="auto" w:sz="4" w:space="0"/>
            </w:tcBorders>
            <w:vAlign w:val="center"/>
          </w:tcPr>
          <w:p>
            <w:pPr>
              <w:spacing w:line="360" w:lineRule="atLeast"/>
              <w:jc w:val="center"/>
              <w:outlineLvl w:val="1"/>
              <w:rPr>
                <w:rFonts w:ascii="仿宋" w:hAnsi="仿宋" w:eastAsia="仿宋" w:cs="仿宋"/>
                <w:b/>
                <w:sz w:val="24"/>
              </w:rPr>
            </w:pPr>
            <w:r>
              <w:rPr>
                <w:rFonts w:hint="eastAsia" w:ascii="仿宋" w:hAnsi="仿宋" w:eastAsia="仿宋" w:cs="仿宋"/>
                <w:b/>
                <w:sz w:val="24"/>
              </w:rPr>
              <w:t>备注</w:t>
            </w:r>
          </w:p>
        </w:tc>
        <w:tc>
          <w:tcPr>
            <w:tcW w:w="3880" w:type="pct"/>
            <w:tcBorders>
              <w:bottom w:val="single" w:color="auto" w:sz="4" w:space="0"/>
            </w:tcBorders>
            <w:vAlign w:val="center"/>
          </w:tcPr>
          <w:p>
            <w:pPr>
              <w:pStyle w:val="28"/>
              <w:rPr>
                <w:rFonts w:ascii="仿宋" w:hAnsi="仿宋" w:eastAsia="仿宋" w:cs="仿宋"/>
                <w:b/>
                <w:bCs/>
                <w:color w:val="auto"/>
                <w:szCs w:val="24"/>
              </w:rPr>
            </w:pP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注:</w:t>
      </w:r>
    </w:p>
    <w:p>
      <w:pPr>
        <w:spacing w:line="360" w:lineRule="auto"/>
        <w:ind w:firstLine="720" w:firstLineChars="300"/>
        <w:rPr>
          <w:rFonts w:ascii="仿宋" w:hAnsi="仿宋" w:eastAsia="仿宋" w:cs="仿宋"/>
          <w:sz w:val="24"/>
        </w:rPr>
      </w:pPr>
      <w:r>
        <w:rPr>
          <w:rFonts w:hint="eastAsia" w:ascii="仿宋" w:hAnsi="仿宋" w:eastAsia="仿宋" w:cs="仿宋"/>
          <w:sz w:val="24"/>
        </w:rPr>
        <w:t>1.所有报价均用人民币表示。</w:t>
      </w:r>
    </w:p>
    <w:p>
      <w:pPr>
        <w:spacing w:line="360" w:lineRule="auto"/>
        <w:ind w:firstLine="720" w:firstLineChars="300"/>
        <w:rPr>
          <w:rFonts w:ascii="仿宋" w:hAnsi="仿宋" w:eastAsia="仿宋" w:cs="仿宋"/>
          <w:sz w:val="24"/>
        </w:rPr>
      </w:pPr>
      <w:r>
        <w:rPr>
          <w:rFonts w:hint="eastAsia" w:ascii="仿宋" w:hAnsi="仿宋" w:eastAsia="仿宋" w:cs="仿宋"/>
          <w:sz w:val="24"/>
        </w:rPr>
        <w:t>2.表格如不能完全表达相关内容，供应商可自行补充。</w:t>
      </w:r>
    </w:p>
    <w:p>
      <w:pPr>
        <w:spacing w:line="480" w:lineRule="auto"/>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sz w:val="24"/>
        </w:rPr>
      </w:pPr>
    </w:p>
    <w:p>
      <w:pPr>
        <w:pStyle w:val="2"/>
        <w:rPr>
          <w:rFonts w:ascii="仿宋" w:hAnsi="仿宋" w:eastAsia="仿宋" w:cs="仿宋"/>
        </w:rPr>
      </w:pPr>
    </w:p>
    <w:p>
      <w:pPr>
        <w:rPr>
          <w:rStyle w:val="36"/>
          <w:rFonts w:ascii="仿宋" w:hAnsi="仿宋" w:eastAsia="仿宋" w:cs="仿宋"/>
        </w:rPr>
      </w:pPr>
      <w:r>
        <w:rPr>
          <w:rStyle w:val="36"/>
          <w:rFonts w:hint="eastAsia" w:ascii="仿宋" w:hAnsi="仿宋" w:eastAsia="仿宋" w:cs="仿宋"/>
        </w:rPr>
        <w:br w:type="page"/>
      </w:r>
    </w:p>
    <w:p>
      <w:pPr>
        <w:pStyle w:val="5"/>
        <w:spacing w:line="360" w:lineRule="auto"/>
        <w:jc w:val="center"/>
        <w:rPr>
          <w:rStyle w:val="36"/>
          <w:rFonts w:ascii="仿宋" w:hAnsi="仿宋" w:eastAsia="仿宋" w:cs="仿宋"/>
          <w:b/>
          <w:bCs/>
        </w:rPr>
      </w:pPr>
      <w:r>
        <w:rPr>
          <w:rStyle w:val="36"/>
          <w:rFonts w:hint="eastAsia" w:ascii="仿宋" w:hAnsi="仿宋" w:eastAsia="仿宋" w:cs="仿宋"/>
          <w:b/>
          <w:bCs/>
        </w:rPr>
        <w:t>三、商务、技术、服务应答表</w:t>
      </w:r>
    </w:p>
    <w:p>
      <w:pPr>
        <w:spacing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19"/>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223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1989"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磋商文件要求</w:t>
            </w:r>
          </w:p>
        </w:tc>
        <w:tc>
          <w:tcPr>
            <w:tcW w:w="1839"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响应文件应答</w:t>
            </w:r>
          </w:p>
        </w:tc>
        <w:tc>
          <w:tcPr>
            <w:tcW w:w="2234"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偏离情况（正偏离或负偏离或无偏离）</w:t>
            </w:r>
          </w:p>
        </w:tc>
        <w:tc>
          <w:tcPr>
            <w:tcW w:w="2425"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仿宋" w:hAnsi="仿宋" w:eastAsia="仿宋" w:cs="仿宋"/>
                <w:szCs w:val="21"/>
              </w:rPr>
            </w:pPr>
          </w:p>
        </w:tc>
        <w:tc>
          <w:tcPr>
            <w:tcW w:w="1989" w:type="dxa"/>
          </w:tcPr>
          <w:p>
            <w:pPr>
              <w:spacing w:line="360" w:lineRule="auto"/>
              <w:jc w:val="center"/>
              <w:rPr>
                <w:rFonts w:ascii="仿宋" w:hAnsi="仿宋" w:eastAsia="仿宋" w:cs="仿宋"/>
                <w:szCs w:val="21"/>
              </w:rPr>
            </w:pPr>
          </w:p>
        </w:tc>
        <w:tc>
          <w:tcPr>
            <w:tcW w:w="1839" w:type="dxa"/>
          </w:tcPr>
          <w:p>
            <w:pPr>
              <w:spacing w:line="360" w:lineRule="auto"/>
              <w:jc w:val="center"/>
              <w:rPr>
                <w:rFonts w:ascii="仿宋" w:hAnsi="仿宋" w:eastAsia="仿宋" w:cs="仿宋"/>
                <w:szCs w:val="21"/>
              </w:rPr>
            </w:pPr>
          </w:p>
        </w:tc>
        <w:tc>
          <w:tcPr>
            <w:tcW w:w="2234" w:type="dxa"/>
          </w:tcPr>
          <w:p>
            <w:pPr>
              <w:spacing w:line="360" w:lineRule="auto"/>
              <w:jc w:val="center"/>
              <w:rPr>
                <w:rFonts w:ascii="仿宋" w:hAnsi="仿宋" w:eastAsia="仿宋" w:cs="仿宋"/>
                <w:szCs w:val="21"/>
              </w:rPr>
            </w:pPr>
          </w:p>
        </w:tc>
        <w:tc>
          <w:tcPr>
            <w:tcW w:w="2425" w:type="dxa"/>
          </w:tcPr>
          <w:p>
            <w:pPr>
              <w:spacing w:line="360" w:lineRule="auto"/>
              <w:jc w:val="center"/>
              <w:rPr>
                <w:rFonts w:ascii="仿宋" w:hAnsi="仿宋" w:eastAsia="仿宋" w:cs="仿宋"/>
                <w:szCs w:val="21"/>
              </w:rPr>
            </w:pPr>
          </w:p>
        </w:tc>
      </w:tr>
    </w:tbl>
    <w:p>
      <w:pPr>
        <w:pStyle w:val="51"/>
        <w:ind w:firstLine="241" w:firstLineChars="100"/>
        <w:rPr>
          <w:rFonts w:ascii="仿宋" w:hAnsi="仿宋" w:eastAsia="仿宋" w:cs="仿宋"/>
          <w:b/>
          <w:bCs/>
        </w:rPr>
      </w:pPr>
      <w:r>
        <w:rPr>
          <w:rFonts w:hint="eastAsia" w:ascii="仿宋" w:hAnsi="仿宋" w:eastAsia="仿宋" w:cs="仿宋"/>
          <w:b/>
          <w:bCs/>
        </w:rPr>
        <w:t>注：</w:t>
      </w:r>
    </w:p>
    <w:p>
      <w:pPr>
        <w:spacing w:line="400" w:lineRule="exact"/>
        <w:ind w:firstLine="480" w:firstLineChars="200"/>
        <w:rPr>
          <w:rFonts w:ascii="仿宋" w:hAnsi="仿宋" w:eastAsia="仿宋" w:cs="仿宋"/>
          <w:sz w:val="24"/>
        </w:rPr>
      </w:pPr>
      <w:r>
        <w:rPr>
          <w:rFonts w:hint="eastAsia" w:ascii="仿宋" w:hAnsi="仿宋" w:eastAsia="仿宋" w:cs="仿宋"/>
          <w:sz w:val="24"/>
        </w:rPr>
        <w:t>1、以上表格格式行、列可增减。</w:t>
      </w:r>
    </w:p>
    <w:p>
      <w:pPr>
        <w:widowControl/>
        <w:spacing w:line="360" w:lineRule="atLeast"/>
        <w:ind w:firstLine="470" w:firstLineChars="196"/>
        <w:jc w:val="left"/>
        <w:outlineLvl w:val="1"/>
        <w:rPr>
          <w:rFonts w:ascii="仿宋" w:hAnsi="仿宋" w:eastAsia="仿宋" w:cs="仿宋"/>
          <w:sz w:val="24"/>
        </w:rPr>
      </w:pPr>
      <w:r>
        <w:rPr>
          <w:rFonts w:hint="eastAsia" w:ascii="仿宋" w:hAnsi="仿宋" w:eastAsia="仿宋" w:cs="仿宋"/>
          <w:sz w:val="24"/>
        </w:rPr>
        <w:t>2、供应商必须据实填写，不得虚假应答，否则将取消其投标或成交资格。如与磋商文件所列商务、技术、服务要求相关条款（指第五章采购项目技术、服务及商务要求）无偏离，则无须逐条应答；如有偏离条款（包括正偏离和负偏离），请将偏离条款逐条应答。</w:t>
      </w:r>
    </w:p>
    <w:p>
      <w:pPr>
        <w:widowControl/>
        <w:spacing w:line="360" w:lineRule="atLeast"/>
        <w:ind w:firstLine="470" w:firstLineChars="196"/>
        <w:jc w:val="left"/>
        <w:outlineLvl w:val="1"/>
        <w:rPr>
          <w:rFonts w:ascii="仿宋" w:hAnsi="仿宋" w:eastAsia="仿宋" w:cs="仿宋"/>
          <w:sz w:val="24"/>
        </w:rPr>
      </w:pPr>
      <w:r>
        <w:rPr>
          <w:rFonts w:hint="eastAsia" w:ascii="仿宋" w:hAnsi="仿宋" w:eastAsia="仿宋" w:cs="仿宋"/>
          <w:sz w:val="24"/>
        </w:rPr>
        <w:t>3、此表若空白则视为：①供应商对磋商文件第五章要求完全响应而无差异，②供应商对磋商文件表述的内容和要求完全理解而无异议。</w:t>
      </w:r>
    </w:p>
    <w:p>
      <w:pPr>
        <w:adjustRightInd w:val="0"/>
        <w:spacing w:line="360" w:lineRule="auto"/>
        <w:ind w:firstLine="480" w:firstLineChars="200"/>
        <w:jc w:val="left"/>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spacing w:before="0" w:after="0" w:line="360" w:lineRule="auto"/>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四</w:t>
      </w:r>
      <w:r>
        <w:rPr>
          <w:rStyle w:val="36"/>
          <w:rFonts w:hint="eastAsia" w:ascii="仿宋" w:hAnsi="仿宋" w:eastAsia="仿宋" w:cs="仿宋"/>
          <w:b/>
          <w:bCs/>
        </w:rPr>
        <w:t>、供应商基本情况表</w:t>
      </w:r>
      <w:bookmarkEnd w:id="151"/>
      <w:bookmarkEnd w:id="152"/>
    </w:p>
    <w:tbl>
      <w:tblPr>
        <w:tblStyle w:val="18"/>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供应商名称</w:t>
            </w:r>
          </w:p>
        </w:tc>
        <w:tc>
          <w:tcPr>
            <w:tcW w:w="7696" w:type="dxa"/>
            <w:gridSpan w:val="7"/>
            <w:vAlign w:val="center"/>
          </w:tcPr>
          <w:p>
            <w:pPr>
              <w:autoSpaceDE w:val="0"/>
              <w:autoSpaceDN w:val="0"/>
              <w:adjustRightInd w:val="0"/>
              <w:spacing w:line="360"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注册地址</w:t>
            </w:r>
          </w:p>
        </w:tc>
        <w:tc>
          <w:tcPr>
            <w:tcW w:w="3780" w:type="dxa"/>
            <w:gridSpan w:val="3"/>
            <w:vAlign w:val="center"/>
          </w:tcPr>
          <w:p>
            <w:pPr>
              <w:autoSpaceDE w:val="0"/>
              <w:autoSpaceDN w:val="0"/>
              <w:adjustRightInd w:val="0"/>
              <w:spacing w:line="360" w:lineRule="auto"/>
              <w:jc w:val="center"/>
              <w:rPr>
                <w:rFonts w:ascii="仿宋" w:hAnsi="仿宋" w:eastAsia="仿宋" w:cs="仿宋"/>
                <w:kern w:val="0"/>
                <w:szCs w:val="21"/>
              </w:rPr>
            </w:pPr>
          </w:p>
        </w:tc>
        <w:tc>
          <w:tcPr>
            <w:tcW w:w="1441"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邮政编码</w:t>
            </w:r>
          </w:p>
        </w:tc>
        <w:tc>
          <w:tcPr>
            <w:tcW w:w="2475" w:type="dxa"/>
            <w:gridSpan w:val="3"/>
            <w:vAlign w:val="center"/>
          </w:tcPr>
          <w:p>
            <w:pPr>
              <w:autoSpaceDE w:val="0"/>
              <w:autoSpaceDN w:val="0"/>
              <w:adjustRightInd w:val="0"/>
              <w:spacing w:line="360"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联系方式</w:t>
            </w:r>
          </w:p>
        </w:tc>
        <w:tc>
          <w:tcPr>
            <w:tcW w:w="1063"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联系人</w:t>
            </w:r>
          </w:p>
        </w:tc>
        <w:tc>
          <w:tcPr>
            <w:tcW w:w="2717"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441"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电话</w:t>
            </w:r>
          </w:p>
        </w:tc>
        <w:tc>
          <w:tcPr>
            <w:tcW w:w="2475" w:type="dxa"/>
            <w:gridSpan w:val="3"/>
            <w:vAlign w:val="center"/>
          </w:tcPr>
          <w:p>
            <w:pPr>
              <w:autoSpaceDE w:val="0"/>
              <w:autoSpaceDN w:val="0"/>
              <w:adjustRightInd w:val="0"/>
              <w:spacing w:line="360"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ascii="仿宋" w:hAnsi="仿宋" w:eastAsia="仿宋" w:cs="仿宋"/>
                <w:kern w:val="0"/>
                <w:szCs w:val="21"/>
              </w:rPr>
            </w:pPr>
          </w:p>
        </w:tc>
        <w:tc>
          <w:tcPr>
            <w:tcW w:w="1063"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传真</w:t>
            </w:r>
          </w:p>
        </w:tc>
        <w:tc>
          <w:tcPr>
            <w:tcW w:w="2717"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441"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网址</w:t>
            </w:r>
          </w:p>
        </w:tc>
        <w:tc>
          <w:tcPr>
            <w:tcW w:w="2475" w:type="dxa"/>
            <w:gridSpan w:val="3"/>
            <w:vAlign w:val="center"/>
          </w:tcPr>
          <w:p>
            <w:pPr>
              <w:autoSpaceDE w:val="0"/>
              <w:autoSpaceDN w:val="0"/>
              <w:adjustRightInd w:val="0"/>
              <w:spacing w:line="360"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组织结构</w:t>
            </w:r>
          </w:p>
        </w:tc>
        <w:tc>
          <w:tcPr>
            <w:tcW w:w="7696" w:type="dxa"/>
            <w:gridSpan w:val="7"/>
            <w:vAlign w:val="center"/>
          </w:tcPr>
          <w:p>
            <w:pPr>
              <w:autoSpaceDE w:val="0"/>
              <w:autoSpaceDN w:val="0"/>
              <w:adjustRightInd w:val="0"/>
              <w:spacing w:line="360" w:lineRule="auto"/>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法定代表人</w:t>
            </w:r>
          </w:p>
        </w:tc>
        <w:tc>
          <w:tcPr>
            <w:tcW w:w="1063"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姓名</w:t>
            </w:r>
          </w:p>
        </w:tc>
        <w:tc>
          <w:tcPr>
            <w:tcW w:w="1323" w:type="dxa"/>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技术职称</w:t>
            </w:r>
          </w:p>
        </w:tc>
        <w:tc>
          <w:tcPr>
            <w:tcW w:w="1441" w:type="dxa"/>
            <w:vAlign w:val="center"/>
          </w:tcPr>
          <w:p>
            <w:pPr>
              <w:autoSpaceDE w:val="0"/>
              <w:autoSpaceDN w:val="0"/>
              <w:adjustRightInd w:val="0"/>
              <w:spacing w:line="360" w:lineRule="auto"/>
              <w:jc w:val="center"/>
              <w:rPr>
                <w:rFonts w:ascii="仿宋" w:hAnsi="仿宋" w:eastAsia="仿宋" w:cs="仿宋"/>
                <w:kern w:val="0"/>
                <w:szCs w:val="21"/>
              </w:rPr>
            </w:pPr>
          </w:p>
        </w:tc>
        <w:tc>
          <w:tcPr>
            <w:tcW w:w="1290"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电话</w:t>
            </w:r>
          </w:p>
        </w:tc>
        <w:tc>
          <w:tcPr>
            <w:tcW w:w="1185" w:type="dxa"/>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技术负责人</w:t>
            </w:r>
          </w:p>
        </w:tc>
        <w:tc>
          <w:tcPr>
            <w:tcW w:w="1063"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姓名</w:t>
            </w:r>
          </w:p>
        </w:tc>
        <w:tc>
          <w:tcPr>
            <w:tcW w:w="1323" w:type="dxa"/>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技术职称</w:t>
            </w:r>
          </w:p>
        </w:tc>
        <w:tc>
          <w:tcPr>
            <w:tcW w:w="1441" w:type="dxa"/>
            <w:vAlign w:val="center"/>
          </w:tcPr>
          <w:p>
            <w:pPr>
              <w:autoSpaceDE w:val="0"/>
              <w:autoSpaceDN w:val="0"/>
              <w:adjustRightInd w:val="0"/>
              <w:spacing w:line="360" w:lineRule="auto"/>
              <w:jc w:val="center"/>
              <w:rPr>
                <w:rFonts w:ascii="仿宋" w:hAnsi="仿宋" w:eastAsia="仿宋" w:cs="仿宋"/>
                <w:kern w:val="0"/>
                <w:szCs w:val="21"/>
              </w:rPr>
            </w:pPr>
          </w:p>
        </w:tc>
        <w:tc>
          <w:tcPr>
            <w:tcW w:w="1290"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电话</w:t>
            </w:r>
          </w:p>
        </w:tc>
        <w:tc>
          <w:tcPr>
            <w:tcW w:w="1185" w:type="dxa"/>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成立时间</w:t>
            </w:r>
          </w:p>
        </w:tc>
        <w:tc>
          <w:tcPr>
            <w:tcW w:w="2386"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5310" w:type="dxa"/>
            <w:gridSpan w:val="5"/>
            <w:vAlign w:val="center"/>
          </w:tcPr>
          <w:p>
            <w:pPr>
              <w:autoSpaceDE w:val="0"/>
              <w:autoSpaceDN w:val="0"/>
              <w:adjustRightInd w:val="0"/>
              <w:spacing w:line="360" w:lineRule="auto"/>
              <w:ind w:firstLine="1470" w:firstLineChars="700"/>
              <w:rPr>
                <w:rFonts w:ascii="仿宋" w:hAnsi="仿宋" w:eastAsia="仿宋" w:cs="仿宋"/>
                <w:kern w:val="0"/>
                <w:szCs w:val="21"/>
              </w:rPr>
            </w:pPr>
            <w:r>
              <w:rPr>
                <w:rFonts w:hint="eastAsia" w:ascii="仿宋" w:hAnsi="仿宋" w:eastAsia="仿宋" w:cs="仿宋"/>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企业资质等级</w:t>
            </w:r>
          </w:p>
        </w:tc>
        <w:tc>
          <w:tcPr>
            <w:tcW w:w="2386"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Merge w:val="restart"/>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其中</w:t>
            </w:r>
          </w:p>
        </w:tc>
        <w:tc>
          <w:tcPr>
            <w:tcW w:w="1617"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项目经理</w:t>
            </w:r>
          </w:p>
        </w:tc>
        <w:tc>
          <w:tcPr>
            <w:tcW w:w="2299" w:type="dxa"/>
            <w:gridSpan w:val="2"/>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营业执照号</w:t>
            </w:r>
          </w:p>
        </w:tc>
        <w:tc>
          <w:tcPr>
            <w:tcW w:w="2386"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Merge w:val="continue"/>
            <w:vAlign w:val="center"/>
          </w:tcPr>
          <w:p>
            <w:pPr>
              <w:autoSpaceDE w:val="0"/>
              <w:autoSpaceDN w:val="0"/>
              <w:adjustRightInd w:val="0"/>
              <w:spacing w:line="360" w:lineRule="auto"/>
              <w:jc w:val="center"/>
              <w:rPr>
                <w:rFonts w:ascii="仿宋" w:hAnsi="仿宋" w:eastAsia="仿宋" w:cs="仿宋"/>
                <w:kern w:val="0"/>
                <w:szCs w:val="21"/>
              </w:rPr>
            </w:pPr>
          </w:p>
        </w:tc>
        <w:tc>
          <w:tcPr>
            <w:tcW w:w="1617"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高级职称人员</w:t>
            </w:r>
          </w:p>
        </w:tc>
        <w:tc>
          <w:tcPr>
            <w:tcW w:w="2299" w:type="dxa"/>
            <w:gridSpan w:val="2"/>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注册资金</w:t>
            </w:r>
          </w:p>
        </w:tc>
        <w:tc>
          <w:tcPr>
            <w:tcW w:w="2386"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Merge w:val="continue"/>
            <w:vAlign w:val="center"/>
          </w:tcPr>
          <w:p>
            <w:pPr>
              <w:autoSpaceDE w:val="0"/>
              <w:autoSpaceDN w:val="0"/>
              <w:adjustRightInd w:val="0"/>
              <w:spacing w:line="360" w:lineRule="auto"/>
              <w:jc w:val="center"/>
              <w:rPr>
                <w:rFonts w:ascii="仿宋" w:hAnsi="仿宋" w:eastAsia="仿宋" w:cs="仿宋"/>
                <w:kern w:val="0"/>
                <w:szCs w:val="21"/>
              </w:rPr>
            </w:pPr>
          </w:p>
        </w:tc>
        <w:tc>
          <w:tcPr>
            <w:tcW w:w="1617"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中级职称人员</w:t>
            </w:r>
          </w:p>
        </w:tc>
        <w:tc>
          <w:tcPr>
            <w:tcW w:w="2299" w:type="dxa"/>
            <w:gridSpan w:val="2"/>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开户银行</w:t>
            </w:r>
          </w:p>
        </w:tc>
        <w:tc>
          <w:tcPr>
            <w:tcW w:w="2386"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Merge w:val="continue"/>
            <w:vAlign w:val="center"/>
          </w:tcPr>
          <w:p>
            <w:pPr>
              <w:autoSpaceDE w:val="0"/>
              <w:autoSpaceDN w:val="0"/>
              <w:adjustRightInd w:val="0"/>
              <w:spacing w:line="360" w:lineRule="auto"/>
              <w:jc w:val="center"/>
              <w:rPr>
                <w:rFonts w:ascii="仿宋" w:hAnsi="仿宋" w:eastAsia="仿宋" w:cs="仿宋"/>
                <w:kern w:val="0"/>
                <w:szCs w:val="21"/>
              </w:rPr>
            </w:pPr>
          </w:p>
        </w:tc>
        <w:tc>
          <w:tcPr>
            <w:tcW w:w="1617"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初级职称人员</w:t>
            </w:r>
          </w:p>
        </w:tc>
        <w:tc>
          <w:tcPr>
            <w:tcW w:w="2299" w:type="dxa"/>
            <w:gridSpan w:val="2"/>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账号</w:t>
            </w:r>
          </w:p>
        </w:tc>
        <w:tc>
          <w:tcPr>
            <w:tcW w:w="2386" w:type="dxa"/>
            <w:gridSpan w:val="2"/>
            <w:vAlign w:val="center"/>
          </w:tcPr>
          <w:p>
            <w:pPr>
              <w:autoSpaceDE w:val="0"/>
              <w:autoSpaceDN w:val="0"/>
              <w:adjustRightInd w:val="0"/>
              <w:spacing w:line="360" w:lineRule="auto"/>
              <w:jc w:val="center"/>
              <w:rPr>
                <w:rFonts w:ascii="仿宋" w:hAnsi="仿宋" w:eastAsia="仿宋" w:cs="仿宋"/>
                <w:kern w:val="0"/>
                <w:szCs w:val="21"/>
              </w:rPr>
            </w:pPr>
          </w:p>
        </w:tc>
        <w:tc>
          <w:tcPr>
            <w:tcW w:w="1394" w:type="dxa"/>
            <w:vMerge w:val="continue"/>
            <w:vAlign w:val="center"/>
          </w:tcPr>
          <w:p>
            <w:pPr>
              <w:autoSpaceDE w:val="0"/>
              <w:autoSpaceDN w:val="0"/>
              <w:adjustRightInd w:val="0"/>
              <w:spacing w:line="360" w:lineRule="auto"/>
              <w:jc w:val="center"/>
              <w:rPr>
                <w:rFonts w:ascii="仿宋" w:hAnsi="仿宋" w:eastAsia="仿宋" w:cs="仿宋"/>
                <w:kern w:val="0"/>
                <w:szCs w:val="21"/>
              </w:rPr>
            </w:pPr>
          </w:p>
        </w:tc>
        <w:tc>
          <w:tcPr>
            <w:tcW w:w="1617" w:type="dxa"/>
            <w:gridSpan w:val="2"/>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技工</w:t>
            </w:r>
          </w:p>
        </w:tc>
        <w:tc>
          <w:tcPr>
            <w:tcW w:w="2299" w:type="dxa"/>
            <w:gridSpan w:val="2"/>
            <w:vAlign w:val="center"/>
          </w:tcPr>
          <w:p>
            <w:pPr>
              <w:autoSpaceDE w:val="0"/>
              <w:autoSpaceDN w:val="0"/>
              <w:adjustRightInd w:val="0"/>
              <w:spacing w:line="360" w:lineRule="auto"/>
              <w:jc w:val="center"/>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经营范围</w:t>
            </w:r>
          </w:p>
        </w:tc>
        <w:tc>
          <w:tcPr>
            <w:tcW w:w="7696" w:type="dxa"/>
            <w:gridSpan w:val="7"/>
            <w:vAlign w:val="center"/>
          </w:tcPr>
          <w:p>
            <w:pPr>
              <w:autoSpaceDE w:val="0"/>
              <w:autoSpaceDN w:val="0"/>
              <w:adjustRightInd w:val="0"/>
              <w:spacing w:line="360" w:lineRule="auto"/>
              <w:rPr>
                <w:rFonts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ascii="仿宋" w:hAnsi="仿宋" w:eastAsia="仿宋" w:cs="仿宋"/>
                <w:kern w:val="0"/>
                <w:szCs w:val="21"/>
              </w:rPr>
            </w:pPr>
            <w:r>
              <w:rPr>
                <w:rFonts w:hint="eastAsia" w:ascii="仿宋" w:hAnsi="仿宋" w:eastAsia="仿宋" w:cs="仿宋"/>
                <w:kern w:val="0"/>
                <w:szCs w:val="21"/>
              </w:rPr>
              <w:t>备注</w:t>
            </w:r>
          </w:p>
        </w:tc>
        <w:tc>
          <w:tcPr>
            <w:tcW w:w="7696" w:type="dxa"/>
            <w:gridSpan w:val="7"/>
          </w:tcPr>
          <w:p>
            <w:pPr>
              <w:autoSpaceDE w:val="0"/>
              <w:autoSpaceDN w:val="0"/>
              <w:adjustRightInd w:val="0"/>
              <w:spacing w:line="360" w:lineRule="auto"/>
              <w:jc w:val="left"/>
              <w:rPr>
                <w:rFonts w:ascii="仿宋" w:hAnsi="仿宋" w:eastAsia="仿宋" w:cs="仿宋"/>
                <w:kern w:val="0"/>
                <w:szCs w:val="21"/>
              </w:rPr>
            </w:pPr>
          </w:p>
        </w:tc>
      </w:tr>
    </w:tbl>
    <w:p>
      <w:pPr>
        <w:adjustRightInd w:val="0"/>
        <w:spacing w:line="360" w:lineRule="auto"/>
        <w:ind w:firstLine="480" w:firstLineChars="200"/>
        <w:jc w:val="left"/>
        <w:rPr>
          <w:rFonts w:ascii="仿宋" w:hAnsi="仿宋" w:eastAsia="仿宋" w:cs="仿宋"/>
          <w:sz w:val="24"/>
        </w:rPr>
      </w:pPr>
      <w:bookmarkStart w:id="153" w:name="_Toc217446089"/>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420" w:firstLineChars="200"/>
        <w:rPr>
          <w:rFonts w:ascii="仿宋" w:hAnsi="仿宋" w:eastAsia="仿宋" w:cs="仿宋"/>
        </w:rPr>
      </w:pPr>
      <w:r>
        <w:rPr>
          <w:rFonts w:hint="eastAsia" w:ascii="仿宋" w:hAnsi="仿宋" w:eastAsia="仿宋" w:cs="仿宋"/>
        </w:rPr>
        <w:br w:type="page"/>
      </w:r>
      <w:bookmarkStart w:id="154" w:name="_Toc1968_WPSOffice_Level2"/>
      <w:bookmarkStart w:id="155" w:name="_Toc562_WPSOffice_Level2"/>
    </w:p>
    <w:p>
      <w:pPr>
        <w:pStyle w:val="5"/>
        <w:spacing w:before="0" w:after="0" w:line="360" w:lineRule="auto"/>
        <w:jc w:val="center"/>
        <w:rPr>
          <w:rFonts w:ascii="仿宋" w:hAnsi="仿宋" w:eastAsia="仿宋" w:cs="仿宋"/>
        </w:rPr>
      </w:pPr>
      <w:r>
        <w:rPr>
          <w:rFonts w:hint="eastAsia" w:ascii="仿宋" w:hAnsi="仿宋" w:eastAsia="仿宋" w:cs="仿宋"/>
        </w:rPr>
        <w:t>五、供应商类似项目业绩一览表</w:t>
      </w:r>
      <w:bookmarkEnd w:id="153"/>
      <w:bookmarkEnd w:id="154"/>
      <w:bookmarkEnd w:id="155"/>
    </w:p>
    <w:tbl>
      <w:tblPr>
        <w:tblStyle w:val="18"/>
        <w:tblW w:w="7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14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ascii="仿宋" w:hAnsi="仿宋" w:eastAsia="仿宋" w:cs="仿宋"/>
                <w:b/>
                <w:szCs w:val="21"/>
              </w:rPr>
            </w:pPr>
            <w:r>
              <w:rPr>
                <w:rFonts w:hint="eastAsia" w:ascii="仿宋" w:hAnsi="仿宋" w:eastAsia="仿宋" w:cs="仿宋"/>
                <w:b/>
                <w:szCs w:val="21"/>
              </w:rPr>
              <w:t>年份</w:t>
            </w:r>
          </w:p>
        </w:tc>
        <w:tc>
          <w:tcPr>
            <w:tcW w:w="1544"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用户名称</w:t>
            </w:r>
          </w:p>
        </w:tc>
        <w:tc>
          <w:tcPr>
            <w:tcW w:w="1415"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项目名称</w:t>
            </w:r>
          </w:p>
        </w:tc>
        <w:tc>
          <w:tcPr>
            <w:tcW w:w="1243"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完成时间</w:t>
            </w:r>
          </w:p>
        </w:tc>
        <w:tc>
          <w:tcPr>
            <w:tcW w:w="1350" w:type="dxa"/>
            <w:vAlign w:val="center"/>
          </w:tcPr>
          <w:p>
            <w:pPr>
              <w:spacing w:line="360" w:lineRule="auto"/>
              <w:ind w:firstLine="105" w:firstLineChars="50"/>
              <w:jc w:val="center"/>
              <w:rPr>
                <w:rFonts w:ascii="仿宋" w:hAnsi="仿宋" w:eastAsia="仿宋" w:cs="仿宋"/>
                <w:b/>
                <w:szCs w:val="21"/>
              </w:rPr>
            </w:pPr>
            <w:r>
              <w:rPr>
                <w:rFonts w:hint="eastAsia" w:ascii="仿宋" w:hAnsi="仿宋" w:eastAsia="仿宋" w:cs="仿宋"/>
                <w:b/>
                <w:szCs w:val="21"/>
              </w:rPr>
              <w:t>合同金额</w:t>
            </w:r>
          </w:p>
        </w:tc>
        <w:tc>
          <w:tcPr>
            <w:tcW w:w="1437" w:type="dxa"/>
            <w:tcBorders>
              <w:right w:val="single" w:color="auto" w:sz="4" w:space="0"/>
            </w:tcBorders>
            <w:vAlign w:val="center"/>
          </w:tcPr>
          <w:p>
            <w:pPr>
              <w:spacing w:line="360" w:lineRule="auto"/>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仿宋" w:hAnsi="仿宋" w:eastAsia="仿宋" w:cs="仿宋"/>
                <w:szCs w:val="21"/>
              </w:rPr>
            </w:pPr>
          </w:p>
        </w:tc>
        <w:tc>
          <w:tcPr>
            <w:tcW w:w="1544" w:type="dxa"/>
            <w:vAlign w:val="center"/>
          </w:tcPr>
          <w:p>
            <w:pPr>
              <w:spacing w:line="360" w:lineRule="auto"/>
              <w:jc w:val="center"/>
              <w:rPr>
                <w:rFonts w:ascii="仿宋" w:hAnsi="仿宋" w:eastAsia="仿宋" w:cs="仿宋"/>
                <w:szCs w:val="21"/>
              </w:rPr>
            </w:pPr>
          </w:p>
        </w:tc>
        <w:tc>
          <w:tcPr>
            <w:tcW w:w="1415" w:type="dxa"/>
            <w:vAlign w:val="center"/>
          </w:tcPr>
          <w:p>
            <w:pPr>
              <w:spacing w:line="360" w:lineRule="auto"/>
              <w:jc w:val="center"/>
              <w:rPr>
                <w:rFonts w:ascii="仿宋" w:hAnsi="仿宋" w:eastAsia="仿宋" w:cs="仿宋"/>
                <w:szCs w:val="21"/>
              </w:rPr>
            </w:pPr>
          </w:p>
        </w:tc>
        <w:tc>
          <w:tcPr>
            <w:tcW w:w="1243" w:type="dxa"/>
            <w:vAlign w:val="center"/>
          </w:tcPr>
          <w:p>
            <w:pPr>
              <w:spacing w:line="360" w:lineRule="auto"/>
              <w:jc w:val="center"/>
              <w:rPr>
                <w:rFonts w:ascii="仿宋" w:hAnsi="仿宋" w:eastAsia="仿宋" w:cs="仿宋"/>
                <w:szCs w:val="21"/>
              </w:rPr>
            </w:pPr>
          </w:p>
        </w:tc>
        <w:tc>
          <w:tcPr>
            <w:tcW w:w="1350" w:type="dxa"/>
            <w:vAlign w:val="center"/>
          </w:tcPr>
          <w:p>
            <w:pPr>
              <w:spacing w:line="360" w:lineRule="auto"/>
              <w:jc w:val="center"/>
              <w:rPr>
                <w:rFonts w:ascii="仿宋" w:hAnsi="仿宋" w:eastAsia="仿宋" w:cs="仿宋"/>
                <w:szCs w:val="21"/>
              </w:rPr>
            </w:pPr>
          </w:p>
        </w:tc>
        <w:tc>
          <w:tcPr>
            <w:tcW w:w="1437" w:type="dxa"/>
            <w:tcBorders>
              <w:right w:val="single" w:color="auto" w:sz="4" w:space="0"/>
            </w:tcBorders>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仿宋" w:hAnsi="仿宋" w:eastAsia="仿宋" w:cs="仿宋"/>
                <w:szCs w:val="21"/>
              </w:rPr>
            </w:pPr>
          </w:p>
        </w:tc>
        <w:tc>
          <w:tcPr>
            <w:tcW w:w="1544" w:type="dxa"/>
            <w:vAlign w:val="center"/>
          </w:tcPr>
          <w:p>
            <w:pPr>
              <w:spacing w:line="360" w:lineRule="auto"/>
              <w:jc w:val="center"/>
              <w:rPr>
                <w:rFonts w:ascii="仿宋" w:hAnsi="仿宋" w:eastAsia="仿宋" w:cs="仿宋"/>
                <w:szCs w:val="21"/>
              </w:rPr>
            </w:pPr>
          </w:p>
        </w:tc>
        <w:tc>
          <w:tcPr>
            <w:tcW w:w="1415" w:type="dxa"/>
            <w:vAlign w:val="center"/>
          </w:tcPr>
          <w:p>
            <w:pPr>
              <w:spacing w:line="360" w:lineRule="auto"/>
              <w:jc w:val="center"/>
              <w:rPr>
                <w:rFonts w:ascii="仿宋" w:hAnsi="仿宋" w:eastAsia="仿宋" w:cs="仿宋"/>
                <w:szCs w:val="21"/>
              </w:rPr>
            </w:pPr>
          </w:p>
        </w:tc>
        <w:tc>
          <w:tcPr>
            <w:tcW w:w="1243" w:type="dxa"/>
            <w:vAlign w:val="center"/>
          </w:tcPr>
          <w:p>
            <w:pPr>
              <w:spacing w:line="360" w:lineRule="auto"/>
              <w:jc w:val="center"/>
              <w:rPr>
                <w:rFonts w:ascii="仿宋" w:hAnsi="仿宋" w:eastAsia="仿宋" w:cs="仿宋"/>
                <w:szCs w:val="21"/>
              </w:rPr>
            </w:pPr>
          </w:p>
        </w:tc>
        <w:tc>
          <w:tcPr>
            <w:tcW w:w="1350" w:type="dxa"/>
            <w:vAlign w:val="center"/>
          </w:tcPr>
          <w:p>
            <w:pPr>
              <w:spacing w:line="360" w:lineRule="auto"/>
              <w:jc w:val="center"/>
              <w:rPr>
                <w:rFonts w:ascii="仿宋" w:hAnsi="仿宋" w:eastAsia="仿宋" w:cs="仿宋"/>
                <w:szCs w:val="21"/>
              </w:rPr>
            </w:pPr>
          </w:p>
        </w:tc>
        <w:tc>
          <w:tcPr>
            <w:tcW w:w="1437" w:type="dxa"/>
            <w:tcBorders>
              <w:right w:val="single" w:color="auto" w:sz="4" w:space="0"/>
            </w:tcBorders>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仿宋" w:hAnsi="仿宋" w:eastAsia="仿宋" w:cs="仿宋"/>
                <w:szCs w:val="21"/>
              </w:rPr>
            </w:pPr>
          </w:p>
        </w:tc>
        <w:tc>
          <w:tcPr>
            <w:tcW w:w="1544" w:type="dxa"/>
            <w:vAlign w:val="center"/>
          </w:tcPr>
          <w:p>
            <w:pPr>
              <w:spacing w:line="360" w:lineRule="auto"/>
              <w:jc w:val="center"/>
              <w:rPr>
                <w:rFonts w:ascii="仿宋" w:hAnsi="仿宋" w:eastAsia="仿宋" w:cs="仿宋"/>
                <w:szCs w:val="21"/>
              </w:rPr>
            </w:pPr>
          </w:p>
        </w:tc>
        <w:tc>
          <w:tcPr>
            <w:tcW w:w="1415" w:type="dxa"/>
            <w:vAlign w:val="center"/>
          </w:tcPr>
          <w:p>
            <w:pPr>
              <w:spacing w:line="360" w:lineRule="auto"/>
              <w:jc w:val="center"/>
              <w:rPr>
                <w:rFonts w:ascii="仿宋" w:hAnsi="仿宋" w:eastAsia="仿宋" w:cs="仿宋"/>
                <w:szCs w:val="21"/>
              </w:rPr>
            </w:pPr>
          </w:p>
        </w:tc>
        <w:tc>
          <w:tcPr>
            <w:tcW w:w="1243" w:type="dxa"/>
            <w:vAlign w:val="center"/>
          </w:tcPr>
          <w:p>
            <w:pPr>
              <w:spacing w:line="360" w:lineRule="auto"/>
              <w:jc w:val="center"/>
              <w:rPr>
                <w:rFonts w:ascii="仿宋" w:hAnsi="仿宋" w:eastAsia="仿宋" w:cs="仿宋"/>
                <w:szCs w:val="21"/>
              </w:rPr>
            </w:pPr>
          </w:p>
        </w:tc>
        <w:tc>
          <w:tcPr>
            <w:tcW w:w="1350" w:type="dxa"/>
            <w:vAlign w:val="center"/>
          </w:tcPr>
          <w:p>
            <w:pPr>
              <w:spacing w:line="360" w:lineRule="auto"/>
              <w:jc w:val="center"/>
              <w:rPr>
                <w:rFonts w:ascii="仿宋" w:hAnsi="仿宋" w:eastAsia="仿宋" w:cs="仿宋"/>
                <w:szCs w:val="21"/>
              </w:rPr>
            </w:pPr>
          </w:p>
        </w:tc>
        <w:tc>
          <w:tcPr>
            <w:tcW w:w="1437" w:type="dxa"/>
            <w:tcBorders>
              <w:right w:val="single" w:color="auto" w:sz="4" w:space="0"/>
            </w:tcBorders>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仿宋" w:hAnsi="仿宋" w:eastAsia="仿宋" w:cs="仿宋"/>
                <w:szCs w:val="21"/>
              </w:rPr>
            </w:pPr>
          </w:p>
        </w:tc>
        <w:tc>
          <w:tcPr>
            <w:tcW w:w="1544" w:type="dxa"/>
            <w:tcBorders>
              <w:right w:val="single" w:color="auto" w:sz="4" w:space="0"/>
            </w:tcBorders>
            <w:vAlign w:val="center"/>
          </w:tcPr>
          <w:p>
            <w:pPr>
              <w:spacing w:line="360" w:lineRule="auto"/>
              <w:jc w:val="center"/>
              <w:rPr>
                <w:rFonts w:ascii="仿宋" w:hAnsi="仿宋" w:eastAsia="仿宋" w:cs="仿宋"/>
                <w:szCs w:val="21"/>
              </w:rPr>
            </w:pPr>
          </w:p>
        </w:tc>
        <w:tc>
          <w:tcPr>
            <w:tcW w:w="1415" w:type="dxa"/>
            <w:tcBorders>
              <w:left w:val="single" w:color="auto" w:sz="4" w:space="0"/>
            </w:tcBorders>
            <w:vAlign w:val="center"/>
          </w:tcPr>
          <w:p>
            <w:pPr>
              <w:spacing w:line="360" w:lineRule="auto"/>
              <w:jc w:val="center"/>
              <w:rPr>
                <w:rFonts w:ascii="仿宋" w:hAnsi="仿宋" w:eastAsia="仿宋" w:cs="仿宋"/>
                <w:szCs w:val="21"/>
              </w:rPr>
            </w:pPr>
          </w:p>
        </w:tc>
        <w:tc>
          <w:tcPr>
            <w:tcW w:w="1243" w:type="dxa"/>
            <w:vAlign w:val="center"/>
          </w:tcPr>
          <w:p>
            <w:pPr>
              <w:spacing w:line="360" w:lineRule="auto"/>
              <w:jc w:val="center"/>
              <w:rPr>
                <w:rFonts w:ascii="仿宋" w:hAnsi="仿宋" w:eastAsia="仿宋" w:cs="仿宋"/>
                <w:szCs w:val="21"/>
              </w:rPr>
            </w:pPr>
          </w:p>
        </w:tc>
        <w:tc>
          <w:tcPr>
            <w:tcW w:w="1350" w:type="dxa"/>
            <w:vAlign w:val="center"/>
          </w:tcPr>
          <w:p>
            <w:pPr>
              <w:spacing w:line="360" w:lineRule="auto"/>
              <w:jc w:val="center"/>
              <w:rPr>
                <w:rFonts w:ascii="仿宋" w:hAnsi="仿宋" w:eastAsia="仿宋" w:cs="仿宋"/>
                <w:szCs w:val="21"/>
              </w:rPr>
            </w:pPr>
          </w:p>
        </w:tc>
        <w:tc>
          <w:tcPr>
            <w:tcW w:w="1437" w:type="dxa"/>
            <w:tcBorders>
              <w:right w:val="single" w:color="auto" w:sz="4" w:space="0"/>
            </w:tcBorders>
            <w:vAlign w:val="center"/>
          </w:tcPr>
          <w:p>
            <w:pPr>
              <w:spacing w:line="360" w:lineRule="auto"/>
              <w:jc w:val="center"/>
              <w:rPr>
                <w:rFonts w:ascii="仿宋" w:hAnsi="仿宋" w:eastAsia="仿宋" w:cs="仿宋"/>
                <w:szCs w:val="21"/>
              </w:rPr>
            </w:pPr>
          </w:p>
        </w:tc>
      </w:tr>
    </w:tbl>
    <w:p>
      <w:pPr>
        <w:adjustRightInd w:val="0"/>
        <w:spacing w:line="360" w:lineRule="auto"/>
        <w:ind w:firstLine="480" w:firstLineChars="200"/>
        <w:jc w:val="left"/>
        <w:rPr>
          <w:rFonts w:ascii="仿宋" w:hAnsi="仿宋" w:eastAsia="仿宋" w:cs="仿宋"/>
          <w:sz w:val="24"/>
        </w:rPr>
      </w:pPr>
      <w:bookmarkStart w:id="156" w:name="_Toc217446091"/>
    </w:p>
    <w:p>
      <w:pPr>
        <w:adjustRightInd w:val="0"/>
        <w:spacing w:line="360" w:lineRule="auto"/>
        <w:ind w:firstLine="480" w:firstLineChars="200"/>
        <w:jc w:val="left"/>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rPr>
      </w:pPr>
    </w:p>
    <w:p>
      <w:pPr>
        <w:pStyle w:val="5"/>
        <w:spacing w:before="0" w:after="0" w:line="360" w:lineRule="auto"/>
        <w:jc w:val="center"/>
        <w:rPr>
          <w:rFonts w:ascii="仿宋" w:hAnsi="仿宋" w:eastAsia="仿宋" w:cs="仿宋"/>
        </w:rPr>
      </w:pPr>
      <w:r>
        <w:rPr>
          <w:rFonts w:hint="eastAsia" w:ascii="仿宋" w:hAnsi="仿宋" w:eastAsia="仿宋" w:cs="仿宋"/>
          <w:kern w:val="0"/>
        </w:rPr>
        <w:br w:type="page"/>
      </w:r>
      <w:bookmarkStart w:id="157" w:name="_Toc19674_WPSOffice_Level2"/>
      <w:bookmarkStart w:id="158" w:name="_Toc13243_WPSOffice_Level2"/>
      <w:r>
        <w:rPr>
          <w:rFonts w:hint="eastAsia" w:ascii="仿宋" w:hAnsi="仿宋" w:eastAsia="仿宋" w:cs="仿宋"/>
          <w:kern w:val="0"/>
        </w:rPr>
        <w:t>六</w:t>
      </w:r>
      <w:r>
        <w:rPr>
          <w:rFonts w:hint="eastAsia" w:ascii="仿宋" w:hAnsi="仿宋" w:eastAsia="仿宋" w:cs="仿宋"/>
        </w:rPr>
        <w:t>、供应商本项目管理、技术、服务人员情况表</w:t>
      </w:r>
      <w:bookmarkEnd w:id="156"/>
      <w:bookmarkEnd w:id="157"/>
      <w:bookmarkEnd w:id="158"/>
    </w:p>
    <w:p>
      <w:pPr>
        <w:snapToGrid w:val="0"/>
        <w:spacing w:line="360" w:lineRule="auto"/>
        <w:rPr>
          <w:rFonts w:ascii="仿宋" w:hAnsi="仿宋" w:eastAsia="仿宋" w:cs="仿宋"/>
          <w:bCs/>
          <w:szCs w:val="21"/>
          <w:u w:val="single"/>
        </w:rPr>
      </w:pPr>
      <w:r>
        <w:rPr>
          <w:rFonts w:hint="eastAsia" w:ascii="仿宋" w:hAnsi="仿宋" w:eastAsia="仿宋" w:cs="仿宋"/>
          <w:bCs/>
          <w:szCs w:val="21"/>
        </w:rPr>
        <w:t>项目名称：</w:t>
      </w:r>
      <w:r>
        <w:rPr>
          <w:rFonts w:hint="eastAsia" w:ascii="仿宋" w:hAnsi="仿宋" w:eastAsia="仿宋" w:cs="仿宋"/>
          <w:bCs/>
          <w:sz w:val="24"/>
          <w:u w:val="single"/>
        </w:rPr>
        <w:t xml:space="preserve">            </w:t>
      </w:r>
    </w:p>
    <w:p>
      <w:pPr>
        <w:snapToGrid w:val="0"/>
        <w:spacing w:line="360" w:lineRule="auto"/>
        <w:rPr>
          <w:rFonts w:ascii="仿宋" w:hAnsi="仿宋" w:eastAsia="仿宋" w:cs="仿宋"/>
          <w:bCs/>
          <w:sz w:val="24"/>
          <w:u w:val="single"/>
        </w:rPr>
      </w:pPr>
      <w:r>
        <w:rPr>
          <w:rFonts w:hint="eastAsia" w:ascii="仿宋" w:hAnsi="仿宋" w:eastAsia="仿宋" w:cs="仿宋"/>
          <w:bCs/>
          <w:szCs w:val="21"/>
        </w:rPr>
        <w:t>项目编号：</w:t>
      </w:r>
      <w:r>
        <w:rPr>
          <w:rFonts w:hint="eastAsia" w:ascii="仿宋" w:hAnsi="仿宋" w:eastAsia="仿宋" w:cs="仿宋"/>
          <w:bCs/>
          <w:sz w:val="24"/>
          <w:u w:val="single"/>
        </w:rPr>
        <w:t xml:space="preserve">            </w:t>
      </w:r>
    </w:p>
    <w:tbl>
      <w:tblPr>
        <w:tblStyle w:val="18"/>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类别</w:t>
            </w:r>
          </w:p>
        </w:tc>
        <w:tc>
          <w:tcPr>
            <w:tcW w:w="975"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职务</w:t>
            </w:r>
          </w:p>
        </w:tc>
        <w:tc>
          <w:tcPr>
            <w:tcW w:w="976"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姓名</w:t>
            </w:r>
          </w:p>
        </w:tc>
        <w:tc>
          <w:tcPr>
            <w:tcW w:w="976"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职称</w:t>
            </w:r>
          </w:p>
        </w:tc>
        <w:tc>
          <w:tcPr>
            <w:tcW w:w="976"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常住地</w:t>
            </w:r>
          </w:p>
        </w:tc>
        <w:tc>
          <w:tcPr>
            <w:tcW w:w="4112" w:type="dxa"/>
            <w:gridSpan w:val="4"/>
            <w:vAlign w:val="center"/>
          </w:tcPr>
          <w:p>
            <w:pPr>
              <w:widowControl/>
              <w:spacing w:line="360" w:lineRule="atLeast"/>
              <w:ind w:firstLine="411" w:firstLineChars="196"/>
              <w:jc w:val="center"/>
              <w:rPr>
                <w:rFonts w:ascii="仿宋" w:hAnsi="仿宋" w:eastAsia="仿宋" w:cs="仿宋"/>
                <w:szCs w:val="21"/>
              </w:rPr>
            </w:pPr>
            <w:r>
              <w:rPr>
                <w:rFonts w:hint="eastAsia" w:ascii="仿宋" w:hAnsi="仿宋" w:eastAsia="仿宋" w:cs="仿宋"/>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仿宋" w:hAnsi="仿宋" w:eastAsia="仿宋" w:cs="仿宋"/>
                <w:szCs w:val="21"/>
              </w:rPr>
            </w:pPr>
          </w:p>
        </w:tc>
        <w:tc>
          <w:tcPr>
            <w:tcW w:w="975" w:type="dxa"/>
            <w:vMerge w:val="continue"/>
            <w:vAlign w:val="center"/>
          </w:tcPr>
          <w:p>
            <w:pPr>
              <w:jc w:val="center"/>
              <w:rPr>
                <w:rFonts w:ascii="仿宋" w:hAnsi="仿宋" w:eastAsia="仿宋" w:cs="仿宋"/>
                <w:szCs w:val="21"/>
              </w:rPr>
            </w:pPr>
          </w:p>
        </w:tc>
        <w:tc>
          <w:tcPr>
            <w:tcW w:w="976" w:type="dxa"/>
            <w:vMerge w:val="continue"/>
            <w:vAlign w:val="center"/>
          </w:tcPr>
          <w:p>
            <w:pPr>
              <w:jc w:val="center"/>
              <w:rPr>
                <w:rFonts w:ascii="仿宋" w:hAnsi="仿宋" w:eastAsia="仿宋" w:cs="仿宋"/>
                <w:szCs w:val="21"/>
              </w:rPr>
            </w:pPr>
          </w:p>
        </w:tc>
        <w:tc>
          <w:tcPr>
            <w:tcW w:w="976" w:type="dxa"/>
            <w:vMerge w:val="continue"/>
            <w:vAlign w:val="center"/>
          </w:tcPr>
          <w:p>
            <w:pPr>
              <w:jc w:val="center"/>
              <w:rPr>
                <w:rFonts w:ascii="仿宋" w:hAnsi="仿宋" w:eastAsia="仿宋" w:cs="仿宋"/>
                <w:szCs w:val="21"/>
              </w:rPr>
            </w:pPr>
          </w:p>
        </w:tc>
        <w:tc>
          <w:tcPr>
            <w:tcW w:w="976" w:type="dxa"/>
            <w:vMerge w:val="continue"/>
            <w:vAlign w:val="center"/>
          </w:tcPr>
          <w:p>
            <w:pPr>
              <w:jc w:val="center"/>
              <w:rPr>
                <w:rFonts w:ascii="仿宋" w:hAnsi="仿宋" w:eastAsia="仿宋" w:cs="仿宋"/>
                <w:szCs w:val="21"/>
              </w:rPr>
            </w:pPr>
          </w:p>
        </w:tc>
        <w:tc>
          <w:tcPr>
            <w:tcW w:w="1341" w:type="dxa"/>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证书名称</w:t>
            </w:r>
          </w:p>
        </w:tc>
        <w:tc>
          <w:tcPr>
            <w:tcW w:w="851" w:type="dxa"/>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级别</w:t>
            </w:r>
          </w:p>
        </w:tc>
        <w:tc>
          <w:tcPr>
            <w:tcW w:w="1025" w:type="dxa"/>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证号</w:t>
            </w:r>
          </w:p>
        </w:tc>
        <w:tc>
          <w:tcPr>
            <w:tcW w:w="895" w:type="dxa"/>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管理</w:t>
            </w:r>
          </w:p>
          <w:p>
            <w:pPr>
              <w:widowControl/>
              <w:spacing w:line="360" w:lineRule="atLeast"/>
              <w:jc w:val="center"/>
              <w:rPr>
                <w:rFonts w:ascii="仿宋" w:hAnsi="仿宋" w:eastAsia="仿宋" w:cs="仿宋"/>
                <w:szCs w:val="21"/>
              </w:rPr>
            </w:pPr>
            <w:r>
              <w:rPr>
                <w:rFonts w:hint="eastAsia" w:ascii="仿宋" w:hAnsi="仿宋" w:eastAsia="仿宋" w:cs="仿宋"/>
                <w:szCs w:val="21"/>
              </w:rPr>
              <w:t>人员</w:t>
            </w: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仿宋" w:hAnsi="仿宋" w:eastAsia="仿宋" w:cs="仿宋"/>
                <w:szCs w:val="21"/>
              </w:rPr>
            </w:pP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ascii="仿宋" w:hAnsi="仿宋" w:eastAsia="仿宋" w:cs="仿宋"/>
                <w:szCs w:val="21"/>
              </w:rPr>
            </w:pP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技术</w:t>
            </w:r>
          </w:p>
          <w:p>
            <w:pPr>
              <w:widowControl/>
              <w:spacing w:line="360" w:lineRule="atLeast"/>
              <w:jc w:val="center"/>
              <w:rPr>
                <w:rFonts w:ascii="仿宋" w:hAnsi="仿宋" w:eastAsia="仿宋" w:cs="仿宋"/>
                <w:szCs w:val="21"/>
              </w:rPr>
            </w:pPr>
            <w:r>
              <w:rPr>
                <w:rFonts w:hint="eastAsia" w:ascii="仿宋" w:hAnsi="仿宋" w:eastAsia="仿宋" w:cs="仿宋"/>
                <w:szCs w:val="21"/>
              </w:rPr>
              <w:t>人员</w:t>
            </w: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ascii="仿宋" w:hAnsi="仿宋" w:eastAsia="仿宋" w:cs="仿宋"/>
                <w:szCs w:val="21"/>
              </w:rPr>
            </w:pP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仿宋" w:hAnsi="仿宋" w:eastAsia="仿宋" w:cs="仿宋"/>
                <w:szCs w:val="21"/>
              </w:rPr>
            </w:pP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ascii="仿宋" w:hAnsi="仿宋" w:eastAsia="仿宋" w:cs="仿宋"/>
                <w:szCs w:val="21"/>
              </w:rPr>
            </w:pPr>
            <w:r>
              <w:rPr>
                <w:rFonts w:hint="eastAsia" w:ascii="仿宋" w:hAnsi="仿宋" w:eastAsia="仿宋" w:cs="仿宋"/>
                <w:szCs w:val="21"/>
              </w:rPr>
              <w:t>服务</w:t>
            </w:r>
          </w:p>
          <w:p>
            <w:pPr>
              <w:widowControl/>
              <w:spacing w:line="360" w:lineRule="atLeast"/>
              <w:jc w:val="center"/>
              <w:rPr>
                <w:rFonts w:ascii="仿宋" w:hAnsi="仿宋" w:eastAsia="仿宋" w:cs="仿宋"/>
                <w:szCs w:val="21"/>
              </w:rPr>
            </w:pPr>
            <w:r>
              <w:rPr>
                <w:rFonts w:hint="eastAsia" w:ascii="仿宋" w:hAnsi="仿宋" w:eastAsia="仿宋" w:cs="仿宋"/>
                <w:szCs w:val="21"/>
              </w:rPr>
              <w:t>人员</w:t>
            </w: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widowControl/>
              <w:spacing w:line="360" w:lineRule="atLeast"/>
              <w:jc w:val="center"/>
              <w:rPr>
                <w:rFonts w:ascii="仿宋" w:hAnsi="仿宋" w:eastAsia="仿宋" w:cs="仿宋"/>
                <w:szCs w:val="21"/>
              </w:rPr>
            </w:pPr>
          </w:p>
        </w:tc>
        <w:tc>
          <w:tcPr>
            <w:tcW w:w="975"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vAlign w:val="center"/>
          </w:tcPr>
          <w:p>
            <w:pPr>
              <w:jc w:val="center"/>
              <w:rPr>
                <w:rFonts w:ascii="仿宋" w:hAnsi="仿宋" w:eastAsia="仿宋" w:cs="仿宋"/>
                <w:szCs w:val="21"/>
              </w:rPr>
            </w:pPr>
          </w:p>
        </w:tc>
        <w:tc>
          <w:tcPr>
            <w:tcW w:w="975" w:type="dxa"/>
            <w:tcBorders>
              <w:bottom w:val="single" w:color="auto" w:sz="4" w:space="0"/>
            </w:tcBorders>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976" w:type="dxa"/>
            <w:vAlign w:val="center"/>
          </w:tcPr>
          <w:p>
            <w:pPr>
              <w:widowControl/>
              <w:spacing w:line="360" w:lineRule="atLeast"/>
              <w:ind w:firstLine="411" w:firstLineChars="196"/>
              <w:jc w:val="center"/>
              <w:rPr>
                <w:rFonts w:ascii="仿宋" w:hAnsi="仿宋" w:eastAsia="仿宋" w:cs="仿宋"/>
                <w:szCs w:val="21"/>
              </w:rPr>
            </w:pPr>
          </w:p>
        </w:tc>
        <w:tc>
          <w:tcPr>
            <w:tcW w:w="1341" w:type="dxa"/>
            <w:vAlign w:val="center"/>
          </w:tcPr>
          <w:p>
            <w:pPr>
              <w:widowControl/>
              <w:spacing w:line="360" w:lineRule="atLeast"/>
              <w:ind w:firstLine="411" w:firstLineChars="196"/>
              <w:jc w:val="center"/>
              <w:rPr>
                <w:rFonts w:ascii="仿宋" w:hAnsi="仿宋" w:eastAsia="仿宋" w:cs="仿宋"/>
                <w:szCs w:val="21"/>
              </w:rPr>
            </w:pPr>
          </w:p>
        </w:tc>
        <w:tc>
          <w:tcPr>
            <w:tcW w:w="851" w:type="dxa"/>
            <w:vAlign w:val="center"/>
          </w:tcPr>
          <w:p>
            <w:pPr>
              <w:widowControl/>
              <w:spacing w:line="360" w:lineRule="atLeast"/>
              <w:ind w:firstLine="411" w:firstLineChars="196"/>
              <w:jc w:val="center"/>
              <w:rPr>
                <w:rFonts w:ascii="仿宋" w:hAnsi="仿宋" w:eastAsia="仿宋" w:cs="仿宋"/>
                <w:szCs w:val="21"/>
              </w:rPr>
            </w:pPr>
          </w:p>
        </w:tc>
        <w:tc>
          <w:tcPr>
            <w:tcW w:w="1025" w:type="dxa"/>
            <w:vAlign w:val="center"/>
          </w:tcPr>
          <w:p>
            <w:pPr>
              <w:widowControl/>
              <w:spacing w:line="360" w:lineRule="atLeast"/>
              <w:ind w:firstLine="411" w:firstLineChars="196"/>
              <w:jc w:val="center"/>
              <w:rPr>
                <w:rFonts w:ascii="仿宋" w:hAnsi="仿宋" w:eastAsia="仿宋" w:cs="仿宋"/>
                <w:szCs w:val="21"/>
              </w:rPr>
            </w:pPr>
          </w:p>
        </w:tc>
        <w:tc>
          <w:tcPr>
            <w:tcW w:w="895" w:type="dxa"/>
            <w:vAlign w:val="center"/>
          </w:tcPr>
          <w:p>
            <w:pPr>
              <w:widowControl/>
              <w:spacing w:line="360" w:lineRule="atLeast"/>
              <w:ind w:firstLine="411" w:firstLineChars="196"/>
              <w:jc w:val="center"/>
              <w:rPr>
                <w:rFonts w:ascii="仿宋" w:hAnsi="仿宋" w:eastAsia="仿宋" w:cs="仿宋"/>
                <w:szCs w:val="21"/>
              </w:rPr>
            </w:pPr>
          </w:p>
        </w:tc>
      </w:tr>
    </w:tbl>
    <w:p>
      <w:pPr>
        <w:adjustRightInd w:val="0"/>
        <w:spacing w:line="360" w:lineRule="auto"/>
        <w:ind w:firstLine="482" w:firstLineChars="200"/>
        <w:jc w:val="left"/>
        <w:rPr>
          <w:rFonts w:ascii="仿宋" w:hAnsi="仿宋" w:eastAsia="仿宋" w:cs="仿宋"/>
          <w:b/>
          <w:sz w:val="24"/>
        </w:rPr>
      </w:pPr>
    </w:p>
    <w:p>
      <w:pPr>
        <w:adjustRightInd w:val="0"/>
        <w:spacing w:line="360" w:lineRule="auto"/>
        <w:ind w:firstLine="482" w:firstLineChars="200"/>
        <w:jc w:val="left"/>
        <w:rPr>
          <w:rFonts w:ascii="仿宋" w:hAnsi="仿宋" w:eastAsia="仿宋" w:cs="仿宋"/>
          <w:b/>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bCs/>
          <w:sz w:val="24"/>
        </w:rPr>
        <w:t>注：本格式为参考格式，供应商可根据实际情况进行调整</w:t>
      </w:r>
      <w:r>
        <w:rPr>
          <w:rFonts w:hint="eastAsia" w:ascii="仿宋" w:hAnsi="仿宋" w:eastAsia="仿宋" w:cs="仿宋"/>
          <w:sz w:val="24"/>
        </w:rPr>
        <w:t>。</w:t>
      </w:r>
    </w:p>
    <w:p>
      <w:pPr>
        <w:adjustRightInd w:val="0"/>
        <w:spacing w:line="360" w:lineRule="auto"/>
        <w:ind w:firstLine="480" w:firstLineChars="200"/>
        <w:jc w:val="left"/>
        <w:rPr>
          <w:rFonts w:ascii="仿宋" w:hAnsi="仿宋" w:eastAsia="仿宋" w:cs="仿宋"/>
          <w:sz w:val="24"/>
        </w:rPr>
      </w:pPr>
    </w:p>
    <w:p>
      <w:pPr>
        <w:pStyle w:val="2"/>
        <w:spacing w:line="360" w:lineRule="auto"/>
        <w:rPr>
          <w:rFonts w:ascii="仿宋" w:hAnsi="仿宋" w:eastAsia="仿宋" w:cs="仿宋"/>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bCs/>
          <w:sz w:val="24"/>
        </w:rPr>
      </w:pPr>
    </w:p>
    <w:p>
      <w:pPr>
        <w:adjustRightInd w:val="0"/>
        <w:spacing w:line="360" w:lineRule="auto"/>
        <w:ind w:firstLine="560" w:firstLineChars="200"/>
        <w:jc w:val="left"/>
        <w:rPr>
          <w:rFonts w:ascii="仿宋" w:hAnsi="仿宋" w:eastAsia="仿宋" w:cs="仿宋"/>
          <w:sz w:val="28"/>
        </w:rPr>
        <w:sectPr>
          <w:pgSz w:w="11850" w:h="16783"/>
          <w:pgMar w:top="1440" w:right="1304" w:bottom="1440" w:left="1417" w:header="851" w:footer="992" w:gutter="0"/>
          <w:pgNumType w:fmt="numberInDash"/>
          <w:cols w:space="0" w:num="1"/>
          <w:docGrid w:type="lines" w:linePitch="314" w:charSpace="0"/>
        </w:sectPr>
      </w:pPr>
    </w:p>
    <w:p>
      <w:pPr>
        <w:pStyle w:val="5"/>
        <w:spacing w:before="0" w:after="0" w:line="360" w:lineRule="auto"/>
        <w:jc w:val="center"/>
        <w:rPr>
          <w:rFonts w:ascii="仿宋" w:hAnsi="仿宋" w:eastAsia="仿宋" w:cs="仿宋"/>
        </w:rPr>
      </w:pPr>
      <w:bookmarkStart w:id="159" w:name="_Toc4498_WPSOffice_Level2"/>
      <w:bookmarkStart w:id="160" w:name="_Toc29279_WPSOffice_Level2"/>
      <w:r>
        <w:rPr>
          <w:rFonts w:hint="eastAsia" w:ascii="仿宋" w:hAnsi="仿宋" w:eastAsia="仿宋" w:cs="仿宋"/>
        </w:rPr>
        <w:t>七、关于知识产权的承诺函</w:t>
      </w:r>
    </w:p>
    <w:p>
      <w:pPr>
        <w:pStyle w:val="12"/>
        <w:spacing w:after="0" w:line="360" w:lineRule="auto"/>
        <w:ind w:left="0" w:leftChars="0"/>
        <w:jc w:val="left"/>
        <w:rPr>
          <w:rFonts w:ascii="仿宋" w:hAnsi="仿宋" w:eastAsia="仿宋" w:cs="仿宋"/>
          <w:bCs/>
          <w:sz w:val="24"/>
        </w:rPr>
      </w:pPr>
      <w:r>
        <w:rPr>
          <w:rFonts w:hint="eastAsia" w:ascii="仿宋" w:hAnsi="仿宋" w:eastAsia="仿宋" w:cs="仿宋"/>
          <w:sz w:val="24"/>
          <w:u w:val="single"/>
        </w:rPr>
        <w:t>四川凯亿工程管理咨询有限公司</w:t>
      </w:r>
      <w:r>
        <w:rPr>
          <w:rFonts w:hint="eastAsia" w:ascii="仿宋" w:hAnsi="仿宋" w:eastAsia="仿宋" w:cs="仿宋"/>
          <w:bCs/>
          <w:sz w:val="24"/>
        </w:rPr>
        <w:t>（采购代理机构名称）：</w:t>
      </w:r>
    </w:p>
    <w:p>
      <w:pPr>
        <w:pStyle w:val="12"/>
        <w:spacing w:after="0" w:line="360" w:lineRule="auto"/>
        <w:ind w:left="0" w:leftChars="0" w:firstLine="480" w:firstLineChars="200"/>
        <w:jc w:val="left"/>
        <w:rPr>
          <w:rFonts w:ascii="仿宋" w:hAnsi="仿宋" w:eastAsia="仿宋" w:cs="仿宋"/>
          <w:bCs/>
          <w:sz w:val="24"/>
        </w:rPr>
      </w:pPr>
      <w:r>
        <w:rPr>
          <w:rFonts w:hint="eastAsia" w:ascii="仿宋" w:hAnsi="仿宋" w:eastAsia="仿宋" w:cs="仿宋"/>
          <w:bCs/>
          <w:sz w:val="24"/>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2"/>
        <w:spacing w:after="0" w:line="360" w:lineRule="auto"/>
        <w:ind w:left="0" w:leftChars="0" w:firstLine="480" w:firstLineChars="200"/>
        <w:jc w:val="left"/>
        <w:rPr>
          <w:rFonts w:ascii="仿宋" w:hAnsi="仿宋" w:eastAsia="仿宋" w:cs="仿宋"/>
          <w:bCs/>
          <w:sz w:val="24"/>
        </w:rPr>
      </w:pPr>
    </w:p>
    <w:p>
      <w:pPr>
        <w:pStyle w:val="12"/>
        <w:spacing w:line="360" w:lineRule="auto"/>
        <w:rPr>
          <w:rFonts w:ascii="仿宋" w:hAnsi="仿宋" w:eastAsia="仿宋" w:cs="仿宋"/>
          <w:bCs/>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注：本承诺函为参考格式，供应商可根据磋商文件第二章总则中第 9 条及第五章相关要求进行承诺。</w:t>
      </w:r>
    </w:p>
    <w:p>
      <w:pPr>
        <w:adjustRightInd w:val="0"/>
        <w:spacing w:line="360" w:lineRule="auto"/>
        <w:ind w:firstLine="480" w:firstLineChars="200"/>
        <w:jc w:val="left"/>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rPr>
      </w:pPr>
    </w:p>
    <w:p>
      <w:pPr>
        <w:widowControl/>
        <w:spacing w:line="360" w:lineRule="auto"/>
        <w:jc w:val="left"/>
        <w:rPr>
          <w:rFonts w:ascii="仿宋" w:hAnsi="仿宋" w:eastAsia="仿宋" w:cs="仿宋"/>
          <w:sz w:val="24"/>
        </w:rPr>
      </w:pPr>
      <w:r>
        <w:rPr>
          <w:rFonts w:hint="eastAsia" w:ascii="仿宋" w:hAnsi="仿宋" w:eastAsia="仿宋" w:cs="仿宋"/>
        </w:rPr>
        <w:br w:type="page"/>
      </w:r>
    </w:p>
    <w:p>
      <w:pPr>
        <w:pStyle w:val="5"/>
        <w:spacing w:before="0" w:after="0" w:line="360" w:lineRule="auto"/>
        <w:jc w:val="center"/>
        <w:rPr>
          <w:rFonts w:ascii="仿宋" w:hAnsi="仿宋" w:eastAsia="仿宋" w:cs="仿宋"/>
        </w:rPr>
      </w:pPr>
      <w:r>
        <w:rPr>
          <w:rFonts w:hint="eastAsia" w:ascii="仿宋" w:hAnsi="仿宋" w:eastAsia="仿宋" w:cs="仿宋"/>
        </w:rPr>
        <w:t>八、服务方案</w:t>
      </w:r>
    </w:p>
    <w:p>
      <w:pPr>
        <w:spacing w:line="360" w:lineRule="auto"/>
        <w:jc w:val="center"/>
        <w:rPr>
          <w:rFonts w:ascii="仿宋" w:hAnsi="仿宋" w:eastAsia="仿宋" w:cs="仿宋"/>
          <w:sz w:val="24"/>
          <w:szCs w:val="32"/>
        </w:rPr>
      </w:pPr>
    </w:p>
    <w:p>
      <w:pPr>
        <w:spacing w:line="360" w:lineRule="auto"/>
        <w:jc w:val="center"/>
        <w:rPr>
          <w:rFonts w:ascii="仿宋" w:hAnsi="仿宋" w:eastAsia="仿宋" w:cs="仿宋"/>
        </w:rPr>
      </w:pPr>
      <w:r>
        <w:rPr>
          <w:rFonts w:hint="eastAsia" w:ascii="仿宋" w:hAnsi="仿宋" w:eastAsia="仿宋" w:cs="仿宋"/>
          <w:sz w:val="24"/>
          <w:szCs w:val="32"/>
        </w:rPr>
        <w:t>（格式自拟）</w:t>
      </w:r>
      <w:r>
        <w:rPr>
          <w:rFonts w:hint="eastAsia" w:ascii="仿宋" w:hAnsi="仿宋" w:eastAsia="仿宋" w:cs="仿宋"/>
        </w:rPr>
        <w:br w:type="page"/>
      </w:r>
    </w:p>
    <w:p>
      <w:pPr>
        <w:pStyle w:val="5"/>
        <w:spacing w:before="0" w:after="0" w:line="360" w:lineRule="auto"/>
        <w:jc w:val="center"/>
        <w:rPr>
          <w:rFonts w:ascii="仿宋" w:hAnsi="仿宋" w:eastAsia="仿宋" w:cs="仿宋"/>
          <w:sz w:val="28"/>
        </w:rPr>
      </w:pPr>
      <w:r>
        <w:rPr>
          <w:rFonts w:hint="eastAsia" w:ascii="仿宋" w:hAnsi="仿宋" w:eastAsia="仿宋" w:cs="仿宋"/>
        </w:rPr>
        <w:t>九、其他资料及相关说明等</w:t>
      </w:r>
      <w:bookmarkEnd w:id="159"/>
      <w:bookmarkEnd w:id="160"/>
    </w:p>
    <w:p>
      <w:pPr>
        <w:adjustRightInd w:val="0"/>
        <w:snapToGrid w:val="0"/>
        <w:spacing w:line="360" w:lineRule="auto"/>
        <w:ind w:firstLine="480" w:firstLineChars="200"/>
        <w:rPr>
          <w:rFonts w:ascii="仿宋" w:hAnsi="仿宋" w:eastAsia="仿宋" w:cs="仿宋"/>
          <w:sz w:val="24"/>
        </w:rPr>
        <w:sectPr>
          <w:headerReference r:id="rId10" w:type="default"/>
          <w:footerReference r:id="rId11" w:type="default"/>
          <w:footerReference r:id="rId12" w:type="even"/>
          <w:pgSz w:w="11850" w:h="16783"/>
          <w:pgMar w:top="1440" w:right="1304" w:bottom="1440" w:left="1417" w:header="851" w:footer="992" w:gutter="0"/>
          <w:pgNumType w:fmt="numberInDash"/>
          <w:cols w:space="0" w:num="1"/>
          <w:docGrid w:type="lines" w:linePitch="314" w:charSpace="0"/>
        </w:sectPr>
      </w:pPr>
      <w:r>
        <w:rPr>
          <w:rFonts w:hint="eastAsia" w:ascii="仿宋" w:hAnsi="仿宋" w:eastAsia="仿宋" w:cs="仿宋"/>
          <w:sz w:val="24"/>
        </w:rPr>
        <w:t>对照采购文件关于采购需求与评分规则等具体要求应当提供的其他资料、相关说明等，以及供应商认为可以提供的其他证明资料、相关说明等，格式自拟。</w:t>
      </w:r>
    </w:p>
    <w:p>
      <w:pPr>
        <w:pStyle w:val="5"/>
        <w:spacing w:line="360" w:lineRule="auto"/>
        <w:jc w:val="center"/>
        <w:rPr>
          <w:rFonts w:ascii="仿宋" w:hAnsi="仿宋" w:eastAsia="仿宋" w:cs="仿宋"/>
        </w:rPr>
      </w:pPr>
    </w:p>
    <w:p>
      <w:pPr>
        <w:pStyle w:val="5"/>
        <w:spacing w:line="360" w:lineRule="auto"/>
        <w:jc w:val="center"/>
        <w:rPr>
          <w:rFonts w:ascii="仿宋" w:hAnsi="仿宋" w:eastAsia="仿宋" w:cs="仿宋"/>
        </w:rPr>
      </w:pPr>
      <w:r>
        <w:rPr>
          <w:rFonts w:hint="eastAsia" w:ascii="仿宋" w:hAnsi="仿宋" w:eastAsia="仿宋" w:cs="仿宋"/>
        </w:rPr>
        <w:t>最终报价一览表</w:t>
      </w:r>
    </w:p>
    <w:p>
      <w:pPr>
        <w:pStyle w:val="8"/>
        <w:spacing w:before="100" w:beforeAutospacing="1"/>
        <w:ind w:firstLine="480"/>
        <w:rPr>
          <w:rFonts w:ascii="仿宋" w:hAnsi="仿宋" w:eastAsia="仿宋" w:cs="仿宋"/>
          <w:sz w:val="24"/>
        </w:rPr>
      </w:pPr>
    </w:p>
    <w:tbl>
      <w:tblPr>
        <w:tblStyle w:val="18"/>
        <w:tblW w:w="512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2109"/>
        <w:gridCol w:w="7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16" w:hRule="atLeast"/>
          <w:jc w:val="center"/>
        </w:trPr>
        <w:tc>
          <w:tcPr>
            <w:tcW w:w="1119" w:type="pct"/>
            <w:tcBorders>
              <w:top w:val="single" w:color="auto" w:sz="4" w:space="0"/>
            </w:tcBorders>
            <w:vAlign w:val="center"/>
          </w:tcPr>
          <w:p>
            <w:pPr>
              <w:tabs>
                <w:tab w:val="left" w:pos="8364"/>
              </w:tabs>
              <w:snapToGrid w:val="0"/>
              <w:ind w:right="-58"/>
              <w:jc w:val="center"/>
              <w:rPr>
                <w:rFonts w:ascii="仿宋" w:hAnsi="仿宋" w:eastAsia="仿宋" w:cs="仿宋"/>
                <w:b/>
                <w:bCs/>
                <w:sz w:val="24"/>
              </w:rPr>
            </w:pPr>
            <w:r>
              <w:rPr>
                <w:rFonts w:hint="eastAsia" w:ascii="仿宋" w:hAnsi="仿宋" w:eastAsia="仿宋" w:cs="仿宋"/>
                <w:b/>
                <w:bCs/>
                <w:sz w:val="24"/>
              </w:rPr>
              <w:t>项目名称</w:t>
            </w:r>
          </w:p>
        </w:tc>
        <w:tc>
          <w:tcPr>
            <w:tcW w:w="3880" w:type="pct"/>
            <w:tcBorders>
              <w:top w:val="single" w:color="auto" w:sz="4" w:space="0"/>
            </w:tcBorders>
            <w:vAlign w:val="center"/>
          </w:tcPr>
          <w:p>
            <w:pPr>
              <w:tabs>
                <w:tab w:val="left" w:pos="8364"/>
              </w:tabs>
              <w:snapToGrid w:val="0"/>
              <w:ind w:right="-58" w:firstLine="482"/>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600" w:hRule="atLeast"/>
          <w:jc w:val="center"/>
        </w:trPr>
        <w:tc>
          <w:tcPr>
            <w:tcW w:w="1119" w:type="pct"/>
            <w:tcBorders>
              <w:top w:val="single" w:color="auto" w:sz="4" w:space="0"/>
            </w:tcBorders>
            <w:vAlign w:val="center"/>
          </w:tcPr>
          <w:p>
            <w:pPr>
              <w:tabs>
                <w:tab w:val="left" w:pos="8364"/>
              </w:tabs>
              <w:snapToGrid w:val="0"/>
              <w:ind w:right="-58"/>
              <w:jc w:val="center"/>
              <w:rPr>
                <w:rFonts w:ascii="仿宋" w:hAnsi="仿宋" w:eastAsia="仿宋" w:cs="仿宋"/>
                <w:b/>
                <w:bCs/>
                <w:sz w:val="24"/>
              </w:rPr>
            </w:pPr>
            <w:r>
              <w:rPr>
                <w:rFonts w:hint="eastAsia" w:ascii="仿宋" w:hAnsi="仿宋" w:eastAsia="仿宋" w:cs="仿宋"/>
                <w:b/>
                <w:bCs/>
                <w:sz w:val="24"/>
              </w:rPr>
              <w:t>项目编号</w:t>
            </w:r>
          </w:p>
        </w:tc>
        <w:tc>
          <w:tcPr>
            <w:tcW w:w="3880" w:type="pct"/>
            <w:tcBorders>
              <w:top w:val="single" w:color="auto" w:sz="4" w:space="0"/>
            </w:tcBorders>
            <w:vAlign w:val="center"/>
          </w:tcPr>
          <w:p>
            <w:pPr>
              <w:tabs>
                <w:tab w:val="left" w:pos="8364"/>
              </w:tabs>
              <w:snapToGrid w:val="0"/>
              <w:ind w:right="-58" w:firstLine="482"/>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713" w:hRule="atLeast"/>
          <w:jc w:val="center"/>
        </w:trPr>
        <w:tc>
          <w:tcPr>
            <w:tcW w:w="1119" w:type="pct"/>
            <w:vAlign w:val="center"/>
          </w:tcPr>
          <w:p>
            <w:pPr>
              <w:spacing w:line="360" w:lineRule="atLeast"/>
              <w:jc w:val="center"/>
              <w:outlineLvl w:val="1"/>
              <w:rPr>
                <w:rFonts w:ascii="仿宋" w:hAnsi="仿宋" w:eastAsia="仿宋" w:cs="仿宋"/>
                <w:b/>
                <w:bCs/>
                <w:sz w:val="24"/>
              </w:rPr>
            </w:pPr>
            <w:r>
              <w:rPr>
                <w:rFonts w:hint="eastAsia" w:ascii="仿宋" w:hAnsi="仿宋" w:eastAsia="仿宋" w:cs="仿宋"/>
                <w:b/>
                <w:sz w:val="24"/>
              </w:rPr>
              <w:t>报价合计</w:t>
            </w:r>
          </w:p>
        </w:tc>
        <w:tc>
          <w:tcPr>
            <w:tcW w:w="3880" w:type="pct"/>
            <w:vAlign w:val="center"/>
          </w:tcPr>
          <w:p>
            <w:pPr>
              <w:outlineLvl w:val="1"/>
              <w:rPr>
                <w:rFonts w:ascii="仿宋" w:hAnsi="仿宋" w:eastAsia="仿宋" w:cs="仿宋"/>
                <w:b/>
                <w:bCs/>
                <w:sz w:val="24"/>
              </w:rPr>
            </w:pPr>
            <w:r>
              <w:rPr>
                <w:rFonts w:hint="eastAsia" w:ascii="仿宋" w:hAnsi="仿宋" w:eastAsia="仿宋" w:cs="仿宋"/>
                <w:b/>
                <w:bCs/>
                <w:sz w:val="24"/>
              </w:rPr>
              <w:t xml:space="preserve">小写:        </w:t>
            </w:r>
          </w:p>
          <w:p>
            <w:pPr>
              <w:pStyle w:val="28"/>
              <w:rPr>
                <w:rFonts w:ascii="仿宋" w:hAnsi="仿宋" w:eastAsia="仿宋" w:cs="仿宋"/>
                <w:b/>
                <w:bCs/>
                <w:color w:val="auto"/>
                <w:szCs w:val="24"/>
              </w:rPr>
            </w:pPr>
            <w:r>
              <w:rPr>
                <w:rFonts w:hint="eastAsia" w:ascii="仿宋" w:hAnsi="仿宋" w:eastAsia="仿宋" w:cs="仿宋"/>
                <w:b/>
                <w:bCs/>
                <w:color w:val="auto"/>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11" w:hRule="atLeast"/>
          <w:jc w:val="center"/>
        </w:trPr>
        <w:tc>
          <w:tcPr>
            <w:tcW w:w="1119" w:type="pct"/>
            <w:tcBorders>
              <w:bottom w:val="single" w:color="auto" w:sz="4" w:space="0"/>
            </w:tcBorders>
            <w:vAlign w:val="center"/>
          </w:tcPr>
          <w:p>
            <w:pPr>
              <w:spacing w:line="360" w:lineRule="atLeast"/>
              <w:jc w:val="center"/>
              <w:outlineLvl w:val="1"/>
              <w:rPr>
                <w:rFonts w:ascii="仿宋" w:hAnsi="仿宋" w:eastAsia="仿宋" w:cs="仿宋"/>
                <w:b/>
                <w:sz w:val="24"/>
              </w:rPr>
            </w:pPr>
            <w:r>
              <w:rPr>
                <w:rFonts w:hint="eastAsia" w:ascii="仿宋" w:hAnsi="仿宋" w:eastAsia="仿宋" w:cs="仿宋"/>
                <w:b/>
                <w:sz w:val="24"/>
              </w:rPr>
              <w:t>备注</w:t>
            </w:r>
          </w:p>
        </w:tc>
        <w:tc>
          <w:tcPr>
            <w:tcW w:w="3880" w:type="pct"/>
            <w:tcBorders>
              <w:bottom w:val="single" w:color="auto" w:sz="4" w:space="0"/>
            </w:tcBorders>
            <w:vAlign w:val="center"/>
          </w:tcPr>
          <w:p>
            <w:pPr>
              <w:pStyle w:val="28"/>
              <w:rPr>
                <w:rFonts w:ascii="仿宋" w:hAnsi="仿宋" w:eastAsia="仿宋" w:cs="仿宋"/>
                <w:b/>
                <w:bCs/>
                <w:color w:val="auto"/>
                <w:szCs w:val="24"/>
              </w:rPr>
            </w:pPr>
          </w:p>
        </w:tc>
      </w:tr>
    </w:tbl>
    <w:p>
      <w:pPr>
        <w:spacing w:line="400" w:lineRule="exact"/>
        <w:ind w:firstLine="480" w:firstLineChars="200"/>
        <w:jc w:val="left"/>
        <w:rPr>
          <w:rFonts w:ascii="仿宋" w:hAnsi="仿宋" w:eastAsia="仿宋" w:cs="仿宋"/>
          <w:sz w:val="24"/>
        </w:rPr>
      </w:pP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其他承诺：</w:t>
      </w:r>
    </w:p>
    <w:p>
      <w:pPr>
        <w:spacing w:line="400" w:lineRule="exact"/>
        <w:ind w:firstLine="482" w:firstLineChars="200"/>
        <w:jc w:val="left"/>
        <w:rPr>
          <w:rFonts w:ascii="仿宋" w:hAnsi="仿宋" w:eastAsia="仿宋" w:cs="仿宋"/>
          <w:b/>
          <w:bCs/>
          <w:sz w:val="24"/>
        </w:rPr>
      </w:pPr>
    </w:p>
    <w:p>
      <w:pPr>
        <w:spacing w:line="400" w:lineRule="exact"/>
        <w:ind w:firstLine="482" w:firstLineChars="200"/>
        <w:jc w:val="left"/>
        <w:rPr>
          <w:rFonts w:ascii="仿宋" w:hAnsi="仿宋" w:eastAsia="仿宋" w:cs="仿宋"/>
          <w:b/>
          <w:bCs/>
          <w:sz w:val="24"/>
        </w:rPr>
      </w:pPr>
    </w:p>
    <w:p>
      <w:pPr>
        <w:spacing w:line="400" w:lineRule="exact"/>
        <w:ind w:firstLine="482" w:firstLineChars="200"/>
        <w:jc w:val="left"/>
        <w:rPr>
          <w:rFonts w:ascii="仿宋" w:hAnsi="仿宋" w:eastAsia="仿宋" w:cs="仿宋"/>
          <w:sz w:val="24"/>
        </w:rPr>
      </w:pPr>
      <w:r>
        <w:rPr>
          <w:rFonts w:hint="eastAsia" w:ascii="仿宋" w:hAnsi="仿宋" w:eastAsia="仿宋" w:cs="仿宋"/>
          <w:b/>
          <w:bCs/>
          <w:sz w:val="24"/>
        </w:rPr>
        <w:t>注：此页不作为响应文件的组成部分，持空白页至磋商现场根据实际需要填写</w:t>
      </w:r>
      <w:r>
        <w:rPr>
          <w:rFonts w:hint="eastAsia" w:ascii="仿宋" w:hAnsi="仿宋" w:eastAsia="仿宋" w:cs="仿宋"/>
          <w:sz w:val="24"/>
        </w:rPr>
        <w:t>。</w:t>
      </w: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p>
    <w:p>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法定代表人或授权代表（签字或加盖个人名章）：</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spacing w:before="0" w:after="0" w:line="360" w:lineRule="auto"/>
        <w:jc w:val="center"/>
        <w:rPr>
          <w:rFonts w:ascii="仿宋" w:hAnsi="仿宋" w:eastAsia="仿宋" w:cs="仿宋"/>
        </w:rPr>
      </w:pPr>
      <w:r>
        <w:rPr>
          <w:rFonts w:hint="eastAsia" w:ascii="仿宋" w:hAnsi="仿宋" w:eastAsia="仿宋" w:cs="仿宋"/>
        </w:rPr>
        <w:br w:type="page"/>
      </w:r>
      <w:bookmarkStart w:id="161" w:name="_Toc32541_WPSOffice_Level1"/>
      <w:bookmarkStart w:id="162" w:name="_Toc4157"/>
      <w:bookmarkStart w:id="163" w:name="_Toc8290_WPSOffice_Level1"/>
      <w:r>
        <w:rPr>
          <w:rFonts w:hint="eastAsia" w:ascii="仿宋" w:hAnsi="仿宋" w:eastAsia="仿宋" w:cs="仿宋"/>
        </w:rPr>
        <w:t>第八章  评审方法</w:t>
      </w:r>
      <w:bookmarkEnd w:id="161"/>
      <w:bookmarkEnd w:id="162"/>
      <w:bookmarkEnd w:id="163"/>
    </w:p>
    <w:p>
      <w:pPr>
        <w:pStyle w:val="5"/>
        <w:keepNext w:val="0"/>
        <w:keepLines w:val="0"/>
        <w:spacing w:before="0" w:after="0" w:line="360" w:lineRule="auto"/>
        <w:ind w:firstLine="472" w:firstLineChars="196"/>
        <w:rPr>
          <w:rFonts w:ascii="仿宋" w:hAnsi="仿宋" w:eastAsia="仿宋" w:cs="仿宋"/>
          <w:sz w:val="24"/>
          <w:szCs w:val="24"/>
        </w:rPr>
      </w:pPr>
      <w:bookmarkStart w:id="164" w:name="_Toc3628_WPSOffice_Level2"/>
      <w:bookmarkStart w:id="165" w:name="_Toc28831_WPSOffice_Level2"/>
      <w:bookmarkStart w:id="166" w:name="_Toc101338358"/>
      <w:bookmarkStart w:id="167" w:name="_Toc209847065"/>
      <w:bookmarkStart w:id="168" w:name="_Toc101174146"/>
      <w:bookmarkStart w:id="169" w:name="_Toc101250640"/>
      <w:bookmarkStart w:id="170" w:name="_Toc430773924"/>
      <w:r>
        <w:rPr>
          <w:rFonts w:hint="eastAsia" w:ascii="仿宋" w:hAnsi="仿宋" w:eastAsia="仿宋" w:cs="仿宋"/>
          <w:sz w:val="24"/>
          <w:szCs w:val="24"/>
        </w:rPr>
        <w:t>1.总则</w:t>
      </w:r>
      <w:bookmarkEnd w:id="164"/>
      <w:bookmarkEnd w:id="165"/>
    </w:p>
    <w:p>
      <w:pPr>
        <w:spacing w:line="360" w:lineRule="auto"/>
        <w:ind w:firstLine="470" w:firstLineChars="196"/>
        <w:rPr>
          <w:rFonts w:ascii="仿宋" w:hAnsi="仿宋" w:eastAsia="仿宋" w:cs="仿宋"/>
          <w:sz w:val="24"/>
        </w:rPr>
      </w:pPr>
      <w:r>
        <w:rPr>
          <w:rFonts w:hint="eastAsia" w:ascii="仿宋" w:hAnsi="仿宋" w:eastAsia="仿宋" w:cs="仿宋"/>
          <w:sz w:val="24"/>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仿宋" w:hAnsi="仿宋" w:eastAsia="仿宋" w:cs="仿宋"/>
          <w:sz w:val="24"/>
        </w:rPr>
      </w:pPr>
      <w:r>
        <w:rPr>
          <w:rFonts w:hint="eastAsia" w:ascii="仿宋" w:hAnsi="仿宋" w:eastAsia="仿宋" w:cs="仿宋"/>
          <w:sz w:val="24"/>
        </w:rPr>
        <w:t>1.2磋商工作由采购代理机构负责组织，具体磋商由采购人/采购代理机构依法组建的磋商小组负责。</w:t>
      </w:r>
    </w:p>
    <w:p>
      <w:pPr>
        <w:spacing w:line="360" w:lineRule="auto"/>
        <w:ind w:firstLine="470" w:firstLineChars="196"/>
        <w:rPr>
          <w:rFonts w:ascii="仿宋" w:hAnsi="仿宋" w:eastAsia="仿宋" w:cs="仿宋"/>
          <w:sz w:val="24"/>
        </w:rPr>
      </w:pPr>
      <w:r>
        <w:rPr>
          <w:rFonts w:hint="eastAsia" w:ascii="仿宋" w:hAnsi="仿宋" w:eastAsia="仿宋" w:cs="仿宋"/>
          <w:sz w:val="24"/>
        </w:rPr>
        <w:t>1.3磋商工作应遵循公平、公正、科学及择优的原则，并以相同的磋商程序和标准对待所有的供应商。</w:t>
      </w:r>
    </w:p>
    <w:p>
      <w:pPr>
        <w:spacing w:line="360" w:lineRule="auto"/>
        <w:ind w:firstLine="470" w:firstLineChars="196"/>
        <w:rPr>
          <w:rFonts w:ascii="仿宋" w:hAnsi="仿宋" w:eastAsia="仿宋" w:cs="仿宋"/>
          <w:sz w:val="24"/>
        </w:rPr>
      </w:pPr>
      <w:r>
        <w:rPr>
          <w:rFonts w:hint="eastAsia" w:ascii="仿宋" w:hAnsi="仿宋" w:eastAsia="仿宋" w:cs="仿宋"/>
          <w:sz w:val="24"/>
        </w:rPr>
        <w:t>1.4磋商小组按照磋商文件规定的磋商程序、评分方法和标准进行评审，并独立履行下列职责：</w:t>
      </w:r>
    </w:p>
    <w:p>
      <w:pPr>
        <w:spacing w:line="360" w:lineRule="auto"/>
        <w:ind w:firstLine="480" w:firstLineChars="200"/>
        <w:rPr>
          <w:rFonts w:ascii="仿宋" w:hAnsi="仿宋" w:eastAsia="仿宋" w:cs="仿宋"/>
          <w:sz w:val="24"/>
        </w:rPr>
      </w:pPr>
      <w:r>
        <w:rPr>
          <w:rFonts w:hint="eastAsia" w:ascii="仿宋" w:hAnsi="仿宋" w:eastAsia="仿宋" w:cs="仿宋"/>
          <w:sz w:val="24"/>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仿宋" w:hAnsi="仿宋" w:eastAsia="仿宋" w:cs="仿宋"/>
          <w:sz w:val="24"/>
        </w:rPr>
      </w:pPr>
      <w:r>
        <w:rPr>
          <w:rFonts w:hint="eastAsia" w:ascii="仿宋" w:hAnsi="仿宋" w:eastAsia="仿宋" w:cs="仿宋"/>
          <w:sz w:val="24"/>
        </w:rPr>
        <w:t>（2）审查供应商响应文件是否满足磋商文件要求，并作出公正评价；</w:t>
      </w:r>
    </w:p>
    <w:p>
      <w:pPr>
        <w:spacing w:line="360" w:lineRule="auto"/>
        <w:ind w:firstLine="470" w:firstLineChars="196"/>
        <w:rPr>
          <w:rFonts w:ascii="仿宋" w:hAnsi="仿宋" w:eastAsia="仿宋" w:cs="仿宋"/>
          <w:sz w:val="24"/>
        </w:rPr>
      </w:pPr>
      <w:r>
        <w:rPr>
          <w:rFonts w:hint="eastAsia" w:ascii="仿宋" w:hAnsi="仿宋" w:eastAsia="仿宋" w:cs="仿宋"/>
          <w:sz w:val="24"/>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仿宋" w:hAnsi="仿宋" w:eastAsia="仿宋" w:cs="仿宋"/>
          <w:sz w:val="24"/>
        </w:rPr>
      </w:pPr>
      <w:r>
        <w:rPr>
          <w:rFonts w:hint="eastAsia" w:ascii="仿宋" w:hAnsi="仿宋" w:eastAsia="仿宋" w:cs="仿宋"/>
          <w:sz w:val="24"/>
        </w:rPr>
        <w:t>（4）推荐成交供应商，或者受采购人委托确定成交供应商；</w:t>
      </w:r>
    </w:p>
    <w:p>
      <w:pPr>
        <w:spacing w:line="360" w:lineRule="auto"/>
        <w:ind w:firstLine="470" w:firstLineChars="196"/>
        <w:rPr>
          <w:rFonts w:ascii="仿宋" w:hAnsi="仿宋" w:eastAsia="仿宋" w:cs="仿宋"/>
          <w:sz w:val="24"/>
        </w:rPr>
      </w:pPr>
      <w:r>
        <w:rPr>
          <w:rFonts w:hint="eastAsia" w:ascii="仿宋" w:hAnsi="仿宋" w:eastAsia="仿宋" w:cs="仿宋"/>
          <w:sz w:val="24"/>
        </w:rPr>
        <w:t>（5）起草评审报告并进行签署；</w:t>
      </w:r>
    </w:p>
    <w:p>
      <w:pPr>
        <w:spacing w:line="360" w:lineRule="auto"/>
        <w:ind w:firstLine="470" w:firstLineChars="196"/>
        <w:rPr>
          <w:rFonts w:ascii="仿宋" w:hAnsi="仿宋" w:eastAsia="仿宋" w:cs="仿宋"/>
          <w:sz w:val="24"/>
        </w:rPr>
      </w:pPr>
      <w:r>
        <w:rPr>
          <w:rFonts w:hint="eastAsia" w:ascii="仿宋" w:hAnsi="仿宋" w:eastAsia="仿宋" w:cs="仿宋"/>
          <w:sz w:val="24"/>
        </w:rPr>
        <w:t>（6）向采购人/采购代理机构、财政部门或者其他监督部门报告非法干预评审工作的行为；</w:t>
      </w:r>
    </w:p>
    <w:p>
      <w:pPr>
        <w:spacing w:line="360" w:lineRule="auto"/>
        <w:ind w:firstLine="470" w:firstLineChars="196"/>
        <w:rPr>
          <w:rFonts w:ascii="仿宋" w:hAnsi="仿宋" w:eastAsia="仿宋" w:cs="仿宋"/>
          <w:sz w:val="24"/>
        </w:rPr>
      </w:pPr>
      <w:r>
        <w:rPr>
          <w:rFonts w:hint="eastAsia" w:ascii="仿宋" w:hAnsi="仿宋" w:eastAsia="仿宋" w:cs="仿宋"/>
          <w:sz w:val="24"/>
        </w:rPr>
        <w:t>（7）法律、法规和规章规定的其他职责。</w:t>
      </w:r>
    </w:p>
    <w:p>
      <w:pPr>
        <w:spacing w:line="360" w:lineRule="auto"/>
        <w:ind w:firstLine="470" w:firstLineChars="196"/>
        <w:rPr>
          <w:rFonts w:ascii="仿宋" w:hAnsi="仿宋" w:eastAsia="仿宋" w:cs="仿宋"/>
          <w:sz w:val="24"/>
        </w:rPr>
      </w:pPr>
      <w:r>
        <w:rPr>
          <w:rFonts w:hint="eastAsia" w:ascii="仿宋" w:hAnsi="仿宋" w:eastAsia="仿宋" w:cs="仿宋"/>
          <w:sz w:val="24"/>
        </w:rPr>
        <w:t>1.5</w:t>
      </w:r>
      <w:r>
        <w:rPr>
          <w:rFonts w:hint="eastAsia" w:ascii="仿宋" w:hAnsi="仿宋" w:eastAsia="仿宋" w:cs="仿宋"/>
          <w:b/>
          <w:bCs/>
          <w:sz w:val="24"/>
        </w:rPr>
        <w:t>（实质性要求）</w:t>
      </w:r>
      <w:r>
        <w:rPr>
          <w:rFonts w:hint="eastAsia" w:ascii="仿宋" w:hAnsi="仿宋" w:eastAsia="仿宋" w:cs="仿宋"/>
          <w:sz w:val="24"/>
        </w:rPr>
        <w:t>磋商过程独立、保密。供应商非法干预磋商过程的，其响应文件作无效处理。</w:t>
      </w:r>
    </w:p>
    <w:p>
      <w:pPr>
        <w:spacing w:line="360" w:lineRule="auto"/>
        <w:rPr>
          <w:rFonts w:ascii="仿宋" w:hAnsi="仿宋" w:eastAsia="仿宋" w:cs="仿宋"/>
        </w:rPr>
      </w:pPr>
    </w:p>
    <w:p>
      <w:pPr>
        <w:pStyle w:val="5"/>
        <w:keepNext w:val="0"/>
        <w:keepLines w:val="0"/>
        <w:spacing w:before="0" w:after="0" w:line="360" w:lineRule="auto"/>
        <w:ind w:firstLine="472" w:firstLineChars="196"/>
        <w:rPr>
          <w:rFonts w:ascii="仿宋" w:hAnsi="仿宋" w:eastAsia="仿宋" w:cs="仿宋"/>
          <w:sz w:val="24"/>
          <w:szCs w:val="24"/>
        </w:rPr>
      </w:pPr>
      <w:bookmarkStart w:id="171" w:name="_Toc17993_WPSOffice_Level2"/>
      <w:bookmarkStart w:id="172" w:name="_Toc28315_WPSOffice_Level2"/>
      <w:r>
        <w:rPr>
          <w:rFonts w:hint="eastAsia" w:ascii="仿宋" w:hAnsi="仿宋" w:eastAsia="仿宋" w:cs="仿宋"/>
          <w:sz w:val="24"/>
          <w:szCs w:val="24"/>
        </w:rPr>
        <w:t>2.磋商程序</w:t>
      </w:r>
      <w:bookmarkEnd w:id="171"/>
      <w:bookmarkEnd w:id="172"/>
    </w:p>
    <w:p>
      <w:pPr>
        <w:spacing w:line="360" w:lineRule="auto"/>
        <w:ind w:firstLine="470" w:firstLineChars="196"/>
        <w:rPr>
          <w:rFonts w:ascii="仿宋" w:hAnsi="仿宋" w:eastAsia="仿宋" w:cs="仿宋"/>
          <w:sz w:val="24"/>
        </w:rPr>
      </w:pPr>
      <w:r>
        <w:rPr>
          <w:rFonts w:hint="eastAsia" w:ascii="仿宋" w:hAnsi="仿宋" w:eastAsia="仿宋" w:cs="仿宋"/>
          <w:sz w:val="24"/>
        </w:rPr>
        <w:t>2.1审查磋商文件和停止评审。</w:t>
      </w:r>
    </w:p>
    <w:p>
      <w:pPr>
        <w:spacing w:line="360" w:lineRule="auto"/>
        <w:ind w:firstLine="470" w:firstLineChars="196"/>
        <w:rPr>
          <w:rFonts w:ascii="仿宋" w:hAnsi="仿宋" w:eastAsia="仿宋" w:cs="仿宋"/>
          <w:sz w:val="24"/>
        </w:rPr>
      </w:pPr>
      <w:r>
        <w:rPr>
          <w:rFonts w:hint="eastAsia" w:ascii="仿宋" w:hAnsi="仿宋" w:eastAsia="仿宋" w:cs="仿宋"/>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ascii="仿宋" w:hAnsi="仿宋" w:eastAsia="仿宋" w:cs="仿宋"/>
          <w:sz w:val="24"/>
        </w:rPr>
      </w:pPr>
      <w:r>
        <w:rPr>
          <w:rFonts w:hint="eastAsia" w:ascii="仿宋" w:hAnsi="仿宋" w:eastAsia="仿宋" w:cs="仿宋"/>
          <w:sz w:val="24"/>
        </w:rPr>
        <w:t>2.1.2 本磋商文件有下列情形之一的，磋商小组应当停止评审：</w:t>
      </w:r>
    </w:p>
    <w:p>
      <w:pPr>
        <w:spacing w:line="360" w:lineRule="auto"/>
        <w:ind w:firstLine="470" w:firstLineChars="196"/>
        <w:rPr>
          <w:rFonts w:ascii="仿宋" w:hAnsi="仿宋" w:eastAsia="仿宋" w:cs="仿宋"/>
          <w:sz w:val="24"/>
        </w:rPr>
      </w:pPr>
      <w:r>
        <w:rPr>
          <w:rFonts w:hint="eastAsia" w:ascii="仿宋" w:hAnsi="仿宋" w:eastAsia="仿宋" w:cs="仿宋"/>
          <w:sz w:val="24"/>
        </w:rPr>
        <w:t>（1）磋商文件的规定存在歧义、重大缺陷的；</w:t>
      </w:r>
    </w:p>
    <w:p>
      <w:pPr>
        <w:spacing w:line="360" w:lineRule="auto"/>
        <w:ind w:firstLine="470" w:firstLineChars="196"/>
        <w:rPr>
          <w:rFonts w:ascii="仿宋" w:hAnsi="仿宋" w:eastAsia="仿宋" w:cs="仿宋"/>
          <w:sz w:val="24"/>
        </w:rPr>
      </w:pPr>
      <w:r>
        <w:rPr>
          <w:rFonts w:hint="eastAsia" w:ascii="仿宋" w:hAnsi="仿宋" w:eastAsia="仿宋" w:cs="仿宋"/>
          <w:sz w:val="24"/>
        </w:rPr>
        <w:t>（2）磋商文件明显以不合理条件对供应商实行差别待遇或者歧视待遇的；</w:t>
      </w:r>
    </w:p>
    <w:p>
      <w:pPr>
        <w:spacing w:line="360" w:lineRule="auto"/>
        <w:ind w:firstLine="470" w:firstLineChars="196"/>
        <w:rPr>
          <w:rFonts w:ascii="仿宋" w:hAnsi="仿宋" w:eastAsia="仿宋" w:cs="仿宋"/>
          <w:sz w:val="24"/>
        </w:rPr>
      </w:pPr>
      <w:r>
        <w:rPr>
          <w:rFonts w:hint="eastAsia" w:ascii="仿宋" w:hAnsi="仿宋" w:eastAsia="仿宋" w:cs="仿宋"/>
          <w:sz w:val="24"/>
        </w:rPr>
        <w:t>（3）采购项目属于国家规定的优先、强制采购范围，但是磋商文件未依法体现优先、强制采购相关规定的；</w:t>
      </w:r>
    </w:p>
    <w:p>
      <w:pPr>
        <w:spacing w:line="360" w:lineRule="auto"/>
        <w:ind w:firstLine="470" w:firstLineChars="196"/>
        <w:rPr>
          <w:rFonts w:ascii="仿宋" w:hAnsi="仿宋" w:eastAsia="仿宋" w:cs="仿宋"/>
          <w:sz w:val="24"/>
        </w:rPr>
      </w:pPr>
      <w:r>
        <w:rPr>
          <w:rFonts w:hint="eastAsia" w:ascii="仿宋" w:hAnsi="仿宋" w:eastAsia="仿宋" w:cs="仿宋"/>
          <w:sz w:val="24"/>
        </w:rPr>
        <w:t>（4）采购项目属于政府采购促进中小企业发展的范围，但是磋商文件未依法体现促进中小企业发展相关规定的；</w:t>
      </w:r>
    </w:p>
    <w:p>
      <w:pPr>
        <w:spacing w:line="360" w:lineRule="auto"/>
        <w:ind w:firstLine="470" w:firstLineChars="196"/>
        <w:rPr>
          <w:rFonts w:ascii="仿宋" w:hAnsi="仿宋" w:eastAsia="仿宋" w:cs="仿宋"/>
          <w:sz w:val="24"/>
        </w:rPr>
      </w:pPr>
      <w:r>
        <w:rPr>
          <w:rFonts w:hint="eastAsia" w:ascii="仿宋" w:hAnsi="仿宋" w:eastAsia="仿宋" w:cs="仿宋"/>
          <w:sz w:val="24"/>
        </w:rPr>
        <w:t>（5）磋商文件将供应商的资格条件列为评分因素的；</w:t>
      </w:r>
    </w:p>
    <w:p>
      <w:pPr>
        <w:spacing w:line="360" w:lineRule="auto"/>
        <w:ind w:firstLine="470" w:firstLineChars="196"/>
        <w:rPr>
          <w:rFonts w:ascii="仿宋" w:hAnsi="仿宋" w:eastAsia="仿宋" w:cs="仿宋"/>
          <w:sz w:val="24"/>
        </w:rPr>
      </w:pPr>
      <w:r>
        <w:rPr>
          <w:rFonts w:hint="eastAsia" w:ascii="仿宋" w:hAnsi="仿宋" w:eastAsia="仿宋" w:cs="仿宋"/>
          <w:sz w:val="24"/>
        </w:rPr>
        <w:t>（6）磋商文件载明的成交原则不合法的；</w:t>
      </w:r>
    </w:p>
    <w:p>
      <w:pPr>
        <w:spacing w:line="360" w:lineRule="auto"/>
        <w:ind w:firstLine="470" w:firstLineChars="196"/>
        <w:rPr>
          <w:rFonts w:ascii="仿宋" w:hAnsi="仿宋" w:eastAsia="仿宋" w:cs="仿宋"/>
          <w:sz w:val="24"/>
        </w:rPr>
      </w:pPr>
      <w:r>
        <w:rPr>
          <w:rFonts w:hint="eastAsia" w:ascii="仿宋" w:hAnsi="仿宋" w:eastAsia="仿宋" w:cs="仿宋"/>
          <w:sz w:val="24"/>
        </w:rPr>
        <w:t>（7）磋商文件有违反国家其他有关强制性规定的情形。</w:t>
      </w:r>
    </w:p>
    <w:p>
      <w:pPr>
        <w:spacing w:line="360" w:lineRule="auto"/>
        <w:ind w:firstLine="470" w:firstLineChars="196"/>
        <w:rPr>
          <w:rFonts w:ascii="仿宋" w:hAnsi="仿宋" w:eastAsia="仿宋" w:cs="仿宋"/>
          <w:sz w:val="24"/>
        </w:rPr>
      </w:pPr>
      <w:r>
        <w:rPr>
          <w:rFonts w:hint="eastAsia" w:ascii="仿宋" w:hAnsi="仿宋" w:eastAsia="仿宋" w:cs="仿宋"/>
          <w:sz w:val="24"/>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ascii="仿宋" w:hAnsi="仿宋" w:eastAsia="仿宋" w:cs="仿宋"/>
          <w:sz w:val="24"/>
        </w:rPr>
      </w:pPr>
      <w:r>
        <w:rPr>
          <w:rFonts w:hint="eastAsia" w:ascii="仿宋" w:hAnsi="仿宋" w:eastAsia="仿宋" w:cs="仿宋"/>
          <w:sz w:val="24"/>
        </w:rPr>
        <w:t>2.2资格性审查。</w:t>
      </w:r>
    </w:p>
    <w:p>
      <w:pPr>
        <w:spacing w:line="360" w:lineRule="auto"/>
        <w:ind w:firstLine="470" w:firstLineChars="196"/>
        <w:rPr>
          <w:rFonts w:ascii="仿宋" w:hAnsi="仿宋" w:eastAsia="仿宋" w:cs="仿宋"/>
          <w:sz w:val="24"/>
        </w:rPr>
      </w:pPr>
      <w:r>
        <w:rPr>
          <w:rFonts w:hint="eastAsia" w:ascii="仿宋" w:hAnsi="仿宋" w:eastAsia="仿宋" w:cs="仿宋"/>
          <w:sz w:val="24"/>
        </w:rPr>
        <w:t>2.2.1本项目需要磋商小组进行资格性检查。</w:t>
      </w:r>
    </w:p>
    <w:p>
      <w:pPr>
        <w:spacing w:line="360" w:lineRule="auto"/>
        <w:ind w:firstLine="470" w:firstLineChars="196"/>
        <w:rPr>
          <w:rFonts w:ascii="仿宋" w:hAnsi="仿宋" w:eastAsia="仿宋" w:cs="仿宋"/>
          <w:sz w:val="24"/>
        </w:rPr>
      </w:pPr>
      <w:r>
        <w:rPr>
          <w:rFonts w:hint="eastAsia" w:ascii="仿宋" w:hAnsi="仿宋" w:eastAsia="仿宋" w:cs="仿宋"/>
          <w:sz w:val="24"/>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ascii="仿宋" w:hAnsi="仿宋" w:eastAsia="仿宋" w:cs="仿宋"/>
          <w:sz w:val="24"/>
        </w:rPr>
      </w:pPr>
      <w:r>
        <w:rPr>
          <w:rFonts w:hint="eastAsia" w:ascii="仿宋" w:hAnsi="仿宋" w:eastAsia="仿宋" w:cs="仿宋"/>
          <w:sz w:val="24"/>
        </w:rPr>
        <w:t>2.2.2资格性审查结束后，磋商小组应当出具资格性审查报告，没有通过资格审查的供应商，磋商小组应当在资格审查报告中说明原因。</w:t>
      </w:r>
    </w:p>
    <w:p>
      <w:pPr>
        <w:spacing w:line="360" w:lineRule="auto"/>
        <w:ind w:firstLine="470" w:firstLineChars="196"/>
        <w:rPr>
          <w:rFonts w:ascii="仿宋" w:hAnsi="仿宋" w:eastAsia="仿宋" w:cs="仿宋"/>
          <w:sz w:val="24"/>
        </w:rPr>
      </w:pPr>
      <w:r>
        <w:rPr>
          <w:rFonts w:hint="eastAsia" w:ascii="仿宋" w:hAnsi="仿宋" w:eastAsia="仿宋" w:cs="仿宋"/>
          <w:sz w:val="24"/>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ascii="仿宋" w:hAnsi="仿宋" w:eastAsia="仿宋" w:cs="仿宋"/>
          <w:sz w:val="24"/>
        </w:rPr>
      </w:pPr>
      <w:r>
        <w:rPr>
          <w:rFonts w:hint="eastAsia" w:ascii="仿宋" w:hAnsi="仿宋" w:eastAsia="仿宋" w:cs="仿宋"/>
          <w:sz w:val="24"/>
        </w:rPr>
        <w:t>2.2.4采购人或者采购代理机构宣布未通过资格性审查的供应商名单时，应当告知供应商未通过审查的原因。</w:t>
      </w:r>
    </w:p>
    <w:p>
      <w:pPr>
        <w:spacing w:line="360" w:lineRule="auto"/>
        <w:ind w:firstLine="470" w:firstLineChars="196"/>
        <w:rPr>
          <w:rFonts w:ascii="仿宋" w:hAnsi="仿宋" w:eastAsia="仿宋" w:cs="仿宋"/>
          <w:sz w:val="24"/>
        </w:rPr>
      </w:pPr>
      <w:r>
        <w:rPr>
          <w:rFonts w:hint="eastAsia" w:ascii="仿宋" w:hAnsi="仿宋" w:eastAsia="仿宋" w:cs="仿宋"/>
          <w:sz w:val="24"/>
        </w:rPr>
        <w:t>2.3 通过资格性审查的供应商不足3家的（本章2.3.1的情况除外），终止本次采购活动，并发布终止采购活动公告。</w:t>
      </w:r>
    </w:p>
    <w:p>
      <w:pPr>
        <w:spacing w:line="360" w:lineRule="auto"/>
        <w:ind w:firstLine="470" w:firstLineChars="196"/>
        <w:rPr>
          <w:rFonts w:ascii="仿宋" w:hAnsi="仿宋" w:eastAsia="仿宋" w:cs="仿宋"/>
          <w:sz w:val="24"/>
        </w:rPr>
      </w:pPr>
      <w:r>
        <w:rPr>
          <w:rFonts w:hint="eastAsia" w:ascii="仿宋" w:hAnsi="仿宋" w:eastAsia="仿宋" w:cs="仿宋"/>
          <w:sz w:val="24"/>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ascii="仿宋" w:hAnsi="仿宋" w:eastAsia="仿宋" w:cs="仿宋"/>
          <w:sz w:val="24"/>
        </w:rPr>
      </w:pPr>
      <w:r>
        <w:rPr>
          <w:rFonts w:hint="eastAsia" w:ascii="仿宋" w:hAnsi="仿宋" w:eastAsia="仿宋" w:cs="仿宋"/>
          <w:sz w:val="24"/>
        </w:rPr>
        <w:t>2.4磋商。</w:t>
      </w:r>
    </w:p>
    <w:p>
      <w:pPr>
        <w:spacing w:line="360" w:lineRule="auto"/>
        <w:ind w:firstLine="470" w:firstLineChars="196"/>
        <w:rPr>
          <w:rFonts w:ascii="仿宋" w:hAnsi="仿宋" w:eastAsia="仿宋" w:cs="仿宋"/>
          <w:sz w:val="24"/>
        </w:rPr>
      </w:pPr>
      <w:r>
        <w:rPr>
          <w:rFonts w:hint="eastAsia" w:ascii="仿宋" w:hAnsi="仿宋" w:eastAsia="仿宋" w:cs="仿宋"/>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ascii="仿宋" w:hAnsi="仿宋" w:eastAsia="仿宋" w:cs="仿宋"/>
          <w:sz w:val="24"/>
        </w:rPr>
      </w:pPr>
      <w:r>
        <w:rPr>
          <w:rFonts w:hint="eastAsia" w:ascii="仿宋" w:hAnsi="仿宋" w:eastAsia="仿宋" w:cs="仿宋"/>
          <w:sz w:val="24"/>
        </w:rPr>
        <w:t>2.4.2每轮磋商开始前，磋商小组应根据磋商文件的规定，并结合各供应商的响应文件拟定磋商内容。</w:t>
      </w:r>
    </w:p>
    <w:p>
      <w:pPr>
        <w:spacing w:line="360" w:lineRule="auto"/>
        <w:ind w:firstLine="470" w:firstLineChars="196"/>
        <w:rPr>
          <w:rFonts w:ascii="仿宋" w:hAnsi="仿宋" w:eastAsia="仿宋" w:cs="仿宋"/>
          <w:sz w:val="24"/>
        </w:rPr>
      </w:pPr>
      <w:r>
        <w:rPr>
          <w:rFonts w:hint="eastAsia" w:ascii="仿宋" w:hAnsi="仿宋" w:eastAsia="仿宋" w:cs="仿宋"/>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ascii="仿宋" w:hAnsi="仿宋" w:eastAsia="仿宋" w:cs="仿宋"/>
          <w:sz w:val="24"/>
        </w:rPr>
      </w:pPr>
      <w:r>
        <w:rPr>
          <w:rFonts w:hint="eastAsia" w:ascii="仿宋" w:hAnsi="仿宋" w:eastAsia="仿宋" w:cs="仿宋"/>
          <w:sz w:val="24"/>
        </w:rPr>
        <w:t>2.4.4对磋商文件作出的实质性变动是磋商文件的有效组成部分，磋商小组应当及时以书面形式同时通知所有参加磋商的供应商。</w:t>
      </w:r>
    </w:p>
    <w:p>
      <w:pPr>
        <w:spacing w:line="360" w:lineRule="auto"/>
        <w:ind w:firstLine="470" w:firstLineChars="196"/>
        <w:rPr>
          <w:rFonts w:ascii="仿宋" w:hAnsi="仿宋" w:eastAsia="仿宋" w:cs="仿宋"/>
          <w:sz w:val="24"/>
        </w:rPr>
      </w:pPr>
      <w:r>
        <w:rPr>
          <w:rFonts w:hint="eastAsia" w:ascii="仿宋" w:hAnsi="仿宋" w:eastAsia="仿宋" w:cs="仿宋"/>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ascii="仿宋" w:hAnsi="仿宋" w:eastAsia="仿宋" w:cs="仿宋"/>
          <w:sz w:val="24"/>
        </w:rPr>
      </w:pPr>
      <w:r>
        <w:rPr>
          <w:rFonts w:hint="eastAsia" w:ascii="仿宋" w:hAnsi="仿宋" w:eastAsia="仿宋" w:cs="仿宋"/>
          <w:sz w:val="24"/>
        </w:rPr>
        <w:t>2.4.6磋商过程中，磋商的任何一方不得透露与磋商有关的其他供应商的技术资料、价格和其他信息。</w:t>
      </w:r>
    </w:p>
    <w:p>
      <w:pPr>
        <w:spacing w:line="360" w:lineRule="auto"/>
        <w:ind w:firstLine="470" w:firstLineChars="196"/>
        <w:rPr>
          <w:rFonts w:ascii="仿宋" w:hAnsi="仿宋" w:eastAsia="仿宋" w:cs="仿宋"/>
          <w:sz w:val="24"/>
        </w:rPr>
      </w:pPr>
      <w:r>
        <w:rPr>
          <w:rFonts w:hint="eastAsia" w:ascii="仿宋" w:hAnsi="仿宋" w:eastAsia="仿宋" w:cs="仿宋"/>
          <w:sz w:val="24"/>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ascii="仿宋" w:hAnsi="仿宋" w:eastAsia="仿宋" w:cs="仿宋"/>
          <w:sz w:val="24"/>
        </w:rPr>
      </w:pPr>
      <w:r>
        <w:rPr>
          <w:rFonts w:hint="eastAsia" w:ascii="仿宋" w:hAnsi="仿宋" w:eastAsia="仿宋" w:cs="仿宋"/>
          <w:sz w:val="24"/>
        </w:rPr>
        <w:t xml:space="preserve">2.4.8磋商完成后，磋商小组应出具磋商情况记录表，磋商情况记录表需包含磋商内容、磋商意见、实质性变动内容等。   </w:t>
      </w:r>
    </w:p>
    <w:p>
      <w:pPr>
        <w:spacing w:line="360" w:lineRule="auto"/>
        <w:ind w:firstLine="470" w:firstLineChars="196"/>
        <w:rPr>
          <w:rFonts w:ascii="仿宋" w:hAnsi="仿宋" w:eastAsia="仿宋" w:cs="仿宋"/>
          <w:sz w:val="24"/>
        </w:rPr>
      </w:pPr>
      <w:r>
        <w:rPr>
          <w:rFonts w:hint="eastAsia" w:ascii="仿宋" w:hAnsi="仿宋" w:eastAsia="仿宋" w:cs="仿宋"/>
          <w:sz w:val="24"/>
        </w:rPr>
        <w:t>2.5最后报价。</w:t>
      </w:r>
    </w:p>
    <w:p>
      <w:pPr>
        <w:spacing w:line="360" w:lineRule="auto"/>
        <w:ind w:firstLine="470" w:firstLineChars="196"/>
        <w:rPr>
          <w:rFonts w:ascii="仿宋" w:hAnsi="仿宋" w:eastAsia="仿宋" w:cs="仿宋"/>
          <w:sz w:val="24"/>
        </w:rPr>
      </w:pPr>
      <w:r>
        <w:rPr>
          <w:rFonts w:hint="eastAsia" w:ascii="仿宋" w:hAnsi="仿宋" w:eastAsia="仿宋" w:cs="仿宋"/>
          <w:sz w:val="24"/>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ascii="仿宋" w:hAnsi="仿宋" w:eastAsia="仿宋" w:cs="仿宋"/>
          <w:sz w:val="24"/>
        </w:rPr>
      </w:pPr>
      <w:r>
        <w:rPr>
          <w:rFonts w:hint="eastAsia" w:ascii="仿宋" w:hAnsi="仿宋" w:eastAsia="仿宋" w:cs="仿宋"/>
          <w:sz w:val="24"/>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ascii="仿宋" w:hAnsi="仿宋" w:eastAsia="仿宋" w:cs="仿宋"/>
          <w:sz w:val="24"/>
        </w:rPr>
      </w:pPr>
      <w:r>
        <w:rPr>
          <w:rFonts w:hint="eastAsia" w:ascii="仿宋" w:hAnsi="仿宋" w:eastAsia="仿宋" w:cs="仿宋"/>
          <w:sz w:val="24"/>
        </w:rPr>
        <w:t>2.5.3符合</w:t>
      </w:r>
      <w:bookmarkStart w:id="173" w:name="_Toc30986"/>
      <w:r>
        <w:rPr>
          <w:rFonts w:hint="eastAsia" w:ascii="仿宋" w:hAnsi="仿宋" w:eastAsia="仿宋" w:cs="仿宋"/>
          <w:sz w:val="24"/>
        </w:rPr>
        <w:t>《政府采购竞争性磋商采购方式管理暂行办法财库》〔2014〕214号</w:t>
      </w:r>
      <w:bookmarkEnd w:id="173"/>
      <w:r>
        <w:rPr>
          <w:rFonts w:hint="eastAsia" w:ascii="仿宋" w:hAnsi="仿宋" w:eastAsia="仿宋" w:cs="仿宋"/>
          <w:sz w:val="24"/>
        </w:rPr>
        <w:t>第三条第四项情形的，提交最后报价的供应商可以为2家。</w:t>
      </w:r>
    </w:p>
    <w:p>
      <w:pPr>
        <w:spacing w:line="360" w:lineRule="auto"/>
        <w:ind w:firstLine="480" w:firstLineChars="200"/>
        <w:rPr>
          <w:rFonts w:ascii="仿宋" w:hAnsi="仿宋" w:eastAsia="仿宋" w:cs="仿宋"/>
          <w:sz w:val="24"/>
        </w:rPr>
      </w:pPr>
      <w:r>
        <w:rPr>
          <w:rFonts w:hint="eastAsia" w:ascii="仿宋" w:hAnsi="仿宋" w:eastAsia="仿宋" w:cs="仿宋"/>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ascii="仿宋" w:hAnsi="仿宋" w:eastAsia="仿宋" w:cs="仿宋"/>
          <w:sz w:val="24"/>
        </w:rPr>
      </w:pPr>
      <w:r>
        <w:rPr>
          <w:rFonts w:hint="eastAsia" w:ascii="仿宋" w:hAnsi="仿宋" w:eastAsia="仿宋" w:cs="仿宋"/>
          <w:sz w:val="24"/>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ascii="仿宋" w:hAnsi="仿宋" w:eastAsia="仿宋" w:cs="仿宋"/>
          <w:sz w:val="24"/>
        </w:rPr>
      </w:pPr>
      <w:r>
        <w:rPr>
          <w:rFonts w:hint="eastAsia" w:ascii="仿宋" w:hAnsi="仿宋" w:eastAsia="仿宋" w:cs="仿宋"/>
          <w:sz w:val="24"/>
        </w:rPr>
        <w:t>2.5.6报价如果出现下列不一致的，可按以下原则进行修改：</w:t>
      </w:r>
    </w:p>
    <w:p>
      <w:pPr>
        <w:spacing w:line="360" w:lineRule="auto"/>
        <w:ind w:firstLine="480" w:firstLineChars="200"/>
        <w:rPr>
          <w:rFonts w:ascii="仿宋" w:hAnsi="仿宋" w:eastAsia="仿宋" w:cs="仿宋"/>
          <w:sz w:val="24"/>
        </w:rPr>
      </w:pPr>
      <w:r>
        <w:rPr>
          <w:rFonts w:hint="eastAsia" w:ascii="仿宋" w:hAnsi="仿宋" w:eastAsia="仿宋" w:cs="仿宋"/>
          <w:sz w:val="24"/>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ascii="仿宋" w:hAnsi="仿宋" w:eastAsia="仿宋" w:cs="仿宋"/>
          <w:sz w:val="24"/>
        </w:rPr>
      </w:pPr>
      <w:r>
        <w:rPr>
          <w:rFonts w:hint="eastAsia" w:ascii="仿宋" w:hAnsi="仿宋" w:eastAsia="仿宋" w:cs="仿宋"/>
          <w:sz w:val="24"/>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ascii="仿宋" w:hAnsi="仿宋" w:eastAsia="仿宋" w:cs="仿宋"/>
          <w:sz w:val="24"/>
        </w:rPr>
      </w:pPr>
      <w:r>
        <w:rPr>
          <w:rFonts w:hint="eastAsia" w:ascii="仿宋" w:hAnsi="仿宋" w:eastAsia="仿宋" w:cs="仿宋"/>
          <w:sz w:val="24"/>
        </w:rPr>
        <w:t>（3）单价金额小数点或者百分比有明显错位的，以总价为准，修正单价。</w:t>
      </w:r>
    </w:p>
    <w:p>
      <w:pPr>
        <w:spacing w:line="360" w:lineRule="auto"/>
        <w:ind w:firstLine="470" w:firstLineChars="196"/>
        <w:rPr>
          <w:rFonts w:ascii="仿宋" w:hAnsi="仿宋" w:eastAsia="仿宋" w:cs="仿宋"/>
          <w:sz w:val="24"/>
        </w:rPr>
      </w:pPr>
      <w:r>
        <w:rPr>
          <w:rFonts w:hint="eastAsia" w:ascii="仿宋" w:hAnsi="仿宋" w:eastAsia="仿宋" w:cs="仿宋"/>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ascii="仿宋" w:hAnsi="仿宋" w:eastAsia="仿宋" w:cs="仿宋"/>
          <w:sz w:val="24"/>
        </w:rPr>
      </w:pPr>
      <w:r>
        <w:rPr>
          <w:rFonts w:hint="eastAsia" w:ascii="仿宋" w:hAnsi="仿宋" w:eastAsia="仿宋" w:cs="仿宋"/>
          <w:sz w:val="24"/>
        </w:rPr>
        <w:t>不得未经澄清、说明或者更正，直接将供应商响应文件作为无效处理。对不同文字文本响应文件的解释发生异议的，以中文文本为准。</w:t>
      </w:r>
    </w:p>
    <w:p>
      <w:pPr>
        <w:spacing w:line="360" w:lineRule="auto"/>
        <w:ind w:firstLine="470" w:firstLineChars="196"/>
        <w:rPr>
          <w:rFonts w:ascii="仿宋" w:hAnsi="仿宋" w:eastAsia="仿宋" w:cs="仿宋"/>
          <w:sz w:val="24"/>
        </w:rPr>
      </w:pPr>
      <w:r>
        <w:rPr>
          <w:rFonts w:hint="eastAsia" w:ascii="仿宋" w:hAnsi="仿宋" w:eastAsia="仿宋" w:cs="仿宋"/>
          <w:sz w:val="24"/>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ascii="仿宋" w:hAnsi="仿宋" w:eastAsia="仿宋" w:cs="仿宋"/>
          <w:sz w:val="24"/>
        </w:rPr>
      </w:pPr>
      <w:r>
        <w:rPr>
          <w:rFonts w:hint="eastAsia" w:ascii="仿宋" w:hAnsi="仿宋" w:eastAsia="仿宋" w:cs="仿宋"/>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ascii="仿宋" w:hAnsi="仿宋" w:eastAsia="仿宋" w:cs="仿宋"/>
          <w:sz w:val="24"/>
        </w:rPr>
      </w:pPr>
      <w:r>
        <w:rPr>
          <w:rFonts w:hint="eastAsia" w:ascii="仿宋" w:hAnsi="仿宋" w:eastAsia="仿宋" w:cs="仿宋"/>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ascii="仿宋" w:hAnsi="仿宋" w:eastAsia="仿宋" w:cs="仿宋"/>
          <w:sz w:val="24"/>
        </w:rPr>
      </w:pPr>
      <w:r>
        <w:rPr>
          <w:rFonts w:hint="eastAsia" w:ascii="仿宋" w:hAnsi="仿宋" w:eastAsia="仿宋" w:cs="仿宋"/>
          <w:sz w:val="24"/>
        </w:rPr>
        <w:t>2.9采购组织单位现场复核评审结果。</w:t>
      </w:r>
    </w:p>
    <w:p>
      <w:pPr>
        <w:spacing w:line="360" w:lineRule="auto"/>
        <w:ind w:firstLine="470" w:firstLineChars="196"/>
        <w:rPr>
          <w:rFonts w:ascii="仿宋" w:hAnsi="仿宋" w:eastAsia="仿宋" w:cs="仿宋"/>
          <w:sz w:val="24"/>
        </w:rPr>
      </w:pPr>
      <w:r>
        <w:rPr>
          <w:rFonts w:hint="eastAsia" w:ascii="仿宋" w:hAnsi="仿宋" w:eastAsia="仿宋" w:cs="仿宋"/>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ascii="仿宋" w:hAnsi="仿宋" w:eastAsia="仿宋" w:cs="仿宋"/>
          <w:sz w:val="24"/>
        </w:rPr>
      </w:pPr>
      <w:r>
        <w:rPr>
          <w:rFonts w:hint="eastAsia" w:ascii="仿宋" w:hAnsi="仿宋" w:eastAsia="仿宋" w:cs="仿宋"/>
          <w:sz w:val="24"/>
        </w:rPr>
        <w:t>（1）资格性审查认定错误的；</w:t>
      </w:r>
    </w:p>
    <w:p>
      <w:pPr>
        <w:spacing w:line="360" w:lineRule="auto"/>
        <w:ind w:firstLine="470" w:firstLineChars="196"/>
        <w:rPr>
          <w:rFonts w:ascii="仿宋" w:hAnsi="仿宋" w:eastAsia="仿宋" w:cs="仿宋"/>
          <w:sz w:val="24"/>
        </w:rPr>
      </w:pPr>
      <w:r>
        <w:rPr>
          <w:rFonts w:hint="eastAsia" w:ascii="仿宋" w:hAnsi="仿宋" w:eastAsia="仿宋" w:cs="仿宋"/>
          <w:sz w:val="24"/>
        </w:rPr>
        <w:t>（2）分值汇总计算错误的；</w:t>
      </w:r>
    </w:p>
    <w:p>
      <w:pPr>
        <w:spacing w:line="360" w:lineRule="auto"/>
        <w:ind w:firstLine="470" w:firstLineChars="196"/>
        <w:rPr>
          <w:rFonts w:ascii="仿宋" w:hAnsi="仿宋" w:eastAsia="仿宋" w:cs="仿宋"/>
          <w:sz w:val="24"/>
        </w:rPr>
      </w:pPr>
      <w:r>
        <w:rPr>
          <w:rFonts w:hint="eastAsia" w:ascii="仿宋" w:hAnsi="仿宋" w:eastAsia="仿宋" w:cs="仿宋"/>
          <w:sz w:val="24"/>
        </w:rPr>
        <w:t>（3）分项评分超出评分标准范围的；</w:t>
      </w:r>
    </w:p>
    <w:p>
      <w:pPr>
        <w:spacing w:line="360" w:lineRule="auto"/>
        <w:ind w:firstLine="470" w:firstLineChars="196"/>
        <w:rPr>
          <w:rFonts w:ascii="仿宋" w:hAnsi="仿宋" w:eastAsia="仿宋" w:cs="仿宋"/>
          <w:sz w:val="24"/>
        </w:rPr>
      </w:pPr>
      <w:r>
        <w:rPr>
          <w:rFonts w:hint="eastAsia" w:ascii="仿宋" w:hAnsi="仿宋" w:eastAsia="仿宋" w:cs="仿宋"/>
          <w:sz w:val="24"/>
        </w:rPr>
        <w:t>（4）客观评分不一致的。</w:t>
      </w:r>
    </w:p>
    <w:p>
      <w:pPr>
        <w:spacing w:line="360" w:lineRule="auto"/>
        <w:ind w:firstLine="470" w:firstLineChars="196"/>
        <w:rPr>
          <w:rFonts w:ascii="仿宋" w:hAnsi="仿宋" w:eastAsia="仿宋" w:cs="仿宋"/>
          <w:sz w:val="24"/>
        </w:rPr>
      </w:pPr>
      <w:r>
        <w:rPr>
          <w:rFonts w:hint="eastAsia" w:ascii="仿宋" w:hAnsi="仿宋" w:eastAsia="仿宋" w:cs="仿宋"/>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ascii="仿宋" w:hAnsi="仿宋" w:eastAsia="仿宋" w:cs="仿宋"/>
          <w:sz w:val="24"/>
        </w:rPr>
      </w:pPr>
      <w:r>
        <w:rPr>
          <w:rFonts w:hint="eastAsia" w:ascii="仿宋" w:hAnsi="仿宋" w:eastAsia="仿宋" w:cs="仿宋"/>
          <w:sz w:val="24"/>
        </w:rPr>
        <w:t>采购人/采购代理机构复核过程中，磋商小组成员不得离开评审现场。</w:t>
      </w:r>
    </w:p>
    <w:p>
      <w:pPr>
        <w:spacing w:line="360" w:lineRule="auto"/>
        <w:ind w:firstLine="470" w:firstLineChars="196"/>
        <w:rPr>
          <w:rFonts w:ascii="仿宋" w:hAnsi="仿宋" w:eastAsia="仿宋" w:cs="仿宋"/>
          <w:sz w:val="24"/>
        </w:rPr>
      </w:pPr>
      <w:r>
        <w:rPr>
          <w:rFonts w:hint="eastAsia" w:ascii="仿宋" w:hAnsi="仿宋" w:eastAsia="仿宋" w:cs="仿宋"/>
          <w:sz w:val="24"/>
        </w:rPr>
        <w:t>2.9.2有下列情形之一的，不得现场修改评审结果：</w:t>
      </w:r>
    </w:p>
    <w:p>
      <w:pPr>
        <w:spacing w:line="360" w:lineRule="auto"/>
        <w:ind w:firstLine="470" w:firstLineChars="196"/>
        <w:rPr>
          <w:rFonts w:ascii="仿宋" w:hAnsi="仿宋" w:eastAsia="仿宋" w:cs="仿宋"/>
          <w:sz w:val="24"/>
        </w:rPr>
      </w:pPr>
      <w:r>
        <w:rPr>
          <w:rFonts w:hint="eastAsia" w:ascii="仿宋" w:hAnsi="仿宋" w:eastAsia="仿宋" w:cs="仿宋"/>
          <w:sz w:val="24"/>
        </w:rPr>
        <w:t>（1）磋商小组已经出具磋商报告并且离开评审现场的；</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（2）采购人/采购代理机构现场复核时，复核工作人员数量不足的；</w:t>
      </w:r>
    </w:p>
    <w:p>
      <w:pPr>
        <w:spacing w:line="360" w:lineRule="auto"/>
        <w:ind w:firstLine="470" w:firstLineChars="196"/>
        <w:rPr>
          <w:rFonts w:ascii="仿宋" w:hAnsi="仿宋" w:eastAsia="仿宋" w:cs="仿宋"/>
          <w:sz w:val="24"/>
        </w:rPr>
      </w:pPr>
      <w:r>
        <w:rPr>
          <w:rFonts w:hint="eastAsia" w:ascii="仿宋" w:hAnsi="仿宋" w:eastAsia="仿宋" w:cs="仿宋"/>
          <w:sz w:val="24"/>
        </w:rPr>
        <w:t>（3）采购人/采购代理机构现场复核时，没有采购监督人员现场监督的；</w:t>
      </w:r>
    </w:p>
    <w:p>
      <w:pPr>
        <w:spacing w:line="360" w:lineRule="auto"/>
        <w:ind w:firstLine="470" w:firstLineChars="196"/>
        <w:rPr>
          <w:rFonts w:ascii="仿宋" w:hAnsi="仿宋" w:eastAsia="仿宋" w:cs="仿宋"/>
          <w:sz w:val="24"/>
        </w:rPr>
      </w:pPr>
      <w:r>
        <w:rPr>
          <w:rFonts w:hint="eastAsia" w:ascii="仿宋" w:hAnsi="仿宋" w:eastAsia="仿宋" w:cs="仿宋"/>
          <w:sz w:val="24"/>
        </w:rPr>
        <w:t>（4）采购人/采购代理机构现场复核内容超出规定范围的；</w:t>
      </w:r>
    </w:p>
    <w:p>
      <w:pPr>
        <w:spacing w:line="360" w:lineRule="auto"/>
        <w:ind w:firstLine="470" w:firstLineChars="196"/>
        <w:rPr>
          <w:rFonts w:ascii="仿宋" w:hAnsi="仿宋" w:eastAsia="仿宋" w:cs="仿宋"/>
          <w:sz w:val="24"/>
        </w:rPr>
      </w:pPr>
      <w:r>
        <w:rPr>
          <w:rFonts w:hint="eastAsia" w:ascii="仿宋" w:hAnsi="仿宋" w:eastAsia="仿宋" w:cs="仿宋"/>
          <w:sz w:val="24"/>
        </w:rPr>
        <w:t>（5）采购人/采购代理机构未提供书面建议的。</w:t>
      </w:r>
    </w:p>
    <w:p>
      <w:pPr>
        <w:spacing w:line="360" w:lineRule="auto"/>
        <w:ind w:firstLine="470" w:firstLineChars="196"/>
        <w:rPr>
          <w:rFonts w:ascii="仿宋" w:hAnsi="仿宋" w:eastAsia="仿宋" w:cs="仿宋"/>
          <w:sz w:val="24"/>
        </w:rPr>
      </w:pPr>
      <w:r>
        <w:rPr>
          <w:rFonts w:hint="eastAsia" w:ascii="仿宋" w:hAnsi="仿宋" w:eastAsia="仿宋" w:cs="仿宋"/>
          <w:sz w:val="24"/>
        </w:rPr>
        <w:t>2.10编写磋商报告。磋商小组推荐成交候选供应商后，应向采购人/采购代理机构出具磋商报告。磋商报告应当包括以下主要内容：</w:t>
      </w:r>
    </w:p>
    <w:p>
      <w:pPr>
        <w:spacing w:line="360" w:lineRule="auto"/>
        <w:ind w:firstLine="470" w:firstLineChars="196"/>
        <w:rPr>
          <w:rFonts w:ascii="仿宋" w:hAnsi="仿宋" w:eastAsia="仿宋" w:cs="仿宋"/>
          <w:sz w:val="24"/>
        </w:rPr>
      </w:pPr>
      <w:r>
        <w:rPr>
          <w:rFonts w:hint="eastAsia" w:ascii="仿宋" w:hAnsi="仿宋" w:eastAsia="仿宋" w:cs="仿宋"/>
          <w:sz w:val="24"/>
        </w:rPr>
        <w:t>（1）邀请供应商参加采购活动的具体方式和相关情况；</w:t>
      </w:r>
    </w:p>
    <w:p>
      <w:pPr>
        <w:spacing w:line="360" w:lineRule="auto"/>
        <w:ind w:firstLine="470" w:firstLineChars="196"/>
        <w:rPr>
          <w:rFonts w:ascii="仿宋" w:hAnsi="仿宋" w:eastAsia="仿宋" w:cs="仿宋"/>
          <w:sz w:val="24"/>
        </w:rPr>
      </w:pPr>
      <w:r>
        <w:rPr>
          <w:rFonts w:hint="eastAsia" w:ascii="仿宋" w:hAnsi="仿宋" w:eastAsia="仿宋" w:cs="仿宋"/>
          <w:sz w:val="24"/>
        </w:rPr>
        <w:t>（2）响应文件开启日期和地点；</w:t>
      </w:r>
    </w:p>
    <w:p>
      <w:pPr>
        <w:spacing w:line="360" w:lineRule="auto"/>
        <w:ind w:firstLine="470" w:firstLineChars="196"/>
        <w:rPr>
          <w:rFonts w:ascii="仿宋" w:hAnsi="仿宋" w:eastAsia="仿宋" w:cs="仿宋"/>
          <w:sz w:val="24"/>
        </w:rPr>
      </w:pPr>
      <w:r>
        <w:rPr>
          <w:rFonts w:hint="eastAsia" w:ascii="仿宋" w:hAnsi="仿宋" w:eastAsia="仿宋" w:cs="仿宋"/>
          <w:sz w:val="24"/>
        </w:rPr>
        <w:t>（3）获取磋商文件的供应商名单和磋商小组成员名单；</w:t>
      </w:r>
    </w:p>
    <w:p>
      <w:pPr>
        <w:spacing w:line="360" w:lineRule="auto"/>
        <w:ind w:firstLine="470" w:firstLineChars="196"/>
        <w:rPr>
          <w:rFonts w:ascii="仿宋" w:hAnsi="仿宋" w:eastAsia="仿宋" w:cs="仿宋"/>
          <w:sz w:val="24"/>
        </w:rPr>
      </w:pPr>
      <w:r>
        <w:rPr>
          <w:rFonts w:hint="eastAsia" w:ascii="仿宋" w:hAnsi="仿宋" w:eastAsia="仿宋" w:cs="仿宋"/>
          <w:sz w:val="24"/>
        </w:rPr>
        <w:t>（4）评审情况记录和说明，包括对供应商的资格审查情况、供应商响应文件审查情况、磋商情况、报价情况等；</w:t>
      </w:r>
    </w:p>
    <w:p>
      <w:pPr>
        <w:spacing w:line="360" w:lineRule="auto"/>
        <w:ind w:firstLine="470" w:firstLineChars="196"/>
        <w:rPr>
          <w:rFonts w:ascii="仿宋" w:hAnsi="仿宋" w:eastAsia="仿宋" w:cs="仿宋"/>
          <w:sz w:val="24"/>
        </w:rPr>
      </w:pPr>
      <w:r>
        <w:rPr>
          <w:rFonts w:hint="eastAsia" w:ascii="仿宋" w:hAnsi="仿宋" w:eastAsia="仿宋" w:cs="仿宋"/>
          <w:sz w:val="24"/>
        </w:rPr>
        <w:t>（5）提出的成交候选供应商的排序名单及理由。</w:t>
      </w:r>
    </w:p>
    <w:p>
      <w:pPr>
        <w:spacing w:line="360" w:lineRule="auto"/>
        <w:ind w:firstLine="470" w:firstLineChars="196"/>
        <w:rPr>
          <w:rFonts w:ascii="仿宋" w:hAnsi="仿宋" w:eastAsia="仿宋" w:cs="仿宋"/>
          <w:sz w:val="24"/>
        </w:rPr>
      </w:pPr>
      <w:r>
        <w:rPr>
          <w:rFonts w:hint="eastAsia" w:ascii="仿宋" w:hAnsi="仿宋" w:eastAsia="仿宋" w:cs="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ascii="仿宋" w:hAnsi="仿宋" w:eastAsia="仿宋" w:cs="仿宋"/>
          <w:sz w:val="24"/>
        </w:rPr>
      </w:pPr>
      <w:r>
        <w:rPr>
          <w:rFonts w:hint="eastAsia" w:ascii="仿宋" w:hAnsi="仿宋" w:eastAsia="仿宋" w:cs="仿宋"/>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ascii="仿宋" w:hAnsi="仿宋" w:eastAsia="仿宋" w:cs="仿宋"/>
          <w:sz w:val="24"/>
        </w:rPr>
      </w:pPr>
      <w:r>
        <w:rPr>
          <w:rFonts w:hint="eastAsia" w:ascii="仿宋" w:hAnsi="仿宋" w:eastAsia="仿宋" w:cs="仿宋"/>
          <w:sz w:val="24"/>
        </w:rPr>
        <w:t>2.12供应商澄清、说明</w:t>
      </w:r>
    </w:p>
    <w:p>
      <w:pPr>
        <w:spacing w:line="360" w:lineRule="auto"/>
        <w:ind w:firstLine="470" w:firstLineChars="196"/>
        <w:rPr>
          <w:rFonts w:ascii="仿宋" w:hAnsi="仿宋" w:eastAsia="仿宋" w:cs="仿宋"/>
          <w:sz w:val="24"/>
        </w:rPr>
      </w:pPr>
      <w:r>
        <w:rPr>
          <w:rFonts w:hint="eastAsia" w:ascii="仿宋" w:hAnsi="仿宋" w:eastAsia="仿宋" w:cs="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ascii="仿宋" w:hAnsi="仿宋" w:eastAsia="仿宋" w:cs="仿宋"/>
          <w:sz w:val="24"/>
        </w:rPr>
      </w:pPr>
      <w:r>
        <w:rPr>
          <w:rFonts w:hint="eastAsia" w:ascii="仿宋" w:hAnsi="仿宋" w:eastAsia="仿宋" w:cs="仿宋"/>
          <w:sz w:val="24"/>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ascii="仿宋" w:hAnsi="仿宋" w:eastAsia="仿宋" w:cs="仿宋"/>
          <w:sz w:val="24"/>
        </w:rPr>
      </w:pPr>
      <w:r>
        <w:rPr>
          <w:rFonts w:hint="eastAsia" w:ascii="仿宋" w:hAnsi="仿宋" w:eastAsia="仿宋" w:cs="仿宋"/>
          <w:sz w:val="24"/>
        </w:rPr>
        <w:t>2.13终止磋商采购活动。</w:t>
      </w:r>
    </w:p>
    <w:p>
      <w:pPr>
        <w:spacing w:line="360" w:lineRule="auto"/>
        <w:ind w:firstLine="470" w:firstLineChars="196"/>
        <w:rPr>
          <w:rFonts w:ascii="仿宋" w:hAnsi="仿宋" w:eastAsia="仿宋" w:cs="仿宋"/>
          <w:sz w:val="24"/>
        </w:rPr>
      </w:pPr>
      <w:r>
        <w:rPr>
          <w:rFonts w:hint="eastAsia" w:ascii="仿宋" w:hAnsi="仿宋" w:eastAsia="仿宋" w:cs="仿宋"/>
          <w:sz w:val="24"/>
        </w:rPr>
        <w:t>出现下列情形之一的，采购人或者采购代理机构应当终止竞争性磋商采购活动，发布项目终止公告并说明原因，重新开展采购活动：</w:t>
      </w:r>
    </w:p>
    <w:p>
      <w:pPr>
        <w:spacing w:line="360" w:lineRule="auto"/>
        <w:ind w:firstLine="470" w:firstLineChars="196"/>
        <w:rPr>
          <w:rFonts w:ascii="仿宋" w:hAnsi="仿宋" w:eastAsia="仿宋" w:cs="仿宋"/>
          <w:sz w:val="24"/>
        </w:rPr>
      </w:pPr>
      <w:r>
        <w:rPr>
          <w:rFonts w:hint="eastAsia" w:ascii="仿宋" w:hAnsi="仿宋" w:eastAsia="仿宋" w:cs="仿宋"/>
          <w:sz w:val="24"/>
        </w:rPr>
        <w:t>（1）因情况变化，不再符合规定的竞争性磋商采购方式适用情形的；</w:t>
      </w:r>
    </w:p>
    <w:p>
      <w:pPr>
        <w:spacing w:line="360" w:lineRule="auto"/>
        <w:ind w:firstLine="470" w:firstLineChars="196"/>
        <w:rPr>
          <w:rFonts w:ascii="仿宋" w:hAnsi="仿宋" w:eastAsia="仿宋" w:cs="仿宋"/>
          <w:sz w:val="24"/>
        </w:rPr>
      </w:pPr>
      <w:r>
        <w:rPr>
          <w:rFonts w:hint="eastAsia" w:ascii="仿宋" w:hAnsi="仿宋" w:eastAsia="仿宋" w:cs="仿宋"/>
          <w:sz w:val="24"/>
        </w:rPr>
        <w:t>（2）出现影响采购公正的违法、违规行为的；</w:t>
      </w:r>
    </w:p>
    <w:p>
      <w:pPr>
        <w:spacing w:line="360" w:lineRule="auto"/>
        <w:ind w:firstLine="470" w:firstLineChars="196"/>
        <w:rPr>
          <w:rFonts w:ascii="仿宋" w:hAnsi="仿宋" w:eastAsia="仿宋" w:cs="仿宋"/>
          <w:szCs w:val="21"/>
        </w:rPr>
      </w:pPr>
      <w:r>
        <w:rPr>
          <w:rFonts w:hint="eastAsia" w:ascii="仿宋" w:hAnsi="仿宋" w:eastAsia="仿宋" w:cs="仿宋"/>
          <w:sz w:val="24"/>
        </w:rPr>
        <w:t>（3）除本章2.3.1和2.5.3的情况外，在采购过程中符合要求的供应商或者报价未超过采购预算的供应商不足3家的。</w:t>
      </w:r>
    </w:p>
    <w:p>
      <w:pPr>
        <w:spacing w:line="360" w:lineRule="auto"/>
        <w:rPr>
          <w:rFonts w:ascii="仿宋" w:hAnsi="仿宋" w:eastAsia="仿宋" w:cs="仿宋"/>
          <w:szCs w:val="21"/>
        </w:rPr>
      </w:pPr>
    </w:p>
    <w:p>
      <w:pPr>
        <w:pStyle w:val="5"/>
        <w:keepNext w:val="0"/>
        <w:keepLines w:val="0"/>
        <w:spacing w:before="0" w:after="0" w:line="360" w:lineRule="auto"/>
        <w:ind w:firstLine="472" w:firstLineChars="196"/>
        <w:rPr>
          <w:rFonts w:ascii="仿宋" w:hAnsi="仿宋" w:eastAsia="仿宋" w:cs="仿宋"/>
          <w:sz w:val="24"/>
          <w:szCs w:val="24"/>
        </w:rPr>
      </w:pPr>
      <w:bookmarkStart w:id="174" w:name="_Toc7215_WPSOffice_Level2"/>
      <w:bookmarkStart w:id="175" w:name="_Toc5686_WPSOffice_Level2"/>
      <w:r>
        <w:rPr>
          <w:rFonts w:hint="eastAsia" w:ascii="仿宋" w:hAnsi="仿宋" w:eastAsia="仿宋" w:cs="仿宋"/>
          <w:sz w:val="24"/>
          <w:szCs w:val="24"/>
        </w:rPr>
        <w:t>3.综合评分</w:t>
      </w:r>
      <w:bookmarkEnd w:id="174"/>
      <w:bookmarkEnd w:id="175"/>
    </w:p>
    <w:p>
      <w:pPr>
        <w:spacing w:line="360" w:lineRule="auto"/>
        <w:ind w:firstLine="470" w:firstLineChars="196"/>
        <w:rPr>
          <w:rFonts w:ascii="仿宋" w:hAnsi="仿宋" w:eastAsia="仿宋" w:cs="仿宋"/>
          <w:sz w:val="24"/>
        </w:rPr>
      </w:pPr>
      <w:r>
        <w:rPr>
          <w:rFonts w:hint="eastAsia" w:ascii="仿宋" w:hAnsi="仿宋" w:eastAsia="仿宋" w:cs="仿宋"/>
          <w:sz w:val="24"/>
        </w:rPr>
        <w:t>3.1本次综合评分的因素详见综合评分明细表。</w:t>
      </w:r>
    </w:p>
    <w:p>
      <w:pPr>
        <w:spacing w:line="360" w:lineRule="auto"/>
        <w:ind w:firstLine="470" w:firstLineChars="196"/>
        <w:rPr>
          <w:rFonts w:ascii="仿宋" w:hAnsi="仿宋" w:eastAsia="仿宋" w:cs="仿宋"/>
          <w:sz w:val="24"/>
        </w:rPr>
      </w:pPr>
      <w:r>
        <w:rPr>
          <w:rFonts w:hint="eastAsia" w:ascii="仿宋" w:hAnsi="仿宋" w:eastAsia="仿宋" w:cs="仿宋"/>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ascii="仿宋" w:hAnsi="仿宋" w:eastAsia="仿宋" w:cs="仿宋"/>
          <w:sz w:val="24"/>
        </w:rPr>
      </w:pPr>
      <w:r>
        <w:rPr>
          <w:rFonts w:hint="eastAsia" w:ascii="仿宋" w:hAnsi="仿宋" w:eastAsia="仿宋" w:cs="仿宋"/>
          <w:sz w:val="24"/>
        </w:rPr>
        <w:t>3.3综合评分明细表</w:t>
      </w:r>
    </w:p>
    <w:p>
      <w:pPr>
        <w:pStyle w:val="10"/>
        <w:tabs>
          <w:tab w:val="left" w:pos="600"/>
        </w:tabs>
        <w:spacing w:line="360" w:lineRule="auto"/>
        <w:ind w:firstLine="0"/>
        <w:rPr>
          <w:rFonts w:ascii="仿宋" w:hAnsi="仿宋" w:eastAsia="仿宋" w:cs="仿宋"/>
          <w:sz w:val="24"/>
          <w:szCs w:val="24"/>
        </w:rPr>
      </w:pPr>
      <w:r>
        <w:rPr>
          <w:rFonts w:hint="eastAsia" w:ascii="仿宋" w:hAnsi="仿宋" w:eastAsia="仿宋" w:cs="仿宋"/>
          <w:sz w:val="24"/>
          <w:szCs w:val="24"/>
        </w:rPr>
        <w:t>3.3.1综合评分明细表的制定以科学合理、降低评委会自由裁量权为原则。</w:t>
      </w:r>
    </w:p>
    <w:p>
      <w:pPr>
        <w:rPr>
          <w:rFonts w:ascii="仿宋" w:hAnsi="仿宋" w:eastAsia="仿宋" w:cs="仿宋"/>
          <w:b/>
          <w:color w:val="auto"/>
          <w:highlight w:val="none"/>
        </w:rPr>
      </w:pPr>
      <w:r>
        <w:rPr>
          <w:rFonts w:hint="eastAsia" w:ascii="仿宋" w:hAnsi="仿宋" w:eastAsia="仿宋" w:cs="仿宋"/>
          <w:b/>
          <w:sz w:val="24"/>
          <w:highlight w:val="yellow"/>
        </w:rPr>
        <w:br w:type="page"/>
      </w:r>
      <w:r>
        <w:rPr>
          <w:rFonts w:hint="eastAsia" w:ascii="仿宋" w:hAnsi="仿宋" w:eastAsia="仿宋" w:cs="仿宋"/>
          <w:b/>
          <w:sz w:val="24"/>
        </w:rPr>
        <w:t>3.3.2综合评分明细表：</w:t>
      </w:r>
      <w:r>
        <w:rPr>
          <w:rFonts w:hint="eastAsia" w:ascii="仿宋" w:hAnsi="仿宋" w:eastAsia="仿宋" w:cs="仿宋"/>
          <w:b/>
        </w:rPr>
        <w:t xml:space="preserve"> </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22"/>
        <w:gridCol w:w="829"/>
        <w:gridCol w:w="477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4"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22"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及权重</w:t>
            </w:r>
          </w:p>
        </w:tc>
        <w:tc>
          <w:tcPr>
            <w:tcW w:w="829"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4771"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1705"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44" w:type="dxa"/>
            <w:noWrap w:val="0"/>
            <w:vAlign w:val="center"/>
          </w:tcPr>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22" w:type="dxa"/>
            <w:noWrap w:val="0"/>
            <w:vAlign w:val="center"/>
          </w:tcPr>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tc>
        <w:tc>
          <w:tcPr>
            <w:tcW w:w="829" w:type="dxa"/>
            <w:noWrap w:val="0"/>
            <w:vAlign w:val="center"/>
          </w:tcPr>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771" w:type="dxa"/>
            <w:noWrap w:val="0"/>
            <w:vAlign w:val="center"/>
          </w:tcPr>
          <w:p>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以本次最低有效投标报价为基准价，投标报价得分=(基准价／投标报价)×1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p>
          <w:p>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政策性鼓励与惩戒按照</w:t>
            </w:r>
            <w:r>
              <w:rPr>
                <w:rFonts w:hint="eastAsia" w:ascii="仿宋" w:hAnsi="仿宋" w:eastAsia="仿宋" w:cs="仿宋"/>
                <w:color w:val="auto"/>
                <w:sz w:val="24"/>
                <w:szCs w:val="24"/>
                <w:highlight w:val="none"/>
                <w:lang w:val="en-US" w:eastAsia="zh-CN"/>
              </w:rPr>
              <w:t>本磋商文件</w:t>
            </w:r>
            <w:r>
              <w:rPr>
                <w:rFonts w:hint="eastAsia" w:ascii="仿宋" w:hAnsi="仿宋" w:eastAsia="仿宋" w:cs="仿宋"/>
                <w:color w:val="auto"/>
                <w:sz w:val="24"/>
                <w:szCs w:val="24"/>
                <w:highlight w:val="none"/>
              </w:rPr>
              <w:t>规定执行。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保留2位小数</w:t>
            </w:r>
            <w:r>
              <w:rPr>
                <w:rFonts w:hint="eastAsia" w:ascii="仿宋" w:hAnsi="仿宋" w:eastAsia="仿宋" w:cs="仿宋"/>
                <w:color w:val="auto"/>
                <w:sz w:val="24"/>
                <w:szCs w:val="24"/>
                <w:highlight w:val="none"/>
                <w:lang w:eastAsia="zh-CN"/>
              </w:rPr>
              <w:t>）</w:t>
            </w:r>
          </w:p>
        </w:tc>
        <w:tc>
          <w:tcPr>
            <w:tcW w:w="1705" w:type="dxa"/>
            <w:noWrap w:val="0"/>
            <w:vAlign w:val="center"/>
          </w:tcPr>
          <w:p>
            <w:pPr>
              <w:spacing w:line="24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44"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22" w:type="dxa"/>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服务要求20%</w:t>
            </w:r>
          </w:p>
        </w:tc>
        <w:tc>
          <w:tcPr>
            <w:tcW w:w="829"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4771"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完全满足磋商文件第五章“二、项目要求”的得20分，有一项负偏离扣1.25分，扣完为止。</w:t>
            </w:r>
          </w:p>
        </w:tc>
        <w:tc>
          <w:tcPr>
            <w:tcW w:w="1705" w:type="dxa"/>
            <w:noWrap w:val="0"/>
            <w:vAlign w:val="center"/>
          </w:tcPr>
          <w:p>
            <w:pPr>
              <w:spacing w:line="240" w:lineRule="auto"/>
              <w:ind w:left="-3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44"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22"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实施经验</w:t>
            </w:r>
            <w:r>
              <w:rPr>
                <w:rFonts w:hint="eastAsia" w:ascii="仿宋" w:hAnsi="仿宋" w:eastAsia="仿宋" w:cs="仿宋"/>
                <w:color w:val="auto"/>
                <w:sz w:val="24"/>
                <w:szCs w:val="24"/>
                <w:highlight w:val="none"/>
                <w:lang w:val="en-US" w:eastAsia="zh-CN"/>
              </w:rPr>
              <w:t>25%</w:t>
            </w:r>
          </w:p>
        </w:tc>
        <w:tc>
          <w:tcPr>
            <w:tcW w:w="829" w:type="dxa"/>
            <w:noWrap w:val="0"/>
            <w:vAlign w:val="center"/>
          </w:tcPr>
          <w:p>
            <w:pPr>
              <w:spacing w:line="240" w:lineRule="auto"/>
              <w:ind w:firstLine="28" w:firstLine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25分</w:t>
            </w:r>
          </w:p>
        </w:tc>
        <w:tc>
          <w:tcPr>
            <w:tcW w:w="4771" w:type="dxa"/>
            <w:noWrap w:val="0"/>
            <w:vAlign w:val="center"/>
          </w:tcPr>
          <w:p>
            <w:pPr>
              <w:spacing w:line="24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年1月1日（含1日）以后每具有一个类似项目实施经验的得</w:t>
            </w:r>
            <w:bookmarkStart w:id="265" w:name="_GoBack"/>
            <w:bookmarkEnd w:id="265"/>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分。（需提供类似项目单个合同复印件加盖公章）</w:t>
            </w:r>
          </w:p>
        </w:tc>
        <w:tc>
          <w:tcPr>
            <w:tcW w:w="1705" w:type="dxa"/>
            <w:noWrap w:val="0"/>
            <w:vAlign w:val="center"/>
          </w:tcPr>
          <w:p>
            <w:pPr>
              <w:spacing w:line="240" w:lineRule="auto"/>
              <w:ind w:left="-38" w:left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44"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22"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人员配置14%</w:t>
            </w:r>
          </w:p>
        </w:tc>
        <w:tc>
          <w:tcPr>
            <w:tcW w:w="829" w:type="dxa"/>
            <w:noWrap w:val="0"/>
            <w:vAlign w:val="center"/>
          </w:tcPr>
          <w:p>
            <w:pPr>
              <w:spacing w:line="240" w:lineRule="auto"/>
              <w:ind w:firstLine="28" w:firstLine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14分</w:t>
            </w:r>
          </w:p>
        </w:tc>
        <w:tc>
          <w:tcPr>
            <w:tcW w:w="4771"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提供的派驻人员，每有一位复员军人或退役武警的，加1分，本项最高得7分。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提供的派驻人员，2人具有驾驶证，此外增加一名C1驾驶证的加1分；增加一名驾驶证A证或B证的加2分，本项最高得7分。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以上人员不能重复得分。所有人员必须用于本项目，签定合同时业主单位按投标文件核实人员。</w:t>
            </w:r>
          </w:p>
          <w:p>
            <w:pPr>
              <w:spacing w:line="24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（须提供相关证明材料及以上人员为本公司职工的承诺函）</w:t>
            </w:r>
          </w:p>
        </w:tc>
        <w:tc>
          <w:tcPr>
            <w:tcW w:w="1705" w:type="dxa"/>
            <w:noWrap w:val="0"/>
            <w:vAlign w:val="center"/>
          </w:tcPr>
          <w:p>
            <w:pPr>
              <w:spacing w:line="240" w:lineRule="auto"/>
              <w:ind w:left="-38"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644" w:type="dxa"/>
            <w:vMerge w:val="restart"/>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22" w:type="dxa"/>
            <w:vMerge w:val="restart"/>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服务方案25%</w:t>
            </w:r>
          </w:p>
        </w:tc>
        <w:tc>
          <w:tcPr>
            <w:tcW w:w="829"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服务内容、组织落实方案6分</w:t>
            </w:r>
          </w:p>
        </w:tc>
        <w:tc>
          <w:tcPr>
            <w:tcW w:w="4771"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根据项目工作重点的分析理解、组织落实方案的整体设想和策划，总体实施方案是否合理、齐全、明确、健全等，符合磋商文件并满足实际工作需要。</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（1）完全满足上述方案要求的得3分，每有一项内容不完整或未提供的，扣1分，3分扣完为止。</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（2）针对上述方案要求，阐述深刻并且细节分析到位、切实可行的，每有一项加1分，最多加3分。</w:t>
            </w:r>
          </w:p>
        </w:tc>
        <w:tc>
          <w:tcPr>
            <w:tcW w:w="1705" w:type="dxa"/>
            <w:noWrap w:val="0"/>
            <w:vAlign w:val="center"/>
          </w:tcPr>
          <w:p>
            <w:pPr>
              <w:spacing w:line="240" w:lineRule="auto"/>
              <w:ind w:left="-3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4"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1222"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829"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应急、治安防控方案</w:t>
            </w:r>
          </w:p>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4771"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根据大规模突发事件的能力，如火灾、地震、传染性疾病是否合理、齐全、明确、健全等，符合磋商文件并满足实际工作需要。</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（1）完全满足上述方案要求的得6分，每有一项内容不完整或未提供的，扣2分，6分扣完为止。</w:t>
            </w:r>
          </w:p>
          <w:p>
            <w:pPr>
              <w:pStyle w:val="26"/>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针对上述机构设置及职责分工方案要求，阐述深刻并且细节分析到位、切实可行的，每有一项加1分，最多加3分。</w:t>
            </w:r>
          </w:p>
        </w:tc>
        <w:tc>
          <w:tcPr>
            <w:tcW w:w="1705" w:type="dxa"/>
            <w:noWrap w:val="0"/>
            <w:vAlign w:val="center"/>
          </w:tcPr>
          <w:p>
            <w:pPr>
              <w:spacing w:line="24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44"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1222"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829"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管理制度10分</w:t>
            </w:r>
          </w:p>
        </w:tc>
        <w:tc>
          <w:tcPr>
            <w:tcW w:w="4771" w:type="dxa"/>
            <w:noWrap w:val="0"/>
            <w:vAlign w:val="center"/>
          </w:tcPr>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根据项目管理机构、工作职能组织运行，项目经理管理职责、内部管理的职责分工等职能制订的日常管理制度和考核办法等，符合磋商文件并满足实际工作需要。</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（1）完全满足上述方案要求的得5分，每有一项内容不完整或未提供的，扣1分，5分扣完为止。</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针对上述机构设置及职责分工方案要求，阐述深刻并且细节分析到位、切实可行的，每有一项加1分，最多加5分。</w:t>
            </w:r>
          </w:p>
        </w:tc>
        <w:tc>
          <w:tcPr>
            <w:tcW w:w="1705" w:type="dxa"/>
            <w:noWrap w:val="0"/>
            <w:vAlign w:val="center"/>
          </w:tcPr>
          <w:p>
            <w:pPr>
              <w:spacing w:line="24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4"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22"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规范性</w:t>
            </w:r>
          </w:p>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color w:val="auto"/>
                <w:sz w:val="24"/>
                <w:szCs w:val="24"/>
                <w:highlight w:val="none"/>
                <w:lang w:val="en-US" w:eastAsia="zh-CN"/>
              </w:rPr>
              <w:t>%</w:t>
            </w:r>
          </w:p>
        </w:tc>
        <w:tc>
          <w:tcPr>
            <w:tcW w:w="829"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color w:val="auto"/>
                <w:sz w:val="24"/>
                <w:szCs w:val="24"/>
                <w:highlight w:val="none"/>
              </w:rPr>
              <w:t>分</w:t>
            </w:r>
          </w:p>
        </w:tc>
        <w:tc>
          <w:tcPr>
            <w:tcW w:w="4771"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文件制作规范，没有细微</w:t>
            </w:r>
            <w:r>
              <w:rPr>
                <w:rFonts w:hint="eastAsia" w:ascii="仿宋" w:hAnsi="仿宋" w:eastAsia="仿宋" w:cs="仿宋"/>
                <w:color w:val="auto"/>
                <w:sz w:val="24"/>
                <w:szCs w:val="24"/>
                <w:highlight w:val="none"/>
                <w:lang w:val="en-US" w:eastAsia="zh-CN"/>
              </w:rPr>
              <w:t>偏</w:t>
            </w:r>
            <w:r>
              <w:rPr>
                <w:rFonts w:hint="eastAsia" w:ascii="仿宋" w:hAnsi="仿宋" w:eastAsia="仿宋" w:cs="仿宋"/>
                <w:color w:val="auto"/>
                <w:sz w:val="24"/>
                <w:szCs w:val="24"/>
                <w:highlight w:val="none"/>
              </w:rPr>
              <w:t>差情形的得</w:t>
            </w:r>
            <w:r>
              <w:rPr>
                <w:rFonts w:hint="eastAsia" w:ascii="仿宋" w:hAnsi="仿宋" w:eastAsia="仿宋" w:cs="仿宋"/>
                <w:kern w:val="0"/>
                <w:sz w:val="24"/>
                <w:szCs w:val="24"/>
                <w:highlight w:val="none"/>
                <w:lang w:val="en-US" w:eastAsia="zh-CN"/>
              </w:rPr>
              <w:t>3</w:t>
            </w:r>
            <w:r>
              <w:rPr>
                <w:rFonts w:hint="eastAsia" w:ascii="仿宋" w:hAnsi="仿宋" w:eastAsia="仿宋" w:cs="仿宋"/>
                <w:color w:val="auto"/>
                <w:sz w:val="24"/>
                <w:szCs w:val="24"/>
                <w:highlight w:val="none"/>
              </w:rPr>
              <w:t>分，有一项细微</w:t>
            </w:r>
            <w:r>
              <w:rPr>
                <w:rFonts w:hint="eastAsia" w:ascii="仿宋" w:hAnsi="仿宋" w:eastAsia="仿宋" w:cs="仿宋"/>
                <w:color w:val="auto"/>
                <w:sz w:val="24"/>
                <w:szCs w:val="24"/>
                <w:highlight w:val="none"/>
                <w:lang w:val="en-US" w:eastAsia="zh-CN"/>
              </w:rPr>
              <w:t>偏</w:t>
            </w:r>
            <w:r>
              <w:rPr>
                <w:rFonts w:hint="eastAsia" w:ascii="仿宋" w:hAnsi="仿宋" w:eastAsia="仿宋" w:cs="仿宋"/>
                <w:color w:val="auto"/>
                <w:sz w:val="24"/>
                <w:szCs w:val="24"/>
                <w:highlight w:val="none"/>
              </w:rPr>
              <w:t>差扣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分，直至该项分值扣完为止</w:t>
            </w:r>
            <w:r>
              <w:rPr>
                <w:rFonts w:hint="eastAsia" w:ascii="仿宋" w:hAnsi="仿宋" w:eastAsia="仿宋" w:cs="仿宋"/>
                <w:color w:val="auto"/>
                <w:sz w:val="24"/>
                <w:szCs w:val="24"/>
                <w:highlight w:val="none"/>
                <w:lang w:eastAsia="zh-CN"/>
              </w:rPr>
              <w:t>。</w:t>
            </w:r>
          </w:p>
        </w:tc>
        <w:tc>
          <w:tcPr>
            <w:tcW w:w="1705"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扶持少数民族不发达地区</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p>
        </w:tc>
        <w:tc>
          <w:tcPr>
            <w:tcW w:w="829" w:type="dxa"/>
            <w:noWrap w:val="0"/>
            <w:vAlign w:val="center"/>
          </w:tcPr>
          <w:p>
            <w:pPr>
              <w:pageBreakBefore w:val="0"/>
              <w:kinsoku/>
              <w:overflowPunct/>
              <w:bidi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tc>
        <w:tc>
          <w:tcPr>
            <w:tcW w:w="4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供应商注册地为少数民族或不发达地区的得1分。 注：供应商提供为不发达地区企业或注册地为少数民族地区的相关证明材料。</w:t>
            </w:r>
          </w:p>
        </w:tc>
        <w:tc>
          <w:tcPr>
            <w:tcW w:w="1705" w:type="dxa"/>
            <w:noWrap w:val="0"/>
            <w:vAlign w:val="center"/>
          </w:tcPr>
          <w:p>
            <w:pPr>
              <w:pageBreakBefore w:val="0"/>
              <w:kinsoku/>
              <w:overflowPunct/>
              <w:bidi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sz w:val="24"/>
              </w:rPr>
              <w:t>共同评审因素</w:t>
            </w:r>
          </w:p>
        </w:tc>
      </w:tr>
    </w:tbl>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注：评分的取值按四舍五入法，保留小数点后两位。</w:t>
      </w:r>
      <w:bookmarkEnd w:id="166"/>
      <w:bookmarkEnd w:id="167"/>
      <w:bookmarkEnd w:id="168"/>
      <w:bookmarkEnd w:id="169"/>
      <w:bookmarkStart w:id="176" w:name="_Toc21472_WPSOffice_Level2"/>
    </w:p>
    <w:p>
      <w:pPr>
        <w:pStyle w:val="5"/>
        <w:keepNext w:val="0"/>
        <w:keepLines w:val="0"/>
        <w:spacing w:before="0" w:after="0" w:line="360" w:lineRule="auto"/>
        <w:ind w:firstLine="472" w:firstLineChars="196"/>
        <w:rPr>
          <w:rFonts w:ascii="仿宋" w:hAnsi="仿宋" w:eastAsia="仿宋" w:cs="仿宋"/>
          <w:sz w:val="24"/>
          <w:szCs w:val="24"/>
        </w:rPr>
      </w:pPr>
      <w:bookmarkStart w:id="177" w:name="_Toc32701_WPSOffice_Level2"/>
      <w:r>
        <w:rPr>
          <w:rFonts w:hint="eastAsia" w:ascii="仿宋" w:hAnsi="仿宋" w:eastAsia="仿宋" w:cs="仿宋"/>
          <w:sz w:val="24"/>
          <w:szCs w:val="24"/>
        </w:rPr>
        <w:t>4.磋商纪律及注意事项</w:t>
      </w:r>
      <w:bookmarkEnd w:id="176"/>
      <w:bookmarkEnd w:id="177"/>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4.3对各供应商的商业秘密，磋商小组成员应予以保密，不得泄露给其他供应商。</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4.4 磋商小组独立评判，推荐成交候选人，并写出书面报告。</w:t>
      </w:r>
    </w:p>
    <w:p>
      <w:pPr>
        <w:tabs>
          <w:tab w:val="left" w:pos="851"/>
        </w:tabs>
        <w:spacing w:line="360" w:lineRule="auto"/>
        <w:ind w:firstLine="480" w:firstLineChars="200"/>
        <w:rPr>
          <w:rFonts w:ascii="仿宋" w:hAnsi="仿宋" w:eastAsia="仿宋" w:cs="仿宋"/>
          <w:sz w:val="24"/>
        </w:rPr>
      </w:pPr>
      <w:r>
        <w:rPr>
          <w:rFonts w:hint="eastAsia" w:ascii="仿宋" w:hAnsi="仿宋" w:eastAsia="仿宋" w:cs="仿宋"/>
          <w:sz w:val="24"/>
        </w:rPr>
        <w:t>4.5 磋商小组可根据需要对供应商进行实地考察。</w:t>
      </w:r>
    </w:p>
    <w:p>
      <w:pPr>
        <w:spacing w:line="360" w:lineRule="auto"/>
        <w:rPr>
          <w:rFonts w:ascii="仿宋" w:hAnsi="仿宋" w:eastAsia="仿宋" w:cs="仿宋"/>
          <w:szCs w:val="21"/>
        </w:rPr>
      </w:pPr>
    </w:p>
    <w:p>
      <w:pPr>
        <w:pStyle w:val="5"/>
        <w:keepNext w:val="0"/>
        <w:keepLines w:val="0"/>
        <w:spacing w:before="0" w:after="0" w:line="360" w:lineRule="auto"/>
        <w:ind w:firstLine="472" w:firstLineChars="196"/>
        <w:rPr>
          <w:rFonts w:ascii="仿宋" w:hAnsi="仿宋" w:eastAsia="仿宋" w:cs="仿宋"/>
          <w:sz w:val="24"/>
          <w:szCs w:val="24"/>
        </w:rPr>
      </w:pPr>
      <w:bookmarkStart w:id="178" w:name="_Toc29183_WPSOffice_Level2"/>
      <w:bookmarkStart w:id="179" w:name="_Toc17761_WPSOffice_Level2"/>
      <w:r>
        <w:rPr>
          <w:rFonts w:hint="eastAsia" w:ascii="仿宋" w:hAnsi="仿宋" w:eastAsia="仿宋" w:cs="仿宋"/>
          <w:sz w:val="24"/>
          <w:szCs w:val="24"/>
        </w:rPr>
        <w:t>5.</w:t>
      </w:r>
      <w:bookmarkEnd w:id="170"/>
      <w:r>
        <w:rPr>
          <w:rFonts w:hint="eastAsia" w:ascii="仿宋" w:hAnsi="仿宋" w:eastAsia="仿宋" w:cs="仿宋"/>
          <w:sz w:val="24"/>
          <w:szCs w:val="24"/>
        </w:rPr>
        <w:t>磋商小组在政府采购活动中承担以下义务：</w:t>
      </w:r>
      <w:bookmarkEnd w:id="178"/>
      <w:bookmarkEnd w:id="179"/>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（1）遵守评审工作纪律；</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（2）按照客观、公正、审慎的原则，根据磋商文件规定的评审程序、评审方法和评审标准进行独立评审；</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（3）不得泄露评审文件、评审情况和在评审过程中获悉的商业秘密；</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（6）及时向财政、监察等部门举报在评审过程中受到非法干预的情况；</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（7）配合答复处理供应商的询问、质疑和投诉等事项；</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（8）法律、法规和规章规定的其他义务。</w:t>
      </w:r>
    </w:p>
    <w:p>
      <w:pPr>
        <w:spacing w:line="360" w:lineRule="auto"/>
        <w:rPr>
          <w:rFonts w:ascii="仿宋" w:hAnsi="仿宋" w:eastAsia="仿宋" w:cs="仿宋"/>
          <w:szCs w:val="21"/>
        </w:rPr>
      </w:pPr>
    </w:p>
    <w:p>
      <w:pPr>
        <w:pStyle w:val="5"/>
        <w:keepNext w:val="0"/>
        <w:keepLines w:val="0"/>
        <w:spacing w:before="0" w:after="0" w:line="360" w:lineRule="auto"/>
        <w:ind w:firstLine="472" w:firstLineChars="196"/>
        <w:rPr>
          <w:rFonts w:ascii="仿宋" w:hAnsi="仿宋" w:eastAsia="仿宋" w:cs="仿宋"/>
          <w:sz w:val="24"/>
          <w:szCs w:val="24"/>
        </w:rPr>
      </w:pPr>
      <w:bookmarkStart w:id="180" w:name="_Toc13308_WPSOffice_Level2"/>
      <w:bookmarkStart w:id="181" w:name="_Toc17404_WPSOffice_Level2"/>
      <w:r>
        <w:rPr>
          <w:rFonts w:hint="eastAsia" w:ascii="仿宋" w:hAnsi="仿宋" w:eastAsia="仿宋" w:cs="仿宋"/>
          <w:sz w:val="24"/>
          <w:szCs w:val="24"/>
        </w:rPr>
        <w:t>6.评审专家在政府采购活动中应当遵守以下工作纪律：</w:t>
      </w:r>
      <w:bookmarkEnd w:id="180"/>
      <w:bookmarkEnd w:id="181"/>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（2）评审前，应当将通讯工具或者相关电子设备交由采购代理机构统一保管；</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（5）在评审过程中和评审结束后，不得记录、复制或带走任何评审资料，不得向外界透露评审内容；</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（6）评审现场服从采购代理机构工作人员的管理，接受现场监督人员的合法监督；</w:t>
      </w:r>
    </w:p>
    <w:p>
      <w:pPr>
        <w:tabs>
          <w:tab w:val="left" w:pos="7665"/>
        </w:tabs>
        <w:spacing w:line="360" w:lineRule="auto"/>
        <w:ind w:firstLine="480" w:firstLineChars="200"/>
        <w:rPr>
          <w:rFonts w:ascii="仿宋" w:hAnsi="仿宋" w:eastAsia="仿宋" w:cs="仿宋"/>
          <w:sz w:val="24"/>
        </w:rPr>
      </w:pPr>
      <w:r>
        <w:rPr>
          <w:rFonts w:hint="eastAsia" w:ascii="仿宋" w:hAnsi="仿宋" w:eastAsia="仿宋" w:cs="仿宋"/>
          <w:sz w:val="24"/>
        </w:rPr>
        <w:t>（7）遵守有关廉洁自律规定，不得私下接触供应商，不得收受供应商及有关业务单位和个人的财物或好处，不得接受采购代理机构的请托。</w:t>
      </w:r>
    </w:p>
    <w:p>
      <w:pPr>
        <w:pStyle w:val="4"/>
        <w:spacing w:before="0" w:after="0" w:line="360" w:lineRule="auto"/>
        <w:jc w:val="center"/>
        <w:rPr>
          <w:rFonts w:ascii="仿宋" w:hAnsi="仿宋" w:eastAsia="仿宋" w:cs="仿宋"/>
        </w:rPr>
      </w:pPr>
      <w:r>
        <w:rPr>
          <w:rFonts w:hint="eastAsia" w:ascii="仿宋" w:hAnsi="仿宋" w:eastAsia="仿宋" w:cs="仿宋"/>
        </w:rPr>
        <w:br w:type="page"/>
      </w:r>
      <w:bookmarkStart w:id="182" w:name="_Toc14405_WPSOffice_Level1"/>
      <w:bookmarkStart w:id="183" w:name="_Toc28556_WPSOffice_Level1"/>
      <w:bookmarkStart w:id="184" w:name="_Toc10837"/>
      <w:r>
        <w:rPr>
          <w:rFonts w:hint="eastAsia" w:ascii="仿宋" w:hAnsi="仿宋" w:eastAsia="仿宋" w:cs="仿宋"/>
        </w:rPr>
        <w:t>第九章  政府采购合同（草案）</w:t>
      </w:r>
      <w:bookmarkEnd w:id="182"/>
      <w:bookmarkEnd w:id="183"/>
      <w:bookmarkEnd w:id="184"/>
    </w:p>
    <w:bookmarkEnd w:id="118"/>
    <w:bookmarkEnd w:id="119"/>
    <w:bookmarkEnd w:id="120"/>
    <w:p>
      <w:pPr>
        <w:spacing w:line="360" w:lineRule="auto"/>
        <w:rPr>
          <w:rFonts w:ascii="仿宋" w:hAnsi="仿宋" w:eastAsia="仿宋" w:cs="仿宋"/>
        </w:rPr>
      </w:pPr>
      <w:bookmarkStart w:id="185" w:name="_Hlt101846155"/>
      <w:bookmarkEnd w:id="185"/>
    </w:p>
    <w:p>
      <w:pPr>
        <w:spacing w:line="360" w:lineRule="auto"/>
        <w:ind w:firstLine="480" w:firstLineChars="200"/>
        <w:rPr>
          <w:rFonts w:ascii="仿宋" w:hAnsi="仿宋" w:eastAsia="仿宋" w:cs="仿宋"/>
          <w:sz w:val="24"/>
        </w:rPr>
      </w:pPr>
      <w:r>
        <w:rPr>
          <w:rFonts w:hint="eastAsia" w:ascii="仿宋" w:hAnsi="仿宋" w:eastAsia="仿宋" w:cs="仿宋"/>
          <w:sz w:val="24"/>
        </w:rPr>
        <w:t>合同编号：XXXX。</w:t>
      </w:r>
    </w:p>
    <w:p>
      <w:pPr>
        <w:spacing w:line="360" w:lineRule="auto"/>
        <w:ind w:firstLine="480" w:firstLineChars="200"/>
        <w:rPr>
          <w:rFonts w:ascii="仿宋" w:hAnsi="仿宋" w:eastAsia="仿宋" w:cs="仿宋"/>
          <w:sz w:val="24"/>
        </w:rPr>
      </w:pPr>
      <w:r>
        <w:rPr>
          <w:rFonts w:hint="eastAsia" w:ascii="仿宋" w:hAnsi="仿宋" w:eastAsia="仿宋" w:cs="仿宋"/>
          <w:sz w:val="24"/>
        </w:rPr>
        <w:t>签订地点：XXXX。</w:t>
      </w:r>
    </w:p>
    <w:p>
      <w:pPr>
        <w:spacing w:line="360" w:lineRule="auto"/>
        <w:ind w:firstLine="480" w:firstLineChars="200"/>
        <w:rPr>
          <w:rFonts w:ascii="仿宋" w:hAnsi="仿宋" w:eastAsia="仿宋" w:cs="仿宋"/>
          <w:sz w:val="24"/>
        </w:rPr>
      </w:pPr>
      <w:r>
        <w:rPr>
          <w:rFonts w:hint="eastAsia" w:ascii="仿宋" w:hAnsi="仿宋" w:eastAsia="仿宋" w:cs="仿宋"/>
          <w:sz w:val="24"/>
        </w:rPr>
        <w:t>签订时间：XXXX年XX月XX日。</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采购人（甲方）：</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供应商（乙方）：</w:t>
      </w: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依据《中华人民共和国民法典》、《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7"/>
        </w:numPr>
        <w:spacing w:line="360" w:lineRule="auto"/>
        <w:rPr>
          <w:rFonts w:ascii="仿宋" w:hAnsi="仿宋" w:eastAsia="仿宋" w:cs="仿宋"/>
          <w:b/>
          <w:sz w:val="24"/>
        </w:rPr>
      </w:pPr>
      <w:bookmarkStart w:id="186" w:name="_Toc12353_WPSOffice_Level2"/>
      <w:bookmarkStart w:id="187" w:name="_Toc24556_WPSOffice_Level2"/>
      <w:r>
        <w:rPr>
          <w:rFonts w:hint="eastAsia" w:ascii="仿宋" w:hAnsi="仿宋" w:eastAsia="仿宋" w:cs="仿宋"/>
          <w:b/>
          <w:sz w:val="24"/>
        </w:rPr>
        <w:t>项目基本情况</w:t>
      </w:r>
      <w:bookmarkEnd w:id="186"/>
      <w:bookmarkEnd w:id="187"/>
    </w:p>
    <w:p>
      <w:pPr>
        <w:numPr>
          <w:ilvl w:val="0"/>
          <w:numId w:val="7"/>
        </w:numPr>
        <w:spacing w:line="360" w:lineRule="auto"/>
        <w:rPr>
          <w:rFonts w:ascii="仿宋" w:hAnsi="仿宋" w:eastAsia="仿宋" w:cs="仿宋"/>
          <w:sz w:val="24"/>
        </w:rPr>
      </w:pPr>
      <w:bookmarkStart w:id="188" w:name="_Toc13964_WPSOffice_Level2"/>
      <w:bookmarkStart w:id="189" w:name="_Toc23965_WPSOffice_Level2"/>
      <w:r>
        <w:rPr>
          <w:rFonts w:hint="eastAsia" w:ascii="仿宋" w:hAnsi="仿宋" w:eastAsia="仿宋" w:cs="仿宋"/>
          <w:b/>
          <w:sz w:val="24"/>
        </w:rPr>
        <w:t>合同期限</w:t>
      </w:r>
      <w:bookmarkEnd w:id="188"/>
      <w:bookmarkEnd w:id="189"/>
    </w:p>
    <w:p>
      <w:pPr>
        <w:numPr>
          <w:ilvl w:val="0"/>
          <w:numId w:val="7"/>
        </w:numPr>
        <w:spacing w:line="360" w:lineRule="auto"/>
        <w:rPr>
          <w:rFonts w:ascii="仿宋" w:hAnsi="仿宋" w:eastAsia="仿宋" w:cs="仿宋"/>
          <w:b/>
          <w:sz w:val="24"/>
        </w:rPr>
      </w:pPr>
      <w:bookmarkStart w:id="190" w:name="_Toc11144_WPSOffice_Level2"/>
      <w:bookmarkStart w:id="191" w:name="_Toc23597_WPSOffice_Level2"/>
      <w:bookmarkStart w:id="192" w:name="_Toc232492928"/>
      <w:bookmarkStart w:id="193" w:name="_Toc225670751"/>
      <w:bookmarkStart w:id="194" w:name="_Toc225654644"/>
      <w:bookmarkStart w:id="195" w:name="_Toc212019594"/>
      <w:bookmarkStart w:id="196" w:name="_Toc251768862"/>
      <w:bookmarkStart w:id="197" w:name="_Toc237145406"/>
      <w:bookmarkStart w:id="198" w:name="_Toc239233914"/>
      <w:bookmarkStart w:id="199" w:name="_Toc241833903"/>
      <w:bookmarkStart w:id="200" w:name="_Toc211911348"/>
      <w:bookmarkStart w:id="201" w:name="_Toc247334841"/>
      <w:bookmarkStart w:id="202" w:name="_Toc283019214"/>
      <w:bookmarkStart w:id="203" w:name="_Toc185395249"/>
      <w:bookmarkStart w:id="204" w:name="_Toc211854449"/>
      <w:bookmarkStart w:id="205" w:name="_Toc286993786"/>
      <w:bookmarkStart w:id="206" w:name="_Toc282696226"/>
      <w:bookmarkStart w:id="207" w:name="_Toc238984975"/>
      <w:bookmarkStart w:id="208" w:name="_Toc239568418"/>
      <w:bookmarkStart w:id="209" w:name="_Toc225244852"/>
      <w:r>
        <w:rPr>
          <w:rFonts w:hint="eastAsia" w:ascii="仿宋" w:hAnsi="仿宋" w:eastAsia="仿宋" w:cs="仿宋"/>
          <w:b/>
          <w:sz w:val="24"/>
        </w:rPr>
        <w:t>服务内容与质量标准</w:t>
      </w:r>
      <w:bookmarkEnd w:id="190"/>
      <w:bookmarkEnd w:id="191"/>
    </w:p>
    <w:p>
      <w:pPr>
        <w:spacing w:line="360" w:lineRule="auto"/>
        <w:ind w:left="567"/>
        <w:rPr>
          <w:rFonts w:ascii="仿宋" w:hAnsi="仿宋" w:eastAsia="仿宋" w:cs="仿宋"/>
          <w:sz w:val="24"/>
        </w:rPr>
      </w:pPr>
      <w:r>
        <w:rPr>
          <w:rFonts w:hint="eastAsia" w:ascii="仿宋" w:hAnsi="仿宋" w:eastAsia="仿宋" w:cs="仿宋"/>
          <w:sz w:val="24"/>
        </w:rPr>
        <w:t>1、XXXX；</w:t>
      </w:r>
    </w:p>
    <w:p>
      <w:pPr>
        <w:spacing w:line="360" w:lineRule="auto"/>
        <w:ind w:left="567"/>
        <w:rPr>
          <w:rFonts w:ascii="仿宋" w:hAnsi="仿宋" w:eastAsia="仿宋" w:cs="仿宋"/>
          <w:sz w:val="24"/>
        </w:rPr>
      </w:pPr>
      <w:r>
        <w:rPr>
          <w:rFonts w:hint="eastAsia" w:ascii="仿宋" w:hAnsi="仿宋" w:eastAsia="仿宋" w:cs="仿宋"/>
          <w:sz w:val="24"/>
        </w:rPr>
        <w:t>2、XXXX；</w:t>
      </w:r>
    </w:p>
    <w:p>
      <w:pPr>
        <w:spacing w:line="360" w:lineRule="auto"/>
        <w:ind w:left="567"/>
        <w:rPr>
          <w:rFonts w:ascii="仿宋" w:hAnsi="仿宋" w:eastAsia="仿宋" w:cs="仿宋"/>
          <w:sz w:val="24"/>
        </w:rPr>
      </w:pPr>
      <w:r>
        <w:rPr>
          <w:rFonts w:hint="eastAsia" w:ascii="仿宋" w:hAnsi="仿宋" w:eastAsia="仿宋" w:cs="仿宋"/>
          <w:sz w:val="24"/>
        </w:rPr>
        <w:t>3、XXXX．</w:t>
      </w:r>
    </w:p>
    <w:p>
      <w:pPr>
        <w:numPr>
          <w:ilvl w:val="0"/>
          <w:numId w:val="7"/>
        </w:numPr>
        <w:spacing w:line="360" w:lineRule="auto"/>
        <w:rPr>
          <w:rFonts w:ascii="仿宋" w:hAnsi="仿宋" w:eastAsia="仿宋" w:cs="仿宋"/>
          <w:b/>
          <w:sz w:val="24"/>
        </w:rPr>
      </w:pPr>
      <w:bookmarkStart w:id="210" w:name="_Toc11083_WPSOffice_Level2"/>
      <w:bookmarkStart w:id="211" w:name="_Toc18159_WPSOffice_Level2"/>
      <w:r>
        <w:rPr>
          <w:rFonts w:hint="eastAsia" w:ascii="仿宋" w:hAnsi="仿宋" w:eastAsia="仿宋" w:cs="仿宋"/>
          <w:b/>
          <w:sz w:val="24"/>
        </w:rPr>
        <w:t>服务费用及支付方式</w:t>
      </w:r>
      <w:bookmarkEnd w:id="210"/>
      <w:bookmarkEnd w:id="211"/>
    </w:p>
    <w:p>
      <w:pPr>
        <w:numPr>
          <w:ilvl w:val="0"/>
          <w:numId w:val="8"/>
        </w:numPr>
        <w:spacing w:line="360" w:lineRule="auto"/>
        <w:ind w:left="0" w:firstLine="567"/>
        <w:rPr>
          <w:rFonts w:ascii="仿宋" w:hAnsi="仿宋" w:eastAsia="仿宋" w:cs="仿宋"/>
          <w:b/>
          <w:sz w:val="24"/>
        </w:rPr>
      </w:pPr>
      <w:r>
        <w:rPr>
          <w:rFonts w:hint="eastAsia" w:ascii="仿宋" w:hAnsi="仿宋" w:eastAsia="仿宋" w:cs="仿宋"/>
          <w:b/>
          <w:sz w:val="24"/>
        </w:rPr>
        <w:t>本项目服务费用由以下组成：</w:t>
      </w:r>
    </w:p>
    <w:p>
      <w:pPr>
        <w:spacing w:line="360" w:lineRule="auto"/>
        <w:ind w:firstLine="480" w:firstLineChars="200"/>
        <w:rPr>
          <w:rFonts w:ascii="仿宋" w:hAnsi="仿宋" w:eastAsia="仿宋" w:cs="仿宋"/>
          <w:sz w:val="24"/>
        </w:rPr>
      </w:pPr>
      <w:r>
        <w:rPr>
          <w:rFonts w:hint="eastAsia" w:ascii="仿宋" w:hAnsi="仿宋" w:eastAsia="仿宋" w:cs="仿宋"/>
          <w:sz w:val="24"/>
        </w:rPr>
        <w:t>1、XX万元；</w:t>
      </w:r>
    </w:p>
    <w:p>
      <w:pPr>
        <w:spacing w:line="360" w:lineRule="auto"/>
        <w:ind w:firstLine="480" w:firstLineChars="200"/>
        <w:rPr>
          <w:rFonts w:ascii="仿宋" w:hAnsi="仿宋" w:eastAsia="仿宋" w:cs="仿宋"/>
          <w:sz w:val="24"/>
        </w:rPr>
      </w:pPr>
      <w:r>
        <w:rPr>
          <w:rFonts w:hint="eastAsia" w:ascii="仿宋" w:hAnsi="仿宋" w:eastAsia="仿宋" w:cs="仿宋"/>
          <w:sz w:val="24"/>
        </w:rPr>
        <w:t>2、XX万元；</w:t>
      </w:r>
    </w:p>
    <w:p>
      <w:pPr>
        <w:spacing w:line="360" w:lineRule="auto"/>
        <w:ind w:firstLine="480" w:firstLineChars="200"/>
        <w:rPr>
          <w:rFonts w:ascii="仿宋" w:hAnsi="仿宋" w:eastAsia="仿宋" w:cs="仿宋"/>
          <w:sz w:val="24"/>
        </w:rPr>
      </w:pPr>
      <w:r>
        <w:rPr>
          <w:rFonts w:hint="eastAsia" w:ascii="仿宋" w:hAnsi="仿宋" w:eastAsia="仿宋" w:cs="仿宋"/>
          <w:sz w:val="24"/>
        </w:rPr>
        <w:t>3、XX万元。</w:t>
      </w:r>
    </w:p>
    <w:p>
      <w:pPr>
        <w:numPr>
          <w:ilvl w:val="0"/>
          <w:numId w:val="8"/>
        </w:numPr>
        <w:tabs>
          <w:tab w:val="left" w:pos="780"/>
        </w:tabs>
        <w:spacing w:line="360" w:lineRule="auto"/>
        <w:ind w:left="0" w:firstLine="567"/>
        <w:rPr>
          <w:rFonts w:ascii="仿宋" w:hAnsi="仿宋" w:eastAsia="仿宋" w:cs="仿宋"/>
          <w:b/>
          <w:sz w:val="24"/>
        </w:rPr>
      </w:pPr>
      <w:r>
        <w:rPr>
          <w:rFonts w:hint="eastAsia" w:ascii="仿宋" w:hAnsi="仿宋" w:eastAsia="仿宋" w:cs="仿宋"/>
          <w:b/>
          <w:sz w:val="24"/>
        </w:rPr>
        <w:t xml:space="preserve">服务费支付方式： </w:t>
      </w:r>
    </w:p>
    <w:p>
      <w:pPr>
        <w:numPr>
          <w:ilvl w:val="0"/>
          <w:numId w:val="7"/>
        </w:numPr>
        <w:spacing w:line="360" w:lineRule="auto"/>
        <w:rPr>
          <w:rFonts w:ascii="仿宋" w:hAnsi="仿宋" w:eastAsia="仿宋" w:cs="仿宋"/>
          <w:b/>
          <w:sz w:val="24"/>
        </w:rPr>
      </w:pPr>
      <w:bookmarkStart w:id="212" w:name="_Toc4051_WPSOffice_Level2"/>
      <w:bookmarkStart w:id="213" w:name="_Toc2167_WPSOffice_Level2"/>
      <w:r>
        <w:rPr>
          <w:rFonts w:hint="eastAsia" w:ascii="仿宋" w:hAnsi="仿宋" w:eastAsia="仿宋" w:cs="仿宋"/>
          <w:b/>
          <w:sz w:val="24"/>
        </w:rPr>
        <w:t>知识产权</w:t>
      </w:r>
      <w:bookmarkEnd w:id="212"/>
      <w:bookmarkEnd w:id="213"/>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乙方应保证所提供的服务或其任何一部分均不会侵犯任何第三方的专利权、商标权或著作权。</w:t>
      </w:r>
    </w:p>
    <w:p>
      <w:pPr>
        <w:numPr>
          <w:ilvl w:val="0"/>
          <w:numId w:val="7"/>
        </w:numPr>
        <w:spacing w:line="360" w:lineRule="auto"/>
        <w:rPr>
          <w:rFonts w:ascii="仿宋" w:hAnsi="仿宋" w:eastAsia="仿宋" w:cs="仿宋"/>
          <w:b/>
          <w:sz w:val="24"/>
        </w:rPr>
      </w:pPr>
      <w:bookmarkStart w:id="214" w:name="_Toc1356_WPSOffice_Level2"/>
      <w:bookmarkStart w:id="215" w:name="_Toc20624_WPSOffice_Level2"/>
      <w:r>
        <w:rPr>
          <w:rFonts w:hint="eastAsia" w:ascii="仿宋" w:hAnsi="仿宋" w:eastAsia="仿宋" w:cs="仿宋"/>
          <w:b/>
          <w:sz w:val="24"/>
        </w:rPr>
        <w:t>无产权瑕疵条款</w:t>
      </w:r>
      <w:bookmarkEnd w:id="214"/>
      <w:bookmarkEnd w:id="215"/>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numPr>
          <w:ilvl w:val="0"/>
          <w:numId w:val="7"/>
        </w:numPr>
        <w:spacing w:line="360" w:lineRule="auto"/>
        <w:rPr>
          <w:rFonts w:ascii="仿宋" w:hAnsi="仿宋" w:eastAsia="仿宋" w:cs="仿宋"/>
          <w:b/>
          <w:sz w:val="24"/>
        </w:rPr>
      </w:pPr>
      <w:bookmarkStart w:id="216" w:name="_Toc4136_WPSOffice_Level2"/>
      <w:bookmarkStart w:id="217" w:name="_Toc23515_WPSOffice_Level2"/>
      <w:r>
        <w:rPr>
          <w:rFonts w:hint="eastAsia" w:ascii="仿宋" w:hAnsi="仿宋" w:eastAsia="仿宋" w:cs="仿宋"/>
          <w:b/>
          <w:sz w:val="24"/>
        </w:rPr>
        <w:t>履约保证金</w:t>
      </w:r>
      <w:bookmarkEnd w:id="216"/>
      <w:bookmarkEnd w:id="217"/>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1、乙方交纳人民币</w:t>
      </w:r>
      <w:r>
        <w:rPr>
          <w:rFonts w:hint="eastAsia" w:ascii="仿宋" w:hAnsi="仿宋" w:eastAsia="仿宋" w:cs="仿宋"/>
          <w:sz w:val="24"/>
        </w:rPr>
        <w:t>XX</w:t>
      </w:r>
      <w:r>
        <w:rPr>
          <w:rFonts w:hint="eastAsia" w:ascii="仿宋" w:hAnsi="仿宋" w:eastAsia="仿宋" w:cs="仿宋"/>
          <w:bCs/>
          <w:sz w:val="24"/>
        </w:rPr>
        <w:t>元作为本合同的履约保证金。</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2、履约保证金作为违约金的一部分及用于补偿甲方因乙方不能履行合同义务而蒙受的损失。</w:t>
      </w:r>
    </w:p>
    <w:p>
      <w:pPr>
        <w:numPr>
          <w:ilvl w:val="0"/>
          <w:numId w:val="7"/>
        </w:numPr>
        <w:spacing w:line="360" w:lineRule="auto"/>
        <w:rPr>
          <w:rFonts w:ascii="仿宋" w:hAnsi="仿宋" w:eastAsia="仿宋" w:cs="仿宋"/>
          <w:b/>
          <w:sz w:val="24"/>
        </w:rPr>
      </w:pPr>
      <w:bookmarkStart w:id="218" w:name="_Toc23216_WPSOffice_Level2"/>
      <w:bookmarkStart w:id="219" w:name="_Toc18407_WPSOffice_Level2"/>
      <w:r>
        <w:rPr>
          <w:rFonts w:hint="eastAsia" w:ascii="仿宋" w:hAnsi="仿宋" w:eastAsia="仿宋" w:cs="仿宋"/>
          <w:b/>
          <w:sz w:val="24"/>
        </w:rPr>
        <w:t>甲方的权利和义务</w:t>
      </w:r>
      <w:bookmarkEnd w:id="218"/>
      <w:bookmarkEnd w:id="219"/>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3、负责检查监督乙方管理工作的实施及制度的执行情况。</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4、根据本合同规定，按时向乙方支付应付服务费用。</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5、国家法律、法规所规定由甲方承担的其它责任。</w:t>
      </w:r>
    </w:p>
    <w:p>
      <w:pPr>
        <w:numPr>
          <w:ilvl w:val="0"/>
          <w:numId w:val="7"/>
        </w:numPr>
        <w:spacing w:line="360" w:lineRule="auto"/>
        <w:rPr>
          <w:rFonts w:ascii="仿宋" w:hAnsi="仿宋" w:eastAsia="仿宋" w:cs="仿宋"/>
          <w:b/>
          <w:sz w:val="24"/>
        </w:rPr>
      </w:pPr>
      <w:bookmarkStart w:id="220" w:name="_Toc28651_WPSOffice_Level2"/>
      <w:bookmarkStart w:id="221" w:name="_Toc29426_WPSOffice_Level2"/>
      <w:r>
        <w:rPr>
          <w:rFonts w:hint="eastAsia" w:ascii="仿宋" w:hAnsi="仿宋" w:eastAsia="仿宋" w:cs="仿宋"/>
          <w:b/>
          <w:sz w:val="24"/>
        </w:rPr>
        <w:t>乙方的权利和义务</w:t>
      </w:r>
      <w:bookmarkEnd w:id="220"/>
      <w:bookmarkEnd w:id="221"/>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1、对本合同规定的委托服务范围内的项目享有管理权及服务义务。</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仿宋" w:hAnsi="仿宋" w:eastAsia="仿宋" w:cs="仿宋"/>
          <w:sz w:val="24"/>
        </w:rPr>
      </w:pPr>
      <w:r>
        <w:rPr>
          <w:rFonts w:hint="eastAsia" w:ascii="仿宋" w:hAnsi="仿宋" w:eastAsia="仿宋" w:cs="仿宋"/>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sz w:val="24"/>
        </w:rPr>
        <w:t>4、</w:t>
      </w:r>
      <w:r>
        <w:rPr>
          <w:rFonts w:hint="eastAsia" w:ascii="仿宋" w:hAnsi="仿宋" w:eastAsia="仿宋" w:cs="仿宋"/>
          <w:bCs/>
          <w:sz w:val="24"/>
        </w:rPr>
        <w:t>接受项目行业管理部门及政府有关部门的指导，接受甲方的监督。</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5、国家法律、法规所规定由乙方承担的其它责任。</w:t>
      </w:r>
    </w:p>
    <w:p>
      <w:pPr>
        <w:numPr>
          <w:ilvl w:val="0"/>
          <w:numId w:val="7"/>
        </w:numPr>
        <w:spacing w:line="360" w:lineRule="auto"/>
        <w:rPr>
          <w:rFonts w:ascii="仿宋" w:hAnsi="仿宋" w:eastAsia="仿宋" w:cs="仿宋"/>
          <w:b/>
          <w:sz w:val="24"/>
        </w:rPr>
      </w:pPr>
      <w:bookmarkStart w:id="222" w:name="_Toc12689_WPSOffice_Level2"/>
      <w:bookmarkStart w:id="223" w:name="_Toc22285_WPSOffice_Level2"/>
      <w:r>
        <w:rPr>
          <w:rFonts w:hint="eastAsia" w:ascii="仿宋" w:hAnsi="仿宋" w:eastAsia="仿宋" w:cs="仿宋"/>
          <w:b/>
          <w:sz w:val="24"/>
        </w:rPr>
        <w:t>违约责任</w:t>
      </w:r>
      <w:bookmarkEnd w:id="222"/>
      <w:bookmarkEnd w:id="223"/>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ascii="仿宋" w:hAnsi="仿宋" w:eastAsia="仿宋" w:cs="仿宋"/>
          <w:bCs/>
          <w:sz w:val="24"/>
        </w:rPr>
      </w:pPr>
      <w:r>
        <w:rPr>
          <w:rFonts w:hint="eastAsia" w:ascii="仿宋" w:hAnsi="仿宋" w:eastAsia="仿宋" w:cs="仿宋"/>
          <w:bCs/>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spacing w:line="360" w:lineRule="auto"/>
        <w:rPr>
          <w:rFonts w:ascii="仿宋" w:hAnsi="仿宋" w:eastAsia="仿宋" w:cs="仿宋"/>
          <w:b/>
          <w:sz w:val="24"/>
        </w:rPr>
      </w:pPr>
      <w:bookmarkStart w:id="224" w:name="_Toc9930_WPSOffice_Level2"/>
      <w:r>
        <w:rPr>
          <w:rFonts w:hint="eastAsia" w:ascii="仿宋" w:hAnsi="仿宋" w:eastAsia="仿宋" w:cs="仿宋"/>
          <w:b/>
          <w:sz w:val="24"/>
        </w:rPr>
        <w:t>不可抗力事件处理</w:t>
      </w:r>
      <w:bookmarkEnd w:id="224"/>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3、不可抗力事件延续XX天以上，双方应通过友好协商，确定是否继续履行合同。</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Pr>
        <w:numPr>
          <w:ilvl w:val="0"/>
          <w:numId w:val="7"/>
        </w:numPr>
        <w:spacing w:line="360" w:lineRule="auto"/>
        <w:rPr>
          <w:rFonts w:ascii="仿宋" w:hAnsi="仿宋" w:eastAsia="仿宋" w:cs="仿宋"/>
          <w:b/>
          <w:sz w:val="24"/>
        </w:rPr>
      </w:pPr>
      <w:bookmarkStart w:id="225" w:name="_Toc239568423"/>
      <w:bookmarkStart w:id="226" w:name="_Toc12653_WPSOffice_Level2"/>
      <w:bookmarkStart w:id="227" w:name="_Toc239233919"/>
      <w:bookmarkStart w:id="228" w:name="_Toc225654649"/>
      <w:bookmarkStart w:id="229" w:name="_Toc185395254"/>
      <w:bookmarkStart w:id="230" w:name="_Toc251768867"/>
      <w:bookmarkStart w:id="231" w:name="_Toc225670756"/>
      <w:bookmarkStart w:id="232" w:name="_Toc237145411"/>
      <w:bookmarkStart w:id="233" w:name="_Toc232492933"/>
      <w:bookmarkStart w:id="234" w:name="_Toc211911353"/>
      <w:bookmarkStart w:id="235" w:name="_Toc247334846"/>
      <w:bookmarkStart w:id="236" w:name="_Toc286993792"/>
      <w:bookmarkStart w:id="237" w:name="_Toc31579_WPSOffice_Level2"/>
      <w:bookmarkStart w:id="238" w:name="_Toc241833908"/>
      <w:bookmarkStart w:id="239" w:name="_Toc238984980"/>
      <w:bookmarkStart w:id="240" w:name="_Toc211854454"/>
      <w:bookmarkStart w:id="241" w:name="_Toc212019599"/>
      <w:bookmarkStart w:id="242" w:name="_Toc225244857"/>
      <w:r>
        <w:rPr>
          <w:rFonts w:hint="eastAsia" w:ascii="仿宋" w:hAnsi="仿宋" w:eastAsia="仿宋" w:cs="仿宋"/>
          <w:b/>
          <w:sz w:val="24"/>
        </w:rPr>
        <w:t>解决合同纠纷的方式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1、在执行本合同中发生的或与本合同有关的争端，双方应通过友好协商解决，经协商在XX天内不能达成协议时，应提交当地仲裁委员会仲裁。</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2、仲裁裁决应为最终决定，并对双方具有约束力。</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3、除另有裁决外，仲裁费应由败诉方负担。 </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4、在仲裁期间，除正在进行仲裁部分外，合同其他部分继续执行。  </w:t>
      </w:r>
    </w:p>
    <w:p>
      <w:pPr>
        <w:numPr>
          <w:ilvl w:val="0"/>
          <w:numId w:val="7"/>
        </w:numPr>
        <w:spacing w:line="360" w:lineRule="auto"/>
        <w:rPr>
          <w:rFonts w:ascii="仿宋" w:hAnsi="仿宋" w:eastAsia="仿宋" w:cs="仿宋"/>
          <w:b/>
          <w:sz w:val="24"/>
        </w:rPr>
      </w:pPr>
      <w:bookmarkStart w:id="243" w:name="_Toc239568424"/>
      <w:bookmarkStart w:id="244" w:name="_Toc212019600"/>
      <w:bookmarkStart w:id="245" w:name="_Toc211911354"/>
      <w:bookmarkStart w:id="246" w:name="_Toc237145412"/>
      <w:bookmarkStart w:id="247" w:name="_Toc247334847"/>
      <w:bookmarkStart w:id="248" w:name="_Toc282696231"/>
      <w:bookmarkStart w:id="249" w:name="_Toc225244858"/>
      <w:bookmarkStart w:id="250" w:name="_Toc211854455"/>
      <w:bookmarkStart w:id="251" w:name="_Toc283019219"/>
      <w:bookmarkStart w:id="252" w:name="_Toc241833909"/>
      <w:bookmarkStart w:id="253" w:name="_Toc239233920"/>
      <w:bookmarkStart w:id="254" w:name="_Toc238984981"/>
      <w:bookmarkStart w:id="255" w:name="_Toc251768868"/>
      <w:bookmarkStart w:id="256" w:name="_Toc232492934"/>
      <w:bookmarkStart w:id="257" w:name="_Toc225670757"/>
      <w:bookmarkStart w:id="258" w:name="_Toc185395255"/>
      <w:bookmarkStart w:id="259" w:name="_Toc225654650"/>
      <w:bookmarkStart w:id="260" w:name="_Toc286993793"/>
      <w:bookmarkStart w:id="261" w:name="_Toc10503_WPSOffice_Level2"/>
      <w:bookmarkStart w:id="262" w:name="_Toc19069_WPSOffice_Level2"/>
      <w:r>
        <w:rPr>
          <w:rFonts w:hint="eastAsia" w:ascii="仿宋" w:hAnsi="仿宋" w:eastAsia="仿宋" w:cs="仿宋"/>
          <w:b/>
          <w:sz w:val="24"/>
        </w:rPr>
        <w:t>合同</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ascii="仿宋" w:hAnsi="仿宋" w:eastAsia="仿宋" w:cs="仿宋"/>
          <w:b/>
          <w:sz w:val="24"/>
        </w:rPr>
        <w:t>生效及其他</w:t>
      </w:r>
      <w:bookmarkEnd w:id="261"/>
      <w:bookmarkEnd w:id="262"/>
    </w:p>
    <w:p>
      <w:pPr>
        <w:pStyle w:val="34"/>
        <w:spacing w:line="360" w:lineRule="auto"/>
        <w:ind w:firstLine="480"/>
        <w:rPr>
          <w:rFonts w:ascii="仿宋" w:hAnsi="仿宋" w:eastAsia="仿宋" w:cs="仿宋"/>
          <w:sz w:val="24"/>
        </w:rPr>
      </w:pPr>
      <w:r>
        <w:rPr>
          <w:rFonts w:hint="eastAsia" w:ascii="仿宋" w:hAnsi="仿宋" w:eastAsia="仿宋" w:cs="仿宋"/>
          <w:sz w:val="24"/>
        </w:rPr>
        <w:t>1、合同经双方法定代表人或授权委托代理人签字并加盖单位公章后生效。</w:t>
      </w:r>
    </w:p>
    <w:p>
      <w:pPr>
        <w:pStyle w:val="34"/>
        <w:spacing w:line="360" w:lineRule="auto"/>
        <w:ind w:firstLine="480"/>
        <w:rPr>
          <w:rFonts w:ascii="仿宋" w:hAnsi="仿宋" w:eastAsia="仿宋" w:cs="仿宋"/>
          <w:sz w:val="24"/>
        </w:rPr>
      </w:pPr>
      <w:r>
        <w:rPr>
          <w:rFonts w:hint="eastAsia" w:ascii="仿宋" w:hAnsi="仿宋" w:eastAsia="仿宋" w:cs="仿宋"/>
          <w:sz w:val="24"/>
        </w:rPr>
        <w:t>2、合同执行中涉及采购资金和采购内容修改或补充的，须经政府采购监管部门审批，并签书面补充协议报政府采购监督管理部门备案，方可作为主合同不可分割的一部分。</w:t>
      </w:r>
    </w:p>
    <w:p>
      <w:pPr>
        <w:pStyle w:val="34"/>
        <w:spacing w:line="360" w:lineRule="auto"/>
        <w:ind w:firstLine="480"/>
        <w:rPr>
          <w:rFonts w:ascii="仿宋" w:hAnsi="仿宋" w:eastAsia="仿宋" w:cs="仿宋"/>
          <w:sz w:val="24"/>
        </w:rPr>
      </w:pPr>
      <w:r>
        <w:rPr>
          <w:rFonts w:hint="eastAsia" w:ascii="仿宋" w:hAnsi="仿宋" w:eastAsia="仿宋" w:cs="仿宋"/>
          <w:sz w:val="24"/>
        </w:rPr>
        <w:t>3、本合同一式XX份，自双方签章之日起起效。甲方XX份，乙方XX份，政府采购代理机构XX份，同级财政部门备案XX份，具有同等法律效力。</w:t>
      </w:r>
    </w:p>
    <w:p>
      <w:pPr>
        <w:numPr>
          <w:ilvl w:val="0"/>
          <w:numId w:val="7"/>
        </w:numPr>
        <w:spacing w:line="360" w:lineRule="auto"/>
        <w:rPr>
          <w:rFonts w:ascii="仿宋" w:hAnsi="仿宋" w:eastAsia="仿宋" w:cs="仿宋"/>
          <w:b/>
          <w:sz w:val="24"/>
        </w:rPr>
      </w:pPr>
      <w:bookmarkStart w:id="263" w:name="_Toc14459_WPSOffice_Level2"/>
      <w:bookmarkStart w:id="264" w:name="_Toc28162_WPSOffice_Level2"/>
      <w:r>
        <w:rPr>
          <w:rFonts w:hint="eastAsia" w:ascii="仿宋" w:hAnsi="仿宋" w:eastAsia="仿宋" w:cs="仿宋"/>
          <w:b/>
          <w:sz w:val="24"/>
        </w:rPr>
        <w:t>附件</w:t>
      </w:r>
      <w:bookmarkEnd w:id="263"/>
      <w:bookmarkEnd w:id="264"/>
    </w:p>
    <w:p>
      <w:pPr>
        <w:pStyle w:val="34"/>
        <w:spacing w:line="360" w:lineRule="auto"/>
        <w:ind w:firstLine="480"/>
        <w:rPr>
          <w:rFonts w:ascii="仿宋" w:hAnsi="仿宋" w:eastAsia="仿宋" w:cs="仿宋"/>
          <w:sz w:val="24"/>
        </w:rPr>
      </w:pPr>
      <w:r>
        <w:rPr>
          <w:rFonts w:hint="eastAsia" w:ascii="仿宋" w:hAnsi="仿宋" w:eastAsia="仿宋" w:cs="仿宋"/>
          <w:sz w:val="24"/>
        </w:rPr>
        <w:t>1、项目磋商文件</w:t>
      </w:r>
    </w:p>
    <w:p>
      <w:pPr>
        <w:pStyle w:val="34"/>
        <w:spacing w:line="360" w:lineRule="auto"/>
        <w:ind w:firstLine="480"/>
        <w:rPr>
          <w:rFonts w:ascii="仿宋" w:hAnsi="仿宋" w:eastAsia="仿宋" w:cs="仿宋"/>
          <w:sz w:val="24"/>
        </w:rPr>
      </w:pPr>
      <w:r>
        <w:rPr>
          <w:rFonts w:hint="eastAsia" w:ascii="仿宋" w:hAnsi="仿宋" w:eastAsia="仿宋" w:cs="仿宋"/>
          <w:sz w:val="24"/>
        </w:rPr>
        <w:t>2、项目修改澄清文件</w:t>
      </w:r>
    </w:p>
    <w:p>
      <w:pPr>
        <w:pStyle w:val="34"/>
        <w:spacing w:line="360" w:lineRule="auto"/>
        <w:ind w:firstLine="480"/>
        <w:rPr>
          <w:rFonts w:ascii="仿宋" w:hAnsi="仿宋" w:eastAsia="仿宋" w:cs="仿宋"/>
          <w:sz w:val="24"/>
        </w:rPr>
      </w:pPr>
      <w:r>
        <w:rPr>
          <w:rFonts w:hint="eastAsia" w:ascii="仿宋" w:hAnsi="仿宋" w:eastAsia="仿宋" w:cs="仿宋"/>
          <w:sz w:val="24"/>
        </w:rPr>
        <w:t>3、项目响应文件</w:t>
      </w:r>
    </w:p>
    <w:p>
      <w:pPr>
        <w:pStyle w:val="34"/>
        <w:spacing w:line="360" w:lineRule="auto"/>
        <w:ind w:firstLine="480"/>
        <w:rPr>
          <w:rFonts w:ascii="仿宋" w:hAnsi="仿宋" w:eastAsia="仿宋" w:cs="仿宋"/>
          <w:sz w:val="24"/>
        </w:rPr>
      </w:pPr>
      <w:r>
        <w:rPr>
          <w:rFonts w:hint="eastAsia" w:ascii="仿宋" w:hAnsi="仿宋" w:eastAsia="仿宋" w:cs="仿宋"/>
          <w:sz w:val="24"/>
        </w:rPr>
        <w:t>4、成交通知书</w:t>
      </w:r>
    </w:p>
    <w:p>
      <w:pPr>
        <w:pStyle w:val="34"/>
        <w:spacing w:line="360" w:lineRule="auto"/>
        <w:ind w:firstLine="480"/>
        <w:rPr>
          <w:rFonts w:ascii="仿宋" w:hAnsi="仿宋" w:eastAsia="仿宋" w:cs="仿宋"/>
          <w:sz w:val="24"/>
        </w:rPr>
      </w:pPr>
      <w:r>
        <w:rPr>
          <w:rFonts w:hint="eastAsia" w:ascii="仿宋" w:hAnsi="仿宋" w:eastAsia="仿宋" w:cs="仿宋"/>
          <w:sz w:val="24"/>
        </w:rPr>
        <w:t>5、其他</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spacing w:line="400" w:lineRule="exact"/>
        <w:ind w:firstLine="480" w:firstLineChars="200"/>
        <w:rPr>
          <w:rFonts w:ascii="仿宋" w:hAnsi="仿宋" w:eastAsia="仿宋" w:cs="仿宋"/>
          <w:sz w:val="24"/>
        </w:rPr>
      </w:pPr>
      <w:r>
        <w:rPr>
          <w:rFonts w:hint="eastAsia" w:ascii="仿宋" w:hAnsi="仿宋" w:eastAsia="仿宋" w:cs="仿宋"/>
          <w:sz w:val="24"/>
        </w:rPr>
        <w:t>法定代表人（授权代表）：           法定代表人（授权代表）：</w:t>
      </w:r>
    </w:p>
    <w:p>
      <w:pPr>
        <w:spacing w:line="400" w:lineRule="exact"/>
        <w:ind w:firstLine="480" w:firstLineChars="200"/>
        <w:rPr>
          <w:rFonts w:ascii="仿宋" w:hAnsi="仿宋" w:eastAsia="仿宋" w:cs="仿宋"/>
          <w:sz w:val="24"/>
        </w:rPr>
      </w:pPr>
      <w:r>
        <w:rPr>
          <w:rFonts w:hint="eastAsia" w:ascii="仿宋" w:hAnsi="仿宋" w:eastAsia="仿宋" w:cs="仿宋"/>
          <w:sz w:val="24"/>
        </w:rPr>
        <w:t>地    址：                         地    址：</w:t>
      </w:r>
    </w:p>
    <w:p>
      <w:pPr>
        <w:spacing w:line="400" w:lineRule="exact"/>
        <w:ind w:firstLine="480" w:firstLineChars="200"/>
        <w:rPr>
          <w:rFonts w:ascii="仿宋" w:hAnsi="仿宋" w:eastAsia="仿宋" w:cs="仿宋"/>
          <w:sz w:val="24"/>
        </w:rPr>
      </w:pPr>
      <w:r>
        <w:rPr>
          <w:rFonts w:hint="eastAsia" w:ascii="仿宋" w:hAnsi="仿宋" w:eastAsia="仿宋" w:cs="仿宋"/>
          <w:sz w:val="24"/>
        </w:rPr>
        <w:t>开户银行：                         开户银行：</w:t>
      </w:r>
    </w:p>
    <w:p>
      <w:pPr>
        <w:spacing w:line="400" w:lineRule="exact"/>
        <w:ind w:firstLine="480" w:firstLineChars="200"/>
        <w:rPr>
          <w:rFonts w:ascii="仿宋" w:hAnsi="仿宋" w:eastAsia="仿宋" w:cs="仿宋"/>
          <w:sz w:val="24"/>
        </w:rPr>
      </w:pPr>
      <w:r>
        <w:rPr>
          <w:rFonts w:hint="eastAsia" w:ascii="仿宋" w:hAnsi="仿宋" w:eastAsia="仿宋" w:cs="仿宋"/>
          <w:sz w:val="24"/>
        </w:rPr>
        <w:t>账号：                             账号：</w:t>
      </w:r>
    </w:p>
    <w:p>
      <w:pPr>
        <w:spacing w:line="400" w:lineRule="exact"/>
        <w:ind w:firstLine="480" w:firstLineChars="200"/>
        <w:rPr>
          <w:rFonts w:ascii="仿宋" w:hAnsi="仿宋" w:eastAsia="仿宋" w:cs="仿宋"/>
          <w:sz w:val="24"/>
        </w:rPr>
      </w:pPr>
      <w:r>
        <w:rPr>
          <w:rFonts w:hint="eastAsia" w:ascii="仿宋" w:hAnsi="仿宋" w:eastAsia="仿宋" w:cs="仿宋"/>
          <w:sz w:val="24"/>
        </w:rPr>
        <w:t>电    话：                         电    话：</w:t>
      </w:r>
    </w:p>
    <w:p>
      <w:pPr>
        <w:spacing w:line="400" w:lineRule="exact"/>
        <w:ind w:firstLine="480" w:firstLineChars="200"/>
        <w:rPr>
          <w:rFonts w:ascii="仿宋" w:hAnsi="仿宋" w:eastAsia="仿宋" w:cs="仿宋"/>
          <w:sz w:val="24"/>
        </w:rPr>
      </w:pPr>
      <w:r>
        <w:rPr>
          <w:rFonts w:hint="eastAsia" w:ascii="仿宋" w:hAnsi="仿宋" w:eastAsia="仿宋" w:cs="仿宋"/>
          <w:sz w:val="24"/>
        </w:rPr>
        <w:t>传    真：                         传    真：</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pStyle w:val="2"/>
        <w:spacing w:line="360" w:lineRule="auto"/>
        <w:ind w:firstLine="466" w:firstLineChars="200"/>
        <w:rPr>
          <w:rFonts w:ascii="仿宋" w:hAnsi="仿宋" w:eastAsia="仿宋" w:cs="仿宋"/>
          <w:bCs/>
          <w:sz w:val="24"/>
          <w:szCs w:val="24"/>
        </w:rPr>
      </w:pPr>
      <w:r>
        <w:rPr>
          <w:rFonts w:hint="eastAsia" w:ascii="仿宋" w:hAnsi="仿宋" w:eastAsia="仿宋" w:cs="仿宋"/>
          <w:b/>
          <w:bCs/>
          <w:spacing w:val="-4"/>
          <w:sz w:val="24"/>
          <w:szCs w:val="24"/>
        </w:rPr>
        <w:t>注：合同条款可根据采购人及成交人签订合同时的实际情况进行修改调整。</w:t>
      </w:r>
    </w:p>
    <w:p>
      <w:pPr>
        <w:spacing w:line="360" w:lineRule="auto"/>
        <w:ind w:firstLine="420" w:firstLineChars="200"/>
        <w:rPr>
          <w:rFonts w:ascii="仿宋" w:hAnsi="仿宋" w:eastAsia="仿宋" w:cs="仿宋"/>
          <w:szCs w:val="21"/>
        </w:rPr>
      </w:pPr>
      <w:r>
        <w:rPr>
          <w:rFonts w:hint="eastAsia" w:ascii="仿宋" w:hAnsi="仿宋" w:eastAsia="仿宋" w:cs="仿宋"/>
          <w:szCs w:val="21"/>
        </w:rPr>
        <w:br w:type="page"/>
      </w:r>
    </w:p>
    <w:p>
      <w:pPr>
        <w:widowControl/>
        <w:spacing w:line="360" w:lineRule="auto"/>
        <w:rPr>
          <w:rFonts w:ascii="仿宋" w:hAnsi="仿宋" w:eastAsia="仿宋" w:cs="仿宋"/>
          <w:b/>
          <w:bCs/>
        </w:rPr>
      </w:pPr>
      <w:r>
        <w:rPr>
          <w:rFonts w:hint="eastAsia" w:ascii="仿宋" w:hAnsi="仿宋" w:eastAsia="仿宋" w:cs="仿宋"/>
          <w:b/>
          <w:bCs/>
          <w:sz w:val="24"/>
        </w:rPr>
        <w:t>附件一：</w:t>
      </w:r>
      <w:r>
        <w:rPr>
          <w:rFonts w:hint="eastAsia" w:ascii="仿宋" w:hAnsi="仿宋" w:eastAsia="仿宋" w:cs="仿宋"/>
          <w:b/>
          <w:bCs/>
        </w:rPr>
        <w:t>《四川省财政厅关于推进四川省政府采购供应商信用融资工作的通知》(川财采〔2018〕123号文)</w:t>
      </w:r>
    </w:p>
    <w:p>
      <w:pPr>
        <w:pStyle w:val="17"/>
        <w:wordWrap w:val="0"/>
        <w:spacing w:before="0" w:beforeAutospacing="0" w:after="0" w:afterAutospacing="0" w:line="360" w:lineRule="auto"/>
        <w:rPr>
          <w:rFonts w:ascii="仿宋" w:hAnsi="仿宋" w:eastAsia="仿宋" w:cs="仿宋"/>
        </w:rPr>
      </w:pPr>
      <w:r>
        <w:rPr>
          <w:rFonts w:hint="eastAsia" w:ascii="仿宋" w:hAnsi="仿宋" w:eastAsia="仿宋" w:cs="仿宋"/>
          <w:b/>
          <w:bCs/>
        </w:rPr>
        <w:t>查询链接：</w:t>
      </w:r>
      <w:r>
        <w:rPr>
          <w:rFonts w:hint="eastAsia" w:ascii="仿宋" w:hAnsi="仿宋" w:eastAsia="仿宋" w:cs="仿宋"/>
          <w:b/>
          <w:bCs/>
          <w:sz w:val="24"/>
          <w:szCs w:val="24"/>
        </w:rPr>
        <w:t>http://www.ccgp-sichuan.gov.cn/view/staticpags/sjzcfg/40288687657ff75501672fd954532414.html</w:t>
      </w:r>
    </w:p>
    <w:p>
      <w:pPr>
        <w:widowControl/>
        <w:spacing w:line="360" w:lineRule="auto"/>
        <w:jc w:val="center"/>
        <w:rPr>
          <w:rFonts w:ascii="仿宋" w:hAnsi="仿宋" w:eastAsia="仿宋" w:cs="仿宋"/>
          <w:sz w:val="24"/>
        </w:rPr>
      </w:pPr>
      <w:r>
        <w:rPr>
          <w:rFonts w:hint="eastAsia" w:ascii="仿宋" w:hAnsi="仿宋" w:eastAsia="仿宋" w:cs="仿宋"/>
          <w:sz w:val="24"/>
        </w:rPr>
        <w:drawing>
          <wp:inline distT="0" distB="0" distL="114300" distR="114300">
            <wp:extent cx="5302250" cy="1859915"/>
            <wp:effectExtent l="0" t="0" r="635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5302250" cy="1859915"/>
                    </a:xfrm>
                    <a:prstGeom prst="rect">
                      <a:avLst/>
                    </a:prstGeom>
                    <a:noFill/>
                    <a:ln w="9525">
                      <a:noFill/>
                    </a:ln>
                  </pic:spPr>
                </pic:pic>
              </a:graphicData>
            </a:graphic>
          </wp:inline>
        </w:drawing>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各市（州）、扩权县（市）财政局，各省直机关、事业单位、团体组织，各金融机构，各采购代理机构，各政府采购供应商：</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一、融资概念</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二、基本原则</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（一）财政引导，市场运行</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财政部门推进“政采贷”，银行和供应商按照自愿原则参与。供应商自愿选择是否申请“政采贷”，银行依据其内部审查制度和决策程序决定是否为供应商提供融资，自担风险。</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（二）建立机制，服务银企</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（三）优质优惠，加强扶持</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三、基本条件</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（一）银行暨“政采贷”金融产品</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1、征集。</w:t>
      </w:r>
      <w:r>
        <w:rPr>
          <w:rFonts w:hint="eastAsia" w:ascii="仿宋" w:hAnsi="仿宋" w:eastAsia="仿宋" w:cs="仿宋"/>
          <w:sz w:val="24"/>
          <w:szCs w:val="24"/>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申请材料应当包括银行基本情况、“政采贷”产品名称、申请贷款条件、申请贷款方式、申请贷款程序、贷款审查流程、贷款额度、发放贷款时间、收款方式及其他优质服务和优惠承诺等。</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银行提供的“政采贷”产品应当满足“无抵押担保、程序简便、利率优惠、放款及时”的基本条件以及本通知其他相关规定。</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银行申请材料中应当载明其自愿提供“政采贷”产品，自担风险，不得要求或者变相要求财政部门和采购人为其提供风险担保、承诺。</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2、公示。</w:t>
      </w:r>
      <w:r>
        <w:rPr>
          <w:rFonts w:hint="eastAsia" w:ascii="仿宋" w:hAnsi="仿宋" w:eastAsia="仿宋" w:cs="仿宋"/>
          <w:sz w:val="24"/>
          <w:szCs w:val="24"/>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（二）供应商</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政府采购供应商向银行申请“政采贷”，应当满足下列基本条件：</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sz w:val="24"/>
          <w:szCs w:val="24"/>
        </w:rPr>
        <w:t>具有依法承担民事责任的能力；</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sz w:val="24"/>
          <w:szCs w:val="24"/>
        </w:rPr>
        <w:t>具有依法履行政府采购合同的能力；</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sz w:val="24"/>
          <w:szCs w:val="24"/>
        </w:rPr>
        <w:t>参加的政府采购活动未被财政部门依法暂停、责令重新开展或者认定中标、成交无效；</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4、</w:t>
      </w:r>
      <w:r>
        <w:rPr>
          <w:rFonts w:hint="eastAsia" w:ascii="仿宋" w:hAnsi="仿宋" w:eastAsia="仿宋" w:cs="仿宋"/>
          <w:sz w:val="24"/>
          <w:szCs w:val="24"/>
        </w:rPr>
        <w:t>无《政府采购法》第二十二条第一款第（五）项所称的重大违法记录；</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sz w:val="24"/>
          <w:szCs w:val="24"/>
        </w:rPr>
        <w:t>未被法院、市场监管、税务、银行等部门单位纳入失信名单且在有效期内；</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6、</w:t>
      </w:r>
      <w:r>
        <w:rPr>
          <w:rFonts w:hint="eastAsia" w:ascii="仿宋" w:hAnsi="仿宋" w:eastAsia="仿宋" w:cs="仿宋"/>
          <w:sz w:val="24"/>
          <w:szCs w:val="24"/>
        </w:rPr>
        <w:t>在一定期限内的（银行可以具体确定）政府采购合同履约过程中或者其他经营活动履约过程中，无不依法履约被有关行政部门行政处罚的或者产生法律纠纷被法院、仲裁机构判决、裁决败诉的；</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7、</w:t>
      </w:r>
      <w:r>
        <w:rPr>
          <w:rFonts w:hint="eastAsia" w:ascii="仿宋" w:hAnsi="仿宋" w:eastAsia="仿宋" w:cs="仿宋"/>
          <w:sz w:val="24"/>
          <w:szCs w:val="24"/>
        </w:rPr>
        <w:t>其他银行要求的不属于提供财产抵押或第三方担保的条件。</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四、构建平台</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四川省财政厅将在四川政府采购网统一构建四川省“政采贷”信息化服务平台，推进四川省“政采贷”工作信息化建设。</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五、财金互动</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六、基本流程</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（一）意向申请</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7"/>
        <w:spacing w:before="0" w:beforeAutospacing="0" w:after="0" w:afterAutospacing="0"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（二）正式申请</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（三）贷款审查</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（四）信息报送</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（五）资金支付</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政府采购资金支付过程中，银行需要查询采购资金支付进程有关信息的，财政部门和采购人应当支持。</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七、职责要求</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（一）</w:t>
      </w:r>
      <w:r>
        <w:rPr>
          <w:rFonts w:hint="eastAsia" w:ascii="仿宋" w:hAnsi="仿宋" w:eastAsia="仿宋" w:cs="仿宋"/>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w:t>
      </w:r>
      <w:r>
        <w:rPr>
          <w:rFonts w:hint="eastAsia" w:ascii="仿宋" w:hAnsi="仿宋" w:eastAsia="仿宋" w:cs="仿宋"/>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（三）</w:t>
      </w:r>
      <w:r>
        <w:rPr>
          <w:rFonts w:hint="eastAsia" w:ascii="仿宋" w:hAnsi="仿宋" w:eastAsia="仿宋" w:cs="仿宋"/>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（四）</w:t>
      </w:r>
      <w:r>
        <w:rPr>
          <w:rFonts w:hint="eastAsia" w:ascii="仿宋" w:hAnsi="仿宋" w:eastAsia="仿宋" w:cs="仿宋"/>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（五）</w:t>
      </w:r>
      <w:r>
        <w:rPr>
          <w:rFonts w:hint="eastAsia" w:ascii="仿宋" w:hAnsi="仿宋" w:eastAsia="仿宋" w:cs="仿宋"/>
          <w:sz w:val="24"/>
          <w:szCs w:val="24"/>
        </w:rPr>
        <w:t>供应商应当依法参加政府采购活动，公平竞争，诚实守信，严格按照政府采购合同履约，严格按照借款合同偿还债务。</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（六）</w:t>
      </w:r>
      <w:r>
        <w:rPr>
          <w:rFonts w:hint="eastAsia" w:ascii="仿宋" w:hAnsi="仿宋" w:eastAsia="仿宋" w:cs="仿宋"/>
          <w:sz w:val="24"/>
          <w:szCs w:val="24"/>
        </w:rPr>
        <w:t>财政部门、采购人、采购代理机构及其他有关单位和个人不得违规干预供应商选择“政采贷”银行及其产品，也不得违规干预银行向供应商进行贷款。</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（七）</w:t>
      </w:r>
      <w:r>
        <w:rPr>
          <w:rFonts w:hint="eastAsia" w:ascii="仿宋" w:hAnsi="仿宋" w:eastAsia="仿宋" w:cs="仿宋"/>
          <w:sz w:val="24"/>
          <w:szCs w:val="24"/>
        </w:rPr>
        <w:t>相关单位和个人在开展“政采贷”工作过程中，发现新问题、新情况或者有意见建议的，请及时向四川省财政厅反馈。</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八、违规处理</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（一）银行违规处理</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（二）供应商违规处理</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7"/>
        <w:spacing w:before="0" w:beforeAutospacing="0" w:after="0" w:afterAutospacing="0" w:line="360" w:lineRule="auto"/>
        <w:ind w:firstLine="482" w:firstLineChars="200"/>
        <w:rPr>
          <w:rFonts w:ascii="仿宋" w:hAnsi="仿宋" w:eastAsia="仿宋" w:cs="仿宋"/>
          <w:sz w:val="24"/>
          <w:szCs w:val="24"/>
        </w:rPr>
      </w:pPr>
      <w:r>
        <w:rPr>
          <w:rFonts w:hint="eastAsia" w:ascii="仿宋" w:hAnsi="仿宋" w:eastAsia="仿宋" w:cs="仿宋"/>
          <w:b/>
          <w:sz w:val="24"/>
          <w:szCs w:val="24"/>
        </w:rPr>
        <w:t>（三）其他违规处理</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spacing w:before="0" w:beforeAutospacing="0" w:after="0" w:afterAutospacing="0" w:line="360" w:lineRule="auto"/>
        <w:ind w:firstLine="480" w:firstLineChars="200"/>
        <w:rPr>
          <w:rFonts w:ascii="仿宋" w:hAnsi="仿宋" w:eastAsia="仿宋" w:cs="仿宋"/>
          <w:sz w:val="24"/>
          <w:szCs w:val="24"/>
        </w:rPr>
      </w:pPr>
      <w:r>
        <w:rPr>
          <w:rFonts w:hint="eastAsia" w:ascii="仿宋" w:hAnsi="仿宋" w:eastAsia="仿宋" w:cs="仿宋"/>
          <w:sz w:val="24"/>
          <w:szCs w:val="24"/>
        </w:rPr>
        <w:t> 附件：四川省“政采贷”信息统计表</w:t>
      </w:r>
    </w:p>
    <w:p>
      <w:pPr>
        <w:spacing w:line="360" w:lineRule="auto"/>
        <w:rPr>
          <w:rFonts w:ascii="仿宋" w:hAnsi="仿宋" w:eastAsia="仿宋" w:cs="仿宋"/>
          <w:sz w:val="24"/>
        </w:rPr>
      </w:pPr>
      <w:r>
        <w:rPr>
          <w:rFonts w:hint="eastAsia" w:ascii="仿宋" w:hAnsi="仿宋" w:eastAsia="仿宋" w:cs="仿宋"/>
          <w:kern w:val="0"/>
          <w:sz w:val="24"/>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0" t="0" r="635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6" cstate="print"/>
                    <a:stretch>
                      <a:fillRect/>
                    </a:stretch>
                  </pic:blipFill>
                  <pic:spPr>
                    <a:xfrm>
                      <a:off x="0" y="0"/>
                      <a:ext cx="1771650" cy="1781175"/>
                    </a:xfrm>
                    <a:prstGeom prst="rect">
                      <a:avLst/>
                    </a:prstGeom>
                    <a:noFill/>
                    <a:ln w="9525">
                      <a:noFill/>
                    </a:ln>
                  </pic:spPr>
                </pic:pic>
              </a:graphicData>
            </a:graphic>
          </wp:anchor>
        </w:drawing>
      </w:r>
      <w:r>
        <w:rPr>
          <w:rFonts w:hint="eastAsia" w:ascii="仿宋" w:hAnsi="仿宋" w:eastAsia="仿宋" w:cs="仿宋"/>
          <w:sz w:val="24"/>
        </w:rPr>
        <w:br w:type="page"/>
      </w:r>
    </w:p>
    <w:p>
      <w:pPr>
        <w:rPr>
          <w:rFonts w:ascii="仿宋" w:hAnsi="仿宋" w:eastAsia="仿宋" w:cs="仿宋"/>
          <w:b/>
          <w:bCs/>
          <w:sz w:val="28"/>
          <w:szCs w:val="36"/>
        </w:rPr>
      </w:pPr>
      <w:r>
        <w:rPr>
          <w:rFonts w:hint="eastAsia" w:ascii="仿宋" w:hAnsi="仿宋" w:eastAsia="仿宋" w:cs="仿宋"/>
          <w:b/>
          <w:bCs/>
          <w:sz w:val="28"/>
          <w:szCs w:val="36"/>
        </w:rPr>
        <w:t xml:space="preserve">附件二：         </w:t>
      </w:r>
    </w:p>
    <w:p>
      <w:pPr>
        <w:jc w:val="center"/>
        <w:rPr>
          <w:rFonts w:ascii="仿宋" w:hAnsi="仿宋" w:eastAsia="仿宋" w:cs="仿宋"/>
          <w:b/>
          <w:bCs/>
          <w:sz w:val="28"/>
          <w:szCs w:val="36"/>
        </w:rPr>
      </w:pPr>
      <w:r>
        <w:rPr>
          <w:rFonts w:hint="eastAsia" w:ascii="仿宋" w:hAnsi="仿宋" w:eastAsia="仿宋" w:cs="仿宋"/>
          <w:b/>
          <w:bCs/>
          <w:sz w:val="28"/>
          <w:szCs w:val="36"/>
        </w:rPr>
        <w:t>2021年度信用评价服务效果调查表(供应商)</w:t>
      </w:r>
    </w:p>
    <w:p>
      <w:pPr>
        <w:pStyle w:val="48"/>
        <w:spacing w:line="360" w:lineRule="auto"/>
        <w:rPr>
          <w:rFonts w:ascii="仿宋" w:hAnsi="仿宋" w:eastAsia="仿宋" w:cs="仿宋"/>
          <w:sz w:val="24"/>
          <w:u w:val="single"/>
        </w:rPr>
      </w:pPr>
      <w:r>
        <w:rPr>
          <w:rFonts w:hint="eastAsia" w:ascii="仿宋" w:hAnsi="仿宋" w:eastAsia="仿宋" w:cs="仿宋"/>
          <w:sz w:val="24"/>
        </w:rPr>
        <w:t>项目名称：</w:t>
      </w:r>
    </w:p>
    <w:p>
      <w:pPr>
        <w:pStyle w:val="48"/>
        <w:spacing w:line="360" w:lineRule="auto"/>
        <w:rPr>
          <w:rFonts w:ascii="仿宋" w:hAnsi="仿宋" w:eastAsia="仿宋" w:cs="仿宋"/>
          <w:sz w:val="24"/>
          <w:u w:val="single"/>
        </w:rPr>
      </w:pPr>
      <w:r>
        <w:rPr>
          <w:rFonts w:hint="eastAsia" w:ascii="仿宋" w:hAnsi="仿宋" w:eastAsia="仿宋" w:cs="仿宋"/>
          <w:sz w:val="24"/>
        </w:rPr>
        <w:t>项目编号：</w:t>
      </w:r>
    </w:p>
    <w:p>
      <w:pPr>
        <w:pStyle w:val="48"/>
        <w:spacing w:line="360" w:lineRule="auto"/>
        <w:rPr>
          <w:rFonts w:ascii="仿宋" w:hAnsi="仿宋" w:eastAsia="仿宋" w:cs="仿宋"/>
          <w:sz w:val="24"/>
        </w:rPr>
      </w:pPr>
      <w:r>
        <w:rPr>
          <w:rFonts w:hint="eastAsia" w:ascii="仿宋" w:hAnsi="仿宋" w:eastAsia="仿宋" w:cs="仿宋"/>
          <w:sz w:val="24"/>
        </w:rPr>
        <w:t>被评价代理机构名称：</w:t>
      </w:r>
    </w:p>
    <w:tbl>
      <w:tblPr>
        <w:tblStyle w:val="18"/>
        <w:tblW w:w="9770" w:type="dxa"/>
        <w:jc w:val="center"/>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满意</w:t>
            </w:r>
          </w:p>
          <w:p>
            <w:pPr>
              <w:pStyle w:val="49"/>
              <w:rPr>
                <w:rFonts w:ascii="仿宋" w:hAnsi="仿宋" w:eastAsia="仿宋" w:cs="仿宋"/>
                <w:b/>
                <w:bCs/>
                <w:sz w:val="24"/>
              </w:rPr>
            </w:pPr>
            <w:r>
              <w:rPr>
                <w:rFonts w:hint="eastAsia" w:ascii="仿宋" w:hAnsi="仿宋" w:eastAsia="仿宋" w:cs="仿宋"/>
                <w:b/>
                <w:bCs/>
                <w:sz w:val="24"/>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基本满意</w:t>
            </w:r>
          </w:p>
          <w:p>
            <w:pPr>
              <w:pStyle w:val="49"/>
              <w:rPr>
                <w:rFonts w:ascii="仿宋" w:hAnsi="仿宋" w:eastAsia="仿宋" w:cs="仿宋"/>
                <w:b/>
                <w:bCs/>
                <w:sz w:val="24"/>
              </w:rPr>
            </w:pPr>
            <w:r>
              <w:rPr>
                <w:rFonts w:hint="eastAsia" w:ascii="仿宋" w:hAnsi="仿宋" w:eastAsia="仿宋" w:cs="仿宋"/>
                <w:b/>
                <w:bCs/>
                <w:sz w:val="24"/>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一般</w:t>
            </w:r>
          </w:p>
          <w:p>
            <w:pPr>
              <w:pStyle w:val="49"/>
              <w:rPr>
                <w:rFonts w:ascii="仿宋" w:hAnsi="仿宋" w:eastAsia="仿宋" w:cs="仿宋"/>
                <w:b/>
                <w:bCs/>
                <w:sz w:val="24"/>
              </w:rPr>
            </w:pPr>
            <w:r>
              <w:rPr>
                <w:rFonts w:hint="eastAsia" w:ascii="仿宋" w:hAnsi="仿宋" w:eastAsia="仿宋" w:cs="仿宋"/>
                <w:b/>
                <w:bCs/>
                <w:sz w:val="24"/>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不满意</w:t>
            </w:r>
          </w:p>
          <w:p>
            <w:pPr>
              <w:pStyle w:val="49"/>
              <w:rPr>
                <w:rFonts w:ascii="仿宋" w:hAnsi="仿宋" w:eastAsia="仿宋" w:cs="仿宋"/>
                <w:b/>
                <w:bCs/>
                <w:sz w:val="24"/>
              </w:rPr>
            </w:pPr>
            <w:r>
              <w:rPr>
                <w:rFonts w:hint="eastAsia" w:ascii="仿宋" w:hAnsi="仿宋" w:eastAsia="仿宋" w:cs="仿宋"/>
                <w:b/>
                <w:bCs/>
                <w:sz w:val="24"/>
              </w:rPr>
              <w:t>(0分)</w:t>
            </w: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r>
              <w:rPr>
                <w:rFonts w:hint="eastAsia" w:ascii="仿宋" w:hAnsi="仿宋" w:eastAsia="仿宋" w:cs="仿宋"/>
                <w:b/>
                <w:bCs/>
                <w:sz w:val="24"/>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rPr>
                <w:rFonts w:ascii="仿宋" w:hAnsi="仿宋" w:eastAsia="仿宋" w:cs="仿宋"/>
                <w:b/>
                <w:bCs/>
                <w:sz w:val="24"/>
              </w:rPr>
            </w:pPr>
          </w:p>
        </w:tc>
      </w:tr>
      <w:tr>
        <w:tblPrEx>
          <w:tblCellMar>
            <w:top w:w="15" w:type="dxa"/>
            <w:left w:w="15" w:type="dxa"/>
            <w:bottom w:w="15" w:type="dxa"/>
            <w:right w:w="15" w:type="dxa"/>
          </w:tblCellMar>
        </w:tblPrEx>
        <w:trPr>
          <w:trHeight w:val="480"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0"/>
              <w:ind w:left="42"/>
              <w:jc w:val="center"/>
              <w:rPr>
                <w:rFonts w:ascii="仿宋" w:hAnsi="仿宋" w:eastAsia="仿宋" w:cs="仿宋"/>
                <w:b/>
                <w:bCs/>
                <w:sz w:val="24"/>
              </w:rPr>
            </w:pPr>
            <w:r>
              <w:rPr>
                <w:rFonts w:hint="eastAsia" w:ascii="仿宋" w:hAnsi="仿宋" w:eastAsia="仿宋" w:cs="仿宋"/>
                <w:b/>
                <w:bCs/>
                <w:sz w:val="24"/>
              </w:rPr>
              <w:t>对代理机构工作的其他建议：</w:t>
            </w:r>
          </w:p>
        </w:tc>
      </w:tr>
      <w:tr>
        <w:tblPrEx>
          <w:tblCellMar>
            <w:top w:w="15" w:type="dxa"/>
            <w:left w:w="15" w:type="dxa"/>
            <w:bottom w:w="15" w:type="dxa"/>
            <w:right w:w="15" w:type="dxa"/>
          </w:tblCellMar>
        </w:tblPrEx>
        <w:trPr>
          <w:trHeight w:val="200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0"/>
              <w:ind w:left="42"/>
              <w:jc w:val="center"/>
              <w:rPr>
                <w:rFonts w:ascii="仿宋" w:hAnsi="仿宋" w:eastAsia="仿宋" w:cs="仿宋"/>
                <w:b/>
                <w:bCs/>
                <w:sz w:val="24"/>
              </w:rPr>
            </w:pPr>
          </w:p>
        </w:tc>
      </w:tr>
      <w:tr>
        <w:tblPrEx>
          <w:tblCellMar>
            <w:top w:w="15" w:type="dxa"/>
            <w:left w:w="15" w:type="dxa"/>
            <w:bottom w:w="15" w:type="dxa"/>
            <w:right w:w="15" w:type="dxa"/>
          </w:tblCellMar>
        </w:tblPrEx>
        <w:trPr>
          <w:trHeight w:val="81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0"/>
              <w:ind w:left="42"/>
              <w:rPr>
                <w:rFonts w:ascii="仿宋" w:hAnsi="仿宋" w:eastAsia="仿宋" w:cs="仿宋"/>
                <w:b/>
                <w:bCs/>
                <w:sz w:val="24"/>
              </w:rPr>
            </w:pPr>
            <w:r>
              <w:rPr>
                <w:rFonts w:hint="eastAsia" w:ascii="仿宋" w:hAnsi="仿宋" w:eastAsia="仿宋" w:cs="仿宋"/>
                <w:b/>
                <w:bCs/>
                <w:sz w:val="24"/>
              </w:rPr>
              <w:t>供应商名称：</w:t>
            </w:r>
            <w:r>
              <w:rPr>
                <w:rFonts w:hint="eastAsia" w:ascii="仿宋" w:hAnsi="仿宋" w:eastAsia="仿宋" w:cs="仿宋"/>
                <w:b/>
                <w:bCs/>
                <w:sz w:val="24"/>
                <w:u w:val="single"/>
              </w:rPr>
              <w:t xml:space="preserve">                     </w:t>
            </w:r>
            <w:r>
              <w:rPr>
                <w:rFonts w:hint="eastAsia" w:ascii="仿宋" w:hAnsi="仿宋" w:eastAsia="仿宋" w:cs="仿宋"/>
                <w:b/>
                <w:bCs/>
                <w:sz w:val="24"/>
              </w:rPr>
              <w:t>(加盖鲜章)</w:t>
            </w:r>
          </w:p>
        </w:tc>
      </w:tr>
    </w:tbl>
    <w:p>
      <w:pPr>
        <w:pStyle w:val="2"/>
        <w:ind w:firstLine="480" w:firstLineChars="200"/>
        <w:rPr>
          <w:rFonts w:ascii="仿宋" w:hAnsi="仿宋" w:eastAsia="仿宋" w:cs="仿宋"/>
          <w:sz w:val="24"/>
          <w:szCs w:val="24"/>
        </w:rPr>
      </w:pPr>
      <w:r>
        <w:rPr>
          <w:rFonts w:hint="eastAsia" w:ascii="仿宋" w:hAnsi="仿宋" w:eastAsia="仿宋" w:cs="仿宋"/>
          <w:sz w:val="24"/>
          <w:szCs w:val="24"/>
        </w:rPr>
        <w:t>说明：1.请贵公司根据政府采购代理机构2021年度政府采购项目的实际情况，在“满意”、“基本满意”、“一般”、“不满意”四个评价档次栏中选取一栏打“√”，并加盖鲜章。</w:t>
      </w:r>
    </w:p>
    <w:p>
      <w:pPr>
        <w:pStyle w:val="2"/>
        <w:numPr>
          <w:ilvl w:val="0"/>
          <w:numId w:val="9"/>
        </w:numPr>
        <w:ind w:firstLine="482" w:firstLineChars="200"/>
        <w:rPr>
          <w:rFonts w:ascii="仿宋" w:hAnsi="仿宋" w:eastAsia="仿宋" w:cs="仿宋"/>
          <w:b/>
          <w:bCs/>
          <w:sz w:val="24"/>
          <w:szCs w:val="24"/>
        </w:rPr>
      </w:pPr>
      <w:r>
        <w:rPr>
          <w:rFonts w:hint="eastAsia" w:ascii="仿宋" w:hAnsi="仿宋" w:eastAsia="仿宋" w:cs="仿宋"/>
          <w:b/>
          <w:bCs/>
          <w:sz w:val="24"/>
          <w:szCs w:val="24"/>
        </w:rPr>
        <w:t>请贵公司于开标当日将此表原件交至代理机构工作人员。（不作为实质性要求，不作为评审依据）</w:t>
      </w:r>
    </w:p>
    <w:p>
      <w:pPr>
        <w:rPr>
          <w:rFonts w:ascii="仿宋" w:hAnsi="仿宋" w:eastAsia="仿宋" w:cs="仿宋"/>
        </w:rPr>
      </w:pPr>
    </w:p>
    <w:p>
      <w:pPr>
        <w:widowControl/>
        <w:spacing w:line="360" w:lineRule="auto"/>
        <w:jc w:val="center"/>
        <w:rPr>
          <w:rFonts w:ascii="仿宋" w:hAnsi="仿宋" w:eastAsia="仿宋" w:cs="仿宋"/>
          <w:kern w:val="0"/>
          <w:sz w:val="44"/>
          <w:szCs w:val="44"/>
        </w:rPr>
      </w:pPr>
      <w:r>
        <w:rPr>
          <w:rFonts w:hint="eastAsia" w:ascii="仿宋" w:hAnsi="仿宋" w:eastAsia="仿宋" w:cs="仿宋"/>
          <w:kern w:val="0"/>
          <w:sz w:val="44"/>
          <w:szCs w:val="44"/>
        </w:rPr>
        <w:t>采购项目报名表</w:t>
      </w:r>
    </w:p>
    <w:p>
      <w:pPr>
        <w:widowControl/>
        <w:spacing w:line="360" w:lineRule="auto"/>
        <w:jc w:val="center"/>
        <w:rPr>
          <w:rFonts w:ascii="仿宋" w:hAnsi="仿宋" w:eastAsia="仿宋" w:cs="仿宋"/>
          <w:kern w:val="0"/>
          <w:sz w:val="10"/>
          <w:szCs w:val="10"/>
        </w:rPr>
      </w:pPr>
    </w:p>
    <w:tbl>
      <w:tblPr>
        <w:tblStyle w:val="18"/>
        <w:tblW w:w="8865" w:type="dxa"/>
        <w:jc w:val="center"/>
        <w:tblCellSpacing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820"/>
        <w:gridCol w:w="6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tcBorders>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日    期</w:t>
            </w:r>
          </w:p>
        </w:tc>
        <w:tc>
          <w:tcPr>
            <w:tcW w:w="6045" w:type="dxa"/>
            <w:tcBorders>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项 目 名 称</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项 目 编 号</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报名单位名称</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8"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项目联系人</w:t>
            </w:r>
          </w:p>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及身份证号码</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1"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联系电话/手机</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固定电话</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电子邮箱</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公司地 址</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6"/>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8"/>
                <w:szCs w:val="28"/>
              </w:rPr>
            </w:pPr>
            <w:r>
              <w:rPr>
                <w:rFonts w:hint="eastAsia" w:ascii="仿宋" w:hAnsi="仿宋" w:eastAsia="仿宋" w:cs="仿宋"/>
                <w:kern w:val="0"/>
                <w:sz w:val="28"/>
                <w:szCs w:val="28"/>
              </w:rPr>
              <w:t>包      号</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center"/>
              <w:rPr>
                <w:rFonts w:ascii="仿宋" w:hAnsi="仿宋" w:eastAsia="仿宋" w:cs="仿宋"/>
                <w:kern w:val="0"/>
                <w:sz w:val="26"/>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tcBorders>
              <w:top w:val="outset" w:color="auto" w:sz="6" w:space="0"/>
              <w:bottom w:val="outset" w:color="auto" w:sz="6" w:space="0"/>
              <w:right w:val="outset" w:color="auto" w:sz="6" w:space="0"/>
            </w:tcBorders>
            <w:vAlign w:val="center"/>
          </w:tcPr>
          <w:p>
            <w:pPr>
              <w:widowControl/>
              <w:spacing w:line="385" w:lineRule="atLeast"/>
              <w:jc w:val="center"/>
              <w:rPr>
                <w:rFonts w:ascii="仿宋" w:hAnsi="仿宋" w:eastAsia="仿宋" w:cs="仿宋"/>
                <w:kern w:val="0"/>
                <w:sz w:val="26"/>
                <w:szCs w:val="18"/>
              </w:rPr>
            </w:pPr>
            <w:r>
              <w:rPr>
                <w:rFonts w:hint="eastAsia" w:ascii="仿宋" w:hAnsi="仿宋" w:eastAsia="仿宋" w:cs="仿宋"/>
                <w:kern w:val="0"/>
                <w:sz w:val="28"/>
                <w:szCs w:val="28"/>
              </w:rPr>
              <w:t>报名资料</w:t>
            </w:r>
          </w:p>
        </w:tc>
        <w:tc>
          <w:tcPr>
            <w:tcW w:w="6045" w:type="dxa"/>
            <w:tcBorders>
              <w:top w:val="outset" w:color="auto" w:sz="6" w:space="0"/>
              <w:left w:val="outset" w:color="auto" w:sz="6" w:space="0"/>
              <w:bottom w:val="outset" w:color="auto" w:sz="6" w:space="0"/>
            </w:tcBorders>
            <w:vAlign w:val="center"/>
          </w:tcPr>
          <w:p>
            <w:pPr>
              <w:widowControl/>
              <w:spacing w:line="385" w:lineRule="atLeast"/>
              <w:jc w:val="left"/>
              <w:rPr>
                <w:rFonts w:ascii="仿宋" w:hAnsi="仿宋" w:eastAsia="仿宋" w:cs="仿宋"/>
                <w:kern w:val="0"/>
                <w:sz w:val="28"/>
                <w:szCs w:val="28"/>
              </w:rPr>
            </w:pPr>
            <w:r>
              <w:rPr>
                <w:rFonts w:hint="eastAsia" w:ascii="仿宋" w:hAnsi="仿宋" w:eastAsia="仿宋" w:cs="仿宋"/>
                <w:kern w:val="0"/>
                <w:sz w:val="26"/>
                <w:szCs w:val="18"/>
              </w:rPr>
              <w:t xml:space="preserve"> </w:t>
            </w:r>
            <w:r>
              <w:rPr>
                <w:rFonts w:hint="eastAsia" w:ascii="仿宋" w:hAnsi="仿宋" w:eastAsia="仿宋" w:cs="仿宋"/>
                <w:kern w:val="0"/>
                <w:sz w:val="28"/>
                <w:szCs w:val="28"/>
              </w:rPr>
              <w:sym w:font="Wingdings" w:char="00A8"/>
            </w:r>
            <w:r>
              <w:rPr>
                <w:rFonts w:hint="eastAsia" w:ascii="仿宋" w:hAnsi="仿宋" w:eastAsia="仿宋" w:cs="仿宋"/>
                <w:kern w:val="0"/>
                <w:sz w:val="28"/>
                <w:szCs w:val="28"/>
              </w:rPr>
              <w:t xml:space="preserve"> 介绍信（法定代表人授权书）</w:t>
            </w:r>
          </w:p>
          <w:p>
            <w:pPr>
              <w:widowControl/>
              <w:spacing w:line="385" w:lineRule="atLeast"/>
              <w:ind w:left="560" w:hanging="560" w:hangingChars="200"/>
              <w:jc w:val="left"/>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sym w:font="Wingdings" w:char="00A8"/>
            </w:r>
            <w:r>
              <w:rPr>
                <w:rFonts w:hint="eastAsia" w:ascii="仿宋" w:hAnsi="仿宋" w:eastAsia="仿宋" w:cs="仿宋"/>
                <w:kern w:val="0"/>
                <w:sz w:val="28"/>
                <w:szCs w:val="28"/>
              </w:rPr>
              <w:t xml:space="preserve"> 经办人身份证复印件（被授权人及法定代表身份证复印件）</w:t>
            </w:r>
          </w:p>
          <w:p>
            <w:pPr>
              <w:widowControl/>
              <w:spacing w:line="385" w:lineRule="atLeast"/>
              <w:jc w:val="left"/>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sym w:font="Wingdings" w:char="00A8"/>
            </w:r>
            <w:r>
              <w:rPr>
                <w:rFonts w:hint="eastAsia" w:ascii="仿宋" w:hAnsi="仿宋" w:eastAsia="仿宋" w:cs="仿宋"/>
                <w:kern w:val="0"/>
                <w:sz w:val="28"/>
                <w:szCs w:val="28"/>
              </w:rPr>
              <w:t xml:space="preserve"> 营业执照复印件</w:t>
            </w:r>
          </w:p>
          <w:p>
            <w:pPr>
              <w:widowControl/>
              <w:spacing w:line="385" w:lineRule="atLeast"/>
              <w:jc w:val="left"/>
              <w:rPr>
                <w:rFonts w:ascii="仿宋" w:hAnsi="仿宋" w:eastAsia="仿宋" w:cs="仿宋"/>
                <w:kern w:val="0"/>
                <w:sz w:val="26"/>
                <w:szCs w:val="1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sym w:font="Wingdings" w:char="00A8"/>
            </w:r>
            <w:r>
              <w:rPr>
                <w:rFonts w:hint="eastAsia" w:ascii="仿宋" w:hAnsi="仿宋" w:eastAsia="仿宋" w:cs="仿宋"/>
                <w:kern w:val="0"/>
                <w:sz w:val="28"/>
                <w:szCs w:val="28"/>
              </w:rPr>
              <w:t xml:space="preserve"> 公司资质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1" w:hRule="atLeast"/>
          <w:tblCellSpacing w:w="0" w:type="dxa"/>
          <w:jc w:val="center"/>
        </w:trPr>
        <w:tc>
          <w:tcPr>
            <w:tcW w:w="8865" w:type="dxa"/>
            <w:gridSpan w:val="2"/>
            <w:tcBorders>
              <w:top w:val="outset" w:color="auto" w:sz="6" w:space="0"/>
            </w:tcBorders>
            <w:vAlign w:val="center"/>
          </w:tcPr>
          <w:p>
            <w:pPr>
              <w:widowControl/>
              <w:spacing w:line="385" w:lineRule="atLeast"/>
              <w:rPr>
                <w:rFonts w:ascii="仿宋" w:hAnsi="仿宋" w:eastAsia="仿宋" w:cs="仿宋"/>
                <w:kern w:val="0"/>
                <w:sz w:val="26"/>
                <w:szCs w:val="18"/>
              </w:rPr>
            </w:pPr>
            <w:r>
              <w:rPr>
                <w:rFonts w:hint="eastAsia" w:ascii="仿宋" w:hAnsi="仿宋" w:eastAsia="仿宋" w:cs="仿宋"/>
                <w:kern w:val="0"/>
                <w:sz w:val="28"/>
                <w:szCs w:val="28"/>
              </w:rPr>
              <w:t>报名人（签字）: </w:t>
            </w:r>
          </w:p>
        </w:tc>
      </w:tr>
    </w:tbl>
    <w:p>
      <w:pPr>
        <w:pStyle w:val="2"/>
        <w:rPr>
          <w:rFonts w:ascii="仿宋" w:hAnsi="仿宋" w:eastAsia="仿宋" w:cs="仿宋"/>
        </w:rPr>
      </w:pPr>
    </w:p>
    <w:sectPr>
      <w:footerReference r:id="rId13" w:type="default"/>
      <w:pgSz w:w="11850" w:h="16783"/>
      <w:pgMar w:top="1440" w:right="1304" w:bottom="1440" w:left="1417"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à.ā">
    <w:altName w:val="黑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4</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8" o:spid="_x0000_s205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MYb9ABAACkAwAADgAAAGRycy9lMm9Eb2MueG1srVPNjtMwEL4j8Q6W&#10;7zTZSsuW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D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2MYb9ABAACkAwAADgAAAAAAAAABACAAAAAeAQAAZHJz&#10;L2Uyb0RvYy54bWxQSwUGAAAAAAYABgBZAQAAYA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- 12 -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- 47 -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Pr>
    </w:pPr>
    <w:r>
      <w:fldChar w:fldCharType="begin"/>
    </w:r>
    <w:r>
      <w:rPr>
        <w:rStyle w:val="22"/>
      </w:rPr>
      <w:instrText xml:space="preserve">PAGE  </w:instrText>
    </w:r>
    <w:r>
      <w:fldChar w:fldCharType="end"/>
    </w:r>
  </w:p>
  <w:p>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- 56 -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jc w:val="both"/>
      <w:rPr>
        <w:rFonts w:ascii="宋体" w:hAnsi="宋体" w:cs="宋体"/>
      </w:rPr>
    </w:pPr>
    <w:r>
      <w:pict>
        <v:shape id="PowerPlusWaterMarkObject37661" o:spid="_x0000_s2052" o:spt="136" type="#_x0000_t136" style="position:absolute;left:0pt;height:44.2pt;width:543.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四川凯亿工程管理咨询有限公司" style="font-family:宋体;font-size:36pt;v-text-align:center;"/>
        </v:shape>
      </w:pict>
    </w:r>
    <w:r>
      <w:drawing>
        <wp:inline distT="0" distB="0" distL="114300" distR="114300">
          <wp:extent cx="1896745" cy="355600"/>
          <wp:effectExtent l="0" t="0" r="8255" b="10160"/>
          <wp:docPr id="6" name="图片 6" descr="5{IQ{@JIAK]{B(LL({L4C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IQ{@JIAK]{B(LL({L4C2H"/>
                  <pic:cNvPicPr>
                    <a:picLocks noChangeAspect="1"/>
                  </pic:cNvPicPr>
                </pic:nvPicPr>
                <pic:blipFill>
                  <a:blip r:embed="rId1"/>
                  <a:stretch>
                    <a:fillRect/>
                  </a:stretch>
                </pic:blipFill>
                <pic:spPr>
                  <a:xfrm>
                    <a:off x="0" y="0"/>
                    <a:ext cx="1896745" cy="355600"/>
                  </a:xfrm>
                  <a:prstGeom prst="rect">
                    <a:avLst/>
                  </a:prstGeom>
                  <a:noFill/>
                  <a:ln>
                    <a:noFill/>
                  </a:ln>
                </pic:spPr>
              </pic:pic>
            </a:graphicData>
          </a:graphic>
        </wp:inline>
      </w:drawing>
    </w:r>
    <w:r>
      <w:rPr>
        <w:rFonts w:hint="eastAsia" w:ascii="宋体" w:hAnsi="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b/>
        <w:sz w:val="28"/>
        <w:szCs w:val="18"/>
      </w:rPr>
    </w:pPr>
    <w:r>
      <w:drawing>
        <wp:inline distT="0" distB="0" distL="114300" distR="114300">
          <wp:extent cx="1618615" cy="381000"/>
          <wp:effectExtent l="0" t="0" r="635" b="0"/>
          <wp:docPr id="4" name="图片 1" descr="说明: C:\Users\Administrator\Desktop\肖郑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C:\Users\Administrator\Desktop\肖郑洁.png"/>
                  <pic:cNvPicPr>
                    <a:picLocks noChangeAspect="1"/>
                  </pic:cNvPicPr>
                </pic:nvPicPr>
                <pic:blipFill>
                  <a:blip r:embed="rId1"/>
                  <a:stretch>
                    <a:fillRect/>
                  </a:stretch>
                </pic:blipFill>
                <pic:spPr>
                  <a:xfrm>
                    <a:off x="0" y="0"/>
                    <a:ext cx="1618615" cy="381000"/>
                  </a:xfrm>
                  <a:prstGeom prst="rect">
                    <a:avLst/>
                  </a:prstGeom>
                  <a:noFill/>
                  <a:ln w="9525">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jc w:val="both"/>
    </w:pPr>
    <w:r>
      <w:pict>
        <v:shape id="_x0000_s2053" o:spid="_x0000_s2053" o:spt="136" type="#_x0000_t136" style="position:absolute;left:0pt;height:44.2pt;width:543.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四川凯亿工程管理咨询有限公司" style="font-family:宋体;font-size:36pt;v-text-align:center;"/>
        </v:shape>
      </w:pict>
    </w:r>
    <w:r>
      <w:drawing>
        <wp:inline distT="0" distB="0" distL="114300" distR="114300">
          <wp:extent cx="1896745" cy="355600"/>
          <wp:effectExtent l="0" t="0" r="8255" b="10160"/>
          <wp:docPr id="9" name="图片 9" descr="5{IQ{@JIAK]{B(LL({L4C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IQ{@JIAK]{B(LL({L4C2H"/>
                  <pic:cNvPicPr>
                    <a:picLocks noChangeAspect="1"/>
                  </pic:cNvPicPr>
                </pic:nvPicPr>
                <pic:blipFill>
                  <a:blip r:embed="rId1"/>
                  <a:stretch>
                    <a:fillRect/>
                  </a:stretch>
                </pic:blipFill>
                <pic:spPr>
                  <a:xfrm>
                    <a:off x="0" y="0"/>
                    <a:ext cx="1896745" cy="355600"/>
                  </a:xfrm>
                  <a:prstGeom prst="rect">
                    <a:avLst/>
                  </a:prstGeom>
                  <a:noFill/>
                  <a:ln>
                    <a:noFill/>
                  </a:ln>
                </pic:spPr>
              </pic:pic>
            </a:graphicData>
          </a:graphic>
        </wp:inline>
      </w:drawing>
    </w:r>
    <w:r>
      <w:rPr>
        <w:rFonts w:hint="eastAsia" w:ascii="宋体" w:hAnsi="宋体" w:cs="宋体"/>
        <w:b/>
        <w:bCs/>
        <w:szCs w:val="18"/>
      </w:rPr>
      <w:t xml:space="preserve">                                   </w:t>
    </w:r>
    <w:r>
      <w:rPr>
        <w:rFonts w:hint="eastAsia" w:ascii="仿宋" w:hAnsi="仿宋" w:eastAsia="仿宋" w:cs="仿宋"/>
        <w:b/>
        <w:bCs/>
        <w:szCs w:val="18"/>
      </w:rPr>
      <w:t xml:space="preserve">          公开·公平·公正·诚信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jc w:val="both"/>
    </w:pPr>
    <w:r>
      <w:pict>
        <v:shape id="_x0000_s2055" o:spid="_x0000_s2055" o:spt="136" type="#_x0000_t136" style="position:absolute;left:0pt;margin-left:-43.3pt;margin-top:324.1pt;height:44.2pt;width:543.05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四川凯亿工程管理咨询有限公司" style="font-family:宋体;font-size:36pt;v-text-align:center;"/>
        </v:shape>
      </w:pict>
    </w:r>
    <w:r>
      <w:drawing>
        <wp:inline distT="0" distB="0" distL="114300" distR="114300">
          <wp:extent cx="1896745" cy="355600"/>
          <wp:effectExtent l="0" t="0" r="8255" b="6350"/>
          <wp:docPr id="10" name="图片 10" descr="5{IQ{@JIAK]{B(LL({L4C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IQ{@JIAK]{B(LL({L4C2H"/>
                  <pic:cNvPicPr>
                    <a:picLocks noChangeAspect="1"/>
                  </pic:cNvPicPr>
                </pic:nvPicPr>
                <pic:blipFill>
                  <a:blip r:embed="rId1"/>
                  <a:stretch>
                    <a:fillRect/>
                  </a:stretch>
                </pic:blipFill>
                <pic:spPr>
                  <a:xfrm>
                    <a:off x="0" y="0"/>
                    <a:ext cx="1896745" cy="355600"/>
                  </a:xfrm>
                  <a:prstGeom prst="rect">
                    <a:avLst/>
                  </a:prstGeom>
                  <a:noFill/>
                  <a:ln>
                    <a:noFill/>
                  </a:ln>
                </pic:spPr>
              </pic:pic>
            </a:graphicData>
          </a:graphic>
        </wp:inline>
      </w:drawing>
    </w:r>
    <w:r>
      <w:rPr>
        <w:rFonts w:hint="eastAsia" w:ascii="宋体" w:hAnsi="宋体" w:cs="宋体"/>
        <w:b/>
        <w:bCs/>
        <w:szCs w:val="18"/>
      </w:rPr>
      <w:t xml:space="preserve">                                   </w:t>
    </w:r>
    <w:r>
      <w:rPr>
        <w:rFonts w:hint="eastAsia" w:ascii="仿宋" w:hAnsi="仿宋" w:eastAsia="仿宋" w:cs="仿宋"/>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79F54"/>
    <w:multiLevelType w:val="singleLevel"/>
    <w:tmpl w:val="8D279F54"/>
    <w:lvl w:ilvl="0" w:tentative="0">
      <w:start w:val="3"/>
      <w:numFmt w:val="chineseCounting"/>
      <w:suff w:val="nothing"/>
      <w:lvlText w:val="（%1）"/>
      <w:lvlJc w:val="left"/>
      <w:rPr>
        <w:rFonts w:hint="eastAsia"/>
      </w:rPr>
    </w:lvl>
  </w:abstractNum>
  <w:abstractNum w:abstractNumId="1">
    <w:nsid w:val="928CF0EE"/>
    <w:multiLevelType w:val="singleLevel"/>
    <w:tmpl w:val="928CF0EE"/>
    <w:lvl w:ilvl="0" w:tentative="0">
      <w:start w:val="2"/>
      <w:numFmt w:val="decimal"/>
      <w:suff w:val="nothing"/>
      <w:lvlText w:val="%1、"/>
      <w:lvlJc w:val="left"/>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5"/>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3CDE2D5"/>
    <w:multiLevelType w:val="singleLevel"/>
    <w:tmpl w:val="C3CDE2D5"/>
    <w:lvl w:ilvl="0" w:tentative="0">
      <w:start w:val="2"/>
      <w:numFmt w:val="decimal"/>
      <w:lvlText w:val="%1."/>
      <w:lvlJc w:val="left"/>
      <w:pPr>
        <w:tabs>
          <w:tab w:val="left" w:pos="312"/>
        </w:tabs>
      </w:pPr>
    </w:lvl>
  </w:abstractNum>
  <w:abstractNum w:abstractNumId="4">
    <w:nsid w:val="DFE9F4DB"/>
    <w:multiLevelType w:val="singleLevel"/>
    <w:tmpl w:val="DFE9F4DB"/>
    <w:lvl w:ilvl="0" w:tentative="0">
      <w:start w:val="4"/>
      <w:numFmt w:val="chineseCounting"/>
      <w:suff w:val="nothing"/>
      <w:lvlText w:val="%1、"/>
      <w:lvlJc w:val="left"/>
      <w:rPr>
        <w:rFonts w:hint="eastAsia"/>
      </w:rPr>
    </w:lvl>
  </w:abstractNum>
  <w:abstractNum w:abstractNumId="5">
    <w:nsid w:val="EECA97B7"/>
    <w:multiLevelType w:val="singleLevel"/>
    <w:tmpl w:val="EECA97B7"/>
    <w:lvl w:ilvl="0" w:tentative="0">
      <w:start w:val="6"/>
      <w:numFmt w:val="chineseCounting"/>
      <w:suff w:val="space"/>
      <w:lvlText w:val="第%1章"/>
      <w:lvlJc w:val="left"/>
      <w:rPr>
        <w:rFonts w:hint="eastAsia"/>
      </w:rPr>
    </w:lvl>
  </w:abstractNum>
  <w:abstractNum w:abstractNumId="6">
    <w:nsid w:val="00000003"/>
    <w:multiLevelType w:val="multilevel"/>
    <w:tmpl w:val="00000003"/>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singleLevel"/>
    <w:tmpl w:val="00000004"/>
    <w:lvl w:ilvl="0" w:tentative="0">
      <w:start w:val="1"/>
      <w:numFmt w:val="japaneseCounting"/>
      <w:lvlText w:val="第%1条"/>
      <w:lvlJc w:val="left"/>
      <w:pPr>
        <w:tabs>
          <w:tab w:val="left" w:pos="1521"/>
        </w:tabs>
        <w:ind w:left="1521" w:hanging="1095"/>
      </w:pPr>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8"/>
  </w:num>
  <w:num w:numId="2">
    <w:abstractNumId w:val="2"/>
  </w:num>
  <w:num w:numId="3">
    <w:abstractNumId w:val="5"/>
  </w:num>
  <w:num w:numId="4">
    <w:abstractNumId w:val="0"/>
  </w:num>
  <w:num w:numId="5">
    <w:abstractNumId w:val="4"/>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5A43D5"/>
    <w:rsid w:val="00030EA7"/>
    <w:rsid w:val="00031832"/>
    <w:rsid w:val="000543C3"/>
    <w:rsid w:val="000567E4"/>
    <w:rsid w:val="0007706C"/>
    <w:rsid w:val="000B640B"/>
    <w:rsid w:val="000D6CBC"/>
    <w:rsid w:val="000D71C9"/>
    <w:rsid w:val="001060AE"/>
    <w:rsid w:val="00112A4C"/>
    <w:rsid w:val="00131818"/>
    <w:rsid w:val="00147A75"/>
    <w:rsid w:val="00186D49"/>
    <w:rsid w:val="001A1816"/>
    <w:rsid w:val="001C041D"/>
    <w:rsid w:val="001D12C7"/>
    <w:rsid w:val="00207A31"/>
    <w:rsid w:val="00211670"/>
    <w:rsid w:val="00212FB0"/>
    <w:rsid w:val="00227F52"/>
    <w:rsid w:val="00241789"/>
    <w:rsid w:val="002515A1"/>
    <w:rsid w:val="00260894"/>
    <w:rsid w:val="00276F8F"/>
    <w:rsid w:val="00297564"/>
    <w:rsid w:val="002A0E49"/>
    <w:rsid w:val="002B0E1B"/>
    <w:rsid w:val="002B58EB"/>
    <w:rsid w:val="002D36A7"/>
    <w:rsid w:val="002E458C"/>
    <w:rsid w:val="003564E7"/>
    <w:rsid w:val="00362497"/>
    <w:rsid w:val="00370F37"/>
    <w:rsid w:val="00383384"/>
    <w:rsid w:val="0039517C"/>
    <w:rsid w:val="0039652D"/>
    <w:rsid w:val="003A574C"/>
    <w:rsid w:val="003B4D8F"/>
    <w:rsid w:val="003F6BDD"/>
    <w:rsid w:val="0040135F"/>
    <w:rsid w:val="004025D5"/>
    <w:rsid w:val="00407154"/>
    <w:rsid w:val="0043307F"/>
    <w:rsid w:val="0043596E"/>
    <w:rsid w:val="004440FC"/>
    <w:rsid w:val="00464430"/>
    <w:rsid w:val="004644F5"/>
    <w:rsid w:val="00485A89"/>
    <w:rsid w:val="004A0B1C"/>
    <w:rsid w:val="004D319B"/>
    <w:rsid w:val="0054671F"/>
    <w:rsid w:val="0055380D"/>
    <w:rsid w:val="00555A90"/>
    <w:rsid w:val="00560802"/>
    <w:rsid w:val="00562251"/>
    <w:rsid w:val="00581331"/>
    <w:rsid w:val="00582BA9"/>
    <w:rsid w:val="00583139"/>
    <w:rsid w:val="00595880"/>
    <w:rsid w:val="005A168A"/>
    <w:rsid w:val="005C47E1"/>
    <w:rsid w:val="005C562F"/>
    <w:rsid w:val="00613BAB"/>
    <w:rsid w:val="0061657E"/>
    <w:rsid w:val="00644A4A"/>
    <w:rsid w:val="0065051F"/>
    <w:rsid w:val="00684DAC"/>
    <w:rsid w:val="006A3292"/>
    <w:rsid w:val="006A51FB"/>
    <w:rsid w:val="006B0398"/>
    <w:rsid w:val="006E7840"/>
    <w:rsid w:val="00701505"/>
    <w:rsid w:val="007029AE"/>
    <w:rsid w:val="0070321D"/>
    <w:rsid w:val="007348A2"/>
    <w:rsid w:val="0073639D"/>
    <w:rsid w:val="007940AD"/>
    <w:rsid w:val="00795C81"/>
    <w:rsid w:val="007C3570"/>
    <w:rsid w:val="007C36D6"/>
    <w:rsid w:val="007C4D21"/>
    <w:rsid w:val="007D2CE7"/>
    <w:rsid w:val="007F3F34"/>
    <w:rsid w:val="00805F9B"/>
    <w:rsid w:val="0082633D"/>
    <w:rsid w:val="008309F2"/>
    <w:rsid w:val="008411A7"/>
    <w:rsid w:val="00851B24"/>
    <w:rsid w:val="00852910"/>
    <w:rsid w:val="0085603E"/>
    <w:rsid w:val="00875B40"/>
    <w:rsid w:val="008832E5"/>
    <w:rsid w:val="008954E4"/>
    <w:rsid w:val="008A61D2"/>
    <w:rsid w:val="008B3A07"/>
    <w:rsid w:val="008B4D98"/>
    <w:rsid w:val="008B71A9"/>
    <w:rsid w:val="008D1C90"/>
    <w:rsid w:val="008F4F70"/>
    <w:rsid w:val="009014A8"/>
    <w:rsid w:val="00902EF2"/>
    <w:rsid w:val="0093340C"/>
    <w:rsid w:val="0094222E"/>
    <w:rsid w:val="00957CBA"/>
    <w:rsid w:val="00973B77"/>
    <w:rsid w:val="009748FD"/>
    <w:rsid w:val="009900D9"/>
    <w:rsid w:val="00991E61"/>
    <w:rsid w:val="00992668"/>
    <w:rsid w:val="009C181E"/>
    <w:rsid w:val="009C2E5B"/>
    <w:rsid w:val="009C4B25"/>
    <w:rsid w:val="009C5753"/>
    <w:rsid w:val="009D5242"/>
    <w:rsid w:val="009E7A78"/>
    <w:rsid w:val="009F5EBD"/>
    <w:rsid w:val="00A011E0"/>
    <w:rsid w:val="00A01CE0"/>
    <w:rsid w:val="00A079D8"/>
    <w:rsid w:val="00A239F0"/>
    <w:rsid w:val="00A35D49"/>
    <w:rsid w:val="00A5476D"/>
    <w:rsid w:val="00AA0CF6"/>
    <w:rsid w:val="00AA1FBC"/>
    <w:rsid w:val="00AB1822"/>
    <w:rsid w:val="00AE545B"/>
    <w:rsid w:val="00AE58FC"/>
    <w:rsid w:val="00B32520"/>
    <w:rsid w:val="00B41E6C"/>
    <w:rsid w:val="00B622C7"/>
    <w:rsid w:val="00B63692"/>
    <w:rsid w:val="00B811D0"/>
    <w:rsid w:val="00B85D54"/>
    <w:rsid w:val="00B86D4C"/>
    <w:rsid w:val="00BC076D"/>
    <w:rsid w:val="00BC2A67"/>
    <w:rsid w:val="00BD6D6C"/>
    <w:rsid w:val="00C24025"/>
    <w:rsid w:val="00C247FB"/>
    <w:rsid w:val="00C515C5"/>
    <w:rsid w:val="00C5343E"/>
    <w:rsid w:val="00C542D2"/>
    <w:rsid w:val="00CA2B3E"/>
    <w:rsid w:val="00CA5EC5"/>
    <w:rsid w:val="00CB451E"/>
    <w:rsid w:val="00CD4AA9"/>
    <w:rsid w:val="00CD548B"/>
    <w:rsid w:val="00CE19E1"/>
    <w:rsid w:val="00CE2853"/>
    <w:rsid w:val="00D208C5"/>
    <w:rsid w:val="00D2357A"/>
    <w:rsid w:val="00D36ADF"/>
    <w:rsid w:val="00D41E16"/>
    <w:rsid w:val="00D43200"/>
    <w:rsid w:val="00D46FFC"/>
    <w:rsid w:val="00DA7C7E"/>
    <w:rsid w:val="00DC21C7"/>
    <w:rsid w:val="00DC4741"/>
    <w:rsid w:val="00DF7666"/>
    <w:rsid w:val="00E02BF5"/>
    <w:rsid w:val="00E1047E"/>
    <w:rsid w:val="00E242B6"/>
    <w:rsid w:val="00E315E9"/>
    <w:rsid w:val="00E33D02"/>
    <w:rsid w:val="00E5050F"/>
    <w:rsid w:val="00E702E8"/>
    <w:rsid w:val="00E7133A"/>
    <w:rsid w:val="00EA0474"/>
    <w:rsid w:val="00EB7589"/>
    <w:rsid w:val="00EF27D5"/>
    <w:rsid w:val="00EF3675"/>
    <w:rsid w:val="00EF36E2"/>
    <w:rsid w:val="00F51264"/>
    <w:rsid w:val="00F52B10"/>
    <w:rsid w:val="00F603BE"/>
    <w:rsid w:val="00F66D2D"/>
    <w:rsid w:val="00F927FD"/>
    <w:rsid w:val="00F96971"/>
    <w:rsid w:val="00FA3C2C"/>
    <w:rsid w:val="00FA3C8A"/>
    <w:rsid w:val="00FC1DCC"/>
    <w:rsid w:val="00FC2C55"/>
    <w:rsid w:val="00FC42D1"/>
    <w:rsid w:val="00FD0F6F"/>
    <w:rsid w:val="00FF37B4"/>
    <w:rsid w:val="01507077"/>
    <w:rsid w:val="015361BF"/>
    <w:rsid w:val="01812767"/>
    <w:rsid w:val="01974D3A"/>
    <w:rsid w:val="01B43287"/>
    <w:rsid w:val="01F940C4"/>
    <w:rsid w:val="027C0CC9"/>
    <w:rsid w:val="02D45912"/>
    <w:rsid w:val="02F60A51"/>
    <w:rsid w:val="03761B91"/>
    <w:rsid w:val="03983C53"/>
    <w:rsid w:val="03CD7504"/>
    <w:rsid w:val="03DF354C"/>
    <w:rsid w:val="03EA6394"/>
    <w:rsid w:val="04744E5E"/>
    <w:rsid w:val="051306C1"/>
    <w:rsid w:val="0540023A"/>
    <w:rsid w:val="05C44BB2"/>
    <w:rsid w:val="05C76344"/>
    <w:rsid w:val="05EE4769"/>
    <w:rsid w:val="05FB6F08"/>
    <w:rsid w:val="06867B71"/>
    <w:rsid w:val="0689656A"/>
    <w:rsid w:val="06D83EC9"/>
    <w:rsid w:val="06E86908"/>
    <w:rsid w:val="06EC360B"/>
    <w:rsid w:val="071346B3"/>
    <w:rsid w:val="07863234"/>
    <w:rsid w:val="0787178A"/>
    <w:rsid w:val="078B5D27"/>
    <w:rsid w:val="07C918DE"/>
    <w:rsid w:val="07FF2154"/>
    <w:rsid w:val="08547AFF"/>
    <w:rsid w:val="08635D00"/>
    <w:rsid w:val="088645DD"/>
    <w:rsid w:val="09B3219B"/>
    <w:rsid w:val="09E65B19"/>
    <w:rsid w:val="0B685A87"/>
    <w:rsid w:val="0B967AC4"/>
    <w:rsid w:val="0BFD68F2"/>
    <w:rsid w:val="0C125656"/>
    <w:rsid w:val="0CC47F7A"/>
    <w:rsid w:val="0CC56F81"/>
    <w:rsid w:val="0CC85C93"/>
    <w:rsid w:val="0CD56C1C"/>
    <w:rsid w:val="0D3417C1"/>
    <w:rsid w:val="0D700F9D"/>
    <w:rsid w:val="0DF759F2"/>
    <w:rsid w:val="0DFA2500"/>
    <w:rsid w:val="0E135CE5"/>
    <w:rsid w:val="0E6C152C"/>
    <w:rsid w:val="0E910577"/>
    <w:rsid w:val="0EA72184"/>
    <w:rsid w:val="0EB469A8"/>
    <w:rsid w:val="0EDD5521"/>
    <w:rsid w:val="0F5E74D4"/>
    <w:rsid w:val="0FD802E2"/>
    <w:rsid w:val="0FDE4CDC"/>
    <w:rsid w:val="0FF37F8F"/>
    <w:rsid w:val="1009344A"/>
    <w:rsid w:val="10101F72"/>
    <w:rsid w:val="10171144"/>
    <w:rsid w:val="101B298D"/>
    <w:rsid w:val="1041584E"/>
    <w:rsid w:val="105276A1"/>
    <w:rsid w:val="10581BD6"/>
    <w:rsid w:val="1060177B"/>
    <w:rsid w:val="10802135"/>
    <w:rsid w:val="109755FC"/>
    <w:rsid w:val="10B26B19"/>
    <w:rsid w:val="10D352E8"/>
    <w:rsid w:val="11292E05"/>
    <w:rsid w:val="11362561"/>
    <w:rsid w:val="11981D00"/>
    <w:rsid w:val="11DA4B55"/>
    <w:rsid w:val="12481913"/>
    <w:rsid w:val="12BE2380"/>
    <w:rsid w:val="12C51A9A"/>
    <w:rsid w:val="13556DDD"/>
    <w:rsid w:val="13863EFF"/>
    <w:rsid w:val="146A019E"/>
    <w:rsid w:val="14962431"/>
    <w:rsid w:val="1497553E"/>
    <w:rsid w:val="149A7DC5"/>
    <w:rsid w:val="14C57B55"/>
    <w:rsid w:val="14D3547D"/>
    <w:rsid w:val="14DE68BC"/>
    <w:rsid w:val="14F870AC"/>
    <w:rsid w:val="14FF47B7"/>
    <w:rsid w:val="154452F5"/>
    <w:rsid w:val="15C954C4"/>
    <w:rsid w:val="15D17C46"/>
    <w:rsid w:val="16485B24"/>
    <w:rsid w:val="167546E7"/>
    <w:rsid w:val="16CB5D47"/>
    <w:rsid w:val="16F81284"/>
    <w:rsid w:val="180447D6"/>
    <w:rsid w:val="18416370"/>
    <w:rsid w:val="189A72DF"/>
    <w:rsid w:val="18AF2CDF"/>
    <w:rsid w:val="18BE00E0"/>
    <w:rsid w:val="18F51E54"/>
    <w:rsid w:val="19214B48"/>
    <w:rsid w:val="193230F7"/>
    <w:rsid w:val="193F23BE"/>
    <w:rsid w:val="19AE23CB"/>
    <w:rsid w:val="1A351191"/>
    <w:rsid w:val="1AE34F13"/>
    <w:rsid w:val="1B1D2551"/>
    <w:rsid w:val="1B1E7852"/>
    <w:rsid w:val="1B1F1532"/>
    <w:rsid w:val="1B544DE1"/>
    <w:rsid w:val="1B7B2C67"/>
    <w:rsid w:val="1B870533"/>
    <w:rsid w:val="1BFC0A70"/>
    <w:rsid w:val="1C495970"/>
    <w:rsid w:val="1C6D58C7"/>
    <w:rsid w:val="1C9D3F66"/>
    <w:rsid w:val="1CAB197B"/>
    <w:rsid w:val="1CFD2B56"/>
    <w:rsid w:val="1DC04E0E"/>
    <w:rsid w:val="1E0B6D28"/>
    <w:rsid w:val="1E156D56"/>
    <w:rsid w:val="1E771524"/>
    <w:rsid w:val="1EAC3F6E"/>
    <w:rsid w:val="1EBA2D29"/>
    <w:rsid w:val="1F2B72DA"/>
    <w:rsid w:val="1F2F2A72"/>
    <w:rsid w:val="1F314EFE"/>
    <w:rsid w:val="1F32736C"/>
    <w:rsid w:val="1F5B063B"/>
    <w:rsid w:val="1F6C6291"/>
    <w:rsid w:val="1F767403"/>
    <w:rsid w:val="1FBA6DCE"/>
    <w:rsid w:val="1FC14C0C"/>
    <w:rsid w:val="1FE51F54"/>
    <w:rsid w:val="20181D0C"/>
    <w:rsid w:val="20EA7860"/>
    <w:rsid w:val="210B2097"/>
    <w:rsid w:val="2117637D"/>
    <w:rsid w:val="212A186B"/>
    <w:rsid w:val="215A78DB"/>
    <w:rsid w:val="21845E59"/>
    <w:rsid w:val="224E51DF"/>
    <w:rsid w:val="22B845B7"/>
    <w:rsid w:val="22BB428C"/>
    <w:rsid w:val="22D0290B"/>
    <w:rsid w:val="22E61963"/>
    <w:rsid w:val="23301DD3"/>
    <w:rsid w:val="233A5BF6"/>
    <w:rsid w:val="23471CFF"/>
    <w:rsid w:val="236E7502"/>
    <w:rsid w:val="23734890"/>
    <w:rsid w:val="239631F9"/>
    <w:rsid w:val="23B20704"/>
    <w:rsid w:val="23E611BC"/>
    <w:rsid w:val="24075CF7"/>
    <w:rsid w:val="24341BAD"/>
    <w:rsid w:val="24FD4F69"/>
    <w:rsid w:val="251754F8"/>
    <w:rsid w:val="2528631F"/>
    <w:rsid w:val="25BD6947"/>
    <w:rsid w:val="25CE22F5"/>
    <w:rsid w:val="25EF3E33"/>
    <w:rsid w:val="26186B12"/>
    <w:rsid w:val="263D57D9"/>
    <w:rsid w:val="268F0CFB"/>
    <w:rsid w:val="26B960C7"/>
    <w:rsid w:val="26BE58BE"/>
    <w:rsid w:val="26F009AC"/>
    <w:rsid w:val="28083A97"/>
    <w:rsid w:val="282B432D"/>
    <w:rsid w:val="283E76A5"/>
    <w:rsid w:val="284019A5"/>
    <w:rsid w:val="285927F1"/>
    <w:rsid w:val="285F7809"/>
    <w:rsid w:val="28BD314E"/>
    <w:rsid w:val="29110057"/>
    <w:rsid w:val="296467E6"/>
    <w:rsid w:val="296F46C0"/>
    <w:rsid w:val="29964AE8"/>
    <w:rsid w:val="29B045B9"/>
    <w:rsid w:val="29E11F5A"/>
    <w:rsid w:val="2A106282"/>
    <w:rsid w:val="2A6B2554"/>
    <w:rsid w:val="2AA91CAC"/>
    <w:rsid w:val="2AFD4715"/>
    <w:rsid w:val="2B10501A"/>
    <w:rsid w:val="2B7810AC"/>
    <w:rsid w:val="2BAF5EE1"/>
    <w:rsid w:val="2BB033E6"/>
    <w:rsid w:val="2C5605F9"/>
    <w:rsid w:val="2C5E6EB3"/>
    <w:rsid w:val="2C885139"/>
    <w:rsid w:val="2CB94C34"/>
    <w:rsid w:val="2CD37004"/>
    <w:rsid w:val="2D083000"/>
    <w:rsid w:val="2D0C30C3"/>
    <w:rsid w:val="2D743EC1"/>
    <w:rsid w:val="2DB24C23"/>
    <w:rsid w:val="2DDF22F4"/>
    <w:rsid w:val="2E092ECA"/>
    <w:rsid w:val="2E185E3E"/>
    <w:rsid w:val="2E7308E2"/>
    <w:rsid w:val="2F767079"/>
    <w:rsid w:val="2F80004E"/>
    <w:rsid w:val="2FA45E84"/>
    <w:rsid w:val="2FEA6E37"/>
    <w:rsid w:val="30775589"/>
    <w:rsid w:val="30EE667A"/>
    <w:rsid w:val="3125096C"/>
    <w:rsid w:val="31392E8B"/>
    <w:rsid w:val="31E3404D"/>
    <w:rsid w:val="324B7453"/>
    <w:rsid w:val="326128EF"/>
    <w:rsid w:val="32677576"/>
    <w:rsid w:val="32735594"/>
    <w:rsid w:val="32792D1E"/>
    <w:rsid w:val="32B17D82"/>
    <w:rsid w:val="32B22BB5"/>
    <w:rsid w:val="33074A00"/>
    <w:rsid w:val="331173A4"/>
    <w:rsid w:val="334D429D"/>
    <w:rsid w:val="33CD5B17"/>
    <w:rsid w:val="3463024B"/>
    <w:rsid w:val="34980CBE"/>
    <w:rsid w:val="34E77DE8"/>
    <w:rsid w:val="34FF4D0E"/>
    <w:rsid w:val="351C6B89"/>
    <w:rsid w:val="35CC5D64"/>
    <w:rsid w:val="35EC29E7"/>
    <w:rsid w:val="362D3772"/>
    <w:rsid w:val="364C0682"/>
    <w:rsid w:val="36716DEA"/>
    <w:rsid w:val="36913732"/>
    <w:rsid w:val="36CB524E"/>
    <w:rsid w:val="37011865"/>
    <w:rsid w:val="372B31FE"/>
    <w:rsid w:val="375D0F21"/>
    <w:rsid w:val="3781270B"/>
    <w:rsid w:val="37A41DF4"/>
    <w:rsid w:val="387B5650"/>
    <w:rsid w:val="38F3713A"/>
    <w:rsid w:val="3A247DEA"/>
    <w:rsid w:val="3A5E5E0B"/>
    <w:rsid w:val="3A7F2F89"/>
    <w:rsid w:val="3ADD22D4"/>
    <w:rsid w:val="3B374E28"/>
    <w:rsid w:val="3B600B12"/>
    <w:rsid w:val="3B9769A3"/>
    <w:rsid w:val="3C213B4E"/>
    <w:rsid w:val="3C270A76"/>
    <w:rsid w:val="3CE5312C"/>
    <w:rsid w:val="3CFA5AFD"/>
    <w:rsid w:val="3D404B20"/>
    <w:rsid w:val="3D526493"/>
    <w:rsid w:val="3D911AA7"/>
    <w:rsid w:val="3DAE3721"/>
    <w:rsid w:val="3DAF5D14"/>
    <w:rsid w:val="3DFB758C"/>
    <w:rsid w:val="3E012B9C"/>
    <w:rsid w:val="3E0B493A"/>
    <w:rsid w:val="3E5A12BB"/>
    <w:rsid w:val="3E65441E"/>
    <w:rsid w:val="3EE84FCF"/>
    <w:rsid w:val="3FB61FCD"/>
    <w:rsid w:val="40814253"/>
    <w:rsid w:val="4099799F"/>
    <w:rsid w:val="40A42037"/>
    <w:rsid w:val="40EF7660"/>
    <w:rsid w:val="410E521B"/>
    <w:rsid w:val="41970F15"/>
    <w:rsid w:val="41E15103"/>
    <w:rsid w:val="42015529"/>
    <w:rsid w:val="42687D13"/>
    <w:rsid w:val="426C14D6"/>
    <w:rsid w:val="42862F3B"/>
    <w:rsid w:val="42987D59"/>
    <w:rsid w:val="42C85B9B"/>
    <w:rsid w:val="431F7C2A"/>
    <w:rsid w:val="433D07CC"/>
    <w:rsid w:val="434D2F2B"/>
    <w:rsid w:val="43912DB8"/>
    <w:rsid w:val="43A7141B"/>
    <w:rsid w:val="43BD6F43"/>
    <w:rsid w:val="43FC4318"/>
    <w:rsid w:val="440E567A"/>
    <w:rsid w:val="443B4A8A"/>
    <w:rsid w:val="44FA17FE"/>
    <w:rsid w:val="4511055C"/>
    <w:rsid w:val="454B1DCC"/>
    <w:rsid w:val="45952042"/>
    <w:rsid w:val="45E00F6F"/>
    <w:rsid w:val="45FE0E92"/>
    <w:rsid w:val="467D2FD5"/>
    <w:rsid w:val="46994B11"/>
    <w:rsid w:val="46AE295E"/>
    <w:rsid w:val="46AE5FF6"/>
    <w:rsid w:val="46C0304C"/>
    <w:rsid w:val="46D1307B"/>
    <w:rsid w:val="46D26B0F"/>
    <w:rsid w:val="47113FA0"/>
    <w:rsid w:val="471A0977"/>
    <w:rsid w:val="475778A6"/>
    <w:rsid w:val="47812AFB"/>
    <w:rsid w:val="48337848"/>
    <w:rsid w:val="487402C3"/>
    <w:rsid w:val="48C5783A"/>
    <w:rsid w:val="48E35E1C"/>
    <w:rsid w:val="49222F17"/>
    <w:rsid w:val="4944028F"/>
    <w:rsid w:val="4974083B"/>
    <w:rsid w:val="497F67C2"/>
    <w:rsid w:val="49A478E6"/>
    <w:rsid w:val="49B7581B"/>
    <w:rsid w:val="4A275DD6"/>
    <w:rsid w:val="4AE70EE2"/>
    <w:rsid w:val="4AF22B2F"/>
    <w:rsid w:val="4AFE0D2E"/>
    <w:rsid w:val="4B6E15F6"/>
    <w:rsid w:val="4B6F5FD0"/>
    <w:rsid w:val="4B774BE2"/>
    <w:rsid w:val="4BE17268"/>
    <w:rsid w:val="4BE610AE"/>
    <w:rsid w:val="4BEA34D2"/>
    <w:rsid w:val="4BED13F1"/>
    <w:rsid w:val="4BF23532"/>
    <w:rsid w:val="4C5A43D5"/>
    <w:rsid w:val="4C681980"/>
    <w:rsid w:val="4CA55900"/>
    <w:rsid w:val="4CB06B51"/>
    <w:rsid w:val="4D3721CB"/>
    <w:rsid w:val="4D67049B"/>
    <w:rsid w:val="4D897489"/>
    <w:rsid w:val="4DB85A75"/>
    <w:rsid w:val="4E1459DE"/>
    <w:rsid w:val="4E3D4764"/>
    <w:rsid w:val="4E8B2071"/>
    <w:rsid w:val="4EF72A6E"/>
    <w:rsid w:val="4F1A39D6"/>
    <w:rsid w:val="4F5D3E6A"/>
    <w:rsid w:val="4FA56B31"/>
    <w:rsid w:val="4FAC29DE"/>
    <w:rsid w:val="501C7D2E"/>
    <w:rsid w:val="501D21FE"/>
    <w:rsid w:val="503F41C8"/>
    <w:rsid w:val="50D128A2"/>
    <w:rsid w:val="50D85F33"/>
    <w:rsid w:val="51390A7C"/>
    <w:rsid w:val="517D4527"/>
    <w:rsid w:val="51E71C48"/>
    <w:rsid w:val="52240DEE"/>
    <w:rsid w:val="52811CAC"/>
    <w:rsid w:val="52DF7114"/>
    <w:rsid w:val="534D49F1"/>
    <w:rsid w:val="53A54125"/>
    <w:rsid w:val="53B2556A"/>
    <w:rsid w:val="53BF557A"/>
    <w:rsid w:val="546B2526"/>
    <w:rsid w:val="550E68AF"/>
    <w:rsid w:val="558B3012"/>
    <w:rsid w:val="56291E55"/>
    <w:rsid w:val="564E773E"/>
    <w:rsid w:val="568E4FEC"/>
    <w:rsid w:val="56A52DAF"/>
    <w:rsid w:val="570433FC"/>
    <w:rsid w:val="570714FA"/>
    <w:rsid w:val="57A969B8"/>
    <w:rsid w:val="57C25791"/>
    <w:rsid w:val="57DC3C0F"/>
    <w:rsid w:val="58144F4B"/>
    <w:rsid w:val="58180559"/>
    <w:rsid w:val="58230A0D"/>
    <w:rsid w:val="585820EB"/>
    <w:rsid w:val="585E373A"/>
    <w:rsid w:val="5884468B"/>
    <w:rsid w:val="58B11CC8"/>
    <w:rsid w:val="594437C5"/>
    <w:rsid w:val="59F94AD5"/>
    <w:rsid w:val="5A5D7423"/>
    <w:rsid w:val="5A687084"/>
    <w:rsid w:val="5A78449E"/>
    <w:rsid w:val="5A823454"/>
    <w:rsid w:val="5B27596D"/>
    <w:rsid w:val="5B9C50F9"/>
    <w:rsid w:val="5BA71D03"/>
    <w:rsid w:val="5BEC69CB"/>
    <w:rsid w:val="5C175839"/>
    <w:rsid w:val="5C421D1E"/>
    <w:rsid w:val="5C6A2B77"/>
    <w:rsid w:val="5C7A324F"/>
    <w:rsid w:val="5C7C27BD"/>
    <w:rsid w:val="5C8D485A"/>
    <w:rsid w:val="5CBF301A"/>
    <w:rsid w:val="5CFD68CB"/>
    <w:rsid w:val="5D023515"/>
    <w:rsid w:val="5D94601D"/>
    <w:rsid w:val="5DB76400"/>
    <w:rsid w:val="5DE90BA6"/>
    <w:rsid w:val="5DF145E5"/>
    <w:rsid w:val="5DFC40A7"/>
    <w:rsid w:val="5EBB5A73"/>
    <w:rsid w:val="5EC54706"/>
    <w:rsid w:val="5EE07706"/>
    <w:rsid w:val="5EE50307"/>
    <w:rsid w:val="5EF7479A"/>
    <w:rsid w:val="5F023323"/>
    <w:rsid w:val="5F115CBD"/>
    <w:rsid w:val="5F3E7AA3"/>
    <w:rsid w:val="5F8E22DE"/>
    <w:rsid w:val="5FB01AFE"/>
    <w:rsid w:val="60743C50"/>
    <w:rsid w:val="60931E13"/>
    <w:rsid w:val="60B53BFD"/>
    <w:rsid w:val="60E81E15"/>
    <w:rsid w:val="60FB122F"/>
    <w:rsid w:val="61E15B5A"/>
    <w:rsid w:val="621D2A5D"/>
    <w:rsid w:val="622862BE"/>
    <w:rsid w:val="62466F58"/>
    <w:rsid w:val="62594562"/>
    <w:rsid w:val="627D48AE"/>
    <w:rsid w:val="6281129E"/>
    <w:rsid w:val="62B235D0"/>
    <w:rsid w:val="62B87BD2"/>
    <w:rsid w:val="62C342A0"/>
    <w:rsid w:val="62C707D7"/>
    <w:rsid w:val="63016F4F"/>
    <w:rsid w:val="636C192D"/>
    <w:rsid w:val="63815C1C"/>
    <w:rsid w:val="63F964F3"/>
    <w:rsid w:val="64016AD3"/>
    <w:rsid w:val="64C5759F"/>
    <w:rsid w:val="64C8434D"/>
    <w:rsid w:val="6537556A"/>
    <w:rsid w:val="65544B09"/>
    <w:rsid w:val="656168FD"/>
    <w:rsid w:val="656D1421"/>
    <w:rsid w:val="656E1B8F"/>
    <w:rsid w:val="65D73042"/>
    <w:rsid w:val="65EC7124"/>
    <w:rsid w:val="66565CF5"/>
    <w:rsid w:val="668D709F"/>
    <w:rsid w:val="66942B37"/>
    <w:rsid w:val="66A5275B"/>
    <w:rsid w:val="682906A5"/>
    <w:rsid w:val="68373DF6"/>
    <w:rsid w:val="683E55C8"/>
    <w:rsid w:val="684622FB"/>
    <w:rsid w:val="68B8300C"/>
    <w:rsid w:val="68BA1B1D"/>
    <w:rsid w:val="68FA5FEB"/>
    <w:rsid w:val="690A5541"/>
    <w:rsid w:val="69170529"/>
    <w:rsid w:val="691B5EED"/>
    <w:rsid w:val="69883FAB"/>
    <w:rsid w:val="69B64A16"/>
    <w:rsid w:val="69DB7EDF"/>
    <w:rsid w:val="6A0D7E63"/>
    <w:rsid w:val="6A154D9D"/>
    <w:rsid w:val="6A69297E"/>
    <w:rsid w:val="6A895990"/>
    <w:rsid w:val="6B081EB1"/>
    <w:rsid w:val="6B5B2A96"/>
    <w:rsid w:val="6BEB3816"/>
    <w:rsid w:val="6C59654E"/>
    <w:rsid w:val="6C610FEB"/>
    <w:rsid w:val="6CAE4DAD"/>
    <w:rsid w:val="6D826A3F"/>
    <w:rsid w:val="6DA67AFF"/>
    <w:rsid w:val="6E5A04A8"/>
    <w:rsid w:val="6E912A09"/>
    <w:rsid w:val="6F23208A"/>
    <w:rsid w:val="6F4B2011"/>
    <w:rsid w:val="6F6819E7"/>
    <w:rsid w:val="6F6D0476"/>
    <w:rsid w:val="6FF15D55"/>
    <w:rsid w:val="6FFB031D"/>
    <w:rsid w:val="70A510A7"/>
    <w:rsid w:val="711834C0"/>
    <w:rsid w:val="71321811"/>
    <w:rsid w:val="713F4FA7"/>
    <w:rsid w:val="71620B5D"/>
    <w:rsid w:val="730E14F5"/>
    <w:rsid w:val="73BD06D1"/>
    <w:rsid w:val="73E106E0"/>
    <w:rsid w:val="74020CAF"/>
    <w:rsid w:val="74797EE2"/>
    <w:rsid w:val="74DD00DD"/>
    <w:rsid w:val="752E760E"/>
    <w:rsid w:val="75527B84"/>
    <w:rsid w:val="756623A9"/>
    <w:rsid w:val="75970C2C"/>
    <w:rsid w:val="75B10EA6"/>
    <w:rsid w:val="75BD1916"/>
    <w:rsid w:val="75DD623F"/>
    <w:rsid w:val="769E2F84"/>
    <w:rsid w:val="77276806"/>
    <w:rsid w:val="776F5737"/>
    <w:rsid w:val="77834E95"/>
    <w:rsid w:val="778A1739"/>
    <w:rsid w:val="78E405C9"/>
    <w:rsid w:val="79C041FD"/>
    <w:rsid w:val="7A0D4C2E"/>
    <w:rsid w:val="7AA05504"/>
    <w:rsid w:val="7B6A795D"/>
    <w:rsid w:val="7B934A4E"/>
    <w:rsid w:val="7BB4012A"/>
    <w:rsid w:val="7C765308"/>
    <w:rsid w:val="7C9752A1"/>
    <w:rsid w:val="7CB50F55"/>
    <w:rsid w:val="7CBB2ED5"/>
    <w:rsid w:val="7D006FED"/>
    <w:rsid w:val="7D160961"/>
    <w:rsid w:val="7D2E6022"/>
    <w:rsid w:val="7DC07C47"/>
    <w:rsid w:val="7DC91087"/>
    <w:rsid w:val="7DE23CED"/>
    <w:rsid w:val="7E4C5883"/>
    <w:rsid w:val="7E850CF2"/>
    <w:rsid w:val="7EA60D2E"/>
    <w:rsid w:val="7EFA3F1E"/>
    <w:rsid w:val="7F8056E0"/>
    <w:rsid w:val="7F842EFE"/>
    <w:rsid w:val="7F915703"/>
    <w:rsid w:val="7FBD3032"/>
    <w:rsid w:val="7FC0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0"/>
    <w:pPr>
      <w:spacing w:line="480" w:lineRule="exact"/>
    </w:pPr>
    <w:rPr>
      <w:rFonts w:ascii="仿宋_GB2312" w:hAnsi="Times New Roman" w:eastAsia="仿宋_GB2312"/>
      <w:sz w:val="28"/>
      <w:szCs w:val="28"/>
    </w:rPr>
  </w:style>
  <w:style w:type="paragraph" w:styleId="3">
    <w:name w:val="Subtitle"/>
    <w:basedOn w:val="1"/>
    <w:next w:val="1"/>
    <w:qFormat/>
    <w:uiPriority w:val="0"/>
    <w:pPr>
      <w:spacing w:before="240" w:after="60" w:line="312" w:lineRule="atLeast"/>
      <w:jc w:val="center"/>
      <w:outlineLvl w:val="1"/>
    </w:pPr>
    <w:rPr>
      <w:rFonts w:ascii="Cambria" w:hAnsi="Cambria"/>
      <w:b/>
      <w:bCs/>
      <w:kern w:val="28"/>
      <w:sz w:val="32"/>
      <w:szCs w:val="32"/>
      <w:lang w:val="zh-CN"/>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pPr>
      <w:autoSpaceDE w:val="0"/>
      <w:autoSpaceDN w:val="0"/>
      <w:adjustRightInd w:val="0"/>
    </w:pPr>
    <w:rPr>
      <w:rFonts w:hAnsi="Tms Rmn" w:cstheme="minorBidi"/>
      <w:szCs w:val="22"/>
    </w:rPr>
  </w:style>
  <w:style w:type="paragraph" w:styleId="12">
    <w:name w:val="Body Text Indent 2"/>
    <w:basedOn w:val="1"/>
    <w:qFormat/>
    <w:uiPriority w:val="0"/>
    <w:pPr>
      <w:spacing w:after="120" w:line="480" w:lineRule="auto"/>
      <w:ind w:left="420" w:leftChars="200"/>
    </w:pPr>
    <w:rPr>
      <w:rFonts w:ascii="Times New Roman" w:hAnsi="Times New Roman"/>
    </w:rPr>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bCs/>
    </w:rPr>
  </w:style>
  <w:style w:type="character" w:styleId="22">
    <w:name w:val="page number"/>
    <w:basedOn w:val="20"/>
    <w:qFormat/>
    <w:uiPriority w:val="0"/>
    <w:rPr>
      <w:rFonts w:ascii="Times New Roman" w:hAnsi="Times New Roman" w:eastAsia="宋体" w:cs="Times New Roman"/>
    </w:rPr>
  </w:style>
  <w:style w:type="character" w:styleId="23">
    <w:name w:val="Emphasis"/>
    <w:basedOn w:val="20"/>
    <w:qFormat/>
    <w:uiPriority w:val="20"/>
    <w:rPr>
      <w:i/>
      <w:iCs/>
    </w:rPr>
  </w:style>
  <w:style w:type="character" w:styleId="24">
    <w:name w:val="Hyperlink"/>
    <w:basedOn w:val="20"/>
    <w:qFormat/>
    <w:uiPriority w:val="0"/>
    <w:rPr>
      <w:rFonts w:ascii="Times New Roman" w:hAnsi="Times New Roman" w:eastAsia="宋体" w:cs="Times New Roman"/>
      <w:color w:val="333333"/>
      <w:u w:val="none"/>
    </w:rPr>
  </w:style>
  <w:style w:type="character" w:styleId="25">
    <w:name w:val="annotation reference"/>
    <w:basedOn w:val="20"/>
    <w:qFormat/>
    <w:uiPriority w:val="0"/>
    <w:rPr>
      <w:sz w:val="21"/>
      <w:szCs w:val="21"/>
    </w:rPr>
  </w:style>
  <w:style w:type="paragraph" w:customStyle="1" w:styleId="26">
    <w:name w:val="标题 5（有编号）（绿盟科技）"/>
    <w:basedOn w:val="1"/>
    <w:next w:val="27"/>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9">
    <w:name w:val="WPSOffice手动目录 1"/>
    <w:qFormat/>
    <w:uiPriority w:val="0"/>
    <w:rPr>
      <w:rFonts w:ascii="Calibri" w:hAnsi="Calibri" w:eastAsia="宋体" w:cs="Times New Roman"/>
      <w:lang w:val="en-US" w:eastAsia="zh-CN" w:bidi="ar-SA"/>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Table Paragraph"/>
    <w:basedOn w:val="1"/>
    <w:qFormat/>
    <w:uiPriority w:val="0"/>
    <w:rPr>
      <w:rFonts w:ascii="宋体" w:hAnsi="宋体" w:cs="宋体"/>
      <w:lang w:val="zh-CN" w:bidi="zh-CN"/>
    </w:rPr>
  </w:style>
  <w:style w:type="paragraph" w:customStyle="1" w:styleId="32">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3">
    <w:name w:val="正文首行缩进两字符"/>
    <w:basedOn w:val="1"/>
    <w:qFormat/>
    <w:uiPriority w:val="0"/>
    <w:pPr>
      <w:spacing w:line="360" w:lineRule="auto"/>
      <w:ind w:firstLine="200" w:firstLineChars="200"/>
    </w:pPr>
    <w:rPr>
      <w:rFonts w:ascii="Times New Roman" w:hAnsi="Times New Roman"/>
    </w:rPr>
  </w:style>
  <w:style w:type="paragraph" w:styleId="34">
    <w:name w:val="List Paragraph"/>
    <w:basedOn w:val="1"/>
    <w:qFormat/>
    <w:uiPriority w:val="0"/>
    <w:pPr>
      <w:ind w:firstLine="420" w:firstLineChars="200"/>
    </w:pPr>
  </w:style>
  <w:style w:type="paragraph" w:customStyle="1" w:styleId="35">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6">
    <w:name w:val="标题 2 Char"/>
    <w:link w:val="5"/>
    <w:qFormat/>
    <w:uiPriority w:val="0"/>
    <w:rPr>
      <w:rFonts w:ascii="Arial" w:hAnsi="Arial" w:eastAsia="黑体" w:cs="Times New Roman"/>
      <w:b/>
      <w:bCs/>
      <w:sz w:val="32"/>
      <w:szCs w:val="32"/>
    </w:rPr>
  </w:style>
  <w:style w:type="paragraph" w:customStyle="1" w:styleId="37">
    <w:name w:val="列出段落1"/>
    <w:basedOn w:val="1"/>
    <w:qFormat/>
    <w:uiPriority w:val="34"/>
    <w:pPr>
      <w:ind w:firstLine="420" w:firstLineChars="200"/>
    </w:pPr>
  </w:style>
  <w:style w:type="character" w:customStyle="1" w:styleId="38">
    <w:name w:val="批注框文本 Char"/>
    <w:basedOn w:val="20"/>
    <w:link w:val="13"/>
    <w:qFormat/>
    <w:uiPriority w:val="0"/>
    <w:rPr>
      <w:rFonts w:ascii="Calibri" w:hAnsi="Calibri" w:eastAsia="宋体" w:cs="Times New Roman"/>
      <w:kern w:val="2"/>
      <w:sz w:val="18"/>
      <w:szCs w:val="18"/>
    </w:rPr>
  </w:style>
  <w:style w:type="character" w:customStyle="1" w:styleId="39">
    <w:name w:val="C503-正文格式 Char"/>
    <w:link w:val="40"/>
    <w:qFormat/>
    <w:uiPriority w:val="0"/>
    <w:rPr>
      <w:rFonts w:ascii="Times New Roman" w:hAnsi="Times New Roman" w:cs="宋体"/>
      <w:kern w:val="2"/>
      <w:sz w:val="24"/>
    </w:rPr>
  </w:style>
  <w:style w:type="paragraph" w:customStyle="1" w:styleId="40">
    <w:name w:val="C503-正文格式"/>
    <w:basedOn w:val="1"/>
    <w:link w:val="39"/>
    <w:qFormat/>
    <w:uiPriority w:val="0"/>
    <w:pPr>
      <w:spacing w:line="360" w:lineRule="auto"/>
      <w:ind w:firstLine="480" w:firstLineChars="200"/>
    </w:pPr>
    <w:rPr>
      <w:rFonts w:ascii="Times New Roman" w:hAnsi="Times New Roman" w:cs="宋体" w:eastAsiaTheme="minorEastAsia"/>
      <w:sz w:val="24"/>
      <w:szCs w:val="20"/>
    </w:rPr>
  </w:style>
  <w:style w:type="character" w:customStyle="1" w:styleId="41">
    <w:name w:val="正文文本 Char"/>
    <w:basedOn w:val="20"/>
    <w:link w:val="2"/>
    <w:qFormat/>
    <w:uiPriority w:val="0"/>
    <w:rPr>
      <w:rFonts w:ascii="仿宋_GB2312" w:hAnsi="Times New Roman" w:eastAsia="仿宋_GB2312" w:cs="Times New Roman"/>
      <w:kern w:val="2"/>
      <w:sz w:val="28"/>
      <w:szCs w:val="28"/>
    </w:rPr>
  </w:style>
  <w:style w:type="paragraph" w:customStyle="1" w:styleId="42">
    <w:name w:val="表格"/>
    <w:basedOn w:val="1"/>
    <w:qFormat/>
    <w:uiPriority w:val="0"/>
    <w:pPr>
      <w:spacing w:line="400" w:lineRule="exact"/>
    </w:pPr>
    <w:rPr>
      <w:rFonts w:ascii="Times New Roman" w:hAnsi="Times New Roman"/>
      <w:sz w:val="24"/>
    </w:rPr>
  </w:style>
  <w:style w:type="character" w:customStyle="1" w:styleId="43">
    <w:name w:val="font31"/>
    <w:basedOn w:val="20"/>
    <w:qFormat/>
    <w:uiPriority w:val="0"/>
    <w:rPr>
      <w:rFonts w:hint="eastAsia" w:ascii="宋体" w:hAnsi="宋体" w:eastAsia="宋体" w:cs="宋体"/>
      <w:color w:val="000000"/>
      <w:sz w:val="21"/>
      <w:szCs w:val="21"/>
      <w:u w:val="none"/>
    </w:rPr>
  </w:style>
  <w:style w:type="character" w:customStyle="1" w:styleId="44">
    <w:name w:val="font11"/>
    <w:basedOn w:val="20"/>
    <w:qFormat/>
    <w:uiPriority w:val="0"/>
    <w:rPr>
      <w:rFonts w:hint="eastAsia" w:ascii="宋体" w:hAnsi="宋体" w:eastAsia="宋体" w:cs="宋体"/>
      <w:color w:val="000000"/>
      <w:sz w:val="20"/>
      <w:szCs w:val="20"/>
      <w:u w:val="none"/>
    </w:rPr>
  </w:style>
  <w:style w:type="paragraph" w:customStyle="1" w:styleId="45">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46">
    <w:name w:val="02、首行缩进2字符正文"/>
    <w:basedOn w:val="1"/>
    <w:qFormat/>
    <w:uiPriority w:val="0"/>
    <w:pPr>
      <w:tabs>
        <w:tab w:val="left" w:pos="0"/>
      </w:tabs>
      <w:wordWrap w:val="0"/>
      <w:topLinePunct/>
      <w:ind w:firstLine="480" w:firstLineChars="200"/>
    </w:pPr>
  </w:style>
  <w:style w:type="paragraph" w:customStyle="1" w:styleId="47">
    <w:name w:val="03、“注：”正文(加粗，首行缩进2字符)"/>
    <w:basedOn w:val="48"/>
    <w:qFormat/>
    <w:uiPriority w:val="0"/>
    <w:pPr>
      <w:tabs>
        <w:tab w:val="left" w:pos="0"/>
      </w:tabs>
      <w:ind w:firstLine="480" w:firstLineChars="200"/>
    </w:pPr>
    <w:rPr>
      <w:b/>
    </w:rPr>
  </w:style>
  <w:style w:type="paragraph" w:customStyle="1" w:styleId="48">
    <w:name w:val="01、普通正文"/>
    <w:basedOn w:val="1"/>
    <w:qFormat/>
    <w:uiPriority w:val="0"/>
    <w:pPr>
      <w:tabs>
        <w:tab w:val="left" w:pos="0"/>
      </w:tabs>
      <w:wordWrap w:val="0"/>
      <w:topLinePunct/>
    </w:pPr>
    <w:rPr>
      <w:snapToGrid w:val="0"/>
    </w:rPr>
  </w:style>
  <w:style w:type="paragraph" w:customStyle="1" w:styleId="49">
    <w:name w:val="13、表格内居中正文"/>
    <w:basedOn w:val="1"/>
    <w:qFormat/>
    <w:uiPriority w:val="0"/>
    <w:pPr>
      <w:tabs>
        <w:tab w:val="left" w:pos="0"/>
      </w:tabs>
      <w:wordWrap w:val="0"/>
      <w:topLinePunct/>
      <w:spacing w:line="360" w:lineRule="exact"/>
      <w:jc w:val="center"/>
    </w:pPr>
  </w:style>
  <w:style w:type="paragraph" w:customStyle="1" w:styleId="50">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1">
    <w:name w:val="GW-正文"/>
    <w:basedOn w:val="1"/>
    <w:qFormat/>
    <w:uiPriority w:val="0"/>
    <w:pPr>
      <w:spacing w:line="360" w:lineRule="auto"/>
      <w:ind w:firstLine="200" w:firstLineChars="200"/>
    </w:pPr>
    <w:rPr>
      <w:rFonts w:ascii="Times New Roman" w:eastAsia="仿宋_GB2312"/>
      <w:sz w:val="24"/>
    </w:rPr>
  </w:style>
  <w:style w:type="character" w:customStyle="1" w:styleId="52">
    <w:name w:val="font41"/>
    <w:qFormat/>
    <w:uiPriority w:val="0"/>
    <w:rPr>
      <w:rFonts w:hint="eastAsia" w:ascii="宋体" w:hAnsi="宋体" w:eastAsia="宋体" w:cs="宋体"/>
      <w:color w:val="000000"/>
      <w:sz w:val="20"/>
      <w:szCs w:val="20"/>
      <w:u w:val="none"/>
      <w:vertAlign w:val="subscript"/>
    </w:rPr>
  </w:style>
  <w:style w:type="character" w:customStyle="1" w:styleId="53">
    <w:name w:val="font51"/>
    <w:qFormat/>
    <w:uiPriority w:val="0"/>
    <w:rPr>
      <w:rFonts w:hint="default" w:ascii="Times New Roman" w:hAnsi="Times New Roman" w:cs="Times New Roman"/>
      <w:color w:val="000000"/>
      <w:sz w:val="20"/>
      <w:szCs w:val="20"/>
      <w:u w:val="none"/>
      <w:vertAlign w:val="subscript"/>
    </w:rPr>
  </w:style>
  <w:style w:type="character" w:customStyle="1" w:styleId="54">
    <w:name w:val="font01"/>
    <w:qFormat/>
    <w:uiPriority w:val="0"/>
    <w:rPr>
      <w:rFonts w:hint="eastAsia" w:ascii="宋体" w:hAnsi="宋体" w:eastAsia="宋体" w:cs="宋体"/>
      <w:color w:val="000000"/>
      <w:sz w:val="20"/>
      <w:szCs w:val="20"/>
      <w:u w:val="none"/>
      <w:vertAlign w:val="superscript"/>
    </w:rPr>
  </w:style>
  <w:style w:type="character" w:customStyle="1" w:styleId="55">
    <w:name w:val="font81"/>
    <w:basedOn w:val="20"/>
    <w:qFormat/>
    <w:uiPriority w:val="0"/>
    <w:rPr>
      <w:rFonts w:hint="eastAsia" w:ascii="宋体" w:hAnsi="宋体" w:eastAsia="宋体" w:cs="宋体"/>
      <w:color w:val="000000"/>
      <w:sz w:val="20"/>
      <w:szCs w:val="20"/>
      <w:u w:val="none"/>
    </w:rPr>
  </w:style>
  <w:style w:type="character" w:customStyle="1" w:styleId="56">
    <w:name w:val="font112"/>
    <w:basedOn w:val="20"/>
    <w:qFormat/>
    <w:uiPriority w:val="0"/>
    <w:rPr>
      <w:rFonts w:hint="eastAsia" w:ascii="宋体" w:hAnsi="宋体" w:eastAsia="宋体" w:cs="宋体"/>
      <w:color w:val="000000"/>
      <w:sz w:val="20"/>
      <w:szCs w:val="20"/>
      <w:u w:val="none"/>
      <w:vertAlign w:val="superscript"/>
    </w:rPr>
  </w:style>
  <w:style w:type="character" w:customStyle="1" w:styleId="57">
    <w:name w:val="font121"/>
    <w:basedOn w:val="20"/>
    <w:qFormat/>
    <w:uiPriority w:val="0"/>
    <w:rPr>
      <w:rFonts w:hint="eastAsia" w:ascii="宋体" w:hAnsi="宋体" w:eastAsia="宋体" w:cs="宋体"/>
      <w:color w:val="000000"/>
      <w:sz w:val="20"/>
      <w:szCs w:val="20"/>
      <w:u w:val="none"/>
    </w:rPr>
  </w:style>
  <w:style w:type="character" w:customStyle="1" w:styleId="58">
    <w:name w:val="font91"/>
    <w:basedOn w:val="20"/>
    <w:qFormat/>
    <w:uiPriority w:val="0"/>
    <w:rPr>
      <w:rFonts w:hint="eastAsia" w:ascii="宋体" w:hAnsi="宋体" w:eastAsia="宋体" w:cs="宋体"/>
      <w:color w:val="000000"/>
      <w:sz w:val="20"/>
      <w:szCs w:val="20"/>
      <w:u w:val="none"/>
    </w:rPr>
  </w:style>
  <w:style w:type="character" w:customStyle="1" w:styleId="59">
    <w:name w:val="font131"/>
    <w:basedOn w:val="2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GIF"/><Relationship Id="rId15" Type="http://schemas.openxmlformats.org/officeDocument/2006/relationships/image" Target="media/image3.GI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2059"/>
    <customShpInfo spid="_x0000_s2058"/>
    <customShpInfo spid="_x0000_s205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33848</Words>
  <Characters>35068</Characters>
  <Lines>272</Lines>
  <Paragraphs>76</Paragraphs>
  <TotalTime>2</TotalTime>
  <ScaleCrop>false</ScaleCrop>
  <LinksUpToDate>false</LinksUpToDate>
  <CharactersWithSpaces>36643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2021-05-25T02:17:00Z</dcterms:created>
  <dc:creator>Administrator</dc:creator>
  <cp:lastModifiedBy>喵呜</cp:lastModifiedBy>
  <cp:lastPrinted>2020-09-21T06:28:00Z</cp:lastPrinted>
  <dcterms:modified xsi:type="dcterms:W3CDTF">2021-06-07T03:25:45Z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D3461AC88E624B9D823EEC110C15D01C</vt:lpwstr>
  </property>
</Properties>
</file>