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color w:val="auto"/>
          <w:sz w:val="28"/>
          <w:szCs w:val="28"/>
          <w:highlight w:val="none"/>
        </w:rPr>
      </w:pPr>
      <w:r>
        <w:rPr>
          <w:rFonts w:hint="eastAsia" w:ascii="宋体" w:hAnsi="宋体" w:cs="宋体"/>
          <w:color w:val="auto"/>
          <w:sz w:val="28"/>
          <w:szCs w:val="28"/>
          <w:highlight w:val="none"/>
        </w:rPr>
        <w:t>采购项目编号：510101202100397</w:t>
      </w:r>
    </w:p>
    <w:p>
      <w:pPr>
        <w:tabs>
          <w:tab w:val="left" w:pos="2505"/>
          <w:tab w:val="center" w:pos="4204"/>
        </w:tabs>
        <w:jc w:val="center"/>
        <w:rPr>
          <w:rFonts w:ascii="宋体" w:hAnsi="宋体" w:cs="宋体"/>
          <w:color w:val="auto"/>
          <w:sz w:val="52"/>
          <w:szCs w:val="52"/>
          <w:highlight w:val="none"/>
        </w:rPr>
      </w:pPr>
      <w:r>
        <w:rPr>
          <w:rFonts w:hint="eastAsia" w:ascii="宋体" w:hAnsi="宋体" w:cs="宋体"/>
          <w:color w:val="auto"/>
          <w:sz w:val="48"/>
          <w:szCs w:val="48"/>
          <w:highlight w:val="none"/>
        </w:rPr>
        <w:t>2021年土壤环境质量监测能力建设项目</w:t>
      </w:r>
    </w:p>
    <w:p>
      <w:pPr>
        <w:pStyle w:val="6"/>
        <w:rPr>
          <w:rFonts w:ascii="宋体" w:hAnsi="宋体" w:cs="宋体"/>
          <w:color w:val="auto"/>
          <w:highlight w:val="none"/>
        </w:rPr>
      </w:pPr>
    </w:p>
    <w:p>
      <w:pPr>
        <w:tabs>
          <w:tab w:val="left" w:pos="2505"/>
          <w:tab w:val="center" w:pos="4204"/>
        </w:tabs>
        <w:jc w:val="center"/>
        <w:rPr>
          <w:rFonts w:ascii="宋体" w:hAnsi="宋体" w:cs="宋体"/>
          <w:color w:val="auto"/>
          <w:sz w:val="72"/>
          <w:szCs w:val="72"/>
          <w:highlight w:val="none"/>
        </w:rPr>
      </w:pPr>
      <w:r>
        <w:rPr>
          <w:rFonts w:hint="eastAsia" w:ascii="宋体" w:hAnsi="宋体" w:cs="宋体"/>
          <w:color w:val="auto"/>
          <w:sz w:val="72"/>
          <w:szCs w:val="72"/>
          <w:highlight w:val="none"/>
        </w:rPr>
        <w:t>招</w:t>
      </w:r>
    </w:p>
    <w:p>
      <w:pPr>
        <w:jc w:val="center"/>
        <w:rPr>
          <w:rFonts w:ascii="宋体" w:hAnsi="宋体" w:cs="宋体"/>
          <w:color w:val="auto"/>
          <w:sz w:val="72"/>
          <w:szCs w:val="72"/>
          <w:highlight w:val="none"/>
        </w:rPr>
      </w:pPr>
      <w:r>
        <w:rPr>
          <w:rFonts w:hint="eastAsia" w:ascii="宋体" w:hAnsi="宋体" w:cs="宋体"/>
          <w:color w:val="auto"/>
          <w:sz w:val="72"/>
          <w:szCs w:val="72"/>
          <w:highlight w:val="none"/>
        </w:rPr>
        <w:t>标</w:t>
      </w:r>
    </w:p>
    <w:p>
      <w:pPr>
        <w:jc w:val="center"/>
        <w:rPr>
          <w:rFonts w:ascii="宋体" w:hAnsi="宋体" w:cs="宋体"/>
          <w:color w:val="auto"/>
          <w:sz w:val="72"/>
          <w:szCs w:val="72"/>
          <w:highlight w:val="none"/>
        </w:rPr>
      </w:pPr>
      <w:r>
        <w:rPr>
          <w:rFonts w:hint="eastAsia" w:ascii="宋体" w:hAnsi="宋体" w:cs="宋体"/>
          <w:color w:val="auto"/>
          <w:sz w:val="72"/>
          <w:szCs w:val="72"/>
          <w:highlight w:val="none"/>
        </w:rPr>
        <w:t>文</w:t>
      </w:r>
    </w:p>
    <w:p>
      <w:pPr>
        <w:jc w:val="center"/>
        <w:rPr>
          <w:rFonts w:ascii="宋体" w:hAnsi="宋体" w:cs="宋体"/>
          <w:color w:val="auto"/>
          <w:sz w:val="72"/>
          <w:szCs w:val="72"/>
          <w:highlight w:val="none"/>
        </w:rPr>
      </w:pPr>
      <w:r>
        <w:rPr>
          <w:rFonts w:hint="eastAsia" w:ascii="宋体" w:hAnsi="宋体" w:cs="宋体"/>
          <w:color w:val="auto"/>
          <w:sz w:val="72"/>
          <w:szCs w:val="72"/>
          <w:highlight w:val="none"/>
        </w:rPr>
        <w:t>件</w:t>
      </w:r>
    </w:p>
    <w:p>
      <w:pPr>
        <w:spacing w:line="360" w:lineRule="auto"/>
        <w:jc w:val="center"/>
        <w:rPr>
          <w:rFonts w:ascii="宋体" w:hAnsi="宋体" w:cs="宋体"/>
          <w:color w:val="auto"/>
          <w:sz w:val="32"/>
          <w:szCs w:val="32"/>
          <w:highlight w:val="none"/>
        </w:rPr>
      </w:pPr>
    </w:p>
    <w:p>
      <w:pPr>
        <w:rPr>
          <w:rFonts w:ascii="宋体" w:hAnsi="宋体" w:cs="宋体"/>
          <w:color w:val="auto"/>
          <w:highlight w:val="none"/>
        </w:rPr>
      </w:pPr>
    </w:p>
    <w:p>
      <w:pPr>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中国·成都</w:t>
      </w:r>
    </w:p>
    <w:p>
      <w:pPr>
        <w:spacing w:line="360" w:lineRule="auto"/>
        <w:jc w:val="center"/>
        <w:rPr>
          <w:rFonts w:ascii="宋体" w:hAnsi="宋体" w:cs="宋体"/>
          <w:color w:val="auto"/>
          <w:sz w:val="32"/>
          <w:szCs w:val="32"/>
          <w:highlight w:val="none"/>
        </w:rPr>
      </w:pPr>
      <w:bookmarkStart w:id="0" w:name="PO_代理公司_1"/>
      <w:r>
        <w:rPr>
          <w:rFonts w:hint="eastAsia" w:ascii="宋体" w:hAnsi="宋体" w:cs="宋体"/>
          <w:color w:val="auto"/>
          <w:sz w:val="32"/>
          <w:szCs w:val="32"/>
          <w:highlight w:val="none"/>
        </w:rPr>
        <w:t>采购人：成都市生态环境科研监测所</w:t>
      </w:r>
    </w:p>
    <w:bookmarkEnd w:id="0"/>
    <w:p>
      <w:pPr>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 xml:space="preserve"> 采购代理机构：四川军贤工程项目管理有限公司</w:t>
      </w:r>
    </w:p>
    <w:p>
      <w:pPr>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共同编制</w:t>
      </w:r>
    </w:p>
    <w:p>
      <w:pPr>
        <w:spacing w:line="360" w:lineRule="auto"/>
        <w:jc w:val="center"/>
        <w:rPr>
          <w:rFonts w:ascii="宋体" w:hAnsi="宋体" w:cs="宋体"/>
          <w:color w:val="auto"/>
          <w:sz w:val="32"/>
          <w:szCs w:val="32"/>
          <w:highlight w:val="none"/>
          <w:lang w:val="zh-CN"/>
        </w:rPr>
        <w:sectPr>
          <w:headerReference r:id="rId7" w:type="first"/>
          <w:footerReference r:id="rId10" w:type="first"/>
          <w:headerReference r:id="rId5" w:type="default"/>
          <w:footerReference r:id="rId8" w:type="default"/>
          <w:headerReference r:id="rId6" w:type="even"/>
          <w:footerReference r:id="rId9" w:type="even"/>
          <w:pgSz w:w="11907" w:h="16840"/>
          <w:pgMar w:top="1418" w:right="1701" w:bottom="1418" w:left="1701" w:header="851" w:footer="992" w:gutter="0"/>
          <w:pgNumType w:start="1"/>
          <w:cols w:space="720" w:num="1"/>
          <w:titlePg/>
          <w:docGrid w:linePitch="312" w:charSpace="0"/>
        </w:sectPr>
      </w:pPr>
      <w:bookmarkStart w:id="1" w:name="PO_年份小写_1"/>
      <w:r>
        <w:rPr>
          <w:rFonts w:hint="eastAsia" w:ascii="宋体" w:hAnsi="宋体" w:cs="宋体"/>
          <w:color w:val="auto"/>
          <w:sz w:val="32"/>
          <w:szCs w:val="32"/>
          <w:highlight w:val="none"/>
          <w:lang w:val="zh-CN"/>
        </w:rPr>
        <w:t>二O</w:t>
      </w:r>
      <w:bookmarkEnd w:id="1"/>
      <w:r>
        <w:rPr>
          <w:rFonts w:hint="eastAsia" w:ascii="宋体" w:hAnsi="宋体" w:cs="宋体"/>
          <w:color w:val="auto"/>
          <w:sz w:val="32"/>
          <w:szCs w:val="32"/>
          <w:highlight w:val="none"/>
          <w:lang w:val="zh-CN"/>
        </w:rPr>
        <w:t>二</w:t>
      </w:r>
      <w:r>
        <w:rPr>
          <w:rFonts w:hint="eastAsia" w:ascii="宋体" w:hAnsi="宋体" w:cs="宋体"/>
          <w:color w:val="auto"/>
          <w:sz w:val="32"/>
          <w:szCs w:val="32"/>
          <w:highlight w:val="none"/>
        </w:rPr>
        <w:t>一</w:t>
      </w:r>
      <w:r>
        <w:rPr>
          <w:rFonts w:hint="eastAsia" w:ascii="宋体" w:hAnsi="宋体" w:cs="宋体"/>
          <w:color w:val="auto"/>
          <w:sz w:val="32"/>
          <w:szCs w:val="32"/>
          <w:highlight w:val="none"/>
          <w:lang w:val="zh-CN"/>
        </w:rPr>
        <w:t>年</w:t>
      </w:r>
      <w:r>
        <w:rPr>
          <w:rFonts w:hint="eastAsia" w:ascii="宋体" w:hAnsi="宋体" w:cs="宋体"/>
          <w:color w:val="auto"/>
          <w:sz w:val="32"/>
          <w:szCs w:val="32"/>
          <w:highlight w:val="none"/>
          <w:lang w:val="en-US" w:eastAsia="zh-CN"/>
        </w:rPr>
        <w:t>五</w:t>
      </w:r>
      <w:r>
        <w:rPr>
          <w:rFonts w:hint="eastAsia" w:ascii="宋体" w:hAnsi="宋体" w:cs="宋体"/>
          <w:color w:val="auto"/>
          <w:sz w:val="32"/>
          <w:szCs w:val="32"/>
          <w:highlight w:val="none"/>
          <w:lang w:val="zh-CN"/>
        </w:rPr>
        <w:t>月</w:t>
      </w:r>
    </w:p>
    <w:p>
      <w:pPr>
        <w:pStyle w:val="6"/>
        <w:jc w:val="center"/>
        <w:rPr>
          <w:rFonts w:ascii="宋体" w:hAnsi="宋体" w:cs="宋体"/>
          <w:color w:val="auto"/>
          <w:sz w:val="48"/>
          <w:szCs w:val="48"/>
          <w:highlight w:val="none"/>
        </w:rPr>
      </w:pPr>
      <w:r>
        <w:rPr>
          <w:rFonts w:hint="eastAsia" w:ascii="宋体" w:hAnsi="宋体" w:cs="宋体"/>
          <w:color w:val="auto"/>
          <w:sz w:val="48"/>
          <w:szCs w:val="48"/>
          <w:highlight w:val="none"/>
        </w:rPr>
        <w:t>目 录</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第一章  投标邀请……………………………………………………………2</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第二章  投标人须知…………………………………………………………5</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第三章  投标文件格式………………………………………………………24</w:t>
      </w:r>
    </w:p>
    <w:p>
      <w:pPr>
        <w:spacing w:line="360" w:lineRule="auto"/>
        <w:ind w:left="479" w:leftChars="228"/>
        <w:rPr>
          <w:rFonts w:ascii="宋体" w:hAnsi="宋体" w:cs="宋体"/>
          <w:b/>
          <w:color w:val="auto"/>
          <w:sz w:val="24"/>
          <w:highlight w:val="none"/>
        </w:rPr>
      </w:pPr>
      <w:r>
        <w:rPr>
          <w:rFonts w:hint="eastAsia" w:ascii="宋体" w:hAnsi="宋体" w:cs="宋体"/>
          <w:b/>
          <w:color w:val="auto"/>
          <w:sz w:val="24"/>
          <w:highlight w:val="none"/>
        </w:rPr>
        <w:t>第四章  投标人和投标产品的资格、资质性及其他类似效力要求………48</w:t>
      </w:r>
    </w:p>
    <w:p>
      <w:pPr>
        <w:spacing w:line="360" w:lineRule="auto"/>
        <w:ind w:left="479" w:leftChars="228"/>
        <w:rPr>
          <w:rFonts w:ascii="宋体" w:hAnsi="宋体" w:cs="宋体"/>
          <w:b/>
          <w:color w:val="auto"/>
          <w:sz w:val="24"/>
          <w:highlight w:val="none"/>
        </w:rPr>
      </w:pPr>
      <w:r>
        <w:rPr>
          <w:rFonts w:hint="eastAsia" w:ascii="宋体" w:hAnsi="宋体" w:cs="宋体"/>
          <w:b/>
          <w:color w:val="auto"/>
          <w:sz w:val="24"/>
          <w:highlight w:val="none"/>
        </w:rPr>
        <w:t>第五章  投标人应当提供的资格、资质性及其他类似效力要求的相关证明材料………………………………………………………………………………50</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第六章  招标项目技术、服务、商务及其他要求…………………………52</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第七章  评标办法……………………………………………………………72</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第八章  政府采购合同（草案）……………………………………………84</w:t>
      </w: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tabs>
          <w:tab w:val="left" w:pos="315"/>
        </w:tabs>
        <w:jc w:val="left"/>
        <w:rPr>
          <w:rFonts w:ascii="宋体" w:hAnsi="宋体" w:cs="宋体"/>
          <w:color w:val="auto"/>
          <w:highlight w:val="none"/>
        </w:rPr>
        <w:sectPr>
          <w:footerReference r:id="rId13" w:type="first"/>
          <w:footerReference r:id="rId11" w:type="default"/>
          <w:footerReference r:id="rId12" w:type="even"/>
          <w:pgSz w:w="11907" w:h="16840"/>
          <w:pgMar w:top="1417" w:right="1701" w:bottom="1417" w:left="1701" w:header="851" w:footer="992" w:gutter="0"/>
          <w:pgNumType w:start="1"/>
          <w:cols w:space="720" w:num="1"/>
          <w:titlePg/>
          <w:docGrid w:linePitch="312" w:charSpace="0"/>
        </w:sectPr>
      </w:pPr>
      <w:r>
        <w:rPr>
          <w:rFonts w:hint="eastAsia" w:ascii="宋体" w:hAnsi="宋体" w:cs="宋体"/>
          <w:color w:val="auto"/>
          <w:highlight w:val="none"/>
        </w:rPr>
        <w:tab/>
      </w:r>
    </w:p>
    <w:p>
      <w:pPr>
        <w:pStyle w:val="3"/>
        <w:spacing w:line="240" w:lineRule="atLeast"/>
        <w:jc w:val="center"/>
        <w:rPr>
          <w:rFonts w:ascii="宋体" w:hAnsi="宋体" w:cs="宋体"/>
          <w:color w:val="auto"/>
          <w:sz w:val="36"/>
          <w:szCs w:val="36"/>
          <w:highlight w:val="none"/>
        </w:rPr>
      </w:pPr>
      <w:bookmarkStart w:id="2" w:name="_Hlt101843627"/>
      <w:bookmarkEnd w:id="2"/>
      <w:bookmarkStart w:id="3" w:name="_Hlt101233737"/>
      <w:bookmarkEnd w:id="3"/>
      <w:bookmarkStart w:id="4" w:name="_Toc6066"/>
      <w:bookmarkStart w:id="5" w:name="_Toc24584"/>
      <w:r>
        <w:rPr>
          <w:rFonts w:hint="eastAsia" w:ascii="宋体" w:hAnsi="宋体" w:cs="宋体"/>
          <w:color w:val="auto"/>
          <w:sz w:val="36"/>
          <w:szCs w:val="36"/>
          <w:highlight w:val="none"/>
        </w:rPr>
        <w:t>第一章  投标邀请</w:t>
      </w:r>
      <w:bookmarkEnd w:id="4"/>
      <w:bookmarkEnd w:id="5"/>
    </w:p>
    <w:p>
      <w:pPr>
        <w:tabs>
          <w:tab w:val="left" w:pos="7665"/>
        </w:tabs>
        <w:spacing w:line="400" w:lineRule="exact"/>
        <w:ind w:firstLine="600" w:firstLineChars="250"/>
        <w:rPr>
          <w:rFonts w:ascii="宋体" w:hAnsi="宋体" w:cs="宋体"/>
          <w:color w:val="auto"/>
          <w:sz w:val="24"/>
          <w:highlight w:val="none"/>
        </w:rPr>
      </w:pPr>
      <w:r>
        <w:rPr>
          <w:rFonts w:hint="eastAsia" w:ascii="宋体" w:hAnsi="宋体" w:cs="宋体"/>
          <w:color w:val="auto"/>
          <w:sz w:val="24"/>
          <w:highlight w:val="none"/>
          <w:u w:val="single"/>
        </w:rPr>
        <w:t>四川军贤工程项目管理有限公司</w:t>
      </w:r>
      <w:r>
        <w:rPr>
          <w:rFonts w:hint="eastAsia" w:ascii="宋体" w:hAnsi="宋体" w:cs="宋体"/>
          <w:color w:val="auto"/>
          <w:sz w:val="24"/>
          <w:highlight w:val="none"/>
        </w:rPr>
        <w:t>受</w:t>
      </w:r>
      <w:r>
        <w:rPr>
          <w:rFonts w:hint="eastAsia" w:ascii="宋体" w:hAnsi="宋体" w:cs="宋体"/>
          <w:color w:val="auto"/>
          <w:sz w:val="24"/>
          <w:highlight w:val="none"/>
          <w:u w:val="single"/>
        </w:rPr>
        <w:t>成都市生态环境科研监测所</w:t>
      </w:r>
      <w:r>
        <w:rPr>
          <w:rFonts w:hint="eastAsia" w:ascii="宋体" w:hAnsi="宋体" w:cs="宋体"/>
          <w:color w:val="auto"/>
          <w:sz w:val="24"/>
          <w:highlight w:val="none"/>
        </w:rPr>
        <w:t>委托，拟对</w:t>
      </w:r>
      <w:bookmarkStart w:id="6" w:name="PO_默认文件内容_4"/>
      <w:r>
        <w:rPr>
          <w:rFonts w:hint="eastAsia" w:ascii="宋体" w:hAnsi="宋体" w:cs="宋体"/>
          <w:color w:val="auto"/>
          <w:sz w:val="24"/>
          <w:highlight w:val="none"/>
          <w:u w:val="single"/>
          <w:lang w:eastAsia="zh-CN"/>
        </w:rPr>
        <w:t>2021年土壤环境质量监测能力建设项目</w:t>
      </w:r>
      <w:r>
        <w:rPr>
          <w:rFonts w:hint="eastAsia" w:ascii="宋体" w:hAnsi="宋体" w:cs="宋体"/>
          <w:color w:val="auto"/>
          <w:sz w:val="24"/>
          <w:highlight w:val="none"/>
        </w:rPr>
        <w:t>进行国内公开招标，兹邀请符合本次招标要求的供应商参加投标。</w:t>
      </w:r>
      <w:bookmarkEnd w:id="6"/>
    </w:p>
    <w:p>
      <w:pPr>
        <w:spacing w:line="24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一、采购项目编号：510101202100397</w:t>
      </w:r>
    </w:p>
    <w:p>
      <w:pPr>
        <w:spacing w:line="240" w:lineRule="auto"/>
        <w:ind w:right="31" w:rightChars="15" w:firstLine="482" w:firstLineChars="200"/>
        <w:rPr>
          <w:rFonts w:ascii="宋体" w:hAnsi="宋体" w:cs="宋体"/>
          <w:b/>
          <w:color w:val="auto"/>
          <w:sz w:val="24"/>
          <w:szCs w:val="32"/>
          <w:highlight w:val="none"/>
        </w:rPr>
      </w:pPr>
      <w:r>
        <w:rPr>
          <w:rFonts w:hint="eastAsia" w:ascii="宋体" w:hAnsi="宋体" w:cs="宋体"/>
          <w:b/>
          <w:bCs/>
          <w:color w:val="auto"/>
          <w:sz w:val="24"/>
          <w:highlight w:val="none"/>
        </w:rPr>
        <w:t>二、</w:t>
      </w:r>
      <w:r>
        <w:rPr>
          <w:rFonts w:hint="eastAsia" w:ascii="宋体" w:hAnsi="宋体" w:cs="宋体"/>
          <w:b/>
          <w:color w:val="auto"/>
          <w:sz w:val="24"/>
          <w:highlight w:val="none"/>
          <w:lang w:val="en-US" w:eastAsia="zh-CN"/>
        </w:rPr>
        <w:t>采购</w:t>
      </w:r>
      <w:r>
        <w:rPr>
          <w:rFonts w:hint="eastAsia" w:ascii="宋体" w:hAnsi="宋体" w:cs="宋体"/>
          <w:b/>
          <w:color w:val="auto"/>
          <w:sz w:val="24"/>
          <w:highlight w:val="none"/>
        </w:rPr>
        <w:t>项目名称：</w:t>
      </w:r>
      <w:r>
        <w:rPr>
          <w:rFonts w:hint="eastAsia" w:ascii="宋体" w:hAnsi="宋体" w:cs="宋体"/>
          <w:bCs/>
          <w:color w:val="auto"/>
          <w:sz w:val="24"/>
          <w:szCs w:val="32"/>
          <w:highlight w:val="none"/>
          <w:lang w:eastAsia="zh-CN"/>
        </w:rPr>
        <w:t>2021年土壤环境质量监测能力建设项目</w:t>
      </w:r>
      <w:r>
        <w:rPr>
          <w:rFonts w:hint="eastAsia" w:ascii="宋体" w:hAnsi="宋体" w:cs="宋体"/>
          <w:b/>
          <w:color w:val="auto"/>
          <w:sz w:val="24"/>
          <w:szCs w:val="32"/>
          <w:highlight w:val="none"/>
        </w:rPr>
        <w:t>。</w:t>
      </w:r>
    </w:p>
    <w:p>
      <w:pPr>
        <w:spacing w:line="240" w:lineRule="auto"/>
        <w:ind w:right="31" w:rightChars="15" w:firstLine="482" w:firstLineChars="200"/>
        <w:rPr>
          <w:rFonts w:ascii="宋体" w:hAnsi="宋体" w:cs="宋体"/>
          <w:b/>
          <w:bCs/>
          <w:color w:val="auto"/>
          <w:sz w:val="24"/>
          <w:highlight w:val="none"/>
        </w:rPr>
      </w:pPr>
      <w:r>
        <w:rPr>
          <w:rFonts w:hint="eastAsia" w:ascii="宋体" w:hAnsi="宋体" w:cs="宋体"/>
          <w:b/>
          <w:color w:val="auto"/>
          <w:sz w:val="24"/>
          <w:szCs w:val="28"/>
          <w:highlight w:val="none"/>
        </w:rPr>
        <w:t>三、资金来源：</w:t>
      </w:r>
      <w:bookmarkStart w:id="7" w:name="PO_资金性质_1"/>
      <w:r>
        <w:rPr>
          <w:rFonts w:hint="eastAsia" w:ascii="宋体" w:hAnsi="宋体" w:cs="宋体"/>
          <w:color w:val="auto"/>
          <w:sz w:val="24"/>
          <w:highlight w:val="none"/>
        </w:rPr>
        <w:t>财政资金</w:t>
      </w:r>
      <w:bookmarkEnd w:id="7"/>
      <w:r>
        <w:rPr>
          <w:rFonts w:hint="eastAsia" w:ascii="宋体" w:hAnsi="宋体" w:cs="宋体"/>
          <w:color w:val="auto"/>
          <w:sz w:val="24"/>
          <w:highlight w:val="none"/>
        </w:rPr>
        <w:t>。</w:t>
      </w:r>
    </w:p>
    <w:p>
      <w:pPr>
        <w:spacing w:line="24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四</w:t>
      </w:r>
      <w:r>
        <w:rPr>
          <w:rFonts w:hint="eastAsia" w:ascii="宋体" w:hAnsi="宋体" w:cs="宋体"/>
          <w:b/>
          <w:bCs/>
          <w:color w:val="auto"/>
          <w:sz w:val="24"/>
          <w:highlight w:val="none"/>
        </w:rPr>
        <w:t>、</w:t>
      </w:r>
      <w:r>
        <w:rPr>
          <w:rFonts w:hint="eastAsia" w:ascii="宋体" w:hAnsi="宋体" w:cs="宋体"/>
          <w:b/>
          <w:color w:val="auto"/>
          <w:sz w:val="24"/>
          <w:highlight w:val="none"/>
          <w:lang w:val="en-US" w:eastAsia="zh-CN"/>
        </w:rPr>
        <w:t>采购</w:t>
      </w:r>
      <w:r>
        <w:rPr>
          <w:rFonts w:hint="eastAsia" w:ascii="宋体" w:hAnsi="宋体" w:cs="宋体"/>
          <w:b/>
          <w:color w:val="auto"/>
          <w:sz w:val="24"/>
          <w:highlight w:val="none"/>
        </w:rPr>
        <w:t>项目</w:t>
      </w:r>
      <w:r>
        <w:rPr>
          <w:rFonts w:hint="eastAsia" w:ascii="宋体" w:hAnsi="宋体" w:cs="宋体"/>
          <w:b/>
          <w:color w:val="auto"/>
          <w:sz w:val="24"/>
          <w:highlight w:val="none"/>
          <w:lang w:val="en-US" w:eastAsia="zh-CN"/>
        </w:rPr>
        <w:t>基本情况</w:t>
      </w:r>
      <w:r>
        <w:rPr>
          <w:rFonts w:hint="eastAsia" w:ascii="宋体" w:hAnsi="宋体" w:cs="宋体"/>
          <w:b/>
          <w:color w:val="auto"/>
          <w:sz w:val="24"/>
          <w:highlight w:val="none"/>
        </w:rPr>
        <w:t>：</w:t>
      </w:r>
    </w:p>
    <w:p>
      <w:pPr>
        <w:spacing w:after="120" w:afterLines="50" w:line="240" w:lineRule="auto"/>
        <w:ind w:firstLine="464" w:firstLineChars="200"/>
        <w:rPr>
          <w:rFonts w:hint="eastAsia" w:ascii="宋体" w:hAnsi="宋体" w:eastAsia="宋体" w:cs="宋体"/>
          <w:color w:val="auto"/>
          <w:spacing w:val="-4"/>
          <w:sz w:val="24"/>
          <w:highlight w:val="none"/>
          <w:lang w:eastAsia="zh-CN"/>
        </w:rPr>
      </w:pPr>
      <w:bookmarkStart w:id="8" w:name="PO_默认文件内容_3"/>
      <w:r>
        <w:rPr>
          <w:rFonts w:hint="eastAsia" w:ascii="宋体" w:hAnsi="宋体" w:cs="宋体"/>
          <w:color w:val="auto"/>
          <w:spacing w:val="-4"/>
          <w:sz w:val="24"/>
          <w:highlight w:val="none"/>
          <w:lang w:val="en-US" w:eastAsia="zh-CN"/>
        </w:rPr>
        <w:t>1.采购项目简介：</w:t>
      </w:r>
      <w:r>
        <w:rPr>
          <w:rFonts w:hint="eastAsia" w:ascii="宋体" w:hAnsi="宋体" w:cs="宋体"/>
          <w:color w:val="auto"/>
          <w:spacing w:val="-4"/>
          <w:sz w:val="24"/>
          <w:highlight w:val="none"/>
        </w:rPr>
        <w:t>成都市生态环境科研监测所拟采购供应商提供2021年土壤环境质量监测能力建设</w:t>
      </w:r>
      <w:r>
        <w:rPr>
          <w:rFonts w:hint="eastAsia" w:ascii="宋体" w:hAnsi="宋体" w:cs="宋体"/>
          <w:bCs/>
          <w:color w:val="auto"/>
          <w:sz w:val="24"/>
          <w:szCs w:val="32"/>
          <w:highlight w:val="none"/>
          <w:lang w:eastAsia="zh-CN"/>
        </w:rPr>
        <w:t>项目</w:t>
      </w:r>
      <w:r>
        <w:rPr>
          <w:rFonts w:hint="eastAsia" w:ascii="宋体" w:hAnsi="宋体" w:cs="宋体"/>
          <w:color w:val="auto"/>
          <w:spacing w:val="-4"/>
          <w:sz w:val="24"/>
          <w:highlight w:val="none"/>
        </w:rPr>
        <w:t>设备，本项目</w:t>
      </w:r>
      <w:r>
        <w:rPr>
          <w:rFonts w:hint="eastAsia" w:ascii="宋体" w:hAnsi="宋体" w:cs="宋体"/>
          <w:color w:val="auto"/>
          <w:spacing w:val="-4"/>
          <w:sz w:val="24"/>
          <w:highlight w:val="none"/>
          <w:lang w:val="en-US" w:eastAsia="zh-CN"/>
        </w:rPr>
        <w:t>2</w:t>
      </w:r>
      <w:r>
        <w:rPr>
          <w:rFonts w:hint="eastAsia" w:ascii="宋体" w:hAnsi="宋体" w:cs="宋体"/>
          <w:color w:val="auto"/>
          <w:spacing w:val="-4"/>
          <w:sz w:val="24"/>
          <w:highlight w:val="none"/>
        </w:rPr>
        <w:t>个包</w:t>
      </w:r>
      <w:r>
        <w:rPr>
          <w:rFonts w:hint="eastAsia" w:ascii="宋体" w:hAnsi="宋体" w:cs="宋体"/>
          <w:color w:val="auto"/>
          <w:spacing w:val="-4"/>
          <w:sz w:val="24"/>
          <w:highlight w:val="none"/>
          <w:lang w:eastAsia="zh-CN"/>
        </w:rPr>
        <w:t>。</w:t>
      </w:r>
    </w:p>
    <w:tbl>
      <w:tblPr>
        <w:tblStyle w:val="33"/>
        <w:tblpPr w:leftFromText="180" w:rightFromText="180" w:vertAnchor="text" w:horzAnchor="page" w:tblpX="1466" w:tblpY="447"/>
        <w:tblOverlap w:val="never"/>
        <w:tblW w:w="93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3589"/>
        <w:gridCol w:w="2308"/>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367" w:type="dxa"/>
            <w:gridSpan w:val="4"/>
            <w:vAlign w:val="center"/>
          </w:tcPr>
          <w:p>
            <w:pPr>
              <w:widowControl w:val="0"/>
              <w:spacing w:line="240" w:lineRule="auto"/>
              <w:jc w:val="center"/>
              <w:rPr>
                <w:rFonts w:ascii="宋体" w:hAnsi="宋体" w:eastAsia="宋体" w:cs="宋体"/>
                <w:bCs/>
                <w:sz w:val="24"/>
                <w:szCs w:val="24"/>
                <w:highlight w:val="none"/>
              </w:rPr>
            </w:pPr>
            <w:r>
              <w:rPr>
                <w:rFonts w:hint="eastAsia" w:ascii="宋体" w:hAnsi="宋体" w:eastAsia="宋体" w:cs="宋体"/>
                <w:bCs/>
                <w:sz w:val="24"/>
                <w:szCs w:val="24"/>
                <w:highlight w:val="none"/>
              </w:rPr>
              <w:t>01包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99" w:type="dxa"/>
            <w:vAlign w:val="center"/>
          </w:tcPr>
          <w:p>
            <w:pPr>
              <w:widowControl w:val="0"/>
              <w:spacing w:line="240" w:lineRule="auto"/>
              <w:jc w:val="center"/>
              <w:rPr>
                <w:rFonts w:ascii="宋体" w:hAnsi="宋体" w:eastAsia="宋体" w:cs="宋体"/>
                <w:bCs/>
                <w:sz w:val="24"/>
                <w:szCs w:val="24"/>
                <w:highlight w:val="none"/>
              </w:rPr>
            </w:pPr>
            <w:r>
              <w:rPr>
                <w:rFonts w:hint="eastAsia" w:ascii="宋体" w:hAnsi="宋体" w:cs="宋体"/>
                <w:bCs/>
                <w:sz w:val="24"/>
                <w:szCs w:val="24"/>
                <w:highlight w:val="none"/>
                <w:lang w:val="en-US" w:eastAsia="zh-CN"/>
              </w:rPr>
              <w:t>序</w:t>
            </w:r>
            <w:r>
              <w:rPr>
                <w:rFonts w:hint="eastAsia" w:ascii="宋体" w:hAnsi="宋体" w:eastAsia="宋体" w:cs="宋体"/>
                <w:bCs/>
                <w:sz w:val="24"/>
                <w:szCs w:val="24"/>
                <w:highlight w:val="none"/>
              </w:rPr>
              <w:t>号</w:t>
            </w:r>
          </w:p>
        </w:tc>
        <w:tc>
          <w:tcPr>
            <w:tcW w:w="3589" w:type="dxa"/>
            <w:vAlign w:val="center"/>
          </w:tcPr>
          <w:p>
            <w:pPr>
              <w:widowControl w:val="0"/>
              <w:spacing w:line="240" w:lineRule="auto"/>
              <w:jc w:val="center"/>
              <w:rPr>
                <w:rFonts w:ascii="宋体" w:hAnsi="宋体" w:eastAsia="宋体" w:cs="宋体"/>
                <w:bCs/>
                <w:sz w:val="24"/>
                <w:szCs w:val="24"/>
                <w:highlight w:val="none"/>
              </w:rPr>
            </w:pPr>
            <w:r>
              <w:rPr>
                <w:rFonts w:hint="eastAsia" w:ascii="宋体" w:hAnsi="宋体" w:eastAsia="宋体" w:cs="宋体"/>
                <w:bCs/>
                <w:sz w:val="24"/>
                <w:szCs w:val="24"/>
                <w:highlight w:val="none"/>
              </w:rPr>
              <w:t>设备名称</w:t>
            </w:r>
          </w:p>
        </w:tc>
        <w:tc>
          <w:tcPr>
            <w:tcW w:w="2308" w:type="dxa"/>
            <w:vAlign w:val="center"/>
          </w:tcPr>
          <w:p>
            <w:pPr>
              <w:widowControl w:val="0"/>
              <w:spacing w:line="240" w:lineRule="auto"/>
              <w:jc w:val="center"/>
              <w:rPr>
                <w:rFonts w:ascii="宋体" w:hAnsi="宋体" w:eastAsia="宋体" w:cs="宋体"/>
                <w:bCs/>
                <w:sz w:val="24"/>
                <w:szCs w:val="24"/>
                <w:highlight w:val="none"/>
              </w:rPr>
            </w:pPr>
            <w:r>
              <w:rPr>
                <w:rFonts w:hint="eastAsia" w:ascii="宋体" w:hAnsi="宋体" w:eastAsia="宋体" w:cs="宋体"/>
                <w:bCs/>
                <w:sz w:val="24"/>
                <w:szCs w:val="24"/>
                <w:highlight w:val="none"/>
              </w:rPr>
              <w:t>数量（台/套）</w:t>
            </w:r>
          </w:p>
        </w:tc>
        <w:tc>
          <w:tcPr>
            <w:tcW w:w="2471" w:type="dxa"/>
            <w:vAlign w:val="center"/>
          </w:tcPr>
          <w:p>
            <w:pPr>
              <w:widowControl w:val="0"/>
              <w:spacing w:line="240" w:lineRule="auto"/>
              <w:jc w:val="center"/>
              <w:rPr>
                <w:rFonts w:ascii="宋体" w:hAnsi="宋体" w:eastAsia="宋体" w:cs="宋体"/>
                <w:bCs/>
                <w:sz w:val="24"/>
                <w:szCs w:val="24"/>
                <w:highlight w:val="none"/>
              </w:rPr>
            </w:pPr>
            <w:r>
              <w:rPr>
                <w:rFonts w:hint="eastAsia" w:ascii="宋体" w:hAnsi="宋体" w:eastAsia="宋体" w:cs="宋体"/>
                <w:bCs/>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99" w:type="dxa"/>
            <w:vAlign w:val="center"/>
          </w:tcPr>
          <w:p>
            <w:pPr>
              <w:widowControl w:val="0"/>
              <w:spacing w:line="240" w:lineRule="auto"/>
              <w:jc w:val="center"/>
              <w:rPr>
                <w:rFonts w:ascii="宋体" w:hAnsi="宋体" w:eastAsia="宋体" w:cs="宋体"/>
                <w:bCs/>
                <w:sz w:val="24"/>
                <w:szCs w:val="24"/>
                <w:highlight w:val="none"/>
              </w:rPr>
            </w:pPr>
            <w:r>
              <w:rPr>
                <w:rFonts w:hint="eastAsia" w:ascii="宋体" w:hAnsi="宋体" w:eastAsia="宋体" w:cs="宋体"/>
                <w:bCs/>
                <w:sz w:val="24"/>
                <w:szCs w:val="24"/>
                <w:highlight w:val="none"/>
              </w:rPr>
              <w:t>1</w:t>
            </w:r>
          </w:p>
        </w:tc>
        <w:tc>
          <w:tcPr>
            <w:tcW w:w="3589" w:type="dxa"/>
            <w:vAlign w:val="center"/>
          </w:tcPr>
          <w:p>
            <w:pPr>
              <w:spacing w:line="240" w:lineRule="auto"/>
              <w:jc w:val="center"/>
              <w:rPr>
                <w:rFonts w:ascii="宋体" w:hAnsi="宋体" w:eastAsia="宋体" w:cs="宋体"/>
                <w:bCs/>
                <w:sz w:val="24"/>
                <w:szCs w:val="24"/>
                <w:highlight w:val="none"/>
              </w:rPr>
            </w:pPr>
            <w:r>
              <w:rPr>
                <w:rFonts w:hint="eastAsia" w:ascii="宋体" w:hAnsi="宋体" w:eastAsia="宋体" w:cs="宋体"/>
                <w:sz w:val="24"/>
                <w:highlight w:val="none"/>
              </w:rPr>
              <w:t>X射线荧光光谱仪</w:t>
            </w:r>
          </w:p>
        </w:tc>
        <w:tc>
          <w:tcPr>
            <w:tcW w:w="2308" w:type="dxa"/>
            <w:vAlign w:val="center"/>
          </w:tcPr>
          <w:p>
            <w:pPr>
              <w:spacing w:line="240" w:lineRule="auto"/>
              <w:jc w:val="center"/>
              <w:rPr>
                <w:rFonts w:ascii="宋体" w:hAnsi="宋体" w:eastAsia="宋体" w:cs="宋体"/>
                <w:bCs/>
                <w:sz w:val="24"/>
                <w:szCs w:val="24"/>
                <w:highlight w:val="none"/>
              </w:rPr>
            </w:pPr>
            <w:r>
              <w:rPr>
                <w:rFonts w:hint="eastAsia" w:ascii="宋体" w:hAnsi="宋体" w:eastAsia="宋体" w:cs="宋体"/>
                <w:sz w:val="24"/>
                <w:highlight w:val="none"/>
              </w:rPr>
              <w:t>1</w:t>
            </w:r>
          </w:p>
        </w:tc>
        <w:tc>
          <w:tcPr>
            <w:tcW w:w="2471" w:type="dxa"/>
            <w:vAlign w:val="center"/>
          </w:tcPr>
          <w:p>
            <w:pPr>
              <w:widowControl w:val="0"/>
              <w:spacing w:line="240" w:lineRule="auto"/>
              <w:jc w:val="center"/>
              <w:rPr>
                <w:rFonts w:ascii="宋体" w:hAnsi="宋体" w:eastAsia="宋体" w:cs="宋体"/>
                <w:b/>
                <w:bCs/>
                <w:sz w:val="24"/>
                <w:szCs w:val="24"/>
                <w:highlight w:val="none"/>
              </w:rPr>
            </w:pPr>
            <w:r>
              <w:rPr>
                <w:rFonts w:hint="eastAsia" w:ascii="宋体" w:hAnsi="宋体" w:eastAsia="宋体" w:cs="宋体"/>
                <w:b/>
                <w:bCs/>
                <w:sz w:val="24"/>
                <w:highlight w:val="none"/>
              </w:rPr>
              <w:t>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99" w:type="dxa"/>
            <w:vAlign w:val="center"/>
          </w:tcPr>
          <w:p>
            <w:pPr>
              <w:widowControl w:val="0"/>
              <w:spacing w:line="240" w:lineRule="auto"/>
              <w:jc w:val="center"/>
              <w:rPr>
                <w:rFonts w:ascii="宋体" w:hAnsi="宋体" w:eastAsia="宋体" w:cs="宋体"/>
                <w:bCs/>
                <w:sz w:val="24"/>
                <w:szCs w:val="24"/>
                <w:highlight w:val="none"/>
              </w:rPr>
            </w:pPr>
            <w:r>
              <w:rPr>
                <w:rFonts w:hint="eastAsia" w:ascii="宋体" w:hAnsi="宋体" w:eastAsia="宋体" w:cs="宋体"/>
                <w:bCs/>
                <w:sz w:val="24"/>
                <w:szCs w:val="24"/>
                <w:highlight w:val="none"/>
              </w:rPr>
              <w:t>2</w:t>
            </w:r>
          </w:p>
        </w:tc>
        <w:tc>
          <w:tcPr>
            <w:tcW w:w="3589" w:type="dxa"/>
            <w:vAlign w:val="center"/>
          </w:tcPr>
          <w:p>
            <w:pPr>
              <w:spacing w:line="240" w:lineRule="auto"/>
              <w:jc w:val="center"/>
              <w:rPr>
                <w:rFonts w:ascii="宋体" w:hAnsi="宋体" w:eastAsia="宋体" w:cs="宋体"/>
                <w:bCs/>
                <w:sz w:val="24"/>
                <w:szCs w:val="24"/>
                <w:highlight w:val="none"/>
              </w:rPr>
            </w:pPr>
            <w:r>
              <w:rPr>
                <w:rFonts w:hint="eastAsia" w:ascii="宋体" w:hAnsi="宋体" w:eastAsia="宋体" w:cs="宋体"/>
                <w:sz w:val="24"/>
                <w:highlight w:val="none"/>
              </w:rPr>
              <w:t>吹扫捕集+水土自动进样器</w:t>
            </w:r>
          </w:p>
        </w:tc>
        <w:tc>
          <w:tcPr>
            <w:tcW w:w="2308" w:type="dxa"/>
            <w:vAlign w:val="center"/>
          </w:tcPr>
          <w:p>
            <w:pPr>
              <w:spacing w:line="240" w:lineRule="auto"/>
              <w:jc w:val="center"/>
              <w:rPr>
                <w:rFonts w:ascii="宋体" w:hAnsi="宋体" w:eastAsia="宋体" w:cs="宋体"/>
                <w:bCs/>
                <w:sz w:val="24"/>
                <w:szCs w:val="24"/>
                <w:highlight w:val="none"/>
              </w:rPr>
            </w:pPr>
            <w:r>
              <w:rPr>
                <w:rFonts w:hint="eastAsia" w:ascii="宋体" w:hAnsi="宋体" w:eastAsia="宋体" w:cs="宋体"/>
                <w:sz w:val="24"/>
                <w:highlight w:val="none"/>
              </w:rPr>
              <w:t>1</w:t>
            </w:r>
          </w:p>
        </w:tc>
        <w:tc>
          <w:tcPr>
            <w:tcW w:w="2471" w:type="dxa"/>
            <w:vAlign w:val="center"/>
          </w:tcPr>
          <w:p>
            <w:pPr>
              <w:widowControl w:val="0"/>
              <w:spacing w:line="240" w:lineRule="auto"/>
              <w:jc w:val="center"/>
              <w:rPr>
                <w:rFonts w:ascii="宋体" w:hAnsi="宋体" w:eastAsia="宋体" w:cs="宋体"/>
                <w:b/>
                <w:bCs/>
                <w:sz w:val="24"/>
                <w:szCs w:val="24"/>
                <w:highlight w:val="none"/>
              </w:rPr>
            </w:pPr>
            <w:r>
              <w:rPr>
                <w:rFonts w:hint="eastAsia" w:ascii="宋体" w:hAnsi="宋体" w:eastAsia="宋体" w:cs="宋体"/>
                <w:b/>
                <w:bCs/>
                <w:sz w:val="24"/>
                <w:highlight w:val="none"/>
              </w:rPr>
              <w:t>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99" w:type="dxa"/>
            <w:vAlign w:val="center"/>
          </w:tcPr>
          <w:p>
            <w:pPr>
              <w:widowControl w:val="0"/>
              <w:spacing w:line="240" w:lineRule="auto"/>
              <w:jc w:val="center"/>
              <w:rPr>
                <w:rFonts w:ascii="宋体" w:hAnsi="宋体" w:eastAsia="宋体" w:cs="宋体"/>
                <w:bCs/>
                <w:sz w:val="24"/>
                <w:szCs w:val="24"/>
                <w:highlight w:val="none"/>
              </w:rPr>
            </w:pPr>
            <w:r>
              <w:rPr>
                <w:rFonts w:hint="eastAsia" w:ascii="宋体" w:hAnsi="宋体" w:eastAsia="宋体" w:cs="宋体"/>
                <w:bCs/>
                <w:sz w:val="24"/>
                <w:szCs w:val="24"/>
                <w:highlight w:val="none"/>
              </w:rPr>
              <w:t>3</w:t>
            </w:r>
          </w:p>
        </w:tc>
        <w:tc>
          <w:tcPr>
            <w:tcW w:w="3589" w:type="dxa"/>
            <w:vAlign w:val="center"/>
          </w:tcPr>
          <w:p>
            <w:pPr>
              <w:spacing w:line="240" w:lineRule="auto"/>
              <w:jc w:val="center"/>
              <w:rPr>
                <w:rFonts w:ascii="宋体" w:hAnsi="宋体" w:eastAsia="宋体" w:cs="宋体"/>
                <w:bCs/>
                <w:sz w:val="24"/>
                <w:szCs w:val="24"/>
                <w:highlight w:val="none"/>
              </w:rPr>
            </w:pPr>
            <w:r>
              <w:rPr>
                <w:rFonts w:hint="eastAsia" w:ascii="宋体" w:hAnsi="宋体" w:eastAsia="宋体" w:cs="宋体"/>
                <w:sz w:val="24"/>
                <w:highlight w:val="none"/>
              </w:rPr>
              <w:t>气相色谱-质谱联用仪</w:t>
            </w:r>
          </w:p>
        </w:tc>
        <w:tc>
          <w:tcPr>
            <w:tcW w:w="2308" w:type="dxa"/>
            <w:vAlign w:val="center"/>
          </w:tcPr>
          <w:p>
            <w:pPr>
              <w:spacing w:line="240" w:lineRule="auto"/>
              <w:jc w:val="center"/>
              <w:rPr>
                <w:rFonts w:ascii="宋体" w:hAnsi="宋体" w:eastAsia="宋体" w:cs="宋体"/>
                <w:bCs/>
                <w:sz w:val="24"/>
                <w:szCs w:val="24"/>
                <w:highlight w:val="none"/>
              </w:rPr>
            </w:pPr>
            <w:r>
              <w:rPr>
                <w:rFonts w:hint="eastAsia" w:ascii="宋体" w:hAnsi="宋体" w:eastAsia="宋体" w:cs="宋体"/>
                <w:sz w:val="24"/>
                <w:highlight w:val="none"/>
              </w:rPr>
              <w:t>1</w:t>
            </w:r>
          </w:p>
        </w:tc>
        <w:tc>
          <w:tcPr>
            <w:tcW w:w="2471" w:type="dxa"/>
            <w:vAlign w:val="center"/>
          </w:tcPr>
          <w:p>
            <w:pPr>
              <w:widowControl w:val="0"/>
              <w:spacing w:line="240" w:lineRule="auto"/>
              <w:jc w:val="center"/>
              <w:rPr>
                <w:rFonts w:ascii="宋体" w:hAnsi="宋体" w:eastAsia="宋体" w:cs="宋体"/>
                <w:b/>
                <w:bCs/>
                <w:sz w:val="24"/>
                <w:szCs w:val="24"/>
                <w:highlight w:val="none"/>
              </w:rPr>
            </w:pPr>
            <w:r>
              <w:rPr>
                <w:rFonts w:hint="eastAsia" w:ascii="宋体" w:hAnsi="宋体" w:eastAsia="宋体" w:cs="宋体"/>
                <w:b/>
                <w:bCs/>
                <w:sz w:val="24"/>
                <w:highlight w:val="none"/>
              </w:rPr>
              <w:t>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99" w:type="dxa"/>
            <w:vAlign w:val="center"/>
          </w:tcPr>
          <w:p>
            <w:pPr>
              <w:widowControl w:val="0"/>
              <w:spacing w:line="240" w:lineRule="auto"/>
              <w:jc w:val="center"/>
              <w:rPr>
                <w:rFonts w:ascii="宋体" w:hAnsi="宋体" w:eastAsia="宋体" w:cs="宋体"/>
                <w:bCs/>
                <w:sz w:val="24"/>
                <w:szCs w:val="24"/>
                <w:highlight w:val="none"/>
              </w:rPr>
            </w:pPr>
            <w:r>
              <w:rPr>
                <w:rFonts w:hint="eastAsia" w:ascii="宋体" w:hAnsi="宋体" w:eastAsia="宋体" w:cs="宋体"/>
                <w:bCs/>
                <w:sz w:val="24"/>
                <w:szCs w:val="24"/>
                <w:highlight w:val="none"/>
              </w:rPr>
              <w:t>4</w:t>
            </w:r>
          </w:p>
        </w:tc>
        <w:tc>
          <w:tcPr>
            <w:tcW w:w="3589" w:type="dxa"/>
            <w:vAlign w:val="center"/>
          </w:tcPr>
          <w:p>
            <w:pPr>
              <w:spacing w:line="240" w:lineRule="auto"/>
              <w:jc w:val="center"/>
              <w:rPr>
                <w:rFonts w:ascii="宋体" w:hAnsi="宋体" w:eastAsia="宋体" w:cs="宋体"/>
                <w:bCs/>
                <w:sz w:val="24"/>
                <w:szCs w:val="24"/>
                <w:highlight w:val="none"/>
              </w:rPr>
            </w:pPr>
            <w:r>
              <w:rPr>
                <w:rFonts w:hint="eastAsia" w:ascii="宋体" w:hAnsi="宋体" w:eastAsia="宋体" w:cs="宋体"/>
                <w:sz w:val="24"/>
                <w:highlight w:val="none"/>
              </w:rPr>
              <w:t>净化式药品柜</w:t>
            </w:r>
          </w:p>
        </w:tc>
        <w:tc>
          <w:tcPr>
            <w:tcW w:w="2308" w:type="dxa"/>
            <w:vAlign w:val="center"/>
          </w:tcPr>
          <w:p>
            <w:pPr>
              <w:spacing w:line="240" w:lineRule="auto"/>
              <w:jc w:val="center"/>
              <w:rPr>
                <w:rFonts w:ascii="宋体" w:hAnsi="宋体" w:eastAsia="宋体" w:cs="宋体"/>
                <w:bCs/>
                <w:sz w:val="24"/>
                <w:szCs w:val="24"/>
                <w:highlight w:val="none"/>
              </w:rPr>
            </w:pPr>
            <w:r>
              <w:rPr>
                <w:rFonts w:hint="eastAsia" w:ascii="宋体" w:hAnsi="宋体" w:eastAsia="宋体" w:cs="宋体"/>
                <w:sz w:val="24"/>
                <w:highlight w:val="none"/>
              </w:rPr>
              <w:t>3</w:t>
            </w:r>
          </w:p>
        </w:tc>
        <w:tc>
          <w:tcPr>
            <w:tcW w:w="2471" w:type="dxa"/>
            <w:vAlign w:val="center"/>
          </w:tcPr>
          <w:p>
            <w:pPr>
              <w:widowControl w:val="0"/>
              <w:spacing w:line="240" w:lineRule="auto"/>
              <w:jc w:val="center"/>
              <w:rPr>
                <w:rFonts w:ascii="宋体" w:hAnsi="宋体" w:eastAsia="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99" w:type="dxa"/>
            <w:vAlign w:val="center"/>
          </w:tcPr>
          <w:p>
            <w:pPr>
              <w:widowControl w:val="0"/>
              <w:spacing w:line="240" w:lineRule="auto"/>
              <w:jc w:val="center"/>
              <w:rPr>
                <w:rFonts w:ascii="宋体" w:hAnsi="宋体" w:eastAsia="宋体" w:cs="宋体"/>
                <w:bCs/>
                <w:sz w:val="24"/>
                <w:szCs w:val="24"/>
                <w:highlight w:val="none"/>
              </w:rPr>
            </w:pPr>
            <w:r>
              <w:rPr>
                <w:rFonts w:hint="eastAsia" w:ascii="宋体" w:hAnsi="宋体" w:eastAsia="宋体" w:cs="宋体"/>
                <w:bCs/>
                <w:sz w:val="24"/>
                <w:szCs w:val="24"/>
                <w:highlight w:val="none"/>
              </w:rPr>
              <w:t>5</w:t>
            </w:r>
          </w:p>
        </w:tc>
        <w:tc>
          <w:tcPr>
            <w:tcW w:w="3589" w:type="dxa"/>
            <w:vAlign w:val="center"/>
          </w:tcPr>
          <w:p>
            <w:pPr>
              <w:spacing w:line="240" w:lineRule="auto"/>
              <w:jc w:val="center"/>
              <w:rPr>
                <w:rFonts w:ascii="宋体" w:hAnsi="宋体" w:eastAsia="宋体" w:cs="宋体"/>
                <w:bCs/>
                <w:sz w:val="24"/>
                <w:szCs w:val="24"/>
                <w:highlight w:val="none"/>
              </w:rPr>
            </w:pPr>
            <w:r>
              <w:rPr>
                <w:rFonts w:hint="eastAsia" w:ascii="宋体" w:hAnsi="宋体" w:eastAsia="宋体" w:cs="宋体"/>
                <w:sz w:val="24"/>
                <w:highlight w:val="none"/>
              </w:rPr>
              <w:t>温控电热板（PTFE）</w:t>
            </w:r>
          </w:p>
        </w:tc>
        <w:tc>
          <w:tcPr>
            <w:tcW w:w="2308" w:type="dxa"/>
            <w:vAlign w:val="center"/>
          </w:tcPr>
          <w:p>
            <w:pPr>
              <w:spacing w:line="240" w:lineRule="auto"/>
              <w:jc w:val="center"/>
              <w:rPr>
                <w:rFonts w:ascii="宋体" w:hAnsi="宋体" w:eastAsia="宋体" w:cs="宋体"/>
                <w:bCs/>
                <w:sz w:val="24"/>
                <w:szCs w:val="24"/>
                <w:highlight w:val="none"/>
              </w:rPr>
            </w:pPr>
            <w:r>
              <w:rPr>
                <w:rFonts w:hint="eastAsia" w:ascii="宋体" w:hAnsi="宋体" w:eastAsia="宋体" w:cs="宋体"/>
                <w:sz w:val="24"/>
                <w:highlight w:val="none"/>
              </w:rPr>
              <w:t>1</w:t>
            </w:r>
          </w:p>
        </w:tc>
        <w:tc>
          <w:tcPr>
            <w:tcW w:w="2471" w:type="dxa"/>
            <w:vAlign w:val="center"/>
          </w:tcPr>
          <w:p>
            <w:pPr>
              <w:widowControl w:val="0"/>
              <w:spacing w:line="240" w:lineRule="auto"/>
              <w:jc w:val="center"/>
              <w:rPr>
                <w:rFonts w:ascii="宋体" w:hAnsi="宋体" w:eastAsia="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99" w:type="dxa"/>
            <w:vAlign w:val="center"/>
          </w:tcPr>
          <w:p>
            <w:pPr>
              <w:widowControl w:val="0"/>
              <w:spacing w:line="240" w:lineRule="auto"/>
              <w:jc w:val="center"/>
              <w:rPr>
                <w:rFonts w:ascii="宋体" w:hAnsi="宋体" w:eastAsia="宋体" w:cs="宋体"/>
                <w:bCs/>
                <w:sz w:val="24"/>
                <w:szCs w:val="24"/>
                <w:highlight w:val="none"/>
              </w:rPr>
            </w:pPr>
            <w:r>
              <w:rPr>
                <w:rFonts w:hint="eastAsia" w:ascii="宋体" w:hAnsi="宋体" w:eastAsia="宋体" w:cs="宋体"/>
                <w:bCs/>
                <w:sz w:val="24"/>
                <w:szCs w:val="24"/>
                <w:highlight w:val="none"/>
              </w:rPr>
              <w:t>6</w:t>
            </w:r>
          </w:p>
        </w:tc>
        <w:tc>
          <w:tcPr>
            <w:tcW w:w="3589" w:type="dxa"/>
            <w:vAlign w:val="center"/>
          </w:tcPr>
          <w:p>
            <w:pPr>
              <w:spacing w:line="240" w:lineRule="auto"/>
              <w:jc w:val="center"/>
              <w:rPr>
                <w:rFonts w:ascii="宋体" w:hAnsi="宋体" w:eastAsia="宋体" w:cs="宋体"/>
                <w:bCs/>
                <w:sz w:val="24"/>
                <w:szCs w:val="24"/>
                <w:highlight w:val="none"/>
              </w:rPr>
            </w:pPr>
            <w:r>
              <w:rPr>
                <w:rFonts w:hint="eastAsia" w:ascii="宋体" w:hAnsi="宋体" w:eastAsia="宋体" w:cs="宋体"/>
                <w:sz w:val="24"/>
                <w:highlight w:val="none"/>
              </w:rPr>
              <w:t>测汞仪</w:t>
            </w:r>
          </w:p>
        </w:tc>
        <w:tc>
          <w:tcPr>
            <w:tcW w:w="2308" w:type="dxa"/>
            <w:vAlign w:val="center"/>
          </w:tcPr>
          <w:p>
            <w:pPr>
              <w:spacing w:line="240" w:lineRule="auto"/>
              <w:jc w:val="center"/>
              <w:rPr>
                <w:rFonts w:ascii="宋体" w:hAnsi="宋体" w:eastAsia="宋体" w:cs="宋体"/>
                <w:bCs/>
                <w:sz w:val="24"/>
                <w:szCs w:val="24"/>
                <w:highlight w:val="none"/>
              </w:rPr>
            </w:pPr>
            <w:r>
              <w:rPr>
                <w:rFonts w:hint="eastAsia" w:ascii="宋体" w:hAnsi="宋体" w:eastAsia="宋体" w:cs="宋体"/>
                <w:sz w:val="24"/>
                <w:highlight w:val="none"/>
              </w:rPr>
              <w:t>1</w:t>
            </w:r>
          </w:p>
        </w:tc>
        <w:tc>
          <w:tcPr>
            <w:tcW w:w="2471" w:type="dxa"/>
            <w:vAlign w:val="center"/>
          </w:tcPr>
          <w:p>
            <w:pPr>
              <w:widowControl w:val="0"/>
              <w:spacing w:line="240" w:lineRule="auto"/>
              <w:jc w:val="center"/>
              <w:rPr>
                <w:rFonts w:ascii="宋体" w:hAnsi="宋体" w:eastAsia="宋体" w:cs="宋体"/>
                <w:b/>
                <w:bCs/>
                <w:sz w:val="24"/>
                <w:szCs w:val="24"/>
                <w:highlight w:val="none"/>
              </w:rPr>
            </w:pPr>
            <w:r>
              <w:rPr>
                <w:rFonts w:hint="eastAsia" w:ascii="宋体" w:hAnsi="宋体" w:eastAsia="宋体" w:cs="宋体"/>
                <w:b/>
                <w:bCs/>
                <w:sz w:val="24"/>
                <w:highlight w:val="none"/>
              </w:rPr>
              <w:t>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99" w:type="dxa"/>
            <w:vAlign w:val="center"/>
          </w:tcPr>
          <w:p>
            <w:pPr>
              <w:widowControl w:val="0"/>
              <w:spacing w:line="240" w:lineRule="auto"/>
              <w:jc w:val="center"/>
              <w:rPr>
                <w:rFonts w:ascii="宋体" w:hAnsi="宋体" w:eastAsia="宋体" w:cs="宋体"/>
                <w:bCs/>
                <w:sz w:val="24"/>
                <w:szCs w:val="24"/>
                <w:highlight w:val="none"/>
              </w:rPr>
            </w:pPr>
            <w:r>
              <w:rPr>
                <w:rFonts w:hint="eastAsia" w:ascii="宋体" w:hAnsi="宋体" w:eastAsia="宋体" w:cs="宋体"/>
                <w:bCs/>
                <w:sz w:val="24"/>
                <w:szCs w:val="24"/>
                <w:highlight w:val="none"/>
              </w:rPr>
              <w:t>7</w:t>
            </w:r>
          </w:p>
        </w:tc>
        <w:tc>
          <w:tcPr>
            <w:tcW w:w="3589" w:type="dxa"/>
            <w:vAlign w:val="center"/>
          </w:tcPr>
          <w:p>
            <w:pPr>
              <w:spacing w:line="240" w:lineRule="auto"/>
              <w:jc w:val="center"/>
              <w:rPr>
                <w:rFonts w:ascii="宋体" w:hAnsi="宋体" w:eastAsia="宋体" w:cs="宋体"/>
                <w:bCs/>
                <w:sz w:val="24"/>
                <w:szCs w:val="24"/>
                <w:highlight w:val="none"/>
              </w:rPr>
            </w:pPr>
            <w:r>
              <w:rPr>
                <w:rFonts w:hint="eastAsia" w:ascii="宋体" w:hAnsi="宋体" w:eastAsia="宋体" w:cs="宋体"/>
                <w:sz w:val="24"/>
                <w:highlight w:val="none"/>
              </w:rPr>
              <w:t>瓶口分液器</w:t>
            </w:r>
          </w:p>
        </w:tc>
        <w:tc>
          <w:tcPr>
            <w:tcW w:w="2308" w:type="dxa"/>
            <w:vAlign w:val="center"/>
          </w:tcPr>
          <w:p>
            <w:pPr>
              <w:spacing w:line="240" w:lineRule="auto"/>
              <w:jc w:val="center"/>
              <w:rPr>
                <w:rFonts w:ascii="宋体" w:hAnsi="宋体" w:eastAsia="宋体" w:cs="宋体"/>
                <w:bCs/>
                <w:sz w:val="24"/>
                <w:szCs w:val="24"/>
                <w:highlight w:val="none"/>
              </w:rPr>
            </w:pPr>
            <w:r>
              <w:rPr>
                <w:rFonts w:hint="eastAsia" w:ascii="宋体" w:hAnsi="宋体" w:eastAsia="宋体" w:cs="宋体"/>
                <w:sz w:val="24"/>
                <w:highlight w:val="none"/>
              </w:rPr>
              <w:t>3</w:t>
            </w:r>
          </w:p>
        </w:tc>
        <w:tc>
          <w:tcPr>
            <w:tcW w:w="2471" w:type="dxa"/>
            <w:vAlign w:val="center"/>
          </w:tcPr>
          <w:p>
            <w:pPr>
              <w:widowControl w:val="0"/>
              <w:spacing w:line="240" w:lineRule="auto"/>
              <w:jc w:val="center"/>
              <w:rPr>
                <w:rFonts w:ascii="宋体" w:hAnsi="宋体" w:eastAsia="宋体" w:cs="宋体"/>
                <w:b/>
                <w:bCs/>
                <w:sz w:val="24"/>
                <w:szCs w:val="24"/>
                <w:highlight w:val="none"/>
              </w:rPr>
            </w:pPr>
            <w:r>
              <w:rPr>
                <w:rFonts w:hint="eastAsia" w:ascii="宋体" w:hAnsi="宋体" w:eastAsia="宋体" w:cs="宋体"/>
                <w:b/>
                <w:bCs/>
                <w:sz w:val="24"/>
                <w:highlight w:val="none"/>
              </w:rPr>
              <w:t>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99" w:type="dxa"/>
            <w:vAlign w:val="center"/>
          </w:tcPr>
          <w:p>
            <w:pPr>
              <w:widowControl w:val="0"/>
              <w:spacing w:line="240" w:lineRule="auto"/>
              <w:jc w:val="center"/>
              <w:rPr>
                <w:rFonts w:ascii="宋体" w:hAnsi="宋体" w:eastAsia="宋体" w:cs="宋体"/>
                <w:bCs/>
                <w:sz w:val="24"/>
                <w:szCs w:val="24"/>
                <w:highlight w:val="none"/>
              </w:rPr>
            </w:pPr>
            <w:r>
              <w:rPr>
                <w:rFonts w:hint="eastAsia" w:ascii="宋体" w:hAnsi="宋体" w:eastAsia="宋体" w:cs="宋体"/>
                <w:bCs/>
                <w:sz w:val="24"/>
                <w:szCs w:val="24"/>
                <w:highlight w:val="none"/>
              </w:rPr>
              <w:t>8</w:t>
            </w:r>
          </w:p>
        </w:tc>
        <w:tc>
          <w:tcPr>
            <w:tcW w:w="3589" w:type="dxa"/>
            <w:vAlign w:val="center"/>
          </w:tcPr>
          <w:p>
            <w:pPr>
              <w:spacing w:line="240" w:lineRule="auto"/>
              <w:jc w:val="center"/>
              <w:rPr>
                <w:rFonts w:ascii="宋体" w:hAnsi="宋体" w:eastAsia="宋体" w:cs="宋体"/>
                <w:bCs/>
                <w:sz w:val="24"/>
                <w:szCs w:val="24"/>
                <w:highlight w:val="none"/>
              </w:rPr>
            </w:pPr>
            <w:r>
              <w:rPr>
                <w:rFonts w:hint="eastAsia" w:ascii="宋体" w:hAnsi="宋体" w:eastAsia="宋体" w:cs="宋体"/>
                <w:sz w:val="24"/>
                <w:highlight w:val="none"/>
              </w:rPr>
              <w:t>全自动玻璃器皿清洗机</w:t>
            </w:r>
          </w:p>
        </w:tc>
        <w:tc>
          <w:tcPr>
            <w:tcW w:w="2308" w:type="dxa"/>
            <w:vAlign w:val="center"/>
          </w:tcPr>
          <w:p>
            <w:pPr>
              <w:spacing w:line="240" w:lineRule="auto"/>
              <w:jc w:val="center"/>
              <w:rPr>
                <w:rFonts w:ascii="宋体" w:hAnsi="宋体" w:eastAsia="宋体" w:cs="宋体"/>
                <w:bCs/>
                <w:sz w:val="24"/>
                <w:szCs w:val="24"/>
                <w:highlight w:val="none"/>
              </w:rPr>
            </w:pPr>
            <w:r>
              <w:rPr>
                <w:rFonts w:hint="eastAsia" w:ascii="宋体" w:hAnsi="宋体" w:eastAsia="宋体" w:cs="宋体"/>
                <w:sz w:val="24"/>
                <w:highlight w:val="none"/>
              </w:rPr>
              <w:t>1</w:t>
            </w:r>
          </w:p>
        </w:tc>
        <w:tc>
          <w:tcPr>
            <w:tcW w:w="2471" w:type="dxa"/>
            <w:vAlign w:val="center"/>
          </w:tcPr>
          <w:p>
            <w:pPr>
              <w:widowControl w:val="0"/>
              <w:spacing w:line="240" w:lineRule="auto"/>
              <w:jc w:val="center"/>
              <w:rPr>
                <w:rFonts w:ascii="宋体" w:hAnsi="宋体" w:eastAsia="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99" w:type="dxa"/>
            <w:vAlign w:val="center"/>
          </w:tcPr>
          <w:p>
            <w:pPr>
              <w:widowControl w:val="0"/>
              <w:spacing w:line="240" w:lineRule="auto"/>
              <w:jc w:val="center"/>
              <w:rPr>
                <w:rFonts w:ascii="宋体" w:hAnsi="宋体" w:eastAsia="宋体" w:cs="宋体"/>
                <w:bCs/>
                <w:sz w:val="24"/>
                <w:szCs w:val="24"/>
                <w:highlight w:val="none"/>
              </w:rPr>
            </w:pPr>
            <w:r>
              <w:rPr>
                <w:rFonts w:hint="eastAsia" w:ascii="宋体" w:hAnsi="宋体" w:eastAsia="宋体" w:cs="宋体"/>
                <w:bCs/>
                <w:sz w:val="24"/>
                <w:szCs w:val="24"/>
                <w:highlight w:val="none"/>
              </w:rPr>
              <w:t>9</w:t>
            </w:r>
          </w:p>
        </w:tc>
        <w:tc>
          <w:tcPr>
            <w:tcW w:w="3589" w:type="dxa"/>
            <w:vAlign w:val="center"/>
          </w:tcPr>
          <w:p>
            <w:pPr>
              <w:spacing w:line="240" w:lineRule="auto"/>
              <w:jc w:val="center"/>
              <w:rPr>
                <w:rFonts w:ascii="宋体" w:hAnsi="宋体" w:eastAsia="宋体" w:cs="宋体"/>
                <w:bCs/>
                <w:sz w:val="24"/>
                <w:szCs w:val="24"/>
                <w:highlight w:val="none"/>
              </w:rPr>
            </w:pPr>
            <w:r>
              <w:rPr>
                <w:rFonts w:hint="eastAsia" w:ascii="宋体" w:hAnsi="宋体" w:eastAsia="宋体" w:cs="宋体"/>
                <w:sz w:val="24"/>
                <w:highlight w:val="none"/>
              </w:rPr>
              <w:t>万分之一分析天平</w:t>
            </w:r>
          </w:p>
        </w:tc>
        <w:tc>
          <w:tcPr>
            <w:tcW w:w="2308" w:type="dxa"/>
            <w:vAlign w:val="center"/>
          </w:tcPr>
          <w:p>
            <w:pPr>
              <w:spacing w:line="240" w:lineRule="auto"/>
              <w:jc w:val="center"/>
              <w:rPr>
                <w:rFonts w:ascii="宋体" w:hAnsi="宋体" w:eastAsia="宋体" w:cs="宋体"/>
                <w:bCs/>
                <w:sz w:val="24"/>
                <w:szCs w:val="24"/>
                <w:highlight w:val="none"/>
              </w:rPr>
            </w:pPr>
            <w:r>
              <w:rPr>
                <w:rFonts w:hint="eastAsia" w:ascii="宋体" w:hAnsi="宋体" w:eastAsia="宋体" w:cs="宋体"/>
                <w:sz w:val="24"/>
                <w:highlight w:val="none"/>
              </w:rPr>
              <w:t>1</w:t>
            </w:r>
          </w:p>
        </w:tc>
        <w:tc>
          <w:tcPr>
            <w:tcW w:w="2471" w:type="dxa"/>
            <w:vAlign w:val="center"/>
          </w:tcPr>
          <w:p>
            <w:pPr>
              <w:widowControl w:val="0"/>
              <w:spacing w:line="240" w:lineRule="auto"/>
              <w:jc w:val="center"/>
              <w:rPr>
                <w:rFonts w:ascii="宋体" w:hAnsi="宋体" w:eastAsia="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99" w:type="dxa"/>
            <w:vAlign w:val="center"/>
          </w:tcPr>
          <w:p>
            <w:pPr>
              <w:widowControl w:val="0"/>
              <w:spacing w:line="240" w:lineRule="auto"/>
              <w:jc w:val="center"/>
              <w:rPr>
                <w:rFonts w:ascii="宋体" w:hAnsi="宋体" w:eastAsia="宋体" w:cs="宋体"/>
                <w:bCs/>
                <w:sz w:val="24"/>
                <w:szCs w:val="24"/>
                <w:highlight w:val="none"/>
              </w:rPr>
            </w:pPr>
            <w:r>
              <w:rPr>
                <w:rFonts w:hint="eastAsia" w:ascii="宋体" w:hAnsi="宋体" w:eastAsia="宋体" w:cs="宋体"/>
                <w:bCs/>
                <w:sz w:val="24"/>
                <w:szCs w:val="24"/>
                <w:highlight w:val="none"/>
              </w:rPr>
              <w:t>10</w:t>
            </w:r>
          </w:p>
        </w:tc>
        <w:tc>
          <w:tcPr>
            <w:tcW w:w="3589" w:type="dxa"/>
            <w:vAlign w:val="center"/>
          </w:tcPr>
          <w:p>
            <w:pPr>
              <w:spacing w:line="240" w:lineRule="auto"/>
              <w:jc w:val="center"/>
              <w:rPr>
                <w:rFonts w:ascii="宋体" w:hAnsi="宋体" w:eastAsia="宋体" w:cs="宋体"/>
                <w:bCs/>
                <w:sz w:val="24"/>
                <w:szCs w:val="24"/>
                <w:highlight w:val="none"/>
              </w:rPr>
            </w:pPr>
            <w:r>
              <w:rPr>
                <w:rFonts w:hint="eastAsia" w:ascii="宋体" w:hAnsi="宋体" w:eastAsia="宋体" w:cs="宋体"/>
                <w:sz w:val="24"/>
                <w:highlight w:val="none"/>
              </w:rPr>
              <w:t>手持录入终端</w:t>
            </w:r>
          </w:p>
        </w:tc>
        <w:tc>
          <w:tcPr>
            <w:tcW w:w="2308" w:type="dxa"/>
            <w:vAlign w:val="center"/>
          </w:tcPr>
          <w:p>
            <w:pPr>
              <w:spacing w:line="240" w:lineRule="auto"/>
              <w:jc w:val="center"/>
              <w:rPr>
                <w:rFonts w:ascii="宋体" w:hAnsi="宋体" w:eastAsia="宋体" w:cs="宋体"/>
                <w:bCs/>
                <w:sz w:val="24"/>
                <w:szCs w:val="24"/>
                <w:highlight w:val="none"/>
              </w:rPr>
            </w:pPr>
            <w:r>
              <w:rPr>
                <w:rFonts w:hint="eastAsia" w:ascii="宋体" w:hAnsi="宋体" w:eastAsia="宋体" w:cs="宋体"/>
                <w:sz w:val="24"/>
                <w:highlight w:val="none"/>
              </w:rPr>
              <w:t>27</w:t>
            </w:r>
          </w:p>
        </w:tc>
        <w:tc>
          <w:tcPr>
            <w:tcW w:w="2471" w:type="dxa"/>
            <w:vAlign w:val="center"/>
          </w:tcPr>
          <w:p>
            <w:pPr>
              <w:widowControl w:val="0"/>
              <w:spacing w:line="240" w:lineRule="auto"/>
              <w:jc w:val="center"/>
              <w:rPr>
                <w:rFonts w:ascii="宋体" w:hAnsi="宋体" w:eastAsia="宋体" w:cs="宋体"/>
                <w:bCs/>
                <w:sz w:val="24"/>
                <w:szCs w:val="24"/>
                <w:highlight w:val="none"/>
              </w:rPr>
            </w:pPr>
          </w:p>
        </w:tc>
      </w:tr>
    </w:tbl>
    <w:p>
      <w:pPr>
        <w:spacing w:after="120" w:afterLines="50" w:line="240" w:lineRule="auto"/>
        <w:ind w:firstLine="464" w:firstLineChars="200"/>
        <w:rPr>
          <w:rFonts w:hint="default" w:ascii="宋体" w:hAnsi="宋体" w:cs="宋体"/>
          <w:color w:val="auto"/>
          <w:spacing w:val="-4"/>
          <w:sz w:val="24"/>
          <w:highlight w:val="none"/>
          <w:lang w:val="en-US" w:eastAsia="zh-CN"/>
        </w:rPr>
      </w:pPr>
      <w:r>
        <w:rPr>
          <w:rFonts w:hint="eastAsia" w:ascii="宋体" w:hAnsi="宋体" w:cs="宋体"/>
          <w:color w:val="auto"/>
          <w:spacing w:val="-4"/>
          <w:sz w:val="24"/>
          <w:highlight w:val="none"/>
          <w:lang w:val="en-US" w:eastAsia="zh-CN"/>
        </w:rPr>
        <w:t>2.采购项目清单：</w:t>
      </w:r>
    </w:p>
    <w:tbl>
      <w:tblPr>
        <w:tblStyle w:val="33"/>
        <w:tblpPr w:leftFromText="180" w:rightFromText="180" w:vertAnchor="text" w:horzAnchor="page" w:tblpX="1466" w:tblpY="623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3589"/>
        <w:gridCol w:w="2308"/>
        <w:gridCol w:w="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9175" w:type="dxa"/>
            <w:gridSpan w:val="4"/>
            <w:vAlign w:val="center"/>
          </w:tcPr>
          <w:p>
            <w:pPr>
              <w:widowControl w:val="0"/>
              <w:spacing w:line="240" w:lineRule="auto"/>
              <w:jc w:val="center"/>
              <w:rPr>
                <w:rFonts w:ascii="宋体" w:hAnsi="宋体" w:eastAsia="宋体" w:cs="宋体"/>
                <w:bCs/>
                <w:sz w:val="24"/>
                <w:szCs w:val="24"/>
                <w:highlight w:val="none"/>
              </w:rPr>
            </w:pPr>
            <w:r>
              <w:rPr>
                <w:rFonts w:hint="eastAsia" w:ascii="宋体" w:hAnsi="宋体" w:eastAsia="宋体" w:cs="宋体"/>
                <w:bCs/>
                <w:sz w:val="24"/>
                <w:szCs w:val="24"/>
                <w:highlight w:val="none"/>
              </w:rPr>
              <w:t>02包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99" w:type="dxa"/>
            <w:vAlign w:val="center"/>
          </w:tcPr>
          <w:p>
            <w:pPr>
              <w:widowControl w:val="0"/>
              <w:spacing w:line="240" w:lineRule="auto"/>
              <w:jc w:val="center"/>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序号</w:t>
            </w:r>
          </w:p>
        </w:tc>
        <w:tc>
          <w:tcPr>
            <w:tcW w:w="3589" w:type="dxa"/>
            <w:vAlign w:val="center"/>
          </w:tcPr>
          <w:p>
            <w:pPr>
              <w:widowControl w:val="0"/>
              <w:spacing w:line="240" w:lineRule="auto"/>
              <w:jc w:val="center"/>
              <w:rPr>
                <w:rFonts w:ascii="宋体" w:hAnsi="宋体" w:eastAsia="宋体" w:cs="宋体"/>
                <w:bCs/>
                <w:sz w:val="24"/>
                <w:szCs w:val="24"/>
                <w:highlight w:val="none"/>
              </w:rPr>
            </w:pPr>
            <w:r>
              <w:rPr>
                <w:rFonts w:hint="eastAsia" w:ascii="宋体" w:hAnsi="宋体" w:eastAsia="宋体" w:cs="宋体"/>
                <w:bCs/>
                <w:sz w:val="24"/>
                <w:szCs w:val="24"/>
                <w:highlight w:val="none"/>
              </w:rPr>
              <w:t>设备名称</w:t>
            </w:r>
          </w:p>
        </w:tc>
        <w:tc>
          <w:tcPr>
            <w:tcW w:w="2308" w:type="dxa"/>
            <w:vAlign w:val="center"/>
          </w:tcPr>
          <w:p>
            <w:pPr>
              <w:widowControl w:val="0"/>
              <w:spacing w:line="240" w:lineRule="auto"/>
              <w:jc w:val="center"/>
              <w:rPr>
                <w:rFonts w:ascii="宋体" w:hAnsi="宋体" w:eastAsia="宋体" w:cs="宋体"/>
                <w:bCs/>
                <w:sz w:val="24"/>
                <w:szCs w:val="24"/>
                <w:highlight w:val="none"/>
              </w:rPr>
            </w:pPr>
            <w:r>
              <w:rPr>
                <w:rFonts w:hint="eastAsia" w:ascii="宋体" w:hAnsi="宋体" w:eastAsia="宋体" w:cs="宋体"/>
                <w:bCs/>
                <w:sz w:val="24"/>
                <w:szCs w:val="24"/>
                <w:highlight w:val="none"/>
              </w:rPr>
              <w:t>数量（台/套）</w:t>
            </w:r>
          </w:p>
        </w:tc>
        <w:tc>
          <w:tcPr>
            <w:tcW w:w="2279" w:type="dxa"/>
            <w:vAlign w:val="center"/>
          </w:tcPr>
          <w:p>
            <w:pPr>
              <w:widowControl w:val="0"/>
              <w:spacing w:line="240" w:lineRule="auto"/>
              <w:jc w:val="center"/>
              <w:rPr>
                <w:rFonts w:ascii="宋体" w:hAnsi="宋体" w:eastAsia="宋体" w:cs="宋体"/>
                <w:bCs/>
                <w:sz w:val="24"/>
                <w:szCs w:val="24"/>
                <w:highlight w:val="none"/>
              </w:rPr>
            </w:pPr>
            <w:r>
              <w:rPr>
                <w:rFonts w:hint="eastAsia" w:ascii="宋体" w:hAnsi="宋体" w:eastAsia="宋体" w:cs="宋体"/>
                <w:bCs/>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99" w:type="dxa"/>
            <w:vAlign w:val="center"/>
          </w:tcPr>
          <w:p>
            <w:pPr>
              <w:spacing w:line="240" w:lineRule="auto"/>
              <w:jc w:val="center"/>
              <w:rPr>
                <w:rFonts w:ascii="宋体" w:hAnsi="宋体" w:eastAsia="宋体" w:cs="宋体"/>
                <w:sz w:val="24"/>
                <w:highlight w:val="none"/>
              </w:rPr>
            </w:pPr>
            <w:r>
              <w:rPr>
                <w:rFonts w:hint="eastAsia" w:ascii="宋体" w:hAnsi="宋体" w:eastAsia="宋体" w:cs="宋体"/>
                <w:sz w:val="24"/>
                <w:highlight w:val="none"/>
              </w:rPr>
              <w:t>1</w:t>
            </w:r>
          </w:p>
        </w:tc>
        <w:tc>
          <w:tcPr>
            <w:tcW w:w="3589" w:type="dxa"/>
            <w:vAlign w:val="center"/>
          </w:tcPr>
          <w:p>
            <w:pPr>
              <w:spacing w:line="240" w:lineRule="auto"/>
              <w:jc w:val="center"/>
              <w:rPr>
                <w:rFonts w:ascii="宋体" w:hAnsi="宋体" w:eastAsia="宋体" w:cs="宋体"/>
                <w:sz w:val="24"/>
                <w:highlight w:val="none"/>
              </w:rPr>
            </w:pPr>
            <w:r>
              <w:rPr>
                <w:rFonts w:hint="eastAsia" w:ascii="宋体" w:hAnsi="宋体" w:eastAsia="宋体" w:cs="宋体"/>
                <w:sz w:val="24"/>
                <w:highlight w:val="none"/>
              </w:rPr>
              <w:t>ICPMS自动进样器</w:t>
            </w:r>
          </w:p>
        </w:tc>
        <w:tc>
          <w:tcPr>
            <w:tcW w:w="2308" w:type="dxa"/>
            <w:vAlign w:val="center"/>
          </w:tcPr>
          <w:p>
            <w:pPr>
              <w:spacing w:line="240" w:lineRule="auto"/>
              <w:jc w:val="center"/>
              <w:rPr>
                <w:rFonts w:ascii="宋体" w:hAnsi="宋体" w:eastAsia="宋体" w:cs="宋体"/>
                <w:sz w:val="24"/>
                <w:highlight w:val="none"/>
              </w:rPr>
            </w:pPr>
            <w:r>
              <w:rPr>
                <w:rFonts w:hint="eastAsia" w:ascii="宋体" w:hAnsi="宋体" w:eastAsia="宋体" w:cs="宋体"/>
                <w:sz w:val="24"/>
                <w:highlight w:val="none"/>
              </w:rPr>
              <w:t>1</w:t>
            </w:r>
          </w:p>
        </w:tc>
        <w:tc>
          <w:tcPr>
            <w:tcW w:w="2279" w:type="dxa"/>
            <w:vAlign w:val="center"/>
          </w:tcPr>
          <w:p>
            <w:pPr>
              <w:spacing w:line="240" w:lineRule="auto"/>
              <w:jc w:val="center"/>
              <w:rPr>
                <w:rFonts w:ascii="宋体" w:hAnsi="宋体" w:eastAsia="宋体" w:cs="宋体"/>
                <w:sz w:val="24"/>
                <w:highlight w:val="none"/>
              </w:rPr>
            </w:pPr>
            <w:r>
              <w:rPr>
                <w:rFonts w:hint="eastAsia" w:ascii="宋体" w:hAnsi="宋体" w:eastAsia="宋体" w:cs="宋体"/>
                <w:b/>
                <w:bCs/>
                <w:sz w:val="24"/>
                <w:highlight w:val="none"/>
              </w:rPr>
              <w:t>允许采购进口产品</w:t>
            </w:r>
          </w:p>
        </w:tc>
      </w:tr>
    </w:tbl>
    <w:p>
      <w:pPr>
        <w:spacing w:after="120" w:afterLines="50" w:line="240" w:lineRule="auto"/>
        <w:ind w:firstLine="464" w:firstLineChars="200"/>
        <w:rPr>
          <w:rFonts w:hint="eastAsia" w:ascii="宋体" w:hAnsi="宋体" w:cs="宋体"/>
          <w:color w:val="auto"/>
          <w:spacing w:val="-4"/>
          <w:sz w:val="24"/>
          <w:highlight w:val="none"/>
        </w:rPr>
      </w:pPr>
    </w:p>
    <w:p>
      <w:pPr>
        <w:spacing w:after="120" w:afterLines="50" w:line="240" w:lineRule="auto"/>
        <w:ind w:firstLine="464" w:firstLineChars="200"/>
        <w:rPr>
          <w:rFonts w:ascii="宋体" w:hAnsi="宋体" w:cs="宋体"/>
          <w:color w:val="auto"/>
          <w:sz w:val="24"/>
          <w:szCs w:val="28"/>
          <w:highlight w:val="none"/>
        </w:rPr>
      </w:pPr>
      <w:r>
        <w:rPr>
          <w:rFonts w:hint="eastAsia" w:ascii="宋体" w:hAnsi="宋体" w:cs="宋体"/>
          <w:color w:val="auto"/>
          <w:spacing w:val="-4"/>
          <w:sz w:val="24"/>
          <w:highlight w:val="none"/>
        </w:rPr>
        <w:t>（</w:t>
      </w:r>
      <w:r>
        <w:rPr>
          <w:rFonts w:hint="eastAsia" w:ascii="宋体" w:hAnsi="宋体" w:cs="宋体"/>
          <w:color w:val="auto"/>
          <w:sz w:val="24"/>
          <w:szCs w:val="28"/>
          <w:highlight w:val="none"/>
        </w:rPr>
        <w:t>具体详见招标文件第六章）</w:t>
      </w:r>
      <w:bookmarkEnd w:id="8"/>
    </w:p>
    <w:p>
      <w:pPr>
        <w:spacing w:after="120" w:afterLines="50" w:line="24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五、供应商参加本次政府采购活动，应当在提交投标文件前具备下列条件：</w:t>
      </w:r>
    </w:p>
    <w:p>
      <w:pPr>
        <w:pStyle w:val="65"/>
        <w:spacing w:line="420" w:lineRule="exact"/>
        <w:ind w:firstLine="600" w:firstLineChars="250"/>
        <w:rPr>
          <w:rFonts w:ascii="宋体" w:hAnsi="宋体" w:cs="宋体"/>
          <w:color w:val="auto"/>
          <w:sz w:val="24"/>
          <w:highlight w:val="none"/>
        </w:rPr>
      </w:pPr>
      <w:bookmarkStart w:id="9" w:name="PO_供应商资格条件_1"/>
      <w:r>
        <w:rPr>
          <w:rFonts w:hint="eastAsia" w:ascii="宋体" w:hAnsi="宋体" w:cs="宋体"/>
          <w:color w:val="auto"/>
          <w:sz w:val="24"/>
          <w:highlight w:val="none"/>
        </w:rPr>
        <w:t>1、具有独立承担民事责任的能力；</w:t>
      </w:r>
    </w:p>
    <w:p>
      <w:pPr>
        <w:tabs>
          <w:tab w:val="left" w:pos="7665"/>
        </w:tabs>
        <w:spacing w:line="40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pPr>
        <w:tabs>
          <w:tab w:val="left" w:pos="7665"/>
        </w:tabs>
        <w:spacing w:line="40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3、具有履行合同所必须的设备和专业技术能力；</w:t>
      </w:r>
    </w:p>
    <w:p>
      <w:pPr>
        <w:tabs>
          <w:tab w:val="left" w:pos="7665"/>
        </w:tabs>
        <w:spacing w:line="40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4、具有依法缴纳税收和社会保障资金的良好记录；</w:t>
      </w:r>
    </w:p>
    <w:p>
      <w:pPr>
        <w:tabs>
          <w:tab w:val="left" w:pos="7665"/>
        </w:tabs>
        <w:spacing w:line="40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5、参加本次政府采购活动前三年内，在经营活动中没有重大违法记录；</w:t>
      </w:r>
    </w:p>
    <w:p>
      <w:pPr>
        <w:pStyle w:val="65"/>
        <w:spacing w:line="42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6、符合法律、行政法规规定的其他条件；</w:t>
      </w:r>
    </w:p>
    <w:p>
      <w:pPr>
        <w:pStyle w:val="65"/>
        <w:spacing w:line="42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7、根据采购项目提出的特殊条件：无；</w:t>
      </w:r>
    </w:p>
    <w:p>
      <w:pPr>
        <w:pStyle w:val="65"/>
        <w:spacing w:line="42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8、本次政府采购活动不接受联合体的形式参加投标。</w:t>
      </w:r>
    </w:p>
    <w:bookmarkEnd w:id="9"/>
    <w:p>
      <w:pPr>
        <w:pStyle w:val="65"/>
        <w:spacing w:line="440" w:lineRule="exact"/>
        <w:ind w:firstLine="602" w:firstLineChars="250"/>
        <w:rPr>
          <w:rFonts w:ascii="宋体" w:hAnsi="宋体" w:cs="宋体"/>
          <w:b/>
          <w:color w:val="auto"/>
          <w:sz w:val="24"/>
          <w:highlight w:val="none"/>
        </w:rPr>
      </w:pPr>
      <w:r>
        <w:rPr>
          <w:rFonts w:hint="eastAsia" w:ascii="宋体" w:hAnsi="宋体" w:cs="宋体"/>
          <w:b/>
          <w:color w:val="auto"/>
          <w:sz w:val="24"/>
          <w:highlight w:val="none"/>
        </w:rPr>
        <w:t>六、禁止参加本次采购活动的供应商</w:t>
      </w:r>
    </w:p>
    <w:p>
      <w:pPr>
        <w:pStyle w:val="65"/>
        <w:spacing w:line="42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根据《关于在政府采购活动中查询及使用信用记录有关问题的通知》（财库〔 2016 〕 125 号 ） 的 要 求 ， 采 购 代 理 机 构 将 通 过 “ 信用中国 ” 网 站（www.creditchina.gov.cn）、“中国政府采购网”网站（www.ccgp.gov.cn）等渠道查询供应商在开标当日之前的信用信息记录并保存信用记录结果网页截图，拒绝列入失信被执行人、重大税收违法案件当事人名单、政府采购严重违法失信行为记录名单及其他不符合《中华人民共和国政府采购法》第二十二条规定条件的供应商参加本项目的采购活动（采购代理机构出具的信用记录结果网页截图即可，供应商无须提供）。非企业参与投标时由投标人在投标文件中自行提供承诺函，格式自拟。</w:t>
      </w:r>
    </w:p>
    <w:p>
      <w:pPr>
        <w:spacing w:after="50" w:line="24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七、招标文件获取时间、地点：</w:t>
      </w:r>
    </w:p>
    <w:p>
      <w:pPr>
        <w:spacing w:after="120" w:afterLines="50"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招标文件自2021年</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日至</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26</w:t>
      </w:r>
      <w:r>
        <w:rPr>
          <w:rFonts w:hint="eastAsia" w:ascii="宋体" w:hAnsi="宋体" w:cs="宋体"/>
          <w:color w:val="auto"/>
          <w:sz w:val="24"/>
          <w:highlight w:val="none"/>
        </w:rPr>
        <w:t>日每天上午9:00-12:00，下午 13:00-17:00）（北京时间，法定节假日除外）在四川军贤工程项目管理有限公司（成都市双流区东升镇龙桥路 6 号宗申.赛纳维 132 栋 5 楼 502 室）获取。本项目采取现场、网络报名方式，供应商将报名需要的报名资料盖章后发送至3349692243@qq.com，然后电话通知我公司工作人员，以免获取文件不及时。联系人：雷先生；联系电话：028-86958918。】</w:t>
      </w:r>
    </w:p>
    <w:p>
      <w:pPr>
        <w:spacing w:after="120" w:afterLines="50"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本项目招标文件无偿获取（招标文件获取后不退, 招标资格不能转让）。</w:t>
      </w:r>
    </w:p>
    <w:p>
      <w:pPr>
        <w:spacing w:after="120" w:afterLines="50" w:line="420" w:lineRule="exact"/>
        <w:ind w:firstLine="480" w:firstLineChars="200"/>
        <w:rPr>
          <w:rFonts w:ascii="宋体" w:hAnsi="宋体" w:cs="宋体"/>
          <w:b/>
          <w:bCs/>
          <w:color w:val="auto"/>
          <w:sz w:val="24"/>
          <w:highlight w:val="none"/>
        </w:rPr>
      </w:pPr>
      <w:r>
        <w:rPr>
          <w:rFonts w:hint="eastAsia" w:ascii="宋体" w:hAnsi="宋体" w:cs="宋体"/>
          <w:color w:val="auto"/>
          <w:sz w:val="24"/>
          <w:highlight w:val="none"/>
        </w:rPr>
        <w:t>现场方式获取招标文件的，供应商为法人或者其他组织的，只需提供单位介绍信、经办人身份证；供应商为自然人的，只需提供本人身份证；根据采购代理机构要求填写报名表后并将相应材料递交给采购代理机构留存（单位介绍信与经办人身份证复印件须加盖供应商公章）。网络报名方式获取招标文件的。将已填写的《报名表》原件、《介绍信》(附经办人身份证复印件)加盖供应商公章原件扫描发送至采购代理机构邮箱3349692243@qq.com。 相关资料发送后请电话联系代理机构登记备案（联系人：雷先生；联系电话：028-86958918），经代理机构确认报名资料无误后，将招标文件电子档发送至供应商指定邮箱。</w:t>
      </w:r>
      <w:r>
        <w:rPr>
          <w:rFonts w:hint="eastAsia" w:ascii="宋体" w:hAnsi="宋体" w:cs="宋体"/>
          <w:b/>
          <w:bCs/>
          <w:color w:val="auto"/>
          <w:sz w:val="24"/>
          <w:highlight w:val="none"/>
        </w:rPr>
        <w:t>请网络报名方式报名的供应商在递交响应文件截止前将报名资料原件交至四川军贤工程项目管理有限公司前台报名处。</w:t>
      </w:r>
    </w:p>
    <w:p>
      <w:pPr>
        <w:spacing w:after="120" w:afterLines="50" w:line="420" w:lineRule="exact"/>
        <w:ind w:firstLine="482" w:firstLineChars="200"/>
        <w:rPr>
          <w:rFonts w:ascii="宋体" w:hAnsi="宋体" w:cs="宋体"/>
          <w:b/>
          <w:color w:val="auto"/>
          <w:sz w:val="24"/>
          <w:highlight w:val="none"/>
        </w:rPr>
      </w:pPr>
      <w:r>
        <w:rPr>
          <w:rFonts w:hint="eastAsia" w:ascii="宋体" w:hAnsi="宋体" w:cs="宋体"/>
          <w:b/>
          <w:color w:val="auto"/>
          <w:sz w:val="24"/>
          <w:szCs w:val="28"/>
          <w:highlight w:val="none"/>
        </w:rPr>
        <w:t>八、</w:t>
      </w:r>
      <w:r>
        <w:rPr>
          <w:rFonts w:hint="eastAsia" w:ascii="宋体" w:hAnsi="宋体" w:cs="宋体"/>
          <w:b/>
          <w:color w:val="auto"/>
          <w:sz w:val="24"/>
          <w:highlight w:val="none"/>
        </w:rPr>
        <w:t>投标截止时间和开标时间：</w:t>
      </w:r>
      <w:r>
        <w:rPr>
          <w:rFonts w:hint="eastAsia" w:ascii="宋体" w:hAnsi="宋体" w:cs="宋体"/>
          <w:color w:val="auto"/>
          <w:sz w:val="24"/>
          <w:highlight w:val="none"/>
        </w:rPr>
        <w:t>2021年</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日1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0(北京时间)</w:t>
      </w:r>
      <w:r>
        <w:rPr>
          <w:rFonts w:hint="eastAsia" w:ascii="宋体" w:hAnsi="宋体" w:cs="宋体"/>
          <w:color w:val="auto"/>
          <w:sz w:val="24"/>
          <w:szCs w:val="28"/>
          <w:highlight w:val="none"/>
        </w:rPr>
        <w:t>。</w:t>
      </w:r>
    </w:p>
    <w:p>
      <w:pPr>
        <w:pStyle w:val="14"/>
        <w:spacing w:after="120" w:afterLines="50" w:line="240" w:lineRule="auto"/>
        <w:ind w:firstLine="480"/>
        <w:rPr>
          <w:rFonts w:ascii="宋体" w:hAnsi="宋体" w:cs="宋体"/>
          <w:color w:val="auto"/>
          <w:sz w:val="24"/>
          <w:szCs w:val="28"/>
          <w:highlight w:val="none"/>
        </w:rPr>
      </w:pPr>
      <w:bookmarkStart w:id="10" w:name="PO_默认文件内容_12"/>
      <w:r>
        <w:rPr>
          <w:rFonts w:hint="eastAsia" w:ascii="宋体" w:hAnsi="宋体" w:cs="宋体"/>
          <w:color w:val="auto"/>
          <w:sz w:val="24"/>
          <w:szCs w:val="28"/>
          <w:highlight w:val="none"/>
        </w:rPr>
        <w:t>投标文件必须在投标截止时间前送达开标地点。逾期送达或没有按招标文件要求密封包装的投标文件不予接收。</w:t>
      </w:r>
      <w:r>
        <w:rPr>
          <w:rFonts w:hint="eastAsia" w:ascii="宋体" w:hAnsi="宋体" w:cs="宋体"/>
          <w:b/>
          <w:bCs/>
          <w:color w:val="auto"/>
          <w:sz w:val="24"/>
          <w:szCs w:val="28"/>
          <w:highlight w:val="none"/>
        </w:rPr>
        <w:t>（投标文件应分别密封包装：资格性投标文件正本及副本一个包装，其他响应性投标文件正本及副本一个包装，开标一览表一个包装，电子文档一个包装）</w:t>
      </w:r>
      <w:r>
        <w:rPr>
          <w:rFonts w:hint="eastAsia" w:ascii="宋体" w:hAnsi="宋体" w:cs="宋体"/>
          <w:color w:val="auto"/>
          <w:sz w:val="24"/>
          <w:szCs w:val="28"/>
          <w:highlight w:val="none"/>
        </w:rPr>
        <w:t>。本次招标不接受邮寄的投标文件。</w:t>
      </w:r>
      <w:bookmarkEnd w:id="10"/>
      <w:r>
        <w:rPr>
          <w:rFonts w:hint="eastAsia" w:ascii="宋体" w:hAnsi="宋体" w:cs="宋体"/>
          <w:b/>
          <w:bCs/>
          <w:color w:val="auto"/>
          <w:sz w:val="24"/>
          <w:highlight w:val="none"/>
        </w:rPr>
        <w:t>（文件接收时间:2021年</w:t>
      </w: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rPr>
        <w:t>月</w:t>
      </w:r>
      <w:r>
        <w:rPr>
          <w:rFonts w:hint="eastAsia" w:ascii="宋体" w:hAnsi="宋体" w:cs="宋体"/>
          <w:b/>
          <w:bCs/>
          <w:color w:val="auto"/>
          <w:sz w:val="24"/>
          <w:highlight w:val="none"/>
          <w:lang w:val="en-US" w:eastAsia="zh-CN"/>
        </w:rPr>
        <w:t>9</w:t>
      </w:r>
      <w:r>
        <w:rPr>
          <w:rFonts w:hint="eastAsia" w:ascii="宋体" w:hAnsi="宋体" w:cs="宋体"/>
          <w:b/>
          <w:bCs/>
          <w:color w:val="auto"/>
          <w:sz w:val="24"/>
          <w:highlight w:val="none"/>
        </w:rPr>
        <w:t>日</w:t>
      </w:r>
      <w:r>
        <w:rPr>
          <w:rFonts w:hint="eastAsia" w:ascii="宋体" w:hAnsi="宋体" w:cs="宋体"/>
          <w:b/>
          <w:bCs/>
          <w:color w:val="auto"/>
          <w:sz w:val="24"/>
          <w:highlight w:val="none"/>
          <w:lang w:val="en-US" w:eastAsia="zh-CN"/>
        </w:rPr>
        <w:t>13</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0</w:t>
      </w:r>
      <w:r>
        <w:rPr>
          <w:rFonts w:hint="eastAsia" w:ascii="宋体" w:hAnsi="宋体" w:cs="宋体"/>
          <w:b/>
          <w:bCs/>
          <w:color w:val="auto"/>
          <w:sz w:val="24"/>
          <w:highlight w:val="none"/>
        </w:rPr>
        <w:t>0-2021年</w:t>
      </w: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rPr>
        <w:t>月</w:t>
      </w:r>
      <w:r>
        <w:rPr>
          <w:rFonts w:hint="eastAsia" w:ascii="宋体" w:hAnsi="宋体" w:cs="宋体"/>
          <w:b/>
          <w:bCs/>
          <w:color w:val="auto"/>
          <w:sz w:val="24"/>
          <w:highlight w:val="none"/>
          <w:lang w:val="en-US" w:eastAsia="zh-CN"/>
        </w:rPr>
        <w:t>9</w:t>
      </w:r>
      <w:r>
        <w:rPr>
          <w:rFonts w:hint="eastAsia" w:ascii="宋体" w:hAnsi="宋体" w:cs="宋体"/>
          <w:b/>
          <w:bCs/>
          <w:color w:val="auto"/>
          <w:sz w:val="24"/>
          <w:highlight w:val="none"/>
        </w:rPr>
        <w:t>日1</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0）</w:t>
      </w:r>
    </w:p>
    <w:p>
      <w:pPr>
        <w:spacing w:after="50" w:line="240" w:lineRule="auto"/>
        <w:ind w:firstLine="489" w:firstLineChars="203"/>
        <w:rPr>
          <w:rFonts w:ascii="宋体" w:hAnsi="宋体" w:cs="宋体"/>
          <w:color w:val="auto"/>
          <w:sz w:val="24"/>
          <w:szCs w:val="28"/>
          <w:highlight w:val="none"/>
        </w:rPr>
      </w:pPr>
      <w:r>
        <w:rPr>
          <w:rFonts w:hint="eastAsia" w:ascii="宋体" w:hAnsi="宋体" w:cs="宋体"/>
          <w:b/>
          <w:color w:val="auto"/>
          <w:sz w:val="24"/>
          <w:szCs w:val="28"/>
          <w:highlight w:val="none"/>
        </w:rPr>
        <w:t>九、开标地点：</w:t>
      </w:r>
      <w:r>
        <w:rPr>
          <w:rFonts w:hint="eastAsia" w:ascii="宋体" w:hAnsi="宋体" w:cs="宋体"/>
          <w:color w:val="auto"/>
          <w:sz w:val="24"/>
          <w:szCs w:val="28"/>
          <w:highlight w:val="none"/>
        </w:rPr>
        <w:t>四川军贤工程项目管理有限公司（成都市双流区东升镇龙桥路 6 号宗申.赛纳维 132 栋 5 楼 502 室）。</w:t>
      </w:r>
    </w:p>
    <w:p>
      <w:pPr>
        <w:pStyle w:val="65"/>
        <w:spacing w:line="240" w:lineRule="auto"/>
        <w:ind w:firstLine="482"/>
        <w:rPr>
          <w:rFonts w:ascii="宋体" w:hAnsi="宋体" w:cs="宋体"/>
          <w:b/>
          <w:color w:val="auto"/>
          <w:sz w:val="24"/>
          <w:highlight w:val="none"/>
        </w:rPr>
      </w:pPr>
      <w:bookmarkStart w:id="11" w:name="PO_默认文件内容_13"/>
      <w:r>
        <w:rPr>
          <w:rFonts w:hint="eastAsia" w:ascii="宋体" w:hAnsi="宋体" w:cs="宋体"/>
          <w:b/>
          <w:color w:val="auto"/>
          <w:sz w:val="24"/>
          <w:highlight w:val="none"/>
        </w:rPr>
        <w:t>十、本投标邀请在四川政府采购网（www.ccgp-sichuan.gov.cn）上以公告形式发布。</w:t>
      </w:r>
      <w:bookmarkEnd w:id="11"/>
    </w:p>
    <w:p>
      <w:pPr>
        <w:pStyle w:val="65"/>
        <w:spacing w:line="240" w:lineRule="auto"/>
        <w:ind w:firstLine="482"/>
        <w:rPr>
          <w:rFonts w:ascii="宋体" w:hAnsi="宋体" w:cs="宋体"/>
          <w:b/>
          <w:color w:val="auto"/>
          <w:sz w:val="24"/>
          <w:highlight w:val="none"/>
        </w:rPr>
      </w:pPr>
      <w:r>
        <w:rPr>
          <w:rFonts w:hint="eastAsia" w:ascii="宋体" w:hAnsi="宋体" w:cs="宋体"/>
          <w:b/>
          <w:color w:val="auto"/>
          <w:sz w:val="24"/>
          <w:highlight w:val="none"/>
        </w:rPr>
        <w:t>十一、供应商信用融资：</w:t>
      </w:r>
    </w:p>
    <w:p>
      <w:pPr>
        <w:pStyle w:val="14"/>
        <w:spacing w:after="120" w:afterLines="50" w:line="240" w:lineRule="auto"/>
        <w:ind w:firstLine="480"/>
        <w:rPr>
          <w:rFonts w:ascii="宋体" w:hAnsi="宋体" w:cs="宋体"/>
          <w:b/>
          <w:color w:val="auto"/>
          <w:sz w:val="24"/>
          <w:highlight w:val="none"/>
        </w:rPr>
      </w:pPr>
      <w:r>
        <w:rPr>
          <w:rFonts w:hint="eastAsia" w:ascii="宋体" w:hAnsi="宋体" w:cs="宋体"/>
          <w:color w:val="auto"/>
          <w:sz w:val="24"/>
          <w:szCs w:val="28"/>
          <w:highlight w:val="none"/>
        </w:rPr>
        <w:t>四川省正在推进政府采购供应商信用融资工作，相关要求详见《四川省财政厅关于推进四川省政府采购供应商信用融资工作的通知》（川财采〔2018〕123 号）、《成都市中小企业政府采购信用融资暂行办法》（成财采〔2019〕17 号）等有关规定，上述文件请在四川政府采购网查询。</w:t>
      </w:r>
    </w:p>
    <w:p>
      <w:pPr>
        <w:pStyle w:val="65"/>
        <w:spacing w:line="240" w:lineRule="auto"/>
        <w:ind w:firstLine="482"/>
        <w:rPr>
          <w:rFonts w:ascii="宋体" w:hAnsi="宋体" w:cs="宋体"/>
          <w:b/>
          <w:color w:val="auto"/>
          <w:sz w:val="24"/>
          <w:highlight w:val="none"/>
        </w:rPr>
      </w:pPr>
      <w:r>
        <w:rPr>
          <w:rFonts w:hint="eastAsia" w:ascii="宋体" w:hAnsi="宋体" w:cs="宋体"/>
          <w:b/>
          <w:color w:val="auto"/>
          <w:sz w:val="24"/>
          <w:highlight w:val="none"/>
        </w:rPr>
        <w:t>十二、联系方式</w:t>
      </w:r>
    </w:p>
    <w:p>
      <w:pPr>
        <w:pStyle w:val="65"/>
        <w:spacing w:line="240" w:lineRule="auto"/>
        <w:ind w:firstLine="480"/>
        <w:rPr>
          <w:rFonts w:ascii="宋体" w:hAnsi="宋体" w:cs="宋体"/>
          <w:b/>
          <w:bCs/>
          <w:color w:val="auto"/>
          <w:sz w:val="24"/>
          <w:highlight w:val="none"/>
        </w:rPr>
      </w:pPr>
      <w:r>
        <w:rPr>
          <w:rFonts w:hint="eastAsia" w:ascii="宋体" w:hAnsi="宋体" w:cs="宋体"/>
          <w:bCs/>
          <w:color w:val="auto"/>
          <w:sz w:val="24"/>
          <w:highlight w:val="none"/>
        </w:rPr>
        <w:t>采 购 人</w:t>
      </w:r>
      <w:r>
        <w:rPr>
          <w:rFonts w:hint="eastAsia" w:ascii="宋体" w:hAnsi="宋体" w:cs="宋体"/>
          <w:b/>
          <w:color w:val="auto"/>
          <w:sz w:val="24"/>
          <w:highlight w:val="none"/>
        </w:rPr>
        <w:t>：</w:t>
      </w:r>
      <w:r>
        <w:rPr>
          <w:rFonts w:hint="eastAsia" w:ascii="宋体" w:hAnsi="宋体" w:cs="宋体"/>
          <w:color w:val="auto"/>
          <w:sz w:val="24"/>
          <w:highlight w:val="none"/>
        </w:rPr>
        <w:t>成都市生态环境科研监测所</w:t>
      </w:r>
    </w:p>
    <w:p>
      <w:pPr>
        <w:pStyle w:val="65"/>
        <w:spacing w:line="240" w:lineRule="auto"/>
        <w:ind w:firstLine="480"/>
        <w:rPr>
          <w:rFonts w:ascii="宋体" w:hAnsi="宋体" w:cs="宋体"/>
          <w:color w:val="auto"/>
          <w:sz w:val="24"/>
          <w:highlight w:val="none"/>
        </w:rPr>
      </w:pPr>
      <w:r>
        <w:rPr>
          <w:rFonts w:hint="eastAsia" w:ascii="宋体" w:hAnsi="宋体" w:cs="宋体"/>
          <w:bCs/>
          <w:color w:val="auto"/>
          <w:sz w:val="24"/>
          <w:highlight w:val="none"/>
        </w:rPr>
        <w:t>地    址：</w:t>
      </w:r>
      <w:r>
        <w:rPr>
          <w:rFonts w:hint="eastAsia" w:ascii="宋体" w:hAnsi="宋体" w:cs="宋体"/>
          <w:color w:val="auto"/>
          <w:sz w:val="24"/>
          <w:highlight w:val="none"/>
        </w:rPr>
        <w:t>成都市锦江区海桐街69号</w:t>
      </w:r>
    </w:p>
    <w:p>
      <w:pPr>
        <w:pStyle w:val="65"/>
        <w:spacing w:line="240" w:lineRule="auto"/>
        <w:ind w:firstLine="480"/>
        <w:rPr>
          <w:rFonts w:hint="eastAsia" w:ascii="宋体" w:hAnsi="宋体" w:cs="宋体"/>
          <w:color w:val="auto"/>
          <w:sz w:val="24"/>
          <w:highlight w:val="none"/>
        </w:rPr>
      </w:pPr>
      <w:r>
        <w:rPr>
          <w:rFonts w:hint="eastAsia" w:ascii="宋体" w:hAnsi="宋体" w:cs="宋体"/>
          <w:color w:val="auto"/>
          <w:sz w:val="24"/>
          <w:highlight w:val="none"/>
        </w:rPr>
        <w:t>联 系 人： 李老师、</w:t>
      </w:r>
      <w:r>
        <w:rPr>
          <w:rFonts w:hint="eastAsia" w:ascii="宋体" w:hAnsi="宋体" w:cs="宋体"/>
          <w:color w:val="auto"/>
          <w:sz w:val="24"/>
          <w:highlight w:val="none"/>
          <w:lang w:val="en-US" w:eastAsia="zh-CN"/>
        </w:rPr>
        <w:t>候</w:t>
      </w:r>
      <w:r>
        <w:rPr>
          <w:rFonts w:hint="eastAsia" w:ascii="宋体" w:hAnsi="宋体" w:cs="宋体"/>
          <w:color w:val="auto"/>
          <w:sz w:val="24"/>
          <w:highlight w:val="none"/>
        </w:rPr>
        <w:t>老师</w:t>
      </w:r>
    </w:p>
    <w:p>
      <w:pPr>
        <w:pStyle w:val="65"/>
        <w:tabs>
          <w:tab w:val="left" w:pos="2505"/>
        </w:tabs>
        <w:spacing w:line="24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联系电话： </w:t>
      </w:r>
      <w:r>
        <w:rPr>
          <w:rFonts w:hint="eastAsia" w:ascii="宋体" w:hAnsi="宋体" w:cs="宋体"/>
          <w:color w:val="auto"/>
          <w:sz w:val="24"/>
          <w:highlight w:val="none"/>
          <w:lang w:eastAsia="zh-CN"/>
        </w:rPr>
        <w:t>028-68738205</w:t>
      </w:r>
    </w:p>
    <w:p>
      <w:pPr>
        <w:pStyle w:val="65"/>
        <w:spacing w:line="240" w:lineRule="auto"/>
        <w:ind w:firstLine="480"/>
        <w:rPr>
          <w:rFonts w:ascii="宋体" w:hAnsi="宋体" w:cs="宋体"/>
          <w:color w:val="auto"/>
          <w:sz w:val="24"/>
          <w:highlight w:val="none"/>
        </w:rPr>
      </w:pPr>
      <w:r>
        <w:rPr>
          <w:rFonts w:hint="eastAsia" w:ascii="宋体" w:hAnsi="宋体" w:cs="宋体"/>
          <w:bCs/>
          <w:color w:val="auto"/>
          <w:sz w:val="24"/>
          <w:highlight w:val="none"/>
        </w:rPr>
        <w:t>采购代理机构：</w:t>
      </w:r>
      <w:r>
        <w:rPr>
          <w:rFonts w:hint="eastAsia" w:ascii="宋体" w:hAnsi="宋体" w:cs="宋体"/>
          <w:color w:val="auto"/>
          <w:sz w:val="24"/>
          <w:highlight w:val="none"/>
        </w:rPr>
        <w:t>四川军贤工程项目管理有限公司</w:t>
      </w:r>
    </w:p>
    <w:p>
      <w:pPr>
        <w:pStyle w:val="65"/>
        <w:spacing w:line="240" w:lineRule="auto"/>
        <w:ind w:firstLine="480"/>
        <w:rPr>
          <w:rFonts w:ascii="宋体" w:hAnsi="宋体" w:cs="宋体"/>
          <w:color w:val="auto"/>
          <w:szCs w:val="21"/>
          <w:highlight w:val="none"/>
        </w:rPr>
      </w:pPr>
      <w:r>
        <w:rPr>
          <w:rFonts w:hint="eastAsia" w:ascii="宋体" w:hAnsi="宋体" w:cs="宋体"/>
          <w:color w:val="auto"/>
          <w:sz w:val="24"/>
          <w:highlight w:val="none"/>
        </w:rPr>
        <w:t>地    址:</w:t>
      </w:r>
      <w:r>
        <w:rPr>
          <w:rFonts w:hint="eastAsia" w:ascii="宋体" w:hAnsi="宋体" w:cs="宋体"/>
          <w:bCs/>
          <w:color w:val="auto"/>
          <w:sz w:val="24"/>
          <w:highlight w:val="none"/>
        </w:rPr>
        <w:t>成都市双流区东升镇龙桥路 6 号宗申.赛纳维 132 栋 5 楼 502 室</w:t>
      </w:r>
    </w:p>
    <w:p>
      <w:pPr>
        <w:pStyle w:val="65"/>
        <w:spacing w:line="240" w:lineRule="auto"/>
        <w:ind w:firstLine="480"/>
        <w:rPr>
          <w:rFonts w:ascii="宋体" w:hAnsi="宋体" w:cs="宋体"/>
          <w:color w:val="auto"/>
          <w:sz w:val="24"/>
          <w:highlight w:val="none"/>
        </w:rPr>
      </w:pPr>
      <w:r>
        <w:rPr>
          <w:rFonts w:hint="eastAsia" w:ascii="宋体" w:hAnsi="宋体" w:cs="宋体"/>
          <w:color w:val="auto"/>
          <w:sz w:val="24"/>
          <w:highlight w:val="none"/>
        </w:rPr>
        <w:t>联 系 人：雷先生</w:t>
      </w:r>
    </w:p>
    <w:p>
      <w:pPr>
        <w:pStyle w:val="65"/>
        <w:spacing w:line="240" w:lineRule="auto"/>
        <w:ind w:firstLine="480"/>
        <w:rPr>
          <w:rFonts w:ascii="宋体" w:hAnsi="宋体" w:cs="宋体"/>
          <w:color w:val="auto"/>
          <w:highlight w:val="none"/>
        </w:rPr>
      </w:pPr>
      <w:r>
        <w:rPr>
          <w:rFonts w:hint="eastAsia" w:ascii="宋体" w:hAnsi="宋体" w:cs="宋体"/>
          <w:color w:val="auto"/>
          <w:sz w:val="24"/>
          <w:highlight w:val="none"/>
        </w:rPr>
        <w:t>联系电话：028-86958918</w:t>
      </w:r>
      <w:r>
        <w:rPr>
          <w:rFonts w:hint="eastAsia" w:ascii="宋体" w:hAnsi="宋体" w:cs="宋体"/>
          <w:color w:val="auto"/>
          <w:highlight w:val="none"/>
        </w:rPr>
        <w:tab/>
      </w:r>
    </w:p>
    <w:p>
      <w:pPr>
        <w:pStyle w:val="30"/>
        <w:spacing w:after="50" w:afterAutospacing="0" w:line="240" w:lineRule="auto"/>
        <w:rPr>
          <w:rFonts w:hAnsi="宋体" w:cs="宋体"/>
          <w:color w:val="auto"/>
          <w:sz w:val="36"/>
          <w:szCs w:val="36"/>
          <w:highlight w:val="none"/>
        </w:rPr>
        <w:sectPr>
          <w:footerReference r:id="rId15" w:type="default"/>
          <w:headerReference r:id="rId14" w:type="even"/>
          <w:footerReference r:id="rId16" w:type="even"/>
          <w:pgSz w:w="11907" w:h="16840"/>
          <w:pgMar w:top="1440" w:right="1474" w:bottom="1440" w:left="1474" w:header="851" w:footer="992" w:gutter="0"/>
          <w:cols w:space="720" w:num="1"/>
          <w:docGrid w:linePitch="312" w:charSpace="0"/>
        </w:sectPr>
      </w:pPr>
      <w:bookmarkStart w:id="12" w:name="_Toc12420"/>
      <w:bookmarkStart w:id="13" w:name="_Toc12497"/>
      <w:bookmarkStart w:id="14" w:name="_Toc217446031"/>
      <w:bookmarkStart w:id="15" w:name="_Toc213397009"/>
      <w:bookmarkStart w:id="16" w:name="_Toc213396945"/>
      <w:bookmarkStart w:id="17" w:name="_Toc213396759"/>
      <w:bookmarkStart w:id="18" w:name="_Toc213496267"/>
    </w:p>
    <w:p>
      <w:pPr>
        <w:pStyle w:val="3"/>
        <w:spacing w:line="24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第二章  投标人须知</w:t>
      </w:r>
      <w:bookmarkEnd w:id="12"/>
      <w:bookmarkEnd w:id="13"/>
    </w:p>
    <w:p>
      <w:pPr>
        <w:pStyle w:val="4"/>
        <w:spacing w:line="240" w:lineRule="auto"/>
        <w:jc w:val="center"/>
        <w:rPr>
          <w:rFonts w:ascii="宋体" w:hAnsi="宋体" w:eastAsia="宋体" w:cs="宋体"/>
          <w:color w:val="auto"/>
          <w:highlight w:val="none"/>
        </w:rPr>
      </w:pPr>
      <w:r>
        <w:rPr>
          <w:rFonts w:hint="eastAsia" w:ascii="宋体" w:hAnsi="宋体" w:eastAsia="宋体" w:cs="宋体"/>
          <w:color w:val="auto"/>
          <w:highlight w:val="none"/>
        </w:rPr>
        <w:t>一、投标人须知附表</w:t>
      </w:r>
    </w:p>
    <w:bookmarkEnd w:id="14"/>
    <w:bookmarkEnd w:id="15"/>
    <w:bookmarkEnd w:id="16"/>
    <w:bookmarkEnd w:id="17"/>
    <w:bookmarkEnd w:id="18"/>
    <w:tbl>
      <w:tblPr>
        <w:tblStyle w:val="33"/>
        <w:tblW w:w="95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8"/>
        <w:gridCol w:w="2238"/>
        <w:gridCol w:w="6425"/>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3" w:hRule="atLeast"/>
          <w:tblHeader/>
          <w:jc w:val="center"/>
        </w:trPr>
        <w:tc>
          <w:tcPr>
            <w:tcW w:w="838" w:type="dxa"/>
            <w:vAlign w:val="center"/>
          </w:tcPr>
          <w:p>
            <w:pPr>
              <w:pStyle w:val="55"/>
              <w:ind w:left="9"/>
              <w:jc w:val="center"/>
              <w:rPr>
                <w:color w:val="auto"/>
                <w:kern w:val="2"/>
                <w:sz w:val="21"/>
                <w:szCs w:val="21"/>
                <w:highlight w:val="none"/>
              </w:rPr>
            </w:pPr>
            <w:r>
              <w:rPr>
                <w:rFonts w:hint="eastAsia"/>
                <w:color w:val="auto"/>
                <w:kern w:val="2"/>
                <w:sz w:val="21"/>
                <w:szCs w:val="21"/>
                <w:highlight w:val="none"/>
              </w:rPr>
              <w:t>序号</w:t>
            </w:r>
          </w:p>
        </w:tc>
        <w:tc>
          <w:tcPr>
            <w:tcW w:w="2238" w:type="dxa"/>
            <w:vAlign w:val="center"/>
          </w:tcPr>
          <w:p>
            <w:pPr>
              <w:pStyle w:val="55"/>
              <w:ind w:left="38"/>
              <w:jc w:val="center"/>
              <w:rPr>
                <w:color w:val="auto"/>
                <w:kern w:val="2"/>
                <w:sz w:val="21"/>
                <w:szCs w:val="21"/>
                <w:highlight w:val="none"/>
              </w:rPr>
            </w:pPr>
            <w:r>
              <w:rPr>
                <w:rFonts w:hint="eastAsia"/>
                <w:color w:val="auto"/>
                <w:kern w:val="2"/>
                <w:sz w:val="21"/>
                <w:szCs w:val="21"/>
                <w:highlight w:val="none"/>
              </w:rPr>
              <w:t>条款名称</w:t>
            </w:r>
          </w:p>
        </w:tc>
        <w:tc>
          <w:tcPr>
            <w:tcW w:w="6425" w:type="dxa"/>
            <w:vAlign w:val="center"/>
          </w:tcPr>
          <w:p>
            <w:pPr>
              <w:pStyle w:val="55"/>
              <w:jc w:val="center"/>
              <w:rPr>
                <w:color w:val="auto"/>
                <w:kern w:val="2"/>
                <w:sz w:val="21"/>
                <w:szCs w:val="21"/>
                <w:highlight w:val="none"/>
              </w:rPr>
            </w:pPr>
            <w:r>
              <w:rPr>
                <w:rFonts w:hint="eastAsia"/>
                <w:color w:val="auto"/>
                <w:kern w:val="2"/>
                <w:sz w:val="21"/>
                <w:szCs w:val="21"/>
                <w:highlight w:val="none"/>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7" w:hRule="atLeast"/>
          <w:jc w:val="center"/>
        </w:trPr>
        <w:tc>
          <w:tcPr>
            <w:tcW w:w="838" w:type="dxa"/>
            <w:vMerge w:val="restart"/>
            <w:vAlign w:val="center"/>
          </w:tcPr>
          <w:p>
            <w:pPr>
              <w:pStyle w:val="55"/>
              <w:ind w:right="230"/>
              <w:jc w:val="center"/>
              <w:rPr>
                <w:color w:val="auto"/>
                <w:kern w:val="2"/>
                <w:sz w:val="21"/>
                <w:szCs w:val="21"/>
                <w:highlight w:val="none"/>
              </w:rPr>
            </w:pPr>
            <w:r>
              <w:rPr>
                <w:rFonts w:hint="eastAsia"/>
                <w:color w:val="auto"/>
                <w:kern w:val="2"/>
                <w:sz w:val="21"/>
                <w:szCs w:val="21"/>
                <w:highlight w:val="none"/>
              </w:rPr>
              <w:t>1</w:t>
            </w:r>
          </w:p>
        </w:tc>
        <w:tc>
          <w:tcPr>
            <w:tcW w:w="2238" w:type="dxa"/>
            <w:tcBorders>
              <w:bottom w:val="single" w:color="auto" w:sz="4" w:space="0"/>
            </w:tcBorders>
            <w:vAlign w:val="center"/>
          </w:tcPr>
          <w:p>
            <w:pPr>
              <w:pStyle w:val="55"/>
              <w:ind w:left="38"/>
              <w:jc w:val="center"/>
              <w:rPr>
                <w:color w:val="auto"/>
                <w:kern w:val="2"/>
                <w:sz w:val="21"/>
                <w:szCs w:val="21"/>
                <w:highlight w:val="none"/>
              </w:rPr>
            </w:pPr>
            <w:r>
              <w:rPr>
                <w:rFonts w:hint="eastAsia"/>
                <w:color w:val="auto"/>
                <w:kern w:val="2"/>
                <w:sz w:val="21"/>
                <w:szCs w:val="21"/>
                <w:highlight w:val="none"/>
              </w:rPr>
              <w:t>采购预算</w:t>
            </w:r>
          </w:p>
          <w:p>
            <w:pPr>
              <w:pStyle w:val="55"/>
              <w:ind w:left="38"/>
              <w:jc w:val="center"/>
              <w:rPr>
                <w:color w:val="auto"/>
                <w:kern w:val="2"/>
                <w:sz w:val="21"/>
                <w:szCs w:val="21"/>
                <w:highlight w:val="none"/>
              </w:rPr>
            </w:pPr>
            <w:r>
              <w:rPr>
                <w:rFonts w:hint="eastAsia"/>
                <w:b/>
                <w:bCs/>
                <w:color w:val="auto"/>
                <w:sz w:val="21"/>
                <w:szCs w:val="21"/>
                <w:highlight w:val="none"/>
              </w:rPr>
              <w:t>（实质性要求）</w:t>
            </w:r>
          </w:p>
        </w:tc>
        <w:tc>
          <w:tcPr>
            <w:tcW w:w="6425" w:type="dxa"/>
            <w:tcBorders>
              <w:bottom w:val="single" w:color="auto" w:sz="4" w:space="0"/>
            </w:tcBorders>
          </w:tcPr>
          <w:p>
            <w:pPr>
              <w:pStyle w:val="55"/>
              <w:jc w:val="both"/>
              <w:rPr>
                <w:rFonts w:hint="eastAsia"/>
                <w:color w:val="auto"/>
                <w:sz w:val="21"/>
                <w:szCs w:val="21"/>
                <w:highlight w:val="none"/>
              </w:rPr>
            </w:pPr>
            <w:bookmarkStart w:id="19" w:name="PO_预算分包信息_1"/>
            <w:r>
              <w:rPr>
                <w:rFonts w:hint="eastAsia"/>
                <w:color w:val="auto"/>
                <w:sz w:val="21"/>
                <w:szCs w:val="21"/>
                <w:highlight w:val="none"/>
              </w:rPr>
              <w:t>采购预算：</w:t>
            </w:r>
            <w:r>
              <w:rPr>
                <w:rFonts w:hint="eastAsia"/>
                <w:color w:val="auto"/>
                <w:sz w:val="21"/>
                <w:szCs w:val="21"/>
                <w:highlight w:val="none"/>
                <w:lang w:val="en-US" w:eastAsia="zh-CN"/>
              </w:rPr>
              <w:t>500万元</w:t>
            </w:r>
            <w:r>
              <w:rPr>
                <w:rFonts w:hint="eastAsia"/>
                <w:color w:val="auto"/>
                <w:sz w:val="21"/>
                <w:szCs w:val="21"/>
                <w:highlight w:val="none"/>
                <w:lang w:eastAsia="zh-CN"/>
              </w:rPr>
              <w:t>；</w:t>
            </w:r>
            <w:r>
              <w:rPr>
                <w:rFonts w:hint="eastAsia"/>
                <w:color w:val="auto"/>
                <w:sz w:val="21"/>
                <w:szCs w:val="21"/>
                <w:highlight w:val="none"/>
              </w:rPr>
              <w:t xml:space="preserve"> </w:t>
            </w:r>
            <w:bookmarkEnd w:id="19"/>
          </w:p>
          <w:p>
            <w:pPr>
              <w:pStyle w:val="55"/>
              <w:jc w:val="both"/>
              <w:rPr>
                <w:rFonts w:hint="eastAsia"/>
                <w:color w:val="auto"/>
                <w:sz w:val="21"/>
                <w:szCs w:val="21"/>
                <w:highlight w:val="none"/>
              </w:rPr>
            </w:pPr>
            <w:r>
              <w:rPr>
                <w:rFonts w:hint="eastAsia"/>
                <w:color w:val="auto"/>
                <w:sz w:val="21"/>
                <w:szCs w:val="21"/>
                <w:highlight w:val="none"/>
              </w:rPr>
              <w:t>超过采购预算的投标为无效投标。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7" w:hRule="atLeast"/>
          <w:jc w:val="center"/>
        </w:trPr>
        <w:tc>
          <w:tcPr>
            <w:tcW w:w="838" w:type="dxa"/>
            <w:vMerge w:val="continue"/>
            <w:vAlign w:val="center"/>
          </w:tcPr>
          <w:p>
            <w:pPr>
              <w:rPr>
                <w:rFonts w:ascii="宋体" w:hAnsi="宋体" w:cs="宋体"/>
                <w:color w:val="auto"/>
                <w:szCs w:val="21"/>
                <w:highlight w:val="none"/>
              </w:rPr>
            </w:pPr>
          </w:p>
        </w:tc>
        <w:tc>
          <w:tcPr>
            <w:tcW w:w="2238" w:type="dxa"/>
            <w:tcBorders>
              <w:top w:val="single" w:color="auto" w:sz="4" w:space="0"/>
            </w:tcBorders>
            <w:vAlign w:val="center"/>
          </w:tcPr>
          <w:p>
            <w:pPr>
              <w:pStyle w:val="55"/>
              <w:jc w:val="center"/>
              <w:rPr>
                <w:color w:val="auto"/>
                <w:kern w:val="2"/>
                <w:sz w:val="21"/>
                <w:szCs w:val="21"/>
                <w:highlight w:val="none"/>
              </w:rPr>
            </w:pPr>
            <w:r>
              <w:rPr>
                <w:rFonts w:hint="eastAsia"/>
                <w:color w:val="auto"/>
                <w:kern w:val="2"/>
                <w:sz w:val="21"/>
                <w:szCs w:val="21"/>
                <w:highlight w:val="none"/>
              </w:rPr>
              <w:t>最高限价</w:t>
            </w:r>
          </w:p>
          <w:p>
            <w:pPr>
              <w:pStyle w:val="55"/>
              <w:jc w:val="center"/>
              <w:rPr>
                <w:color w:val="auto"/>
                <w:kern w:val="2"/>
                <w:sz w:val="21"/>
                <w:szCs w:val="21"/>
                <w:highlight w:val="none"/>
              </w:rPr>
            </w:pPr>
            <w:r>
              <w:rPr>
                <w:rFonts w:hint="eastAsia"/>
                <w:color w:val="auto"/>
                <w:sz w:val="21"/>
                <w:szCs w:val="21"/>
                <w:highlight w:val="none"/>
              </w:rPr>
              <w:t>（</w:t>
            </w:r>
            <w:r>
              <w:rPr>
                <w:rFonts w:hint="eastAsia"/>
                <w:b/>
                <w:bCs/>
                <w:color w:val="auto"/>
                <w:sz w:val="21"/>
                <w:szCs w:val="21"/>
                <w:highlight w:val="none"/>
              </w:rPr>
              <w:t>实质性要求）</w:t>
            </w:r>
          </w:p>
        </w:tc>
        <w:tc>
          <w:tcPr>
            <w:tcW w:w="6425" w:type="dxa"/>
            <w:tcBorders>
              <w:top w:val="single" w:color="auto" w:sz="4" w:space="0"/>
            </w:tcBorders>
          </w:tcPr>
          <w:p>
            <w:pPr>
              <w:pStyle w:val="55"/>
              <w:jc w:val="both"/>
              <w:rPr>
                <w:rFonts w:hint="eastAsia"/>
                <w:color w:val="auto"/>
                <w:sz w:val="21"/>
                <w:szCs w:val="21"/>
                <w:highlight w:val="none"/>
                <w:lang w:eastAsia="zh-CN"/>
              </w:rPr>
            </w:pPr>
            <w:r>
              <w:rPr>
                <w:rFonts w:hint="eastAsia"/>
                <w:color w:val="auto"/>
                <w:sz w:val="21"/>
                <w:szCs w:val="21"/>
                <w:highlight w:val="none"/>
              </w:rPr>
              <w:t>最高限价：</w:t>
            </w:r>
            <w:r>
              <w:rPr>
                <w:rFonts w:hint="eastAsia"/>
                <w:color w:val="auto"/>
                <w:sz w:val="21"/>
                <w:szCs w:val="21"/>
                <w:highlight w:val="none"/>
                <w:lang w:val="en-US" w:eastAsia="zh-CN"/>
              </w:rPr>
              <w:t>500万元，其中01包最高限价483</w:t>
            </w:r>
            <w:r>
              <w:rPr>
                <w:rFonts w:hint="eastAsia"/>
                <w:color w:val="auto"/>
                <w:sz w:val="21"/>
                <w:szCs w:val="21"/>
                <w:highlight w:val="none"/>
              </w:rPr>
              <w:t>万元</w:t>
            </w:r>
            <w:r>
              <w:rPr>
                <w:rFonts w:hint="eastAsia"/>
                <w:color w:val="auto"/>
                <w:sz w:val="21"/>
                <w:szCs w:val="21"/>
                <w:highlight w:val="none"/>
                <w:lang w:eastAsia="zh-CN"/>
              </w:rPr>
              <w:t>，</w:t>
            </w:r>
            <w:r>
              <w:rPr>
                <w:rFonts w:hint="eastAsia"/>
                <w:color w:val="auto"/>
                <w:sz w:val="21"/>
                <w:szCs w:val="21"/>
                <w:highlight w:val="none"/>
                <w:lang w:val="en-US" w:eastAsia="zh-CN"/>
              </w:rPr>
              <w:t>02包最高限价17万元</w:t>
            </w:r>
            <w:r>
              <w:rPr>
                <w:rFonts w:hint="eastAsia"/>
                <w:color w:val="auto"/>
                <w:sz w:val="21"/>
                <w:szCs w:val="21"/>
                <w:highlight w:val="none"/>
                <w:lang w:eastAsia="zh-CN"/>
              </w:rPr>
              <w:t>；</w:t>
            </w:r>
          </w:p>
          <w:p>
            <w:pPr>
              <w:pStyle w:val="55"/>
              <w:jc w:val="both"/>
              <w:rPr>
                <w:rFonts w:hint="eastAsia"/>
                <w:color w:val="auto"/>
                <w:sz w:val="21"/>
                <w:szCs w:val="21"/>
                <w:highlight w:val="none"/>
              </w:rPr>
            </w:pPr>
            <w:r>
              <w:rPr>
                <w:rFonts w:hint="eastAsia"/>
                <w:color w:val="auto"/>
                <w:sz w:val="21"/>
                <w:szCs w:val="21"/>
                <w:highlight w:val="none"/>
              </w:rPr>
              <w:t>超过最高限价的报价,其投标文件按无效投标处理。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38" w:type="dxa"/>
            <w:vMerge w:val="continue"/>
            <w:vAlign w:val="center"/>
          </w:tcPr>
          <w:p>
            <w:pPr>
              <w:rPr>
                <w:rFonts w:ascii="宋体" w:hAnsi="宋体" w:cs="宋体"/>
                <w:color w:val="auto"/>
                <w:szCs w:val="21"/>
                <w:highlight w:val="none"/>
              </w:rPr>
            </w:pPr>
          </w:p>
        </w:tc>
        <w:tc>
          <w:tcPr>
            <w:tcW w:w="2238" w:type="dxa"/>
            <w:tcBorders>
              <w:top w:val="single" w:color="auto" w:sz="4" w:space="0"/>
            </w:tcBorders>
            <w:vAlign w:val="center"/>
          </w:tcPr>
          <w:p>
            <w:pPr>
              <w:pStyle w:val="55"/>
              <w:jc w:val="center"/>
              <w:rPr>
                <w:color w:val="auto"/>
                <w:sz w:val="21"/>
                <w:szCs w:val="21"/>
                <w:highlight w:val="none"/>
              </w:rPr>
            </w:pPr>
            <w:r>
              <w:rPr>
                <w:rFonts w:hint="eastAsia"/>
                <w:color w:val="auto"/>
                <w:sz w:val="21"/>
                <w:szCs w:val="21"/>
                <w:highlight w:val="none"/>
              </w:rPr>
              <w:t>是否专门面向中小企业（</w:t>
            </w:r>
            <w:r>
              <w:rPr>
                <w:rFonts w:hint="eastAsia"/>
                <w:b/>
                <w:bCs/>
                <w:color w:val="auto"/>
                <w:sz w:val="21"/>
                <w:szCs w:val="21"/>
                <w:highlight w:val="none"/>
              </w:rPr>
              <w:t>实质性要求）</w:t>
            </w:r>
          </w:p>
        </w:tc>
        <w:tc>
          <w:tcPr>
            <w:tcW w:w="6425" w:type="dxa"/>
            <w:tcBorders>
              <w:top w:val="single" w:color="auto" w:sz="4" w:space="0"/>
            </w:tcBorders>
          </w:tcPr>
          <w:p>
            <w:pPr>
              <w:pStyle w:val="55"/>
              <w:jc w:val="both"/>
              <w:rPr>
                <w:color w:val="auto"/>
                <w:sz w:val="21"/>
                <w:szCs w:val="21"/>
                <w:highlight w:val="none"/>
              </w:rPr>
            </w:pPr>
            <w:r>
              <w:rPr>
                <w:rFonts w:hint="eastAsia"/>
                <w:color w:val="auto"/>
                <w:sz w:val="21"/>
                <w:szCs w:val="21"/>
                <w:highlight w:val="none"/>
              </w:rPr>
              <w:t>本项目专门面向中小企业：是</w:t>
            </w:r>
            <w:r>
              <w:rPr>
                <w:rFonts w:hint="eastAsia"/>
                <w:color w:val="auto"/>
                <w:highlight w:val="none"/>
              </w:rPr>
              <w:t>□</w:t>
            </w:r>
            <w:r>
              <w:rPr>
                <w:rFonts w:hint="eastAsia"/>
                <w:color w:val="auto"/>
                <w:sz w:val="21"/>
                <w:szCs w:val="21"/>
                <w:highlight w:val="none"/>
              </w:rPr>
              <w:t xml:space="preserve"> 否</w:t>
            </w:r>
            <w:r>
              <w:rPr>
                <w:rFonts w:hint="eastAsia"/>
                <w:color w:val="auto"/>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55"/>
              <w:ind w:right="230"/>
              <w:jc w:val="center"/>
              <w:rPr>
                <w:color w:val="auto"/>
                <w:kern w:val="2"/>
                <w:sz w:val="21"/>
                <w:szCs w:val="21"/>
                <w:highlight w:val="none"/>
              </w:rPr>
            </w:pPr>
            <w:r>
              <w:rPr>
                <w:rFonts w:hint="eastAsia"/>
                <w:color w:val="auto"/>
                <w:kern w:val="2"/>
                <w:sz w:val="21"/>
                <w:szCs w:val="21"/>
                <w:highlight w:val="none"/>
              </w:rPr>
              <w:t>2</w:t>
            </w:r>
          </w:p>
        </w:tc>
        <w:tc>
          <w:tcPr>
            <w:tcW w:w="2238" w:type="dxa"/>
            <w:vAlign w:val="center"/>
          </w:tcPr>
          <w:p>
            <w:pPr>
              <w:pStyle w:val="55"/>
              <w:ind w:left="38"/>
              <w:jc w:val="center"/>
              <w:rPr>
                <w:color w:val="auto"/>
                <w:kern w:val="2"/>
                <w:sz w:val="21"/>
                <w:szCs w:val="21"/>
                <w:highlight w:val="none"/>
              </w:rPr>
            </w:pPr>
            <w:r>
              <w:rPr>
                <w:rFonts w:hint="eastAsia"/>
                <w:color w:val="auto"/>
                <w:kern w:val="2"/>
                <w:sz w:val="21"/>
                <w:szCs w:val="21"/>
                <w:highlight w:val="none"/>
              </w:rPr>
              <w:t>低于成本价不正当</w:t>
            </w:r>
          </w:p>
          <w:p>
            <w:pPr>
              <w:pStyle w:val="55"/>
              <w:ind w:left="38"/>
              <w:jc w:val="center"/>
              <w:rPr>
                <w:color w:val="auto"/>
                <w:kern w:val="2"/>
                <w:sz w:val="21"/>
                <w:szCs w:val="21"/>
                <w:highlight w:val="none"/>
              </w:rPr>
            </w:pPr>
            <w:r>
              <w:rPr>
                <w:rFonts w:hint="eastAsia"/>
                <w:color w:val="auto"/>
                <w:kern w:val="2"/>
                <w:sz w:val="21"/>
                <w:szCs w:val="21"/>
                <w:highlight w:val="none"/>
              </w:rPr>
              <w:t>竞争预防措施</w:t>
            </w:r>
          </w:p>
          <w:p>
            <w:pPr>
              <w:pStyle w:val="55"/>
              <w:ind w:left="38"/>
              <w:jc w:val="center"/>
              <w:rPr>
                <w:color w:val="auto"/>
                <w:kern w:val="2"/>
                <w:sz w:val="21"/>
                <w:szCs w:val="21"/>
                <w:highlight w:val="none"/>
              </w:rPr>
            </w:pPr>
            <w:r>
              <w:rPr>
                <w:rFonts w:hint="eastAsia"/>
                <w:b/>
                <w:bCs/>
                <w:color w:val="auto"/>
                <w:sz w:val="21"/>
                <w:szCs w:val="21"/>
                <w:highlight w:val="none"/>
              </w:rPr>
              <w:t>（实质性要求）</w:t>
            </w:r>
          </w:p>
        </w:tc>
        <w:tc>
          <w:tcPr>
            <w:tcW w:w="6425" w:type="dxa"/>
            <w:vAlign w:val="center"/>
          </w:tcPr>
          <w:p>
            <w:pPr>
              <w:pStyle w:val="55"/>
              <w:jc w:val="both"/>
              <w:rPr>
                <w:color w:val="auto"/>
                <w:kern w:val="2"/>
                <w:sz w:val="21"/>
                <w:szCs w:val="21"/>
                <w:highlight w:val="none"/>
              </w:rPr>
            </w:pPr>
            <w:r>
              <w:rPr>
                <w:rFonts w:hint="eastAsia"/>
                <w:color w:val="auto"/>
                <w:sz w:val="21"/>
                <w:szCs w:val="21"/>
                <w:highlight w:val="none"/>
              </w:rPr>
              <w:t>评标委员会认为投标人的报价明显低于其他通过符合性审查投标 人的报价，有可能影响产品质量或者不能诚信履约的，应当要求 其在评标现场合理的时间内提供书面说明，必要时提交相关证明 材料。 投标人书面说明应当按照国家财务会计制度的规定要求，逐项就 供应商提供的货物、工程和服务的主营业务成本（应根据供应商 企业类型予以区别）、税金及附加、销售费用、管理费用、财务 费用等成本构成事项详细陈述。 投标人书面说明应当签字确认或者加盖公章，否则无效。书面说 明的签字确认，投标人为法人的，由其法定代表人或者代理人签 字确认；投标人为其他组织的，由其主要负责人或者代理人签字 确认；投标人为自然人的，由其本人或者代理人签字确认。 投标人提供书面说明后，评标委员会应当结合采购项目采购需求、 专业实际情况、供应商财务状况报告、与其他供应商比较情况等 就供应商书面说明进行审查评价。 投标人拒绝或者变相拒绝提供有效书面说明或者书面说明不能证 明其报价合理性的，评标委员会应当将其作为无效投标处理。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55"/>
              <w:ind w:right="230"/>
              <w:jc w:val="center"/>
              <w:rPr>
                <w:color w:val="auto"/>
                <w:kern w:val="2"/>
                <w:sz w:val="21"/>
                <w:szCs w:val="21"/>
                <w:highlight w:val="none"/>
              </w:rPr>
            </w:pPr>
            <w:r>
              <w:rPr>
                <w:rFonts w:hint="eastAsia"/>
                <w:color w:val="auto"/>
                <w:kern w:val="2"/>
                <w:sz w:val="21"/>
                <w:szCs w:val="21"/>
                <w:highlight w:val="none"/>
              </w:rPr>
              <w:t>3</w:t>
            </w:r>
          </w:p>
        </w:tc>
        <w:tc>
          <w:tcPr>
            <w:tcW w:w="2238" w:type="dxa"/>
            <w:vAlign w:val="center"/>
          </w:tcPr>
          <w:p>
            <w:pPr>
              <w:pStyle w:val="55"/>
              <w:ind w:left="38"/>
              <w:jc w:val="center"/>
              <w:rPr>
                <w:b/>
                <w:bCs/>
                <w:color w:val="auto"/>
                <w:sz w:val="21"/>
                <w:szCs w:val="21"/>
                <w:highlight w:val="none"/>
              </w:rPr>
            </w:pPr>
            <w:r>
              <w:rPr>
                <w:rFonts w:hint="eastAsia"/>
                <w:color w:val="auto"/>
                <w:sz w:val="21"/>
                <w:szCs w:val="21"/>
                <w:highlight w:val="none"/>
              </w:rPr>
              <w:t>进口产品</w:t>
            </w:r>
            <w:r>
              <w:rPr>
                <w:rFonts w:hint="eastAsia"/>
                <w:b/>
                <w:bCs/>
                <w:color w:val="auto"/>
                <w:sz w:val="21"/>
                <w:szCs w:val="21"/>
                <w:highlight w:val="none"/>
              </w:rPr>
              <w:t>（实质性要求）</w:t>
            </w:r>
          </w:p>
        </w:tc>
        <w:tc>
          <w:tcPr>
            <w:tcW w:w="6425" w:type="dxa"/>
            <w:vAlign w:val="center"/>
          </w:tcPr>
          <w:p>
            <w:pPr>
              <w:pStyle w:val="55"/>
              <w:ind w:firstLine="210" w:firstLineChars="100"/>
              <w:jc w:val="both"/>
              <w:rPr>
                <w:color w:val="auto"/>
                <w:sz w:val="21"/>
                <w:szCs w:val="21"/>
                <w:highlight w:val="none"/>
              </w:rPr>
            </w:pPr>
            <w:r>
              <w:rPr>
                <w:rFonts w:hint="eastAsia"/>
                <w:color w:val="auto"/>
                <w:sz w:val="21"/>
                <w:szCs w:val="21"/>
                <w:highlight w:val="none"/>
                <w:lang w:val="en-US" w:eastAsia="zh-CN"/>
              </w:rPr>
              <w:t>本项目招标文件中未载明“允许采购进口产品”的产品，视为拒绝进口产品参与竞争，供应商以进口产品投标时，将按无效投标处理。载明“允许采购进口产品”的产品，不限制国产产品参与竞争。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98" w:hRule="atLeast"/>
          <w:jc w:val="center"/>
        </w:trPr>
        <w:tc>
          <w:tcPr>
            <w:tcW w:w="838" w:type="dxa"/>
            <w:vAlign w:val="center"/>
          </w:tcPr>
          <w:p>
            <w:pPr>
              <w:pStyle w:val="55"/>
              <w:ind w:right="230"/>
              <w:jc w:val="center"/>
              <w:rPr>
                <w:color w:val="auto"/>
                <w:sz w:val="21"/>
                <w:szCs w:val="21"/>
                <w:highlight w:val="none"/>
                <w:lang w:val="zh-CN"/>
              </w:rPr>
            </w:pPr>
            <w:r>
              <w:rPr>
                <w:rFonts w:hint="eastAsia"/>
                <w:color w:val="auto"/>
                <w:sz w:val="21"/>
                <w:szCs w:val="21"/>
                <w:highlight w:val="none"/>
              </w:rPr>
              <w:t>4</w:t>
            </w:r>
          </w:p>
        </w:tc>
        <w:tc>
          <w:tcPr>
            <w:tcW w:w="2238" w:type="dxa"/>
            <w:vAlign w:val="center"/>
          </w:tcPr>
          <w:p>
            <w:pPr>
              <w:pStyle w:val="55"/>
              <w:spacing w:after="0"/>
              <w:jc w:val="center"/>
              <w:rPr>
                <w:color w:val="auto"/>
                <w:kern w:val="2"/>
                <w:sz w:val="21"/>
                <w:szCs w:val="21"/>
                <w:highlight w:val="none"/>
              </w:rPr>
            </w:pPr>
            <w:r>
              <w:rPr>
                <w:rFonts w:hint="eastAsia"/>
                <w:color w:val="auto"/>
                <w:kern w:val="2"/>
                <w:sz w:val="21"/>
                <w:szCs w:val="21"/>
                <w:highlight w:val="none"/>
              </w:rPr>
              <w:t>小微企业（监狱企业、残疾人福利性单位</w:t>
            </w:r>
            <w:r>
              <w:rPr>
                <w:rFonts w:hint="eastAsia"/>
                <w:color w:val="auto"/>
                <w:sz w:val="21"/>
                <w:szCs w:val="21"/>
                <w:highlight w:val="none"/>
              </w:rPr>
              <w:t>视同小微企业</w:t>
            </w:r>
            <w:r>
              <w:rPr>
                <w:rFonts w:hint="eastAsia"/>
                <w:color w:val="auto"/>
                <w:kern w:val="2"/>
                <w:sz w:val="21"/>
                <w:szCs w:val="21"/>
                <w:highlight w:val="none"/>
              </w:rPr>
              <w:t>）价格扣除和失信企业报价加成或者扣分</w:t>
            </w:r>
          </w:p>
          <w:p>
            <w:pPr>
              <w:pStyle w:val="55"/>
              <w:spacing w:after="0"/>
              <w:jc w:val="center"/>
              <w:rPr>
                <w:color w:val="auto"/>
                <w:kern w:val="2"/>
                <w:sz w:val="21"/>
                <w:szCs w:val="21"/>
                <w:highlight w:val="none"/>
              </w:rPr>
            </w:pPr>
          </w:p>
        </w:tc>
        <w:tc>
          <w:tcPr>
            <w:tcW w:w="6425" w:type="dxa"/>
            <w:vAlign w:val="center"/>
          </w:tcPr>
          <w:p>
            <w:pPr>
              <w:pStyle w:val="55"/>
              <w:spacing w:line="240" w:lineRule="auto"/>
              <w:jc w:val="both"/>
              <w:rPr>
                <w:color w:val="auto"/>
                <w:sz w:val="21"/>
                <w:szCs w:val="21"/>
                <w:highlight w:val="none"/>
              </w:rPr>
            </w:pPr>
            <w:r>
              <w:rPr>
                <w:rFonts w:hint="eastAsia"/>
                <w:color w:val="auto"/>
                <w:sz w:val="21"/>
                <w:szCs w:val="21"/>
                <w:highlight w:val="none"/>
              </w:rPr>
              <w:t>一、小微企业（监狱企业、残疾人福利性单位视同小微企业）价格扣除</w:t>
            </w:r>
          </w:p>
          <w:p>
            <w:pPr>
              <w:pStyle w:val="55"/>
              <w:spacing w:line="240" w:lineRule="auto"/>
              <w:jc w:val="both"/>
              <w:rPr>
                <w:color w:val="auto"/>
                <w:sz w:val="21"/>
                <w:szCs w:val="21"/>
                <w:highlight w:val="none"/>
              </w:rPr>
            </w:pPr>
            <w:r>
              <w:rPr>
                <w:rFonts w:hint="eastAsia"/>
                <w:color w:val="auto"/>
                <w:sz w:val="21"/>
                <w:szCs w:val="21"/>
                <w:highlight w:val="none"/>
              </w:rPr>
              <w:t>1.根据《政府采购促进中小企业发展管理办法》（财库〔2020〕46号）的规定，对于经主管预算单位统筹后未预留份额专门面向中小企业采购的采购项目，以及预留份额项目中的非预留部分采购包，对符合规定的小微企业报价给予10%的扣除，用扣除后的价格参加评审。</w:t>
            </w:r>
          </w:p>
          <w:p>
            <w:pPr>
              <w:pStyle w:val="55"/>
              <w:spacing w:line="240" w:lineRule="auto"/>
              <w:jc w:val="both"/>
              <w:rPr>
                <w:color w:val="auto"/>
                <w:sz w:val="21"/>
                <w:szCs w:val="21"/>
                <w:highlight w:val="none"/>
              </w:rPr>
            </w:pPr>
            <w:r>
              <w:rPr>
                <w:rFonts w:hint="eastAsia"/>
                <w:color w:val="auto"/>
                <w:sz w:val="21"/>
                <w:szCs w:val="21"/>
                <w:highlight w:val="none"/>
              </w:rPr>
              <w:t>2.参加政府采购活动的中小企业应当提供《中小企业声明函》原件。监狱企业应当提供《监狱企业证明》原件。残疾人福利性单位应当提供《残疾人福利性单位声明函》原件。</w:t>
            </w:r>
          </w:p>
          <w:p>
            <w:pPr>
              <w:pStyle w:val="55"/>
              <w:spacing w:line="240" w:lineRule="auto"/>
              <w:jc w:val="both"/>
              <w:rPr>
                <w:rFonts w:hint="eastAsia"/>
                <w:b/>
                <w:bCs/>
                <w:color w:val="auto"/>
                <w:sz w:val="21"/>
                <w:szCs w:val="21"/>
                <w:highlight w:val="none"/>
              </w:rPr>
            </w:pPr>
            <w:r>
              <w:rPr>
                <w:rFonts w:hint="eastAsia"/>
                <w:b/>
                <w:bCs/>
                <w:color w:val="auto"/>
                <w:sz w:val="21"/>
                <w:szCs w:val="21"/>
                <w:highlight w:val="none"/>
              </w:rPr>
              <w:t>3.本项目采购采购标的对应的中小企业划分标准所属行业为：</w:t>
            </w:r>
          </w:p>
          <w:p>
            <w:pPr>
              <w:pStyle w:val="55"/>
              <w:spacing w:line="240" w:lineRule="auto"/>
              <w:jc w:val="both"/>
              <w:rPr>
                <w:rFonts w:hint="eastAsia"/>
                <w:b/>
                <w:bCs/>
                <w:color w:val="auto"/>
                <w:sz w:val="21"/>
                <w:szCs w:val="21"/>
                <w:highlight w:val="none"/>
                <w:u w:val="single"/>
                <w:lang w:val="en-US" w:eastAsia="zh-CN"/>
              </w:rPr>
            </w:pPr>
            <w:r>
              <w:rPr>
                <w:rFonts w:hint="eastAsia"/>
                <w:b/>
                <w:bCs/>
                <w:color w:val="auto"/>
                <w:sz w:val="21"/>
                <w:szCs w:val="21"/>
                <w:highlight w:val="none"/>
                <w:u w:val="single"/>
                <w:lang w:val="en-US" w:eastAsia="zh-CN"/>
              </w:rPr>
              <w:t>01包：工业</w:t>
            </w:r>
            <w:r>
              <w:rPr>
                <w:rFonts w:hint="eastAsia"/>
                <w:b/>
                <w:bCs/>
                <w:color w:val="auto"/>
                <w:sz w:val="21"/>
                <w:szCs w:val="21"/>
                <w:highlight w:val="none"/>
                <w:u w:val="none"/>
                <w:lang w:val="en-US" w:eastAsia="zh-CN"/>
              </w:rPr>
              <w:t>。</w:t>
            </w:r>
          </w:p>
          <w:p>
            <w:pPr>
              <w:pStyle w:val="55"/>
              <w:spacing w:line="240" w:lineRule="auto"/>
              <w:jc w:val="both"/>
              <w:rPr>
                <w:color w:val="auto"/>
                <w:sz w:val="21"/>
                <w:szCs w:val="21"/>
                <w:highlight w:val="none"/>
              </w:rPr>
            </w:pPr>
            <w:r>
              <w:rPr>
                <w:rFonts w:hint="eastAsia"/>
                <w:b/>
                <w:bCs/>
                <w:color w:val="auto"/>
                <w:sz w:val="21"/>
                <w:szCs w:val="21"/>
                <w:highlight w:val="none"/>
                <w:u w:val="single"/>
                <w:lang w:val="en-US" w:eastAsia="zh-CN"/>
              </w:rPr>
              <w:t>02包：</w:t>
            </w:r>
            <w:r>
              <w:rPr>
                <w:rFonts w:hint="eastAsia"/>
                <w:b/>
                <w:bCs/>
                <w:color w:val="auto"/>
                <w:sz w:val="21"/>
                <w:szCs w:val="21"/>
                <w:highlight w:val="none"/>
                <w:u w:val="single"/>
              </w:rPr>
              <w:t>工业</w:t>
            </w:r>
            <w:r>
              <w:rPr>
                <w:rFonts w:hint="eastAsia"/>
                <w:b/>
                <w:bCs/>
                <w:color w:val="auto"/>
                <w:sz w:val="21"/>
                <w:szCs w:val="21"/>
                <w:highlight w:val="none"/>
              </w:rPr>
              <w:t>。</w:t>
            </w:r>
          </w:p>
          <w:p>
            <w:pPr>
              <w:pStyle w:val="55"/>
              <w:spacing w:line="240" w:lineRule="auto"/>
              <w:jc w:val="both"/>
              <w:rPr>
                <w:color w:val="auto"/>
                <w:sz w:val="21"/>
                <w:szCs w:val="21"/>
                <w:highlight w:val="none"/>
              </w:rPr>
            </w:pPr>
            <w:r>
              <w:rPr>
                <w:rFonts w:hint="eastAsia"/>
                <w:color w:val="auto"/>
                <w:sz w:val="21"/>
                <w:szCs w:val="21"/>
                <w:highlight w:val="none"/>
              </w:rPr>
              <w:t>4.残疾人福利性单位属于小型、微型企业的，不重复享受政策。</w:t>
            </w:r>
          </w:p>
          <w:p>
            <w:pPr>
              <w:pStyle w:val="55"/>
              <w:spacing w:line="240" w:lineRule="auto"/>
              <w:jc w:val="both"/>
              <w:rPr>
                <w:color w:val="auto"/>
                <w:sz w:val="21"/>
                <w:szCs w:val="21"/>
                <w:highlight w:val="none"/>
              </w:rPr>
            </w:pPr>
            <w:r>
              <w:rPr>
                <w:rFonts w:hint="eastAsia"/>
                <w:color w:val="auto"/>
                <w:sz w:val="21"/>
                <w:szCs w:val="21"/>
                <w:highlight w:val="none"/>
              </w:rPr>
              <w:t>二、失信企业报价加成或者扣分</w:t>
            </w:r>
          </w:p>
          <w:p>
            <w:pPr>
              <w:pStyle w:val="55"/>
              <w:spacing w:line="240" w:lineRule="auto"/>
              <w:jc w:val="both"/>
              <w:rPr>
                <w:color w:val="auto"/>
                <w:sz w:val="21"/>
                <w:szCs w:val="21"/>
                <w:highlight w:val="none"/>
              </w:rPr>
            </w:pPr>
            <w:r>
              <w:rPr>
                <w:rFonts w:hint="eastAsia"/>
                <w:color w:val="auto"/>
                <w:sz w:val="21"/>
                <w:szCs w:val="21"/>
                <w:highlight w:val="none"/>
              </w:rPr>
              <w:t>1.对记入诚信档案且在有效期内的失信供应商，在参加政府采购活动中直接从总分中扣除 5 分/次，供应商失信行为惩戒实行无限制累加制，直到总分 100 分扣完为止。</w:t>
            </w:r>
          </w:p>
          <w:p>
            <w:pPr>
              <w:pStyle w:val="55"/>
              <w:spacing w:line="240" w:lineRule="auto"/>
              <w:jc w:val="both"/>
              <w:rPr>
                <w:color w:val="auto"/>
                <w:sz w:val="21"/>
                <w:szCs w:val="21"/>
                <w:highlight w:val="none"/>
                <w:lang w:val="zh-CN"/>
              </w:rPr>
            </w:pPr>
            <w:r>
              <w:rPr>
                <w:rFonts w:hint="eastAsia"/>
                <w:b/>
                <w:bCs/>
                <w:color w:val="auto"/>
                <w:sz w:val="21"/>
                <w:szCs w:val="21"/>
                <w:highlight w:val="none"/>
              </w:rPr>
              <w:t>2.供应商参加政府采购活动时，应当就自己的诚信情况在响应文件中进行承诺。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8" w:hRule="atLeast"/>
          <w:jc w:val="center"/>
        </w:trPr>
        <w:tc>
          <w:tcPr>
            <w:tcW w:w="838" w:type="dxa"/>
            <w:vAlign w:val="center"/>
          </w:tcPr>
          <w:p>
            <w:pPr>
              <w:pStyle w:val="55"/>
              <w:ind w:right="230"/>
              <w:jc w:val="center"/>
              <w:rPr>
                <w:color w:val="auto"/>
                <w:sz w:val="21"/>
                <w:szCs w:val="21"/>
                <w:highlight w:val="none"/>
              </w:rPr>
            </w:pPr>
            <w:r>
              <w:rPr>
                <w:rFonts w:hint="eastAsia"/>
                <w:color w:val="auto"/>
                <w:sz w:val="21"/>
                <w:szCs w:val="21"/>
                <w:highlight w:val="none"/>
              </w:rPr>
              <w:t>5</w:t>
            </w:r>
          </w:p>
        </w:tc>
        <w:tc>
          <w:tcPr>
            <w:tcW w:w="2238" w:type="dxa"/>
            <w:vAlign w:val="center"/>
          </w:tcPr>
          <w:p>
            <w:pPr>
              <w:spacing w:line="340" w:lineRule="exact"/>
              <w:ind w:left="105" w:leftChars="50" w:right="105" w:rightChars="50"/>
              <w:jc w:val="center"/>
              <w:rPr>
                <w:rFonts w:ascii="宋体" w:hAnsi="宋体" w:cs="宋体"/>
                <w:color w:val="auto"/>
                <w:kern w:val="0"/>
                <w:szCs w:val="21"/>
                <w:highlight w:val="none"/>
              </w:rPr>
            </w:pPr>
            <w:r>
              <w:rPr>
                <w:rFonts w:hint="eastAsia" w:ascii="宋体" w:hAnsi="宋体" w:cs="宋体"/>
                <w:color w:val="auto"/>
                <w:kern w:val="0"/>
                <w:szCs w:val="21"/>
                <w:highlight w:val="none"/>
              </w:rPr>
              <w:t>节能、环保及无线局域网产品政府采购政策</w:t>
            </w:r>
          </w:p>
          <w:p>
            <w:pPr>
              <w:pStyle w:val="55"/>
              <w:spacing w:after="0"/>
              <w:jc w:val="center"/>
              <w:rPr>
                <w:color w:val="auto"/>
                <w:kern w:val="2"/>
                <w:sz w:val="21"/>
                <w:szCs w:val="21"/>
                <w:highlight w:val="none"/>
              </w:rPr>
            </w:pPr>
          </w:p>
        </w:tc>
        <w:tc>
          <w:tcPr>
            <w:tcW w:w="6425" w:type="dxa"/>
            <w:vAlign w:val="center"/>
          </w:tcPr>
          <w:p>
            <w:pPr>
              <w:pStyle w:val="55"/>
              <w:jc w:val="both"/>
              <w:rPr>
                <w:color w:val="auto"/>
                <w:sz w:val="21"/>
                <w:szCs w:val="21"/>
                <w:highlight w:val="none"/>
              </w:rPr>
            </w:pPr>
            <w:r>
              <w:rPr>
                <w:rFonts w:hint="eastAsia"/>
                <w:color w:val="auto"/>
                <w:sz w:val="21"/>
                <w:szCs w:val="21"/>
                <w:highlight w:val="none"/>
              </w:rPr>
              <w:t>一、节能、环保产品政府采购政策：</w:t>
            </w:r>
          </w:p>
          <w:p>
            <w:pPr>
              <w:pStyle w:val="55"/>
              <w:jc w:val="both"/>
              <w:rPr>
                <w:color w:val="auto"/>
                <w:sz w:val="21"/>
                <w:szCs w:val="21"/>
                <w:highlight w:val="none"/>
              </w:rPr>
            </w:pPr>
            <w:r>
              <w:rPr>
                <w:rFonts w:hint="eastAsia"/>
                <w:color w:val="auto"/>
                <w:sz w:val="21"/>
                <w:szCs w:val="21"/>
                <w:highlight w:val="none"/>
              </w:rPr>
              <w:t>根据《财政部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的规定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pStyle w:val="55"/>
              <w:jc w:val="both"/>
              <w:rPr>
                <w:color w:val="auto"/>
                <w:sz w:val="21"/>
                <w:szCs w:val="21"/>
                <w:highlight w:val="none"/>
              </w:rPr>
            </w:pPr>
            <w:r>
              <w:rPr>
                <w:rFonts w:hint="eastAsia"/>
                <w:color w:val="auto"/>
                <w:sz w:val="21"/>
                <w:szCs w:val="21"/>
                <w:highlight w:val="none"/>
              </w:rPr>
              <w:t>本项目采购的产品属于品目清单强制采购范围的，投标人应当在文件中提供国家确定的认证机构的认证结果信息发布平台公布的该产品认证信息截图或者打印资料，或者在有效期内的认证证书</w:t>
            </w:r>
            <w:r>
              <w:rPr>
                <w:rFonts w:hint="eastAsia"/>
                <w:color w:val="auto"/>
                <w:sz w:val="21"/>
                <w:szCs w:val="21"/>
                <w:highlight w:val="none"/>
                <w:lang w:val="en-US" w:eastAsia="zh-CN"/>
              </w:rPr>
              <w:t>复印件</w:t>
            </w:r>
            <w:r>
              <w:rPr>
                <w:rFonts w:hint="eastAsia"/>
                <w:color w:val="auto"/>
                <w:sz w:val="21"/>
                <w:szCs w:val="21"/>
                <w:highlight w:val="none"/>
              </w:rPr>
              <w:t>并加盖供投标人公章，否则投标文件按无效投标处理。</w:t>
            </w:r>
            <w:r>
              <w:rPr>
                <w:rFonts w:hint="eastAsia"/>
                <w:b/>
                <w:bCs/>
                <w:color w:val="auto"/>
                <w:sz w:val="21"/>
                <w:szCs w:val="21"/>
                <w:highlight w:val="none"/>
                <w:lang w:val="zh-CN"/>
              </w:rPr>
              <w:t>（实质性要求）</w:t>
            </w:r>
          </w:p>
          <w:p>
            <w:pPr>
              <w:pStyle w:val="55"/>
              <w:jc w:val="both"/>
              <w:rPr>
                <w:color w:val="auto"/>
                <w:sz w:val="21"/>
                <w:szCs w:val="21"/>
                <w:highlight w:val="none"/>
              </w:rPr>
            </w:pPr>
            <w:r>
              <w:rPr>
                <w:rFonts w:hint="eastAsia"/>
                <w:color w:val="auto"/>
                <w:sz w:val="21"/>
                <w:szCs w:val="21"/>
                <w:highlight w:val="none"/>
              </w:rPr>
              <w:t>本项目采购的产品属于品目清单优先采购范围的，按照第七章《综合评分明细表》的规则进行评分。</w:t>
            </w:r>
          </w:p>
          <w:p>
            <w:pPr>
              <w:pStyle w:val="55"/>
              <w:jc w:val="both"/>
              <w:rPr>
                <w:color w:val="auto"/>
                <w:sz w:val="21"/>
                <w:szCs w:val="21"/>
                <w:highlight w:val="none"/>
              </w:rPr>
            </w:pPr>
            <w:r>
              <w:rPr>
                <w:rFonts w:hint="eastAsia"/>
                <w:color w:val="auto"/>
                <w:sz w:val="21"/>
                <w:szCs w:val="21"/>
                <w:highlight w:val="none"/>
              </w:rPr>
              <w:t>注：对政府采购节能产品、环境标志产品实施品目清单管理。财政部、发展改革委、生态环境部等部门确定实施政府优先采购和强制采购的产品类别，以品目清单的形式发布并适时调整。</w:t>
            </w:r>
          </w:p>
          <w:p>
            <w:pPr>
              <w:pStyle w:val="55"/>
              <w:jc w:val="both"/>
              <w:rPr>
                <w:color w:val="auto"/>
                <w:sz w:val="21"/>
                <w:szCs w:val="21"/>
                <w:highlight w:val="none"/>
              </w:rPr>
            </w:pPr>
            <w:r>
              <w:rPr>
                <w:rFonts w:hint="eastAsia"/>
                <w:color w:val="auto"/>
                <w:sz w:val="21"/>
                <w:szCs w:val="21"/>
                <w:highlight w:val="none"/>
              </w:rPr>
              <w:t>二、无线局域网产品政府采购政策：</w:t>
            </w:r>
          </w:p>
          <w:p>
            <w:pPr>
              <w:pStyle w:val="55"/>
              <w:jc w:val="both"/>
              <w:rPr>
                <w:b/>
                <w:bCs/>
                <w:color w:val="auto"/>
                <w:sz w:val="21"/>
                <w:szCs w:val="21"/>
                <w:highlight w:val="none"/>
              </w:rPr>
            </w:pPr>
            <w:r>
              <w:rPr>
                <w:rFonts w:hint="eastAsia"/>
                <w:color w:val="auto"/>
                <w:sz w:val="21"/>
                <w:szCs w:val="21"/>
                <w:highlight w:val="none"/>
              </w:rPr>
              <w:t>本项目采购的产品属于中国政府采购网公布的《无线局域网认证产品政府采购清单》的，按照第七章《综合评分明细表》的规则进行评分。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55"/>
              <w:ind w:right="230"/>
              <w:jc w:val="center"/>
              <w:rPr>
                <w:color w:val="auto"/>
                <w:kern w:val="2"/>
                <w:sz w:val="21"/>
                <w:szCs w:val="21"/>
                <w:highlight w:val="none"/>
              </w:rPr>
            </w:pPr>
            <w:r>
              <w:rPr>
                <w:rFonts w:hint="eastAsia"/>
                <w:color w:val="auto"/>
                <w:kern w:val="2"/>
                <w:sz w:val="21"/>
                <w:szCs w:val="21"/>
                <w:highlight w:val="none"/>
              </w:rPr>
              <w:t>6</w:t>
            </w:r>
          </w:p>
        </w:tc>
        <w:tc>
          <w:tcPr>
            <w:tcW w:w="2238" w:type="dxa"/>
            <w:vAlign w:val="center"/>
          </w:tcPr>
          <w:p>
            <w:pPr>
              <w:spacing w:line="340" w:lineRule="exact"/>
              <w:ind w:left="105" w:leftChars="50" w:right="105" w:rightChars="50"/>
              <w:jc w:val="center"/>
              <w:rPr>
                <w:rFonts w:ascii="宋体" w:hAnsi="宋体" w:cs="宋体"/>
                <w:color w:val="auto"/>
                <w:szCs w:val="21"/>
                <w:highlight w:val="none"/>
              </w:rPr>
            </w:pPr>
            <w:r>
              <w:rPr>
                <w:rFonts w:hint="eastAsia" w:ascii="宋体" w:hAnsi="宋体" w:cs="宋体"/>
                <w:color w:val="auto"/>
                <w:kern w:val="0"/>
                <w:szCs w:val="21"/>
                <w:highlight w:val="none"/>
              </w:rPr>
              <w:t>评标情况公告</w:t>
            </w:r>
          </w:p>
        </w:tc>
        <w:tc>
          <w:tcPr>
            <w:tcW w:w="6425" w:type="dxa"/>
            <w:vAlign w:val="center"/>
          </w:tcPr>
          <w:p>
            <w:pPr>
              <w:widowControl/>
              <w:jc w:val="left"/>
              <w:rPr>
                <w:rFonts w:ascii="宋体" w:hAnsi="宋体" w:cs="宋体"/>
                <w:color w:val="auto"/>
                <w:szCs w:val="21"/>
                <w:highlight w:val="none"/>
              </w:rPr>
            </w:pPr>
            <w:bookmarkStart w:id="20" w:name="PO_默认文件内容_6"/>
            <w:r>
              <w:rPr>
                <w:rFonts w:hint="eastAsia" w:ascii="宋体" w:hAnsi="宋体" w:cs="宋体"/>
                <w:color w:val="auto"/>
                <w:kern w:val="0"/>
                <w:szCs w:val="21"/>
                <w:highlight w:val="none"/>
              </w:rPr>
              <w:t>所有供应商投标文件资格性、符合性检查情况、采用综合评分法时的总得分和分项汇总得分情况、评标结果等将在四川政府采购网上采购结果公告栏中予以公告。</w:t>
            </w:r>
            <w:bookmarkEnd w:id="20"/>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55"/>
              <w:ind w:right="230"/>
              <w:jc w:val="center"/>
              <w:rPr>
                <w:color w:val="auto"/>
                <w:kern w:val="2"/>
                <w:sz w:val="21"/>
                <w:szCs w:val="21"/>
                <w:highlight w:val="none"/>
              </w:rPr>
            </w:pPr>
            <w:r>
              <w:rPr>
                <w:rFonts w:hint="eastAsia"/>
                <w:color w:val="auto"/>
                <w:kern w:val="2"/>
                <w:sz w:val="21"/>
                <w:szCs w:val="21"/>
                <w:highlight w:val="none"/>
              </w:rPr>
              <w:t>7</w:t>
            </w:r>
          </w:p>
        </w:tc>
        <w:tc>
          <w:tcPr>
            <w:tcW w:w="2238" w:type="dxa"/>
            <w:vAlign w:val="center"/>
          </w:tcPr>
          <w:p>
            <w:pPr>
              <w:pStyle w:val="55"/>
              <w:ind w:left="96"/>
              <w:jc w:val="center"/>
              <w:rPr>
                <w:color w:val="auto"/>
                <w:sz w:val="21"/>
                <w:szCs w:val="21"/>
                <w:highlight w:val="none"/>
                <w:lang w:val="zh-CN"/>
              </w:rPr>
            </w:pPr>
            <w:r>
              <w:rPr>
                <w:rFonts w:hint="eastAsia"/>
                <w:color w:val="auto"/>
                <w:sz w:val="21"/>
                <w:szCs w:val="21"/>
                <w:highlight w:val="none"/>
                <w:lang w:val="zh-CN"/>
              </w:rPr>
              <w:t>投标保证金</w:t>
            </w:r>
          </w:p>
        </w:tc>
        <w:tc>
          <w:tcPr>
            <w:tcW w:w="6425" w:type="dxa"/>
            <w:vAlign w:val="center"/>
          </w:tcPr>
          <w:p>
            <w:pPr>
              <w:spacing w:line="340" w:lineRule="exact"/>
              <w:ind w:right="105" w:rightChars="50"/>
              <w:jc w:val="left"/>
              <w:rPr>
                <w:rFonts w:ascii="宋体" w:hAnsi="宋体" w:cs="宋体"/>
                <w:color w:val="auto"/>
                <w:szCs w:val="21"/>
                <w:highlight w:val="none"/>
                <w:lang w:val="zh-CN"/>
              </w:rPr>
            </w:pPr>
            <w:r>
              <w:rPr>
                <w:rFonts w:hint="eastAsia" w:ascii="宋体" w:hAnsi="宋体" w:cs="宋体"/>
                <w:color w:val="auto"/>
                <w:szCs w:val="21"/>
                <w:highlight w:val="none"/>
                <w:lang w:val="zh-CN"/>
              </w:rPr>
              <w:t>本项目不收取</w:t>
            </w:r>
            <w:r>
              <w:rPr>
                <w:rFonts w:hint="eastAsia" w:ascii="宋体" w:hAnsi="宋体" w:cs="宋体"/>
                <w:color w:val="auto"/>
                <w:szCs w:val="21"/>
                <w:highlight w:val="none"/>
              </w:rPr>
              <w:t>投标</w:t>
            </w:r>
            <w:r>
              <w:rPr>
                <w:rFonts w:hint="eastAsia" w:ascii="宋体" w:hAnsi="宋体" w:cs="宋体"/>
                <w:color w:val="auto"/>
                <w:szCs w:val="21"/>
                <w:highlight w:val="none"/>
                <w:lang w:val="zh-CN"/>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55"/>
              <w:ind w:right="264"/>
              <w:jc w:val="center"/>
              <w:rPr>
                <w:color w:val="auto"/>
                <w:kern w:val="2"/>
                <w:sz w:val="21"/>
                <w:szCs w:val="21"/>
                <w:highlight w:val="none"/>
              </w:rPr>
            </w:pPr>
            <w:r>
              <w:rPr>
                <w:rFonts w:hint="eastAsia"/>
                <w:color w:val="auto"/>
                <w:kern w:val="2"/>
                <w:sz w:val="21"/>
                <w:szCs w:val="21"/>
                <w:highlight w:val="none"/>
              </w:rPr>
              <w:t>8</w:t>
            </w:r>
          </w:p>
        </w:tc>
        <w:tc>
          <w:tcPr>
            <w:tcW w:w="2238" w:type="dxa"/>
            <w:vAlign w:val="center"/>
          </w:tcPr>
          <w:p>
            <w:pPr>
              <w:pStyle w:val="55"/>
              <w:ind w:left="96"/>
              <w:jc w:val="center"/>
              <w:rPr>
                <w:color w:val="auto"/>
                <w:sz w:val="21"/>
                <w:szCs w:val="21"/>
                <w:highlight w:val="none"/>
                <w:lang w:val="zh-CN"/>
              </w:rPr>
            </w:pPr>
            <w:r>
              <w:rPr>
                <w:rFonts w:hint="eastAsia"/>
                <w:color w:val="auto"/>
                <w:sz w:val="21"/>
                <w:szCs w:val="21"/>
                <w:highlight w:val="none"/>
                <w:lang w:val="zh-CN"/>
              </w:rPr>
              <w:t>履约保证金</w:t>
            </w:r>
          </w:p>
        </w:tc>
        <w:tc>
          <w:tcPr>
            <w:tcW w:w="6425" w:type="dxa"/>
            <w:vAlign w:val="center"/>
          </w:tcPr>
          <w:p>
            <w:pPr>
              <w:tabs>
                <w:tab w:val="left" w:pos="7665"/>
              </w:tabs>
              <w:spacing w:line="400" w:lineRule="exact"/>
              <w:rPr>
                <w:rFonts w:ascii="宋体" w:hAnsi="宋体" w:cs="宋体"/>
                <w:color w:val="auto"/>
                <w:highlight w:val="none"/>
                <w:lang w:val="zh-CN"/>
              </w:rPr>
            </w:pPr>
            <w:r>
              <w:rPr>
                <w:rFonts w:hint="eastAsia" w:ascii="宋体" w:hAnsi="宋体" w:cs="宋体"/>
                <w:color w:val="auto"/>
                <w:szCs w:val="21"/>
                <w:highlight w:val="none"/>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6" w:hRule="atLeast"/>
          <w:jc w:val="center"/>
        </w:trPr>
        <w:tc>
          <w:tcPr>
            <w:tcW w:w="838" w:type="dxa"/>
            <w:tcBorders>
              <w:top w:val="single" w:color="auto" w:sz="4" w:space="0"/>
              <w:bottom w:val="single" w:color="auto" w:sz="4" w:space="0"/>
            </w:tcBorders>
            <w:vAlign w:val="center"/>
          </w:tcPr>
          <w:p>
            <w:pPr>
              <w:pStyle w:val="55"/>
              <w:ind w:right="264"/>
              <w:jc w:val="center"/>
              <w:rPr>
                <w:color w:val="auto"/>
                <w:kern w:val="2"/>
                <w:sz w:val="21"/>
                <w:szCs w:val="21"/>
                <w:highlight w:val="none"/>
              </w:rPr>
            </w:pPr>
            <w:r>
              <w:rPr>
                <w:rFonts w:hint="eastAsia"/>
                <w:color w:val="auto"/>
                <w:kern w:val="2"/>
                <w:sz w:val="21"/>
                <w:szCs w:val="21"/>
                <w:highlight w:val="none"/>
              </w:rPr>
              <w:t>9</w:t>
            </w:r>
          </w:p>
        </w:tc>
        <w:tc>
          <w:tcPr>
            <w:tcW w:w="2238" w:type="dxa"/>
            <w:tcBorders>
              <w:top w:val="single" w:color="auto" w:sz="4" w:space="0"/>
              <w:bottom w:val="single" w:color="auto" w:sz="4" w:space="0"/>
            </w:tcBorders>
            <w:vAlign w:val="center"/>
          </w:tcPr>
          <w:p>
            <w:pPr>
              <w:pStyle w:val="55"/>
              <w:jc w:val="center"/>
              <w:rPr>
                <w:color w:val="auto"/>
                <w:kern w:val="2"/>
                <w:sz w:val="21"/>
                <w:szCs w:val="21"/>
                <w:highlight w:val="none"/>
              </w:rPr>
            </w:pPr>
            <w:r>
              <w:rPr>
                <w:rFonts w:hint="eastAsia"/>
                <w:color w:val="auto"/>
                <w:kern w:val="2"/>
                <w:sz w:val="21"/>
                <w:szCs w:val="21"/>
                <w:highlight w:val="none"/>
              </w:rPr>
              <w:t>采购项目具体事项/采购文件内容咨询</w:t>
            </w:r>
          </w:p>
        </w:tc>
        <w:tc>
          <w:tcPr>
            <w:tcW w:w="6425" w:type="dxa"/>
            <w:tcBorders>
              <w:top w:val="single" w:color="auto" w:sz="4" w:space="0"/>
              <w:bottom w:val="single" w:color="auto" w:sz="4" w:space="0"/>
            </w:tcBorders>
            <w:vAlign w:val="center"/>
          </w:tcPr>
          <w:p>
            <w:pPr>
              <w:spacing w:line="340" w:lineRule="exact"/>
              <w:ind w:right="105" w:rightChars="50"/>
              <w:jc w:val="left"/>
              <w:rPr>
                <w:rFonts w:ascii="宋体" w:hAnsi="宋体" w:cs="宋体"/>
                <w:color w:val="auto"/>
                <w:szCs w:val="21"/>
                <w:highlight w:val="none"/>
              </w:rPr>
            </w:pPr>
            <w:r>
              <w:rPr>
                <w:rFonts w:hint="eastAsia" w:ascii="宋体" w:hAnsi="宋体" w:cs="宋体"/>
                <w:color w:val="auto"/>
                <w:szCs w:val="21"/>
                <w:highlight w:val="none"/>
              </w:rPr>
              <w:t xml:space="preserve">联系人：雷先生。 </w:t>
            </w:r>
          </w:p>
          <w:p>
            <w:pPr>
              <w:spacing w:line="340" w:lineRule="exact"/>
              <w:ind w:right="105" w:rightChars="50"/>
              <w:jc w:val="left"/>
              <w:rPr>
                <w:rFonts w:ascii="宋体" w:hAnsi="宋体" w:cs="宋体"/>
                <w:color w:val="auto"/>
                <w:szCs w:val="21"/>
                <w:highlight w:val="none"/>
              </w:rPr>
            </w:pPr>
            <w:r>
              <w:rPr>
                <w:rFonts w:hint="eastAsia" w:ascii="宋体" w:hAnsi="宋体" w:cs="宋体"/>
                <w:color w:val="auto"/>
                <w:szCs w:val="21"/>
                <w:highlight w:val="none"/>
              </w:rPr>
              <w:t>联系电话：028-86958918。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4" w:hRule="atLeast"/>
          <w:jc w:val="center"/>
        </w:trPr>
        <w:tc>
          <w:tcPr>
            <w:tcW w:w="838" w:type="dxa"/>
            <w:tcBorders>
              <w:top w:val="single" w:color="auto" w:sz="4" w:space="0"/>
              <w:bottom w:val="single" w:color="auto" w:sz="4" w:space="0"/>
            </w:tcBorders>
            <w:vAlign w:val="center"/>
          </w:tcPr>
          <w:p>
            <w:pPr>
              <w:pStyle w:val="55"/>
              <w:spacing w:before="72" w:after="72"/>
              <w:ind w:right="264"/>
              <w:jc w:val="center"/>
              <w:rPr>
                <w:color w:val="auto"/>
                <w:kern w:val="2"/>
                <w:sz w:val="21"/>
                <w:szCs w:val="21"/>
                <w:highlight w:val="none"/>
              </w:rPr>
            </w:pPr>
            <w:r>
              <w:rPr>
                <w:rFonts w:hint="eastAsia"/>
                <w:color w:val="auto"/>
                <w:kern w:val="2"/>
                <w:sz w:val="21"/>
                <w:szCs w:val="21"/>
                <w:highlight w:val="none"/>
              </w:rPr>
              <w:t>10</w:t>
            </w:r>
          </w:p>
        </w:tc>
        <w:tc>
          <w:tcPr>
            <w:tcW w:w="2238" w:type="dxa"/>
            <w:tcBorders>
              <w:top w:val="single" w:color="auto" w:sz="4" w:space="0"/>
              <w:bottom w:val="single" w:color="auto" w:sz="4" w:space="0"/>
            </w:tcBorders>
            <w:vAlign w:val="center"/>
          </w:tcPr>
          <w:p>
            <w:pPr>
              <w:pStyle w:val="55"/>
              <w:jc w:val="center"/>
              <w:rPr>
                <w:color w:val="auto"/>
                <w:kern w:val="2"/>
                <w:sz w:val="21"/>
                <w:szCs w:val="21"/>
                <w:highlight w:val="none"/>
              </w:rPr>
            </w:pPr>
            <w:r>
              <w:rPr>
                <w:rFonts w:hint="eastAsia"/>
                <w:color w:val="auto"/>
                <w:kern w:val="2"/>
                <w:sz w:val="21"/>
                <w:szCs w:val="21"/>
                <w:highlight w:val="none"/>
              </w:rPr>
              <w:t>开标、评标工作咨询</w:t>
            </w:r>
          </w:p>
        </w:tc>
        <w:tc>
          <w:tcPr>
            <w:tcW w:w="6425" w:type="dxa"/>
            <w:tcBorders>
              <w:top w:val="single" w:color="auto" w:sz="4" w:space="0"/>
              <w:bottom w:val="single" w:color="auto" w:sz="4" w:space="0"/>
            </w:tcBorders>
            <w:vAlign w:val="center"/>
          </w:tcPr>
          <w:p>
            <w:pPr>
              <w:spacing w:line="340" w:lineRule="exact"/>
              <w:ind w:right="105" w:rightChars="50"/>
              <w:jc w:val="left"/>
              <w:rPr>
                <w:rFonts w:ascii="宋体" w:hAnsi="宋体" w:cs="宋体"/>
                <w:color w:val="auto"/>
                <w:szCs w:val="21"/>
                <w:highlight w:val="none"/>
              </w:rPr>
            </w:pPr>
            <w:r>
              <w:rPr>
                <w:rFonts w:hint="eastAsia" w:ascii="宋体" w:hAnsi="宋体" w:cs="宋体"/>
                <w:color w:val="auto"/>
                <w:szCs w:val="21"/>
                <w:highlight w:val="none"/>
              </w:rPr>
              <w:t xml:space="preserve">联系人：雷先生。    </w:t>
            </w:r>
          </w:p>
          <w:p>
            <w:pPr>
              <w:spacing w:line="340" w:lineRule="exact"/>
              <w:ind w:right="105" w:rightChars="50"/>
              <w:jc w:val="left"/>
              <w:rPr>
                <w:rFonts w:ascii="宋体" w:hAnsi="宋体" w:cs="宋体"/>
                <w:color w:val="auto"/>
                <w:szCs w:val="21"/>
                <w:highlight w:val="none"/>
              </w:rPr>
            </w:pPr>
            <w:r>
              <w:rPr>
                <w:rFonts w:hint="eastAsia" w:ascii="宋体" w:hAnsi="宋体" w:cs="宋体"/>
                <w:color w:val="auto"/>
                <w:szCs w:val="21"/>
                <w:highlight w:val="none"/>
              </w:rPr>
              <w:t>联系电话：028-86958918。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pPr>
              <w:pStyle w:val="55"/>
              <w:ind w:right="264"/>
              <w:jc w:val="center"/>
              <w:rPr>
                <w:color w:val="auto"/>
                <w:kern w:val="2"/>
                <w:sz w:val="21"/>
                <w:szCs w:val="21"/>
                <w:highlight w:val="none"/>
              </w:rPr>
            </w:pPr>
            <w:r>
              <w:rPr>
                <w:rFonts w:hint="eastAsia"/>
                <w:color w:val="auto"/>
                <w:kern w:val="2"/>
                <w:sz w:val="21"/>
                <w:szCs w:val="21"/>
                <w:highlight w:val="none"/>
              </w:rPr>
              <w:t>11</w:t>
            </w:r>
          </w:p>
        </w:tc>
        <w:tc>
          <w:tcPr>
            <w:tcW w:w="2238" w:type="dxa"/>
            <w:tcBorders>
              <w:top w:val="single" w:color="auto" w:sz="4" w:space="0"/>
            </w:tcBorders>
            <w:vAlign w:val="center"/>
          </w:tcPr>
          <w:p>
            <w:pPr>
              <w:spacing w:line="340" w:lineRule="exact"/>
              <w:ind w:left="105" w:leftChars="50" w:right="105" w:rightChars="50"/>
              <w:jc w:val="center"/>
              <w:rPr>
                <w:rFonts w:ascii="宋体" w:hAnsi="宋体" w:cs="宋体"/>
                <w:color w:val="auto"/>
                <w:szCs w:val="21"/>
                <w:highlight w:val="none"/>
              </w:rPr>
            </w:pPr>
            <w:r>
              <w:rPr>
                <w:rFonts w:hint="eastAsia" w:ascii="宋体" w:hAnsi="宋体" w:cs="宋体"/>
                <w:color w:val="auto"/>
                <w:szCs w:val="21"/>
                <w:highlight w:val="none"/>
              </w:rPr>
              <w:t>中标通知书领取</w:t>
            </w:r>
          </w:p>
        </w:tc>
        <w:tc>
          <w:tcPr>
            <w:tcW w:w="6425" w:type="dxa"/>
            <w:tcBorders>
              <w:top w:val="single" w:color="auto" w:sz="4" w:space="0"/>
            </w:tcBorders>
            <w:vAlign w:val="center"/>
          </w:tcPr>
          <w:p>
            <w:pPr>
              <w:tabs>
                <w:tab w:val="left" w:pos="7665"/>
              </w:tabs>
              <w:spacing w:line="400" w:lineRule="exact"/>
              <w:rPr>
                <w:rFonts w:ascii="宋体" w:hAnsi="宋体" w:cs="宋体"/>
                <w:color w:val="auto"/>
                <w:szCs w:val="21"/>
                <w:highlight w:val="none"/>
              </w:rPr>
            </w:pPr>
            <w:bookmarkStart w:id="21" w:name="PO_默认文件内容_29"/>
            <w:r>
              <w:rPr>
                <w:rFonts w:hint="eastAsia" w:ascii="宋体" w:hAnsi="宋体" w:cs="宋体"/>
                <w:color w:val="auto"/>
                <w:szCs w:val="21"/>
                <w:highlight w:val="none"/>
              </w:rPr>
              <w:t>中标公告在四川政府采购网上公告后，请中标供应商凭有效身份证明证件和已付采购代理服务费的转账凭证到</w:t>
            </w:r>
            <w:r>
              <w:rPr>
                <w:rFonts w:hint="eastAsia" w:ascii="宋体" w:hAnsi="宋体" w:cs="宋体"/>
                <w:color w:val="auto"/>
                <w:szCs w:val="21"/>
                <w:highlight w:val="none"/>
                <w:lang w:val="zh-CN"/>
              </w:rPr>
              <w:t>采购代理机构</w:t>
            </w:r>
            <w:r>
              <w:rPr>
                <w:rFonts w:hint="eastAsia" w:ascii="宋体" w:hAnsi="宋体" w:cs="宋体"/>
                <w:color w:val="auto"/>
                <w:szCs w:val="21"/>
                <w:highlight w:val="none"/>
              </w:rPr>
              <w:t>领取中标通知书。</w:t>
            </w:r>
          </w:p>
          <w:p>
            <w:pPr>
              <w:rPr>
                <w:rFonts w:ascii="宋体" w:hAnsi="宋体" w:cs="宋体"/>
                <w:color w:val="auto"/>
                <w:szCs w:val="21"/>
                <w:highlight w:val="none"/>
                <w:lang w:val="zh-CN"/>
              </w:rPr>
            </w:pPr>
            <w:r>
              <w:rPr>
                <w:rFonts w:hint="eastAsia" w:ascii="宋体" w:hAnsi="宋体" w:cs="宋体"/>
                <w:color w:val="auto"/>
                <w:szCs w:val="21"/>
                <w:highlight w:val="none"/>
                <w:lang w:val="zh-CN"/>
              </w:rPr>
              <w:t>联系人：</w:t>
            </w:r>
            <w:r>
              <w:rPr>
                <w:rFonts w:hint="eastAsia" w:ascii="宋体" w:hAnsi="宋体" w:cs="宋体"/>
                <w:color w:val="auto"/>
                <w:szCs w:val="21"/>
                <w:highlight w:val="none"/>
              </w:rPr>
              <w:t>雷先生</w:t>
            </w:r>
            <w:r>
              <w:rPr>
                <w:rFonts w:hint="eastAsia" w:ascii="宋体" w:hAnsi="宋体" w:cs="宋体"/>
                <w:color w:val="auto"/>
                <w:szCs w:val="21"/>
                <w:highlight w:val="none"/>
                <w:lang w:val="zh-CN"/>
              </w:rPr>
              <w:t>。</w:t>
            </w:r>
          </w:p>
          <w:p>
            <w:pPr>
              <w:rPr>
                <w:rFonts w:ascii="宋体" w:hAnsi="宋体" w:cs="宋体"/>
                <w:color w:val="auto"/>
                <w:szCs w:val="21"/>
                <w:highlight w:val="none"/>
                <w:lang w:val="zh-CN"/>
              </w:rPr>
            </w:pPr>
            <w:r>
              <w:rPr>
                <w:rFonts w:hint="eastAsia" w:ascii="宋体" w:hAnsi="宋体" w:cs="宋体"/>
                <w:color w:val="auto"/>
                <w:szCs w:val="21"/>
                <w:highlight w:val="none"/>
                <w:lang w:val="zh-CN"/>
              </w:rPr>
              <w:t>联系电话：</w:t>
            </w:r>
            <w:r>
              <w:rPr>
                <w:rFonts w:hint="eastAsia" w:ascii="宋体" w:hAnsi="宋体" w:cs="宋体"/>
                <w:color w:val="auto"/>
                <w:szCs w:val="21"/>
                <w:highlight w:val="none"/>
              </w:rPr>
              <w:t>028-86958918</w:t>
            </w:r>
            <w:r>
              <w:rPr>
                <w:rFonts w:hint="eastAsia" w:ascii="宋体" w:hAnsi="宋体" w:cs="宋体"/>
                <w:color w:val="auto"/>
                <w:szCs w:val="21"/>
                <w:highlight w:val="none"/>
                <w:lang w:val="zh-CN"/>
              </w:rPr>
              <w:t>。</w:t>
            </w:r>
          </w:p>
          <w:p>
            <w:pPr>
              <w:rPr>
                <w:rFonts w:ascii="宋体" w:hAnsi="宋体" w:cs="宋体"/>
                <w:color w:val="auto"/>
                <w:szCs w:val="21"/>
                <w:highlight w:val="none"/>
                <w:lang w:val="zh-CN"/>
              </w:rPr>
            </w:pPr>
            <w:r>
              <w:rPr>
                <w:rFonts w:hint="eastAsia" w:ascii="宋体" w:hAnsi="宋体" w:cs="宋体"/>
                <w:color w:val="auto"/>
                <w:szCs w:val="21"/>
                <w:highlight w:val="none"/>
                <w:lang w:val="zh-CN"/>
              </w:rPr>
              <w:t>地址：成都市双流区东升镇龙桥路 6 号宗申.赛纳维 132 栋 5 楼 502 室。</w:t>
            </w:r>
            <w:bookmarkEnd w:id="21"/>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pPr>
              <w:pStyle w:val="55"/>
              <w:ind w:right="264"/>
              <w:jc w:val="center"/>
              <w:rPr>
                <w:color w:val="auto"/>
                <w:kern w:val="2"/>
                <w:sz w:val="21"/>
                <w:szCs w:val="21"/>
                <w:highlight w:val="none"/>
              </w:rPr>
            </w:pPr>
            <w:r>
              <w:rPr>
                <w:rFonts w:hint="eastAsia"/>
                <w:color w:val="auto"/>
                <w:kern w:val="2"/>
                <w:sz w:val="21"/>
                <w:szCs w:val="21"/>
                <w:highlight w:val="none"/>
              </w:rPr>
              <w:t>12</w:t>
            </w:r>
          </w:p>
        </w:tc>
        <w:tc>
          <w:tcPr>
            <w:tcW w:w="2238" w:type="dxa"/>
            <w:tcBorders>
              <w:top w:val="single" w:color="auto" w:sz="4" w:space="0"/>
            </w:tcBorders>
            <w:vAlign w:val="center"/>
          </w:tcPr>
          <w:p>
            <w:pPr>
              <w:pStyle w:val="55"/>
              <w:jc w:val="center"/>
              <w:rPr>
                <w:color w:val="auto"/>
                <w:kern w:val="2"/>
                <w:sz w:val="21"/>
                <w:szCs w:val="21"/>
                <w:highlight w:val="none"/>
              </w:rPr>
            </w:pPr>
            <w:r>
              <w:rPr>
                <w:rFonts w:hint="eastAsia"/>
                <w:color w:val="auto"/>
                <w:kern w:val="2"/>
                <w:sz w:val="21"/>
                <w:szCs w:val="21"/>
                <w:highlight w:val="none"/>
              </w:rPr>
              <w:t>供应商询问</w:t>
            </w:r>
          </w:p>
        </w:tc>
        <w:tc>
          <w:tcPr>
            <w:tcW w:w="6425" w:type="dxa"/>
            <w:tcBorders>
              <w:top w:val="single" w:color="auto" w:sz="4" w:space="0"/>
            </w:tcBorders>
          </w:tcPr>
          <w:p>
            <w:pPr>
              <w:ind w:firstLine="105" w:firstLineChars="50"/>
              <w:rPr>
                <w:rFonts w:ascii="宋体" w:hAnsi="宋体" w:cs="宋体"/>
                <w:color w:val="auto"/>
                <w:szCs w:val="21"/>
                <w:highlight w:val="none"/>
                <w:lang w:val="zh-CN"/>
              </w:rPr>
            </w:pPr>
            <w:bookmarkStart w:id="22" w:name="PO_默认文件内容_31"/>
            <w:r>
              <w:rPr>
                <w:rFonts w:hint="eastAsia" w:ascii="宋体" w:hAnsi="宋体" w:cs="宋体"/>
                <w:color w:val="auto"/>
                <w:szCs w:val="21"/>
                <w:highlight w:val="none"/>
                <w:lang w:val="zh-CN"/>
              </w:rPr>
              <w:t>根据委托代理协议约定（采购人负责采购文件技术参数部分的询问，采购代理机构负责采购文件技术参数部分以外的询问）。</w:t>
            </w:r>
          </w:p>
          <w:p>
            <w:pPr>
              <w:rPr>
                <w:rFonts w:ascii="宋体" w:hAnsi="宋体" w:cs="宋体"/>
                <w:color w:val="auto"/>
                <w:szCs w:val="21"/>
                <w:highlight w:val="none"/>
                <w:lang w:val="zh-CN"/>
              </w:rPr>
            </w:pPr>
            <w:r>
              <w:rPr>
                <w:rFonts w:hint="eastAsia" w:ascii="宋体" w:hAnsi="宋体" w:cs="宋体"/>
                <w:color w:val="auto"/>
                <w:szCs w:val="21"/>
                <w:highlight w:val="none"/>
                <w:lang w:val="zh-CN"/>
              </w:rPr>
              <w:t>采 购 人：成都市生态环境科研监测所</w:t>
            </w:r>
          </w:p>
          <w:bookmarkEnd w:id="22"/>
          <w:p>
            <w:pPr>
              <w:spacing w:line="340" w:lineRule="exact"/>
              <w:ind w:right="105" w:rightChars="50"/>
              <w:jc w:val="left"/>
              <w:rPr>
                <w:rFonts w:hint="eastAsia" w:ascii="宋体" w:hAnsi="宋体" w:cs="宋体"/>
                <w:color w:val="auto"/>
                <w:szCs w:val="21"/>
                <w:highlight w:val="none"/>
              </w:rPr>
            </w:pPr>
            <w:r>
              <w:rPr>
                <w:rFonts w:hint="eastAsia" w:ascii="宋体" w:hAnsi="宋体" w:cs="宋体"/>
                <w:color w:val="auto"/>
                <w:szCs w:val="21"/>
                <w:highlight w:val="none"/>
              </w:rPr>
              <w:t>联 系 人：李老师、侯老师</w:t>
            </w:r>
          </w:p>
          <w:p>
            <w:pPr>
              <w:spacing w:line="340" w:lineRule="exact"/>
              <w:ind w:right="105" w:rightChars="50"/>
              <w:jc w:val="left"/>
              <w:rPr>
                <w:rFonts w:ascii="宋体" w:hAnsi="宋体" w:cs="宋体"/>
                <w:color w:val="auto"/>
                <w:szCs w:val="21"/>
                <w:highlight w:val="none"/>
              </w:rPr>
            </w:pPr>
            <w:r>
              <w:rPr>
                <w:rFonts w:hint="eastAsia" w:ascii="宋体" w:hAnsi="宋体" w:cs="宋体"/>
                <w:color w:val="auto"/>
                <w:szCs w:val="21"/>
                <w:highlight w:val="none"/>
              </w:rPr>
              <w:t>联系电话：028-68738205</w:t>
            </w:r>
          </w:p>
          <w:p>
            <w:pPr>
              <w:spacing w:line="340" w:lineRule="exact"/>
              <w:ind w:right="105" w:rightChars="50"/>
              <w:jc w:val="left"/>
              <w:rPr>
                <w:rFonts w:ascii="宋体" w:hAnsi="宋体" w:cs="宋体"/>
                <w:color w:val="auto"/>
                <w:szCs w:val="21"/>
                <w:highlight w:val="none"/>
              </w:rPr>
            </w:pPr>
            <w:r>
              <w:rPr>
                <w:rFonts w:hint="eastAsia" w:ascii="宋体" w:hAnsi="宋体" w:cs="宋体"/>
                <w:color w:val="auto"/>
                <w:szCs w:val="21"/>
                <w:highlight w:val="none"/>
              </w:rPr>
              <w:t>采购代理机构：四川军贤工程项目管理有限公司</w:t>
            </w:r>
          </w:p>
          <w:p>
            <w:pPr>
              <w:spacing w:line="340" w:lineRule="exact"/>
              <w:ind w:right="105" w:rightChars="50"/>
              <w:jc w:val="left"/>
              <w:rPr>
                <w:rFonts w:ascii="宋体" w:hAnsi="宋体" w:cs="宋体"/>
                <w:color w:val="auto"/>
                <w:szCs w:val="21"/>
                <w:highlight w:val="none"/>
              </w:rPr>
            </w:pPr>
            <w:r>
              <w:rPr>
                <w:rFonts w:hint="eastAsia" w:ascii="宋体" w:hAnsi="宋体" w:cs="宋体"/>
                <w:color w:val="auto"/>
                <w:szCs w:val="21"/>
                <w:highlight w:val="none"/>
              </w:rPr>
              <w:t>联系人：雷先生</w:t>
            </w:r>
          </w:p>
          <w:p>
            <w:pPr>
              <w:rPr>
                <w:rFonts w:ascii="宋体" w:hAnsi="宋体" w:cs="宋体"/>
                <w:color w:val="auto"/>
                <w:szCs w:val="21"/>
                <w:highlight w:val="none"/>
              </w:rPr>
            </w:pPr>
            <w:r>
              <w:rPr>
                <w:rFonts w:hint="eastAsia" w:ascii="宋体" w:hAnsi="宋体" w:cs="宋体"/>
                <w:color w:val="auto"/>
                <w:szCs w:val="21"/>
                <w:highlight w:val="none"/>
              </w:rPr>
              <w:t>联系电话：028-86958918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55"/>
              <w:ind w:right="264"/>
              <w:jc w:val="center"/>
              <w:rPr>
                <w:color w:val="auto"/>
                <w:kern w:val="2"/>
                <w:sz w:val="21"/>
                <w:szCs w:val="21"/>
                <w:highlight w:val="none"/>
              </w:rPr>
            </w:pPr>
            <w:r>
              <w:rPr>
                <w:rFonts w:hint="eastAsia"/>
                <w:color w:val="auto"/>
                <w:kern w:val="2"/>
                <w:sz w:val="21"/>
                <w:szCs w:val="21"/>
                <w:highlight w:val="none"/>
              </w:rPr>
              <w:t>13</w:t>
            </w:r>
          </w:p>
        </w:tc>
        <w:tc>
          <w:tcPr>
            <w:tcW w:w="2238" w:type="dxa"/>
            <w:vAlign w:val="center"/>
          </w:tcPr>
          <w:p>
            <w:pPr>
              <w:pStyle w:val="55"/>
              <w:jc w:val="center"/>
              <w:rPr>
                <w:color w:val="auto"/>
                <w:kern w:val="2"/>
                <w:sz w:val="21"/>
                <w:szCs w:val="21"/>
                <w:highlight w:val="none"/>
              </w:rPr>
            </w:pPr>
            <w:r>
              <w:rPr>
                <w:rFonts w:hint="eastAsia"/>
                <w:color w:val="auto"/>
                <w:kern w:val="2"/>
                <w:sz w:val="21"/>
                <w:szCs w:val="21"/>
                <w:highlight w:val="none"/>
              </w:rPr>
              <w:t>供应商质疑</w:t>
            </w:r>
          </w:p>
        </w:tc>
        <w:tc>
          <w:tcPr>
            <w:tcW w:w="6425" w:type="dxa"/>
            <w:vAlign w:val="center"/>
          </w:tcPr>
          <w:p>
            <w:pPr>
              <w:spacing w:line="340" w:lineRule="exact"/>
              <w:ind w:right="105" w:rightChars="50"/>
              <w:jc w:val="left"/>
              <w:rPr>
                <w:rFonts w:ascii="宋体" w:hAnsi="宋体" w:cs="宋体"/>
                <w:color w:val="auto"/>
                <w:szCs w:val="21"/>
                <w:highlight w:val="none"/>
              </w:rPr>
            </w:pPr>
            <w:bookmarkStart w:id="23" w:name="PO_默认文件内容_30"/>
            <w:r>
              <w:rPr>
                <w:rFonts w:hint="eastAsia" w:ascii="宋体" w:hAnsi="宋体" w:cs="宋体"/>
                <w:color w:val="auto"/>
                <w:szCs w:val="21"/>
                <w:highlight w:val="none"/>
              </w:rPr>
              <w:t>根据委托代理协议约定（采购人负责采购文件技术参数部分的质疑答复，采购代理机构负责采购文件技术参数部分以外的质疑答复）</w:t>
            </w:r>
            <w:r>
              <w:rPr>
                <w:rFonts w:hint="eastAsia" w:ascii="宋体" w:hAnsi="宋体" w:cs="宋体"/>
                <w:color w:val="auto"/>
                <w:szCs w:val="21"/>
                <w:highlight w:val="none"/>
                <w:lang w:val="zh-CN"/>
              </w:rPr>
              <w:t>。</w:t>
            </w:r>
          </w:p>
          <w:p>
            <w:pPr>
              <w:spacing w:line="340" w:lineRule="exact"/>
              <w:ind w:right="105" w:rightChars="50"/>
              <w:jc w:val="left"/>
              <w:rPr>
                <w:rFonts w:ascii="宋体" w:hAnsi="宋体" w:cs="宋体"/>
                <w:color w:val="auto"/>
                <w:szCs w:val="21"/>
                <w:highlight w:val="none"/>
                <w:lang w:val="zh-CN"/>
              </w:rPr>
            </w:pPr>
            <w:r>
              <w:rPr>
                <w:rFonts w:hint="eastAsia" w:ascii="宋体" w:hAnsi="宋体" w:cs="宋体"/>
                <w:color w:val="auto"/>
                <w:szCs w:val="21"/>
                <w:highlight w:val="none"/>
                <w:lang w:val="zh-CN"/>
              </w:rPr>
              <w:t>采 购 人：成都市生态环境科研监测所</w:t>
            </w:r>
          </w:p>
          <w:p>
            <w:pPr>
              <w:spacing w:line="340" w:lineRule="exact"/>
              <w:ind w:right="105" w:rightChars="50"/>
              <w:jc w:val="left"/>
              <w:rPr>
                <w:rFonts w:ascii="宋体" w:hAnsi="宋体" w:cs="宋体"/>
                <w:color w:val="auto"/>
                <w:szCs w:val="21"/>
                <w:highlight w:val="none"/>
                <w:lang w:val="zh-CN"/>
              </w:rPr>
            </w:pPr>
            <w:r>
              <w:rPr>
                <w:rFonts w:hint="eastAsia" w:ascii="宋体" w:hAnsi="宋体" w:cs="宋体"/>
                <w:color w:val="auto"/>
                <w:szCs w:val="21"/>
                <w:highlight w:val="none"/>
                <w:lang w:val="zh-CN"/>
              </w:rPr>
              <w:t>联 系 人：</w:t>
            </w:r>
            <w:r>
              <w:rPr>
                <w:rFonts w:hint="eastAsia" w:ascii="宋体" w:hAnsi="宋体" w:cs="宋体"/>
                <w:color w:val="auto"/>
                <w:szCs w:val="21"/>
                <w:highlight w:val="none"/>
              </w:rPr>
              <w:t>李老师、侯老师</w:t>
            </w:r>
          </w:p>
          <w:p>
            <w:pPr>
              <w:spacing w:line="340" w:lineRule="exact"/>
              <w:ind w:right="105" w:rightChars="50"/>
              <w:jc w:val="left"/>
              <w:rPr>
                <w:rFonts w:ascii="宋体" w:hAnsi="宋体" w:cs="宋体"/>
                <w:color w:val="auto"/>
                <w:szCs w:val="21"/>
                <w:highlight w:val="none"/>
                <w:lang w:val="zh-CN"/>
              </w:rPr>
            </w:pPr>
            <w:r>
              <w:rPr>
                <w:rFonts w:hint="eastAsia" w:ascii="宋体" w:hAnsi="宋体" w:cs="宋体"/>
                <w:color w:val="auto"/>
                <w:szCs w:val="21"/>
                <w:highlight w:val="none"/>
                <w:lang w:val="zh-CN"/>
              </w:rPr>
              <w:t>联系电话：0</w:t>
            </w:r>
            <w:r>
              <w:rPr>
                <w:rFonts w:ascii="宋体" w:hAnsi="宋体" w:cs="宋体"/>
                <w:color w:val="auto"/>
                <w:szCs w:val="21"/>
                <w:highlight w:val="none"/>
                <w:lang w:val="zh-CN"/>
              </w:rPr>
              <w:t>28-68738205</w:t>
            </w:r>
          </w:p>
          <w:p>
            <w:pPr>
              <w:spacing w:line="340" w:lineRule="exact"/>
              <w:ind w:right="105" w:rightChars="50"/>
              <w:jc w:val="left"/>
              <w:rPr>
                <w:rFonts w:ascii="宋体" w:hAnsi="宋体" w:cs="宋体"/>
                <w:color w:val="auto"/>
                <w:szCs w:val="21"/>
                <w:highlight w:val="none"/>
                <w:lang w:val="zh-CN"/>
              </w:rPr>
            </w:pPr>
            <w:r>
              <w:rPr>
                <w:rFonts w:hint="eastAsia" w:ascii="宋体" w:hAnsi="宋体" w:cs="宋体"/>
                <w:color w:val="auto"/>
                <w:szCs w:val="21"/>
                <w:highlight w:val="none"/>
                <w:lang w:val="zh-CN"/>
              </w:rPr>
              <w:t>采购代理机构：四川军贤工程项目管理有限公司</w:t>
            </w:r>
          </w:p>
          <w:p>
            <w:pPr>
              <w:spacing w:line="340" w:lineRule="exact"/>
              <w:ind w:right="105" w:rightChars="50"/>
              <w:jc w:val="left"/>
              <w:rPr>
                <w:rFonts w:ascii="宋体" w:hAnsi="宋体" w:cs="宋体"/>
                <w:color w:val="auto"/>
                <w:szCs w:val="21"/>
                <w:highlight w:val="none"/>
                <w:lang w:val="zh-CN"/>
              </w:rPr>
            </w:pPr>
            <w:r>
              <w:rPr>
                <w:rFonts w:hint="eastAsia" w:ascii="宋体" w:hAnsi="宋体" w:cs="宋体"/>
                <w:color w:val="auto"/>
                <w:szCs w:val="21"/>
                <w:highlight w:val="none"/>
                <w:lang w:val="zh-CN"/>
              </w:rPr>
              <w:t>联系人：雷先生</w:t>
            </w:r>
          </w:p>
          <w:p>
            <w:pPr>
              <w:spacing w:line="340" w:lineRule="exact"/>
              <w:ind w:right="105" w:rightChars="50"/>
              <w:jc w:val="left"/>
              <w:rPr>
                <w:rFonts w:ascii="宋体" w:hAnsi="宋体" w:cs="宋体"/>
                <w:color w:val="auto"/>
                <w:szCs w:val="21"/>
                <w:highlight w:val="none"/>
                <w:lang w:val="zh-CN"/>
              </w:rPr>
            </w:pPr>
            <w:r>
              <w:rPr>
                <w:rFonts w:hint="eastAsia" w:ascii="宋体" w:hAnsi="宋体" w:cs="宋体"/>
                <w:color w:val="auto"/>
                <w:szCs w:val="21"/>
                <w:highlight w:val="none"/>
                <w:lang w:val="zh-CN"/>
              </w:rPr>
              <w:t>联系电话：028-86958918</w:t>
            </w:r>
          </w:p>
          <w:p>
            <w:pPr>
              <w:spacing w:line="340" w:lineRule="exact"/>
              <w:ind w:right="105" w:rightChars="50"/>
              <w:jc w:val="left"/>
              <w:rPr>
                <w:rFonts w:ascii="宋体" w:hAnsi="宋体" w:cs="宋体"/>
                <w:color w:val="auto"/>
                <w:szCs w:val="21"/>
                <w:highlight w:val="none"/>
              </w:rPr>
            </w:pPr>
            <w:r>
              <w:rPr>
                <w:rFonts w:hint="eastAsia" w:ascii="宋体" w:hAnsi="宋体" w:cs="宋体"/>
                <w:color w:val="auto"/>
                <w:szCs w:val="21"/>
                <w:highlight w:val="none"/>
                <w:lang w:val="zh-CN"/>
              </w:rPr>
              <w:t>注：根据《中华人民共和国政府采购法》等规定，供应商按要求报名成功并获取招标文件的，为依法获取招标文件的供应商，可以对该文件提出质疑。供应商质疑不得超出采购文件、采购过程、采购结果的范围</w:t>
            </w:r>
            <w:bookmarkEnd w:id="23"/>
            <w:r>
              <w:rPr>
                <w:rFonts w:hint="eastAsia" w:ascii="宋体" w:hAnsi="宋体" w:cs="宋体"/>
                <w:color w:val="auto"/>
                <w:szCs w:val="21"/>
                <w:highlight w:val="none"/>
                <w:lang w:val="zh-CN"/>
              </w:rPr>
              <w:t>,供应商针对同一采购程序环节的质疑应在法定质疑期内一次性提出。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ind w:firstLine="315" w:firstLineChars="150"/>
              <w:rPr>
                <w:rFonts w:ascii="宋体" w:hAnsi="宋体" w:cs="宋体"/>
                <w:color w:val="auto"/>
                <w:szCs w:val="21"/>
                <w:highlight w:val="none"/>
              </w:rPr>
            </w:pPr>
          </w:p>
          <w:p>
            <w:pPr>
              <w:ind w:firstLine="105" w:firstLineChars="50"/>
              <w:rPr>
                <w:rFonts w:ascii="宋体" w:hAnsi="宋体" w:cs="宋体"/>
                <w:color w:val="auto"/>
                <w:szCs w:val="21"/>
                <w:highlight w:val="none"/>
              </w:rPr>
            </w:pPr>
            <w:r>
              <w:rPr>
                <w:rFonts w:hint="eastAsia" w:ascii="宋体" w:hAnsi="宋体" w:cs="宋体"/>
                <w:color w:val="auto"/>
                <w:szCs w:val="21"/>
                <w:highlight w:val="none"/>
              </w:rPr>
              <w:t>14</w:t>
            </w:r>
          </w:p>
        </w:tc>
        <w:tc>
          <w:tcPr>
            <w:tcW w:w="2238" w:type="dxa"/>
            <w:vAlign w:val="center"/>
          </w:tcPr>
          <w:p>
            <w:pPr>
              <w:pStyle w:val="55"/>
              <w:jc w:val="center"/>
              <w:rPr>
                <w:color w:val="auto"/>
                <w:kern w:val="2"/>
                <w:sz w:val="21"/>
                <w:szCs w:val="21"/>
                <w:highlight w:val="none"/>
              </w:rPr>
            </w:pPr>
            <w:r>
              <w:rPr>
                <w:rFonts w:hint="eastAsia"/>
                <w:color w:val="auto"/>
                <w:kern w:val="2"/>
                <w:sz w:val="21"/>
                <w:szCs w:val="21"/>
                <w:highlight w:val="none"/>
              </w:rPr>
              <w:t>供应商投诉</w:t>
            </w:r>
          </w:p>
        </w:tc>
        <w:tc>
          <w:tcPr>
            <w:tcW w:w="6425" w:type="dxa"/>
          </w:tcPr>
          <w:p>
            <w:pPr>
              <w:spacing w:line="340" w:lineRule="exact"/>
              <w:ind w:right="105" w:rightChars="50"/>
              <w:jc w:val="left"/>
              <w:rPr>
                <w:rFonts w:ascii="宋体" w:hAnsi="宋体" w:cs="宋体"/>
                <w:color w:val="auto"/>
                <w:sz w:val="22"/>
                <w:szCs w:val="22"/>
                <w:highlight w:val="none"/>
              </w:rPr>
            </w:pPr>
            <w:r>
              <w:rPr>
                <w:rFonts w:hint="eastAsia" w:ascii="宋体" w:hAnsi="宋体" w:cs="宋体"/>
                <w:color w:val="auto"/>
                <w:szCs w:val="21"/>
                <w:highlight w:val="none"/>
              </w:rPr>
              <w:t>投诉受理单位：本项目同级财政部门。即成都市财政局；联系电话：028-61882648。</w:t>
            </w:r>
          </w:p>
          <w:p>
            <w:pPr>
              <w:spacing w:line="340" w:lineRule="exact"/>
              <w:ind w:right="105" w:rightChars="50"/>
              <w:jc w:val="left"/>
              <w:rPr>
                <w:rFonts w:ascii="宋体" w:hAnsi="宋体" w:cs="宋体"/>
                <w:color w:val="auto"/>
                <w:szCs w:val="21"/>
                <w:highlight w:val="none"/>
              </w:rPr>
            </w:pPr>
            <w:r>
              <w:rPr>
                <w:rFonts w:hint="eastAsia" w:ascii="宋体" w:hAnsi="宋体" w:cs="宋体"/>
                <w:color w:val="auto"/>
                <w:szCs w:val="21"/>
                <w:highlight w:val="none"/>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86" w:hRule="atLeast"/>
          <w:jc w:val="center"/>
        </w:trPr>
        <w:tc>
          <w:tcPr>
            <w:tcW w:w="838" w:type="dxa"/>
            <w:vAlign w:val="center"/>
          </w:tcPr>
          <w:p>
            <w:pPr>
              <w:ind w:firstLine="105" w:firstLineChars="50"/>
              <w:rPr>
                <w:rFonts w:ascii="宋体" w:hAnsi="宋体" w:cs="宋体"/>
                <w:color w:val="auto"/>
                <w:szCs w:val="21"/>
                <w:highlight w:val="none"/>
              </w:rPr>
            </w:pPr>
            <w:r>
              <w:rPr>
                <w:rFonts w:hint="eastAsia" w:ascii="宋体" w:hAnsi="宋体" w:cs="宋体"/>
                <w:color w:val="auto"/>
                <w:szCs w:val="21"/>
                <w:highlight w:val="none"/>
              </w:rPr>
              <w:t>15</w:t>
            </w:r>
          </w:p>
        </w:tc>
        <w:tc>
          <w:tcPr>
            <w:tcW w:w="2238" w:type="dxa"/>
            <w:tcBorders>
              <w:right w:val="single" w:color="auto" w:sz="4" w:space="0"/>
            </w:tcBorders>
            <w:vAlign w:val="center"/>
          </w:tcPr>
          <w:p>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政府采购合同</w:t>
            </w:r>
          </w:p>
          <w:p>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公告备案</w:t>
            </w:r>
          </w:p>
        </w:tc>
        <w:tc>
          <w:tcPr>
            <w:tcW w:w="6425" w:type="dxa"/>
            <w:tcBorders>
              <w:left w:val="single" w:color="auto" w:sz="4" w:space="0"/>
            </w:tcBorders>
          </w:tcPr>
          <w:p>
            <w:pPr>
              <w:rPr>
                <w:rFonts w:ascii="宋体" w:hAnsi="宋体" w:cs="宋体"/>
                <w:color w:val="auto"/>
                <w:szCs w:val="21"/>
                <w:highlight w:val="none"/>
              </w:rPr>
            </w:pPr>
            <w:bookmarkStart w:id="24" w:name="PO_默认文件内容_38"/>
            <w:r>
              <w:rPr>
                <w:rFonts w:hint="eastAsia" w:ascii="宋体" w:hAnsi="宋体" w:cs="宋体"/>
                <w:color w:val="auto"/>
                <w:szCs w:val="21"/>
                <w:highlight w:val="none"/>
              </w:rPr>
              <w:t>政府采购合同签订之日起2个工作日内，采购人应将政府采购合同在四川政府采购网公告；政府采购合同签订之日起七个工作日内，政府采购合同将向本采购项目同级财政部门备案</w:t>
            </w:r>
            <w:r>
              <w:rPr>
                <w:rFonts w:hint="eastAsia" w:ascii="宋体" w:hAnsi="宋体" w:cs="宋体"/>
                <w:color w:val="auto"/>
                <w:szCs w:val="21"/>
                <w:highlight w:val="none"/>
                <w:lang w:val="zh-CN"/>
              </w:rPr>
              <w:t>。</w:t>
            </w:r>
            <w:bookmarkEnd w:id="24"/>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ind w:firstLine="105" w:firstLineChars="50"/>
              <w:rPr>
                <w:rFonts w:ascii="宋体" w:hAnsi="宋体" w:cs="宋体"/>
                <w:color w:val="auto"/>
                <w:szCs w:val="21"/>
                <w:highlight w:val="none"/>
              </w:rPr>
            </w:pPr>
            <w:r>
              <w:rPr>
                <w:rFonts w:hint="eastAsia" w:ascii="宋体" w:hAnsi="宋体" w:cs="宋体"/>
                <w:color w:val="auto"/>
                <w:szCs w:val="21"/>
                <w:highlight w:val="none"/>
              </w:rPr>
              <w:t>16</w:t>
            </w:r>
          </w:p>
        </w:tc>
        <w:tc>
          <w:tcPr>
            <w:tcW w:w="2238" w:type="dxa"/>
            <w:tcBorders>
              <w:right w:val="single" w:color="auto" w:sz="4" w:space="0"/>
            </w:tcBorders>
            <w:vAlign w:val="center"/>
          </w:tcPr>
          <w:p>
            <w:pPr>
              <w:pStyle w:val="55"/>
              <w:ind w:left="96"/>
              <w:jc w:val="center"/>
              <w:rPr>
                <w:color w:val="auto"/>
                <w:sz w:val="21"/>
                <w:szCs w:val="21"/>
                <w:highlight w:val="none"/>
              </w:rPr>
            </w:pPr>
            <w:r>
              <w:rPr>
                <w:rFonts w:hint="eastAsia"/>
                <w:color w:val="auto"/>
                <w:sz w:val="21"/>
                <w:szCs w:val="21"/>
                <w:highlight w:val="none"/>
                <w:lang w:val="zh-CN"/>
              </w:rPr>
              <w:t>采购代理服务费</w:t>
            </w:r>
          </w:p>
        </w:tc>
        <w:tc>
          <w:tcPr>
            <w:tcW w:w="6425" w:type="dxa"/>
            <w:tcBorders>
              <w:left w:val="single" w:color="auto" w:sz="4" w:space="0"/>
            </w:tcBorders>
            <w:vAlign w:val="center"/>
          </w:tcPr>
          <w:p>
            <w:pPr>
              <w:pStyle w:val="55"/>
              <w:rPr>
                <w:rFonts w:hint="eastAsia"/>
                <w:color w:val="auto"/>
                <w:sz w:val="21"/>
                <w:szCs w:val="21"/>
                <w:highlight w:val="none"/>
                <w:lang w:val="en-US" w:eastAsia="zh-CN"/>
              </w:rPr>
            </w:pPr>
            <w:r>
              <w:rPr>
                <w:rFonts w:hint="eastAsia"/>
                <w:color w:val="auto"/>
                <w:sz w:val="21"/>
                <w:szCs w:val="21"/>
                <w:highlight w:val="none"/>
                <w:lang w:val="zh-CN"/>
              </w:rPr>
              <w:t>依照成本加合理利润的原则：</w:t>
            </w:r>
            <w:r>
              <w:rPr>
                <w:rFonts w:hint="eastAsia"/>
                <w:color w:val="auto"/>
                <w:sz w:val="21"/>
                <w:szCs w:val="21"/>
                <w:highlight w:val="none"/>
                <w:lang w:val="en-US" w:eastAsia="zh-CN"/>
              </w:rPr>
              <w:t>以中标价为计算基础，</w:t>
            </w:r>
            <w:r>
              <w:rPr>
                <w:rFonts w:hint="eastAsia"/>
                <w:color w:val="auto"/>
                <w:sz w:val="21"/>
                <w:szCs w:val="21"/>
                <w:highlight w:val="none"/>
                <w:lang w:val="zh-CN" w:eastAsia="zh-CN"/>
              </w:rPr>
              <w:t>按下列收费标准计算10%收取</w:t>
            </w:r>
            <w:r>
              <w:rPr>
                <w:rFonts w:hint="eastAsia"/>
                <w:color w:val="auto"/>
                <w:sz w:val="21"/>
                <w:szCs w:val="21"/>
                <w:highlight w:val="none"/>
                <w:lang w:val="en-US" w:eastAsia="zh-CN"/>
              </w:rPr>
              <w:t>代</w:t>
            </w:r>
            <w:r>
              <w:rPr>
                <w:rFonts w:hint="eastAsia"/>
                <w:color w:val="auto"/>
                <w:sz w:val="21"/>
                <w:szCs w:val="21"/>
                <w:highlight w:val="none"/>
              </w:rPr>
              <w:t>理服务费，</w:t>
            </w:r>
            <w:r>
              <w:rPr>
                <w:rFonts w:hint="eastAsia"/>
                <w:color w:val="auto"/>
                <w:sz w:val="21"/>
                <w:szCs w:val="21"/>
                <w:highlight w:val="none"/>
                <w:lang w:val="zh-CN"/>
              </w:rPr>
              <w:t>由中标供应商在领取中标通知书的同时向采购代理机构支付。</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478"/>
              <w:gridCol w:w="1477"/>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827" w:type="dxa"/>
                  <w:tcBorders>
                    <w:top w:val="single" w:color="auto" w:sz="4" w:space="0"/>
                    <w:left w:val="single" w:color="auto" w:sz="4" w:space="0"/>
                    <w:bottom w:val="single" w:color="auto" w:sz="4" w:space="0"/>
                    <w:right w:val="single" w:color="auto" w:sz="4" w:space="0"/>
                  </w:tcBorders>
                </w:tcPr>
                <w:p>
                  <w:pPr>
                    <w:rPr>
                      <w:b/>
                      <w:sz w:val="15"/>
                      <w:szCs w:val="15"/>
                    </w:rPr>
                  </w:pPr>
                  <w:r>
                    <w:rPr>
                      <w:rFonts w:hint="eastAsia"/>
                      <w:b/>
                      <w:sz w:val="15"/>
                      <w:szCs w:val="15"/>
                    </w:rPr>
                    <w:t>服务类型</w:t>
                  </w:r>
                </w:p>
                <w:p>
                  <w:pPr>
                    <w:snapToGrid w:val="0"/>
                    <w:rPr>
                      <w:b/>
                      <w:sz w:val="15"/>
                      <w:szCs w:val="15"/>
                    </w:rPr>
                  </w:pPr>
                  <w:r>
                    <w:rPr>
                      <w:rFonts w:hint="eastAsia"/>
                      <w:b/>
                      <w:sz w:val="15"/>
                      <w:szCs w:val="15"/>
                    </w:rPr>
                    <w:t>费率</w:t>
                  </w:r>
                </w:p>
                <w:p>
                  <w:pPr>
                    <w:snapToGrid w:val="0"/>
                    <w:rPr>
                      <w:b/>
                      <w:sz w:val="15"/>
                      <w:szCs w:val="15"/>
                    </w:rPr>
                  </w:pPr>
                  <w:r>
                    <w:rPr>
                      <w:rFonts w:hint="eastAsia"/>
                      <w:b/>
                      <w:sz w:val="15"/>
                      <w:szCs w:val="15"/>
                    </w:rPr>
                    <w:t>中标金额（万元）</w:t>
                  </w:r>
                </w:p>
              </w:tc>
              <w:tc>
                <w:tcPr>
                  <w:tcW w:w="1478" w:type="dxa"/>
                  <w:tcBorders>
                    <w:top w:val="single" w:color="auto" w:sz="4" w:space="0"/>
                    <w:left w:val="single" w:color="auto" w:sz="4" w:space="0"/>
                    <w:bottom w:val="single" w:color="auto" w:sz="4" w:space="0"/>
                    <w:right w:val="single" w:color="auto" w:sz="4" w:space="0"/>
                  </w:tcBorders>
                  <w:vAlign w:val="center"/>
                </w:tcPr>
                <w:p>
                  <w:pPr>
                    <w:jc w:val="center"/>
                    <w:rPr>
                      <w:b/>
                      <w:sz w:val="15"/>
                      <w:szCs w:val="15"/>
                    </w:rPr>
                  </w:pPr>
                  <w:r>
                    <w:rPr>
                      <w:rFonts w:hint="eastAsia"/>
                      <w:b/>
                      <w:sz w:val="15"/>
                      <w:szCs w:val="15"/>
                    </w:rPr>
                    <w:t>货物招标</w:t>
                  </w:r>
                </w:p>
              </w:tc>
              <w:tc>
                <w:tcPr>
                  <w:tcW w:w="1477" w:type="dxa"/>
                  <w:tcBorders>
                    <w:top w:val="single" w:color="auto" w:sz="4" w:space="0"/>
                    <w:left w:val="single" w:color="auto" w:sz="4" w:space="0"/>
                    <w:bottom w:val="single" w:color="auto" w:sz="4" w:space="0"/>
                    <w:right w:val="single" w:color="auto" w:sz="4" w:space="0"/>
                  </w:tcBorders>
                  <w:vAlign w:val="center"/>
                </w:tcPr>
                <w:p>
                  <w:pPr>
                    <w:jc w:val="center"/>
                    <w:rPr>
                      <w:b/>
                      <w:sz w:val="15"/>
                      <w:szCs w:val="15"/>
                    </w:rPr>
                  </w:pPr>
                  <w:r>
                    <w:rPr>
                      <w:rFonts w:hint="eastAsia"/>
                      <w:b/>
                      <w:sz w:val="15"/>
                      <w:szCs w:val="15"/>
                    </w:rPr>
                    <w:t>服务招标</w:t>
                  </w:r>
                </w:p>
              </w:tc>
              <w:tc>
                <w:tcPr>
                  <w:tcW w:w="1478" w:type="dxa"/>
                  <w:tcBorders>
                    <w:top w:val="single" w:color="auto" w:sz="4" w:space="0"/>
                    <w:left w:val="single" w:color="auto" w:sz="4" w:space="0"/>
                    <w:bottom w:val="single" w:color="auto" w:sz="4" w:space="0"/>
                    <w:right w:val="single" w:color="auto" w:sz="4" w:space="0"/>
                  </w:tcBorders>
                  <w:vAlign w:val="center"/>
                </w:tcPr>
                <w:p>
                  <w:pPr>
                    <w:jc w:val="center"/>
                    <w:rPr>
                      <w:b/>
                      <w:sz w:val="15"/>
                      <w:szCs w:val="15"/>
                    </w:rPr>
                  </w:pPr>
                  <w:r>
                    <w:rPr>
                      <w:rFonts w:hint="eastAsia"/>
                      <w:b/>
                      <w:sz w:val="15"/>
                      <w:szCs w:val="15"/>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827" w:type="dxa"/>
                  <w:tcBorders>
                    <w:top w:val="single" w:color="auto" w:sz="4" w:space="0"/>
                    <w:left w:val="single" w:color="auto" w:sz="4" w:space="0"/>
                    <w:bottom w:val="single" w:color="auto" w:sz="4" w:space="0"/>
                    <w:right w:val="single" w:color="auto" w:sz="4" w:space="0"/>
                  </w:tcBorders>
                </w:tcPr>
                <w:p>
                  <w:pPr>
                    <w:jc w:val="center"/>
                  </w:pPr>
                  <w:r>
                    <w:t>100</w:t>
                  </w:r>
                  <w:r>
                    <w:rPr>
                      <w:rFonts w:hint="eastAsia"/>
                    </w:rPr>
                    <w:t>以下</w:t>
                  </w:r>
                </w:p>
              </w:tc>
              <w:tc>
                <w:tcPr>
                  <w:tcW w:w="1478" w:type="dxa"/>
                  <w:tcBorders>
                    <w:top w:val="single" w:color="auto" w:sz="4" w:space="0"/>
                    <w:left w:val="single" w:color="auto" w:sz="4" w:space="0"/>
                    <w:bottom w:val="single" w:color="auto" w:sz="4" w:space="0"/>
                    <w:right w:val="single" w:color="auto" w:sz="4" w:space="0"/>
                  </w:tcBorders>
                </w:tcPr>
                <w:p>
                  <w:pPr>
                    <w:jc w:val="center"/>
                  </w:pPr>
                  <w:r>
                    <w:t>1.5%</w:t>
                  </w:r>
                </w:p>
              </w:tc>
              <w:tc>
                <w:tcPr>
                  <w:tcW w:w="1477" w:type="dxa"/>
                  <w:tcBorders>
                    <w:top w:val="single" w:color="auto" w:sz="4" w:space="0"/>
                    <w:left w:val="single" w:color="auto" w:sz="4" w:space="0"/>
                    <w:bottom w:val="single" w:color="auto" w:sz="4" w:space="0"/>
                    <w:right w:val="single" w:color="auto" w:sz="4" w:space="0"/>
                  </w:tcBorders>
                </w:tcPr>
                <w:p>
                  <w:pPr>
                    <w:jc w:val="center"/>
                  </w:pPr>
                  <w:r>
                    <w:t>1.5%</w:t>
                  </w:r>
                </w:p>
              </w:tc>
              <w:tc>
                <w:tcPr>
                  <w:tcW w:w="1478" w:type="dxa"/>
                  <w:tcBorders>
                    <w:top w:val="single" w:color="auto" w:sz="4" w:space="0"/>
                    <w:left w:val="single" w:color="auto" w:sz="4" w:space="0"/>
                    <w:bottom w:val="single" w:color="auto" w:sz="4" w:space="0"/>
                    <w:right w:val="single" w:color="auto" w:sz="4" w:space="0"/>
                  </w:tcBorders>
                </w:tcPr>
                <w:p>
                  <w:pPr>
                    <w:jc w:val="center"/>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827" w:type="dxa"/>
                  <w:tcBorders>
                    <w:top w:val="single" w:color="auto" w:sz="4" w:space="0"/>
                    <w:left w:val="single" w:color="auto" w:sz="4" w:space="0"/>
                    <w:bottom w:val="single" w:color="auto" w:sz="4" w:space="0"/>
                    <w:right w:val="single" w:color="auto" w:sz="4" w:space="0"/>
                  </w:tcBorders>
                </w:tcPr>
                <w:p>
                  <w:pPr>
                    <w:jc w:val="center"/>
                  </w:pPr>
                  <w:r>
                    <w:t>100-500</w:t>
                  </w:r>
                </w:p>
              </w:tc>
              <w:tc>
                <w:tcPr>
                  <w:tcW w:w="1478" w:type="dxa"/>
                  <w:tcBorders>
                    <w:top w:val="single" w:color="auto" w:sz="4" w:space="0"/>
                    <w:left w:val="single" w:color="auto" w:sz="4" w:space="0"/>
                    <w:bottom w:val="single" w:color="auto" w:sz="4" w:space="0"/>
                    <w:right w:val="single" w:color="auto" w:sz="4" w:space="0"/>
                  </w:tcBorders>
                </w:tcPr>
                <w:p>
                  <w:pPr>
                    <w:jc w:val="center"/>
                  </w:pPr>
                  <w:r>
                    <w:t>1.1%</w:t>
                  </w:r>
                </w:p>
              </w:tc>
              <w:tc>
                <w:tcPr>
                  <w:tcW w:w="1477" w:type="dxa"/>
                  <w:tcBorders>
                    <w:top w:val="single" w:color="auto" w:sz="4" w:space="0"/>
                    <w:left w:val="single" w:color="auto" w:sz="4" w:space="0"/>
                    <w:bottom w:val="single" w:color="auto" w:sz="4" w:space="0"/>
                    <w:right w:val="single" w:color="auto" w:sz="4" w:space="0"/>
                  </w:tcBorders>
                </w:tcPr>
                <w:p>
                  <w:pPr>
                    <w:jc w:val="center"/>
                  </w:pPr>
                  <w:r>
                    <w:t>0.8%</w:t>
                  </w:r>
                </w:p>
              </w:tc>
              <w:tc>
                <w:tcPr>
                  <w:tcW w:w="1478" w:type="dxa"/>
                  <w:tcBorders>
                    <w:top w:val="single" w:color="auto" w:sz="4" w:space="0"/>
                    <w:left w:val="single" w:color="auto" w:sz="4" w:space="0"/>
                    <w:bottom w:val="single" w:color="auto" w:sz="4" w:space="0"/>
                    <w:right w:val="single" w:color="auto" w:sz="4" w:space="0"/>
                  </w:tcBorders>
                </w:tcPr>
                <w:p>
                  <w:pPr>
                    <w:jc w:val="center"/>
                  </w:pPr>
                  <w: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827" w:type="dxa"/>
                  <w:tcBorders>
                    <w:top w:val="single" w:color="auto" w:sz="4" w:space="0"/>
                    <w:left w:val="single" w:color="auto" w:sz="4" w:space="0"/>
                    <w:bottom w:val="single" w:color="auto" w:sz="4" w:space="0"/>
                    <w:right w:val="single" w:color="auto" w:sz="4" w:space="0"/>
                  </w:tcBorders>
                </w:tcPr>
                <w:p>
                  <w:pPr>
                    <w:jc w:val="center"/>
                  </w:pPr>
                  <w:r>
                    <w:t>500-1000</w:t>
                  </w:r>
                </w:p>
              </w:tc>
              <w:tc>
                <w:tcPr>
                  <w:tcW w:w="1478" w:type="dxa"/>
                  <w:tcBorders>
                    <w:top w:val="single" w:color="auto" w:sz="4" w:space="0"/>
                    <w:left w:val="single" w:color="auto" w:sz="4" w:space="0"/>
                    <w:bottom w:val="single" w:color="auto" w:sz="4" w:space="0"/>
                    <w:right w:val="single" w:color="auto" w:sz="4" w:space="0"/>
                  </w:tcBorders>
                </w:tcPr>
                <w:p>
                  <w:pPr>
                    <w:jc w:val="center"/>
                  </w:pPr>
                  <w:r>
                    <w:t>0.8%</w:t>
                  </w:r>
                </w:p>
              </w:tc>
              <w:tc>
                <w:tcPr>
                  <w:tcW w:w="1477" w:type="dxa"/>
                  <w:tcBorders>
                    <w:top w:val="single" w:color="auto" w:sz="4" w:space="0"/>
                    <w:left w:val="single" w:color="auto" w:sz="4" w:space="0"/>
                    <w:bottom w:val="single" w:color="auto" w:sz="4" w:space="0"/>
                    <w:right w:val="single" w:color="auto" w:sz="4" w:space="0"/>
                  </w:tcBorders>
                </w:tcPr>
                <w:p>
                  <w:pPr>
                    <w:jc w:val="center"/>
                  </w:pPr>
                  <w:r>
                    <w:t>0.45%</w:t>
                  </w:r>
                </w:p>
              </w:tc>
              <w:tc>
                <w:tcPr>
                  <w:tcW w:w="1478" w:type="dxa"/>
                  <w:tcBorders>
                    <w:top w:val="single" w:color="auto" w:sz="4" w:space="0"/>
                    <w:left w:val="single" w:color="auto" w:sz="4" w:space="0"/>
                    <w:bottom w:val="single" w:color="auto" w:sz="4" w:space="0"/>
                    <w:right w:val="single" w:color="auto" w:sz="4" w:space="0"/>
                  </w:tcBorders>
                </w:tcPr>
                <w:p>
                  <w:pPr>
                    <w:jc w:val="center"/>
                  </w:pPr>
                  <w: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827" w:type="dxa"/>
                  <w:tcBorders>
                    <w:top w:val="single" w:color="auto" w:sz="4" w:space="0"/>
                    <w:left w:val="single" w:color="auto" w:sz="4" w:space="0"/>
                    <w:bottom w:val="single" w:color="auto" w:sz="4" w:space="0"/>
                    <w:right w:val="single" w:color="auto" w:sz="4" w:space="0"/>
                  </w:tcBorders>
                </w:tcPr>
                <w:p>
                  <w:pPr>
                    <w:jc w:val="center"/>
                  </w:pPr>
                  <w:r>
                    <w:t>1000-5000</w:t>
                  </w:r>
                </w:p>
              </w:tc>
              <w:tc>
                <w:tcPr>
                  <w:tcW w:w="1478" w:type="dxa"/>
                  <w:tcBorders>
                    <w:top w:val="single" w:color="auto" w:sz="4" w:space="0"/>
                    <w:left w:val="single" w:color="auto" w:sz="4" w:space="0"/>
                    <w:bottom w:val="single" w:color="auto" w:sz="4" w:space="0"/>
                    <w:right w:val="single" w:color="auto" w:sz="4" w:space="0"/>
                  </w:tcBorders>
                </w:tcPr>
                <w:p>
                  <w:pPr>
                    <w:jc w:val="center"/>
                  </w:pPr>
                  <w:r>
                    <w:t>0.5%</w:t>
                  </w:r>
                </w:p>
              </w:tc>
              <w:tc>
                <w:tcPr>
                  <w:tcW w:w="1477" w:type="dxa"/>
                  <w:tcBorders>
                    <w:top w:val="single" w:color="auto" w:sz="4" w:space="0"/>
                    <w:left w:val="single" w:color="auto" w:sz="4" w:space="0"/>
                    <w:bottom w:val="single" w:color="auto" w:sz="4" w:space="0"/>
                    <w:right w:val="single" w:color="auto" w:sz="4" w:space="0"/>
                  </w:tcBorders>
                </w:tcPr>
                <w:p>
                  <w:pPr>
                    <w:jc w:val="center"/>
                  </w:pPr>
                  <w:r>
                    <w:t>0.25%</w:t>
                  </w:r>
                </w:p>
              </w:tc>
              <w:tc>
                <w:tcPr>
                  <w:tcW w:w="1478" w:type="dxa"/>
                  <w:tcBorders>
                    <w:top w:val="single" w:color="auto" w:sz="4" w:space="0"/>
                    <w:left w:val="single" w:color="auto" w:sz="4" w:space="0"/>
                    <w:bottom w:val="single" w:color="auto" w:sz="4" w:space="0"/>
                    <w:right w:val="single" w:color="auto" w:sz="4" w:space="0"/>
                  </w:tcBorders>
                </w:tcPr>
                <w:p>
                  <w:pPr>
                    <w:jc w:val="center"/>
                  </w:pPr>
                  <w: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827" w:type="dxa"/>
                  <w:tcBorders>
                    <w:top w:val="single" w:color="auto" w:sz="4" w:space="0"/>
                    <w:left w:val="single" w:color="auto" w:sz="4" w:space="0"/>
                    <w:bottom w:val="single" w:color="auto" w:sz="4" w:space="0"/>
                    <w:right w:val="single" w:color="auto" w:sz="4" w:space="0"/>
                  </w:tcBorders>
                </w:tcPr>
                <w:p>
                  <w:pPr>
                    <w:jc w:val="center"/>
                  </w:pPr>
                  <w:r>
                    <w:t>5000-10000</w:t>
                  </w:r>
                </w:p>
              </w:tc>
              <w:tc>
                <w:tcPr>
                  <w:tcW w:w="1478" w:type="dxa"/>
                  <w:tcBorders>
                    <w:top w:val="single" w:color="auto" w:sz="4" w:space="0"/>
                    <w:left w:val="single" w:color="auto" w:sz="4" w:space="0"/>
                    <w:bottom w:val="single" w:color="auto" w:sz="4" w:space="0"/>
                    <w:right w:val="single" w:color="auto" w:sz="4" w:space="0"/>
                  </w:tcBorders>
                </w:tcPr>
                <w:p>
                  <w:pPr>
                    <w:jc w:val="center"/>
                  </w:pPr>
                  <w:r>
                    <w:t>0.25%</w:t>
                  </w:r>
                </w:p>
              </w:tc>
              <w:tc>
                <w:tcPr>
                  <w:tcW w:w="1477" w:type="dxa"/>
                  <w:tcBorders>
                    <w:top w:val="single" w:color="auto" w:sz="4" w:space="0"/>
                    <w:left w:val="single" w:color="auto" w:sz="4" w:space="0"/>
                    <w:bottom w:val="single" w:color="auto" w:sz="4" w:space="0"/>
                    <w:right w:val="single" w:color="auto" w:sz="4" w:space="0"/>
                  </w:tcBorders>
                </w:tcPr>
                <w:p>
                  <w:pPr>
                    <w:jc w:val="center"/>
                  </w:pPr>
                  <w:r>
                    <w:t>0.1%</w:t>
                  </w:r>
                </w:p>
              </w:tc>
              <w:tc>
                <w:tcPr>
                  <w:tcW w:w="1478" w:type="dxa"/>
                  <w:tcBorders>
                    <w:top w:val="single" w:color="auto" w:sz="4" w:space="0"/>
                    <w:left w:val="single" w:color="auto" w:sz="4" w:space="0"/>
                    <w:bottom w:val="single" w:color="auto" w:sz="4" w:space="0"/>
                    <w:right w:val="single" w:color="auto" w:sz="4" w:space="0"/>
                  </w:tcBorders>
                </w:tcPr>
                <w:p>
                  <w:pPr>
                    <w:jc w:val="center"/>
                  </w:pPr>
                  <w: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827" w:type="dxa"/>
                  <w:tcBorders>
                    <w:top w:val="single" w:color="auto" w:sz="4" w:space="0"/>
                    <w:left w:val="single" w:color="auto" w:sz="4" w:space="0"/>
                    <w:bottom w:val="single" w:color="auto" w:sz="4" w:space="0"/>
                    <w:right w:val="single" w:color="auto" w:sz="4" w:space="0"/>
                  </w:tcBorders>
                </w:tcPr>
                <w:p>
                  <w:pPr>
                    <w:jc w:val="center"/>
                  </w:pPr>
                  <w:r>
                    <w:t>10000-100000</w:t>
                  </w:r>
                </w:p>
              </w:tc>
              <w:tc>
                <w:tcPr>
                  <w:tcW w:w="1478" w:type="dxa"/>
                  <w:tcBorders>
                    <w:top w:val="single" w:color="auto" w:sz="4" w:space="0"/>
                    <w:left w:val="single" w:color="auto" w:sz="4" w:space="0"/>
                    <w:bottom w:val="single" w:color="auto" w:sz="4" w:space="0"/>
                    <w:right w:val="single" w:color="auto" w:sz="4" w:space="0"/>
                  </w:tcBorders>
                </w:tcPr>
                <w:p>
                  <w:pPr>
                    <w:jc w:val="center"/>
                  </w:pPr>
                  <w:r>
                    <w:t>0.05%</w:t>
                  </w:r>
                </w:p>
              </w:tc>
              <w:tc>
                <w:tcPr>
                  <w:tcW w:w="1477" w:type="dxa"/>
                  <w:tcBorders>
                    <w:top w:val="single" w:color="auto" w:sz="4" w:space="0"/>
                    <w:left w:val="single" w:color="auto" w:sz="4" w:space="0"/>
                    <w:bottom w:val="single" w:color="auto" w:sz="4" w:space="0"/>
                    <w:right w:val="single" w:color="auto" w:sz="4" w:space="0"/>
                  </w:tcBorders>
                </w:tcPr>
                <w:p>
                  <w:pPr>
                    <w:jc w:val="center"/>
                  </w:pPr>
                  <w:r>
                    <w:t>0.05%</w:t>
                  </w:r>
                </w:p>
              </w:tc>
              <w:tc>
                <w:tcPr>
                  <w:tcW w:w="1478" w:type="dxa"/>
                  <w:tcBorders>
                    <w:top w:val="single" w:color="auto" w:sz="4" w:space="0"/>
                    <w:left w:val="single" w:color="auto" w:sz="4" w:space="0"/>
                    <w:bottom w:val="single" w:color="auto" w:sz="4" w:space="0"/>
                    <w:right w:val="single" w:color="auto" w:sz="4" w:space="0"/>
                  </w:tcBorders>
                </w:tcPr>
                <w:p>
                  <w:pPr>
                    <w:jc w:val="center"/>
                  </w:pPr>
                  <w: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827" w:type="dxa"/>
                  <w:tcBorders>
                    <w:top w:val="single" w:color="auto" w:sz="4" w:space="0"/>
                    <w:left w:val="single" w:color="auto" w:sz="4" w:space="0"/>
                    <w:bottom w:val="single" w:color="auto" w:sz="4" w:space="0"/>
                    <w:right w:val="single" w:color="auto" w:sz="4" w:space="0"/>
                  </w:tcBorders>
                </w:tcPr>
                <w:p>
                  <w:pPr>
                    <w:jc w:val="center"/>
                  </w:pPr>
                  <w:r>
                    <w:t>1000000</w:t>
                  </w:r>
                  <w:r>
                    <w:rPr>
                      <w:rFonts w:hint="eastAsia"/>
                    </w:rPr>
                    <w:t>以上</w:t>
                  </w:r>
                </w:p>
              </w:tc>
              <w:tc>
                <w:tcPr>
                  <w:tcW w:w="1478" w:type="dxa"/>
                  <w:tcBorders>
                    <w:top w:val="single" w:color="auto" w:sz="4" w:space="0"/>
                    <w:left w:val="single" w:color="auto" w:sz="4" w:space="0"/>
                    <w:bottom w:val="single" w:color="auto" w:sz="4" w:space="0"/>
                    <w:right w:val="single" w:color="auto" w:sz="4" w:space="0"/>
                  </w:tcBorders>
                </w:tcPr>
                <w:p>
                  <w:pPr>
                    <w:jc w:val="center"/>
                  </w:pPr>
                  <w:r>
                    <w:t>0.01%</w:t>
                  </w:r>
                </w:p>
              </w:tc>
              <w:tc>
                <w:tcPr>
                  <w:tcW w:w="1477" w:type="dxa"/>
                  <w:tcBorders>
                    <w:top w:val="single" w:color="auto" w:sz="4" w:space="0"/>
                    <w:left w:val="single" w:color="auto" w:sz="4" w:space="0"/>
                    <w:bottom w:val="single" w:color="auto" w:sz="4" w:space="0"/>
                    <w:right w:val="single" w:color="auto" w:sz="4" w:space="0"/>
                  </w:tcBorders>
                </w:tcPr>
                <w:p>
                  <w:pPr>
                    <w:jc w:val="center"/>
                  </w:pPr>
                  <w:r>
                    <w:t>0.01%</w:t>
                  </w:r>
                </w:p>
              </w:tc>
              <w:tc>
                <w:tcPr>
                  <w:tcW w:w="1478" w:type="dxa"/>
                  <w:tcBorders>
                    <w:top w:val="single" w:color="auto" w:sz="4" w:space="0"/>
                    <w:left w:val="single" w:color="auto" w:sz="4" w:space="0"/>
                    <w:bottom w:val="single" w:color="auto" w:sz="4" w:space="0"/>
                    <w:right w:val="single" w:color="auto" w:sz="4" w:space="0"/>
                  </w:tcBorders>
                </w:tcPr>
                <w:p>
                  <w:pPr>
                    <w:jc w:val="center"/>
                  </w:pPr>
                  <w:r>
                    <w:t>0.01%</w:t>
                  </w:r>
                </w:p>
              </w:tc>
            </w:tr>
          </w:tbl>
          <w:p>
            <w:pPr>
              <w:pStyle w:val="55"/>
              <w:rPr>
                <w:rFonts w:hint="eastAsia"/>
                <w:color w:val="auto"/>
                <w:sz w:val="21"/>
                <w:szCs w:val="21"/>
                <w:highlight w:val="none"/>
                <w:lang w:val="zh-CN"/>
              </w:rPr>
            </w:pPr>
            <w:r>
              <w:rPr>
                <w:rFonts w:hint="eastAsia"/>
                <w:color w:val="auto"/>
                <w:sz w:val="21"/>
                <w:szCs w:val="21"/>
                <w:highlight w:val="none"/>
                <w:lang w:val="zh-CN"/>
              </w:rPr>
              <w:t>1、按本表费率计算的收费为</w:t>
            </w:r>
            <w:bookmarkStart w:id="216" w:name="_GoBack"/>
            <w:bookmarkEnd w:id="216"/>
            <w:r>
              <w:rPr>
                <w:rFonts w:hint="eastAsia"/>
                <w:color w:val="auto"/>
                <w:sz w:val="21"/>
                <w:szCs w:val="21"/>
                <w:highlight w:val="none"/>
                <w:lang w:val="zh-CN"/>
              </w:rPr>
              <w:t>招标代理服务全过程的收费基准价格。</w:t>
            </w:r>
          </w:p>
          <w:p>
            <w:pPr>
              <w:pStyle w:val="55"/>
              <w:rPr>
                <w:rFonts w:hint="eastAsia"/>
                <w:color w:val="auto"/>
                <w:sz w:val="21"/>
                <w:szCs w:val="21"/>
                <w:highlight w:val="none"/>
                <w:lang w:val="zh-CN"/>
              </w:rPr>
            </w:pPr>
            <w:r>
              <w:rPr>
                <w:rFonts w:hint="eastAsia"/>
                <w:color w:val="auto"/>
                <w:sz w:val="21"/>
                <w:szCs w:val="21"/>
                <w:highlight w:val="none"/>
                <w:lang w:val="zh-CN"/>
              </w:rPr>
              <w:t>2、招标代理服务收费按差额定率累进法计算。</w:t>
            </w:r>
          </w:p>
          <w:p>
            <w:pPr>
              <w:pStyle w:val="55"/>
              <w:rPr>
                <w:color w:val="auto"/>
                <w:sz w:val="21"/>
                <w:szCs w:val="21"/>
                <w:highlight w:val="none"/>
                <w:lang w:val="zh-CN"/>
              </w:rPr>
            </w:pPr>
            <w:r>
              <w:rPr>
                <w:rFonts w:hint="eastAsia"/>
                <w:color w:val="auto"/>
                <w:sz w:val="21"/>
                <w:szCs w:val="21"/>
                <w:highlight w:val="none"/>
                <w:lang w:val="zh-CN"/>
              </w:rPr>
              <w:t>公司名称：四川军贤工程项目管理有限公司</w:t>
            </w:r>
          </w:p>
          <w:p>
            <w:pPr>
              <w:pStyle w:val="55"/>
              <w:rPr>
                <w:color w:val="auto"/>
                <w:sz w:val="21"/>
                <w:szCs w:val="21"/>
                <w:highlight w:val="none"/>
                <w:lang w:val="zh-CN"/>
              </w:rPr>
            </w:pPr>
            <w:r>
              <w:rPr>
                <w:rFonts w:hint="eastAsia"/>
                <w:color w:val="auto"/>
                <w:sz w:val="21"/>
                <w:szCs w:val="21"/>
                <w:highlight w:val="none"/>
                <w:lang w:val="zh-CN"/>
              </w:rPr>
              <w:t>开户行：中国建设银行股份有限公司双流分行</w:t>
            </w:r>
          </w:p>
          <w:p>
            <w:pPr>
              <w:pStyle w:val="55"/>
              <w:rPr>
                <w:color w:val="auto"/>
                <w:sz w:val="21"/>
                <w:szCs w:val="21"/>
                <w:highlight w:val="none"/>
                <w:lang w:val="zh-CN"/>
              </w:rPr>
            </w:pPr>
            <w:r>
              <w:rPr>
                <w:rFonts w:hint="eastAsia"/>
                <w:color w:val="auto"/>
                <w:sz w:val="21"/>
                <w:szCs w:val="21"/>
                <w:highlight w:val="none"/>
                <w:lang w:val="zh-CN"/>
              </w:rPr>
              <w:t>开户账号：51050152790800000313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46" w:hRule="atLeast"/>
          <w:jc w:val="center"/>
        </w:trPr>
        <w:tc>
          <w:tcPr>
            <w:tcW w:w="838" w:type="dxa"/>
            <w:vAlign w:val="center"/>
          </w:tcPr>
          <w:p>
            <w:pPr>
              <w:pStyle w:val="55"/>
              <w:rPr>
                <w:rFonts w:hint="eastAsia"/>
                <w:b/>
                <w:bCs/>
                <w:color w:val="auto"/>
                <w:sz w:val="21"/>
                <w:szCs w:val="21"/>
                <w:highlight w:val="none"/>
                <w:lang w:val="en-US" w:eastAsia="zh-CN"/>
              </w:rPr>
            </w:pPr>
            <w:r>
              <w:rPr>
                <w:rFonts w:hint="eastAsia"/>
                <w:b/>
                <w:bCs/>
                <w:color w:val="auto"/>
                <w:sz w:val="21"/>
                <w:szCs w:val="21"/>
                <w:highlight w:val="none"/>
                <w:lang w:val="en-US" w:eastAsia="zh-CN"/>
              </w:rPr>
              <w:t>17</w:t>
            </w:r>
          </w:p>
        </w:tc>
        <w:tc>
          <w:tcPr>
            <w:tcW w:w="2238" w:type="dxa"/>
            <w:tcBorders>
              <w:right w:val="single" w:color="auto" w:sz="4" w:space="0"/>
            </w:tcBorders>
            <w:vAlign w:val="center"/>
          </w:tcPr>
          <w:p>
            <w:pPr>
              <w:pStyle w:val="55"/>
              <w:jc w:val="center"/>
              <w:rPr>
                <w:rFonts w:hint="eastAsia"/>
                <w:b/>
                <w:bCs/>
                <w:color w:val="auto"/>
                <w:sz w:val="21"/>
                <w:szCs w:val="21"/>
                <w:highlight w:val="none"/>
                <w:lang w:val="en-US" w:eastAsia="zh-CN"/>
              </w:rPr>
            </w:pPr>
            <w:r>
              <w:rPr>
                <w:rFonts w:hint="eastAsia"/>
                <w:b/>
                <w:bCs/>
                <w:color w:val="auto"/>
                <w:sz w:val="21"/>
                <w:szCs w:val="21"/>
                <w:highlight w:val="none"/>
                <w:lang w:val="en-US" w:eastAsia="zh-CN"/>
              </w:rPr>
              <w:t>其他说明</w:t>
            </w:r>
          </w:p>
        </w:tc>
        <w:tc>
          <w:tcPr>
            <w:tcW w:w="6425" w:type="dxa"/>
            <w:tcBorders>
              <w:left w:val="single" w:color="auto" w:sz="4" w:space="0"/>
            </w:tcBorders>
            <w:vAlign w:val="center"/>
          </w:tcPr>
          <w:p>
            <w:pPr>
              <w:pStyle w:val="55"/>
              <w:rPr>
                <w:rFonts w:hint="eastAsia"/>
                <w:b/>
                <w:bCs/>
                <w:color w:val="auto"/>
                <w:sz w:val="21"/>
                <w:szCs w:val="21"/>
                <w:highlight w:val="none"/>
                <w:lang w:val="zh-CN" w:eastAsia="zh-CN"/>
              </w:rPr>
            </w:pPr>
            <w:r>
              <w:rPr>
                <w:rFonts w:hint="eastAsia"/>
                <w:b/>
                <w:bCs/>
                <w:color w:val="auto"/>
                <w:sz w:val="21"/>
                <w:szCs w:val="21"/>
                <w:highlight w:val="none"/>
                <w:lang w:val="en-US" w:eastAsia="zh-CN"/>
              </w:rPr>
              <w:t>1.</w:t>
            </w:r>
            <w:r>
              <w:rPr>
                <w:rFonts w:hint="eastAsia"/>
                <w:b/>
                <w:bCs/>
                <w:color w:val="auto"/>
                <w:sz w:val="21"/>
                <w:szCs w:val="21"/>
                <w:highlight w:val="none"/>
                <w:lang w:val="zh-CN" w:eastAsia="zh-CN"/>
              </w:rPr>
              <w:t>本招标文件所称的“以上”、“以下”包括本数；</w:t>
            </w:r>
          </w:p>
          <w:p>
            <w:pPr>
              <w:pStyle w:val="55"/>
              <w:rPr>
                <w:rFonts w:hint="default"/>
                <w:b/>
                <w:bCs/>
                <w:color w:val="auto"/>
                <w:sz w:val="21"/>
                <w:szCs w:val="21"/>
                <w:highlight w:val="none"/>
                <w:lang w:val="en-US" w:eastAsia="zh-CN"/>
              </w:rPr>
            </w:pPr>
            <w:r>
              <w:rPr>
                <w:rFonts w:hint="eastAsia"/>
                <w:b/>
                <w:bCs/>
                <w:color w:val="auto"/>
                <w:sz w:val="21"/>
                <w:szCs w:val="21"/>
                <w:highlight w:val="none"/>
                <w:lang w:val="en-US" w:eastAsia="zh-CN"/>
              </w:rPr>
              <w:t>2.若投标人投多个包的，投标人须按包号分别递交投标文件。</w:t>
            </w:r>
          </w:p>
        </w:tc>
      </w:tr>
    </w:tbl>
    <w:p>
      <w:pPr>
        <w:tabs>
          <w:tab w:val="left" w:pos="7665"/>
        </w:tabs>
        <w:spacing w:line="400" w:lineRule="exact"/>
        <w:ind w:firstLine="480" w:firstLineChars="200"/>
        <w:rPr>
          <w:rFonts w:hint="eastAsia" w:ascii="宋体" w:hAnsi="宋体" w:cs="宋体"/>
          <w:color w:val="auto"/>
          <w:sz w:val="24"/>
          <w:highlight w:val="none"/>
        </w:rPr>
      </w:pPr>
    </w:p>
    <w:p>
      <w:pPr>
        <w:tabs>
          <w:tab w:val="left" w:pos="7665"/>
        </w:tabs>
        <w:spacing w:line="400" w:lineRule="exact"/>
        <w:ind w:firstLine="480" w:firstLineChars="200"/>
        <w:rPr>
          <w:rFonts w:hint="eastAsia" w:ascii="宋体" w:hAnsi="宋体" w:cs="宋体"/>
          <w:color w:val="auto"/>
          <w:sz w:val="24"/>
          <w:highlight w:val="none"/>
        </w:rPr>
      </w:pPr>
    </w:p>
    <w:p>
      <w:pPr>
        <w:pStyle w:val="4"/>
        <w:spacing w:line="400" w:lineRule="exact"/>
        <w:jc w:val="center"/>
        <w:rPr>
          <w:rFonts w:ascii="宋体" w:hAnsi="宋体" w:eastAsia="宋体" w:cs="宋体"/>
          <w:bCs w:val="0"/>
          <w:color w:val="auto"/>
          <w:highlight w:val="none"/>
        </w:rPr>
      </w:pPr>
      <w:r>
        <w:rPr>
          <w:rFonts w:hint="eastAsia" w:ascii="宋体" w:hAnsi="宋体" w:eastAsia="宋体" w:cs="宋体"/>
          <w:bCs w:val="0"/>
          <w:color w:val="auto"/>
          <w:highlight w:val="none"/>
        </w:rPr>
        <w:t>二、总  则</w:t>
      </w:r>
    </w:p>
    <w:p>
      <w:pPr>
        <w:pStyle w:val="5"/>
        <w:spacing w:line="400" w:lineRule="exact"/>
        <w:ind w:firstLine="482" w:firstLineChars="200"/>
        <w:rPr>
          <w:rFonts w:ascii="宋体" w:hAnsi="宋体" w:cs="宋体"/>
          <w:color w:val="auto"/>
          <w:sz w:val="24"/>
          <w:szCs w:val="24"/>
          <w:highlight w:val="none"/>
        </w:rPr>
      </w:pPr>
      <w:bookmarkStart w:id="25" w:name="_Toc183582205"/>
      <w:bookmarkStart w:id="26" w:name="_Toc183682342"/>
      <w:bookmarkStart w:id="27" w:name="_Toc217446034"/>
      <w:bookmarkStart w:id="28" w:name="PO_默认文件内容_19"/>
      <w:r>
        <w:rPr>
          <w:rFonts w:hint="eastAsia" w:ascii="宋体" w:hAnsi="宋体" w:cs="宋体"/>
          <w:color w:val="auto"/>
          <w:sz w:val="24"/>
          <w:szCs w:val="24"/>
          <w:highlight w:val="none"/>
        </w:rPr>
        <w:t>1.</w:t>
      </w:r>
      <w:bookmarkEnd w:id="25"/>
      <w:bookmarkEnd w:id="26"/>
      <w:r>
        <w:rPr>
          <w:rFonts w:hint="eastAsia" w:ascii="宋体" w:hAnsi="宋体" w:cs="宋体"/>
          <w:color w:val="auto"/>
          <w:sz w:val="24"/>
          <w:szCs w:val="24"/>
          <w:highlight w:val="none"/>
        </w:rPr>
        <w:t xml:space="preserve"> 适用范围</w:t>
      </w:r>
      <w:bookmarkEnd w:id="27"/>
    </w:p>
    <w:p>
      <w:pPr>
        <w:tabs>
          <w:tab w:val="left" w:pos="7665"/>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 本招标文件仅适用于本次招标采购项目。</w:t>
      </w:r>
    </w:p>
    <w:p>
      <w:pPr>
        <w:pStyle w:val="5"/>
        <w:spacing w:line="400" w:lineRule="exact"/>
        <w:ind w:firstLine="482" w:firstLineChars="200"/>
        <w:rPr>
          <w:rFonts w:ascii="宋体" w:hAnsi="宋体" w:cs="宋体"/>
          <w:color w:val="auto"/>
          <w:sz w:val="24"/>
          <w:highlight w:val="none"/>
        </w:rPr>
      </w:pPr>
      <w:bookmarkStart w:id="29" w:name="_Toc183682343"/>
      <w:bookmarkStart w:id="30" w:name="_Toc183582206"/>
      <w:bookmarkStart w:id="31" w:name="_Toc217446035"/>
      <w:r>
        <w:rPr>
          <w:rFonts w:hint="eastAsia" w:ascii="宋体" w:hAnsi="宋体" w:cs="宋体"/>
          <w:color w:val="auto"/>
          <w:sz w:val="24"/>
          <w:highlight w:val="none"/>
        </w:rPr>
        <w:t xml:space="preserve">2. </w:t>
      </w:r>
      <w:bookmarkEnd w:id="29"/>
      <w:bookmarkEnd w:id="30"/>
      <w:r>
        <w:rPr>
          <w:rFonts w:hint="eastAsia" w:ascii="宋体" w:hAnsi="宋体" w:cs="宋体"/>
          <w:color w:val="auto"/>
          <w:sz w:val="24"/>
          <w:highlight w:val="none"/>
        </w:rPr>
        <w:t>有关</w:t>
      </w:r>
      <w:r>
        <w:rPr>
          <w:rFonts w:hint="eastAsia" w:ascii="宋体" w:hAnsi="宋体" w:cs="宋体"/>
          <w:color w:val="auto"/>
          <w:sz w:val="24"/>
          <w:szCs w:val="24"/>
          <w:highlight w:val="none"/>
        </w:rPr>
        <w:t>定义</w:t>
      </w:r>
      <w:bookmarkEnd w:id="31"/>
    </w:p>
    <w:p>
      <w:pPr>
        <w:tabs>
          <w:tab w:val="left" w:pos="7665"/>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“采购人”系指依法进行政府采购的国家机关、事业单位、团体组织。本次招标的采购人是</w:t>
      </w:r>
      <w:bookmarkEnd w:id="28"/>
      <w:r>
        <w:rPr>
          <w:rFonts w:hint="eastAsia" w:ascii="宋体" w:hAnsi="宋体" w:cs="宋体"/>
          <w:b/>
          <w:bCs/>
          <w:color w:val="auto"/>
          <w:sz w:val="24"/>
          <w:highlight w:val="none"/>
          <w:u w:val="single"/>
        </w:rPr>
        <w:t>成都市生态环境科研监测所</w:t>
      </w:r>
      <w:r>
        <w:rPr>
          <w:rFonts w:hint="eastAsia" w:ascii="宋体" w:hAnsi="宋体" w:cs="宋体"/>
          <w:color w:val="auto"/>
          <w:sz w:val="24"/>
          <w:highlight w:val="none"/>
        </w:rPr>
        <w:t>。</w:t>
      </w:r>
    </w:p>
    <w:p>
      <w:pPr>
        <w:tabs>
          <w:tab w:val="left" w:pos="7665"/>
        </w:tabs>
        <w:spacing w:line="400" w:lineRule="exact"/>
        <w:ind w:firstLine="480" w:firstLineChars="200"/>
        <w:rPr>
          <w:rFonts w:ascii="宋体" w:hAnsi="宋体" w:cs="宋体"/>
          <w:color w:val="auto"/>
          <w:sz w:val="24"/>
          <w:highlight w:val="none"/>
        </w:rPr>
      </w:pPr>
      <w:bookmarkStart w:id="32" w:name="PO_默认文件内容_20"/>
      <w:r>
        <w:rPr>
          <w:rFonts w:hint="eastAsia" w:ascii="宋体" w:hAnsi="宋体" w:cs="宋体"/>
          <w:color w:val="auto"/>
          <w:sz w:val="24"/>
          <w:highlight w:val="none"/>
        </w:rPr>
        <w:t>2.2 “采购代理机构” 系指根据采购人的委托依法办理招标事宜的采购机构。本次招标的采购代理机构是</w:t>
      </w:r>
      <w:r>
        <w:rPr>
          <w:rFonts w:hint="eastAsia" w:ascii="宋体" w:hAnsi="宋体" w:cs="宋体"/>
          <w:b/>
          <w:bCs/>
          <w:color w:val="auto"/>
          <w:sz w:val="24"/>
          <w:highlight w:val="none"/>
          <w:u w:val="single"/>
        </w:rPr>
        <w:t>四川军贤工程项目管理有限公司</w:t>
      </w:r>
      <w:r>
        <w:rPr>
          <w:rFonts w:hint="eastAsia" w:ascii="宋体" w:hAnsi="宋体" w:cs="宋体"/>
          <w:color w:val="auto"/>
          <w:sz w:val="24"/>
          <w:highlight w:val="none"/>
        </w:rPr>
        <w:t>。</w:t>
      </w:r>
    </w:p>
    <w:p>
      <w:pPr>
        <w:tabs>
          <w:tab w:val="left" w:pos="7665"/>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 “招标采购单位”系指“采购人”和“采购代理机构”的统称。</w:t>
      </w:r>
    </w:p>
    <w:p>
      <w:pPr>
        <w:tabs>
          <w:tab w:val="left" w:pos="7665"/>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 “投标人”系指获取了招标文件拟参加投标和向采购人提供货物及相应服务的供应商。</w:t>
      </w:r>
    </w:p>
    <w:p>
      <w:pPr>
        <w:pStyle w:val="5"/>
        <w:spacing w:line="400" w:lineRule="exact"/>
        <w:ind w:firstLine="482" w:firstLineChars="200"/>
        <w:rPr>
          <w:rFonts w:ascii="宋体" w:hAnsi="宋体" w:cs="宋体"/>
          <w:color w:val="auto"/>
          <w:sz w:val="24"/>
          <w:highlight w:val="none"/>
        </w:rPr>
      </w:pPr>
      <w:bookmarkStart w:id="33" w:name="_Toc217446036"/>
      <w:bookmarkStart w:id="34" w:name="_Toc183582207"/>
      <w:bookmarkStart w:id="35" w:name="_Toc217390843"/>
      <w:bookmarkStart w:id="36" w:name="_Toc183682344"/>
      <w:r>
        <w:rPr>
          <w:rFonts w:hint="eastAsia" w:ascii="宋体" w:hAnsi="宋体" w:cs="宋体"/>
          <w:color w:val="auto"/>
          <w:sz w:val="24"/>
          <w:highlight w:val="none"/>
        </w:rPr>
        <w:t>3. 合格的投标人</w:t>
      </w:r>
      <w:bookmarkEnd w:id="33"/>
      <w:bookmarkEnd w:id="34"/>
      <w:bookmarkEnd w:id="35"/>
      <w:bookmarkEnd w:id="36"/>
    </w:p>
    <w:p>
      <w:pPr>
        <w:tabs>
          <w:tab w:val="left" w:pos="7665"/>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合格的投标人应具备以下条件：</w:t>
      </w:r>
    </w:p>
    <w:p>
      <w:pPr>
        <w:tabs>
          <w:tab w:val="left" w:pos="7665"/>
        </w:tabs>
        <w:spacing w:line="400" w:lineRule="exact"/>
        <w:ind w:firstLine="480" w:firstLineChars="200"/>
        <w:rPr>
          <w:rFonts w:ascii="宋体" w:hAnsi="宋体" w:cs="宋体"/>
          <w:color w:val="auto"/>
          <w:spacing w:val="-4"/>
          <w:sz w:val="24"/>
          <w:highlight w:val="none"/>
        </w:rPr>
      </w:pPr>
      <w:r>
        <w:rPr>
          <w:rFonts w:hint="eastAsia" w:ascii="宋体" w:hAnsi="宋体" w:cs="宋体"/>
          <w:color w:val="auto"/>
          <w:sz w:val="24"/>
          <w:highlight w:val="none"/>
        </w:rPr>
        <w:t>（1）本招标文件规定的供应商资格条件</w:t>
      </w:r>
      <w:r>
        <w:rPr>
          <w:rFonts w:hint="eastAsia" w:ascii="宋体" w:hAnsi="宋体" w:cs="宋体"/>
          <w:color w:val="auto"/>
          <w:spacing w:val="-4"/>
          <w:sz w:val="24"/>
          <w:highlight w:val="none"/>
        </w:rPr>
        <w:t>；</w:t>
      </w:r>
    </w:p>
    <w:p>
      <w:pPr>
        <w:tabs>
          <w:tab w:val="left" w:pos="7665"/>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（2）遵守国家有关的法律、法规、规章和其他政策制度；</w:t>
      </w:r>
    </w:p>
    <w:p>
      <w:pPr>
        <w:pStyle w:val="6"/>
        <w:ind w:firstLine="480" w:firstLineChars="200"/>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（3）向采购代理机构获取了招标文件并登记备案。</w:t>
      </w:r>
    </w:p>
    <w:bookmarkEnd w:id="32"/>
    <w:p>
      <w:pPr>
        <w:pStyle w:val="5"/>
        <w:spacing w:line="400" w:lineRule="exact"/>
        <w:ind w:firstLine="482" w:firstLineChars="200"/>
        <w:rPr>
          <w:rFonts w:ascii="宋体" w:hAnsi="宋体" w:cs="宋体"/>
          <w:color w:val="auto"/>
          <w:sz w:val="24"/>
          <w:highlight w:val="none"/>
        </w:rPr>
      </w:pPr>
      <w:bookmarkStart w:id="37" w:name="_Toc183582208"/>
      <w:bookmarkStart w:id="38" w:name="_Toc217446037"/>
      <w:bookmarkStart w:id="39" w:name="_Toc183682345"/>
      <w:bookmarkStart w:id="40" w:name="PO_默认文件内容_16"/>
      <w:r>
        <w:rPr>
          <w:rFonts w:hint="eastAsia" w:ascii="宋体" w:hAnsi="宋体" w:cs="宋体"/>
          <w:color w:val="auto"/>
          <w:sz w:val="24"/>
          <w:highlight w:val="none"/>
        </w:rPr>
        <w:t>4. 投标费用</w:t>
      </w:r>
      <w:bookmarkEnd w:id="37"/>
      <w:bookmarkEnd w:id="38"/>
      <w:bookmarkEnd w:id="39"/>
      <w:r>
        <w:rPr>
          <w:rFonts w:hint="eastAsia" w:ascii="宋体" w:hAnsi="宋体" w:cs="宋体"/>
          <w:color w:val="auto"/>
          <w:sz w:val="24"/>
          <w:szCs w:val="24"/>
          <w:highlight w:val="none"/>
        </w:rPr>
        <w:t>（实质性要求）</w:t>
      </w:r>
    </w:p>
    <w:p>
      <w:pPr>
        <w:tabs>
          <w:tab w:val="left" w:pos="7665"/>
        </w:tabs>
        <w:spacing w:line="400" w:lineRule="exact"/>
        <w:ind w:firstLine="480"/>
        <w:rPr>
          <w:rFonts w:ascii="宋体" w:hAnsi="宋体" w:cs="宋体"/>
          <w:color w:val="auto"/>
          <w:sz w:val="24"/>
          <w:highlight w:val="none"/>
        </w:rPr>
      </w:pPr>
      <w:r>
        <w:rPr>
          <w:rFonts w:hint="eastAsia" w:ascii="宋体" w:hAnsi="宋体" w:cs="宋体"/>
          <w:color w:val="auto"/>
          <w:sz w:val="24"/>
          <w:highlight w:val="none"/>
        </w:rPr>
        <w:t>投标人参加投标的有关费用由投标人自行承担。</w:t>
      </w:r>
    </w:p>
    <w:p>
      <w:pPr>
        <w:pStyle w:val="5"/>
        <w:spacing w:line="400" w:lineRule="exact"/>
        <w:ind w:firstLine="482" w:firstLineChars="200"/>
        <w:rPr>
          <w:rFonts w:ascii="宋体" w:hAnsi="宋体" w:cs="宋体"/>
          <w:color w:val="auto"/>
          <w:sz w:val="24"/>
          <w:highlight w:val="none"/>
        </w:rPr>
      </w:pPr>
      <w:r>
        <w:rPr>
          <w:rFonts w:hint="eastAsia" w:ascii="宋体" w:hAnsi="宋体" w:cs="宋体"/>
          <w:color w:val="auto"/>
          <w:sz w:val="24"/>
          <w:highlight w:val="none"/>
        </w:rPr>
        <w:t>5. 充分、公平竞争保障措施</w:t>
      </w:r>
      <w:r>
        <w:rPr>
          <w:rFonts w:hint="eastAsia" w:ascii="宋体" w:hAnsi="宋体" w:cs="宋体"/>
          <w:color w:val="auto"/>
          <w:sz w:val="24"/>
          <w:szCs w:val="24"/>
          <w:highlight w:val="none"/>
        </w:rPr>
        <w:t>（实质性要求）</w:t>
      </w:r>
    </w:p>
    <w:p>
      <w:pPr>
        <w:pStyle w:val="57"/>
        <w:spacing w:line="460" w:lineRule="exact"/>
        <w:ind w:left="1" w:firstLine="482" w:firstLineChars="200"/>
        <w:rPr>
          <w:rFonts w:hAnsi="宋体" w:cs="宋体"/>
          <w:b/>
          <w:color w:val="auto"/>
          <w:sz w:val="24"/>
          <w:szCs w:val="24"/>
          <w:highlight w:val="none"/>
        </w:rPr>
      </w:pPr>
      <w:r>
        <w:rPr>
          <w:rFonts w:hint="eastAsia" w:hAnsi="宋体" w:cs="宋体"/>
          <w:b/>
          <w:color w:val="auto"/>
          <w:sz w:val="24"/>
          <w:highlight w:val="none"/>
        </w:rPr>
        <w:t>5.1 提供相同品牌产品处理</w:t>
      </w:r>
      <w:r>
        <w:rPr>
          <w:rFonts w:hint="eastAsia" w:hAnsi="宋体" w:cs="宋体"/>
          <w:b/>
          <w:color w:val="auto"/>
          <w:sz w:val="24"/>
          <w:szCs w:val="24"/>
          <w:highlight w:val="none"/>
        </w:rPr>
        <w:t>。</w:t>
      </w:r>
    </w:p>
    <w:p>
      <w:pPr>
        <w:pStyle w:val="57"/>
        <w:spacing w:line="460" w:lineRule="exact"/>
        <w:ind w:left="1" w:firstLine="482" w:firstLineChars="200"/>
        <w:rPr>
          <w:rFonts w:hAnsi="宋体" w:cs="宋体"/>
          <w:b/>
          <w:color w:val="auto"/>
          <w:sz w:val="24"/>
          <w:szCs w:val="24"/>
          <w:highlight w:val="none"/>
        </w:rPr>
      </w:pPr>
      <w:r>
        <w:rPr>
          <w:rFonts w:hint="eastAsia" w:hAnsi="宋体" w:cs="宋体"/>
          <w:b/>
          <w:color w:val="auto"/>
          <w:sz w:val="24"/>
          <w:szCs w:val="24"/>
          <w:highlight w:val="none"/>
        </w:rPr>
        <w:t>5.1.1 采用综合评分法的采购项目。</w:t>
      </w:r>
    </w:p>
    <w:p>
      <w:pPr>
        <w:pStyle w:val="57"/>
        <w:spacing w:line="460" w:lineRule="exact"/>
        <w:ind w:left="1" w:firstLine="480" w:firstLineChars="200"/>
        <w:rPr>
          <w:rFonts w:hAnsi="宋体" w:cs="宋体"/>
          <w:bCs/>
          <w:color w:val="auto"/>
          <w:sz w:val="24"/>
          <w:szCs w:val="24"/>
          <w:highlight w:val="none"/>
        </w:rPr>
      </w:pPr>
      <w:r>
        <w:rPr>
          <w:rFonts w:hint="eastAsia" w:hAnsi="宋体" w:cs="宋体"/>
          <w:bCs/>
          <w:color w:val="auto"/>
          <w:sz w:val="24"/>
          <w:szCs w:val="24"/>
          <w:highlight w:val="none"/>
        </w:rPr>
        <w:t>提供相同品牌产品且通过资格审查、符合性审查的不同投标人参加同一合同项下投标的，按一家投标人计算，评审后得分最高的同品牌投标人获得中标人推荐资格；评审得分相同的，由采购人或采购人委托评标委员会按照招标文件规定的方式确定一个投标人获得中标人推荐资格，招标文件未规定的采取随机抽取方式确定，其他同品牌投标人不作为中标候选人。</w:t>
      </w:r>
    </w:p>
    <w:p>
      <w:pPr>
        <w:pStyle w:val="57"/>
        <w:spacing w:line="460" w:lineRule="exact"/>
        <w:ind w:left="1" w:firstLine="482" w:firstLineChars="200"/>
        <w:rPr>
          <w:rFonts w:hAnsi="宋体" w:cs="宋体"/>
          <w:b/>
          <w:color w:val="auto"/>
          <w:sz w:val="24"/>
          <w:szCs w:val="24"/>
          <w:highlight w:val="none"/>
        </w:rPr>
      </w:pPr>
      <w:r>
        <w:rPr>
          <w:rFonts w:hint="eastAsia" w:hAnsi="宋体" w:cs="宋体"/>
          <w:b/>
          <w:color w:val="auto"/>
          <w:sz w:val="24"/>
          <w:szCs w:val="24"/>
          <w:highlight w:val="none"/>
        </w:rPr>
        <w:t>5.1.2</w:t>
      </w:r>
      <w:r>
        <w:rPr>
          <w:rFonts w:hint="eastAsia" w:hAnsi="宋体" w:cs="宋体"/>
          <w:bCs/>
          <w:color w:val="auto"/>
          <w:sz w:val="24"/>
          <w:szCs w:val="24"/>
          <w:highlight w:val="none"/>
        </w:rPr>
        <w:t>非单一产品采购项目中，采购人根据采购项目技术构成、产品价格比重等合理确定核心产品。</w:t>
      </w:r>
      <w:r>
        <w:rPr>
          <w:rFonts w:hint="eastAsia" w:hAnsi="宋体" w:cs="宋体"/>
          <w:b/>
          <w:color w:val="auto"/>
          <w:sz w:val="24"/>
          <w:szCs w:val="24"/>
          <w:highlight w:val="none"/>
        </w:rPr>
        <w:t>本采购项目</w:t>
      </w:r>
      <w:r>
        <w:rPr>
          <w:rFonts w:hint="eastAsia" w:hAnsi="宋体" w:cs="宋体"/>
          <w:b/>
          <w:color w:val="auto"/>
          <w:sz w:val="24"/>
          <w:szCs w:val="24"/>
          <w:highlight w:val="none"/>
          <w:lang w:val="en-US" w:eastAsia="zh-CN"/>
        </w:rPr>
        <w:t>01包</w:t>
      </w:r>
      <w:r>
        <w:rPr>
          <w:rFonts w:hint="eastAsia" w:hAnsi="宋体" w:cs="宋体"/>
          <w:b/>
          <w:color w:val="auto"/>
          <w:sz w:val="24"/>
          <w:szCs w:val="24"/>
          <w:highlight w:val="none"/>
        </w:rPr>
        <w:t>的核心产品为：X射线荧光光谱仪，多家投标人提供的核心产品品牌相同的，按前款规定处理。</w:t>
      </w:r>
    </w:p>
    <w:p>
      <w:pPr>
        <w:pStyle w:val="57"/>
        <w:spacing w:line="460" w:lineRule="exact"/>
        <w:ind w:left="1" w:firstLine="482" w:firstLineChars="200"/>
        <w:rPr>
          <w:rFonts w:hAnsi="宋体" w:cs="宋体"/>
          <w:b/>
          <w:color w:val="auto"/>
          <w:sz w:val="24"/>
          <w:highlight w:val="none"/>
        </w:rPr>
      </w:pPr>
      <w:r>
        <w:rPr>
          <w:rFonts w:hint="eastAsia" w:hAnsi="宋体" w:cs="宋体"/>
          <w:b/>
          <w:color w:val="auto"/>
          <w:sz w:val="24"/>
          <w:highlight w:val="none"/>
        </w:rPr>
        <w:t>5.2提供相同制造厂商不同品牌产品处理。</w:t>
      </w:r>
      <w:r>
        <w:rPr>
          <w:rFonts w:hint="eastAsia" w:hAnsi="宋体" w:cs="宋体"/>
          <w:bCs/>
          <w:color w:val="auto"/>
          <w:sz w:val="24"/>
          <w:highlight w:val="none"/>
        </w:rPr>
        <w:t>制造厂商有二个以上品牌，制造厂商与分销商或经销商或代理商同时参加投标，投标产品为不同品牌的，制造厂商投标产品所属品牌为该品牌的有效投标人，其他投标人的投标文件作为无效投标处理。制造厂商有二个以上品牌，只有分销商或经销商或代理商参加投标，投标产品为不同品牌的，所投品牌产品以其中通过资格审查、符合性检查且报价最低的参加评标，报价相同的，由采购人自主采取公平、择优的方式选择确定一个参加评标的投标人，其他投标人的投标文件作为无效投标处理。</w:t>
      </w:r>
    </w:p>
    <w:p>
      <w:pPr>
        <w:pStyle w:val="57"/>
        <w:spacing w:line="460" w:lineRule="exact"/>
        <w:ind w:left="1" w:firstLine="482" w:firstLineChars="200"/>
        <w:rPr>
          <w:rFonts w:hAnsi="宋体" w:cs="宋体"/>
          <w:color w:val="auto"/>
          <w:sz w:val="24"/>
          <w:highlight w:val="none"/>
        </w:rPr>
      </w:pPr>
      <w:r>
        <w:rPr>
          <w:rFonts w:hint="eastAsia" w:hAnsi="宋体" w:cs="宋体"/>
          <w:b/>
          <w:color w:val="auto"/>
          <w:sz w:val="24"/>
          <w:highlight w:val="none"/>
        </w:rPr>
        <w:t>5.3利害关系供应商处理。</w:t>
      </w:r>
      <w:r>
        <w:rPr>
          <w:rFonts w:hint="eastAsia" w:hAnsi="宋体" w:cs="宋体"/>
          <w:color w:val="auto"/>
          <w:sz w:val="24"/>
          <w:highlight w:val="none"/>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投标文件作为无效处理。</w:t>
      </w:r>
    </w:p>
    <w:p>
      <w:pPr>
        <w:adjustRightInd w:val="0"/>
        <w:spacing w:line="400" w:lineRule="exact"/>
        <w:ind w:left="1" w:firstLine="482" w:firstLineChars="200"/>
        <w:textAlignment w:val="baseline"/>
        <w:rPr>
          <w:rFonts w:hint="eastAsia" w:ascii="宋体" w:hAnsi="宋体" w:eastAsia="宋体" w:cs="宋体"/>
          <w:b/>
          <w:bCs/>
          <w:color w:val="auto"/>
          <w:kern w:val="0"/>
          <w:sz w:val="24"/>
          <w:szCs w:val="20"/>
          <w:highlight w:val="none"/>
          <w:lang w:eastAsia="zh-CN"/>
        </w:rPr>
      </w:pPr>
      <w:r>
        <w:rPr>
          <w:rFonts w:hint="eastAsia" w:hAnsi="宋体" w:cs="宋体"/>
          <w:b/>
          <w:color w:val="auto"/>
          <w:sz w:val="24"/>
          <w:highlight w:val="none"/>
        </w:rPr>
        <w:t>5.4 前期参与供应商处理。</w:t>
      </w:r>
      <w:r>
        <w:rPr>
          <w:rFonts w:hint="eastAsia" w:hAnsi="宋体" w:cs="宋体"/>
          <w:color w:val="auto"/>
          <w:sz w:val="24"/>
          <w:highlight w:val="none"/>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r>
        <w:rPr>
          <w:rFonts w:hint="eastAsia" w:ascii="宋体" w:hAnsi="宋体" w:eastAsia="宋体" w:cs="宋体"/>
          <w:b/>
          <w:bCs/>
          <w:color w:val="auto"/>
          <w:kern w:val="0"/>
          <w:sz w:val="24"/>
          <w:szCs w:val="20"/>
          <w:highlight w:val="none"/>
          <w:lang w:eastAsia="zh-CN"/>
        </w:rPr>
        <w:t>（</w:t>
      </w:r>
      <w:r>
        <w:rPr>
          <w:rFonts w:hint="eastAsia" w:ascii="宋体" w:hAnsi="宋体" w:eastAsia="宋体" w:cs="宋体"/>
          <w:b/>
          <w:bCs/>
          <w:color w:val="auto"/>
          <w:kern w:val="0"/>
          <w:sz w:val="24"/>
          <w:szCs w:val="20"/>
          <w:highlight w:val="none"/>
          <w:lang w:val="en-US" w:eastAsia="zh-CN"/>
        </w:rPr>
        <w:t>说明：无</w:t>
      </w:r>
      <w:r>
        <w:rPr>
          <w:rFonts w:hint="eastAsia" w:ascii="宋体" w:hAnsi="宋体" w:cs="宋体"/>
          <w:b/>
          <w:bCs/>
          <w:color w:val="auto"/>
          <w:kern w:val="0"/>
          <w:sz w:val="24"/>
          <w:szCs w:val="20"/>
          <w:highlight w:val="none"/>
          <w:lang w:val="en-US" w:eastAsia="zh-CN"/>
        </w:rPr>
        <w:t>投标人</w:t>
      </w:r>
      <w:r>
        <w:rPr>
          <w:rFonts w:hint="eastAsia" w:ascii="宋体" w:hAnsi="宋体" w:eastAsia="宋体" w:cs="宋体"/>
          <w:b/>
          <w:bCs/>
          <w:color w:val="auto"/>
          <w:kern w:val="0"/>
          <w:sz w:val="24"/>
          <w:szCs w:val="20"/>
          <w:highlight w:val="none"/>
          <w:lang w:val="en-US" w:eastAsia="zh-CN"/>
        </w:rPr>
        <w:t>为本项目提供整体设计、规范编制或者项目管理、监理、检测等服务</w:t>
      </w:r>
      <w:r>
        <w:rPr>
          <w:rFonts w:hint="eastAsia" w:ascii="宋体" w:hAnsi="宋体" w:eastAsia="宋体" w:cs="宋体"/>
          <w:b/>
          <w:bCs/>
          <w:color w:val="auto"/>
          <w:kern w:val="0"/>
          <w:sz w:val="24"/>
          <w:szCs w:val="20"/>
          <w:highlight w:val="none"/>
          <w:lang w:eastAsia="zh-CN"/>
        </w:rPr>
        <w:t>）</w:t>
      </w:r>
    </w:p>
    <w:p>
      <w:pPr>
        <w:pStyle w:val="57"/>
        <w:spacing w:line="460" w:lineRule="exact"/>
        <w:ind w:left="1" w:firstLine="482" w:firstLineChars="200"/>
        <w:rPr>
          <w:rFonts w:hAnsi="宋体" w:cs="宋体"/>
          <w:color w:val="auto"/>
          <w:sz w:val="24"/>
          <w:highlight w:val="none"/>
        </w:rPr>
      </w:pPr>
      <w:r>
        <w:rPr>
          <w:rFonts w:hint="eastAsia" w:hAnsi="宋体" w:cs="宋体"/>
          <w:b/>
          <w:color w:val="auto"/>
          <w:sz w:val="24"/>
          <w:highlight w:val="none"/>
        </w:rPr>
        <w:t>5.5 利害关系代理人处理。</w:t>
      </w:r>
      <w:r>
        <w:rPr>
          <w:rFonts w:hint="eastAsia" w:hAnsi="宋体" w:cs="宋体"/>
          <w:color w:val="auto"/>
          <w:sz w:val="24"/>
          <w:highlight w:val="none"/>
        </w:rPr>
        <w:t>2家以上的供应商不得在同一合同项下的采购项目中，同时委托同一个自然人、同一家庭的人员、同一单位的人员作为其代理人，否则，其投标文件作为无效处理。</w:t>
      </w:r>
    </w:p>
    <w:p>
      <w:pPr>
        <w:pStyle w:val="4"/>
        <w:spacing w:line="400" w:lineRule="exact"/>
        <w:jc w:val="center"/>
        <w:rPr>
          <w:rFonts w:ascii="宋体" w:hAnsi="宋体" w:eastAsia="宋体" w:cs="宋体"/>
          <w:bCs w:val="0"/>
          <w:color w:val="auto"/>
          <w:highlight w:val="none"/>
        </w:rPr>
      </w:pPr>
      <w:bookmarkStart w:id="41" w:name="_Toc89075875"/>
      <w:bookmarkStart w:id="42" w:name="_Toc217446038"/>
      <w:bookmarkStart w:id="43" w:name="_Toc77400779"/>
      <w:bookmarkStart w:id="44" w:name="_Toc183582209"/>
      <w:bookmarkStart w:id="45" w:name="_Toc183682346"/>
      <w:r>
        <w:rPr>
          <w:rFonts w:hint="eastAsia" w:ascii="宋体" w:hAnsi="宋体" w:eastAsia="宋体" w:cs="宋体"/>
          <w:bCs w:val="0"/>
          <w:color w:val="auto"/>
          <w:highlight w:val="none"/>
        </w:rPr>
        <w:t>三、招标文件</w:t>
      </w:r>
      <w:bookmarkEnd w:id="41"/>
      <w:bookmarkEnd w:id="42"/>
      <w:bookmarkEnd w:id="43"/>
      <w:bookmarkEnd w:id="44"/>
      <w:bookmarkEnd w:id="45"/>
    </w:p>
    <w:p>
      <w:pPr>
        <w:pStyle w:val="5"/>
        <w:spacing w:line="400" w:lineRule="exact"/>
        <w:ind w:firstLine="482" w:firstLineChars="200"/>
        <w:rPr>
          <w:rFonts w:ascii="宋体" w:hAnsi="宋体" w:cs="宋体"/>
          <w:color w:val="auto"/>
          <w:sz w:val="24"/>
          <w:highlight w:val="none"/>
        </w:rPr>
      </w:pPr>
      <w:bookmarkStart w:id="46" w:name="_Toc183582210"/>
      <w:bookmarkStart w:id="47" w:name="_Toc183682347"/>
      <w:bookmarkStart w:id="48" w:name="_Toc217446039"/>
      <w:r>
        <w:rPr>
          <w:rFonts w:hint="eastAsia" w:ascii="宋体" w:hAnsi="宋体" w:cs="宋体"/>
          <w:color w:val="auto"/>
          <w:sz w:val="24"/>
          <w:highlight w:val="none"/>
        </w:rPr>
        <w:t>6．招标文件的构成</w:t>
      </w:r>
      <w:bookmarkEnd w:id="46"/>
      <w:bookmarkEnd w:id="47"/>
      <w:bookmarkEnd w:id="48"/>
    </w:p>
    <w:p>
      <w:pPr>
        <w:tabs>
          <w:tab w:val="left" w:pos="7665"/>
        </w:tabs>
        <w:spacing w:line="400" w:lineRule="exact"/>
        <w:ind w:firstLine="480" w:firstLineChars="200"/>
        <w:rPr>
          <w:rFonts w:ascii="宋体" w:hAnsi="宋体" w:cs="宋体"/>
          <w:color w:val="auto"/>
          <w:kern w:val="0"/>
          <w:sz w:val="24"/>
          <w:szCs w:val="22"/>
          <w:highlight w:val="none"/>
        </w:rPr>
      </w:pPr>
      <w:r>
        <w:rPr>
          <w:rFonts w:hint="eastAsia" w:ascii="宋体" w:hAnsi="宋体" w:cs="宋体"/>
          <w:color w:val="auto"/>
          <w:kern w:val="0"/>
          <w:sz w:val="24"/>
          <w:szCs w:val="22"/>
          <w:highlight w:val="none"/>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tabs>
          <w:tab w:val="left" w:pos="720"/>
        </w:tabs>
        <w:spacing w:line="400" w:lineRule="exact"/>
        <w:ind w:firstLine="480" w:firstLineChars="200"/>
        <w:rPr>
          <w:rFonts w:ascii="宋体" w:hAnsi="宋体" w:cs="宋体"/>
          <w:color w:val="auto"/>
          <w:sz w:val="24"/>
          <w:highlight w:val="none"/>
        </w:rPr>
      </w:pPr>
      <w:r>
        <w:rPr>
          <w:rFonts w:hint="eastAsia" w:ascii="宋体" w:hAnsi="宋体" w:cs="宋体"/>
          <w:color w:val="auto"/>
          <w:kern w:val="0"/>
          <w:sz w:val="24"/>
          <w:szCs w:val="22"/>
          <w:highlight w:val="none"/>
        </w:rPr>
        <w:t>（一）投标</w:t>
      </w:r>
      <w:r>
        <w:rPr>
          <w:rFonts w:hint="eastAsia" w:ascii="宋体" w:hAnsi="宋体" w:cs="宋体"/>
          <w:color w:val="auto"/>
          <w:sz w:val="24"/>
          <w:highlight w:val="none"/>
        </w:rPr>
        <w:t>邀请；</w:t>
      </w:r>
    </w:p>
    <w:p>
      <w:pPr>
        <w:tabs>
          <w:tab w:val="left" w:pos="720"/>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（二）投标人须知；</w:t>
      </w:r>
    </w:p>
    <w:p>
      <w:pPr>
        <w:tabs>
          <w:tab w:val="left" w:pos="720"/>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（三）投标文件格式；</w:t>
      </w:r>
    </w:p>
    <w:p>
      <w:pPr>
        <w:tabs>
          <w:tab w:val="left" w:pos="720"/>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（四）投标人和投标产品的资格、资质性及其他类似效力要求；</w:t>
      </w:r>
    </w:p>
    <w:p>
      <w:pPr>
        <w:tabs>
          <w:tab w:val="left" w:pos="720"/>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（五）投标人应当提供的资格、资质性及其他类似效力要求的相关证明材料；</w:t>
      </w:r>
    </w:p>
    <w:p>
      <w:pPr>
        <w:tabs>
          <w:tab w:val="left" w:pos="720"/>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（六）招标项目技术、商务及其他要求；</w:t>
      </w:r>
    </w:p>
    <w:p>
      <w:pPr>
        <w:tabs>
          <w:tab w:val="left" w:pos="720"/>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（七）评标办法；</w:t>
      </w:r>
    </w:p>
    <w:p>
      <w:pPr>
        <w:tabs>
          <w:tab w:val="left" w:pos="720"/>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（八）政府采购合同（草案）。</w:t>
      </w:r>
    </w:p>
    <w:p>
      <w:pPr>
        <w:pStyle w:val="5"/>
        <w:spacing w:line="400" w:lineRule="exact"/>
        <w:ind w:firstLine="482" w:firstLineChars="200"/>
        <w:rPr>
          <w:rFonts w:ascii="宋体" w:hAnsi="宋体" w:cs="宋体"/>
          <w:color w:val="auto"/>
          <w:sz w:val="24"/>
          <w:highlight w:val="none"/>
        </w:rPr>
      </w:pPr>
      <w:bookmarkStart w:id="49" w:name="_Toc183682348"/>
      <w:bookmarkStart w:id="50" w:name="_Toc183582211"/>
      <w:bookmarkStart w:id="51" w:name="_Toc217446040"/>
      <w:r>
        <w:rPr>
          <w:rFonts w:hint="eastAsia" w:ascii="宋体" w:hAnsi="宋体" w:cs="宋体"/>
          <w:color w:val="auto"/>
          <w:sz w:val="24"/>
          <w:highlight w:val="none"/>
        </w:rPr>
        <w:t>7. 招标文件的澄清</w:t>
      </w:r>
      <w:bookmarkEnd w:id="49"/>
      <w:bookmarkEnd w:id="50"/>
      <w:r>
        <w:rPr>
          <w:rFonts w:hint="eastAsia" w:ascii="宋体" w:hAnsi="宋体" w:cs="宋体"/>
          <w:color w:val="auto"/>
          <w:sz w:val="24"/>
          <w:highlight w:val="none"/>
        </w:rPr>
        <w:t>和修改</w:t>
      </w:r>
      <w:bookmarkEnd w:id="51"/>
    </w:p>
    <w:p>
      <w:pPr>
        <w:tabs>
          <w:tab w:val="left" w:pos="7665"/>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7.1 招标采购单位可以依法对招标文件进行澄清或者修改。</w:t>
      </w:r>
    </w:p>
    <w:p>
      <w:pPr>
        <w:tabs>
          <w:tab w:val="left" w:pos="7665"/>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7.2 招标采购单位对已发出的招标文件进行澄清或者修改，应当以书面形式将澄清或者修改的内容通知所有获取了招标文件的供应商，同时在四川政府采购网上发布更正公告。该澄清或者修改的内容为招标文件的组成部分，澄清或者修改的内容可能影响投标文件、资格预审申请文件编制的，采购人或者采购代理机构发布公告并书面通知供应商的时间，应当在投标截止时间至少15日前；不足上述时间的，应当顺延提交投标文件、资格预审申请文件的截止时间。</w:t>
      </w:r>
    </w:p>
    <w:p>
      <w:pPr>
        <w:tabs>
          <w:tab w:val="left" w:pos="7665"/>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7.3 供应商应于投标文件递交截止时间之前在四川政府采购网查询本项目的更正公告，以保证其对招标文件做出正确的响应。供应商未按要求下载相关文件，或由于未及时关注更正公告的信息造成的后果，其责任由供应商自行负责。</w:t>
      </w:r>
    </w:p>
    <w:p>
      <w:pPr>
        <w:tabs>
          <w:tab w:val="left" w:pos="7665"/>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7.4 投标人认为需要对招标文件进行澄清或者修改的，可以以书面形式向招标采购单位提出申请，但招标采购单位可以决定是否采纳投标人的申请事项。</w:t>
      </w:r>
    </w:p>
    <w:p>
      <w:pPr>
        <w:pStyle w:val="5"/>
        <w:spacing w:line="400" w:lineRule="exact"/>
        <w:ind w:firstLine="482" w:firstLineChars="200"/>
        <w:rPr>
          <w:rFonts w:ascii="宋体" w:hAnsi="宋体" w:cs="宋体"/>
          <w:color w:val="auto"/>
          <w:sz w:val="24"/>
          <w:highlight w:val="none"/>
        </w:rPr>
      </w:pPr>
      <w:bookmarkStart w:id="52" w:name="_Toc217446041"/>
      <w:bookmarkStart w:id="53" w:name="_Toc208848971"/>
      <w:r>
        <w:rPr>
          <w:rFonts w:hint="eastAsia" w:ascii="宋体" w:hAnsi="宋体" w:cs="宋体"/>
          <w:color w:val="auto"/>
          <w:sz w:val="24"/>
          <w:highlight w:val="none"/>
        </w:rPr>
        <w:t>8. 答疑会和现场考察</w:t>
      </w:r>
      <w:bookmarkEnd w:id="52"/>
      <w:bookmarkEnd w:id="53"/>
    </w:p>
    <w:p>
      <w:pPr>
        <w:tabs>
          <w:tab w:val="left" w:pos="7665"/>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8.1 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pPr>
        <w:tabs>
          <w:tab w:val="left" w:pos="7665"/>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现场考察或标前答疑会时间：本项目不组织。</w:t>
      </w:r>
    </w:p>
    <w:p>
      <w:pPr>
        <w:tabs>
          <w:tab w:val="left" w:pos="7665"/>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现场考察或标前答疑会地点：本项目不组织。</w:t>
      </w:r>
    </w:p>
    <w:bookmarkEnd w:id="40"/>
    <w:p>
      <w:pPr>
        <w:tabs>
          <w:tab w:val="left" w:pos="7665"/>
        </w:tabs>
        <w:spacing w:line="400" w:lineRule="exact"/>
        <w:ind w:firstLine="480" w:firstLineChars="200"/>
        <w:rPr>
          <w:rFonts w:ascii="宋体" w:hAnsi="宋体" w:cs="宋体"/>
          <w:color w:val="auto"/>
          <w:sz w:val="24"/>
          <w:highlight w:val="none"/>
        </w:rPr>
      </w:pPr>
      <w:bookmarkStart w:id="54" w:name="PO_默认文件内容_18"/>
      <w:r>
        <w:rPr>
          <w:rFonts w:hint="eastAsia" w:ascii="宋体" w:hAnsi="宋体" w:cs="宋体"/>
          <w:color w:val="auto"/>
          <w:sz w:val="24"/>
          <w:highlight w:val="none"/>
        </w:rPr>
        <w:t>8.2 供应商考察现场所发生的一切费用由供应商自己承担。</w:t>
      </w:r>
    </w:p>
    <w:p>
      <w:pPr>
        <w:pStyle w:val="4"/>
        <w:spacing w:line="400" w:lineRule="exact"/>
        <w:jc w:val="center"/>
        <w:rPr>
          <w:rFonts w:ascii="宋体" w:hAnsi="宋体" w:eastAsia="宋体" w:cs="宋体"/>
          <w:bCs w:val="0"/>
          <w:color w:val="auto"/>
          <w:highlight w:val="none"/>
        </w:rPr>
      </w:pPr>
      <w:bookmarkStart w:id="55" w:name="_Toc183682351"/>
      <w:bookmarkStart w:id="56" w:name="_Toc77400780"/>
      <w:bookmarkStart w:id="57" w:name="_Toc89075876"/>
      <w:bookmarkStart w:id="58" w:name="_Toc183582214"/>
      <w:bookmarkStart w:id="59" w:name="_Toc217446042"/>
      <w:r>
        <w:rPr>
          <w:rFonts w:hint="eastAsia" w:ascii="宋体" w:hAnsi="宋体" w:eastAsia="宋体" w:cs="宋体"/>
          <w:bCs w:val="0"/>
          <w:color w:val="auto"/>
          <w:highlight w:val="none"/>
        </w:rPr>
        <w:t>四、投标文件</w:t>
      </w:r>
      <w:bookmarkEnd w:id="55"/>
      <w:bookmarkEnd w:id="56"/>
      <w:bookmarkEnd w:id="57"/>
      <w:bookmarkEnd w:id="58"/>
      <w:bookmarkEnd w:id="59"/>
    </w:p>
    <w:p>
      <w:pPr>
        <w:pStyle w:val="5"/>
        <w:spacing w:line="400" w:lineRule="exact"/>
        <w:ind w:firstLine="482" w:firstLineChars="200"/>
        <w:rPr>
          <w:rFonts w:ascii="宋体" w:hAnsi="宋体" w:cs="宋体"/>
          <w:bCs w:val="0"/>
          <w:color w:val="auto"/>
          <w:sz w:val="24"/>
          <w:highlight w:val="none"/>
        </w:rPr>
      </w:pPr>
      <w:bookmarkStart w:id="60" w:name="_Toc217446043"/>
      <w:bookmarkStart w:id="61" w:name="_Toc183682352"/>
      <w:bookmarkStart w:id="62" w:name="_Toc183582215"/>
      <w:r>
        <w:rPr>
          <w:rFonts w:hint="eastAsia" w:ascii="宋体" w:hAnsi="宋体" w:cs="宋体"/>
          <w:bCs w:val="0"/>
          <w:color w:val="auto"/>
          <w:sz w:val="24"/>
          <w:highlight w:val="none"/>
        </w:rPr>
        <w:t>9．投标文件的语言</w:t>
      </w:r>
      <w:bookmarkEnd w:id="60"/>
      <w:bookmarkEnd w:id="61"/>
      <w:bookmarkEnd w:id="62"/>
      <w:r>
        <w:rPr>
          <w:rFonts w:hint="eastAsia" w:ascii="宋体" w:hAnsi="宋体" w:cs="宋体"/>
          <w:color w:val="auto"/>
          <w:sz w:val="24"/>
          <w:szCs w:val="24"/>
          <w:highlight w:val="none"/>
        </w:rPr>
        <w:t>（实质性要求）</w:t>
      </w:r>
    </w:p>
    <w:p>
      <w:pPr>
        <w:tabs>
          <w:tab w:val="left" w:pos="1134"/>
        </w:tabs>
        <w:spacing w:line="360" w:lineRule="auto"/>
        <w:ind w:firstLine="480" w:firstLineChars="200"/>
        <w:jc w:val="left"/>
        <w:rPr>
          <w:rFonts w:ascii="宋体" w:hAnsi="宋体" w:cs="宋体"/>
          <w:color w:val="auto"/>
          <w:sz w:val="24"/>
          <w:highlight w:val="none"/>
        </w:rPr>
      </w:pPr>
      <w:bookmarkStart w:id="63" w:name="_Toc183682353"/>
      <w:bookmarkStart w:id="64" w:name="_Toc217446044"/>
      <w:bookmarkStart w:id="65" w:name="_Toc183582216"/>
      <w:r>
        <w:rPr>
          <w:rFonts w:hint="eastAsia" w:ascii="宋体" w:hAnsi="宋体" w:cs="宋体"/>
          <w:color w:val="auto"/>
          <w:sz w:val="24"/>
          <w:highlight w:val="none"/>
        </w:rPr>
        <w:t>9.1 投标人提交的投标文件以及投标人与招标采购单位就有关投标的所有来往书面文件均须使用中文。投标文件中如附有外文资料，主要部分对应翻译成中文并加盖投标人公章后附在相关外文资料后面。</w:t>
      </w:r>
    </w:p>
    <w:p>
      <w:pPr>
        <w:tabs>
          <w:tab w:val="left" w:pos="1134"/>
        </w:tabs>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9.2 翻译的中文资料与外文资料如果出现差异和矛盾时，以中文为准。涉嫌虚假响应的按照相关法律法规处理。</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9.3 如因未翻译而造成的废标，由投标人承担。</w:t>
      </w:r>
    </w:p>
    <w:p>
      <w:pPr>
        <w:pStyle w:val="5"/>
        <w:spacing w:line="400" w:lineRule="exact"/>
        <w:ind w:firstLine="482" w:firstLineChars="200"/>
        <w:rPr>
          <w:rFonts w:ascii="宋体" w:hAnsi="宋体" w:cs="宋体"/>
          <w:color w:val="auto"/>
          <w:sz w:val="24"/>
          <w:highlight w:val="none"/>
        </w:rPr>
      </w:pPr>
      <w:r>
        <w:rPr>
          <w:rFonts w:hint="eastAsia" w:ascii="宋体" w:hAnsi="宋体" w:cs="宋体"/>
          <w:color w:val="auto"/>
          <w:sz w:val="24"/>
          <w:highlight w:val="none"/>
        </w:rPr>
        <w:t>10．计量单位</w:t>
      </w:r>
      <w:bookmarkEnd w:id="63"/>
      <w:bookmarkEnd w:id="64"/>
      <w:bookmarkEnd w:id="65"/>
      <w:r>
        <w:rPr>
          <w:rFonts w:hint="eastAsia" w:ascii="宋体" w:hAnsi="宋体" w:cs="宋体"/>
          <w:color w:val="auto"/>
          <w:sz w:val="24"/>
          <w:szCs w:val="24"/>
          <w:highlight w:val="none"/>
        </w:rPr>
        <w:t>（实质性要求）</w:t>
      </w:r>
    </w:p>
    <w:p>
      <w:pPr>
        <w:spacing w:line="400" w:lineRule="exact"/>
        <w:ind w:firstLine="470" w:firstLineChars="196"/>
        <w:rPr>
          <w:rFonts w:ascii="宋体" w:hAnsi="宋体" w:cs="宋体"/>
          <w:color w:val="auto"/>
          <w:sz w:val="24"/>
          <w:highlight w:val="none"/>
        </w:rPr>
      </w:pPr>
      <w:r>
        <w:rPr>
          <w:rFonts w:hint="eastAsia" w:ascii="宋体" w:hAnsi="宋体" w:cs="宋体"/>
          <w:color w:val="auto"/>
          <w:sz w:val="24"/>
          <w:highlight w:val="none"/>
        </w:rPr>
        <w:t>除招标文件中另有规定外，本次采购项目所有合同项下的投标均采用国家法定的计量单位。</w:t>
      </w:r>
    </w:p>
    <w:p>
      <w:pPr>
        <w:pStyle w:val="5"/>
        <w:spacing w:line="400" w:lineRule="exact"/>
        <w:ind w:firstLine="482" w:firstLineChars="200"/>
        <w:rPr>
          <w:rFonts w:ascii="宋体" w:hAnsi="宋体" w:cs="宋体"/>
          <w:color w:val="auto"/>
          <w:sz w:val="24"/>
          <w:highlight w:val="none"/>
        </w:rPr>
      </w:pPr>
      <w:bookmarkStart w:id="66" w:name="_Toc217446045"/>
      <w:r>
        <w:rPr>
          <w:rFonts w:hint="eastAsia" w:ascii="宋体" w:hAnsi="宋体" w:cs="宋体"/>
          <w:color w:val="auto"/>
          <w:sz w:val="24"/>
          <w:highlight w:val="none"/>
        </w:rPr>
        <w:t>11. 投标货币</w:t>
      </w:r>
      <w:bookmarkEnd w:id="66"/>
      <w:r>
        <w:rPr>
          <w:rFonts w:hint="eastAsia" w:ascii="宋体" w:hAnsi="宋体" w:cs="宋体"/>
          <w:color w:val="auto"/>
          <w:sz w:val="24"/>
          <w:highlight w:val="none"/>
        </w:rPr>
        <w:t>（实质性要求）</w:t>
      </w:r>
    </w:p>
    <w:p>
      <w:pPr>
        <w:spacing w:line="400" w:lineRule="exact"/>
        <w:ind w:firstLine="470" w:firstLineChars="196"/>
        <w:rPr>
          <w:rFonts w:ascii="宋体" w:hAnsi="宋体" w:cs="宋体"/>
          <w:color w:val="auto"/>
          <w:sz w:val="24"/>
          <w:highlight w:val="none"/>
        </w:rPr>
      </w:pPr>
      <w:r>
        <w:rPr>
          <w:rFonts w:hint="eastAsia" w:ascii="宋体" w:hAnsi="宋体" w:cs="宋体"/>
          <w:color w:val="auto"/>
          <w:sz w:val="24"/>
          <w:highlight w:val="none"/>
        </w:rPr>
        <w:t>本次招标项目的投标均以人民币报价。</w:t>
      </w:r>
    </w:p>
    <w:p>
      <w:pPr>
        <w:pStyle w:val="5"/>
        <w:spacing w:line="400" w:lineRule="exact"/>
        <w:ind w:firstLine="482" w:firstLineChars="200"/>
        <w:rPr>
          <w:rFonts w:ascii="宋体" w:hAnsi="宋体" w:cs="宋体"/>
          <w:color w:val="auto"/>
          <w:sz w:val="24"/>
          <w:highlight w:val="none"/>
        </w:rPr>
      </w:pPr>
      <w:bookmarkStart w:id="67" w:name="_Toc217446046"/>
      <w:r>
        <w:rPr>
          <w:rFonts w:hint="eastAsia" w:ascii="宋体" w:hAnsi="宋体" w:cs="宋体"/>
          <w:color w:val="auto"/>
          <w:sz w:val="24"/>
          <w:highlight w:val="none"/>
        </w:rPr>
        <w:t>12. 联合体投标</w:t>
      </w:r>
      <w:bookmarkEnd w:id="67"/>
    </w:p>
    <w:p>
      <w:pPr>
        <w:spacing w:line="400" w:lineRule="exact"/>
        <w:ind w:firstLine="470" w:firstLineChars="196"/>
        <w:rPr>
          <w:rFonts w:ascii="宋体" w:hAnsi="宋体" w:cs="宋体"/>
          <w:color w:val="auto"/>
          <w:sz w:val="24"/>
          <w:highlight w:val="none"/>
        </w:rPr>
      </w:pPr>
      <w:bookmarkStart w:id="68" w:name="_Toc217446047"/>
      <w:r>
        <w:rPr>
          <w:rFonts w:hint="eastAsia" w:ascii="宋体" w:hAnsi="宋体" w:cs="宋体"/>
          <w:color w:val="auto"/>
          <w:sz w:val="24"/>
          <w:highlight w:val="none"/>
        </w:rPr>
        <w:t>本项目不接受联合体投标。</w:t>
      </w:r>
    </w:p>
    <w:p>
      <w:pPr>
        <w:pStyle w:val="5"/>
        <w:spacing w:line="400" w:lineRule="exact"/>
        <w:ind w:firstLine="482" w:firstLineChars="200"/>
        <w:rPr>
          <w:rFonts w:ascii="宋体" w:hAnsi="宋体" w:cs="宋体"/>
          <w:color w:val="auto"/>
          <w:sz w:val="24"/>
          <w:highlight w:val="none"/>
        </w:rPr>
      </w:pPr>
      <w:bookmarkStart w:id="69" w:name="_Toc308164797"/>
      <w:r>
        <w:rPr>
          <w:rFonts w:hint="eastAsia" w:ascii="宋体" w:hAnsi="宋体" w:cs="宋体"/>
          <w:color w:val="auto"/>
          <w:sz w:val="24"/>
          <w:highlight w:val="none"/>
        </w:rPr>
        <w:t>13. 知识产权</w:t>
      </w:r>
      <w:bookmarkEnd w:id="68"/>
      <w:bookmarkEnd w:id="69"/>
      <w:r>
        <w:rPr>
          <w:rFonts w:hint="eastAsia" w:ascii="宋体" w:hAnsi="宋体" w:cs="宋体"/>
          <w:color w:val="auto"/>
          <w:sz w:val="24"/>
          <w:highlight w:val="none"/>
        </w:rPr>
        <w:t>（实质性要求）</w:t>
      </w:r>
    </w:p>
    <w:p>
      <w:pPr>
        <w:pStyle w:val="14"/>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4"/>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13.2 采购人享有本项目实施过程中产生的知识成果及知识产权。</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13.3 投标人如欲在项目实施过程中采用自有知识成果，投标人需提供开发接口和开发手册等技术文档，并承诺提供无限期技术支持，采购人享有永久使用权（含采购人委托第三方在该项目后续开发的使用权）。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ascii="宋体" w:hAnsi="宋体" w:cs="宋体"/>
          <w:color w:val="auto"/>
          <w:sz w:val="24"/>
          <w:highlight w:val="none"/>
        </w:rPr>
      </w:pPr>
      <w:r>
        <w:rPr>
          <w:rFonts w:hint="eastAsia" w:ascii="宋体" w:hAnsi="宋体" w:cs="宋体"/>
          <w:color w:val="auto"/>
          <w:sz w:val="24"/>
          <w:highlight w:val="none"/>
        </w:rPr>
        <w:t xml:space="preserve">13.4 如采用投标人所不拥有的知识产权，则在投标报价中必须包括合法获取该知识产权的相关费用。 </w:t>
      </w:r>
    </w:p>
    <w:p>
      <w:pPr>
        <w:pStyle w:val="5"/>
        <w:spacing w:line="400" w:lineRule="exact"/>
        <w:ind w:firstLine="482" w:firstLineChars="200"/>
        <w:rPr>
          <w:rFonts w:ascii="宋体" w:hAnsi="宋体" w:cs="宋体"/>
          <w:color w:val="auto"/>
          <w:sz w:val="24"/>
          <w:highlight w:val="none"/>
        </w:rPr>
      </w:pPr>
      <w:bookmarkStart w:id="70" w:name="_Toc183582217"/>
      <w:bookmarkStart w:id="71" w:name="_Toc217446048"/>
      <w:bookmarkStart w:id="72" w:name="_Toc308164798"/>
      <w:bookmarkStart w:id="73" w:name="_Toc183682354"/>
      <w:r>
        <w:rPr>
          <w:rFonts w:hint="eastAsia" w:ascii="宋体" w:hAnsi="宋体" w:cs="宋体"/>
          <w:color w:val="auto"/>
          <w:sz w:val="24"/>
          <w:highlight w:val="none"/>
        </w:rPr>
        <w:t>14．投标文件的组成</w:t>
      </w:r>
      <w:bookmarkEnd w:id="70"/>
      <w:bookmarkEnd w:id="71"/>
      <w:bookmarkEnd w:id="72"/>
      <w:bookmarkEnd w:id="73"/>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投标人应按照招标文件的规定和要求编制投标文件。投标人编写的投标文件应至少包括下列两部分文件：</w:t>
      </w:r>
    </w:p>
    <w:p>
      <w:pPr>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文件一：资格性投标文件</w:t>
      </w:r>
    </w:p>
    <w:p>
      <w:pPr>
        <w:spacing w:line="40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（一）</w:t>
      </w:r>
      <w:r>
        <w:rPr>
          <w:rFonts w:hint="eastAsia" w:ascii="宋体" w:hAnsi="宋体" w:cs="宋体"/>
          <w:color w:val="auto"/>
          <w:sz w:val="24"/>
          <w:highlight w:val="none"/>
        </w:rPr>
        <w:t>法定代表人/单位负责人授权书</w:t>
      </w:r>
    </w:p>
    <w:p>
      <w:pPr>
        <w:spacing w:line="400" w:lineRule="exact"/>
        <w:ind w:firstLine="1200" w:firstLineChars="500"/>
        <w:rPr>
          <w:rFonts w:ascii="宋体" w:hAnsi="宋体" w:cs="宋体"/>
          <w:color w:val="auto"/>
          <w:sz w:val="24"/>
          <w:highlight w:val="none"/>
        </w:rPr>
      </w:pPr>
      <w:r>
        <w:rPr>
          <w:rFonts w:hint="eastAsia" w:ascii="宋体" w:hAnsi="宋体" w:cs="宋体"/>
          <w:color w:val="auto"/>
          <w:sz w:val="24"/>
          <w:highlight w:val="none"/>
        </w:rPr>
        <w:t>法定代表人/单位负责人身份证明书</w:t>
      </w:r>
    </w:p>
    <w:p>
      <w:pPr>
        <w:spacing w:line="40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（二）承诺函</w:t>
      </w:r>
    </w:p>
    <w:p>
      <w:pPr>
        <w:spacing w:line="40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（三）投标人和投标产品其他资格、资质性及其他类似效力要求的相关证明材料</w:t>
      </w:r>
    </w:p>
    <w:p>
      <w:pPr>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（四）投标人单位及其现任法定代表人、主要负责人不得具有行贿犯罪记录承诺函</w:t>
      </w:r>
    </w:p>
    <w:p>
      <w:pPr>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文件二：其他响应性投标文件</w:t>
      </w:r>
    </w:p>
    <w:p>
      <w:pPr>
        <w:adjustRightInd w:val="0"/>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（一）投 标 函</w:t>
      </w:r>
    </w:p>
    <w:p>
      <w:pPr>
        <w:adjustRightInd w:val="0"/>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（二）开标一览表。</w:t>
      </w:r>
    </w:p>
    <w:p>
      <w:pPr>
        <w:adjustRightInd w:val="0"/>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（三）商务应答表</w:t>
      </w:r>
    </w:p>
    <w:p>
      <w:pPr>
        <w:adjustRightInd w:val="0"/>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（四）商务、技术、服务应答附表</w:t>
      </w:r>
    </w:p>
    <w:p>
      <w:pPr>
        <w:adjustRightInd w:val="0"/>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（五）投标人基本情况表</w:t>
      </w:r>
    </w:p>
    <w:p>
      <w:pPr>
        <w:adjustRightInd w:val="0"/>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（六）类似项目业绩一览表</w:t>
      </w:r>
    </w:p>
    <w:p>
      <w:pPr>
        <w:adjustRightInd w:val="0"/>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（七）投标产品技术参数要求应答表</w:t>
      </w:r>
    </w:p>
    <w:p>
      <w:pPr>
        <w:adjustRightInd w:val="0"/>
        <w:snapToGrid w:val="0"/>
        <w:spacing w:line="4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（八）拟派本项目人员情况表技术</w:t>
      </w:r>
    </w:p>
    <w:p>
      <w:pPr>
        <w:adjustRightInd w:val="0"/>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（九）项目实施方案</w:t>
      </w:r>
    </w:p>
    <w:p>
      <w:pPr>
        <w:adjustRightInd w:val="0"/>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（十）供应商诚信情况承诺函</w:t>
      </w:r>
    </w:p>
    <w:p>
      <w:pPr>
        <w:adjustRightInd w:val="0"/>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（十一）中小企业（监狱企业）声明函</w:t>
      </w:r>
    </w:p>
    <w:p>
      <w:pPr>
        <w:adjustRightInd w:val="0"/>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（十二）残疾人福利性单位声明函</w:t>
      </w:r>
    </w:p>
    <w:p>
      <w:pPr>
        <w:adjustRightInd w:val="0"/>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（十三）知识产权声明函</w:t>
      </w:r>
    </w:p>
    <w:p>
      <w:pPr>
        <w:adjustRightInd w:val="0"/>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（十四）实质性承诺函</w:t>
      </w:r>
    </w:p>
    <w:p>
      <w:pPr>
        <w:adjustRightInd w:val="0"/>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（十五）承诺函</w:t>
      </w:r>
    </w:p>
    <w:p>
      <w:pPr>
        <w:adjustRightInd w:val="0"/>
        <w:snapToGrid w:val="0"/>
        <w:spacing w:line="400" w:lineRule="exact"/>
        <w:ind w:firstLine="482" w:firstLineChars="200"/>
        <w:rPr>
          <w:rFonts w:ascii="宋体" w:hAnsi="宋体" w:cs="宋体"/>
          <w:b/>
          <w:bCs/>
          <w:color w:val="auto"/>
          <w:sz w:val="24"/>
          <w:highlight w:val="none"/>
        </w:rPr>
      </w:pPr>
      <w:r>
        <w:rPr>
          <w:rFonts w:hint="eastAsia" w:ascii="宋体" w:hAnsi="宋体" w:cs="宋体"/>
          <w:b/>
          <w:color w:val="auto"/>
          <w:sz w:val="24"/>
          <w:highlight w:val="none"/>
        </w:rPr>
        <w:t>（十六）投标人按照招标文件要求作出的其他应答和承诺。</w:t>
      </w:r>
    </w:p>
    <w:p>
      <w:pPr>
        <w:pStyle w:val="5"/>
        <w:tabs>
          <w:tab w:val="left" w:pos="3480"/>
        </w:tabs>
        <w:spacing w:line="400" w:lineRule="exact"/>
        <w:ind w:firstLine="482" w:firstLineChars="200"/>
        <w:rPr>
          <w:rFonts w:ascii="宋体" w:hAnsi="宋体" w:cs="宋体"/>
          <w:color w:val="auto"/>
          <w:sz w:val="24"/>
          <w:highlight w:val="none"/>
        </w:rPr>
      </w:pPr>
      <w:bookmarkStart w:id="74" w:name="_Toc183582218"/>
      <w:bookmarkStart w:id="75" w:name="_Toc217446049"/>
      <w:bookmarkStart w:id="76" w:name="_Toc183682355"/>
      <w:bookmarkStart w:id="77" w:name="_Toc308164799"/>
      <w:r>
        <w:rPr>
          <w:rFonts w:hint="eastAsia" w:ascii="宋体" w:hAnsi="宋体" w:cs="宋体"/>
          <w:color w:val="auto"/>
          <w:sz w:val="24"/>
          <w:highlight w:val="none"/>
        </w:rPr>
        <w:t>15．投标文件格式</w:t>
      </w:r>
      <w:bookmarkEnd w:id="74"/>
      <w:bookmarkEnd w:id="75"/>
      <w:bookmarkEnd w:id="76"/>
      <w:bookmarkEnd w:id="77"/>
    </w:p>
    <w:p>
      <w:pPr>
        <w:tabs>
          <w:tab w:val="left" w:pos="7665"/>
        </w:tabs>
        <w:spacing w:line="400" w:lineRule="exact"/>
        <w:ind w:left="13" w:leftChars="6" w:firstLine="480" w:firstLineChars="200"/>
        <w:rPr>
          <w:rFonts w:ascii="宋体" w:hAnsi="宋体" w:cs="宋体"/>
          <w:color w:val="auto"/>
          <w:sz w:val="24"/>
          <w:highlight w:val="none"/>
        </w:rPr>
      </w:pPr>
      <w:r>
        <w:rPr>
          <w:rFonts w:hint="eastAsia" w:ascii="宋体" w:hAnsi="宋体" w:cs="宋体"/>
          <w:color w:val="auto"/>
          <w:sz w:val="24"/>
          <w:highlight w:val="none"/>
        </w:rPr>
        <w:t>15.1 投标人应执行招标文件第三章的规定要求。第三章格式中“注”的内容，投标人可自行决定是否保留在投标文件中，未保留的视为投标人默认接受“注”的内容。</w:t>
      </w:r>
    </w:p>
    <w:p>
      <w:pPr>
        <w:tabs>
          <w:tab w:val="left" w:pos="7665"/>
        </w:tabs>
        <w:spacing w:line="400" w:lineRule="exact"/>
        <w:ind w:left="13" w:leftChars="6" w:firstLine="480" w:firstLineChars="200"/>
        <w:rPr>
          <w:rFonts w:ascii="宋体" w:hAnsi="宋体" w:cs="宋体"/>
          <w:color w:val="auto"/>
          <w:sz w:val="24"/>
          <w:highlight w:val="none"/>
        </w:rPr>
      </w:pPr>
      <w:r>
        <w:rPr>
          <w:rFonts w:hint="eastAsia" w:ascii="宋体" w:hAnsi="宋体" w:cs="宋体"/>
          <w:color w:val="auto"/>
          <w:sz w:val="24"/>
          <w:highlight w:val="none"/>
        </w:rPr>
        <w:t>15.2 对于没有格式要求的投标文件由投标人自行编写。</w:t>
      </w:r>
    </w:p>
    <w:p>
      <w:pPr>
        <w:pStyle w:val="5"/>
        <w:spacing w:line="400" w:lineRule="exact"/>
        <w:ind w:firstLine="482" w:firstLineChars="200"/>
        <w:rPr>
          <w:rFonts w:ascii="宋体" w:hAnsi="宋体" w:cs="宋体"/>
          <w:color w:val="auto"/>
          <w:sz w:val="24"/>
          <w:highlight w:val="none"/>
        </w:rPr>
      </w:pPr>
      <w:bookmarkStart w:id="78" w:name="_Toc217446050"/>
      <w:bookmarkStart w:id="79" w:name="_Toc308164800"/>
      <w:bookmarkStart w:id="80" w:name="_Toc183682360"/>
      <w:bookmarkStart w:id="81" w:name="_Toc183582223"/>
      <w:r>
        <w:rPr>
          <w:rFonts w:hint="eastAsia" w:ascii="宋体" w:hAnsi="宋体" w:cs="宋体"/>
          <w:bCs w:val="0"/>
          <w:color w:val="auto"/>
          <w:sz w:val="24"/>
          <w:highlight w:val="none"/>
        </w:rPr>
        <w:t>16．投标保证金</w:t>
      </w:r>
      <w:bookmarkEnd w:id="78"/>
      <w:bookmarkEnd w:id="79"/>
      <w:bookmarkEnd w:id="80"/>
      <w:bookmarkEnd w:id="81"/>
    </w:p>
    <w:p>
      <w:pPr>
        <w:tabs>
          <w:tab w:val="left" w:pos="7665"/>
        </w:tabs>
        <w:spacing w:line="400" w:lineRule="exact"/>
        <w:ind w:left="13" w:leftChars="6" w:firstLine="480" w:firstLineChars="200"/>
        <w:rPr>
          <w:rFonts w:ascii="宋体" w:hAnsi="宋体" w:cs="宋体"/>
          <w:color w:val="auto"/>
          <w:sz w:val="24"/>
          <w:highlight w:val="none"/>
        </w:rPr>
      </w:pPr>
      <w:bookmarkStart w:id="82" w:name="_Toc308164801"/>
      <w:bookmarkStart w:id="83" w:name="_Toc183582224"/>
      <w:bookmarkStart w:id="84" w:name="_Toc183682361"/>
      <w:bookmarkStart w:id="85" w:name="_Toc217446051"/>
      <w:r>
        <w:rPr>
          <w:rFonts w:hint="eastAsia" w:ascii="宋体" w:hAnsi="宋体" w:cs="宋体"/>
          <w:color w:val="auto"/>
          <w:sz w:val="24"/>
          <w:highlight w:val="none"/>
        </w:rPr>
        <w:t>本项目不收取投标保证金。</w:t>
      </w:r>
    </w:p>
    <w:p>
      <w:pPr>
        <w:pStyle w:val="5"/>
        <w:spacing w:line="400" w:lineRule="exact"/>
        <w:ind w:firstLine="482" w:firstLineChars="200"/>
        <w:rPr>
          <w:rFonts w:ascii="宋体" w:hAnsi="宋体" w:cs="宋体"/>
          <w:color w:val="auto"/>
          <w:sz w:val="24"/>
          <w:highlight w:val="none"/>
        </w:rPr>
      </w:pPr>
      <w:r>
        <w:rPr>
          <w:rFonts w:hint="eastAsia" w:ascii="宋体" w:hAnsi="宋体" w:cs="宋体"/>
          <w:color w:val="auto"/>
          <w:sz w:val="24"/>
          <w:highlight w:val="none"/>
        </w:rPr>
        <w:t>17．投标有效期</w:t>
      </w:r>
      <w:bookmarkEnd w:id="82"/>
      <w:bookmarkEnd w:id="83"/>
      <w:bookmarkEnd w:id="84"/>
      <w:bookmarkEnd w:id="85"/>
      <w:r>
        <w:rPr>
          <w:rFonts w:hint="eastAsia" w:ascii="宋体" w:hAnsi="宋体" w:cs="宋体"/>
          <w:color w:val="auto"/>
          <w:sz w:val="24"/>
          <w:highlight w:val="none"/>
        </w:rPr>
        <w:t>（实质性要求）</w:t>
      </w:r>
    </w:p>
    <w:p>
      <w:pPr>
        <w:tabs>
          <w:tab w:val="left" w:pos="7665"/>
        </w:tabs>
        <w:spacing w:line="400" w:lineRule="exact"/>
        <w:ind w:left="13" w:leftChars="6" w:firstLine="360" w:firstLineChars="150"/>
        <w:rPr>
          <w:rFonts w:ascii="宋体" w:hAnsi="宋体" w:cs="宋体"/>
          <w:color w:val="auto"/>
          <w:sz w:val="24"/>
          <w:highlight w:val="none"/>
        </w:rPr>
      </w:pPr>
      <w:r>
        <w:rPr>
          <w:rFonts w:hint="eastAsia" w:ascii="宋体" w:hAnsi="宋体" w:cs="宋体"/>
          <w:color w:val="auto"/>
          <w:sz w:val="24"/>
          <w:highlight w:val="none"/>
        </w:rPr>
        <w:t>17.1 本项目投标有效期为投标截止之日起</w:t>
      </w:r>
      <w:r>
        <w:rPr>
          <w:rFonts w:hint="eastAsia" w:ascii="宋体" w:hAnsi="宋体" w:cs="宋体"/>
          <w:b/>
          <w:bCs/>
          <w:color w:val="auto"/>
          <w:sz w:val="24"/>
          <w:highlight w:val="none"/>
        </w:rPr>
        <w:t>90</w:t>
      </w:r>
      <w:r>
        <w:rPr>
          <w:rFonts w:hint="eastAsia" w:ascii="宋体" w:hAnsi="宋体" w:cs="宋体"/>
          <w:color w:val="auto"/>
          <w:sz w:val="24"/>
          <w:highlight w:val="none"/>
        </w:rPr>
        <w:t>天。投标人投标文件中必须载明投标有效期，投标文件中载明的投标有效期可以长于招标文件规定的期限，但不得短于招标文件规定的期限。否则，其投标文件将作为无效投标处理。</w:t>
      </w:r>
    </w:p>
    <w:p>
      <w:pPr>
        <w:tabs>
          <w:tab w:val="left" w:pos="7665"/>
        </w:tabs>
        <w:spacing w:line="400" w:lineRule="exact"/>
        <w:ind w:left="13" w:leftChars="6" w:firstLine="360" w:firstLineChars="150"/>
        <w:rPr>
          <w:rFonts w:ascii="宋体" w:hAnsi="宋体" w:cs="宋体"/>
          <w:color w:val="auto"/>
          <w:sz w:val="24"/>
          <w:highlight w:val="none"/>
        </w:rPr>
      </w:pPr>
      <w:r>
        <w:rPr>
          <w:rFonts w:hint="eastAsia" w:ascii="宋体" w:hAnsi="宋体" w:cs="宋体"/>
          <w:color w:val="auto"/>
          <w:sz w:val="24"/>
          <w:highlight w:val="none"/>
        </w:rPr>
        <w:t xml:space="preserve">17.2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pPr>
        <w:tabs>
          <w:tab w:val="left" w:pos="7665"/>
        </w:tabs>
        <w:spacing w:line="400" w:lineRule="exact"/>
        <w:ind w:left="13" w:leftChars="6" w:firstLine="360" w:firstLineChars="150"/>
        <w:rPr>
          <w:rFonts w:ascii="宋体" w:hAnsi="宋体" w:cs="宋体"/>
          <w:color w:val="auto"/>
          <w:sz w:val="24"/>
          <w:highlight w:val="none"/>
        </w:rPr>
      </w:pPr>
      <w:r>
        <w:rPr>
          <w:rFonts w:hint="eastAsia" w:ascii="宋体" w:hAnsi="宋体" w:cs="宋体"/>
          <w:color w:val="auto"/>
          <w:sz w:val="24"/>
          <w:highlight w:val="none"/>
        </w:rPr>
        <w:t>17.3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5"/>
        <w:spacing w:line="400" w:lineRule="exact"/>
        <w:ind w:firstLine="482" w:firstLineChars="200"/>
        <w:rPr>
          <w:rFonts w:ascii="宋体" w:hAnsi="宋体" w:cs="宋体"/>
          <w:bCs w:val="0"/>
          <w:color w:val="auto"/>
          <w:sz w:val="24"/>
          <w:highlight w:val="none"/>
        </w:rPr>
      </w:pPr>
      <w:bookmarkStart w:id="86" w:name="_Toc217446052"/>
      <w:bookmarkStart w:id="87" w:name="_Toc308164802"/>
      <w:bookmarkStart w:id="88" w:name="_Toc183682362"/>
      <w:bookmarkStart w:id="89" w:name="_Toc183582225"/>
      <w:r>
        <w:rPr>
          <w:rFonts w:hint="eastAsia" w:ascii="宋体" w:hAnsi="宋体" w:cs="宋体"/>
          <w:bCs w:val="0"/>
          <w:color w:val="auto"/>
          <w:sz w:val="24"/>
          <w:highlight w:val="none"/>
        </w:rPr>
        <w:t>18．投标文件的印制和签署</w:t>
      </w:r>
      <w:bookmarkEnd w:id="86"/>
      <w:bookmarkEnd w:id="87"/>
      <w:bookmarkEnd w:id="88"/>
      <w:bookmarkEnd w:id="89"/>
    </w:p>
    <w:p>
      <w:pPr>
        <w:tabs>
          <w:tab w:val="left" w:pos="1080"/>
        </w:tabs>
        <w:spacing w:line="400" w:lineRule="exact"/>
        <w:ind w:firstLine="460" w:firstLineChars="192"/>
        <w:rPr>
          <w:rFonts w:ascii="宋体" w:hAnsi="宋体" w:cs="宋体"/>
          <w:color w:val="auto"/>
          <w:sz w:val="24"/>
          <w:highlight w:val="none"/>
        </w:rPr>
      </w:pPr>
      <w:r>
        <w:rPr>
          <w:rFonts w:hint="eastAsia" w:ascii="宋体" w:hAnsi="宋体" w:cs="宋体"/>
          <w:color w:val="auto"/>
          <w:sz w:val="24"/>
          <w:highlight w:val="none"/>
        </w:rPr>
        <w:t>18.1投标文件分为“资格性投标文件”和“其他响应性投标文件”两部分，且该两部分应分册装订。</w:t>
      </w:r>
    </w:p>
    <w:p>
      <w:pPr>
        <w:spacing w:line="400" w:lineRule="exact"/>
        <w:ind w:firstLine="468" w:firstLineChars="195"/>
        <w:rPr>
          <w:rFonts w:ascii="宋体" w:hAnsi="宋体" w:cs="宋体"/>
          <w:bCs/>
          <w:color w:val="auto"/>
          <w:sz w:val="24"/>
          <w:highlight w:val="none"/>
        </w:rPr>
      </w:pPr>
      <w:r>
        <w:rPr>
          <w:rFonts w:hint="eastAsia" w:ascii="宋体" w:hAnsi="宋体" w:cs="宋体"/>
          <w:color w:val="auto"/>
          <w:sz w:val="24"/>
          <w:highlight w:val="none"/>
        </w:rPr>
        <w:t>18.2资格性投标文件正本1份副本2份</w:t>
      </w:r>
      <w:r>
        <w:rPr>
          <w:rFonts w:hint="eastAsia" w:ascii="宋体" w:hAnsi="宋体" w:cs="宋体"/>
          <w:bCs/>
          <w:color w:val="auto"/>
          <w:sz w:val="24"/>
          <w:highlight w:val="none"/>
        </w:rPr>
        <w:t>，并在其封面上清楚地标明</w:t>
      </w:r>
      <w:r>
        <w:rPr>
          <w:rFonts w:hint="eastAsia" w:ascii="宋体" w:hAnsi="宋体" w:cs="宋体"/>
          <w:color w:val="auto"/>
          <w:sz w:val="24"/>
          <w:highlight w:val="none"/>
        </w:rPr>
        <w:t>资格性投标文件</w:t>
      </w:r>
      <w:r>
        <w:rPr>
          <w:rFonts w:hint="eastAsia" w:ascii="宋体" w:hAnsi="宋体" w:cs="宋体"/>
          <w:bCs/>
          <w:color w:val="auto"/>
          <w:sz w:val="24"/>
          <w:highlight w:val="none"/>
        </w:rPr>
        <w:t>、项目名称、项目编号、包件号及名称（若有）、投标人名称以及“正本”或“副本”字样。若正本和副本有不一致的内容，以正本书面投标文件为准。</w:t>
      </w:r>
    </w:p>
    <w:p>
      <w:pPr>
        <w:spacing w:line="400" w:lineRule="exact"/>
        <w:ind w:firstLine="468" w:firstLineChars="195"/>
        <w:rPr>
          <w:rFonts w:ascii="宋体" w:hAnsi="宋体" w:cs="宋体"/>
          <w:bCs/>
          <w:color w:val="auto"/>
          <w:sz w:val="24"/>
          <w:highlight w:val="none"/>
        </w:rPr>
      </w:pPr>
      <w:r>
        <w:rPr>
          <w:rFonts w:hint="eastAsia" w:ascii="宋体" w:hAnsi="宋体" w:cs="宋体"/>
          <w:bCs/>
          <w:color w:val="auto"/>
          <w:sz w:val="24"/>
          <w:highlight w:val="none"/>
        </w:rPr>
        <w:t>18.3</w:t>
      </w:r>
      <w:r>
        <w:rPr>
          <w:rFonts w:hint="eastAsia" w:ascii="宋体" w:hAnsi="宋体" w:cs="宋体"/>
          <w:color w:val="auto"/>
          <w:sz w:val="24"/>
          <w:highlight w:val="none"/>
        </w:rPr>
        <w:t>其他响应性投标文件</w:t>
      </w:r>
      <w:r>
        <w:rPr>
          <w:rFonts w:hint="eastAsia" w:ascii="宋体" w:hAnsi="宋体" w:cs="宋体"/>
          <w:bCs/>
          <w:color w:val="auto"/>
          <w:sz w:val="24"/>
          <w:highlight w:val="none"/>
        </w:rPr>
        <w:t>正本1份副本2份，并在其封面上清楚地标明</w:t>
      </w:r>
      <w:r>
        <w:rPr>
          <w:rFonts w:hint="eastAsia" w:ascii="宋体" w:hAnsi="宋体" w:cs="宋体"/>
          <w:color w:val="auto"/>
          <w:sz w:val="24"/>
          <w:highlight w:val="none"/>
        </w:rPr>
        <w:t>其他响应性投标文件</w:t>
      </w:r>
      <w:r>
        <w:rPr>
          <w:rFonts w:hint="eastAsia" w:ascii="宋体" w:hAnsi="宋体" w:cs="宋体"/>
          <w:bCs/>
          <w:color w:val="auto"/>
          <w:sz w:val="24"/>
          <w:highlight w:val="none"/>
        </w:rPr>
        <w:t>、项目名称、项目编号、包件号及名称（若有）、投标人名称以及“正本”或“副本”字样。若正本和副本有不一致的内容，以正本书面投标文件为准。</w:t>
      </w:r>
    </w:p>
    <w:p>
      <w:pPr>
        <w:tabs>
          <w:tab w:val="left" w:pos="1080"/>
        </w:tabs>
        <w:spacing w:line="400" w:lineRule="exact"/>
        <w:ind w:firstLine="460" w:firstLineChars="192"/>
        <w:rPr>
          <w:rFonts w:ascii="宋体" w:hAnsi="宋体" w:cs="宋体"/>
          <w:color w:val="auto"/>
          <w:sz w:val="24"/>
          <w:highlight w:val="none"/>
        </w:rPr>
      </w:pPr>
      <w:r>
        <w:rPr>
          <w:rFonts w:hint="eastAsia" w:ascii="宋体" w:hAnsi="宋体" w:cs="宋体"/>
          <w:bCs/>
          <w:color w:val="auto"/>
          <w:sz w:val="24"/>
          <w:highlight w:val="none"/>
        </w:rPr>
        <w:t>18.4单独</w:t>
      </w:r>
      <w:r>
        <w:rPr>
          <w:rFonts w:hint="eastAsia" w:ascii="宋体" w:hAnsi="宋体" w:cs="宋体"/>
          <w:color w:val="auto"/>
          <w:sz w:val="24"/>
          <w:highlight w:val="none"/>
        </w:rPr>
        <w:t>提供用于开标唱标的“开标一览表”原件1份，</w:t>
      </w:r>
      <w:r>
        <w:rPr>
          <w:rFonts w:hint="eastAsia" w:ascii="宋体" w:hAnsi="宋体" w:cs="宋体"/>
          <w:bCs/>
          <w:color w:val="auto"/>
          <w:sz w:val="24"/>
          <w:highlight w:val="none"/>
        </w:rPr>
        <w:t>并清楚地标明</w:t>
      </w:r>
      <w:r>
        <w:rPr>
          <w:rFonts w:hint="eastAsia" w:ascii="宋体" w:hAnsi="宋体" w:cs="宋体"/>
          <w:color w:val="auto"/>
          <w:sz w:val="24"/>
          <w:highlight w:val="none"/>
        </w:rPr>
        <w:t>开标一览表</w:t>
      </w:r>
      <w:r>
        <w:rPr>
          <w:rFonts w:hint="eastAsia" w:ascii="宋体" w:hAnsi="宋体" w:cs="宋体"/>
          <w:bCs/>
          <w:color w:val="auto"/>
          <w:sz w:val="24"/>
          <w:highlight w:val="none"/>
        </w:rPr>
        <w:t>、项目名称、项目编号、包件号及名称（若有）、投标人名称</w:t>
      </w:r>
      <w:r>
        <w:rPr>
          <w:rFonts w:hint="eastAsia" w:ascii="宋体" w:hAnsi="宋体" w:cs="宋体"/>
          <w:color w:val="auto"/>
          <w:sz w:val="24"/>
          <w:highlight w:val="none"/>
        </w:rPr>
        <w:t>。</w:t>
      </w:r>
    </w:p>
    <w:p>
      <w:pPr>
        <w:tabs>
          <w:tab w:val="left" w:pos="1080"/>
        </w:tabs>
        <w:spacing w:line="400" w:lineRule="exact"/>
        <w:ind w:firstLine="463" w:firstLineChars="192"/>
        <w:rPr>
          <w:rFonts w:ascii="宋体" w:hAnsi="宋体" w:cs="宋体"/>
          <w:color w:val="auto"/>
          <w:sz w:val="24"/>
          <w:highlight w:val="none"/>
        </w:rPr>
      </w:pPr>
      <w:r>
        <w:rPr>
          <w:rFonts w:hint="eastAsia" w:ascii="宋体" w:hAnsi="宋体" w:cs="宋体"/>
          <w:b/>
          <w:bCs/>
          <w:color w:val="auto"/>
          <w:sz w:val="24"/>
          <w:highlight w:val="none"/>
        </w:rPr>
        <w:t>18.5“开标一览表”除单独密封提交外，还应编制于其他响应性投标文件正副本内，如有遗漏，将视为无效投标（实质性要求）。</w:t>
      </w:r>
    </w:p>
    <w:p>
      <w:pPr>
        <w:tabs>
          <w:tab w:val="left" w:pos="1095"/>
        </w:tabs>
        <w:spacing w:line="400" w:lineRule="exact"/>
        <w:ind w:firstLine="460" w:firstLineChars="192"/>
        <w:rPr>
          <w:rFonts w:ascii="宋体" w:hAnsi="宋体" w:cs="宋体"/>
          <w:color w:val="auto"/>
          <w:sz w:val="24"/>
          <w:highlight w:val="none"/>
        </w:rPr>
      </w:pPr>
      <w:r>
        <w:rPr>
          <w:rFonts w:hint="eastAsia" w:ascii="宋体" w:hAnsi="宋体" w:cs="宋体"/>
          <w:color w:val="auto"/>
          <w:sz w:val="24"/>
          <w:highlight w:val="none"/>
        </w:rPr>
        <w:t>18.6 投标文件的正本和副本均需打印或用不褪色、不变质的墨水书写，并由投标人的法定代表人/单位负责人或其授权代表在规定签章处签字或盖章。投标文件副本可采用正本的复印件，提供电子文档1份采用U盘</w:t>
      </w:r>
      <w:r>
        <w:rPr>
          <w:rFonts w:hint="eastAsia" w:ascii="宋体" w:hAnsi="宋体" w:cs="宋体"/>
          <w:b/>
          <w:bCs/>
          <w:color w:val="auto"/>
          <w:sz w:val="24"/>
          <w:highlight w:val="none"/>
        </w:rPr>
        <w:t>(包含投标文件Word或WPS版本一份，与投标文件正本一致的PDF版本一份）</w:t>
      </w:r>
      <w:r>
        <w:rPr>
          <w:rFonts w:hint="eastAsia" w:ascii="宋体" w:hAnsi="宋体" w:cs="宋体"/>
          <w:color w:val="auto"/>
          <w:sz w:val="24"/>
          <w:highlight w:val="none"/>
        </w:rPr>
        <w:t>制作。</w:t>
      </w:r>
    </w:p>
    <w:p>
      <w:pPr>
        <w:tabs>
          <w:tab w:val="left" w:pos="1095"/>
        </w:tabs>
        <w:spacing w:line="400" w:lineRule="exact"/>
        <w:ind w:firstLine="460" w:firstLineChars="192"/>
        <w:rPr>
          <w:rFonts w:ascii="宋体" w:hAnsi="宋体" w:cs="宋体"/>
          <w:color w:val="auto"/>
          <w:sz w:val="24"/>
          <w:highlight w:val="none"/>
        </w:rPr>
      </w:pPr>
      <w:r>
        <w:rPr>
          <w:rFonts w:hint="eastAsia" w:ascii="宋体" w:hAnsi="宋体" w:cs="宋体"/>
          <w:color w:val="auto"/>
          <w:sz w:val="24"/>
          <w:highlight w:val="none"/>
        </w:rPr>
        <w:t>18.7 投标文件的打印和书写应清楚工整，任何行间插字、涂改或增删，必须由投标人的法定代表人/单位负责人或其授权代表签字或盖个人印鉴。</w:t>
      </w:r>
    </w:p>
    <w:p>
      <w:pPr>
        <w:tabs>
          <w:tab w:val="left" w:pos="1080"/>
        </w:tabs>
        <w:spacing w:line="400" w:lineRule="exact"/>
        <w:ind w:firstLine="460" w:firstLineChars="192"/>
        <w:rPr>
          <w:rFonts w:ascii="宋体" w:hAnsi="宋体" w:cs="宋体"/>
          <w:color w:val="auto"/>
          <w:sz w:val="24"/>
          <w:highlight w:val="none"/>
        </w:rPr>
      </w:pPr>
      <w:r>
        <w:rPr>
          <w:rFonts w:hint="eastAsia" w:ascii="宋体" w:hAnsi="宋体" w:cs="宋体"/>
          <w:color w:val="auto"/>
          <w:sz w:val="24"/>
          <w:highlight w:val="none"/>
        </w:rPr>
        <w:t>18.8 投标文件正本和副本应当采取胶装方式装订成册，不得散装或者活页装订。</w:t>
      </w:r>
    </w:p>
    <w:p>
      <w:pPr>
        <w:tabs>
          <w:tab w:val="left" w:pos="1080"/>
        </w:tabs>
        <w:spacing w:line="400" w:lineRule="exact"/>
        <w:ind w:firstLine="460" w:firstLineChars="192"/>
        <w:rPr>
          <w:rFonts w:ascii="宋体" w:hAnsi="宋体" w:cs="宋体"/>
          <w:color w:val="auto"/>
          <w:sz w:val="24"/>
          <w:highlight w:val="none"/>
        </w:rPr>
      </w:pPr>
      <w:r>
        <w:rPr>
          <w:rFonts w:hint="eastAsia" w:ascii="宋体" w:hAnsi="宋体" w:cs="宋体"/>
          <w:color w:val="auto"/>
          <w:sz w:val="24"/>
          <w:highlight w:val="none"/>
        </w:rPr>
        <w:t>18.9 投标文件应根据招标文件的要求制作，签署、盖章和内容应完整。投标文件统一用A4幅面纸印制，逐页编码。本次招标要求的复印件是指对图文进行复制后的文件，包括扫描、复印、影印等方式复制的材料。</w:t>
      </w:r>
    </w:p>
    <w:p>
      <w:pPr>
        <w:pStyle w:val="5"/>
        <w:spacing w:line="400" w:lineRule="exact"/>
        <w:ind w:firstLine="482" w:firstLineChars="200"/>
        <w:rPr>
          <w:rFonts w:ascii="宋体" w:hAnsi="宋体" w:cs="宋体"/>
          <w:color w:val="auto"/>
          <w:sz w:val="24"/>
          <w:szCs w:val="24"/>
          <w:highlight w:val="none"/>
        </w:rPr>
      </w:pPr>
      <w:bookmarkStart w:id="90" w:name="_Toc183582226"/>
      <w:bookmarkStart w:id="91" w:name="_Toc89075877"/>
      <w:bookmarkStart w:id="92" w:name="_Toc77400781"/>
      <w:bookmarkStart w:id="93" w:name="_Toc183682363"/>
      <w:bookmarkStart w:id="94" w:name="_Toc308164803"/>
      <w:bookmarkStart w:id="95" w:name="_Toc217446053"/>
      <w:r>
        <w:rPr>
          <w:rFonts w:hint="eastAsia" w:ascii="宋体" w:hAnsi="宋体" w:cs="宋体"/>
          <w:bCs w:val="0"/>
          <w:color w:val="auto"/>
          <w:sz w:val="24"/>
          <w:szCs w:val="24"/>
          <w:highlight w:val="none"/>
        </w:rPr>
        <w:t>19.</w:t>
      </w:r>
      <w:r>
        <w:rPr>
          <w:rFonts w:hint="eastAsia" w:ascii="宋体" w:hAnsi="宋体" w:cs="宋体"/>
          <w:color w:val="auto"/>
          <w:sz w:val="24"/>
          <w:szCs w:val="24"/>
          <w:highlight w:val="none"/>
        </w:rPr>
        <w:t>投标文件的密封和标</w:t>
      </w:r>
      <w:bookmarkEnd w:id="90"/>
      <w:bookmarkEnd w:id="91"/>
      <w:bookmarkEnd w:id="92"/>
      <w:bookmarkEnd w:id="93"/>
      <w:r>
        <w:rPr>
          <w:rFonts w:hint="eastAsia" w:ascii="宋体" w:hAnsi="宋体" w:cs="宋体"/>
          <w:color w:val="auto"/>
          <w:sz w:val="24"/>
          <w:szCs w:val="24"/>
          <w:highlight w:val="none"/>
        </w:rPr>
        <w:t>注</w:t>
      </w:r>
      <w:bookmarkEnd w:id="94"/>
      <w:bookmarkEnd w:id="95"/>
    </w:p>
    <w:p>
      <w:pPr>
        <w:tabs>
          <w:tab w:val="left" w:pos="1080"/>
        </w:tabs>
        <w:spacing w:line="400" w:lineRule="exact"/>
        <w:ind w:firstLine="460" w:firstLineChars="192"/>
        <w:rPr>
          <w:rFonts w:ascii="宋体" w:hAnsi="宋体" w:cs="宋体"/>
          <w:color w:val="auto"/>
          <w:sz w:val="24"/>
          <w:highlight w:val="none"/>
        </w:rPr>
      </w:pPr>
      <w:r>
        <w:rPr>
          <w:rFonts w:hint="eastAsia" w:ascii="宋体" w:hAnsi="宋体" w:cs="宋体"/>
          <w:color w:val="auto"/>
          <w:sz w:val="24"/>
          <w:highlight w:val="none"/>
        </w:rPr>
        <w:t>19.1 投标人应在投标文件正本和所有副本的封面上注明投标人名称、项目编号、项目名称及分包号（如有分包）。</w:t>
      </w:r>
    </w:p>
    <w:p>
      <w:pPr>
        <w:tabs>
          <w:tab w:val="left" w:pos="1080"/>
        </w:tabs>
        <w:spacing w:line="400" w:lineRule="exact"/>
        <w:ind w:firstLine="460" w:firstLineChars="192"/>
        <w:rPr>
          <w:rFonts w:ascii="宋体" w:hAnsi="宋体" w:cs="宋体"/>
          <w:b/>
          <w:bCs/>
          <w:color w:val="auto"/>
          <w:sz w:val="24"/>
          <w:highlight w:val="none"/>
        </w:rPr>
      </w:pPr>
      <w:r>
        <w:rPr>
          <w:rFonts w:hint="eastAsia" w:ascii="宋体" w:hAnsi="宋体" w:cs="宋体"/>
          <w:color w:val="auto"/>
          <w:sz w:val="24"/>
          <w:highlight w:val="none"/>
        </w:rPr>
        <w:t>19.2 投标文件包括资格性投标文件正本及副本、其他响应性投标文件正本及副本、电子文档和用于开标唱标单独提交的“开标一览表”。投标文件应分别密封包装</w:t>
      </w:r>
      <w:r>
        <w:rPr>
          <w:rFonts w:hint="eastAsia" w:ascii="宋体" w:hAnsi="宋体" w:cs="宋体"/>
          <w:b/>
          <w:bCs/>
          <w:color w:val="auto"/>
          <w:sz w:val="24"/>
          <w:highlight w:val="none"/>
        </w:rPr>
        <w:t>（资格性投标文件正本及副本一个包装，其他响应性投标文件正本及副本一个包装，开标一览表一个包装，电子文档一个包装）。</w:t>
      </w:r>
    </w:p>
    <w:p>
      <w:pPr>
        <w:tabs>
          <w:tab w:val="left" w:pos="1080"/>
        </w:tabs>
        <w:spacing w:line="400" w:lineRule="exact"/>
        <w:ind w:firstLine="460" w:firstLineChars="192"/>
        <w:rPr>
          <w:rFonts w:ascii="宋体" w:hAnsi="宋体" w:cs="宋体"/>
          <w:color w:val="auto"/>
          <w:sz w:val="24"/>
          <w:highlight w:val="none"/>
        </w:rPr>
      </w:pPr>
      <w:r>
        <w:rPr>
          <w:rFonts w:hint="eastAsia" w:ascii="宋体" w:hAnsi="宋体" w:cs="宋体"/>
          <w:color w:val="auto"/>
          <w:sz w:val="24"/>
          <w:highlight w:val="none"/>
        </w:rPr>
        <w:t>19.3 投标文件的密封袋上应当注明投标人名称、项目编号、项目名称及分包号（如有分包）。</w:t>
      </w:r>
    </w:p>
    <w:p>
      <w:pPr>
        <w:pStyle w:val="5"/>
        <w:spacing w:line="400" w:lineRule="exact"/>
        <w:ind w:firstLine="482" w:firstLineChars="200"/>
        <w:rPr>
          <w:rFonts w:ascii="宋体" w:hAnsi="宋体" w:cs="宋体"/>
          <w:bCs w:val="0"/>
          <w:color w:val="auto"/>
          <w:sz w:val="24"/>
          <w:szCs w:val="24"/>
          <w:highlight w:val="none"/>
        </w:rPr>
      </w:pPr>
      <w:bookmarkStart w:id="96" w:name="_Toc183682364"/>
      <w:bookmarkStart w:id="97" w:name="_Toc183582227"/>
      <w:bookmarkStart w:id="98" w:name="_Toc308164804"/>
      <w:bookmarkStart w:id="99" w:name="_Toc217446054"/>
      <w:r>
        <w:rPr>
          <w:rFonts w:hint="eastAsia" w:ascii="宋体" w:hAnsi="宋体" w:cs="宋体"/>
          <w:bCs w:val="0"/>
          <w:color w:val="auto"/>
          <w:sz w:val="24"/>
          <w:szCs w:val="24"/>
          <w:highlight w:val="none"/>
        </w:rPr>
        <w:t>资格性投标文件正本及副本、其他投标文件正本及副本、开标一览表、电子文档未按照招标文件要求包装、密封和标注的，采购人、采购代理机构应当拒收。</w:t>
      </w:r>
    </w:p>
    <w:p>
      <w:pPr>
        <w:pStyle w:val="5"/>
        <w:spacing w:line="400" w:lineRule="exact"/>
        <w:ind w:firstLine="482" w:firstLineChars="200"/>
        <w:rPr>
          <w:rFonts w:ascii="宋体" w:hAnsi="宋体" w:cs="宋体"/>
          <w:bCs w:val="0"/>
          <w:color w:val="auto"/>
          <w:sz w:val="24"/>
          <w:szCs w:val="24"/>
          <w:highlight w:val="none"/>
        </w:rPr>
      </w:pPr>
      <w:r>
        <w:rPr>
          <w:rFonts w:hint="eastAsia" w:ascii="宋体" w:hAnsi="宋体" w:cs="宋体"/>
          <w:bCs w:val="0"/>
          <w:color w:val="auto"/>
          <w:sz w:val="24"/>
          <w:szCs w:val="24"/>
          <w:highlight w:val="none"/>
        </w:rPr>
        <w:t>20</w:t>
      </w:r>
      <w:r>
        <w:rPr>
          <w:rFonts w:hint="eastAsia" w:ascii="宋体" w:hAnsi="宋体" w:cs="宋体"/>
          <w:bCs w:val="0"/>
          <w:color w:val="auto"/>
          <w:sz w:val="28"/>
          <w:szCs w:val="28"/>
          <w:highlight w:val="none"/>
        </w:rPr>
        <w:t>．</w:t>
      </w:r>
      <w:r>
        <w:rPr>
          <w:rFonts w:hint="eastAsia" w:ascii="宋体" w:hAnsi="宋体" w:cs="宋体"/>
          <w:bCs w:val="0"/>
          <w:color w:val="auto"/>
          <w:sz w:val="24"/>
          <w:szCs w:val="24"/>
          <w:highlight w:val="none"/>
        </w:rPr>
        <w:t>投标文件的</w:t>
      </w:r>
      <w:bookmarkEnd w:id="96"/>
      <w:bookmarkEnd w:id="97"/>
      <w:r>
        <w:rPr>
          <w:rFonts w:hint="eastAsia" w:ascii="宋体" w:hAnsi="宋体" w:cs="宋体"/>
          <w:bCs w:val="0"/>
          <w:color w:val="auto"/>
          <w:sz w:val="24"/>
          <w:szCs w:val="24"/>
          <w:highlight w:val="none"/>
        </w:rPr>
        <w:t>递交</w:t>
      </w:r>
      <w:bookmarkEnd w:id="98"/>
      <w:bookmarkEnd w:id="99"/>
    </w:p>
    <w:p>
      <w:pPr>
        <w:tabs>
          <w:tab w:val="left" w:pos="1095"/>
        </w:tabs>
        <w:spacing w:line="400" w:lineRule="exact"/>
        <w:ind w:firstLine="460" w:firstLineChars="192"/>
        <w:rPr>
          <w:rFonts w:ascii="宋体" w:hAnsi="宋体" w:cs="宋体"/>
          <w:color w:val="auto"/>
          <w:sz w:val="24"/>
          <w:highlight w:val="none"/>
        </w:rPr>
      </w:pPr>
      <w:r>
        <w:rPr>
          <w:rFonts w:hint="eastAsia" w:ascii="宋体" w:hAnsi="宋体" w:cs="宋体"/>
          <w:color w:val="auto"/>
          <w:sz w:val="24"/>
          <w:highlight w:val="none"/>
        </w:rPr>
        <w:t>20.1 投标人应在招标文件规定的投标截止时间前，将投标文件按招标文件的规定密封后送达开标地点。投标截止时间以后送达的投标文件将不予接收，招标采购单位将告知投标人不予接收的原因。</w:t>
      </w:r>
    </w:p>
    <w:p>
      <w:pPr>
        <w:tabs>
          <w:tab w:val="left" w:pos="1095"/>
        </w:tabs>
        <w:spacing w:line="400" w:lineRule="exact"/>
        <w:ind w:firstLine="460" w:firstLineChars="192"/>
        <w:rPr>
          <w:rFonts w:ascii="宋体" w:hAnsi="宋体" w:cs="宋体"/>
          <w:color w:val="auto"/>
          <w:sz w:val="24"/>
          <w:highlight w:val="none"/>
        </w:rPr>
      </w:pPr>
      <w:r>
        <w:rPr>
          <w:rFonts w:hint="eastAsia" w:ascii="宋体" w:hAnsi="宋体" w:cs="宋体"/>
          <w:color w:val="auto"/>
          <w:sz w:val="24"/>
          <w:highlight w:val="none"/>
        </w:rPr>
        <w:t>20.2递交投标文件时，报名供应商名称和招标文件的文号、分包号应当与投标供应商名称和招标文件的文号、分包号一致。但是，投标文件实质内容报名供应商名称和招标文件的文号、分包号一致，只是封面文字错误的，可以在评标过程中当面予以澄清，以有效的澄清材料作为认定投标文件是否有效的依据。</w:t>
      </w:r>
    </w:p>
    <w:p>
      <w:pPr>
        <w:tabs>
          <w:tab w:val="left" w:pos="1095"/>
        </w:tabs>
        <w:spacing w:line="400" w:lineRule="exact"/>
        <w:ind w:firstLine="460" w:firstLineChars="192"/>
        <w:rPr>
          <w:rFonts w:ascii="宋体" w:hAnsi="宋体" w:cs="宋体"/>
          <w:color w:val="auto"/>
          <w:sz w:val="24"/>
          <w:highlight w:val="none"/>
        </w:rPr>
      </w:pPr>
      <w:r>
        <w:rPr>
          <w:rFonts w:hint="eastAsia" w:ascii="宋体" w:hAnsi="宋体" w:cs="宋体"/>
          <w:color w:val="auto"/>
          <w:sz w:val="24"/>
          <w:highlight w:val="none"/>
        </w:rPr>
        <w:t>20.3本次招标不接收邮寄的投标文件。</w:t>
      </w:r>
    </w:p>
    <w:p>
      <w:pPr>
        <w:pStyle w:val="5"/>
        <w:spacing w:line="400" w:lineRule="exact"/>
        <w:ind w:firstLine="482" w:firstLineChars="200"/>
        <w:rPr>
          <w:rFonts w:ascii="宋体" w:hAnsi="宋体" w:cs="宋体"/>
          <w:bCs w:val="0"/>
          <w:color w:val="auto"/>
          <w:sz w:val="24"/>
          <w:szCs w:val="24"/>
          <w:highlight w:val="none"/>
        </w:rPr>
      </w:pPr>
      <w:bookmarkStart w:id="100" w:name="_Toc183582228"/>
      <w:bookmarkStart w:id="101" w:name="_Toc183682365"/>
      <w:bookmarkStart w:id="102" w:name="_Toc217446055"/>
      <w:r>
        <w:rPr>
          <w:rFonts w:hint="eastAsia" w:ascii="宋体" w:hAnsi="宋体" w:cs="宋体"/>
          <w:bCs w:val="0"/>
          <w:color w:val="auto"/>
          <w:sz w:val="24"/>
          <w:szCs w:val="24"/>
          <w:highlight w:val="none"/>
        </w:rPr>
        <w:t>21．投标文件的修改和撤</w:t>
      </w:r>
      <w:bookmarkEnd w:id="100"/>
      <w:bookmarkEnd w:id="101"/>
      <w:r>
        <w:rPr>
          <w:rFonts w:hint="eastAsia" w:ascii="宋体" w:hAnsi="宋体" w:cs="宋体"/>
          <w:bCs w:val="0"/>
          <w:color w:val="auto"/>
          <w:sz w:val="24"/>
          <w:szCs w:val="24"/>
          <w:highlight w:val="none"/>
        </w:rPr>
        <w:t>回</w:t>
      </w:r>
      <w:bookmarkEnd w:id="102"/>
    </w:p>
    <w:p>
      <w:pPr>
        <w:spacing w:line="400" w:lineRule="exact"/>
        <w:ind w:firstLine="470" w:firstLineChars="196"/>
        <w:rPr>
          <w:rFonts w:ascii="宋体" w:hAnsi="宋体" w:cs="宋体"/>
          <w:color w:val="auto"/>
          <w:sz w:val="24"/>
          <w:highlight w:val="none"/>
        </w:rPr>
      </w:pPr>
      <w:r>
        <w:rPr>
          <w:rFonts w:hint="eastAsia" w:ascii="宋体" w:hAnsi="宋体" w:cs="宋体"/>
          <w:color w:val="auto"/>
          <w:sz w:val="24"/>
          <w:highlight w:val="none"/>
        </w:rPr>
        <w:t>21.1 投标人在递交了投标文件后，可以修改或撤回其投标文件，但必须在规定的投标截止时间前，以书面形式通知采购代理机构。</w:t>
      </w:r>
    </w:p>
    <w:p>
      <w:pPr>
        <w:spacing w:line="400" w:lineRule="exact"/>
        <w:ind w:firstLine="470" w:firstLineChars="196"/>
        <w:rPr>
          <w:rFonts w:ascii="宋体" w:hAnsi="宋体" w:cs="宋体"/>
          <w:color w:val="auto"/>
          <w:sz w:val="24"/>
          <w:highlight w:val="none"/>
        </w:rPr>
      </w:pPr>
      <w:r>
        <w:rPr>
          <w:rFonts w:hint="eastAsia" w:ascii="宋体" w:hAnsi="宋体" w:cs="宋体"/>
          <w:color w:val="auto"/>
          <w:sz w:val="24"/>
          <w:highlight w:val="none"/>
        </w:rPr>
        <w:t>21.2 投标人的修改书或撤回通知书，应由其法定代表人/单位负责人或授权代表签署并盖单位印章。修改书应按投标须知第19条规定进行密封和标注，并在密封袋上标注“修改”字样。</w:t>
      </w:r>
    </w:p>
    <w:p>
      <w:pPr>
        <w:spacing w:line="400" w:lineRule="exact"/>
        <w:ind w:firstLine="480"/>
        <w:rPr>
          <w:rFonts w:ascii="宋体" w:hAnsi="宋体" w:cs="宋体"/>
          <w:color w:val="auto"/>
          <w:sz w:val="24"/>
          <w:highlight w:val="none"/>
        </w:rPr>
      </w:pPr>
      <w:r>
        <w:rPr>
          <w:rFonts w:hint="eastAsia" w:ascii="宋体" w:hAnsi="宋体" w:cs="宋体"/>
          <w:color w:val="auto"/>
          <w:sz w:val="24"/>
          <w:highlight w:val="none"/>
        </w:rPr>
        <w:t>21.3 在投标截止时间之后，投标人不得对其递交的投标文件做任何修改，撤回投标的，将按照有关规定进行相应处理。</w:t>
      </w:r>
    </w:p>
    <w:p>
      <w:pPr>
        <w:pStyle w:val="4"/>
        <w:spacing w:line="400" w:lineRule="exact"/>
        <w:jc w:val="center"/>
        <w:rPr>
          <w:rFonts w:ascii="宋体" w:hAnsi="宋体" w:eastAsia="宋体" w:cs="宋体"/>
          <w:color w:val="auto"/>
          <w:highlight w:val="none"/>
        </w:rPr>
      </w:pPr>
      <w:bookmarkStart w:id="103" w:name="_Toc308164805"/>
      <w:bookmarkStart w:id="104" w:name="_Toc77400782"/>
      <w:bookmarkStart w:id="105" w:name="_Toc183582231"/>
      <w:bookmarkStart w:id="106" w:name="_Toc89075878"/>
      <w:bookmarkStart w:id="107" w:name="_Toc183682368"/>
      <w:bookmarkStart w:id="108" w:name="_Toc217446056"/>
      <w:r>
        <w:rPr>
          <w:rFonts w:hint="eastAsia" w:ascii="宋体" w:hAnsi="宋体" w:eastAsia="宋体" w:cs="宋体"/>
          <w:color w:val="auto"/>
          <w:highlight w:val="none"/>
        </w:rPr>
        <w:t>五、开标和中标</w:t>
      </w:r>
      <w:bookmarkEnd w:id="103"/>
      <w:bookmarkEnd w:id="104"/>
      <w:bookmarkEnd w:id="105"/>
      <w:bookmarkEnd w:id="106"/>
      <w:bookmarkEnd w:id="107"/>
      <w:bookmarkEnd w:id="108"/>
    </w:p>
    <w:p>
      <w:pPr>
        <w:pStyle w:val="5"/>
        <w:spacing w:line="400" w:lineRule="exact"/>
        <w:ind w:firstLine="482" w:firstLineChars="200"/>
        <w:rPr>
          <w:rFonts w:ascii="宋体" w:hAnsi="宋体" w:cs="宋体"/>
          <w:bCs w:val="0"/>
          <w:color w:val="auto"/>
          <w:sz w:val="24"/>
          <w:highlight w:val="none"/>
        </w:rPr>
      </w:pPr>
      <w:bookmarkStart w:id="109" w:name="_Toc308164806"/>
      <w:bookmarkStart w:id="110" w:name="_Toc183682369"/>
      <w:bookmarkStart w:id="111" w:name="_Toc217446057"/>
      <w:bookmarkStart w:id="112" w:name="_Toc183582232"/>
      <w:r>
        <w:rPr>
          <w:rFonts w:hint="eastAsia" w:ascii="宋体" w:hAnsi="宋体" w:cs="宋体"/>
          <w:bCs w:val="0"/>
          <w:color w:val="auto"/>
          <w:sz w:val="24"/>
          <w:highlight w:val="none"/>
        </w:rPr>
        <w:t>22．开标</w:t>
      </w:r>
      <w:bookmarkEnd w:id="109"/>
      <w:bookmarkEnd w:id="110"/>
      <w:bookmarkEnd w:id="111"/>
      <w:bookmarkEnd w:id="112"/>
    </w:p>
    <w:p>
      <w:pPr>
        <w:spacing w:before="120"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22.1 开标在招标文件规定的时间和地点公开进行，采购人、投标人应派代表参加并签到以证明其出席。开标由采购代理机构主持，邀请投标人参加。评标委员会成员不参加开标活动。</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22.2 开标时，可根据具体情况邀请有关监督管理部门对开标活动进行现场监督。</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22.3 开标时，由投标人或者其推选的代表检查其自己递交的投标文件的密封情况，经确认无误后，由招标工作人员将投标人的“开标一览表”当众拆封，并由唱标人员按照招标文件规定的内容进行宣读。</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人或者其推选的代表确认投标文件情况，仅限于确认其自己递交的投标文件的密封情况，不代表对其他投标人的投标文件的密封情况确认。投标人或者其推选的代表对其他投标人的投标文件密封情况有异议的，应当当场反映开标主持人或者现场监督人员，要求开标现场记录人员予以记录，并在评标时予以认定处理，但不得干扰、阻挠开标工作的正常进行。</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22.4 开标时，“开标一览表”中的大写金额与小写金额不一致的，以大写金额为准；总价金额与按单价计算的汇总金额不一致的，以单价计算的汇总金额为准；单价金额有明显小数点错误的，以总价为准，并修改单价。</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22.5 投标文件中相关内容与“开标一览表”不一致的，以“开标一览表”为准。对不同文字文本投标文件的解释发生异议的，以中文文本为准。</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22.6 所有投标唱标完毕，如投标人代表对宣读的“开标一览表”上的内容有异议的，应在获得开标会主持人同意后当场提出。如确实属于唱标人员宣读错了的，当场予以更正。</w:t>
      </w:r>
    </w:p>
    <w:p>
      <w:pP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22.7 开标时属于下列情况之一的，将作为无效投标处理: </w:t>
      </w:r>
    </w:p>
    <w:p>
      <w:pP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（1）没有提供单独递交用于开标的“开标一览表”的。</w:t>
      </w:r>
    </w:p>
    <w:p>
      <w:pP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（2）除本招标文件规定的情形以外，单独提交的“开标一览表”未按要求签字、盖章的。</w:t>
      </w:r>
    </w:p>
    <w:p>
      <w:pPr>
        <w:pStyle w:val="5"/>
        <w:spacing w:line="400" w:lineRule="exact"/>
        <w:ind w:firstLine="482" w:firstLineChars="200"/>
        <w:rPr>
          <w:rFonts w:ascii="宋体" w:hAnsi="宋体" w:cs="宋体"/>
          <w:color w:val="auto"/>
          <w:sz w:val="24"/>
          <w:highlight w:val="none"/>
        </w:rPr>
      </w:pPr>
      <w:bookmarkStart w:id="113" w:name="_Toc217446058"/>
      <w:bookmarkStart w:id="114" w:name="_Toc308164807"/>
      <w:r>
        <w:rPr>
          <w:rFonts w:hint="eastAsia" w:ascii="宋体" w:hAnsi="宋体" w:cs="宋体"/>
          <w:color w:val="auto"/>
          <w:sz w:val="24"/>
          <w:highlight w:val="none"/>
        </w:rPr>
        <w:t>23. 开标程序</w:t>
      </w:r>
      <w:bookmarkEnd w:id="113"/>
      <w:bookmarkEnd w:id="114"/>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开标会主持人按照招标文件规定的开标时间宣布开标，按照规定要求主持开标会。开标将按以下程序进行：</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（1）宣布开标会开始。当众宣布参加开标会主持人、唱标人、会议记录人以及根据情况邀请的现场监督人等工作人员，根据“供应商签到表”宣布参加投标的供应商名单。</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（2）根据投标人或者其推选的代表对投标文件密封的检查结果，当众宣布投标文件的密封情况。</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开标唱标。主持人宣布开标后，由现场工作人员按任意顺序对投标人的投标文件当众进行拆封，由唱标人员宣读投标人名称、投标价格（价格折扣）、或招标文件允许提供的备选投标方案和投标文件的其他主要内容。未宣读的投标价格（价格折扣）或招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应当当场提出，并要求会议记录人在开标记录中予以记录，或者另行提供书面异议资料，不签字又不提出异议的，视同认可唱标内容和结果，且不得干扰、阻挠开（唱）标、评标工作。</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（4）投标人代表对开标过程和开标记录有疑义，以及认为采购人、采购代理机构相 关工作人员有需要回避的情形的，应当场提出询问或者回避申请。采购人、采购代理机构 对投标人代表提出的询问或者回避申请应当及时处理。开标过程中未提出疑义或回避申请，事后提出的质疑将不予受理。</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四川政府采购网上查询。</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 投标人未参加开标的，视同认可开标结果。</w:t>
      </w:r>
    </w:p>
    <w:p>
      <w:pPr>
        <w:pStyle w:val="5"/>
        <w:spacing w:line="400" w:lineRule="exact"/>
        <w:ind w:firstLine="482" w:firstLineChars="200"/>
        <w:rPr>
          <w:rFonts w:ascii="宋体" w:hAnsi="宋体" w:cs="宋体"/>
          <w:color w:val="auto"/>
          <w:sz w:val="24"/>
          <w:highlight w:val="none"/>
        </w:rPr>
      </w:pPr>
      <w:bookmarkStart w:id="115" w:name="_Toc183582238"/>
      <w:bookmarkStart w:id="116" w:name="_Toc183682375"/>
      <w:bookmarkStart w:id="117" w:name="_Toc217446063"/>
      <w:bookmarkStart w:id="118" w:name="_Toc308164809"/>
      <w:r>
        <w:rPr>
          <w:rFonts w:hint="eastAsia" w:ascii="宋体" w:hAnsi="宋体" w:cs="宋体"/>
          <w:color w:val="auto"/>
          <w:sz w:val="24"/>
          <w:highlight w:val="none"/>
        </w:rPr>
        <w:t>24．开评标过程存档</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开标和评标过程进行全过程电子监控，并将电子监控资料存储介质留存归档。</w:t>
      </w:r>
    </w:p>
    <w:p>
      <w:pPr>
        <w:pStyle w:val="5"/>
        <w:spacing w:line="400" w:lineRule="exact"/>
        <w:ind w:firstLine="482" w:firstLineChars="200"/>
        <w:rPr>
          <w:rFonts w:ascii="宋体" w:hAnsi="宋体" w:cs="宋体"/>
          <w:color w:val="auto"/>
          <w:sz w:val="24"/>
          <w:highlight w:val="none"/>
        </w:rPr>
      </w:pPr>
      <w:r>
        <w:rPr>
          <w:rFonts w:hint="eastAsia" w:ascii="宋体" w:hAnsi="宋体" w:cs="宋体"/>
          <w:color w:val="auto"/>
          <w:sz w:val="24"/>
          <w:highlight w:val="none"/>
        </w:rPr>
        <w:t>25.评标情况公告</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所有供应商投标文件资格性、符合性检查情况、采用综合评分法时的总得分和分项汇总得分情况、评标结果等将在四川政府采购网上采购结果公告栏中予以公告。</w:t>
      </w:r>
    </w:p>
    <w:p>
      <w:pPr>
        <w:pStyle w:val="4"/>
        <w:keepNext w:val="0"/>
        <w:keepLines w:val="0"/>
        <w:spacing w:before="0" w:after="0" w:line="400" w:lineRule="exact"/>
        <w:ind w:firstLine="482" w:firstLineChars="200"/>
        <w:rPr>
          <w:rFonts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26.采购人确定中标人过程中，发现中标候选人有下列情形之一的，应当不予确定其为中标人：</w:t>
      </w:r>
    </w:p>
    <w:p>
      <w:pPr>
        <w:pStyle w:val="4"/>
        <w:keepNext w:val="0"/>
        <w:keepLines w:val="0"/>
        <w:spacing w:before="0" w:after="0" w:line="400" w:lineRule="exact"/>
        <w:ind w:firstLine="480" w:firstLineChars="200"/>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（1）发现中标候选人存在禁止参加本项目采购活动的违法行为的；</w:t>
      </w:r>
    </w:p>
    <w:p>
      <w:pPr>
        <w:pStyle w:val="4"/>
        <w:keepNext w:val="0"/>
        <w:keepLines w:val="0"/>
        <w:spacing w:before="0" w:after="0" w:line="400" w:lineRule="exact"/>
        <w:ind w:firstLine="480" w:firstLineChars="200"/>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（2）中标候选人因不可抗力，不能继续参加政府采购活动；</w:t>
      </w:r>
    </w:p>
    <w:p>
      <w:pPr>
        <w:pStyle w:val="4"/>
        <w:keepNext w:val="0"/>
        <w:keepLines w:val="0"/>
        <w:spacing w:before="0" w:after="0" w:line="400" w:lineRule="exact"/>
        <w:ind w:firstLine="480" w:firstLineChars="200"/>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（3）中标候选人无偿赠与或者低于成本价竞争；</w:t>
      </w:r>
    </w:p>
    <w:p>
      <w:pPr>
        <w:pStyle w:val="4"/>
        <w:keepNext w:val="0"/>
        <w:keepLines w:val="0"/>
        <w:spacing w:before="0" w:after="0" w:line="400" w:lineRule="exact"/>
        <w:ind w:firstLine="480" w:firstLineChars="200"/>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（4）中标候选人提供虚假材料；</w:t>
      </w:r>
    </w:p>
    <w:p>
      <w:pPr>
        <w:pStyle w:val="4"/>
        <w:keepNext w:val="0"/>
        <w:keepLines w:val="0"/>
        <w:spacing w:before="0" w:after="0" w:line="400" w:lineRule="exact"/>
        <w:ind w:firstLine="480" w:firstLineChars="200"/>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（5）中标候选人恶意串通。</w:t>
      </w:r>
    </w:p>
    <w:p>
      <w:pPr>
        <w:pStyle w:val="5"/>
        <w:spacing w:line="400" w:lineRule="exact"/>
        <w:ind w:firstLine="482" w:firstLineChars="200"/>
        <w:rPr>
          <w:rFonts w:ascii="宋体" w:hAnsi="宋体" w:cs="宋体"/>
          <w:bCs w:val="0"/>
          <w:color w:val="auto"/>
          <w:sz w:val="24"/>
          <w:szCs w:val="24"/>
          <w:highlight w:val="none"/>
        </w:rPr>
      </w:pPr>
      <w:r>
        <w:rPr>
          <w:rFonts w:hint="eastAsia" w:ascii="宋体" w:hAnsi="宋体" w:cs="宋体"/>
          <w:bCs w:val="0"/>
          <w:color w:val="auto"/>
          <w:sz w:val="24"/>
          <w:szCs w:val="24"/>
          <w:highlight w:val="none"/>
        </w:rPr>
        <w:t>27.中标通知</w:t>
      </w:r>
      <w:bookmarkEnd w:id="115"/>
      <w:bookmarkEnd w:id="116"/>
      <w:r>
        <w:rPr>
          <w:rFonts w:hint="eastAsia" w:ascii="宋体" w:hAnsi="宋体" w:cs="宋体"/>
          <w:bCs w:val="0"/>
          <w:color w:val="auto"/>
          <w:sz w:val="24"/>
          <w:szCs w:val="24"/>
          <w:highlight w:val="none"/>
        </w:rPr>
        <w:t>书</w:t>
      </w:r>
      <w:bookmarkEnd w:id="117"/>
      <w:bookmarkEnd w:id="118"/>
    </w:p>
    <w:p>
      <w:pPr>
        <w:tabs>
          <w:tab w:val="left" w:pos="7665"/>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w:t>
      </w:r>
      <w:r>
        <w:rPr>
          <w:rFonts w:hint="eastAsia" w:ascii="宋体" w:hAnsi="宋体" w:cs="宋体"/>
          <w:bCs/>
          <w:color w:val="auto"/>
          <w:sz w:val="24"/>
          <w:highlight w:val="none"/>
        </w:rPr>
        <w:t>.</w:t>
      </w:r>
      <w:r>
        <w:rPr>
          <w:rFonts w:hint="eastAsia" w:ascii="宋体" w:hAnsi="宋体" w:cs="宋体"/>
          <w:color w:val="auto"/>
          <w:sz w:val="24"/>
          <w:highlight w:val="none"/>
        </w:rPr>
        <w:t>1 中标通知书为签订政府采购合同的依据之一，是合同的有效组成部分。</w:t>
      </w:r>
    </w:p>
    <w:p>
      <w:pPr>
        <w:tabs>
          <w:tab w:val="left" w:pos="7665"/>
        </w:tabs>
        <w:spacing w:line="400" w:lineRule="exact"/>
        <w:ind w:firstLine="480"/>
        <w:rPr>
          <w:rFonts w:ascii="宋体" w:hAnsi="宋体" w:cs="宋体"/>
          <w:color w:val="auto"/>
          <w:sz w:val="24"/>
          <w:highlight w:val="none"/>
        </w:rPr>
      </w:pPr>
      <w:r>
        <w:rPr>
          <w:rFonts w:hint="eastAsia" w:ascii="宋体" w:hAnsi="宋体" w:cs="宋体"/>
          <w:color w:val="auto"/>
          <w:sz w:val="24"/>
          <w:highlight w:val="none"/>
        </w:rPr>
        <w:t>27.2 中标通知书对采购人和中标人均具有法律效力。中标通知书发出后，采购人改变中标结果，或者中标人无正当理由放弃中标的，应当承担相应的法律责任。</w:t>
      </w:r>
    </w:p>
    <w:p>
      <w:pPr>
        <w:tabs>
          <w:tab w:val="left" w:pos="7665"/>
        </w:tabs>
        <w:spacing w:line="400" w:lineRule="exact"/>
        <w:ind w:firstLine="480"/>
        <w:rPr>
          <w:rFonts w:ascii="宋体" w:hAnsi="宋体" w:cs="宋体"/>
          <w:color w:val="auto"/>
          <w:sz w:val="24"/>
          <w:highlight w:val="none"/>
        </w:rPr>
      </w:pPr>
      <w:r>
        <w:rPr>
          <w:rFonts w:hint="eastAsia" w:ascii="宋体" w:hAnsi="宋体" w:cs="宋体"/>
          <w:color w:val="auto"/>
          <w:sz w:val="24"/>
          <w:highlight w:val="none"/>
        </w:rPr>
        <w:t>27．3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pPr>
        <w:tabs>
          <w:tab w:val="left" w:pos="7665"/>
        </w:tabs>
        <w:spacing w:line="400" w:lineRule="exact"/>
        <w:ind w:firstLine="480"/>
        <w:rPr>
          <w:rFonts w:ascii="宋体" w:hAnsi="宋体" w:cs="宋体"/>
          <w:color w:val="auto"/>
          <w:sz w:val="24"/>
          <w:highlight w:val="none"/>
        </w:rPr>
      </w:pPr>
      <w:r>
        <w:rPr>
          <w:rFonts w:hint="eastAsia" w:ascii="宋体" w:hAnsi="宋体" w:cs="宋体"/>
          <w:color w:val="auto"/>
          <w:sz w:val="24"/>
          <w:highlight w:val="none"/>
        </w:rPr>
        <w:t>27.4中标公告发出后，中标供应商自行领取中标通知书的，可凭有效身份证明证件到采购代理机构办理。（详见须知附表中联系方式）</w:t>
      </w:r>
    </w:p>
    <w:p>
      <w:pPr>
        <w:pStyle w:val="4"/>
        <w:spacing w:line="400" w:lineRule="exact"/>
        <w:jc w:val="center"/>
        <w:rPr>
          <w:rFonts w:ascii="宋体" w:hAnsi="宋体" w:eastAsia="宋体" w:cs="宋体"/>
          <w:color w:val="auto"/>
          <w:szCs w:val="28"/>
          <w:highlight w:val="none"/>
        </w:rPr>
      </w:pPr>
      <w:bookmarkStart w:id="119" w:name="_Toc308164810"/>
      <w:bookmarkStart w:id="120" w:name="_Toc217446064"/>
      <w:bookmarkStart w:id="121" w:name="_Toc183682377"/>
      <w:bookmarkStart w:id="122" w:name="_Toc183582240"/>
      <w:r>
        <w:rPr>
          <w:rFonts w:hint="eastAsia" w:ascii="宋体" w:hAnsi="宋体" w:eastAsia="宋体" w:cs="宋体"/>
          <w:color w:val="auto"/>
          <w:szCs w:val="28"/>
          <w:highlight w:val="none"/>
        </w:rPr>
        <w:t>六、签订及履行合同和验收</w:t>
      </w:r>
      <w:bookmarkEnd w:id="119"/>
      <w:bookmarkEnd w:id="120"/>
    </w:p>
    <w:p>
      <w:pPr>
        <w:pStyle w:val="5"/>
        <w:spacing w:line="400" w:lineRule="exact"/>
        <w:ind w:firstLine="482" w:firstLineChars="200"/>
        <w:rPr>
          <w:rFonts w:ascii="宋体" w:hAnsi="宋体" w:cs="宋体"/>
          <w:b w:val="0"/>
          <w:color w:val="auto"/>
          <w:sz w:val="24"/>
          <w:szCs w:val="24"/>
          <w:highlight w:val="none"/>
        </w:rPr>
      </w:pPr>
      <w:bookmarkStart w:id="123" w:name="_Toc217446065"/>
      <w:bookmarkStart w:id="124" w:name="_Toc308164811"/>
      <w:r>
        <w:rPr>
          <w:rFonts w:hint="eastAsia" w:ascii="宋体" w:hAnsi="宋体" w:cs="宋体"/>
          <w:color w:val="auto"/>
          <w:sz w:val="24"/>
          <w:highlight w:val="none"/>
        </w:rPr>
        <w:t>28.</w:t>
      </w:r>
      <w:r>
        <w:rPr>
          <w:rFonts w:hint="eastAsia" w:ascii="宋体" w:hAnsi="宋体" w:cs="宋体"/>
          <w:color w:val="auto"/>
          <w:sz w:val="24"/>
          <w:szCs w:val="24"/>
          <w:highlight w:val="none"/>
        </w:rPr>
        <w:t>签订合同</w:t>
      </w:r>
      <w:bookmarkEnd w:id="123"/>
      <w:bookmarkEnd w:id="124"/>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28.1 中标人应在中标通知书发出之日起三十日内与采购人签订采购合同。由于中标人的原因逾期未与采购人签订采购合同的，将视为放弃中标，取消其中标资格并将按相关规定进行处理。</w:t>
      </w:r>
    </w:p>
    <w:p>
      <w:pPr>
        <w:spacing w:line="40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28.2 采购人不得向中标人提出任何不合理的要求，作为签订合同的条件，不得与中标人私下订立背离合同实质性内容的任何协议，所签订的合同不得对招标文件和中标人投标文件确定的事项进行实质性修改。</w:t>
      </w:r>
    </w:p>
    <w:p>
      <w:pPr>
        <w:spacing w:line="40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28.3 中标人拒绝与采购人签订合同的，采购人可以按照评审报告推荐的中标候选人名单排序，确定下一候选人为中标供应商，也可以重新开展政府采购活动。</w:t>
      </w:r>
    </w:p>
    <w:p>
      <w:pPr>
        <w:spacing w:line="40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28.4 中标人在合同签订之后三个工作日内，将签订的合同（一式壹份）送采购代理机构。中标人应及时到采购代理机构办理。（详见须知附表中联系方式）</w:t>
      </w:r>
    </w:p>
    <w:p>
      <w:pPr>
        <w:pStyle w:val="4"/>
        <w:spacing w:line="400" w:lineRule="exact"/>
        <w:ind w:firstLine="482"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29. 合同分包（实质性要求）</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29.1本项目不分包。</w:t>
      </w:r>
    </w:p>
    <w:p>
      <w:pPr>
        <w:pStyle w:val="4"/>
        <w:spacing w:line="400" w:lineRule="exact"/>
        <w:ind w:firstLine="482"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30.合同转包（实质性要求）</w:t>
      </w:r>
    </w:p>
    <w:p>
      <w:pPr>
        <w:spacing w:line="400" w:lineRule="exact"/>
        <w:ind w:firstLine="540" w:firstLineChars="225"/>
        <w:rPr>
          <w:rFonts w:ascii="宋体" w:hAnsi="宋体" w:cs="宋体"/>
          <w:color w:val="auto"/>
          <w:sz w:val="24"/>
          <w:highlight w:val="none"/>
        </w:rPr>
      </w:pPr>
      <w:r>
        <w:rPr>
          <w:rFonts w:hint="eastAsia" w:ascii="宋体" w:hAnsi="宋体" w:cs="宋体"/>
          <w:color w:val="auto"/>
          <w:sz w:val="24"/>
          <w:highlight w:val="none"/>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spacing w:line="400" w:lineRule="exact"/>
        <w:ind w:firstLine="540" w:firstLineChars="225"/>
        <w:rPr>
          <w:rFonts w:ascii="宋体" w:hAnsi="宋体" w:cs="宋体"/>
          <w:color w:val="auto"/>
          <w:sz w:val="24"/>
          <w:highlight w:val="none"/>
        </w:rPr>
      </w:pPr>
      <w:r>
        <w:rPr>
          <w:rFonts w:hint="eastAsia" w:ascii="宋体" w:hAnsi="宋体" w:cs="宋体"/>
          <w:color w:val="auto"/>
          <w:sz w:val="24"/>
          <w:highlight w:val="none"/>
        </w:rPr>
        <w:t>中标人转包的，视同拒绝履行政府采购合同义务，将依法追究法律责任。</w:t>
      </w:r>
    </w:p>
    <w:p>
      <w:pPr>
        <w:pStyle w:val="4"/>
        <w:spacing w:line="400" w:lineRule="exact"/>
        <w:ind w:firstLine="482" w:firstLineChars="200"/>
        <w:rPr>
          <w:rFonts w:ascii="宋体" w:hAnsi="宋体" w:eastAsia="宋体" w:cs="宋体"/>
          <w:color w:val="auto"/>
          <w:sz w:val="24"/>
          <w:szCs w:val="24"/>
          <w:highlight w:val="none"/>
        </w:rPr>
      </w:pPr>
      <w:bookmarkStart w:id="125" w:name="_Toc217446066"/>
      <w:r>
        <w:rPr>
          <w:rFonts w:hint="eastAsia" w:ascii="宋体" w:hAnsi="宋体" w:eastAsia="宋体" w:cs="宋体"/>
          <w:color w:val="auto"/>
          <w:sz w:val="24"/>
          <w:szCs w:val="24"/>
          <w:highlight w:val="none"/>
        </w:rPr>
        <w:t>31.</w:t>
      </w:r>
      <w:bookmarkEnd w:id="125"/>
      <w:r>
        <w:rPr>
          <w:rFonts w:hint="eastAsia" w:ascii="宋体" w:hAnsi="宋体" w:eastAsia="宋体" w:cs="宋体"/>
          <w:color w:val="auto"/>
          <w:sz w:val="24"/>
          <w:szCs w:val="24"/>
          <w:highlight w:val="none"/>
        </w:rPr>
        <w:t xml:space="preserve"> 补充合同</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pStyle w:val="5"/>
        <w:spacing w:line="400" w:lineRule="exact"/>
        <w:ind w:firstLine="482" w:firstLineChars="200"/>
        <w:rPr>
          <w:rFonts w:ascii="宋体" w:hAnsi="宋体" w:cs="宋体"/>
          <w:b w:val="0"/>
          <w:color w:val="auto"/>
          <w:sz w:val="24"/>
          <w:szCs w:val="24"/>
          <w:highlight w:val="none"/>
        </w:rPr>
      </w:pPr>
      <w:bookmarkStart w:id="126" w:name="_Toc308164812"/>
      <w:bookmarkStart w:id="127" w:name="_Toc217446068"/>
      <w:r>
        <w:rPr>
          <w:rFonts w:hint="eastAsia" w:ascii="宋体" w:hAnsi="宋体" w:cs="宋体"/>
          <w:color w:val="auto"/>
          <w:sz w:val="24"/>
          <w:szCs w:val="24"/>
          <w:highlight w:val="none"/>
        </w:rPr>
        <w:t>32</w:t>
      </w:r>
      <w:r>
        <w:rPr>
          <w:rFonts w:hint="eastAsia" w:ascii="宋体" w:hAnsi="宋体" w:cs="宋体"/>
          <w:b w:val="0"/>
          <w:color w:val="auto"/>
          <w:sz w:val="24"/>
          <w:szCs w:val="24"/>
          <w:highlight w:val="none"/>
        </w:rPr>
        <w:t xml:space="preserve">. </w:t>
      </w:r>
      <w:r>
        <w:rPr>
          <w:rFonts w:hint="eastAsia" w:ascii="宋体" w:hAnsi="宋体" w:cs="宋体"/>
          <w:color w:val="auto"/>
          <w:sz w:val="24"/>
          <w:szCs w:val="24"/>
          <w:highlight w:val="none"/>
        </w:rPr>
        <w:t>履约保证金</w:t>
      </w:r>
      <w:bookmarkEnd w:id="126"/>
      <w:bookmarkEnd w:id="127"/>
      <w:r>
        <w:rPr>
          <w:rFonts w:hint="eastAsia" w:ascii="宋体" w:hAnsi="宋体" w:cs="宋体"/>
          <w:color w:val="auto"/>
          <w:sz w:val="24"/>
          <w:szCs w:val="24"/>
          <w:highlight w:val="none"/>
        </w:rPr>
        <w:t xml:space="preserve"> </w:t>
      </w:r>
    </w:p>
    <w:p>
      <w:pPr>
        <w:pStyle w:val="5"/>
        <w:spacing w:line="400" w:lineRule="exact"/>
        <w:ind w:firstLine="480" w:firstLineChars="200"/>
        <w:rPr>
          <w:rFonts w:ascii="宋体" w:hAnsi="宋体" w:cs="宋体"/>
          <w:b w:val="0"/>
          <w:bCs w:val="0"/>
          <w:color w:val="auto"/>
          <w:kern w:val="2"/>
          <w:sz w:val="24"/>
          <w:szCs w:val="24"/>
          <w:highlight w:val="none"/>
        </w:rPr>
      </w:pPr>
      <w:bookmarkStart w:id="128" w:name="_Toc308164813"/>
      <w:bookmarkStart w:id="129" w:name="_Toc217446069"/>
      <w:r>
        <w:rPr>
          <w:rFonts w:hint="eastAsia" w:ascii="宋体" w:hAnsi="宋体" w:cs="宋体"/>
          <w:b w:val="0"/>
          <w:bCs w:val="0"/>
          <w:color w:val="auto"/>
          <w:kern w:val="2"/>
          <w:sz w:val="24"/>
          <w:szCs w:val="24"/>
          <w:highlight w:val="none"/>
        </w:rPr>
        <w:t>3</w:t>
      </w:r>
      <w:r>
        <w:rPr>
          <w:rFonts w:ascii="宋体" w:hAnsi="宋体" w:cs="宋体"/>
          <w:b w:val="0"/>
          <w:bCs w:val="0"/>
          <w:color w:val="auto"/>
          <w:kern w:val="2"/>
          <w:sz w:val="24"/>
          <w:szCs w:val="24"/>
          <w:highlight w:val="none"/>
        </w:rPr>
        <w:t>2</w:t>
      </w:r>
      <w:r>
        <w:rPr>
          <w:rFonts w:hint="eastAsia" w:ascii="宋体" w:hAnsi="宋体" w:cs="宋体"/>
          <w:b w:val="0"/>
          <w:bCs w:val="0"/>
          <w:color w:val="auto"/>
          <w:kern w:val="2"/>
          <w:sz w:val="24"/>
          <w:szCs w:val="24"/>
          <w:highlight w:val="none"/>
        </w:rPr>
        <w:t>.1本项目不收取履约保证金。</w:t>
      </w:r>
    </w:p>
    <w:p>
      <w:pPr>
        <w:pStyle w:val="5"/>
        <w:spacing w:line="400" w:lineRule="exact"/>
        <w:ind w:firstLine="482" w:firstLineChars="200"/>
        <w:rPr>
          <w:rFonts w:ascii="宋体" w:hAnsi="宋体" w:cs="宋体"/>
          <w:color w:val="auto"/>
          <w:sz w:val="24"/>
          <w:szCs w:val="24"/>
          <w:highlight w:val="none"/>
        </w:rPr>
      </w:pPr>
      <w:r>
        <w:rPr>
          <w:rFonts w:hint="eastAsia" w:ascii="宋体" w:hAnsi="宋体" w:cs="宋体"/>
          <w:color w:val="auto"/>
          <w:sz w:val="24"/>
          <w:szCs w:val="24"/>
          <w:highlight w:val="none"/>
        </w:rPr>
        <w:t>33.合同公告</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p>
      <w:pPr>
        <w:pStyle w:val="5"/>
        <w:spacing w:line="400" w:lineRule="exact"/>
        <w:ind w:firstLine="482" w:firstLineChars="200"/>
        <w:rPr>
          <w:rFonts w:ascii="宋体" w:hAnsi="宋体" w:cs="宋体"/>
          <w:color w:val="auto"/>
          <w:sz w:val="24"/>
          <w:szCs w:val="24"/>
          <w:highlight w:val="none"/>
        </w:rPr>
      </w:pPr>
      <w:r>
        <w:rPr>
          <w:rFonts w:hint="eastAsia" w:ascii="宋体" w:hAnsi="宋体" w:cs="宋体"/>
          <w:color w:val="auto"/>
          <w:sz w:val="24"/>
          <w:szCs w:val="24"/>
          <w:highlight w:val="none"/>
        </w:rPr>
        <w:t>34、合同备案</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采购人应当将政府采购合同副本自签订（双方当事人均已签字盖章）之日起七个工作日内通过四川政府采购网报同级财政部门备案。</w:t>
      </w:r>
    </w:p>
    <w:p>
      <w:pPr>
        <w:pStyle w:val="5"/>
        <w:spacing w:line="400" w:lineRule="exact"/>
        <w:ind w:firstLine="482" w:firstLineChars="200"/>
        <w:rPr>
          <w:rFonts w:ascii="宋体" w:hAnsi="宋体" w:cs="宋体"/>
          <w:b w:val="0"/>
          <w:color w:val="auto"/>
          <w:sz w:val="24"/>
          <w:szCs w:val="24"/>
          <w:highlight w:val="none"/>
        </w:rPr>
      </w:pPr>
      <w:r>
        <w:rPr>
          <w:rFonts w:hint="eastAsia" w:ascii="宋体" w:hAnsi="宋体" w:cs="宋体"/>
          <w:color w:val="auto"/>
          <w:sz w:val="24"/>
          <w:szCs w:val="24"/>
          <w:highlight w:val="none"/>
        </w:rPr>
        <w:t>35. 履行合同</w:t>
      </w:r>
      <w:bookmarkEnd w:id="128"/>
      <w:bookmarkEnd w:id="129"/>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35.1 中标人与采购人签订合同后，合同双方应严格执行合同条款，履行合同规定的义务，保证合同的顺利完成。</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35.2 在合同履行过程中，如发生合同纠纷，合同双方应按照《民法典》的有关规定进行处理。</w:t>
      </w:r>
    </w:p>
    <w:p>
      <w:pPr>
        <w:pStyle w:val="5"/>
        <w:spacing w:line="400" w:lineRule="exact"/>
        <w:ind w:firstLine="482" w:firstLineChars="200"/>
        <w:rPr>
          <w:rFonts w:ascii="宋体" w:hAnsi="宋体" w:cs="宋体"/>
          <w:b w:val="0"/>
          <w:color w:val="auto"/>
          <w:sz w:val="24"/>
          <w:szCs w:val="24"/>
          <w:highlight w:val="none"/>
        </w:rPr>
      </w:pPr>
      <w:bookmarkStart w:id="130" w:name="_Toc308164814"/>
      <w:bookmarkStart w:id="131" w:name="_Toc217446070"/>
      <w:r>
        <w:rPr>
          <w:rFonts w:hint="eastAsia" w:ascii="宋体" w:hAnsi="宋体" w:cs="宋体"/>
          <w:color w:val="auto"/>
          <w:sz w:val="24"/>
          <w:szCs w:val="24"/>
          <w:highlight w:val="none"/>
        </w:rPr>
        <w:t>36. 验收</w:t>
      </w:r>
      <w:bookmarkEnd w:id="130"/>
      <w:bookmarkEnd w:id="131"/>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36.1本项目采购人及其委托的采购代理机构将严格按照政府采购相关法律法规以及《财政部关于进一步加强政府采购需求和履约验收管理的指导意见》（财库〔2016〕205号）的要求进行验收。</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36.2 验收结果合格的，中标人凭验收报告办理相关手续；验收结果不合格的，履约保证金将不予退还，也将不予支付采购资金，还可能会报告本项目同级财政部门按照政府采购法律法规及《四川省政府采购当事人诚信管理办法》（川财采〔2015〕33号）等有关规定给予行政处罚或者以失信行为记入诚信档案。</w:t>
      </w:r>
      <w:bookmarkStart w:id="132" w:name="_Toc217446071"/>
    </w:p>
    <w:p>
      <w:pPr>
        <w:pStyle w:val="5"/>
        <w:spacing w:line="400" w:lineRule="exact"/>
        <w:ind w:firstLine="482" w:firstLineChars="200"/>
        <w:rPr>
          <w:rFonts w:ascii="宋体" w:hAnsi="宋体" w:cs="宋体"/>
          <w:color w:val="auto"/>
          <w:sz w:val="24"/>
          <w:szCs w:val="24"/>
          <w:highlight w:val="none"/>
        </w:rPr>
      </w:pPr>
      <w:bookmarkStart w:id="133" w:name="_Toc217446077"/>
      <w:bookmarkStart w:id="134" w:name="_Toc308164818"/>
      <w:r>
        <w:rPr>
          <w:rFonts w:hint="eastAsia" w:ascii="宋体" w:hAnsi="宋体" w:cs="宋体"/>
          <w:color w:val="auto"/>
          <w:sz w:val="24"/>
          <w:szCs w:val="24"/>
          <w:highlight w:val="none"/>
        </w:rPr>
        <w:t>37.资金支付</w:t>
      </w:r>
      <w:bookmarkEnd w:id="133"/>
      <w:bookmarkEnd w:id="134"/>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采购人将按照政府采购合同规定，及时向中标供应商支付采购资金。本项目采购资金付款详见第六章商务要求中付款方式。</w:t>
      </w:r>
    </w:p>
    <w:bookmarkEnd w:id="121"/>
    <w:bookmarkEnd w:id="122"/>
    <w:bookmarkEnd w:id="132"/>
    <w:p>
      <w:pPr>
        <w:pStyle w:val="4"/>
        <w:spacing w:line="400" w:lineRule="exact"/>
        <w:jc w:val="center"/>
        <w:rPr>
          <w:rFonts w:ascii="宋体" w:hAnsi="宋体" w:eastAsia="宋体" w:cs="宋体"/>
          <w:color w:val="auto"/>
          <w:szCs w:val="28"/>
          <w:highlight w:val="none"/>
        </w:rPr>
      </w:pPr>
      <w:bookmarkStart w:id="135" w:name="_Toc217446074"/>
      <w:bookmarkStart w:id="136" w:name="_Toc308164815"/>
      <w:bookmarkStart w:id="137" w:name="_Toc183682380"/>
      <w:bookmarkStart w:id="138" w:name="_Toc183582243"/>
      <w:r>
        <w:rPr>
          <w:rFonts w:hint="eastAsia" w:ascii="宋体" w:hAnsi="宋体" w:eastAsia="宋体" w:cs="宋体"/>
          <w:color w:val="auto"/>
          <w:szCs w:val="28"/>
          <w:highlight w:val="none"/>
        </w:rPr>
        <w:t>七、投标纪律要求</w:t>
      </w:r>
      <w:bookmarkEnd w:id="135"/>
      <w:bookmarkEnd w:id="136"/>
    </w:p>
    <w:p>
      <w:pPr>
        <w:pStyle w:val="5"/>
        <w:spacing w:line="400" w:lineRule="exact"/>
        <w:ind w:firstLine="482" w:firstLineChars="200"/>
        <w:rPr>
          <w:rFonts w:ascii="宋体" w:hAnsi="宋体" w:cs="宋体"/>
          <w:bCs w:val="0"/>
          <w:color w:val="auto"/>
          <w:sz w:val="24"/>
          <w:szCs w:val="24"/>
          <w:highlight w:val="none"/>
        </w:rPr>
      </w:pPr>
      <w:bookmarkStart w:id="139" w:name="_Toc217446075"/>
      <w:bookmarkStart w:id="140" w:name="_Toc308164816"/>
      <w:r>
        <w:rPr>
          <w:rFonts w:hint="eastAsia" w:ascii="宋体" w:hAnsi="宋体" w:cs="宋体"/>
          <w:color w:val="auto"/>
          <w:sz w:val="24"/>
          <w:highlight w:val="none"/>
        </w:rPr>
        <w:t xml:space="preserve">38. </w:t>
      </w:r>
      <w:r>
        <w:rPr>
          <w:rFonts w:hint="eastAsia" w:ascii="宋体" w:hAnsi="宋体" w:cs="宋体"/>
          <w:bCs w:val="0"/>
          <w:color w:val="auto"/>
          <w:sz w:val="24"/>
          <w:szCs w:val="24"/>
          <w:highlight w:val="none"/>
        </w:rPr>
        <w:t>投标人</w:t>
      </w:r>
      <w:bookmarkEnd w:id="139"/>
      <w:bookmarkEnd w:id="140"/>
      <w:r>
        <w:rPr>
          <w:rFonts w:hint="eastAsia" w:ascii="宋体" w:hAnsi="宋体" w:cs="宋体"/>
          <w:bCs w:val="0"/>
          <w:color w:val="auto"/>
          <w:sz w:val="24"/>
          <w:szCs w:val="24"/>
          <w:highlight w:val="none"/>
        </w:rPr>
        <w:t>纪律要求</w:t>
      </w:r>
    </w:p>
    <w:p>
      <w:pPr>
        <w:pStyle w:val="10"/>
        <w:spacing w:line="400" w:lineRule="exact"/>
        <w:ind w:firstLine="480"/>
        <w:rPr>
          <w:rFonts w:ascii="宋体" w:hAnsi="宋体" w:cs="宋体"/>
          <w:color w:val="auto"/>
          <w:sz w:val="24"/>
          <w:highlight w:val="none"/>
        </w:rPr>
      </w:pPr>
      <w:r>
        <w:rPr>
          <w:rFonts w:hint="eastAsia" w:ascii="宋体" w:hAnsi="宋体" w:cs="宋体"/>
          <w:color w:val="auto"/>
          <w:sz w:val="24"/>
          <w:highlight w:val="none"/>
        </w:rPr>
        <w:t>投标人应当遵循公平竞争的原则，不得恶意串通，不得妨碍其他投标人的竞争行为，不得损害采购人或者其他投标人的合法权益。</w:t>
      </w:r>
    </w:p>
    <w:p>
      <w:pPr>
        <w:pStyle w:val="10"/>
        <w:spacing w:line="400" w:lineRule="exact"/>
        <w:ind w:firstLine="480"/>
        <w:rPr>
          <w:rFonts w:ascii="宋体" w:hAnsi="宋体" w:cs="宋体"/>
          <w:color w:val="auto"/>
          <w:sz w:val="24"/>
          <w:highlight w:val="none"/>
        </w:rPr>
      </w:pPr>
      <w:r>
        <w:rPr>
          <w:rFonts w:hint="eastAsia" w:ascii="宋体" w:hAnsi="宋体" w:cs="宋体"/>
          <w:color w:val="auto"/>
          <w:sz w:val="24"/>
          <w:highlight w:val="none"/>
        </w:rPr>
        <w:t>在评标过程中发现投标人有上述情形的，评标委员会应当认定其投标无效，并书面报告本级财政部门。</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38.1 投标人参加本项目投标不得有下列情形：</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（1）提供虚假材料谋取中标；</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（2）采取不正当手段诋毁、排挤其他投标人；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（3）与招标采购单位、其他投标人恶意串通；</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（4）向招标采购单位、评标委员会成员行贿或者提供其他不正当利益；</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（5）在招标过程中与招标采购单位进行协商招标；</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（6）中标或者成交后无正当理由拒不与采购人签订政府采购合同；</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（7）未按照采购文件确定的事项签订政府采购合同；</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（8）将政府采购合同转包或者违规分包；</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（9）提供假冒伪劣产品；</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（10）擅自变更、中止或者终止政府采购合同；</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（11）拒绝有关部门的监督检查或者向监督检查部门提供虚假情况；</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（12）法律法规规定的其他情形。</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投标人有上述情形的，按照规定追究法律责任，具备（1）-（10）条情形之一的，同时将取消中标资格或者认定中标无效。</w:t>
      </w:r>
      <w:bookmarkEnd w:id="54"/>
    </w:p>
    <w:p>
      <w:pPr>
        <w:spacing w:line="400" w:lineRule="exact"/>
        <w:ind w:firstLine="480" w:firstLineChars="200"/>
        <w:rPr>
          <w:rFonts w:ascii="宋体" w:hAnsi="宋体" w:cs="宋体"/>
          <w:color w:val="auto"/>
          <w:sz w:val="24"/>
          <w:highlight w:val="none"/>
        </w:rPr>
      </w:pPr>
      <w:bookmarkStart w:id="141" w:name="PO_默认文件内容_23"/>
      <w:r>
        <w:rPr>
          <w:rFonts w:hint="eastAsia" w:ascii="宋体" w:hAnsi="宋体" w:cs="宋体"/>
          <w:color w:val="auto"/>
          <w:sz w:val="24"/>
          <w:highlight w:val="none"/>
        </w:rPr>
        <w:t>38.2 投标人有下列情形之一的，视为投标人串通投标，其投标无效：</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（1）不同投标人的投标文件由同一单位或者个人编制；</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（2）不同投标人委托同一单位或者个人办理投标事宜；</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（3）不同投标人的投标文件载明的项目管理成员或者联系人员为同一人；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（4）不同投标人的投标文件异常一致或者投标报价呈规律性差异；</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（5）不同投标人的投标文件相互混装；</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（6）不同投标人的投标保证金从同一单位或者个人的账户转出。</w:t>
      </w:r>
    </w:p>
    <w:p>
      <w:pPr>
        <w:pStyle w:val="4"/>
        <w:spacing w:line="400" w:lineRule="exact"/>
        <w:jc w:val="center"/>
        <w:rPr>
          <w:rFonts w:ascii="宋体" w:hAnsi="宋体" w:eastAsia="宋体" w:cs="宋体"/>
          <w:bCs w:val="0"/>
          <w:color w:val="auto"/>
          <w:szCs w:val="28"/>
          <w:highlight w:val="none"/>
        </w:rPr>
      </w:pPr>
      <w:bookmarkStart w:id="142" w:name="_Toc308164819"/>
      <w:bookmarkStart w:id="143" w:name="_Toc217446078"/>
      <w:r>
        <w:rPr>
          <w:rFonts w:hint="eastAsia" w:ascii="宋体" w:hAnsi="宋体" w:eastAsia="宋体" w:cs="宋体"/>
          <w:bCs w:val="0"/>
          <w:color w:val="auto"/>
          <w:szCs w:val="28"/>
          <w:highlight w:val="none"/>
        </w:rPr>
        <w:t>八、询问、质疑和投诉</w:t>
      </w:r>
      <w:bookmarkEnd w:id="142"/>
      <w:bookmarkEnd w:id="143"/>
      <w:bookmarkStart w:id="144" w:name="_Toc217446079"/>
    </w:p>
    <w:bookmarkEnd w:id="144"/>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bookmarkEnd w:id="137"/>
      <w:bookmarkEnd w:id="138"/>
      <w:r>
        <w:rPr>
          <w:rFonts w:hint="eastAsia" w:ascii="宋体" w:hAnsi="宋体" w:cs="宋体"/>
          <w:color w:val="auto"/>
          <w:sz w:val="24"/>
          <w:highlight w:val="none"/>
        </w:rPr>
        <w:t>9．询问、质疑、投诉的接收和处理严格按照《中华人民共和国政府采购法》、《中华人民共和国政府采购法实施条例》、《政府采购货物和服务招标投标管理办法》、《政府采购质疑和投诉办法》、《财政部关于加强政府采购供应商投诉受理审查工作的通知》和《四川省政府采购供应商投诉处理工作规程》的规定办理（详细规定请在四川政府采购网政策法规模块查询）。</w:t>
      </w:r>
    </w:p>
    <w:p>
      <w:pPr>
        <w:pStyle w:val="4"/>
        <w:spacing w:line="400" w:lineRule="exact"/>
        <w:jc w:val="center"/>
        <w:rPr>
          <w:rFonts w:ascii="宋体" w:hAnsi="宋体" w:eastAsia="宋体" w:cs="宋体"/>
          <w:bCs w:val="0"/>
          <w:color w:val="auto"/>
          <w:szCs w:val="28"/>
          <w:highlight w:val="none"/>
        </w:rPr>
      </w:pPr>
      <w:r>
        <w:rPr>
          <w:rFonts w:hint="eastAsia" w:ascii="宋体" w:hAnsi="宋体" w:eastAsia="宋体" w:cs="宋体"/>
          <w:bCs w:val="0"/>
          <w:color w:val="auto"/>
          <w:szCs w:val="28"/>
          <w:highlight w:val="none"/>
        </w:rPr>
        <w:t>九、其他</w:t>
      </w:r>
    </w:p>
    <w:p>
      <w:pPr>
        <w:widowControl/>
        <w:spacing w:line="360" w:lineRule="atLeast"/>
        <w:ind w:firstLine="480" w:firstLineChars="200"/>
        <w:jc w:val="left"/>
        <w:outlineLvl w:val="1"/>
        <w:rPr>
          <w:rFonts w:ascii="宋体" w:hAnsi="宋体" w:cs="宋体"/>
          <w:color w:val="auto"/>
          <w:sz w:val="24"/>
          <w:highlight w:val="none"/>
        </w:rPr>
      </w:pPr>
      <w:r>
        <w:rPr>
          <w:rFonts w:hint="eastAsia" w:ascii="宋体" w:hAnsi="宋体" w:cs="宋体"/>
          <w:bCs/>
          <w:color w:val="auto"/>
          <w:sz w:val="24"/>
          <w:highlight w:val="none"/>
        </w:rPr>
        <w:t>40.</w:t>
      </w:r>
      <w:r>
        <w:rPr>
          <w:rFonts w:hint="eastAsia" w:ascii="宋体" w:hAnsi="宋体" w:cs="宋体"/>
          <w:color w:val="auto"/>
          <w:sz w:val="24"/>
          <w:highlight w:val="none"/>
        </w:rPr>
        <w:t>本招标文件中所引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直接按照变化后的相关法律制度规定执行，本招标文件不再做调整。</w:t>
      </w:r>
    </w:p>
    <w:p>
      <w:pPr>
        <w:spacing w:line="400" w:lineRule="exact"/>
        <w:ind w:firstLine="480" w:firstLineChars="200"/>
        <w:jc w:val="left"/>
        <w:rPr>
          <w:rFonts w:hint="eastAsia" w:ascii="宋体" w:hAnsi="宋体" w:cs="宋体"/>
          <w:color w:val="auto"/>
          <w:sz w:val="24"/>
          <w:highlight w:val="none"/>
        </w:rPr>
      </w:pPr>
    </w:p>
    <w:p>
      <w:pPr>
        <w:spacing w:line="400" w:lineRule="exact"/>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41.</w:t>
      </w:r>
      <w:r>
        <w:rPr>
          <w:rFonts w:hint="eastAsia" w:ascii="宋体" w:hAnsi="宋体" w:cs="宋体"/>
          <w:b/>
          <w:color w:val="auto"/>
          <w:sz w:val="24"/>
          <w:highlight w:val="none"/>
        </w:rPr>
        <w:t>（实质性要求）</w:t>
      </w:r>
      <w:r>
        <w:rPr>
          <w:rFonts w:hint="eastAsia" w:ascii="宋体" w:hAnsi="宋体" w:cs="宋体"/>
          <w:color w:val="auto"/>
          <w:sz w:val="24"/>
          <w:highlight w:val="none"/>
        </w:rPr>
        <w:t>本项目强制认证产品：供应商所投产品涉及国家强制认证的（CCC）或前置许可、认证的，在其他响应性投标文件提供符合国家强制认证（CCC）或前置许可、认证的承诺函原件，在供货时一并提供相关许可、认证材料。</w:t>
      </w:r>
    </w:p>
    <w:p>
      <w:pPr>
        <w:pStyle w:val="6"/>
        <w:rPr>
          <w:rFonts w:ascii="宋体" w:hAnsi="宋体" w:cs="宋体"/>
          <w:color w:val="auto"/>
          <w:highlight w:val="none"/>
        </w:rPr>
      </w:pPr>
    </w:p>
    <w:p>
      <w:pPr>
        <w:pStyle w:val="3"/>
        <w:spacing w:line="240" w:lineRule="auto"/>
        <w:jc w:val="center"/>
        <w:rPr>
          <w:rFonts w:ascii="宋体" w:hAnsi="宋体" w:cs="宋体"/>
          <w:color w:val="auto"/>
          <w:sz w:val="36"/>
          <w:szCs w:val="36"/>
          <w:highlight w:val="none"/>
        </w:rPr>
      </w:pPr>
      <w:bookmarkStart w:id="145" w:name="_Toc24369"/>
      <w:bookmarkStart w:id="146" w:name="_Toc1368"/>
      <w:bookmarkStart w:id="147" w:name="_Toc217446083"/>
      <w:r>
        <w:rPr>
          <w:rFonts w:hint="eastAsia" w:ascii="宋体" w:hAnsi="宋体" w:cs="宋体"/>
          <w:color w:val="auto"/>
          <w:sz w:val="36"/>
          <w:szCs w:val="36"/>
          <w:highlight w:val="none"/>
        </w:rPr>
        <w:br w:type="page"/>
      </w:r>
      <w:r>
        <w:rPr>
          <w:rFonts w:hint="eastAsia" w:ascii="宋体" w:hAnsi="宋体" w:cs="宋体"/>
          <w:color w:val="auto"/>
          <w:sz w:val="36"/>
          <w:szCs w:val="36"/>
          <w:highlight w:val="none"/>
        </w:rPr>
        <w:t>第三章  投标文件格式</w:t>
      </w:r>
      <w:bookmarkEnd w:id="145"/>
      <w:bookmarkEnd w:id="146"/>
      <w:bookmarkStart w:id="148" w:name="_Toc308164821"/>
      <w:bookmarkStart w:id="149" w:name="_Toc217446082"/>
    </w:p>
    <w:p>
      <w:pPr>
        <w:widowControl/>
        <w:spacing w:line="240" w:lineRule="auto"/>
        <w:jc w:val="center"/>
        <w:outlineLvl w:val="1"/>
        <w:rPr>
          <w:rFonts w:ascii="宋体" w:hAnsi="宋体" w:cs="宋体"/>
          <w:b/>
          <w:color w:val="auto"/>
          <w:sz w:val="24"/>
          <w:highlight w:val="none"/>
        </w:rPr>
      </w:pPr>
    </w:p>
    <w:p>
      <w:pPr>
        <w:widowControl/>
        <w:spacing w:line="240" w:lineRule="auto"/>
        <w:ind w:firstLine="470" w:firstLineChars="196"/>
        <w:outlineLvl w:val="1"/>
        <w:rPr>
          <w:rFonts w:ascii="宋体" w:hAnsi="宋体" w:cs="宋体"/>
          <w:color w:val="auto"/>
          <w:sz w:val="24"/>
          <w:highlight w:val="none"/>
        </w:rPr>
      </w:pPr>
      <w:r>
        <w:rPr>
          <w:rFonts w:hint="eastAsia" w:ascii="宋体" w:hAnsi="宋体" w:cs="宋体"/>
          <w:color w:val="auto"/>
          <w:sz w:val="24"/>
          <w:highlight w:val="none"/>
        </w:rPr>
        <w:t>一、本章所制投标文件格式，除格式中明确将该格式作为实质性要求的，一律不具有强制性，但是，投标人投标文件相关资料和本章所制格式不一致的，评标委员会将在评分时以投标文件不规范予以扣分处理。</w:t>
      </w:r>
    </w:p>
    <w:p>
      <w:pPr>
        <w:widowControl/>
        <w:spacing w:line="360" w:lineRule="atLeast"/>
        <w:ind w:firstLine="470" w:firstLineChars="196"/>
        <w:outlineLvl w:val="1"/>
        <w:rPr>
          <w:rFonts w:ascii="宋体" w:hAnsi="宋体" w:cs="宋体"/>
          <w:color w:val="auto"/>
          <w:sz w:val="24"/>
          <w:highlight w:val="none"/>
        </w:rPr>
      </w:pPr>
      <w:r>
        <w:rPr>
          <w:rFonts w:hint="eastAsia" w:ascii="宋体" w:hAnsi="宋体" w:cs="宋体"/>
          <w:color w:val="auto"/>
          <w:sz w:val="24"/>
          <w:highlight w:val="none"/>
        </w:rPr>
        <w:t>二、本章所制投标文件格式有关表格中的备注栏，由投标人根据自身投标情况作解释性说明，不作为必填项。</w:t>
      </w:r>
    </w:p>
    <w:p>
      <w:pPr>
        <w:widowControl/>
        <w:spacing w:line="360" w:lineRule="atLeast"/>
        <w:ind w:firstLine="470" w:firstLineChars="196"/>
        <w:outlineLvl w:val="1"/>
        <w:rPr>
          <w:rFonts w:ascii="宋体" w:hAnsi="宋体" w:cs="宋体"/>
          <w:color w:val="auto"/>
          <w:sz w:val="24"/>
          <w:highlight w:val="none"/>
        </w:rPr>
      </w:pPr>
      <w:r>
        <w:rPr>
          <w:rFonts w:hint="eastAsia" w:ascii="宋体" w:hAnsi="宋体" w:cs="宋体"/>
          <w:color w:val="auto"/>
          <w:sz w:val="24"/>
          <w:highlight w:val="none"/>
        </w:rPr>
        <w:t>三、本章所制投标文件格式中需要填写的相关内容事项，可能会与本采购项目无关，在不改变投标文件原义、不影响本项目采购需求的情况下，投标人可以不予填写，但应当注明。</w:t>
      </w:r>
      <w:bookmarkEnd w:id="141"/>
    </w:p>
    <w:p>
      <w:pPr>
        <w:tabs>
          <w:tab w:val="left" w:pos="900"/>
        </w:tabs>
        <w:spacing w:line="360" w:lineRule="auto"/>
        <w:jc w:val="center"/>
        <w:rPr>
          <w:rFonts w:ascii="宋体" w:hAnsi="宋体" w:cs="宋体"/>
          <w:b/>
          <w:color w:val="auto"/>
          <w:sz w:val="32"/>
          <w:highlight w:val="none"/>
        </w:rPr>
      </w:pPr>
      <w:r>
        <w:rPr>
          <w:rFonts w:hint="eastAsia" w:ascii="宋体" w:hAnsi="宋体" w:cs="宋体"/>
          <w:b/>
          <w:color w:val="auto"/>
          <w:sz w:val="32"/>
          <w:szCs w:val="32"/>
          <w:highlight w:val="none"/>
        </w:rPr>
        <w:br w:type="page"/>
      </w:r>
      <w:bookmarkStart w:id="150" w:name="PO_默认文件内容_24"/>
      <w:r>
        <w:rPr>
          <w:rFonts w:hint="eastAsia" w:ascii="宋体" w:hAnsi="宋体" w:cs="宋体"/>
          <w:b/>
          <w:color w:val="auto"/>
          <w:sz w:val="32"/>
          <w:highlight w:val="none"/>
        </w:rPr>
        <w:t>第一部分     “资格性投标文件”格式</w:t>
      </w:r>
    </w:p>
    <w:p>
      <w:pPr>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格式1-1</w:t>
      </w:r>
    </w:p>
    <w:p>
      <w:pPr>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封面：</w:t>
      </w:r>
    </w:p>
    <w:p>
      <w:pPr>
        <w:spacing w:line="360" w:lineRule="auto"/>
        <w:jc w:val="right"/>
        <w:rPr>
          <w:rFonts w:ascii="宋体" w:hAnsi="宋体" w:cs="宋体"/>
          <w:b/>
          <w:color w:val="auto"/>
          <w:sz w:val="36"/>
          <w:highlight w:val="none"/>
        </w:rPr>
      </w:pPr>
      <w:r>
        <w:rPr>
          <w:rFonts w:hint="eastAsia" w:ascii="宋体" w:hAnsi="宋体" w:cs="宋体"/>
          <w:b/>
          <w:color w:val="auto"/>
          <w:sz w:val="36"/>
          <w:highlight w:val="none"/>
        </w:rPr>
        <w:t>（正本/副本）</w:t>
      </w:r>
    </w:p>
    <w:p>
      <w:pPr>
        <w:spacing w:line="360" w:lineRule="auto"/>
        <w:rPr>
          <w:rFonts w:ascii="宋体" w:hAnsi="宋体" w:cs="宋体"/>
          <w:b/>
          <w:color w:val="auto"/>
          <w:sz w:val="32"/>
          <w:szCs w:val="32"/>
          <w:highlight w:val="none"/>
        </w:rPr>
      </w:pPr>
    </w:p>
    <w:p>
      <w:pPr>
        <w:spacing w:line="360" w:lineRule="auto"/>
        <w:jc w:val="center"/>
        <w:rPr>
          <w:rFonts w:ascii="宋体" w:hAnsi="宋体" w:cs="宋体"/>
          <w:b/>
          <w:color w:val="auto"/>
          <w:sz w:val="72"/>
          <w:highlight w:val="none"/>
        </w:rPr>
      </w:pPr>
      <w:r>
        <w:rPr>
          <w:rFonts w:hint="eastAsia" w:ascii="宋体" w:hAnsi="宋体" w:cs="宋体"/>
          <w:b/>
          <w:color w:val="auto"/>
          <w:sz w:val="40"/>
          <w:szCs w:val="48"/>
          <w:highlight w:val="none"/>
          <w:u w:val="single"/>
        </w:rPr>
        <w:t>xxxxx</w:t>
      </w:r>
      <w:r>
        <w:rPr>
          <w:rFonts w:hint="eastAsia" w:ascii="宋体" w:hAnsi="宋体" w:cs="宋体"/>
          <w:b/>
          <w:color w:val="auto"/>
          <w:sz w:val="40"/>
          <w:szCs w:val="48"/>
          <w:highlight w:val="none"/>
        </w:rPr>
        <w:t>项目</w:t>
      </w:r>
    </w:p>
    <w:p>
      <w:pPr>
        <w:spacing w:line="360" w:lineRule="auto"/>
        <w:rPr>
          <w:rFonts w:ascii="宋体" w:hAnsi="宋体" w:cs="宋体"/>
          <w:b/>
          <w:color w:val="auto"/>
          <w:sz w:val="52"/>
          <w:szCs w:val="52"/>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52"/>
          <w:szCs w:val="52"/>
          <w:highlight w:val="none"/>
        </w:rPr>
        <w:t>资格性投标文件</w:t>
      </w:r>
    </w:p>
    <w:p>
      <w:pPr>
        <w:spacing w:line="360" w:lineRule="auto"/>
        <w:jc w:val="left"/>
        <w:rPr>
          <w:rFonts w:ascii="宋体" w:hAnsi="宋体" w:cs="宋体"/>
          <w:b/>
          <w:color w:val="auto"/>
          <w:sz w:val="32"/>
          <w:highlight w:val="none"/>
          <w:u w:val="single"/>
        </w:rPr>
      </w:pPr>
      <w:r>
        <w:rPr>
          <w:rFonts w:hint="eastAsia" w:ascii="宋体" w:hAnsi="宋体" w:cs="宋体"/>
          <w:b/>
          <w:color w:val="auto"/>
          <w:sz w:val="32"/>
          <w:highlight w:val="none"/>
        </w:rPr>
        <w:t>投 标 人名称： XXXX</w:t>
      </w:r>
    </w:p>
    <w:p>
      <w:pPr>
        <w:spacing w:line="360" w:lineRule="auto"/>
        <w:jc w:val="left"/>
        <w:rPr>
          <w:rFonts w:ascii="宋体" w:hAnsi="宋体" w:cs="宋体"/>
          <w:b/>
          <w:color w:val="auto"/>
          <w:sz w:val="32"/>
          <w:highlight w:val="none"/>
          <w:u w:val="single"/>
        </w:rPr>
      </w:pPr>
      <w:r>
        <w:rPr>
          <w:rFonts w:hint="eastAsia" w:ascii="宋体" w:hAnsi="宋体" w:cs="宋体"/>
          <w:b/>
          <w:color w:val="auto"/>
          <w:sz w:val="32"/>
          <w:highlight w:val="none"/>
        </w:rPr>
        <w:t>采购项目编号： XXXX</w:t>
      </w:r>
    </w:p>
    <w:p>
      <w:pPr>
        <w:spacing w:line="360" w:lineRule="auto"/>
        <w:jc w:val="left"/>
        <w:rPr>
          <w:rFonts w:hint="eastAsia" w:ascii="宋体" w:hAnsi="宋体" w:eastAsia="宋体" w:cs="宋体"/>
          <w:b/>
          <w:color w:val="auto"/>
          <w:sz w:val="32"/>
          <w:highlight w:val="none"/>
          <w:lang w:val="en-US" w:eastAsia="zh-CN"/>
        </w:rPr>
      </w:pPr>
      <w:r>
        <w:rPr>
          <w:rFonts w:hint="eastAsia" w:ascii="宋体" w:hAnsi="宋体" w:cs="宋体"/>
          <w:b/>
          <w:color w:val="auto"/>
          <w:sz w:val="32"/>
          <w:highlight w:val="none"/>
          <w:lang w:val="en-US" w:eastAsia="zh-CN"/>
        </w:rPr>
        <w:t>包号：</w:t>
      </w:r>
      <w:r>
        <w:rPr>
          <w:rFonts w:hint="eastAsia" w:ascii="宋体" w:hAnsi="宋体" w:cs="宋体"/>
          <w:b/>
          <w:color w:val="auto"/>
          <w:sz w:val="32"/>
          <w:highlight w:val="none"/>
        </w:rPr>
        <w:t>XXXX</w:t>
      </w:r>
    </w:p>
    <w:p>
      <w:pPr>
        <w:spacing w:line="360" w:lineRule="auto"/>
        <w:ind w:firstLine="790" w:firstLineChars="246"/>
        <w:jc w:val="center"/>
        <w:rPr>
          <w:rFonts w:ascii="宋体" w:hAnsi="宋体" w:cs="宋体"/>
          <w:b/>
          <w:color w:val="auto"/>
          <w:sz w:val="32"/>
          <w:highlight w:val="none"/>
        </w:rPr>
      </w:pPr>
      <w:r>
        <w:rPr>
          <w:rFonts w:hint="eastAsia" w:ascii="宋体" w:hAnsi="宋体" w:cs="宋体"/>
          <w:b/>
          <w:color w:val="auto"/>
          <w:sz w:val="32"/>
          <w:highlight w:val="none"/>
        </w:rPr>
        <w:t>投标时间：2021年XX月XX日</w:t>
      </w:r>
    </w:p>
    <w:p>
      <w:pPr>
        <w:spacing w:after="0" w:line="360" w:lineRule="auto"/>
        <w:rPr>
          <w:rFonts w:ascii="宋体" w:hAnsi="宋体" w:cs="宋体"/>
          <w:b/>
          <w:color w:val="auto"/>
          <w:sz w:val="32"/>
          <w:szCs w:val="32"/>
          <w:highlight w:val="none"/>
        </w:rPr>
      </w:pPr>
      <w:r>
        <w:rPr>
          <w:rFonts w:hint="eastAsia" w:ascii="宋体" w:hAnsi="宋体" w:cs="宋体"/>
          <w:b/>
          <w:color w:val="auto"/>
          <w:sz w:val="32"/>
          <w:highlight w:val="none"/>
        </w:rPr>
        <w:br w:type="page"/>
      </w:r>
      <w:r>
        <w:rPr>
          <w:rFonts w:hint="eastAsia" w:ascii="宋体" w:hAnsi="宋体" w:cs="宋体"/>
          <w:b/>
          <w:color w:val="auto"/>
          <w:sz w:val="32"/>
          <w:szCs w:val="32"/>
          <w:highlight w:val="none"/>
        </w:rPr>
        <w:t>格式1-2</w:t>
      </w:r>
    </w:p>
    <w:p>
      <w:pPr>
        <w:spacing w:after="0" w:line="360" w:lineRule="auto"/>
        <w:ind w:firstLine="790" w:firstLineChars="246"/>
        <w:jc w:val="center"/>
        <w:rPr>
          <w:rFonts w:ascii="宋体" w:hAnsi="宋体" w:cs="宋体"/>
          <w:b/>
          <w:color w:val="auto"/>
          <w:sz w:val="32"/>
          <w:szCs w:val="32"/>
          <w:highlight w:val="none"/>
        </w:rPr>
      </w:pPr>
      <w:r>
        <w:rPr>
          <w:rFonts w:hint="eastAsia" w:ascii="宋体" w:hAnsi="宋体" w:cs="宋体"/>
          <w:b/>
          <w:color w:val="auto"/>
          <w:sz w:val="32"/>
          <w:szCs w:val="32"/>
          <w:highlight w:val="none"/>
        </w:rPr>
        <w:t>一、法定代表人/单位负责人授权书</w:t>
      </w:r>
    </w:p>
    <w:p>
      <w:pPr>
        <w:widowControl/>
        <w:spacing w:after="0" w:line="360" w:lineRule="atLeast"/>
        <w:ind w:firstLine="472" w:firstLineChars="196"/>
        <w:jc w:val="left"/>
        <w:outlineLvl w:val="1"/>
        <w:rPr>
          <w:rFonts w:ascii="宋体" w:hAnsi="宋体" w:cs="宋体"/>
          <w:b/>
          <w:color w:val="auto"/>
          <w:sz w:val="24"/>
          <w:highlight w:val="none"/>
        </w:rPr>
      </w:pPr>
    </w:p>
    <w:p>
      <w:pPr>
        <w:widowControl/>
        <w:spacing w:after="0" w:line="360" w:lineRule="atLeast"/>
        <w:ind w:firstLine="472" w:firstLineChars="196"/>
        <w:jc w:val="left"/>
        <w:outlineLvl w:val="1"/>
        <w:rPr>
          <w:rFonts w:ascii="宋体" w:hAnsi="宋体" w:cs="宋体"/>
          <w:b/>
          <w:color w:val="auto"/>
          <w:sz w:val="24"/>
          <w:highlight w:val="none"/>
        </w:rPr>
      </w:pPr>
    </w:p>
    <w:p>
      <w:pPr>
        <w:widowControl/>
        <w:spacing w:after="0"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XXXXXXXX（采购代理机构名称）：</w:t>
      </w:r>
    </w:p>
    <w:p>
      <w:pPr>
        <w:widowControl/>
        <w:spacing w:after="0"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本授权声明：XXXX XXXX（投标人名称）XXXX（法定代表人/单位负责人姓名、职务）授权XXXX（被授权人姓名、职务）为我方 “XXXXXXXX” 项目（招标编号：XXXX）投标活动的合法代表，以我方名义全权处理该项目有关投标、签订合同以及执行合同等一切事宜。</w:t>
      </w:r>
    </w:p>
    <w:p>
      <w:pPr>
        <w:widowControl/>
        <w:spacing w:after="0"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特此声明。</w:t>
      </w:r>
    </w:p>
    <w:p>
      <w:pPr>
        <w:widowControl/>
        <w:spacing w:after="0" w:line="360" w:lineRule="atLeast"/>
        <w:ind w:firstLine="470" w:firstLineChars="196"/>
        <w:jc w:val="left"/>
        <w:outlineLvl w:val="1"/>
        <w:rPr>
          <w:rFonts w:ascii="宋体" w:hAnsi="宋体" w:cs="宋体"/>
          <w:color w:val="auto"/>
          <w:sz w:val="24"/>
          <w:highlight w:val="none"/>
        </w:rPr>
      </w:pPr>
    </w:p>
    <w:p>
      <w:pPr>
        <w:widowControl/>
        <w:spacing w:after="0"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法定代表人/单位负责人（委托人）签字或者加盖个人名章：XXXX。</w:t>
      </w:r>
    </w:p>
    <w:p>
      <w:pPr>
        <w:widowControl/>
        <w:spacing w:after="0" w:line="360" w:lineRule="atLeast"/>
        <w:ind w:firstLine="470" w:firstLineChars="196"/>
        <w:jc w:val="left"/>
        <w:outlineLvl w:val="1"/>
        <w:rPr>
          <w:rFonts w:ascii="宋体" w:hAnsi="宋体" w:cs="宋体"/>
          <w:color w:val="auto"/>
          <w:sz w:val="24"/>
          <w:highlight w:val="none"/>
        </w:rPr>
      </w:pPr>
    </w:p>
    <w:p>
      <w:pPr>
        <w:widowControl/>
        <w:spacing w:after="0"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授权代表（被授权人）签字：XXXX。</w:t>
      </w:r>
    </w:p>
    <w:p>
      <w:pPr>
        <w:widowControl/>
        <w:spacing w:after="0" w:line="360" w:lineRule="atLeast"/>
        <w:ind w:firstLine="470" w:firstLineChars="196"/>
        <w:jc w:val="left"/>
        <w:outlineLvl w:val="1"/>
        <w:rPr>
          <w:rFonts w:ascii="宋体" w:hAnsi="宋体" w:cs="宋体"/>
          <w:color w:val="auto"/>
          <w:sz w:val="24"/>
          <w:highlight w:val="none"/>
        </w:rPr>
      </w:pPr>
    </w:p>
    <w:p>
      <w:pPr>
        <w:widowControl/>
        <w:spacing w:after="0"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投标人名称：XXXX（单位盖章）。</w:t>
      </w:r>
    </w:p>
    <w:p>
      <w:pPr>
        <w:widowControl/>
        <w:spacing w:after="0"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日    期：XXXX。</w:t>
      </w:r>
    </w:p>
    <w:p>
      <w:pPr>
        <w:widowControl/>
        <w:spacing w:after="0" w:line="360" w:lineRule="atLeast"/>
        <w:jc w:val="left"/>
        <w:outlineLvl w:val="1"/>
        <w:rPr>
          <w:rFonts w:ascii="宋体" w:hAnsi="宋体" w:cs="宋体"/>
          <w:b/>
          <w:color w:val="auto"/>
          <w:sz w:val="24"/>
          <w:highlight w:val="none"/>
        </w:rPr>
      </w:pPr>
      <w:bookmarkStart w:id="151" w:name="_Toc217446084"/>
    </w:p>
    <w:p>
      <w:pPr>
        <w:widowControl/>
        <w:spacing w:after="0" w:line="360" w:lineRule="atLeast"/>
        <w:jc w:val="left"/>
        <w:outlineLvl w:val="1"/>
        <w:rPr>
          <w:rFonts w:ascii="宋体" w:hAnsi="宋体" w:cs="宋体"/>
          <w:b/>
          <w:color w:val="auto"/>
          <w:sz w:val="24"/>
          <w:highlight w:val="none"/>
        </w:rPr>
      </w:pPr>
    </w:p>
    <w:p>
      <w:pPr>
        <w:widowControl/>
        <w:spacing w:after="0" w:line="360" w:lineRule="atLeast"/>
        <w:jc w:val="left"/>
        <w:outlineLvl w:val="1"/>
        <w:rPr>
          <w:rFonts w:ascii="宋体" w:hAnsi="宋体" w:cs="宋体"/>
          <w:b/>
          <w:color w:val="auto"/>
          <w:sz w:val="24"/>
          <w:highlight w:val="none"/>
        </w:rPr>
      </w:pPr>
    </w:p>
    <w:p>
      <w:pPr>
        <w:widowControl/>
        <w:spacing w:after="0" w:line="360" w:lineRule="atLeast"/>
        <w:jc w:val="left"/>
        <w:outlineLvl w:val="1"/>
        <w:rPr>
          <w:rFonts w:ascii="宋体" w:hAnsi="宋体" w:cs="宋体"/>
          <w:b/>
          <w:color w:val="auto"/>
          <w:sz w:val="24"/>
          <w:highlight w:val="none"/>
        </w:rPr>
      </w:pPr>
    </w:p>
    <w:p>
      <w:pPr>
        <w:spacing w:after="0" w:line="400" w:lineRule="exact"/>
        <w:ind w:left="840" w:hanging="840" w:hangingChars="350"/>
        <w:jc w:val="left"/>
        <w:rPr>
          <w:rFonts w:ascii="宋体" w:hAnsi="宋体" w:cs="宋体"/>
          <w:color w:val="auto"/>
          <w:sz w:val="24"/>
          <w:highlight w:val="none"/>
        </w:rPr>
      </w:pPr>
      <w:r>
        <w:rPr>
          <w:rFonts w:hint="eastAsia" w:ascii="宋体" w:hAnsi="宋体" w:cs="宋体"/>
          <w:color w:val="auto"/>
          <w:sz w:val="24"/>
          <w:highlight w:val="none"/>
        </w:rPr>
        <w:t>注：</w:t>
      </w:r>
    </w:p>
    <w:p>
      <w:pPr>
        <w:spacing w:after="0"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1、供应商为法人单位时提供“法定代表人授权书”，供应商为其他组织时提供“单位负责人授权书”，供应商为自然人时提供“自然人身份证明材料”。</w:t>
      </w:r>
    </w:p>
    <w:p>
      <w:pPr>
        <w:spacing w:after="0"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2、应附法定代表人/单位负责人身份证明材料复印件和授权代表身份证明材料复印件。</w:t>
      </w:r>
    </w:p>
    <w:p>
      <w:pPr>
        <w:spacing w:after="0"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3、身份证明材料包括居民身份证或户口本或军官证或护照等，身份证明材料应同时提供其在有效期的材料，如居民身份证正、反面复印件。</w:t>
      </w:r>
    </w:p>
    <w:p>
      <w:pPr>
        <w:spacing w:after="0" w:line="400" w:lineRule="exact"/>
        <w:ind w:firstLine="480" w:firstLineChars="200"/>
        <w:rPr>
          <w:rFonts w:ascii="宋体" w:hAnsi="宋体" w:cs="宋体"/>
          <w:color w:val="auto"/>
          <w:sz w:val="24"/>
          <w:highlight w:val="none"/>
        </w:rPr>
      </w:pPr>
    </w:p>
    <w:p>
      <w:pPr>
        <w:widowControl/>
        <w:spacing w:line="360" w:lineRule="atLeast"/>
        <w:jc w:val="left"/>
        <w:outlineLvl w:val="1"/>
        <w:rPr>
          <w:rFonts w:ascii="宋体" w:hAnsi="宋体" w:cs="宋体"/>
          <w:b/>
          <w:color w:val="auto"/>
          <w:sz w:val="24"/>
          <w:highlight w:val="none"/>
        </w:rPr>
      </w:pPr>
    </w:p>
    <w:bookmarkEnd w:id="151"/>
    <w:p>
      <w:pPr>
        <w:spacing w:line="360" w:lineRule="auto"/>
        <w:ind w:firstLine="790" w:firstLineChars="246"/>
        <w:jc w:val="center"/>
        <w:rPr>
          <w:rFonts w:ascii="宋体" w:hAnsi="宋体" w:cs="宋体"/>
          <w:b/>
          <w:color w:val="auto"/>
          <w:sz w:val="32"/>
          <w:highlight w:val="none"/>
        </w:rPr>
      </w:pPr>
    </w:p>
    <w:p>
      <w:pPr>
        <w:spacing w:line="360" w:lineRule="auto"/>
        <w:ind w:firstLine="790" w:firstLineChars="246"/>
        <w:jc w:val="center"/>
        <w:rPr>
          <w:rFonts w:ascii="宋体" w:hAnsi="宋体" w:cs="宋体"/>
          <w:b/>
          <w:color w:val="auto"/>
          <w:sz w:val="32"/>
          <w:szCs w:val="32"/>
          <w:highlight w:val="none"/>
        </w:rPr>
      </w:pPr>
      <w:r>
        <w:rPr>
          <w:rFonts w:hint="eastAsia" w:ascii="宋体" w:hAnsi="宋体" w:cs="宋体"/>
          <w:b/>
          <w:color w:val="auto"/>
          <w:sz w:val="32"/>
          <w:szCs w:val="32"/>
          <w:highlight w:val="none"/>
        </w:rPr>
        <w:br w:type="page"/>
      </w:r>
      <w:bookmarkStart w:id="152" w:name="_Toc434225393"/>
      <w:r>
        <w:rPr>
          <w:rFonts w:hint="eastAsia" w:ascii="宋体" w:hAnsi="宋体" w:cs="宋体"/>
          <w:b/>
          <w:color w:val="auto"/>
          <w:sz w:val="32"/>
          <w:szCs w:val="32"/>
          <w:highlight w:val="none"/>
        </w:rPr>
        <w:t>法定代表人/单位负责人身份证明书</w:t>
      </w:r>
      <w:bookmarkEnd w:id="152"/>
    </w:p>
    <w:p>
      <w:pPr>
        <w:tabs>
          <w:tab w:val="left" w:pos="6300"/>
        </w:tabs>
        <w:spacing w:line="360" w:lineRule="auto"/>
        <w:ind w:firstLine="560"/>
        <w:rPr>
          <w:rFonts w:ascii="宋体" w:hAnsi="宋体" w:cs="宋体"/>
          <w:color w:val="auto"/>
          <w:sz w:val="24"/>
          <w:highlight w:val="none"/>
          <w:u w:val="single"/>
        </w:rPr>
      </w:pPr>
    </w:p>
    <w:p>
      <w:pPr>
        <w:tabs>
          <w:tab w:val="left" w:pos="6300"/>
        </w:tabs>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XXXX</w:t>
      </w:r>
      <w:r>
        <w:rPr>
          <w:rFonts w:hint="eastAsia" w:ascii="宋体" w:hAnsi="宋体" w:cs="宋体"/>
          <w:color w:val="auto"/>
          <w:sz w:val="24"/>
          <w:highlight w:val="none"/>
          <w:lang w:val="zh-CN"/>
        </w:rPr>
        <w:t>（法定代表人姓名）在</w:t>
      </w:r>
      <w:r>
        <w:rPr>
          <w:rFonts w:hint="eastAsia" w:ascii="宋体" w:hAnsi="宋体" w:cs="宋体"/>
          <w:color w:val="auto"/>
          <w:sz w:val="24"/>
          <w:highlight w:val="none"/>
        </w:rPr>
        <w:t>XXXX</w:t>
      </w:r>
      <w:r>
        <w:rPr>
          <w:rFonts w:hint="eastAsia" w:ascii="宋体" w:hAnsi="宋体" w:cs="宋体"/>
          <w:color w:val="auto"/>
          <w:sz w:val="24"/>
          <w:highlight w:val="none"/>
          <w:lang w:val="zh-CN"/>
        </w:rPr>
        <w:t xml:space="preserve">（投标人名称）处任 </w:t>
      </w:r>
      <w:r>
        <w:rPr>
          <w:rFonts w:hint="eastAsia" w:ascii="宋体" w:hAnsi="宋体" w:cs="宋体"/>
          <w:color w:val="auto"/>
          <w:sz w:val="24"/>
          <w:highlight w:val="none"/>
        </w:rPr>
        <w:t>XXXX</w:t>
      </w:r>
      <w:r>
        <w:rPr>
          <w:rFonts w:hint="eastAsia" w:ascii="宋体" w:hAnsi="宋体" w:cs="宋体"/>
          <w:color w:val="auto"/>
          <w:sz w:val="24"/>
          <w:highlight w:val="none"/>
          <w:lang w:val="zh-CN"/>
        </w:rPr>
        <w:t xml:space="preserve">（职务名称）职务，是 </w:t>
      </w:r>
      <w:r>
        <w:rPr>
          <w:rFonts w:hint="eastAsia" w:ascii="宋体" w:hAnsi="宋体" w:cs="宋体"/>
          <w:color w:val="auto"/>
          <w:sz w:val="24"/>
          <w:highlight w:val="none"/>
        </w:rPr>
        <w:t>XXXX</w:t>
      </w:r>
      <w:r>
        <w:rPr>
          <w:rFonts w:hint="eastAsia" w:ascii="宋体" w:hAnsi="宋体" w:cs="宋体"/>
          <w:color w:val="auto"/>
          <w:sz w:val="24"/>
          <w:highlight w:val="none"/>
          <w:lang w:val="zh-CN"/>
        </w:rPr>
        <w:t>（投标人名称）的法定代表人。</w:t>
      </w:r>
    </w:p>
    <w:p>
      <w:pPr>
        <w:tabs>
          <w:tab w:val="left" w:pos="6300"/>
        </w:tabs>
        <w:spacing w:line="360" w:lineRule="auto"/>
        <w:ind w:firstLine="480"/>
        <w:rPr>
          <w:rFonts w:ascii="宋体" w:hAnsi="宋体" w:cs="宋体"/>
          <w:color w:val="auto"/>
          <w:sz w:val="24"/>
          <w:highlight w:val="none"/>
          <w:lang w:val="zh-CN"/>
        </w:rPr>
      </w:pPr>
    </w:p>
    <w:p>
      <w:pPr>
        <w:tabs>
          <w:tab w:val="left" w:pos="6300"/>
        </w:tabs>
        <w:spacing w:line="360" w:lineRule="auto"/>
        <w:ind w:firstLine="480"/>
        <w:rPr>
          <w:rFonts w:ascii="宋体" w:hAnsi="宋体" w:cs="宋体"/>
          <w:color w:val="auto"/>
          <w:sz w:val="24"/>
          <w:highlight w:val="none"/>
          <w:lang w:val="zh-CN"/>
        </w:rPr>
      </w:pPr>
    </w:p>
    <w:p>
      <w:pPr>
        <w:tabs>
          <w:tab w:val="left" w:pos="6300"/>
        </w:tabs>
        <w:spacing w:line="360" w:lineRule="auto"/>
        <w:ind w:firstLine="480"/>
        <w:rPr>
          <w:rFonts w:ascii="宋体" w:hAnsi="宋体" w:cs="宋体"/>
          <w:color w:val="auto"/>
          <w:sz w:val="24"/>
          <w:highlight w:val="none"/>
          <w:lang w:val="zh-CN"/>
        </w:rPr>
      </w:pPr>
    </w:p>
    <w:p>
      <w:pPr>
        <w:tabs>
          <w:tab w:val="left" w:pos="6300"/>
        </w:tabs>
        <w:spacing w:line="360" w:lineRule="auto"/>
        <w:ind w:firstLine="480"/>
        <w:rPr>
          <w:rFonts w:ascii="宋体" w:hAnsi="宋体" w:cs="宋体"/>
          <w:color w:val="auto"/>
          <w:sz w:val="24"/>
          <w:highlight w:val="none"/>
          <w:lang w:val="zh-CN"/>
        </w:rPr>
      </w:pPr>
      <w:bookmarkStart w:id="153" w:name="_Toc263768866"/>
      <w:r>
        <w:rPr>
          <w:rFonts w:hint="eastAsia" w:ascii="宋体" w:hAnsi="宋体" w:cs="宋体"/>
          <w:color w:val="auto"/>
          <w:sz w:val="24"/>
          <w:highlight w:val="none"/>
          <w:lang w:val="zh-CN"/>
        </w:rPr>
        <w:t>特此证明。</w:t>
      </w:r>
      <w:bookmarkEnd w:id="153"/>
    </w:p>
    <w:p>
      <w:pPr>
        <w:tabs>
          <w:tab w:val="left" w:pos="6300"/>
        </w:tabs>
        <w:spacing w:line="360" w:lineRule="auto"/>
        <w:ind w:firstLine="480"/>
        <w:rPr>
          <w:rFonts w:ascii="宋体" w:hAnsi="宋体" w:cs="宋体"/>
          <w:color w:val="auto"/>
          <w:sz w:val="24"/>
          <w:highlight w:val="none"/>
          <w:lang w:val="zh-CN"/>
        </w:rPr>
      </w:pPr>
    </w:p>
    <w:p>
      <w:pPr>
        <w:tabs>
          <w:tab w:val="left" w:pos="6300"/>
        </w:tabs>
        <w:spacing w:line="360" w:lineRule="auto"/>
        <w:ind w:firstLine="480"/>
        <w:rPr>
          <w:rFonts w:ascii="宋体" w:hAnsi="宋体" w:cs="宋体"/>
          <w:color w:val="auto"/>
          <w:sz w:val="24"/>
          <w:highlight w:val="none"/>
          <w:lang w:val="zh-CN"/>
        </w:rPr>
      </w:pPr>
    </w:p>
    <w:p>
      <w:pPr>
        <w:tabs>
          <w:tab w:val="left" w:pos="6300"/>
        </w:tabs>
        <w:spacing w:line="360" w:lineRule="auto"/>
        <w:ind w:firstLine="480"/>
        <w:rPr>
          <w:rFonts w:ascii="宋体" w:hAnsi="宋体" w:cs="宋体"/>
          <w:color w:val="auto"/>
          <w:sz w:val="24"/>
          <w:highlight w:val="none"/>
          <w:lang w:val="zh-CN"/>
        </w:rPr>
      </w:pPr>
    </w:p>
    <w:p>
      <w:pPr>
        <w:tabs>
          <w:tab w:val="left" w:pos="6300"/>
        </w:tabs>
        <w:spacing w:line="360" w:lineRule="auto"/>
        <w:rPr>
          <w:rFonts w:ascii="宋体" w:hAnsi="宋体" w:cs="宋体"/>
          <w:color w:val="auto"/>
          <w:sz w:val="24"/>
          <w:highlight w:val="none"/>
          <w:lang w:val="zh-CN"/>
        </w:rPr>
      </w:pPr>
    </w:p>
    <w:p>
      <w:pPr>
        <w:tabs>
          <w:tab w:val="left" w:pos="6300"/>
        </w:tabs>
        <w:spacing w:line="360" w:lineRule="auto"/>
        <w:ind w:firstLine="480"/>
        <w:rPr>
          <w:rFonts w:ascii="宋体" w:hAnsi="宋体" w:cs="宋体"/>
          <w:color w:val="auto"/>
          <w:sz w:val="24"/>
          <w:highlight w:val="none"/>
          <w:lang w:val="zh-CN"/>
        </w:rPr>
      </w:pPr>
    </w:p>
    <w:p>
      <w:pPr>
        <w:tabs>
          <w:tab w:val="left" w:pos="6300"/>
        </w:tabs>
        <w:spacing w:line="360" w:lineRule="auto"/>
        <w:ind w:firstLine="480"/>
        <w:rPr>
          <w:rFonts w:ascii="宋体" w:hAnsi="宋体" w:cs="宋体"/>
          <w:color w:val="auto"/>
          <w:sz w:val="24"/>
          <w:highlight w:val="none"/>
          <w:lang w:val="zh-CN"/>
        </w:rPr>
      </w:pPr>
    </w:p>
    <w:p>
      <w:pPr>
        <w:spacing w:line="360" w:lineRule="auto"/>
        <w:ind w:firstLine="720" w:firstLineChars="300"/>
        <w:rPr>
          <w:rFonts w:ascii="宋体" w:hAnsi="宋体" w:cs="宋体"/>
          <w:color w:val="auto"/>
          <w:sz w:val="24"/>
          <w:highlight w:val="none"/>
          <w:lang w:val="zh-CN"/>
        </w:rPr>
      </w:pPr>
      <w:r>
        <w:rPr>
          <w:rFonts w:hint="eastAsia" w:ascii="宋体" w:hAnsi="宋体" w:cs="宋体"/>
          <w:color w:val="auto"/>
          <w:sz w:val="24"/>
          <w:highlight w:val="none"/>
          <w:lang w:val="zh-CN"/>
        </w:rPr>
        <w:t xml:space="preserve">投标人名称： </w:t>
      </w:r>
      <w:r>
        <w:rPr>
          <w:rFonts w:hint="eastAsia" w:ascii="宋体" w:hAnsi="宋体" w:cs="宋体"/>
          <w:color w:val="auto"/>
          <w:sz w:val="24"/>
          <w:highlight w:val="none"/>
        </w:rPr>
        <w:t>XXXX</w:t>
      </w:r>
      <w:r>
        <w:rPr>
          <w:rFonts w:hint="eastAsia" w:ascii="宋体" w:hAnsi="宋体" w:cs="宋体"/>
          <w:color w:val="auto"/>
          <w:sz w:val="24"/>
          <w:highlight w:val="none"/>
          <w:lang w:val="zh-CN"/>
        </w:rPr>
        <w:t>（加盖公章）</w:t>
      </w:r>
    </w:p>
    <w:p>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投标日期：</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XXXX年</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XXXX月</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XXXX日</w:t>
      </w:r>
    </w:p>
    <w:p>
      <w:pPr>
        <w:tabs>
          <w:tab w:val="left" w:pos="6300"/>
        </w:tabs>
        <w:spacing w:line="360" w:lineRule="auto"/>
        <w:ind w:firstLine="480"/>
        <w:rPr>
          <w:rFonts w:ascii="宋体" w:hAnsi="宋体" w:cs="宋体"/>
          <w:color w:val="auto"/>
          <w:sz w:val="24"/>
          <w:highlight w:val="none"/>
          <w:lang w:val="zh-CN"/>
        </w:rPr>
      </w:pPr>
    </w:p>
    <w:p>
      <w:pPr>
        <w:spacing w:after="0"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说明：</w:t>
      </w:r>
      <w:r>
        <w:rPr>
          <w:rFonts w:hint="eastAsia" w:ascii="宋体" w:hAnsi="宋体" w:cs="宋体"/>
          <w:color w:val="auto"/>
          <w:sz w:val="24"/>
          <w:highlight w:val="none"/>
        </w:rPr>
        <w:t>1、</w:t>
      </w:r>
      <w:r>
        <w:rPr>
          <w:rFonts w:hint="eastAsia" w:ascii="宋体" w:hAnsi="宋体" w:cs="宋体"/>
          <w:color w:val="auto"/>
          <w:sz w:val="24"/>
          <w:highlight w:val="none"/>
          <w:lang w:val="zh-CN"/>
        </w:rPr>
        <w:t>附法定代表人身份证复印件时才能生效(身份证复印件加盖公章。投标人的法定代表人为外籍人士的，可提供护照复印件并加盖公章)，</w:t>
      </w:r>
      <w:r>
        <w:rPr>
          <w:rFonts w:hint="eastAsia" w:ascii="宋体" w:hAnsi="宋体" w:cs="宋体"/>
          <w:color w:val="auto"/>
          <w:sz w:val="24"/>
          <w:highlight w:val="none"/>
        </w:rPr>
        <w:t>供应商为其他组织时提供“单位负责人身份证明书”格式自拟，并附单位负责人身份证复印件并加盖公章。</w:t>
      </w:r>
    </w:p>
    <w:p>
      <w:pPr>
        <w:spacing w:after="0" w:line="400" w:lineRule="exact"/>
        <w:ind w:firstLine="1200" w:firstLineChars="500"/>
        <w:rPr>
          <w:rFonts w:ascii="宋体" w:hAnsi="宋体" w:cs="宋体"/>
          <w:color w:val="auto"/>
          <w:sz w:val="24"/>
          <w:highlight w:val="none"/>
          <w:lang w:val="zh-CN"/>
        </w:rPr>
      </w:pPr>
      <w:r>
        <w:rPr>
          <w:rFonts w:hint="eastAsia" w:ascii="宋体" w:hAnsi="宋体" w:cs="宋体"/>
          <w:color w:val="auto"/>
          <w:sz w:val="24"/>
          <w:highlight w:val="none"/>
          <w:lang w:val="zh-CN"/>
        </w:rPr>
        <w:t>2、提供的证件必须在有效期内。</w:t>
      </w:r>
    </w:p>
    <w:p>
      <w:pPr>
        <w:spacing w:line="360" w:lineRule="auto"/>
        <w:rPr>
          <w:rFonts w:ascii="宋体" w:hAnsi="宋体" w:cs="宋体"/>
          <w:b/>
          <w:color w:val="auto"/>
          <w:sz w:val="32"/>
          <w:szCs w:val="32"/>
          <w:highlight w:val="none"/>
        </w:rPr>
      </w:pPr>
    </w:p>
    <w:p>
      <w:pPr>
        <w:spacing w:line="360" w:lineRule="auto"/>
        <w:rPr>
          <w:rFonts w:ascii="宋体" w:hAnsi="宋体" w:cs="宋体"/>
          <w:b/>
          <w:color w:val="auto"/>
          <w:sz w:val="32"/>
          <w:szCs w:val="32"/>
          <w:highlight w:val="none"/>
        </w:rPr>
      </w:pPr>
    </w:p>
    <w:p>
      <w:pPr>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格式1-3</w:t>
      </w:r>
    </w:p>
    <w:p>
      <w:pPr>
        <w:widowControl/>
        <w:spacing w:line="360" w:lineRule="atLeast"/>
        <w:jc w:val="center"/>
        <w:outlineLvl w:val="1"/>
        <w:rPr>
          <w:rFonts w:ascii="宋体" w:hAnsi="宋体" w:cs="宋体"/>
          <w:b/>
          <w:color w:val="auto"/>
          <w:sz w:val="32"/>
          <w:szCs w:val="32"/>
          <w:highlight w:val="none"/>
        </w:rPr>
      </w:pPr>
      <w:r>
        <w:rPr>
          <w:rFonts w:hint="eastAsia" w:ascii="宋体" w:hAnsi="宋体" w:cs="宋体"/>
          <w:b/>
          <w:color w:val="auto"/>
          <w:sz w:val="32"/>
          <w:szCs w:val="32"/>
          <w:highlight w:val="none"/>
        </w:rPr>
        <w:t>二、承诺函</w:t>
      </w:r>
    </w:p>
    <w:p>
      <w:pPr>
        <w:widowControl/>
        <w:spacing w:line="360" w:lineRule="atLeast"/>
        <w:jc w:val="center"/>
        <w:outlineLvl w:val="1"/>
        <w:rPr>
          <w:rFonts w:ascii="宋体" w:hAnsi="宋体" w:cs="宋体"/>
          <w:b/>
          <w:color w:val="auto"/>
          <w:sz w:val="24"/>
          <w:highlight w:val="none"/>
        </w:rPr>
      </w:pPr>
    </w:p>
    <w:p>
      <w:pPr>
        <w:widowControl/>
        <w:spacing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XXXX（采购代理机构名称）：</w:t>
      </w:r>
    </w:p>
    <w:p>
      <w:pPr>
        <w:widowControl/>
        <w:spacing w:line="360" w:lineRule="atLeast"/>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我单位作为本次采购项目的投标人，根据招标文件要求，现郑重承诺如下：</w:t>
      </w:r>
    </w:p>
    <w:p>
      <w:pPr>
        <w:widowControl/>
        <w:spacing w:line="360" w:lineRule="atLeast"/>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具备《中华人民共和国政府采购法》第二十二条第一款和本项目规定的条件：</w:t>
      </w:r>
    </w:p>
    <w:p>
      <w:pPr>
        <w:widowControl/>
        <w:spacing w:line="360" w:lineRule="atLeast"/>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（一）具有独立承担民事责任的能力；</w:t>
      </w:r>
    </w:p>
    <w:p>
      <w:pPr>
        <w:widowControl/>
        <w:spacing w:line="360" w:lineRule="atLeast"/>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（二）具有良好的商业信誉和健全的财务会计制度；</w:t>
      </w:r>
    </w:p>
    <w:p>
      <w:pPr>
        <w:widowControl/>
        <w:spacing w:line="360" w:lineRule="atLeast"/>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（三）具有履行合同所必需的设备和专业技术能力；</w:t>
      </w:r>
    </w:p>
    <w:p>
      <w:pPr>
        <w:widowControl/>
        <w:spacing w:line="360" w:lineRule="atLeast"/>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（四）有依法缴纳税收和社会保障资金的良好记录；</w:t>
      </w:r>
    </w:p>
    <w:p>
      <w:pPr>
        <w:widowControl/>
        <w:spacing w:line="360" w:lineRule="atLeast"/>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（五）参加政府采购活动前三年内，在经营活动中没有重大违法记录；</w:t>
      </w:r>
    </w:p>
    <w:p>
      <w:pPr>
        <w:widowControl/>
        <w:spacing w:line="360" w:lineRule="atLeast"/>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（六）法律、行政法规规定的其他条件；</w:t>
      </w:r>
    </w:p>
    <w:p>
      <w:pPr>
        <w:widowControl/>
        <w:spacing w:line="360" w:lineRule="atLeast"/>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（七）根据采购项目提出的特殊条件：无；</w:t>
      </w:r>
    </w:p>
    <w:p>
      <w:pPr>
        <w:widowControl/>
        <w:spacing w:line="360" w:lineRule="atLeast"/>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（八）完全接受和满足本项目招标文件中规定的实质性要求，如对招标文件有异议， 已经在投标截止时间届满前依法进行维权救济，不存在对招标文件有异议的同时又参加投标以求侥幸中标或者为实现其他非法目的的行为。</w:t>
      </w:r>
    </w:p>
    <w:p>
      <w:pPr>
        <w:widowControl/>
        <w:spacing w:line="360" w:lineRule="atLeast"/>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（九）本项目不接受联合体投标。</w:t>
      </w:r>
    </w:p>
    <w:p>
      <w:pPr>
        <w:widowControl/>
        <w:spacing w:line="360" w:lineRule="atLeast"/>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本单位对上述承诺的内容事项真实性负责。如经查实上述承诺的内容事项存在虚假，我单位愿意接受以提供虚假材料谋取中标追究法律责任。</w:t>
      </w:r>
    </w:p>
    <w:p>
      <w:pPr>
        <w:widowControl/>
        <w:spacing w:line="360" w:lineRule="atLeast"/>
        <w:ind w:firstLine="470" w:firstLineChars="196"/>
        <w:jc w:val="left"/>
        <w:outlineLvl w:val="1"/>
        <w:rPr>
          <w:rFonts w:ascii="宋体" w:hAnsi="宋体" w:cs="宋体"/>
          <w:color w:val="auto"/>
          <w:sz w:val="24"/>
          <w:highlight w:val="none"/>
        </w:rPr>
      </w:pP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投标人名称：XXXX（单位公章）。</w:t>
      </w: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法定代表人/单位负责人或授权代表（签字或加盖个人名章）：XXXX。</w:t>
      </w: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日    期：XXXX。</w:t>
      </w:r>
    </w:p>
    <w:p>
      <w:pPr>
        <w:spacing w:line="360" w:lineRule="auto"/>
        <w:rPr>
          <w:rFonts w:ascii="宋体" w:hAnsi="宋体" w:cs="宋体"/>
          <w:b/>
          <w:color w:val="auto"/>
          <w:sz w:val="32"/>
          <w:szCs w:val="32"/>
          <w:highlight w:val="none"/>
        </w:rPr>
      </w:pPr>
      <w:r>
        <w:rPr>
          <w:rFonts w:hint="eastAsia" w:ascii="宋体" w:hAnsi="宋体" w:cs="宋体"/>
          <w:color w:val="auto"/>
          <w:sz w:val="24"/>
          <w:highlight w:val="none"/>
        </w:rPr>
        <w:br w:type="page"/>
      </w:r>
      <w:r>
        <w:rPr>
          <w:rFonts w:hint="eastAsia" w:ascii="宋体" w:hAnsi="宋体" w:cs="宋体"/>
          <w:b/>
          <w:color w:val="auto"/>
          <w:sz w:val="32"/>
          <w:szCs w:val="32"/>
          <w:highlight w:val="none"/>
        </w:rPr>
        <w:t>格式1-4</w:t>
      </w:r>
    </w:p>
    <w:p>
      <w:pPr>
        <w:spacing w:line="360" w:lineRule="auto"/>
        <w:ind w:firstLine="790" w:firstLineChars="246"/>
        <w:jc w:val="center"/>
        <w:rPr>
          <w:rFonts w:ascii="宋体" w:hAnsi="宋体" w:cs="宋体"/>
          <w:b/>
          <w:color w:val="auto"/>
          <w:sz w:val="32"/>
          <w:szCs w:val="32"/>
          <w:highlight w:val="none"/>
        </w:rPr>
      </w:pPr>
      <w:r>
        <w:rPr>
          <w:rFonts w:hint="eastAsia" w:ascii="宋体" w:hAnsi="宋体" w:cs="宋体"/>
          <w:b/>
          <w:color w:val="auto"/>
          <w:sz w:val="32"/>
          <w:szCs w:val="32"/>
          <w:highlight w:val="none"/>
        </w:rPr>
        <w:t>三、投标人和投标产品其他资格、资质性及其他类似效力要求的相关证明材料</w:t>
      </w:r>
    </w:p>
    <w:p>
      <w:pPr>
        <w:spacing w:line="360" w:lineRule="auto"/>
        <w:rPr>
          <w:rFonts w:ascii="宋体" w:hAnsi="宋体" w:cs="宋体"/>
          <w:bCs/>
          <w:color w:val="auto"/>
          <w:sz w:val="24"/>
          <w:highlight w:val="none"/>
        </w:rPr>
      </w:pPr>
      <w:r>
        <w:rPr>
          <w:rFonts w:hint="eastAsia" w:ascii="宋体" w:hAnsi="宋体" w:cs="宋体"/>
          <w:bCs/>
          <w:color w:val="auto"/>
          <w:sz w:val="24"/>
          <w:highlight w:val="none"/>
        </w:rPr>
        <w:t>注：严格按照第四、五章要求提供相关资格、资质性及其他类似效力要求的相关证明材料。有格式要求的从其要求，无格式要求的格式自拟。</w:t>
      </w:r>
    </w:p>
    <w:p>
      <w:pPr>
        <w:widowControl/>
        <w:spacing w:after="0" w:line="240" w:lineRule="auto"/>
        <w:jc w:val="left"/>
        <w:rPr>
          <w:rFonts w:ascii="宋体" w:hAnsi="宋体" w:cs="宋体"/>
          <w:bCs/>
          <w:color w:val="auto"/>
          <w:sz w:val="24"/>
          <w:highlight w:val="none"/>
        </w:rPr>
      </w:pPr>
      <w:r>
        <w:rPr>
          <w:rFonts w:hint="eastAsia" w:ascii="宋体" w:hAnsi="宋体" w:cs="宋体"/>
          <w:bCs/>
          <w:color w:val="auto"/>
          <w:sz w:val="24"/>
          <w:highlight w:val="none"/>
        </w:rPr>
        <w:br w:type="page"/>
      </w:r>
      <w:r>
        <w:rPr>
          <w:rFonts w:hint="eastAsia" w:ascii="宋体" w:hAnsi="宋体" w:cs="宋体"/>
          <w:b/>
          <w:color w:val="auto"/>
          <w:sz w:val="32"/>
          <w:szCs w:val="32"/>
          <w:highlight w:val="none"/>
        </w:rPr>
        <w:t>格式1-5</w:t>
      </w:r>
    </w:p>
    <w:p>
      <w:pPr>
        <w:pStyle w:val="6"/>
        <w:numPr>
          <w:ilvl w:val="0"/>
          <w:numId w:val="1"/>
        </w:numPr>
        <w:jc w:val="center"/>
        <w:rPr>
          <w:rFonts w:ascii="宋体" w:hAnsi="宋体" w:cs="宋体"/>
          <w:bCs w:val="0"/>
          <w:color w:val="auto"/>
          <w:sz w:val="32"/>
          <w:szCs w:val="32"/>
          <w:highlight w:val="none"/>
        </w:rPr>
      </w:pPr>
      <w:r>
        <w:rPr>
          <w:rFonts w:hint="eastAsia" w:ascii="宋体" w:hAnsi="宋体" w:cs="宋体"/>
          <w:bCs w:val="0"/>
          <w:color w:val="auto"/>
          <w:sz w:val="32"/>
          <w:szCs w:val="32"/>
          <w:highlight w:val="none"/>
        </w:rPr>
        <w:t>投标人单位及其现任法定代表人、主要负责人不得具有行贿犯罪记录承诺函</w:t>
      </w:r>
    </w:p>
    <w:p>
      <w:pPr>
        <w:widowControl/>
        <w:spacing w:line="360" w:lineRule="atLeast"/>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XXXX（采购代理机构名称）：</w:t>
      </w:r>
    </w:p>
    <w:p>
      <w:pPr>
        <w:widowControl/>
        <w:spacing w:line="360" w:lineRule="atLeast"/>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我公司单位及其现任法定代表人、主要负责人{无行贿犯罪记录的期限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（填写：十年内/公司成立之日起至文件递交截止日）}无行贿犯罪记录。</w:t>
      </w:r>
    </w:p>
    <w:p>
      <w:pPr>
        <w:widowControl/>
        <w:spacing w:line="360" w:lineRule="atLeast"/>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注：投标人成立年限超过十年的，填写十年内；投标人成立年限十年内的，填写公司成立之日起至文件递交截止日。</w:t>
      </w:r>
    </w:p>
    <w:p>
      <w:pPr>
        <w:widowControl/>
        <w:spacing w:line="360" w:lineRule="atLeast"/>
        <w:ind w:firstLine="480" w:firstLineChars="200"/>
        <w:jc w:val="left"/>
        <w:outlineLvl w:val="1"/>
        <w:rPr>
          <w:rFonts w:ascii="宋体" w:hAnsi="宋体" w:cs="宋体"/>
          <w:color w:val="auto"/>
          <w:sz w:val="24"/>
          <w:highlight w:val="none"/>
        </w:rPr>
      </w:pP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投标人名称：XXXX（单位公章）。</w:t>
      </w: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法定代表人/单位负责人或授权代表（签字或加盖个人名章）：XXXX。</w:t>
      </w:r>
    </w:p>
    <w:p>
      <w:pPr>
        <w:widowControl/>
        <w:spacing w:line="360" w:lineRule="atLeast"/>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日    期：XXXX。</w:t>
      </w:r>
    </w:p>
    <w:p>
      <w:pPr>
        <w:pStyle w:val="6"/>
        <w:jc w:val="center"/>
        <w:rPr>
          <w:rFonts w:ascii="宋体" w:hAnsi="宋体" w:cs="宋体"/>
          <w:color w:val="auto"/>
          <w:highlight w:val="none"/>
        </w:rPr>
      </w:pPr>
    </w:p>
    <w:p>
      <w:pPr>
        <w:pStyle w:val="6"/>
        <w:rPr>
          <w:rFonts w:ascii="宋体" w:hAnsi="宋体" w:cs="宋体"/>
          <w:b w:val="0"/>
          <w:bCs w:val="0"/>
          <w:color w:val="auto"/>
          <w:sz w:val="24"/>
          <w:szCs w:val="24"/>
          <w:highlight w:val="none"/>
        </w:rPr>
      </w:pPr>
    </w:p>
    <w:p>
      <w:pPr>
        <w:pStyle w:val="6"/>
        <w:rPr>
          <w:rFonts w:ascii="宋体" w:hAnsi="宋体" w:cs="宋体"/>
          <w:b w:val="0"/>
          <w:bCs w:val="0"/>
          <w:color w:val="auto"/>
          <w:sz w:val="24"/>
          <w:szCs w:val="24"/>
          <w:highlight w:val="none"/>
        </w:rPr>
      </w:pPr>
    </w:p>
    <w:p>
      <w:pPr>
        <w:pStyle w:val="6"/>
        <w:rPr>
          <w:rFonts w:ascii="宋体" w:hAnsi="宋体" w:cs="宋体"/>
          <w:b w:val="0"/>
          <w:bCs w:val="0"/>
          <w:color w:val="auto"/>
          <w:sz w:val="24"/>
          <w:szCs w:val="24"/>
          <w:highlight w:val="none"/>
        </w:rPr>
      </w:pPr>
    </w:p>
    <w:p>
      <w:pPr>
        <w:spacing w:line="480" w:lineRule="auto"/>
        <w:ind w:firstLine="480" w:firstLineChars="200"/>
        <w:rPr>
          <w:rFonts w:ascii="宋体" w:hAnsi="宋体" w:cs="宋体"/>
          <w:color w:val="auto"/>
          <w:sz w:val="24"/>
          <w:highlight w:val="none"/>
        </w:rPr>
      </w:pPr>
    </w:p>
    <w:p>
      <w:pPr>
        <w:spacing w:line="360" w:lineRule="auto"/>
        <w:jc w:val="center"/>
        <w:rPr>
          <w:rFonts w:ascii="宋体" w:hAnsi="宋体" w:cs="宋体"/>
          <w:b/>
          <w:color w:val="auto"/>
          <w:sz w:val="32"/>
          <w:highlight w:val="none"/>
        </w:rPr>
      </w:pPr>
    </w:p>
    <w:p>
      <w:pPr>
        <w:spacing w:line="360" w:lineRule="auto"/>
        <w:jc w:val="center"/>
        <w:rPr>
          <w:rFonts w:ascii="宋体" w:hAnsi="宋体" w:cs="宋体"/>
          <w:b/>
          <w:color w:val="auto"/>
          <w:sz w:val="32"/>
          <w:highlight w:val="none"/>
        </w:rPr>
      </w:pPr>
    </w:p>
    <w:p>
      <w:pPr>
        <w:pStyle w:val="6"/>
        <w:rPr>
          <w:rFonts w:ascii="宋体" w:hAnsi="宋体" w:cs="宋体"/>
          <w:b w:val="0"/>
          <w:color w:val="auto"/>
          <w:sz w:val="32"/>
          <w:highlight w:val="none"/>
        </w:rPr>
      </w:pPr>
    </w:p>
    <w:p>
      <w:pPr>
        <w:rPr>
          <w:rFonts w:ascii="宋体" w:hAnsi="宋体" w:cs="宋体"/>
          <w:b/>
          <w:color w:val="auto"/>
          <w:sz w:val="32"/>
          <w:highlight w:val="none"/>
        </w:rPr>
      </w:pPr>
    </w:p>
    <w:p>
      <w:pPr>
        <w:rPr>
          <w:rFonts w:ascii="宋体" w:hAnsi="宋体" w:cs="宋体"/>
          <w:color w:val="auto"/>
          <w:highlight w:val="none"/>
        </w:rPr>
      </w:pPr>
    </w:p>
    <w:p>
      <w:pPr>
        <w:spacing w:line="360" w:lineRule="auto"/>
        <w:jc w:val="center"/>
        <w:rPr>
          <w:rFonts w:ascii="宋体" w:hAnsi="宋体" w:cs="宋体"/>
          <w:bCs/>
          <w:color w:val="auto"/>
          <w:sz w:val="24"/>
          <w:highlight w:val="none"/>
        </w:rPr>
      </w:pPr>
      <w:r>
        <w:rPr>
          <w:rFonts w:hint="eastAsia" w:ascii="宋体" w:hAnsi="宋体" w:cs="宋体"/>
          <w:b/>
          <w:color w:val="auto"/>
          <w:sz w:val="32"/>
          <w:highlight w:val="none"/>
        </w:rPr>
        <w:t>第二部分     “其他响应性投标文件”格式</w:t>
      </w:r>
    </w:p>
    <w:p>
      <w:pPr>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格式2-1</w:t>
      </w:r>
    </w:p>
    <w:p>
      <w:pPr>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封面：</w:t>
      </w:r>
    </w:p>
    <w:p>
      <w:pPr>
        <w:spacing w:line="360" w:lineRule="auto"/>
        <w:jc w:val="right"/>
        <w:rPr>
          <w:rFonts w:ascii="宋体" w:hAnsi="宋体" w:cs="宋体"/>
          <w:b/>
          <w:color w:val="auto"/>
          <w:sz w:val="36"/>
          <w:highlight w:val="none"/>
        </w:rPr>
      </w:pPr>
      <w:r>
        <w:rPr>
          <w:rFonts w:hint="eastAsia" w:ascii="宋体" w:hAnsi="宋体" w:cs="宋体"/>
          <w:b/>
          <w:color w:val="auto"/>
          <w:sz w:val="36"/>
          <w:highlight w:val="none"/>
        </w:rPr>
        <w:t>（正本/副本）</w:t>
      </w:r>
    </w:p>
    <w:p>
      <w:pPr>
        <w:spacing w:line="360" w:lineRule="auto"/>
        <w:rPr>
          <w:rFonts w:ascii="宋体" w:hAnsi="宋体" w:cs="宋体"/>
          <w:b/>
          <w:color w:val="auto"/>
          <w:sz w:val="32"/>
          <w:szCs w:val="32"/>
          <w:highlight w:val="none"/>
        </w:rPr>
      </w:pPr>
    </w:p>
    <w:p>
      <w:pPr>
        <w:spacing w:line="360" w:lineRule="auto"/>
        <w:rPr>
          <w:rFonts w:ascii="宋体" w:hAnsi="宋体" w:cs="宋体"/>
          <w:b/>
          <w:color w:val="auto"/>
          <w:sz w:val="32"/>
          <w:szCs w:val="32"/>
          <w:highlight w:val="none"/>
        </w:rPr>
      </w:pPr>
    </w:p>
    <w:p>
      <w:pPr>
        <w:spacing w:line="360" w:lineRule="auto"/>
        <w:jc w:val="center"/>
        <w:rPr>
          <w:rFonts w:ascii="宋体" w:hAnsi="宋体" w:cs="宋体"/>
          <w:b/>
          <w:color w:val="auto"/>
          <w:sz w:val="72"/>
          <w:highlight w:val="none"/>
        </w:rPr>
      </w:pPr>
      <w:r>
        <w:rPr>
          <w:rFonts w:hint="eastAsia" w:ascii="宋体" w:hAnsi="宋体" w:cs="宋体"/>
          <w:b/>
          <w:color w:val="auto"/>
          <w:sz w:val="40"/>
          <w:szCs w:val="48"/>
          <w:highlight w:val="none"/>
        </w:rPr>
        <w:t>XXX项目</w:t>
      </w:r>
    </w:p>
    <w:p>
      <w:pPr>
        <w:spacing w:line="360" w:lineRule="auto"/>
        <w:rPr>
          <w:rFonts w:ascii="宋体" w:hAnsi="宋体" w:cs="宋体"/>
          <w:b/>
          <w:color w:val="auto"/>
          <w:sz w:val="52"/>
          <w:szCs w:val="52"/>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52"/>
          <w:szCs w:val="52"/>
          <w:highlight w:val="none"/>
        </w:rPr>
        <w:t>其他响应性投标文件</w:t>
      </w:r>
    </w:p>
    <w:p>
      <w:pPr>
        <w:spacing w:line="360" w:lineRule="auto"/>
        <w:jc w:val="left"/>
        <w:rPr>
          <w:rFonts w:ascii="宋体" w:hAnsi="宋体" w:cs="宋体"/>
          <w:b/>
          <w:color w:val="auto"/>
          <w:sz w:val="32"/>
          <w:highlight w:val="none"/>
          <w:u w:val="single"/>
        </w:rPr>
      </w:pPr>
      <w:r>
        <w:rPr>
          <w:rFonts w:hint="eastAsia" w:ascii="宋体" w:hAnsi="宋体" w:cs="宋体"/>
          <w:b/>
          <w:color w:val="auto"/>
          <w:sz w:val="32"/>
          <w:highlight w:val="none"/>
        </w:rPr>
        <w:t>投 标 人名称： XXXX</w:t>
      </w:r>
    </w:p>
    <w:p>
      <w:pPr>
        <w:spacing w:line="360" w:lineRule="auto"/>
        <w:jc w:val="left"/>
        <w:rPr>
          <w:rFonts w:ascii="宋体" w:hAnsi="宋体" w:cs="宋体"/>
          <w:b/>
          <w:color w:val="auto"/>
          <w:sz w:val="32"/>
          <w:highlight w:val="none"/>
          <w:u w:val="single"/>
        </w:rPr>
      </w:pPr>
      <w:r>
        <w:rPr>
          <w:rFonts w:hint="eastAsia" w:ascii="宋体" w:hAnsi="宋体" w:cs="宋体"/>
          <w:b/>
          <w:color w:val="auto"/>
          <w:sz w:val="32"/>
          <w:highlight w:val="none"/>
        </w:rPr>
        <w:t>采购项目编号： XXXX</w:t>
      </w:r>
    </w:p>
    <w:p>
      <w:pPr>
        <w:spacing w:line="360" w:lineRule="auto"/>
        <w:rPr>
          <w:rFonts w:ascii="宋体" w:hAnsi="宋体" w:cs="宋体"/>
          <w:b/>
          <w:color w:val="auto"/>
          <w:sz w:val="32"/>
          <w:highlight w:val="none"/>
        </w:rPr>
      </w:pPr>
      <w:r>
        <w:rPr>
          <w:rFonts w:hint="eastAsia" w:ascii="宋体" w:hAnsi="宋体" w:cs="宋体"/>
          <w:b/>
          <w:color w:val="auto"/>
          <w:sz w:val="32"/>
          <w:highlight w:val="none"/>
          <w:lang w:val="en-US" w:eastAsia="zh-CN"/>
        </w:rPr>
        <w:t>包号：</w:t>
      </w:r>
      <w:r>
        <w:rPr>
          <w:rFonts w:hint="eastAsia" w:ascii="宋体" w:hAnsi="宋体" w:cs="宋体"/>
          <w:b/>
          <w:color w:val="auto"/>
          <w:sz w:val="32"/>
          <w:highlight w:val="none"/>
        </w:rPr>
        <w:t>XXXX</w:t>
      </w:r>
    </w:p>
    <w:p>
      <w:pPr>
        <w:spacing w:line="360" w:lineRule="auto"/>
        <w:ind w:firstLine="790" w:firstLineChars="246"/>
        <w:jc w:val="left"/>
        <w:rPr>
          <w:rFonts w:ascii="宋体" w:hAnsi="宋体" w:cs="宋体"/>
          <w:b/>
          <w:color w:val="auto"/>
          <w:sz w:val="32"/>
          <w:szCs w:val="32"/>
          <w:highlight w:val="none"/>
        </w:rPr>
      </w:pPr>
      <w:r>
        <w:rPr>
          <w:rFonts w:hint="eastAsia" w:ascii="宋体" w:hAnsi="宋体" w:cs="宋体"/>
          <w:b/>
          <w:color w:val="auto"/>
          <w:sz w:val="32"/>
          <w:highlight w:val="none"/>
        </w:rPr>
        <w:t>投标时间：2021年XX月XX日</w:t>
      </w:r>
      <w:r>
        <w:rPr>
          <w:rFonts w:hint="eastAsia" w:ascii="宋体" w:hAnsi="宋体" w:cs="宋体"/>
          <w:b/>
          <w:color w:val="auto"/>
          <w:sz w:val="32"/>
          <w:highlight w:val="none"/>
        </w:rPr>
        <w:br w:type="page"/>
      </w:r>
      <w:r>
        <w:rPr>
          <w:rFonts w:hint="eastAsia" w:ascii="宋体" w:hAnsi="宋体" w:cs="宋体"/>
          <w:b/>
          <w:color w:val="auto"/>
          <w:sz w:val="32"/>
          <w:szCs w:val="32"/>
          <w:highlight w:val="none"/>
        </w:rPr>
        <w:t>格式2-2</w:t>
      </w:r>
    </w:p>
    <w:p>
      <w:pPr>
        <w:widowControl/>
        <w:spacing w:line="360" w:lineRule="atLeast"/>
        <w:jc w:val="center"/>
        <w:outlineLvl w:val="1"/>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一、投 标 函</w:t>
      </w:r>
      <w:bookmarkEnd w:id="148"/>
      <w:bookmarkEnd w:id="149"/>
      <w:r>
        <w:rPr>
          <w:rFonts w:hint="eastAsia" w:ascii="宋体" w:hAnsi="宋体" w:cs="宋体"/>
          <w:b/>
          <w:color w:val="auto"/>
          <w:sz w:val="32"/>
          <w:szCs w:val="32"/>
          <w:highlight w:val="none"/>
          <w:lang w:eastAsia="zh-CN"/>
        </w:rPr>
        <w:t>（</w:t>
      </w:r>
      <w:r>
        <w:rPr>
          <w:rFonts w:hint="eastAsia" w:ascii="宋体" w:hAnsi="宋体" w:cs="宋体"/>
          <w:b/>
          <w:color w:val="auto"/>
          <w:sz w:val="32"/>
          <w:szCs w:val="32"/>
          <w:highlight w:val="none"/>
          <w:lang w:val="en-US" w:eastAsia="zh-CN"/>
        </w:rPr>
        <w:t>01包/02包</w:t>
      </w:r>
      <w:r>
        <w:rPr>
          <w:rFonts w:hint="eastAsia" w:ascii="宋体" w:hAnsi="宋体" w:cs="宋体"/>
          <w:b/>
          <w:color w:val="auto"/>
          <w:sz w:val="32"/>
          <w:szCs w:val="32"/>
          <w:highlight w:val="none"/>
          <w:lang w:eastAsia="zh-CN"/>
        </w:rPr>
        <w:t>）</w:t>
      </w:r>
    </w:p>
    <w:p>
      <w:pPr>
        <w:widowControl/>
        <w:spacing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XXXX（采购代理机构名称）：</w:t>
      </w: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我方全面研究了“</w:t>
      </w:r>
      <w:r>
        <w:rPr>
          <w:rFonts w:hint="eastAsia" w:ascii="宋体" w:hAnsi="宋体" w:cs="宋体"/>
          <w:color w:val="auto"/>
          <w:sz w:val="24"/>
          <w:highlight w:val="none"/>
          <w:u w:val="single"/>
        </w:rPr>
        <w:t>XXXXXXXX</w:t>
      </w:r>
      <w:r>
        <w:rPr>
          <w:rFonts w:hint="eastAsia" w:ascii="宋体" w:hAnsi="宋体" w:cs="宋体"/>
          <w:color w:val="auto"/>
          <w:sz w:val="24"/>
          <w:highlight w:val="none"/>
        </w:rPr>
        <w:t>”项目（招标编号：</w:t>
      </w:r>
      <w:r>
        <w:rPr>
          <w:rFonts w:hint="eastAsia" w:ascii="宋体" w:hAnsi="宋体" w:cs="宋体"/>
          <w:color w:val="auto"/>
          <w:sz w:val="24"/>
          <w:highlight w:val="none"/>
          <w:u w:val="single"/>
        </w:rPr>
        <w:t>XXXX</w:t>
      </w:r>
      <w:r>
        <w:rPr>
          <w:rFonts w:hint="eastAsia" w:ascii="宋体" w:hAnsi="宋体" w:cs="宋体"/>
          <w:color w:val="auto"/>
          <w:sz w:val="24"/>
          <w:highlight w:val="none"/>
        </w:rPr>
        <w:t>）招标文件，决定参加贵单位组织的本项目投标。我方授权</w:t>
      </w:r>
      <w:r>
        <w:rPr>
          <w:rFonts w:hint="eastAsia" w:ascii="宋体" w:hAnsi="宋体" w:cs="宋体"/>
          <w:color w:val="auto"/>
          <w:sz w:val="24"/>
          <w:highlight w:val="none"/>
          <w:u w:val="single"/>
        </w:rPr>
        <w:t>XXXX</w:t>
      </w:r>
      <w:r>
        <w:rPr>
          <w:rFonts w:hint="eastAsia" w:ascii="宋体" w:hAnsi="宋体" w:cs="宋体"/>
          <w:color w:val="auto"/>
          <w:sz w:val="24"/>
          <w:highlight w:val="none"/>
        </w:rPr>
        <w:t>（姓名、职务）代表我方</w:t>
      </w:r>
      <w:r>
        <w:rPr>
          <w:rFonts w:hint="eastAsia" w:ascii="宋体" w:hAnsi="宋体" w:cs="宋体"/>
          <w:color w:val="auto"/>
          <w:sz w:val="24"/>
          <w:highlight w:val="none"/>
          <w:u w:val="single"/>
        </w:rPr>
        <w:t>XXXXXXXX</w:t>
      </w:r>
      <w:r>
        <w:rPr>
          <w:rFonts w:hint="eastAsia" w:ascii="宋体" w:hAnsi="宋体" w:cs="宋体"/>
          <w:color w:val="auto"/>
          <w:sz w:val="24"/>
          <w:highlight w:val="none"/>
        </w:rPr>
        <w:t>（投标单位的名称）全权处理本项目投标的有关事宜。</w:t>
      </w: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一、我方自愿按照招标文件规定的各项要求向采购人提供所需货物和服务，投标报价以开标一览表为准。</w:t>
      </w: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二、一旦我方中标，我方将严格履行政府采购合同规定的责任和义务。</w:t>
      </w: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三、我方同意本招标文件依据《四川省政府采购当事人诚信管理办法》（川财采【2015】33号文件）对我方可能存在的失信行为进行的惩戒。</w:t>
      </w: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四、我方完全接受和满足本项目招标文件中规定的实质性要求，如对招标文件有异议，已依法进行维权救济，不存在对招标文件有异议的同时又参加投标以求侥幸中标或者为实现其他非法目的的行为。</w:t>
      </w: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五、我方为本项目提交的投标文件正本</w:t>
      </w:r>
      <w:r>
        <w:rPr>
          <w:rFonts w:hint="eastAsia" w:ascii="宋体" w:hAnsi="宋体" w:cs="宋体"/>
          <w:color w:val="auto"/>
          <w:sz w:val="24"/>
          <w:highlight w:val="none"/>
          <w:u w:val="single"/>
        </w:rPr>
        <w:t>壹</w:t>
      </w:r>
      <w:r>
        <w:rPr>
          <w:rFonts w:hint="eastAsia" w:ascii="宋体" w:hAnsi="宋体" w:cs="宋体"/>
          <w:color w:val="auto"/>
          <w:sz w:val="24"/>
          <w:highlight w:val="none"/>
        </w:rPr>
        <w:t>份，副本</w:t>
      </w:r>
      <w:r>
        <w:rPr>
          <w:rFonts w:hint="eastAsia" w:ascii="宋体" w:hAnsi="宋体" w:cs="宋体"/>
          <w:color w:val="auto"/>
          <w:sz w:val="24"/>
          <w:highlight w:val="none"/>
          <w:u w:val="single"/>
        </w:rPr>
        <w:t>贰</w:t>
      </w:r>
      <w:r>
        <w:rPr>
          <w:rFonts w:hint="eastAsia" w:ascii="宋体" w:hAnsi="宋体" w:cs="宋体"/>
          <w:color w:val="auto"/>
          <w:sz w:val="24"/>
          <w:highlight w:val="none"/>
        </w:rPr>
        <w:t>份，用于开标唱标的“开标一览表”一式</w:t>
      </w:r>
      <w:r>
        <w:rPr>
          <w:rFonts w:hint="eastAsia" w:ascii="宋体" w:hAnsi="宋体" w:cs="宋体"/>
          <w:color w:val="auto"/>
          <w:sz w:val="24"/>
          <w:highlight w:val="none"/>
          <w:u w:val="single"/>
        </w:rPr>
        <w:t>壹</w:t>
      </w:r>
      <w:r>
        <w:rPr>
          <w:rFonts w:hint="eastAsia" w:ascii="宋体" w:hAnsi="宋体" w:cs="宋体"/>
          <w:color w:val="auto"/>
          <w:sz w:val="24"/>
          <w:highlight w:val="none"/>
        </w:rPr>
        <w:t>份，电子文档</w:t>
      </w:r>
      <w:r>
        <w:rPr>
          <w:rFonts w:hint="eastAsia" w:ascii="宋体" w:hAnsi="宋体" w:cs="宋体"/>
          <w:color w:val="auto"/>
          <w:sz w:val="24"/>
          <w:highlight w:val="none"/>
          <w:u w:val="single"/>
        </w:rPr>
        <w:t>壹</w:t>
      </w:r>
      <w:r>
        <w:rPr>
          <w:rFonts w:hint="eastAsia" w:ascii="宋体" w:hAnsi="宋体" w:cs="宋体"/>
          <w:color w:val="auto"/>
          <w:sz w:val="24"/>
          <w:highlight w:val="none"/>
        </w:rPr>
        <w:t>份。</w:t>
      </w: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六、我方同意本项目投标有效期为投标截止之日起</w:t>
      </w:r>
      <w:r>
        <w:rPr>
          <w:rFonts w:hint="eastAsia" w:ascii="宋体" w:hAnsi="宋体" w:cs="宋体"/>
          <w:color w:val="auto"/>
          <w:sz w:val="24"/>
          <w:highlight w:val="none"/>
          <w:u w:val="single"/>
        </w:rPr>
        <w:t>90</w:t>
      </w:r>
      <w:r>
        <w:rPr>
          <w:rFonts w:hint="eastAsia" w:ascii="宋体" w:hAnsi="宋体" w:cs="宋体"/>
          <w:color w:val="auto"/>
          <w:sz w:val="24"/>
          <w:highlight w:val="none"/>
        </w:rPr>
        <w:t>天。</w:t>
      </w: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七、我方愿意提供贵单位可能另外要求的，与投标有关的文件资料，并保证我方已提供和将要提供的文件资料是真实、准确的。</w:t>
      </w: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八、我方完全理解采购人不一定将合同授予最低报价的投标人的行为。</w:t>
      </w: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投标人名称：XXXX（单位公章）。</w:t>
      </w: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法定代表人/单位负责人或授权代表（签字或加盖个人名章）：XXXX。</w:t>
      </w: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通讯地址：XXXX。</w:t>
      </w: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邮政编码：XXXX。</w:t>
      </w: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联系电话：XXXX。</w:t>
      </w: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日    期：XXXX年XXXX月XXXX日。</w:t>
      </w:r>
    </w:p>
    <w:p>
      <w:pPr>
        <w:widowControl/>
        <w:spacing w:after="0" w:line="240" w:lineRule="auto"/>
        <w:ind w:firstLine="630" w:firstLineChars="196"/>
        <w:jc w:val="left"/>
        <w:outlineLvl w:val="1"/>
        <w:rPr>
          <w:rFonts w:hint="eastAsia" w:ascii="宋体" w:hAnsi="宋体" w:eastAsia="宋体" w:cs="宋体"/>
          <w:b/>
          <w:color w:val="auto"/>
          <w:sz w:val="32"/>
          <w:szCs w:val="32"/>
          <w:highlight w:val="none"/>
        </w:rPr>
      </w:pPr>
      <w:bookmarkStart w:id="154" w:name="_Toc308164824"/>
      <w:r>
        <w:rPr>
          <w:rFonts w:hint="eastAsia" w:ascii="宋体" w:hAnsi="宋体" w:cs="宋体"/>
          <w:b/>
          <w:color w:val="auto"/>
          <w:sz w:val="32"/>
          <w:szCs w:val="32"/>
          <w:highlight w:val="none"/>
        </w:rPr>
        <w:br w:type="page"/>
      </w:r>
      <w:r>
        <w:rPr>
          <w:rFonts w:hint="eastAsia" w:ascii="宋体" w:hAnsi="宋体" w:eastAsia="宋体" w:cs="宋体"/>
          <w:b/>
          <w:color w:val="auto"/>
          <w:sz w:val="32"/>
          <w:szCs w:val="32"/>
          <w:highlight w:val="none"/>
        </w:rPr>
        <w:t>格式2-3</w:t>
      </w:r>
    </w:p>
    <w:bookmarkEnd w:id="147"/>
    <w:bookmarkEnd w:id="154"/>
    <w:p>
      <w:pPr>
        <w:spacing w:line="400" w:lineRule="exact"/>
        <w:ind w:firstLine="643" w:firstLineChars="200"/>
        <w:jc w:val="center"/>
        <w:rPr>
          <w:rFonts w:hint="eastAsia" w:ascii="宋体" w:hAnsi="宋体" w:eastAsia="宋体" w:cs="宋体"/>
          <w:b/>
          <w:color w:val="auto"/>
          <w:sz w:val="32"/>
          <w:szCs w:val="32"/>
          <w:highlight w:val="none"/>
        </w:rPr>
      </w:pPr>
      <w:bookmarkStart w:id="155" w:name="_Toc217446085"/>
      <w:r>
        <w:rPr>
          <w:rFonts w:hint="eastAsia" w:ascii="宋体" w:hAnsi="宋体" w:eastAsia="宋体" w:cs="宋体"/>
          <w:b/>
          <w:color w:val="auto"/>
          <w:sz w:val="32"/>
          <w:szCs w:val="32"/>
          <w:highlight w:val="none"/>
        </w:rPr>
        <w:t>二、开标一览表</w:t>
      </w:r>
      <w:bookmarkEnd w:id="155"/>
    </w:p>
    <w:p>
      <w:pPr>
        <w:pStyle w:val="13"/>
        <w:rPr>
          <w:rFonts w:hint="eastAsia" w:eastAsia="宋体"/>
          <w:highlight w:val="none"/>
          <w:lang w:val="en-US" w:eastAsia="zh-CN"/>
        </w:rPr>
      </w:pPr>
      <w:r>
        <w:rPr>
          <w:rFonts w:hint="eastAsia"/>
          <w:highlight w:val="none"/>
          <w:lang w:val="en-US" w:eastAsia="zh-CN"/>
        </w:rPr>
        <w:t>项目名称：                                                          包号：</w:t>
      </w:r>
    </w:p>
    <w:tbl>
      <w:tblPr>
        <w:tblStyle w:val="33"/>
        <w:tblW w:w="103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5"/>
        <w:gridCol w:w="1144"/>
        <w:gridCol w:w="1042"/>
        <w:gridCol w:w="1116"/>
        <w:gridCol w:w="972"/>
        <w:gridCol w:w="1032"/>
        <w:gridCol w:w="1056"/>
        <w:gridCol w:w="1135"/>
        <w:gridCol w:w="1135"/>
        <w:gridCol w:w="11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jc w:val="center"/>
        </w:trPr>
        <w:tc>
          <w:tcPr>
            <w:tcW w:w="585" w:type="dxa"/>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1144" w:type="dxa"/>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货物名称</w:t>
            </w:r>
          </w:p>
        </w:tc>
        <w:tc>
          <w:tcPr>
            <w:tcW w:w="1042" w:type="dxa"/>
            <w:tcBorders>
              <w:right w:val="single" w:color="auto" w:sz="4" w:space="0"/>
            </w:tcBorders>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规格型号</w:t>
            </w:r>
          </w:p>
        </w:tc>
        <w:tc>
          <w:tcPr>
            <w:tcW w:w="1116" w:type="dxa"/>
            <w:tcBorders>
              <w:left w:val="single" w:color="auto" w:sz="4" w:space="0"/>
            </w:tcBorders>
            <w:noWrap w:val="0"/>
            <w:vAlign w:val="center"/>
          </w:tcPr>
          <w:p>
            <w:pPr>
              <w:jc w:val="center"/>
              <w:rPr>
                <w:rFonts w:hint="default" w:ascii="宋体" w:hAnsi="宋体" w:eastAsia="宋体" w:cs="宋体"/>
                <w:sz w:val="24"/>
                <w:highlight w:val="none"/>
                <w:lang w:val="en-US" w:eastAsia="zh-CN"/>
              </w:rPr>
            </w:pPr>
            <w:r>
              <w:rPr>
                <w:rFonts w:hint="eastAsia" w:ascii="宋体" w:hAnsi="宋体" w:eastAsia="宋体" w:cs="宋体"/>
                <w:sz w:val="24"/>
                <w:highlight w:val="none"/>
              </w:rPr>
              <w:t>制造商家</w:t>
            </w:r>
          </w:p>
        </w:tc>
        <w:tc>
          <w:tcPr>
            <w:tcW w:w="972" w:type="dxa"/>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数量</w:t>
            </w:r>
          </w:p>
          <w:p>
            <w:pPr>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台/套</w:t>
            </w:r>
            <w:r>
              <w:rPr>
                <w:rFonts w:hint="eastAsia" w:ascii="宋体" w:hAnsi="宋体" w:eastAsia="宋体" w:cs="宋体"/>
                <w:sz w:val="24"/>
                <w:highlight w:val="none"/>
                <w:lang w:eastAsia="zh-CN"/>
              </w:rPr>
              <w:t>）</w:t>
            </w:r>
          </w:p>
        </w:tc>
        <w:tc>
          <w:tcPr>
            <w:tcW w:w="1032" w:type="dxa"/>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投标单价</w:t>
            </w:r>
          </w:p>
          <w:p>
            <w:pPr>
              <w:jc w:val="center"/>
              <w:rPr>
                <w:rFonts w:hint="eastAsia" w:ascii="宋体" w:hAnsi="宋体" w:eastAsia="宋体" w:cs="宋体"/>
                <w:sz w:val="24"/>
                <w:highlight w:val="none"/>
              </w:rPr>
            </w:pPr>
            <w:r>
              <w:rPr>
                <w:rFonts w:hint="eastAsia" w:ascii="宋体" w:hAnsi="宋体" w:eastAsia="宋体" w:cs="宋体"/>
                <w:sz w:val="24"/>
                <w:highlight w:val="none"/>
              </w:rPr>
              <w:t>（元）</w:t>
            </w:r>
          </w:p>
        </w:tc>
        <w:tc>
          <w:tcPr>
            <w:tcW w:w="1056" w:type="dxa"/>
            <w:noWrap w:val="0"/>
            <w:vAlign w:val="center"/>
          </w:tcPr>
          <w:p>
            <w:pPr>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合计</w:t>
            </w:r>
          </w:p>
          <w:p>
            <w:pPr>
              <w:jc w:val="center"/>
              <w:rPr>
                <w:rFonts w:hint="eastAsia" w:ascii="宋体" w:hAnsi="宋体" w:eastAsia="宋体" w:cs="宋体"/>
                <w:sz w:val="24"/>
                <w:highlight w:val="none"/>
              </w:rPr>
            </w:pPr>
            <w:r>
              <w:rPr>
                <w:rFonts w:hint="eastAsia" w:ascii="宋体" w:hAnsi="宋体" w:eastAsia="宋体" w:cs="宋体"/>
                <w:sz w:val="24"/>
                <w:highlight w:val="none"/>
              </w:rPr>
              <w:t>（元）</w:t>
            </w:r>
          </w:p>
        </w:tc>
        <w:tc>
          <w:tcPr>
            <w:tcW w:w="1135" w:type="dxa"/>
            <w:tcBorders>
              <w:right w:val="single" w:color="auto" w:sz="4" w:space="0"/>
            </w:tcBorders>
            <w:noWrap w:val="0"/>
            <w:vAlign w:val="center"/>
          </w:tcPr>
          <w:p>
            <w:pPr>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交货安装时间</w:t>
            </w:r>
          </w:p>
        </w:tc>
        <w:tc>
          <w:tcPr>
            <w:tcW w:w="1135" w:type="dxa"/>
            <w:tcBorders>
              <w:left w:val="single" w:color="auto" w:sz="4" w:space="0"/>
            </w:tcBorders>
            <w:noWrap w:val="0"/>
            <w:vAlign w:val="center"/>
          </w:tcPr>
          <w:p>
            <w:pPr>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交货地点</w:t>
            </w:r>
          </w:p>
        </w:tc>
        <w:tc>
          <w:tcPr>
            <w:tcW w:w="1136" w:type="dxa"/>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备注</w:t>
            </w:r>
          </w:p>
          <w:p>
            <w:pPr>
              <w:jc w:val="center"/>
              <w:rPr>
                <w:rFonts w:hint="eastAsia" w:ascii="宋体" w:hAnsi="宋体" w:eastAsia="宋体" w:cs="宋体"/>
                <w:sz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jc w:val="center"/>
        </w:trPr>
        <w:tc>
          <w:tcPr>
            <w:tcW w:w="585" w:type="dxa"/>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144" w:type="dxa"/>
            <w:noWrap w:val="0"/>
            <w:vAlign w:val="center"/>
          </w:tcPr>
          <w:p>
            <w:pPr>
              <w:jc w:val="center"/>
              <w:rPr>
                <w:rFonts w:hint="eastAsia" w:ascii="宋体" w:hAnsi="宋体" w:eastAsia="宋体" w:cs="宋体"/>
                <w:sz w:val="24"/>
                <w:highlight w:val="none"/>
              </w:rPr>
            </w:pPr>
          </w:p>
        </w:tc>
        <w:tc>
          <w:tcPr>
            <w:tcW w:w="1042" w:type="dxa"/>
            <w:tcBorders>
              <w:right w:val="single" w:color="auto" w:sz="4" w:space="0"/>
            </w:tcBorders>
            <w:noWrap w:val="0"/>
            <w:vAlign w:val="center"/>
          </w:tcPr>
          <w:p>
            <w:pPr>
              <w:jc w:val="center"/>
              <w:rPr>
                <w:rFonts w:hint="eastAsia" w:ascii="宋体" w:hAnsi="宋体" w:eastAsia="宋体" w:cs="宋体"/>
                <w:sz w:val="24"/>
                <w:highlight w:val="none"/>
              </w:rPr>
            </w:pPr>
          </w:p>
        </w:tc>
        <w:tc>
          <w:tcPr>
            <w:tcW w:w="1116" w:type="dxa"/>
            <w:tcBorders>
              <w:left w:val="single" w:color="auto" w:sz="4" w:space="0"/>
            </w:tcBorders>
            <w:noWrap w:val="0"/>
            <w:vAlign w:val="center"/>
          </w:tcPr>
          <w:p>
            <w:pPr>
              <w:jc w:val="center"/>
              <w:rPr>
                <w:rFonts w:hint="eastAsia" w:ascii="宋体" w:hAnsi="宋体" w:eastAsia="宋体" w:cs="宋体"/>
                <w:sz w:val="24"/>
                <w:highlight w:val="none"/>
              </w:rPr>
            </w:pPr>
          </w:p>
        </w:tc>
        <w:tc>
          <w:tcPr>
            <w:tcW w:w="972" w:type="dxa"/>
            <w:noWrap w:val="0"/>
            <w:vAlign w:val="center"/>
          </w:tcPr>
          <w:p>
            <w:pPr>
              <w:jc w:val="center"/>
              <w:rPr>
                <w:rFonts w:hint="eastAsia" w:ascii="宋体" w:hAnsi="宋体" w:eastAsia="宋体" w:cs="宋体"/>
                <w:sz w:val="24"/>
                <w:highlight w:val="none"/>
              </w:rPr>
            </w:pPr>
          </w:p>
        </w:tc>
        <w:tc>
          <w:tcPr>
            <w:tcW w:w="1032" w:type="dxa"/>
            <w:noWrap w:val="0"/>
            <w:vAlign w:val="center"/>
          </w:tcPr>
          <w:p>
            <w:pPr>
              <w:jc w:val="center"/>
              <w:rPr>
                <w:rFonts w:hint="eastAsia" w:ascii="宋体" w:hAnsi="宋体" w:eastAsia="宋体" w:cs="宋体"/>
                <w:sz w:val="24"/>
                <w:highlight w:val="none"/>
              </w:rPr>
            </w:pPr>
          </w:p>
        </w:tc>
        <w:tc>
          <w:tcPr>
            <w:tcW w:w="1056" w:type="dxa"/>
            <w:noWrap w:val="0"/>
            <w:vAlign w:val="center"/>
          </w:tcPr>
          <w:p>
            <w:pPr>
              <w:jc w:val="center"/>
              <w:rPr>
                <w:rFonts w:hint="eastAsia" w:ascii="宋体" w:hAnsi="宋体" w:eastAsia="宋体" w:cs="宋体"/>
                <w:sz w:val="24"/>
                <w:highlight w:val="none"/>
              </w:rPr>
            </w:pPr>
          </w:p>
        </w:tc>
        <w:tc>
          <w:tcPr>
            <w:tcW w:w="1135" w:type="dxa"/>
            <w:tcBorders>
              <w:right w:val="single" w:color="auto" w:sz="4" w:space="0"/>
            </w:tcBorders>
            <w:noWrap w:val="0"/>
            <w:vAlign w:val="center"/>
          </w:tcPr>
          <w:p>
            <w:pPr>
              <w:jc w:val="center"/>
              <w:rPr>
                <w:rFonts w:hint="eastAsia" w:ascii="宋体" w:hAnsi="宋体" w:eastAsia="宋体" w:cs="宋体"/>
                <w:sz w:val="24"/>
                <w:highlight w:val="none"/>
              </w:rPr>
            </w:pPr>
          </w:p>
        </w:tc>
        <w:tc>
          <w:tcPr>
            <w:tcW w:w="1135" w:type="dxa"/>
            <w:tcBorders>
              <w:left w:val="single" w:color="auto" w:sz="4" w:space="0"/>
            </w:tcBorders>
            <w:noWrap w:val="0"/>
            <w:vAlign w:val="center"/>
          </w:tcPr>
          <w:p>
            <w:pPr>
              <w:jc w:val="center"/>
              <w:rPr>
                <w:rFonts w:hint="eastAsia" w:ascii="宋体" w:hAnsi="宋体" w:eastAsia="宋体" w:cs="宋体"/>
                <w:sz w:val="24"/>
                <w:highlight w:val="none"/>
              </w:rPr>
            </w:pPr>
          </w:p>
        </w:tc>
        <w:tc>
          <w:tcPr>
            <w:tcW w:w="1136" w:type="dxa"/>
            <w:noWrap w:val="0"/>
            <w:vAlign w:val="center"/>
          </w:tcPr>
          <w:p>
            <w:pPr>
              <w:jc w:val="center"/>
              <w:rPr>
                <w:rFonts w:hint="eastAsia" w:ascii="宋体" w:hAnsi="宋体" w:eastAsia="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jc w:val="center"/>
        </w:trPr>
        <w:tc>
          <w:tcPr>
            <w:tcW w:w="585" w:type="dxa"/>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144" w:type="dxa"/>
            <w:noWrap w:val="0"/>
            <w:vAlign w:val="center"/>
          </w:tcPr>
          <w:p>
            <w:pPr>
              <w:jc w:val="center"/>
              <w:rPr>
                <w:rFonts w:hint="eastAsia" w:ascii="宋体" w:hAnsi="宋体" w:eastAsia="宋体" w:cs="宋体"/>
                <w:sz w:val="24"/>
                <w:highlight w:val="none"/>
              </w:rPr>
            </w:pPr>
          </w:p>
        </w:tc>
        <w:tc>
          <w:tcPr>
            <w:tcW w:w="1042" w:type="dxa"/>
            <w:tcBorders>
              <w:right w:val="single" w:color="auto" w:sz="4" w:space="0"/>
            </w:tcBorders>
            <w:noWrap w:val="0"/>
            <w:vAlign w:val="center"/>
          </w:tcPr>
          <w:p>
            <w:pPr>
              <w:jc w:val="center"/>
              <w:rPr>
                <w:rFonts w:hint="eastAsia" w:ascii="宋体" w:hAnsi="宋体" w:eastAsia="宋体" w:cs="宋体"/>
                <w:sz w:val="24"/>
                <w:highlight w:val="none"/>
              </w:rPr>
            </w:pPr>
          </w:p>
        </w:tc>
        <w:tc>
          <w:tcPr>
            <w:tcW w:w="1116" w:type="dxa"/>
            <w:tcBorders>
              <w:left w:val="single" w:color="auto" w:sz="4" w:space="0"/>
            </w:tcBorders>
            <w:noWrap w:val="0"/>
            <w:vAlign w:val="center"/>
          </w:tcPr>
          <w:p>
            <w:pPr>
              <w:jc w:val="center"/>
              <w:rPr>
                <w:rFonts w:hint="eastAsia" w:ascii="宋体" w:hAnsi="宋体" w:eastAsia="宋体" w:cs="宋体"/>
                <w:sz w:val="24"/>
                <w:highlight w:val="none"/>
              </w:rPr>
            </w:pPr>
          </w:p>
        </w:tc>
        <w:tc>
          <w:tcPr>
            <w:tcW w:w="972" w:type="dxa"/>
            <w:noWrap w:val="0"/>
            <w:vAlign w:val="center"/>
          </w:tcPr>
          <w:p>
            <w:pPr>
              <w:jc w:val="center"/>
              <w:rPr>
                <w:rFonts w:hint="eastAsia" w:ascii="宋体" w:hAnsi="宋体" w:eastAsia="宋体" w:cs="宋体"/>
                <w:sz w:val="24"/>
                <w:highlight w:val="none"/>
              </w:rPr>
            </w:pPr>
          </w:p>
        </w:tc>
        <w:tc>
          <w:tcPr>
            <w:tcW w:w="1032" w:type="dxa"/>
            <w:noWrap w:val="0"/>
            <w:vAlign w:val="center"/>
          </w:tcPr>
          <w:p>
            <w:pPr>
              <w:jc w:val="center"/>
              <w:rPr>
                <w:rFonts w:hint="eastAsia" w:ascii="宋体" w:hAnsi="宋体" w:eastAsia="宋体" w:cs="宋体"/>
                <w:sz w:val="24"/>
                <w:highlight w:val="none"/>
              </w:rPr>
            </w:pPr>
          </w:p>
        </w:tc>
        <w:tc>
          <w:tcPr>
            <w:tcW w:w="1056" w:type="dxa"/>
            <w:noWrap w:val="0"/>
            <w:vAlign w:val="center"/>
          </w:tcPr>
          <w:p>
            <w:pPr>
              <w:jc w:val="center"/>
              <w:rPr>
                <w:rFonts w:hint="eastAsia" w:ascii="宋体" w:hAnsi="宋体" w:eastAsia="宋体" w:cs="宋体"/>
                <w:sz w:val="24"/>
                <w:highlight w:val="none"/>
              </w:rPr>
            </w:pPr>
          </w:p>
        </w:tc>
        <w:tc>
          <w:tcPr>
            <w:tcW w:w="1135" w:type="dxa"/>
            <w:tcBorders>
              <w:right w:val="single" w:color="auto" w:sz="4" w:space="0"/>
            </w:tcBorders>
            <w:noWrap w:val="0"/>
            <w:vAlign w:val="center"/>
          </w:tcPr>
          <w:p>
            <w:pPr>
              <w:jc w:val="center"/>
              <w:rPr>
                <w:rFonts w:hint="eastAsia" w:ascii="宋体" w:hAnsi="宋体" w:eastAsia="宋体" w:cs="宋体"/>
                <w:sz w:val="24"/>
                <w:highlight w:val="none"/>
              </w:rPr>
            </w:pPr>
          </w:p>
        </w:tc>
        <w:tc>
          <w:tcPr>
            <w:tcW w:w="1135" w:type="dxa"/>
            <w:tcBorders>
              <w:left w:val="single" w:color="auto" w:sz="4" w:space="0"/>
            </w:tcBorders>
            <w:noWrap w:val="0"/>
            <w:vAlign w:val="center"/>
          </w:tcPr>
          <w:p>
            <w:pPr>
              <w:jc w:val="center"/>
              <w:rPr>
                <w:rFonts w:hint="eastAsia" w:ascii="宋体" w:hAnsi="宋体" w:eastAsia="宋体" w:cs="宋体"/>
                <w:sz w:val="24"/>
                <w:highlight w:val="none"/>
              </w:rPr>
            </w:pPr>
          </w:p>
        </w:tc>
        <w:tc>
          <w:tcPr>
            <w:tcW w:w="1136" w:type="dxa"/>
            <w:noWrap w:val="0"/>
            <w:vAlign w:val="center"/>
          </w:tcPr>
          <w:p>
            <w:pPr>
              <w:jc w:val="center"/>
              <w:rPr>
                <w:rFonts w:hint="eastAsia" w:ascii="宋体" w:hAnsi="宋体" w:eastAsia="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jc w:val="center"/>
        </w:trPr>
        <w:tc>
          <w:tcPr>
            <w:tcW w:w="585" w:type="dxa"/>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1144" w:type="dxa"/>
            <w:noWrap w:val="0"/>
            <w:vAlign w:val="center"/>
          </w:tcPr>
          <w:p>
            <w:pPr>
              <w:jc w:val="center"/>
              <w:rPr>
                <w:rFonts w:hint="eastAsia" w:ascii="宋体" w:hAnsi="宋体" w:eastAsia="宋体" w:cs="宋体"/>
                <w:sz w:val="24"/>
                <w:highlight w:val="none"/>
              </w:rPr>
            </w:pPr>
          </w:p>
        </w:tc>
        <w:tc>
          <w:tcPr>
            <w:tcW w:w="1042" w:type="dxa"/>
            <w:tcBorders>
              <w:right w:val="single" w:color="auto" w:sz="4" w:space="0"/>
            </w:tcBorders>
            <w:noWrap w:val="0"/>
            <w:vAlign w:val="center"/>
          </w:tcPr>
          <w:p>
            <w:pPr>
              <w:jc w:val="center"/>
              <w:rPr>
                <w:rFonts w:hint="eastAsia" w:ascii="宋体" w:hAnsi="宋体" w:eastAsia="宋体" w:cs="宋体"/>
                <w:sz w:val="24"/>
                <w:highlight w:val="none"/>
              </w:rPr>
            </w:pPr>
          </w:p>
        </w:tc>
        <w:tc>
          <w:tcPr>
            <w:tcW w:w="1116" w:type="dxa"/>
            <w:tcBorders>
              <w:left w:val="single" w:color="auto" w:sz="4" w:space="0"/>
            </w:tcBorders>
            <w:noWrap w:val="0"/>
            <w:vAlign w:val="center"/>
          </w:tcPr>
          <w:p>
            <w:pPr>
              <w:jc w:val="center"/>
              <w:rPr>
                <w:rFonts w:hint="eastAsia" w:ascii="宋体" w:hAnsi="宋体" w:eastAsia="宋体" w:cs="宋体"/>
                <w:sz w:val="24"/>
                <w:highlight w:val="none"/>
              </w:rPr>
            </w:pPr>
          </w:p>
        </w:tc>
        <w:tc>
          <w:tcPr>
            <w:tcW w:w="972" w:type="dxa"/>
            <w:noWrap w:val="0"/>
            <w:vAlign w:val="center"/>
          </w:tcPr>
          <w:p>
            <w:pPr>
              <w:jc w:val="center"/>
              <w:rPr>
                <w:rFonts w:hint="eastAsia" w:ascii="宋体" w:hAnsi="宋体" w:eastAsia="宋体" w:cs="宋体"/>
                <w:sz w:val="24"/>
                <w:highlight w:val="none"/>
              </w:rPr>
            </w:pPr>
          </w:p>
        </w:tc>
        <w:tc>
          <w:tcPr>
            <w:tcW w:w="1032" w:type="dxa"/>
            <w:noWrap w:val="0"/>
            <w:vAlign w:val="center"/>
          </w:tcPr>
          <w:p>
            <w:pPr>
              <w:jc w:val="center"/>
              <w:rPr>
                <w:rFonts w:hint="eastAsia" w:ascii="宋体" w:hAnsi="宋体" w:eastAsia="宋体" w:cs="宋体"/>
                <w:sz w:val="24"/>
                <w:highlight w:val="none"/>
              </w:rPr>
            </w:pPr>
          </w:p>
        </w:tc>
        <w:tc>
          <w:tcPr>
            <w:tcW w:w="1056" w:type="dxa"/>
            <w:noWrap w:val="0"/>
            <w:vAlign w:val="center"/>
          </w:tcPr>
          <w:p>
            <w:pPr>
              <w:jc w:val="center"/>
              <w:rPr>
                <w:rFonts w:hint="eastAsia" w:ascii="宋体" w:hAnsi="宋体" w:eastAsia="宋体" w:cs="宋体"/>
                <w:sz w:val="24"/>
                <w:highlight w:val="none"/>
              </w:rPr>
            </w:pPr>
          </w:p>
        </w:tc>
        <w:tc>
          <w:tcPr>
            <w:tcW w:w="1135" w:type="dxa"/>
            <w:tcBorders>
              <w:right w:val="single" w:color="auto" w:sz="4" w:space="0"/>
            </w:tcBorders>
            <w:noWrap w:val="0"/>
            <w:vAlign w:val="center"/>
          </w:tcPr>
          <w:p>
            <w:pPr>
              <w:jc w:val="center"/>
              <w:rPr>
                <w:rFonts w:hint="eastAsia" w:ascii="宋体" w:hAnsi="宋体" w:eastAsia="宋体" w:cs="宋体"/>
                <w:sz w:val="24"/>
                <w:highlight w:val="none"/>
              </w:rPr>
            </w:pPr>
          </w:p>
        </w:tc>
        <w:tc>
          <w:tcPr>
            <w:tcW w:w="1135" w:type="dxa"/>
            <w:tcBorders>
              <w:left w:val="single" w:color="auto" w:sz="4" w:space="0"/>
            </w:tcBorders>
            <w:noWrap w:val="0"/>
            <w:vAlign w:val="center"/>
          </w:tcPr>
          <w:p>
            <w:pPr>
              <w:jc w:val="center"/>
              <w:rPr>
                <w:rFonts w:hint="eastAsia" w:ascii="宋体" w:hAnsi="宋体" w:eastAsia="宋体" w:cs="宋体"/>
                <w:sz w:val="24"/>
                <w:highlight w:val="none"/>
              </w:rPr>
            </w:pPr>
          </w:p>
        </w:tc>
        <w:tc>
          <w:tcPr>
            <w:tcW w:w="1136" w:type="dxa"/>
            <w:noWrap w:val="0"/>
            <w:vAlign w:val="center"/>
          </w:tcPr>
          <w:p>
            <w:pPr>
              <w:jc w:val="center"/>
              <w:rPr>
                <w:rFonts w:hint="eastAsia" w:ascii="宋体" w:hAnsi="宋体" w:eastAsia="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jc w:val="center"/>
        </w:trPr>
        <w:tc>
          <w:tcPr>
            <w:tcW w:w="10353" w:type="dxa"/>
            <w:gridSpan w:val="10"/>
            <w:noWrap w:val="0"/>
            <w:vAlign w:val="center"/>
          </w:tcPr>
          <w:p>
            <w:pPr>
              <w:jc w:val="both"/>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总价：小写      元，大写：</w:t>
            </w:r>
          </w:p>
        </w:tc>
      </w:tr>
    </w:tbl>
    <w:p>
      <w:pPr>
        <w:widowControl/>
        <w:spacing w:line="360" w:lineRule="atLeast"/>
        <w:jc w:val="left"/>
        <w:outlineLvl w:val="1"/>
        <w:rPr>
          <w:rFonts w:hint="eastAsia" w:ascii="宋体" w:hAnsi="宋体" w:eastAsia="宋体" w:cs="宋体"/>
          <w:color w:val="auto"/>
          <w:sz w:val="24"/>
          <w:highlight w:val="none"/>
        </w:rPr>
      </w:pPr>
    </w:p>
    <w:p>
      <w:pPr>
        <w:widowControl/>
        <w:spacing w:line="360" w:lineRule="atLeast"/>
        <w:ind w:firstLine="470" w:firstLineChars="196"/>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注：标人的报价是含设备、安装、调试、</w:t>
      </w:r>
      <w:r>
        <w:rPr>
          <w:rFonts w:hint="eastAsia" w:ascii="宋体" w:hAnsi="宋体" w:cs="宋体"/>
          <w:color w:val="auto"/>
          <w:sz w:val="24"/>
          <w:highlight w:val="none"/>
          <w:lang w:val="en-US" w:eastAsia="zh-CN"/>
        </w:rPr>
        <w:t>运输、</w:t>
      </w:r>
      <w:r>
        <w:rPr>
          <w:rFonts w:hint="eastAsia" w:ascii="宋体" w:hAnsi="宋体" w:eastAsia="宋体" w:cs="宋体"/>
          <w:color w:val="auto"/>
          <w:sz w:val="24"/>
          <w:highlight w:val="none"/>
        </w:rPr>
        <w:t xml:space="preserve">验收、质量保修、其他售后服务、采购代理服务费等全部费用，是其响应本项目要求的全部工作内容的价格体现，采购人将不再支付其他额外费用。 </w:t>
      </w:r>
    </w:p>
    <w:p>
      <w:pPr>
        <w:widowControl/>
        <w:spacing w:line="360" w:lineRule="atLeast"/>
        <w:ind w:firstLine="470" w:firstLineChars="196"/>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投标人名称：XXXX（单位公章）。</w:t>
      </w: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法定代表人/单位负责人或授权代表（签字或加盖个人名章）：XXXX。</w:t>
      </w: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投标日期：XXXX。</w:t>
      </w:r>
    </w:p>
    <w:p>
      <w:pPr>
        <w:pStyle w:val="13"/>
        <w:rPr>
          <w:rFonts w:ascii="宋体" w:hAnsi="宋体" w:cs="宋体"/>
          <w:b/>
          <w:color w:val="auto"/>
          <w:sz w:val="32"/>
          <w:szCs w:val="32"/>
          <w:highlight w:val="none"/>
        </w:rPr>
      </w:pPr>
      <w:bookmarkStart w:id="156" w:name="_Toc217446086"/>
    </w:p>
    <w:p>
      <w:pPr>
        <w:pStyle w:val="13"/>
        <w:rPr>
          <w:rFonts w:ascii="宋体" w:hAnsi="宋体" w:cs="宋体"/>
          <w:b/>
          <w:color w:val="auto"/>
          <w:sz w:val="32"/>
          <w:szCs w:val="32"/>
          <w:highlight w:val="none"/>
        </w:rPr>
      </w:pPr>
    </w:p>
    <w:p>
      <w:pPr>
        <w:pStyle w:val="13"/>
        <w:rPr>
          <w:rFonts w:hint="eastAsia" w:ascii="宋体" w:hAnsi="宋体" w:cs="宋体"/>
          <w:b/>
          <w:color w:val="auto"/>
          <w:sz w:val="32"/>
          <w:szCs w:val="32"/>
          <w:highlight w:val="none"/>
        </w:rPr>
      </w:pPr>
    </w:p>
    <w:p>
      <w:pPr>
        <w:pStyle w:val="13"/>
        <w:rPr>
          <w:rFonts w:hint="eastAsia" w:ascii="宋体" w:hAnsi="宋体" w:cs="宋体"/>
          <w:b/>
          <w:color w:val="auto"/>
          <w:sz w:val="32"/>
          <w:szCs w:val="32"/>
          <w:highlight w:val="none"/>
        </w:rPr>
      </w:pPr>
    </w:p>
    <w:p>
      <w:pPr>
        <w:pStyle w:val="13"/>
        <w:rPr>
          <w:rFonts w:hint="eastAsia" w:ascii="宋体" w:hAnsi="宋体" w:cs="宋体"/>
          <w:b/>
          <w:color w:val="auto"/>
          <w:sz w:val="32"/>
          <w:szCs w:val="32"/>
          <w:highlight w:val="none"/>
        </w:rPr>
      </w:pPr>
    </w:p>
    <w:p>
      <w:pPr>
        <w:pStyle w:val="13"/>
        <w:rPr>
          <w:rFonts w:hint="eastAsia" w:ascii="宋体" w:hAnsi="宋体" w:cs="宋体"/>
          <w:b/>
          <w:color w:val="auto"/>
          <w:sz w:val="32"/>
          <w:szCs w:val="32"/>
          <w:highlight w:val="none"/>
        </w:rPr>
      </w:pPr>
    </w:p>
    <w:p>
      <w:pPr>
        <w:pStyle w:val="13"/>
        <w:rPr>
          <w:rFonts w:hint="eastAsia" w:ascii="宋体" w:hAnsi="宋体" w:cs="宋体"/>
          <w:b/>
          <w:color w:val="auto"/>
          <w:sz w:val="32"/>
          <w:szCs w:val="32"/>
          <w:highlight w:val="none"/>
        </w:rPr>
      </w:pPr>
    </w:p>
    <w:p>
      <w:pPr>
        <w:pStyle w:val="13"/>
        <w:rPr>
          <w:rFonts w:hint="eastAsia" w:ascii="宋体" w:hAnsi="宋体" w:cs="宋体"/>
          <w:b/>
          <w:color w:val="auto"/>
          <w:sz w:val="32"/>
          <w:szCs w:val="32"/>
          <w:highlight w:val="none"/>
        </w:rPr>
      </w:pPr>
    </w:p>
    <w:p>
      <w:pPr>
        <w:pStyle w:val="13"/>
        <w:rPr>
          <w:rFonts w:hint="eastAsia" w:ascii="宋体" w:hAnsi="宋体" w:cs="宋体"/>
          <w:b/>
          <w:color w:val="auto"/>
          <w:sz w:val="32"/>
          <w:szCs w:val="32"/>
          <w:highlight w:val="none"/>
        </w:rPr>
      </w:pPr>
    </w:p>
    <w:p>
      <w:pPr>
        <w:widowControl/>
        <w:spacing w:after="0" w:line="240" w:lineRule="auto"/>
        <w:ind w:firstLine="630" w:firstLineChars="196"/>
        <w:jc w:val="left"/>
        <w:outlineLvl w:val="1"/>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格式2-</w:t>
      </w:r>
      <w:r>
        <w:rPr>
          <w:rFonts w:hint="eastAsia" w:ascii="宋体" w:hAnsi="宋体" w:eastAsia="宋体" w:cs="宋体"/>
          <w:b/>
          <w:color w:val="auto"/>
          <w:sz w:val="32"/>
          <w:szCs w:val="32"/>
          <w:highlight w:val="none"/>
          <w:lang w:val="en-US" w:eastAsia="zh-CN"/>
        </w:rPr>
        <w:t>4</w:t>
      </w:r>
    </w:p>
    <w:p>
      <w:pPr>
        <w:spacing w:line="400" w:lineRule="exact"/>
        <w:ind w:firstLine="643" w:firstLineChars="20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三</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val="en-US" w:eastAsia="zh-CN"/>
        </w:rPr>
        <w:t>分项报价</w:t>
      </w:r>
      <w:r>
        <w:rPr>
          <w:rFonts w:hint="eastAsia" w:ascii="宋体" w:hAnsi="宋体" w:eastAsia="宋体" w:cs="宋体"/>
          <w:b/>
          <w:color w:val="auto"/>
          <w:sz w:val="32"/>
          <w:szCs w:val="32"/>
          <w:highlight w:val="none"/>
        </w:rPr>
        <w:t>表</w:t>
      </w:r>
    </w:p>
    <w:p>
      <w:pPr>
        <w:pStyle w:val="13"/>
        <w:rPr>
          <w:rFonts w:hint="eastAsia" w:eastAsia="宋体"/>
          <w:highlight w:val="none"/>
          <w:lang w:val="en-US" w:eastAsia="zh-CN"/>
        </w:rPr>
      </w:pPr>
      <w:r>
        <w:rPr>
          <w:rFonts w:hint="eastAsia"/>
          <w:highlight w:val="none"/>
          <w:lang w:val="en-US" w:eastAsia="zh-CN"/>
        </w:rPr>
        <w:t>项目名称：                                                          包号：</w:t>
      </w:r>
    </w:p>
    <w:tbl>
      <w:tblPr>
        <w:tblStyle w:val="33"/>
        <w:tblW w:w="9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275"/>
        <w:gridCol w:w="1227"/>
        <w:gridCol w:w="1021"/>
        <w:gridCol w:w="869"/>
        <w:gridCol w:w="834"/>
        <w:gridCol w:w="1190"/>
        <w:gridCol w:w="1114"/>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exact"/>
          <w:jc w:val="center"/>
        </w:trPr>
        <w:tc>
          <w:tcPr>
            <w:tcW w:w="877" w:type="dxa"/>
            <w:noWrap w:val="0"/>
            <w:vAlign w:val="center"/>
          </w:tcPr>
          <w:p>
            <w:pPr>
              <w:widowControl/>
              <w:spacing w:line="360" w:lineRule="atLeast"/>
              <w:jc w:val="center"/>
              <w:outlineLvl w:val="1"/>
              <w:rPr>
                <w:rFonts w:hint="eastAsia" w:ascii="宋体" w:hAnsi="宋体" w:eastAsia="宋体" w:cs="宋体"/>
                <w:sz w:val="24"/>
                <w:highlight w:val="none"/>
              </w:rPr>
            </w:pPr>
            <w:bookmarkStart w:id="157" w:name="_Toc18686"/>
            <w:r>
              <w:rPr>
                <w:rFonts w:hint="eastAsia" w:ascii="宋体" w:hAnsi="宋体" w:eastAsia="宋体" w:cs="宋体"/>
                <w:sz w:val="24"/>
                <w:highlight w:val="none"/>
              </w:rPr>
              <w:t>序号</w:t>
            </w:r>
            <w:bookmarkEnd w:id="157"/>
          </w:p>
        </w:tc>
        <w:tc>
          <w:tcPr>
            <w:tcW w:w="1275" w:type="dxa"/>
            <w:noWrap w:val="0"/>
            <w:vAlign w:val="center"/>
          </w:tcPr>
          <w:p>
            <w:pPr>
              <w:widowControl/>
              <w:spacing w:line="360" w:lineRule="atLeast"/>
              <w:jc w:val="center"/>
              <w:outlineLvl w:val="1"/>
              <w:rPr>
                <w:rFonts w:hint="eastAsia" w:ascii="宋体" w:hAnsi="宋体" w:eastAsia="宋体" w:cs="宋体"/>
                <w:sz w:val="24"/>
                <w:highlight w:val="none"/>
              </w:rPr>
            </w:pPr>
            <w:bookmarkStart w:id="158" w:name="_Toc18699"/>
            <w:r>
              <w:rPr>
                <w:rFonts w:hint="eastAsia" w:ascii="宋体" w:hAnsi="宋体" w:eastAsia="宋体" w:cs="宋体"/>
                <w:sz w:val="24"/>
                <w:highlight w:val="none"/>
              </w:rPr>
              <w:t>产品名称</w:t>
            </w:r>
            <w:bookmarkEnd w:id="158"/>
          </w:p>
        </w:tc>
        <w:tc>
          <w:tcPr>
            <w:tcW w:w="1227" w:type="dxa"/>
            <w:noWrap w:val="0"/>
            <w:vAlign w:val="center"/>
          </w:tcPr>
          <w:p>
            <w:pPr>
              <w:widowControl/>
              <w:spacing w:line="360" w:lineRule="atLeast"/>
              <w:jc w:val="center"/>
              <w:outlineLvl w:val="1"/>
              <w:rPr>
                <w:rFonts w:hint="eastAsia" w:ascii="宋体" w:hAnsi="宋体" w:eastAsia="宋体" w:cs="宋体"/>
                <w:sz w:val="24"/>
                <w:highlight w:val="none"/>
              </w:rPr>
            </w:pPr>
            <w:bookmarkStart w:id="159" w:name="_Toc31876"/>
            <w:r>
              <w:rPr>
                <w:rFonts w:hint="eastAsia" w:ascii="宋体" w:hAnsi="宋体" w:eastAsia="宋体" w:cs="宋体"/>
                <w:sz w:val="24"/>
                <w:highlight w:val="none"/>
              </w:rPr>
              <w:t>规格型号</w:t>
            </w:r>
            <w:bookmarkEnd w:id="159"/>
          </w:p>
        </w:tc>
        <w:tc>
          <w:tcPr>
            <w:tcW w:w="1021" w:type="dxa"/>
            <w:noWrap w:val="0"/>
            <w:vAlign w:val="center"/>
          </w:tcPr>
          <w:p>
            <w:pPr>
              <w:widowControl/>
              <w:spacing w:line="360" w:lineRule="atLeast"/>
              <w:jc w:val="center"/>
              <w:outlineLvl w:val="1"/>
              <w:rPr>
                <w:rFonts w:hint="eastAsia" w:ascii="宋体" w:hAnsi="宋体" w:eastAsia="宋体" w:cs="宋体"/>
                <w:sz w:val="24"/>
                <w:highlight w:val="none"/>
              </w:rPr>
            </w:pPr>
            <w:bookmarkStart w:id="160" w:name="_Toc24236"/>
            <w:r>
              <w:rPr>
                <w:rFonts w:hint="eastAsia" w:ascii="宋体" w:hAnsi="宋体" w:eastAsia="宋体" w:cs="宋体"/>
                <w:sz w:val="24"/>
                <w:highlight w:val="none"/>
              </w:rPr>
              <w:t>品牌</w:t>
            </w:r>
            <w:bookmarkEnd w:id="160"/>
          </w:p>
        </w:tc>
        <w:tc>
          <w:tcPr>
            <w:tcW w:w="869" w:type="dxa"/>
            <w:noWrap w:val="0"/>
            <w:vAlign w:val="center"/>
          </w:tcPr>
          <w:p>
            <w:pPr>
              <w:widowControl/>
              <w:spacing w:line="360" w:lineRule="atLeast"/>
              <w:jc w:val="center"/>
              <w:outlineLvl w:val="1"/>
              <w:rPr>
                <w:rFonts w:hint="eastAsia" w:ascii="宋体" w:hAnsi="宋体" w:eastAsia="宋体" w:cs="宋体"/>
                <w:sz w:val="24"/>
                <w:highlight w:val="none"/>
              </w:rPr>
            </w:pPr>
            <w:bookmarkStart w:id="161" w:name="_Toc15403"/>
            <w:r>
              <w:rPr>
                <w:rFonts w:hint="eastAsia" w:ascii="宋体" w:hAnsi="宋体" w:eastAsia="宋体" w:cs="宋体"/>
                <w:sz w:val="24"/>
                <w:highlight w:val="none"/>
              </w:rPr>
              <w:t>单位</w:t>
            </w:r>
            <w:bookmarkEnd w:id="161"/>
          </w:p>
        </w:tc>
        <w:tc>
          <w:tcPr>
            <w:tcW w:w="834" w:type="dxa"/>
            <w:noWrap w:val="0"/>
            <w:vAlign w:val="center"/>
          </w:tcPr>
          <w:p>
            <w:pPr>
              <w:widowControl/>
              <w:spacing w:line="360" w:lineRule="atLeast"/>
              <w:jc w:val="center"/>
              <w:outlineLvl w:val="1"/>
              <w:rPr>
                <w:rFonts w:hint="eastAsia" w:ascii="宋体" w:hAnsi="宋体" w:eastAsia="宋体" w:cs="宋体"/>
                <w:sz w:val="24"/>
                <w:highlight w:val="none"/>
              </w:rPr>
            </w:pPr>
            <w:bookmarkStart w:id="162" w:name="_Toc27318"/>
            <w:r>
              <w:rPr>
                <w:rFonts w:hint="eastAsia" w:ascii="宋体" w:hAnsi="宋体" w:eastAsia="宋体" w:cs="宋体"/>
                <w:sz w:val="24"/>
                <w:highlight w:val="none"/>
              </w:rPr>
              <w:t>数量</w:t>
            </w:r>
            <w:bookmarkEnd w:id="162"/>
          </w:p>
        </w:tc>
        <w:tc>
          <w:tcPr>
            <w:tcW w:w="1190" w:type="dxa"/>
            <w:noWrap w:val="0"/>
            <w:vAlign w:val="center"/>
          </w:tcPr>
          <w:p>
            <w:pPr>
              <w:widowControl/>
              <w:spacing w:line="360" w:lineRule="atLeast"/>
              <w:jc w:val="center"/>
              <w:outlineLvl w:val="1"/>
              <w:rPr>
                <w:rFonts w:hint="eastAsia" w:ascii="宋体" w:hAnsi="宋体" w:eastAsia="宋体" w:cs="宋体"/>
                <w:sz w:val="24"/>
                <w:highlight w:val="none"/>
              </w:rPr>
            </w:pPr>
            <w:r>
              <w:rPr>
                <w:rFonts w:hint="eastAsia" w:ascii="宋体" w:hAnsi="宋体" w:eastAsia="宋体" w:cs="宋体"/>
                <w:sz w:val="24"/>
                <w:highlight w:val="none"/>
              </w:rPr>
              <w:t>投标单价</w:t>
            </w:r>
          </w:p>
          <w:p>
            <w:pPr>
              <w:widowControl/>
              <w:spacing w:line="360" w:lineRule="atLeast"/>
              <w:jc w:val="center"/>
              <w:outlineLvl w:val="1"/>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元</w:t>
            </w:r>
            <w:r>
              <w:rPr>
                <w:rFonts w:hint="eastAsia" w:ascii="宋体" w:hAnsi="宋体" w:eastAsia="宋体" w:cs="宋体"/>
                <w:sz w:val="24"/>
                <w:highlight w:val="none"/>
                <w:lang w:eastAsia="zh-CN"/>
              </w:rPr>
              <w:t>）</w:t>
            </w:r>
          </w:p>
        </w:tc>
        <w:tc>
          <w:tcPr>
            <w:tcW w:w="1114" w:type="dxa"/>
            <w:noWrap w:val="0"/>
            <w:vAlign w:val="center"/>
          </w:tcPr>
          <w:p>
            <w:pPr>
              <w:widowControl/>
              <w:spacing w:line="360" w:lineRule="atLeast"/>
              <w:jc w:val="center"/>
              <w:outlineLvl w:val="1"/>
              <w:rPr>
                <w:rFonts w:hint="eastAsia" w:ascii="宋体" w:hAnsi="宋体" w:eastAsia="宋体" w:cs="宋体"/>
                <w:sz w:val="24"/>
                <w:highlight w:val="none"/>
                <w:lang w:eastAsia="zh-CN"/>
              </w:rPr>
            </w:pPr>
            <w:r>
              <w:rPr>
                <w:rFonts w:hint="eastAsia" w:ascii="宋体" w:hAnsi="宋体" w:cs="宋体"/>
                <w:sz w:val="24"/>
                <w:highlight w:val="none"/>
                <w:lang w:val="en-US" w:eastAsia="zh-CN"/>
              </w:rPr>
              <w:t>合计</w:t>
            </w:r>
          </w:p>
          <w:p>
            <w:pPr>
              <w:widowControl/>
              <w:spacing w:line="360" w:lineRule="atLeast"/>
              <w:jc w:val="center"/>
              <w:outlineLvl w:val="1"/>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元</w:t>
            </w:r>
            <w:r>
              <w:rPr>
                <w:rFonts w:hint="eastAsia" w:ascii="宋体" w:hAnsi="宋体" w:eastAsia="宋体" w:cs="宋体"/>
                <w:sz w:val="24"/>
                <w:highlight w:val="none"/>
                <w:lang w:eastAsia="zh-CN"/>
              </w:rPr>
              <w:t>）</w:t>
            </w:r>
          </w:p>
        </w:tc>
        <w:tc>
          <w:tcPr>
            <w:tcW w:w="978" w:type="dxa"/>
            <w:noWrap w:val="0"/>
            <w:vAlign w:val="center"/>
          </w:tcPr>
          <w:p>
            <w:pPr>
              <w:widowControl/>
              <w:spacing w:line="360" w:lineRule="atLeast"/>
              <w:outlineLvl w:val="1"/>
              <w:rPr>
                <w:rFonts w:hint="eastAsia" w:ascii="宋体" w:hAnsi="宋体" w:eastAsia="宋体" w:cs="宋体"/>
                <w:sz w:val="24"/>
                <w:highlight w:val="none"/>
              </w:rPr>
            </w:pPr>
            <w:bookmarkStart w:id="163" w:name="_Toc21477"/>
            <w:r>
              <w:rPr>
                <w:rFonts w:hint="eastAsia" w:ascii="宋体" w:hAnsi="宋体" w:eastAsia="宋体" w:cs="宋体"/>
                <w:sz w:val="24"/>
                <w:highlight w:val="none"/>
              </w:rPr>
              <w:t>备注</w:t>
            </w:r>
            <w:bookmarkEnd w:id="1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noWrap w:val="0"/>
            <w:vAlign w:val="center"/>
          </w:tcPr>
          <w:p>
            <w:pPr>
              <w:widowControl/>
              <w:spacing w:line="360" w:lineRule="atLeast"/>
              <w:ind w:firstLine="470" w:firstLineChars="196"/>
              <w:jc w:val="left"/>
              <w:outlineLvl w:val="1"/>
              <w:rPr>
                <w:rFonts w:hint="eastAsia" w:ascii="宋体" w:hAnsi="宋体" w:eastAsia="宋体" w:cs="宋体"/>
                <w:sz w:val="24"/>
                <w:highlight w:val="none"/>
              </w:rPr>
            </w:pPr>
          </w:p>
        </w:tc>
        <w:tc>
          <w:tcPr>
            <w:tcW w:w="1275" w:type="dxa"/>
            <w:noWrap w:val="0"/>
            <w:vAlign w:val="center"/>
          </w:tcPr>
          <w:p>
            <w:pPr>
              <w:widowControl/>
              <w:spacing w:line="360" w:lineRule="atLeast"/>
              <w:ind w:firstLine="470" w:firstLineChars="196"/>
              <w:jc w:val="left"/>
              <w:outlineLvl w:val="1"/>
              <w:rPr>
                <w:rFonts w:hint="eastAsia" w:ascii="宋体" w:hAnsi="宋体" w:eastAsia="宋体" w:cs="宋体"/>
                <w:sz w:val="24"/>
                <w:highlight w:val="none"/>
              </w:rPr>
            </w:pPr>
          </w:p>
        </w:tc>
        <w:tc>
          <w:tcPr>
            <w:tcW w:w="1227" w:type="dxa"/>
            <w:noWrap w:val="0"/>
            <w:vAlign w:val="center"/>
          </w:tcPr>
          <w:p>
            <w:pPr>
              <w:widowControl/>
              <w:spacing w:line="360" w:lineRule="atLeast"/>
              <w:ind w:firstLine="470" w:firstLineChars="196"/>
              <w:jc w:val="left"/>
              <w:outlineLvl w:val="1"/>
              <w:rPr>
                <w:rFonts w:hint="eastAsia" w:ascii="宋体" w:hAnsi="宋体" w:eastAsia="宋体" w:cs="宋体"/>
                <w:sz w:val="24"/>
                <w:highlight w:val="none"/>
              </w:rPr>
            </w:pPr>
          </w:p>
        </w:tc>
        <w:tc>
          <w:tcPr>
            <w:tcW w:w="1021" w:type="dxa"/>
            <w:noWrap w:val="0"/>
            <w:vAlign w:val="center"/>
          </w:tcPr>
          <w:p>
            <w:pPr>
              <w:widowControl/>
              <w:spacing w:line="360" w:lineRule="atLeast"/>
              <w:ind w:firstLine="470" w:firstLineChars="196"/>
              <w:jc w:val="left"/>
              <w:outlineLvl w:val="1"/>
              <w:rPr>
                <w:rFonts w:hint="eastAsia" w:ascii="宋体" w:hAnsi="宋体" w:eastAsia="宋体" w:cs="宋体"/>
                <w:sz w:val="24"/>
                <w:highlight w:val="none"/>
              </w:rPr>
            </w:pPr>
          </w:p>
        </w:tc>
        <w:tc>
          <w:tcPr>
            <w:tcW w:w="869" w:type="dxa"/>
            <w:noWrap w:val="0"/>
            <w:vAlign w:val="center"/>
          </w:tcPr>
          <w:p>
            <w:pPr>
              <w:widowControl/>
              <w:spacing w:line="360" w:lineRule="atLeast"/>
              <w:ind w:firstLine="470" w:firstLineChars="196"/>
              <w:jc w:val="left"/>
              <w:outlineLvl w:val="1"/>
              <w:rPr>
                <w:rFonts w:hint="eastAsia" w:ascii="宋体" w:hAnsi="宋体" w:eastAsia="宋体" w:cs="宋体"/>
                <w:sz w:val="24"/>
                <w:highlight w:val="none"/>
              </w:rPr>
            </w:pPr>
          </w:p>
        </w:tc>
        <w:tc>
          <w:tcPr>
            <w:tcW w:w="834" w:type="dxa"/>
            <w:noWrap w:val="0"/>
            <w:vAlign w:val="center"/>
          </w:tcPr>
          <w:p>
            <w:pPr>
              <w:widowControl/>
              <w:spacing w:line="360" w:lineRule="atLeast"/>
              <w:ind w:firstLine="470" w:firstLineChars="196"/>
              <w:jc w:val="left"/>
              <w:outlineLvl w:val="1"/>
              <w:rPr>
                <w:rFonts w:hint="eastAsia" w:ascii="宋体" w:hAnsi="宋体" w:eastAsia="宋体" w:cs="宋体"/>
                <w:sz w:val="24"/>
                <w:highlight w:val="none"/>
              </w:rPr>
            </w:pPr>
          </w:p>
        </w:tc>
        <w:tc>
          <w:tcPr>
            <w:tcW w:w="1190" w:type="dxa"/>
            <w:noWrap w:val="0"/>
            <w:vAlign w:val="center"/>
          </w:tcPr>
          <w:p>
            <w:pPr>
              <w:widowControl/>
              <w:spacing w:line="360" w:lineRule="atLeast"/>
              <w:ind w:firstLine="470" w:firstLineChars="196"/>
              <w:jc w:val="left"/>
              <w:outlineLvl w:val="1"/>
              <w:rPr>
                <w:rFonts w:hint="eastAsia" w:ascii="宋体" w:hAnsi="宋体" w:eastAsia="宋体" w:cs="宋体"/>
                <w:sz w:val="24"/>
                <w:highlight w:val="none"/>
              </w:rPr>
            </w:pPr>
          </w:p>
        </w:tc>
        <w:tc>
          <w:tcPr>
            <w:tcW w:w="1114" w:type="dxa"/>
            <w:noWrap w:val="0"/>
            <w:vAlign w:val="center"/>
          </w:tcPr>
          <w:p>
            <w:pPr>
              <w:widowControl/>
              <w:spacing w:line="360" w:lineRule="atLeast"/>
              <w:ind w:firstLine="470" w:firstLineChars="196"/>
              <w:jc w:val="left"/>
              <w:outlineLvl w:val="1"/>
              <w:rPr>
                <w:rFonts w:hint="eastAsia" w:ascii="宋体" w:hAnsi="宋体" w:eastAsia="宋体" w:cs="宋体"/>
                <w:sz w:val="24"/>
                <w:highlight w:val="none"/>
              </w:rPr>
            </w:pPr>
          </w:p>
        </w:tc>
        <w:tc>
          <w:tcPr>
            <w:tcW w:w="978" w:type="dxa"/>
            <w:noWrap w:val="0"/>
            <w:vAlign w:val="center"/>
          </w:tcPr>
          <w:p>
            <w:pPr>
              <w:widowControl/>
              <w:spacing w:line="360" w:lineRule="atLeast"/>
              <w:ind w:firstLine="470" w:firstLineChars="196"/>
              <w:jc w:val="left"/>
              <w:outlineLvl w:val="1"/>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noWrap w:val="0"/>
            <w:vAlign w:val="center"/>
          </w:tcPr>
          <w:p>
            <w:pPr>
              <w:widowControl/>
              <w:spacing w:line="360" w:lineRule="atLeast"/>
              <w:ind w:firstLine="470" w:firstLineChars="196"/>
              <w:jc w:val="left"/>
              <w:outlineLvl w:val="1"/>
              <w:rPr>
                <w:rFonts w:hint="eastAsia" w:ascii="宋体" w:hAnsi="宋体" w:eastAsia="宋体" w:cs="宋体"/>
                <w:sz w:val="24"/>
                <w:highlight w:val="none"/>
              </w:rPr>
            </w:pPr>
          </w:p>
        </w:tc>
        <w:tc>
          <w:tcPr>
            <w:tcW w:w="1275" w:type="dxa"/>
            <w:noWrap w:val="0"/>
            <w:vAlign w:val="center"/>
          </w:tcPr>
          <w:p>
            <w:pPr>
              <w:widowControl/>
              <w:spacing w:line="360" w:lineRule="atLeast"/>
              <w:ind w:firstLine="470" w:firstLineChars="196"/>
              <w:jc w:val="left"/>
              <w:outlineLvl w:val="1"/>
              <w:rPr>
                <w:rFonts w:hint="eastAsia" w:ascii="宋体" w:hAnsi="宋体" w:eastAsia="宋体" w:cs="宋体"/>
                <w:sz w:val="24"/>
                <w:highlight w:val="none"/>
              </w:rPr>
            </w:pPr>
          </w:p>
        </w:tc>
        <w:tc>
          <w:tcPr>
            <w:tcW w:w="1227" w:type="dxa"/>
            <w:noWrap w:val="0"/>
            <w:vAlign w:val="center"/>
          </w:tcPr>
          <w:p>
            <w:pPr>
              <w:widowControl/>
              <w:spacing w:line="360" w:lineRule="atLeast"/>
              <w:ind w:firstLine="470" w:firstLineChars="196"/>
              <w:jc w:val="left"/>
              <w:outlineLvl w:val="1"/>
              <w:rPr>
                <w:rFonts w:hint="eastAsia" w:ascii="宋体" w:hAnsi="宋体" w:eastAsia="宋体" w:cs="宋体"/>
                <w:sz w:val="24"/>
                <w:highlight w:val="none"/>
              </w:rPr>
            </w:pPr>
          </w:p>
        </w:tc>
        <w:tc>
          <w:tcPr>
            <w:tcW w:w="1021" w:type="dxa"/>
            <w:noWrap w:val="0"/>
            <w:vAlign w:val="center"/>
          </w:tcPr>
          <w:p>
            <w:pPr>
              <w:widowControl/>
              <w:spacing w:line="360" w:lineRule="atLeast"/>
              <w:ind w:firstLine="470" w:firstLineChars="196"/>
              <w:jc w:val="left"/>
              <w:outlineLvl w:val="1"/>
              <w:rPr>
                <w:rFonts w:hint="eastAsia" w:ascii="宋体" w:hAnsi="宋体" w:eastAsia="宋体" w:cs="宋体"/>
                <w:sz w:val="24"/>
                <w:highlight w:val="none"/>
              </w:rPr>
            </w:pPr>
          </w:p>
        </w:tc>
        <w:tc>
          <w:tcPr>
            <w:tcW w:w="869" w:type="dxa"/>
            <w:noWrap w:val="0"/>
            <w:vAlign w:val="center"/>
          </w:tcPr>
          <w:p>
            <w:pPr>
              <w:widowControl/>
              <w:spacing w:line="360" w:lineRule="atLeast"/>
              <w:ind w:firstLine="470" w:firstLineChars="196"/>
              <w:jc w:val="left"/>
              <w:outlineLvl w:val="1"/>
              <w:rPr>
                <w:rFonts w:hint="eastAsia" w:ascii="宋体" w:hAnsi="宋体" w:eastAsia="宋体" w:cs="宋体"/>
                <w:sz w:val="24"/>
                <w:highlight w:val="none"/>
              </w:rPr>
            </w:pPr>
          </w:p>
        </w:tc>
        <w:tc>
          <w:tcPr>
            <w:tcW w:w="834" w:type="dxa"/>
            <w:noWrap w:val="0"/>
            <w:vAlign w:val="center"/>
          </w:tcPr>
          <w:p>
            <w:pPr>
              <w:widowControl/>
              <w:spacing w:line="360" w:lineRule="atLeast"/>
              <w:ind w:firstLine="470" w:firstLineChars="196"/>
              <w:jc w:val="left"/>
              <w:outlineLvl w:val="1"/>
              <w:rPr>
                <w:rFonts w:hint="eastAsia" w:ascii="宋体" w:hAnsi="宋体" w:eastAsia="宋体" w:cs="宋体"/>
                <w:sz w:val="24"/>
                <w:highlight w:val="none"/>
              </w:rPr>
            </w:pPr>
          </w:p>
        </w:tc>
        <w:tc>
          <w:tcPr>
            <w:tcW w:w="1190" w:type="dxa"/>
            <w:noWrap w:val="0"/>
            <w:vAlign w:val="center"/>
          </w:tcPr>
          <w:p>
            <w:pPr>
              <w:widowControl/>
              <w:spacing w:line="360" w:lineRule="atLeast"/>
              <w:ind w:firstLine="470" w:firstLineChars="196"/>
              <w:jc w:val="left"/>
              <w:outlineLvl w:val="1"/>
              <w:rPr>
                <w:rFonts w:hint="eastAsia" w:ascii="宋体" w:hAnsi="宋体" w:eastAsia="宋体" w:cs="宋体"/>
                <w:sz w:val="24"/>
                <w:highlight w:val="none"/>
              </w:rPr>
            </w:pPr>
          </w:p>
        </w:tc>
        <w:tc>
          <w:tcPr>
            <w:tcW w:w="1114" w:type="dxa"/>
            <w:noWrap w:val="0"/>
            <w:vAlign w:val="center"/>
          </w:tcPr>
          <w:p>
            <w:pPr>
              <w:widowControl/>
              <w:spacing w:line="360" w:lineRule="atLeast"/>
              <w:ind w:firstLine="470" w:firstLineChars="196"/>
              <w:jc w:val="left"/>
              <w:outlineLvl w:val="1"/>
              <w:rPr>
                <w:rFonts w:hint="eastAsia" w:ascii="宋体" w:hAnsi="宋体" w:eastAsia="宋体" w:cs="宋体"/>
                <w:sz w:val="24"/>
                <w:highlight w:val="none"/>
              </w:rPr>
            </w:pPr>
          </w:p>
        </w:tc>
        <w:tc>
          <w:tcPr>
            <w:tcW w:w="978" w:type="dxa"/>
            <w:noWrap w:val="0"/>
            <w:vAlign w:val="center"/>
          </w:tcPr>
          <w:p>
            <w:pPr>
              <w:widowControl/>
              <w:spacing w:line="360" w:lineRule="atLeast"/>
              <w:ind w:firstLine="470" w:firstLineChars="196"/>
              <w:jc w:val="left"/>
              <w:outlineLvl w:val="1"/>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noWrap w:val="0"/>
            <w:vAlign w:val="center"/>
          </w:tcPr>
          <w:p>
            <w:pPr>
              <w:widowControl/>
              <w:spacing w:line="360" w:lineRule="atLeast"/>
              <w:ind w:firstLine="470" w:firstLineChars="196"/>
              <w:jc w:val="left"/>
              <w:outlineLvl w:val="1"/>
              <w:rPr>
                <w:rFonts w:hint="eastAsia" w:ascii="宋体" w:hAnsi="宋体" w:eastAsia="宋体" w:cs="宋体"/>
                <w:sz w:val="24"/>
                <w:highlight w:val="none"/>
              </w:rPr>
            </w:pPr>
          </w:p>
        </w:tc>
        <w:tc>
          <w:tcPr>
            <w:tcW w:w="1275" w:type="dxa"/>
            <w:noWrap w:val="0"/>
            <w:vAlign w:val="center"/>
          </w:tcPr>
          <w:p>
            <w:pPr>
              <w:widowControl/>
              <w:spacing w:line="360" w:lineRule="atLeast"/>
              <w:ind w:firstLine="470" w:firstLineChars="196"/>
              <w:jc w:val="left"/>
              <w:outlineLvl w:val="1"/>
              <w:rPr>
                <w:rFonts w:hint="eastAsia" w:ascii="宋体" w:hAnsi="宋体" w:eastAsia="宋体" w:cs="宋体"/>
                <w:sz w:val="24"/>
                <w:highlight w:val="none"/>
              </w:rPr>
            </w:pPr>
          </w:p>
        </w:tc>
        <w:tc>
          <w:tcPr>
            <w:tcW w:w="1227" w:type="dxa"/>
            <w:noWrap w:val="0"/>
            <w:vAlign w:val="center"/>
          </w:tcPr>
          <w:p>
            <w:pPr>
              <w:widowControl/>
              <w:spacing w:line="360" w:lineRule="atLeast"/>
              <w:ind w:firstLine="470" w:firstLineChars="196"/>
              <w:jc w:val="left"/>
              <w:outlineLvl w:val="1"/>
              <w:rPr>
                <w:rFonts w:hint="eastAsia" w:ascii="宋体" w:hAnsi="宋体" w:eastAsia="宋体" w:cs="宋体"/>
                <w:sz w:val="24"/>
                <w:highlight w:val="none"/>
              </w:rPr>
            </w:pPr>
          </w:p>
        </w:tc>
        <w:tc>
          <w:tcPr>
            <w:tcW w:w="1021" w:type="dxa"/>
            <w:noWrap w:val="0"/>
            <w:vAlign w:val="center"/>
          </w:tcPr>
          <w:p>
            <w:pPr>
              <w:widowControl/>
              <w:spacing w:line="360" w:lineRule="atLeast"/>
              <w:ind w:firstLine="470" w:firstLineChars="196"/>
              <w:jc w:val="left"/>
              <w:outlineLvl w:val="1"/>
              <w:rPr>
                <w:rFonts w:hint="eastAsia" w:ascii="宋体" w:hAnsi="宋体" w:eastAsia="宋体" w:cs="宋体"/>
                <w:sz w:val="24"/>
                <w:highlight w:val="none"/>
              </w:rPr>
            </w:pPr>
          </w:p>
        </w:tc>
        <w:tc>
          <w:tcPr>
            <w:tcW w:w="869" w:type="dxa"/>
            <w:noWrap w:val="0"/>
            <w:vAlign w:val="center"/>
          </w:tcPr>
          <w:p>
            <w:pPr>
              <w:widowControl/>
              <w:spacing w:line="360" w:lineRule="atLeast"/>
              <w:ind w:firstLine="470" w:firstLineChars="196"/>
              <w:jc w:val="left"/>
              <w:outlineLvl w:val="1"/>
              <w:rPr>
                <w:rFonts w:hint="eastAsia" w:ascii="宋体" w:hAnsi="宋体" w:eastAsia="宋体" w:cs="宋体"/>
                <w:sz w:val="24"/>
                <w:highlight w:val="none"/>
              </w:rPr>
            </w:pPr>
          </w:p>
        </w:tc>
        <w:tc>
          <w:tcPr>
            <w:tcW w:w="834" w:type="dxa"/>
            <w:noWrap w:val="0"/>
            <w:vAlign w:val="center"/>
          </w:tcPr>
          <w:p>
            <w:pPr>
              <w:widowControl/>
              <w:spacing w:line="360" w:lineRule="atLeast"/>
              <w:ind w:firstLine="470" w:firstLineChars="196"/>
              <w:jc w:val="left"/>
              <w:outlineLvl w:val="1"/>
              <w:rPr>
                <w:rFonts w:hint="eastAsia" w:ascii="宋体" w:hAnsi="宋体" w:eastAsia="宋体" w:cs="宋体"/>
                <w:sz w:val="24"/>
                <w:highlight w:val="none"/>
              </w:rPr>
            </w:pPr>
          </w:p>
        </w:tc>
        <w:tc>
          <w:tcPr>
            <w:tcW w:w="1190" w:type="dxa"/>
            <w:noWrap w:val="0"/>
            <w:vAlign w:val="center"/>
          </w:tcPr>
          <w:p>
            <w:pPr>
              <w:widowControl/>
              <w:spacing w:line="360" w:lineRule="atLeast"/>
              <w:ind w:firstLine="470" w:firstLineChars="196"/>
              <w:jc w:val="left"/>
              <w:outlineLvl w:val="1"/>
              <w:rPr>
                <w:rFonts w:hint="eastAsia" w:ascii="宋体" w:hAnsi="宋体" w:eastAsia="宋体" w:cs="宋体"/>
                <w:sz w:val="24"/>
                <w:highlight w:val="none"/>
              </w:rPr>
            </w:pPr>
          </w:p>
        </w:tc>
        <w:tc>
          <w:tcPr>
            <w:tcW w:w="1114" w:type="dxa"/>
            <w:noWrap w:val="0"/>
            <w:vAlign w:val="center"/>
          </w:tcPr>
          <w:p>
            <w:pPr>
              <w:widowControl/>
              <w:spacing w:line="360" w:lineRule="atLeast"/>
              <w:ind w:firstLine="470" w:firstLineChars="196"/>
              <w:jc w:val="left"/>
              <w:outlineLvl w:val="1"/>
              <w:rPr>
                <w:rFonts w:hint="eastAsia" w:ascii="宋体" w:hAnsi="宋体" w:eastAsia="宋体" w:cs="宋体"/>
                <w:sz w:val="24"/>
                <w:highlight w:val="none"/>
              </w:rPr>
            </w:pPr>
          </w:p>
        </w:tc>
        <w:tc>
          <w:tcPr>
            <w:tcW w:w="978" w:type="dxa"/>
            <w:noWrap w:val="0"/>
            <w:vAlign w:val="center"/>
          </w:tcPr>
          <w:p>
            <w:pPr>
              <w:widowControl/>
              <w:spacing w:line="360" w:lineRule="atLeast"/>
              <w:ind w:firstLine="470" w:firstLineChars="196"/>
              <w:jc w:val="left"/>
              <w:outlineLvl w:val="1"/>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tcBorders>
              <w:left w:val="single" w:color="auto" w:sz="4" w:space="0"/>
            </w:tcBorders>
            <w:noWrap w:val="0"/>
            <w:vAlign w:val="center"/>
          </w:tcPr>
          <w:p>
            <w:pPr>
              <w:widowControl/>
              <w:spacing w:line="360" w:lineRule="atLeast"/>
              <w:ind w:firstLine="470" w:firstLineChars="196"/>
              <w:jc w:val="left"/>
              <w:outlineLvl w:val="1"/>
              <w:rPr>
                <w:rFonts w:hint="eastAsia" w:ascii="宋体" w:hAnsi="宋体" w:eastAsia="宋体" w:cs="宋体"/>
                <w:sz w:val="24"/>
                <w:highlight w:val="none"/>
              </w:rPr>
            </w:pPr>
          </w:p>
        </w:tc>
        <w:tc>
          <w:tcPr>
            <w:tcW w:w="1275" w:type="dxa"/>
            <w:noWrap w:val="0"/>
            <w:vAlign w:val="center"/>
          </w:tcPr>
          <w:p>
            <w:pPr>
              <w:widowControl/>
              <w:spacing w:line="360" w:lineRule="atLeast"/>
              <w:ind w:firstLine="470" w:firstLineChars="196"/>
              <w:jc w:val="left"/>
              <w:outlineLvl w:val="1"/>
              <w:rPr>
                <w:rFonts w:hint="eastAsia" w:ascii="宋体" w:hAnsi="宋体" w:eastAsia="宋体" w:cs="宋体"/>
                <w:sz w:val="24"/>
                <w:highlight w:val="none"/>
              </w:rPr>
            </w:pPr>
          </w:p>
        </w:tc>
        <w:tc>
          <w:tcPr>
            <w:tcW w:w="1227" w:type="dxa"/>
            <w:noWrap w:val="0"/>
            <w:vAlign w:val="center"/>
          </w:tcPr>
          <w:p>
            <w:pPr>
              <w:widowControl/>
              <w:spacing w:line="360" w:lineRule="atLeast"/>
              <w:ind w:firstLine="470" w:firstLineChars="196"/>
              <w:jc w:val="left"/>
              <w:outlineLvl w:val="1"/>
              <w:rPr>
                <w:rFonts w:hint="eastAsia" w:ascii="宋体" w:hAnsi="宋体" w:eastAsia="宋体" w:cs="宋体"/>
                <w:sz w:val="24"/>
                <w:highlight w:val="none"/>
              </w:rPr>
            </w:pPr>
          </w:p>
        </w:tc>
        <w:tc>
          <w:tcPr>
            <w:tcW w:w="1021" w:type="dxa"/>
            <w:noWrap w:val="0"/>
            <w:vAlign w:val="center"/>
          </w:tcPr>
          <w:p>
            <w:pPr>
              <w:widowControl/>
              <w:spacing w:line="360" w:lineRule="atLeast"/>
              <w:ind w:firstLine="470" w:firstLineChars="196"/>
              <w:jc w:val="left"/>
              <w:outlineLvl w:val="1"/>
              <w:rPr>
                <w:rFonts w:hint="eastAsia" w:ascii="宋体" w:hAnsi="宋体" w:eastAsia="宋体" w:cs="宋体"/>
                <w:sz w:val="24"/>
                <w:highlight w:val="none"/>
              </w:rPr>
            </w:pPr>
          </w:p>
        </w:tc>
        <w:tc>
          <w:tcPr>
            <w:tcW w:w="869" w:type="dxa"/>
            <w:noWrap w:val="0"/>
            <w:vAlign w:val="center"/>
          </w:tcPr>
          <w:p>
            <w:pPr>
              <w:widowControl/>
              <w:spacing w:line="360" w:lineRule="atLeast"/>
              <w:ind w:firstLine="470" w:firstLineChars="196"/>
              <w:jc w:val="left"/>
              <w:outlineLvl w:val="1"/>
              <w:rPr>
                <w:rFonts w:hint="eastAsia" w:ascii="宋体" w:hAnsi="宋体" w:eastAsia="宋体" w:cs="宋体"/>
                <w:sz w:val="24"/>
                <w:highlight w:val="none"/>
              </w:rPr>
            </w:pPr>
          </w:p>
        </w:tc>
        <w:tc>
          <w:tcPr>
            <w:tcW w:w="834" w:type="dxa"/>
            <w:noWrap w:val="0"/>
            <w:vAlign w:val="center"/>
          </w:tcPr>
          <w:p>
            <w:pPr>
              <w:widowControl/>
              <w:spacing w:line="360" w:lineRule="atLeast"/>
              <w:ind w:firstLine="470" w:firstLineChars="196"/>
              <w:jc w:val="left"/>
              <w:outlineLvl w:val="1"/>
              <w:rPr>
                <w:rFonts w:hint="eastAsia" w:ascii="宋体" w:hAnsi="宋体" w:eastAsia="宋体" w:cs="宋体"/>
                <w:sz w:val="24"/>
                <w:highlight w:val="none"/>
              </w:rPr>
            </w:pPr>
          </w:p>
        </w:tc>
        <w:tc>
          <w:tcPr>
            <w:tcW w:w="1190" w:type="dxa"/>
            <w:noWrap w:val="0"/>
            <w:vAlign w:val="center"/>
          </w:tcPr>
          <w:p>
            <w:pPr>
              <w:widowControl/>
              <w:spacing w:line="360" w:lineRule="atLeast"/>
              <w:ind w:firstLine="470" w:firstLineChars="196"/>
              <w:jc w:val="left"/>
              <w:outlineLvl w:val="1"/>
              <w:rPr>
                <w:rFonts w:hint="eastAsia" w:ascii="宋体" w:hAnsi="宋体" w:eastAsia="宋体" w:cs="宋体"/>
                <w:sz w:val="24"/>
                <w:highlight w:val="none"/>
              </w:rPr>
            </w:pPr>
          </w:p>
        </w:tc>
        <w:tc>
          <w:tcPr>
            <w:tcW w:w="1114" w:type="dxa"/>
            <w:noWrap w:val="0"/>
            <w:vAlign w:val="center"/>
          </w:tcPr>
          <w:p>
            <w:pPr>
              <w:widowControl/>
              <w:spacing w:line="360" w:lineRule="atLeast"/>
              <w:ind w:firstLine="470" w:firstLineChars="196"/>
              <w:jc w:val="left"/>
              <w:outlineLvl w:val="1"/>
              <w:rPr>
                <w:rFonts w:hint="eastAsia" w:ascii="宋体" w:hAnsi="宋体" w:eastAsia="宋体" w:cs="宋体"/>
                <w:sz w:val="24"/>
                <w:highlight w:val="none"/>
              </w:rPr>
            </w:pPr>
          </w:p>
        </w:tc>
        <w:tc>
          <w:tcPr>
            <w:tcW w:w="978" w:type="dxa"/>
            <w:noWrap w:val="0"/>
            <w:vAlign w:val="center"/>
          </w:tcPr>
          <w:p>
            <w:pPr>
              <w:widowControl/>
              <w:spacing w:line="360" w:lineRule="atLeast"/>
              <w:ind w:firstLine="470" w:firstLineChars="196"/>
              <w:jc w:val="left"/>
              <w:outlineLvl w:val="1"/>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noWrap w:val="0"/>
            <w:vAlign w:val="center"/>
          </w:tcPr>
          <w:p>
            <w:pPr>
              <w:widowControl/>
              <w:spacing w:line="360" w:lineRule="atLeast"/>
              <w:ind w:firstLine="470" w:firstLineChars="196"/>
              <w:jc w:val="left"/>
              <w:outlineLvl w:val="1"/>
              <w:rPr>
                <w:rFonts w:hint="eastAsia" w:ascii="宋体" w:hAnsi="宋体" w:eastAsia="宋体" w:cs="宋体"/>
                <w:sz w:val="24"/>
                <w:highlight w:val="none"/>
              </w:rPr>
            </w:pPr>
          </w:p>
        </w:tc>
        <w:tc>
          <w:tcPr>
            <w:tcW w:w="1275" w:type="dxa"/>
            <w:noWrap w:val="0"/>
            <w:vAlign w:val="center"/>
          </w:tcPr>
          <w:p>
            <w:pPr>
              <w:widowControl/>
              <w:spacing w:line="360" w:lineRule="atLeast"/>
              <w:ind w:firstLine="470" w:firstLineChars="196"/>
              <w:jc w:val="left"/>
              <w:outlineLvl w:val="1"/>
              <w:rPr>
                <w:rFonts w:hint="eastAsia" w:ascii="宋体" w:hAnsi="宋体" w:eastAsia="宋体" w:cs="宋体"/>
                <w:sz w:val="24"/>
                <w:highlight w:val="none"/>
              </w:rPr>
            </w:pPr>
          </w:p>
        </w:tc>
        <w:tc>
          <w:tcPr>
            <w:tcW w:w="1227" w:type="dxa"/>
            <w:noWrap w:val="0"/>
            <w:vAlign w:val="center"/>
          </w:tcPr>
          <w:p>
            <w:pPr>
              <w:widowControl/>
              <w:spacing w:line="360" w:lineRule="atLeast"/>
              <w:ind w:firstLine="470" w:firstLineChars="196"/>
              <w:jc w:val="left"/>
              <w:outlineLvl w:val="1"/>
              <w:rPr>
                <w:rFonts w:hint="eastAsia" w:ascii="宋体" w:hAnsi="宋体" w:eastAsia="宋体" w:cs="宋体"/>
                <w:sz w:val="24"/>
                <w:highlight w:val="none"/>
              </w:rPr>
            </w:pPr>
          </w:p>
        </w:tc>
        <w:tc>
          <w:tcPr>
            <w:tcW w:w="1021" w:type="dxa"/>
            <w:noWrap w:val="0"/>
            <w:vAlign w:val="center"/>
          </w:tcPr>
          <w:p>
            <w:pPr>
              <w:widowControl/>
              <w:spacing w:line="360" w:lineRule="atLeast"/>
              <w:ind w:firstLine="470" w:firstLineChars="196"/>
              <w:jc w:val="left"/>
              <w:outlineLvl w:val="1"/>
              <w:rPr>
                <w:rFonts w:hint="eastAsia" w:ascii="宋体" w:hAnsi="宋体" w:eastAsia="宋体" w:cs="宋体"/>
                <w:sz w:val="24"/>
                <w:highlight w:val="none"/>
              </w:rPr>
            </w:pPr>
          </w:p>
        </w:tc>
        <w:tc>
          <w:tcPr>
            <w:tcW w:w="869" w:type="dxa"/>
            <w:noWrap w:val="0"/>
            <w:vAlign w:val="center"/>
          </w:tcPr>
          <w:p>
            <w:pPr>
              <w:widowControl/>
              <w:spacing w:line="360" w:lineRule="atLeast"/>
              <w:ind w:firstLine="470" w:firstLineChars="196"/>
              <w:jc w:val="left"/>
              <w:outlineLvl w:val="1"/>
              <w:rPr>
                <w:rFonts w:hint="eastAsia" w:ascii="宋体" w:hAnsi="宋体" w:eastAsia="宋体" w:cs="宋体"/>
                <w:sz w:val="24"/>
                <w:highlight w:val="none"/>
              </w:rPr>
            </w:pPr>
          </w:p>
        </w:tc>
        <w:tc>
          <w:tcPr>
            <w:tcW w:w="834" w:type="dxa"/>
            <w:noWrap w:val="0"/>
            <w:vAlign w:val="center"/>
          </w:tcPr>
          <w:p>
            <w:pPr>
              <w:widowControl/>
              <w:spacing w:line="360" w:lineRule="atLeast"/>
              <w:ind w:firstLine="470" w:firstLineChars="196"/>
              <w:jc w:val="left"/>
              <w:outlineLvl w:val="1"/>
              <w:rPr>
                <w:rFonts w:hint="eastAsia" w:ascii="宋体" w:hAnsi="宋体" w:eastAsia="宋体" w:cs="宋体"/>
                <w:sz w:val="24"/>
                <w:highlight w:val="none"/>
              </w:rPr>
            </w:pPr>
          </w:p>
        </w:tc>
        <w:tc>
          <w:tcPr>
            <w:tcW w:w="1190" w:type="dxa"/>
            <w:noWrap w:val="0"/>
            <w:vAlign w:val="center"/>
          </w:tcPr>
          <w:p>
            <w:pPr>
              <w:widowControl/>
              <w:spacing w:line="360" w:lineRule="atLeast"/>
              <w:ind w:firstLine="470" w:firstLineChars="196"/>
              <w:jc w:val="left"/>
              <w:outlineLvl w:val="1"/>
              <w:rPr>
                <w:rFonts w:hint="eastAsia" w:ascii="宋体" w:hAnsi="宋体" w:eastAsia="宋体" w:cs="宋体"/>
                <w:sz w:val="24"/>
                <w:highlight w:val="none"/>
              </w:rPr>
            </w:pPr>
          </w:p>
        </w:tc>
        <w:tc>
          <w:tcPr>
            <w:tcW w:w="1114" w:type="dxa"/>
            <w:noWrap w:val="0"/>
            <w:vAlign w:val="center"/>
          </w:tcPr>
          <w:p>
            <w:pPr>
              <w:widowControl/>
              <w:spacing w:line="360" w:lineRule="atLeast"/>
              <w:ind w:firstLine="470" w:firstLineChars="196"/>
              <w:jc w:val="left"/>
              <w:outlineLvl w:val="1"/>
              <w:rPr>
                <w:rFonts w:hint="eastAsia" w:ascii="宋体" w:hAnsi="宋体" w:eastAsia="宋体" w:cs="宋体"/>
                <w:sz w:val="24"/>
                <w:highlight w:val="none"/>
              </w:rPr>
            </w:pPr>
          </w:p>
        </w:tc>
        <w:tc>
          <w:tcPr>
            <w:tcW w:w="978" w:type="dxa"/>
            <w:noWrap w:val="0"/>
            <w:vAlign w:val="center"/>
          </w:tcPr>
          <w:p>
            <w:pPr>
              <w:widowControl/>
              <w:spacing w:line="360" w:lineRule="atLeast"/>
              <w:ind w:firstLine="470" w:firstLineChars="196"/>
              <w:jc w:val="left"/>
              <w:outlineLvl w:val="1"/>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noWrap w:val="0"/>
            <w:vAlign w:val="center"/>
          </w:tcPr>
          <w:p>
            <w:pPr>
              <w:widowControl/>
              <w:spacing w:line="360" w:lineRule="atLeast"/>
              <w:jc w:val="center"/>
              <w:outlineLvl w:val="1"/>
              <w:rPr>
                <w:rFonts w:hint="eastAsia" w:ascii="宋体" w:hAnsi="宋体" w:eastAsia="宋体" w:cs="宋体"/>
                <w:sz w:val="24"/>
                <w:highlight w:val="none"/>
              </w:rPr>
            </w:pPr>
            <w:bookmarkStart w:id="164" w:name="_Toc28519"/>
            <w:r>
              <w:rPr>
                <w:rFonts w:hint="eastAsia" w:ascii="宋体" w:hAnsi="宋体" w:eastAsia="宋体" w:cs="宋体"/>
                <w:sz w:val="24"/>
                <w:highlight w:val="none"/>
              </w:rPr>
              <w:t>...</w:t>
            </w:r>
            <w:bookmarkEnd w:id="164"/>
          </w:p>
        </w:tc>
        <w:tc>
          <w:tcPr>
            <w:tcW w:w="1275" w:type="dxa"/>
            <w:noWrap w:val="0"/>
            <w:vAlign w:val="center"/>
          </w:tcPr>
          <w:p>
            <w:pPr>
              <w:widowControl/>
              <w:spacing w:line="360" w:lineRule="atLeast"/>
              <w:ind w:firstLine="470" w:firstLineChars="196"/>
              <w:jc w:val="left"/>
              <w:outlineLvl w:val="1"/>
              <w:rPr>
                <w:rFonts w:hint="eastAsia" w:ascii="宋体" w:hAnsi="宋体" w:eastAsia="宋体" w:cs="宋体"/>
                <w:sz w:val="24"/>
                <w:highlight w:val="none"/>
              </w:rPr>
            </w:pPr>
          </w:p>
        </w:tc>
        <w:tc>
          <w:tcPr>
            <w:tcW w:w="1227" w:type="dxa"/>
            <w:noWrap w:val="0"/>
            <w:vAlign w:val="center"/>
          </w:tcPr>
          <w:p>
            <w:pPr>
              <w:widowControl/>
              <w:spacing w:line="360" w:lineRule="atLeast"/>
              <w:ind w:firstLine="470" w:firstLineChars="196"/>
              <w:jc w:val="left"/>
              <w:outlineLvl w:val="1"/>
              <w:rPr>
                <w:rFonts w:hint="eastAsia" w:ascii="宋体" w:hAnsi="宋体" w:eastAsia="宋体" w:cs="宋体"/>
                <w:sz w:val="24"/>
                <w:highlight w:val="none"/>
              </w:rPr>
            </w:pPr>
          </w:p>
        </w:tc>
        <w:tc>
          <w:tcPr>
            <w:tcW w:w="1021" w:type="dxa"/>
            <w:noWrap w:val="0"/>
            <w:vAlign w:val="center"/>
          </w:tcPr>
          <w:p>
            <w:pPr>
              <w:widowControl/>
              <w:spacing w:line="360" w:lineRule="atLeast"/>
              <w:ind w:firstLine="470" w:firstLineChars="196"/>
              <w:jc w:val="left"/>
              <w:outlineLvl w:val="1"/>
              <w:rPr>
                <w:rFonts w:hint="eastAsia" w:ascii="宋体" w:hAnsi="宋体" w:eastAsia="宋体" w:cs="宋体"/>
                <w:sz w:val="24"/>
                <w:highlight w:val="none"/>
              </w:rPr>
            </w:pPr>
          </w:p>
        </w:tc>
        <w:tc>
          <w:tcPr>
            <w:tcW w:w="869" w:type="dxa"/>
            <w:noWrap w:val="0"/>
            <w:vAlign w:val="center"/>
          </w:tcPr>
          <w:p>
            <w:pPr>
              <w:widowControl/>
              <w:spacing w:line="360" w:lineRule="atLeast"/>
              <w:ind w:firstLine="470" w:firstLineChars="196"/>
              <w:jc w:val="left"/>
              <w:outlineLvl w:val="1"/>
              <w:rPr>
                <w:rFonts w:hint="eastAsia" w:ascii="宋体" w:hAnsi="宋体" w:eastAsia="宋体" w:cs="宋体"/>
                <w:sz w:val="24"/>
                <w:highlight w:val="none"/>
              </w:rPr>
            </w:pPr>
          </w:p>
        </w:tc>
        <w:tc>
          <w:tcPr>
            <w:tcW w:w="834" w:type="dxa"/>
            <w:noWrap w:val="0"/>
            <w:vAlign w:val="center"/>
          </w:tcPr>
          <w:p>
            <w:pPr>
              <w:widowControl/>
              <w:spacing w:line="360" w:lineRule="atLeast"/>
              <w:ind w:firstLine="470" w:firstLineChars="196"/>
              <w:jc w:val="left"/>
              <w:outlineLvl w:val="1"/>
              <w:rPr>
                <w:rFonts w:hint="eastAsia" w:ascii="宋体" w:hAnsi="宋体" w:eastAsia="宋体" w:cs="宋体"/>
                <w:sz w:val="24"/>
                <w:highlight w:val="none"/>
              </w:rPr>
            </w:pPr>
          </w:p>
        </w:tc>
        <w:tc>
          <w:tcPr>
            <w:tcW w:w="1190" w:type="dxa"/>
            <w:noWrap w:val="0"/>
            <w:vAlign w:val="center"/>
          </w:tcPr>
          <w:p>
            <w:pPr>
              <w:widowControl/>
              <w:spacing w:line="360" w:lineRule="atLeast"/>
              <w:ind w:firstLine="470" w:firstLineChars="196"/>
              <w:jc w:val="left"/>
              <w:outlineLvl w:val="1"/>
              <w:rPr>
                <w:rFonts w:hint="eastAsia" w:ascii="宋体" w:hAnsi="宋体" w:eastAsia="宋体" w:cs="宋体"/>
                <w:sz w:val="24"/>
                <w:highlight w:val="none"/>
              </w:rPr>
            </w:pPr>
          </w:p>
        </w:tc>
        <w:tc>
          <w:tcPr>
            <w:tcW w:w="1114" w:type="dxa"/>
            <w:noWrap w:val="0"/>
            <w:vAlign w:val="center"/>
          </w:tcPr>
          <w:p>
            <w:pPr>
              <w:widowControl/>
              <w:spacing w:line="360" w:lineRule="atLeast"/>
              <w:ind w:firstLine="470" w:firstLineChars="196"/>
              <w:jc w:val="left"/>
              <w:outlineLvl w:val="1"/>
              <w:rPr>
                <w:rFonts w:hint="eastAsia" w:ascii="宋体" w:hAnsi="宋体" w:eastAsia="宋体" w:cs="宋体"/>
                <w:sz w:val="24"/>
                <w:highlight w:val="none"/>
              </w:rPr>
            </w:pPr>
          </w:p>
        </w:tc>
        <w:tc>
          <w:tcPr>
            <w:tcW w:w="978" w:type="dxa"/>
            <w:noWrap w:val="0"/>
            <w:vAlign w:val="center"/>
          </w:tcPr>
          <w:p>
            <w:pPr>
              <w:widowControl/>
              <w:spacing w:line="360" w:lineRule="atLeast"/>
              <w:ind w:firstLine="470" w:firstLineChars="196"/>
              <w:jc w:val="left"/>
              <w:outlineLvl w:val="1"/>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385" w:type="dxa"/>
            <w:gridSpan w:val="9"/>
            <w:tcBorders>
              <w:top w:val="single" w:color="auto" w:sz="4" w:space="0"/>
              <w:bottom w:val="single" w:color="auto" w:sz="4" w:space="0"/>
            </w:tcBorders>
            <w:noWrap w:val="0"/>
            <w:vAlign w:val="center"/>
          </w:tcPr>
          <w:p>
            <w:pPr>
              <w:widowControl/>
              <w:spacing w:line="360" w:lineRule="atLeast"/>
              <w:ind w:firstLine="470" w:firstLineChars="196"/>
              <w:jc w:val="left"/>
              <w:outlineLvl w:val="1"/>
              <w:rPr>
                <w:rFonts w:hint="default" w:ascii="宋体" w:hAnsi="宋体" w:eastAsia="宋体" w:cs="宋体"/>
                <w:sz w:val="24"/>
                <w:highlight w:val="none"/>
                <w:lang w:val="en-US" w:eastAsia="zh-CN"/>
              </w:rPr>
            </w:pPr>
            <w:bookmarkStart w:id="165" w:name="_Toc21917"/>
            <w:r>
              <w:rPr>
                <w:rFonts w:hint="eastAsia" w:ascii="宋体" w:hAnsi="宋体" w:cs="宋体"/>
                <w:sz w:val="24"/>
                <w:highlight w:val="none"/>
                <w:lang w:val="en-US" w:eastAsia="zh-CN"/>
              </w:rPr>
              <w:t>总计</w:t>
            </w:r>
            <w:r>
              <w:rPr>
                <w:rFonts w:hint="eastAsia" w:ascii="宋体" w:hAnsi="宋体" w:eastAsia="宋体" w:cs="宋体"/>
                <w:sz w:val="24"/>
                <w:highlight w:val="none"/>
              </w:rPr>
              <w:t>（万元）：</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大写：</w:t>
            </w:r>
            <w:bookmarkEnd w:id="165"/>
            <w:r>
              <w:rPr>
                <w:rFonts w:hint="eastAsia" w:ascii="宋体" w:hAnsi="宋体" w:cs="宋体"/>
                <w:sz w:val="24"/>
                <w:highlight w:val="none"/>
                <w:u w:val="single"/>
                <w:lang w:val="en-US" w:eastAsia="zh-CN"/>
              </w:rPr>
              <w:t xml:space="preserve">     </w:t>
            </w:r>
          </w:p>
        </w:tc>
      </w:tr>
    </w:tbl>
    <w:p>
      <w:pPr>
        <w:pStyle w:val="13"/>
        <w:rPr>
          <w:rFonts w:hint="eastAsia" w:ascii="宋体" w:hAnsi="宋体" w:eastAsia="宋体" w:cs="宋体"/>
          <w:b/>
          <w:color w:val="auto"/>
          <w:sz w:val="32"/>
          <w:szCs w:val="32"/>
          <w:highlight w:val="none"/>
        </w:rPr>
      </w:pPr>
    </w:p>
    <w:p>
      <w:pPr>
        <w:widowControl/>
        <w:spacing w:line="360" w:lineRule="atLeast"/>
        <w:ind w:firstLine="470" w:firstLineChars="196"/>
        <w:jc w:val="left"/>
        <w:outlineLvl w:val="1"/>
        <w:rPr>
          <w:rFonts w:hint="eastAsia" w:ascii="宋体" w:hAnsi="宋体" w:eastAsia="宋体" w:cs="宋体"/>
          <w:sz w:val="24"/>
          <w:highlight w:val="none"/>
        </w:rPr>
      </w:pPr>
      <w:r>
        <w:rPr>
          <w:rFonts w:hint="eastAsia" w:ascii="宋体" w:hAnsi="宋体" w:eastAsia="宋体" w:cs="宋体"/>
          <w:sz w:val="24"/>
          <w:highlight w:val="none"/>
        </w:rPr>
        <w:t>注：1.标人的报价是含设备、安装、调试、</w:t>
      </w:r>
      <w:r>
        <w:rPr>
          <w:rFonts w:hint="eastAsia" w:ascii="宋体" w:hAnsi="宋体" w:cs="宋体"/>
          <w:sz w:val="24"/>
          <w:highlight w:val="none"/>
          <w:lang w:val="en-US" w:eastAsia="zh-CN"/>
        </w:rPr>
        <w:t>运输、</w:t>
      </w:r>
      <w:r>
        <w:rPr>
          <w:rFonts w:hint="eastAsia" w:ascii="宋体" w:hAnsi="宋体" w:eastAsia="宋体" w:cs="宋体"/>
          <w:sz w:val="24"/>
          <w:highlight w:val="none"/>
        </w:rPr>
        <w:t>验收、质量保修、其他售后服务、采购代理服务费等全部费用，是其响应本项目要求的全部工作内容的价格体现，采购人将不再支付其他额外费用。投标人每种货物只允许有一个报价，并且在合同履行过程中是固定不变的，任何有选择或可调整的报价将不予接受。</w:t>
      </w:r>
    </w:p>
    <w:p>
      <w:pPr>
        <w:widowControl/>
        <w:spacing w:line="360" w:lineRule="atLeast"/>
        <w:ind w:firstLine="470" w:firstLineChars="196"/>
        <w:jc w:val="left"/>
        <w:outlineLvl w:val="1"/>
        <w:rPr>
          <w:rFonts w:hint="eastAsia" w:ascii="宋体" w:hAnsi="宋体" w:eastAsia="宋体" w:cs="宋体"/>
          <w:sz w:val="24"/>
          <w:highlight w:val="none"/>
        </w:rPr>
      </w:pPr>
      <w:r>
        <w:rPr>
          <w:rFonts w:hint="eastAsia" w:ascii="宋体" w:hAnsi="宋体" w:eastAsia="宋体" w:cs="宋体"/>
          <w:sz w:val="24"/>
          <w:highlight w:val="none"/>
        </w:rPr>
        <w:t>2.投标人应按“分项报价明细表”的格式详细报出投标总价的各个组成部分的报价。“分项报价明细表”各分项合计总价应当与“开标一览表”报价相等。</w:t>
      </w:r>
    </w:p>
    <w:p>
      <w:pPr>
        <w:widowControl/>
        <w:spacing w:line="240" w:lineRule="auto"/>
        <w:ind w:firstLine="470" w:firstLineChars="196"/>
        <w:jc w:val="left"/>
        <w:outlineLvl w:val="1"/>
        <w:rPr>
          <w:rFonts w:hint="eastAsia" w:ascii="宋体" w:hAnsi="宋体" w:eastAsia="宋体" w:cs="宋体"/>
          <w:sz w:val="24"/>
          <w:highlight w:val="none"/>
        </w:rPr>
      </w:pPr>
    </w:p>
    <w:p>
      <w:pPr>
        <w:widowControl/>
        <w:spacing w:line="240" w:lineRule="auto"/>
        <w:ind w:firstLine="470" w:firstLineChars="196"/>
        <w:jc w:val="left"/>
        <w:outlineLvl w:val="1"/>
        <w:rPr>
          <w:rFonts w:hint="eastAsia" w:ascii="宋体" w:hAnsi="宋体" w:eastAsia="宋体" w:cs="宋体"/>
          <w:sz w:val="24"/>
          <w:highlight w:val="none"/>
        </w:rPr>
      </w:pPr>
    </w:p>
    <w:p>
      <w:pPr>
        <w:widowControl/>
        <w:spacing w:line="240" w:lineRule="auto"/>
        <w:ind w:firstLine="470" w:firstLineChars="196"/>
        <w:jc w:val="left"/>
        <w:outlineLvl w:val="1"/>
        <w:rPr>
          <w:rFonts w:hint="eastAsia" w:ascii="宋体" w:hAnsi="宋体" w:eastAsia="宋体" w:cs="宋体"/>
          <w:sz w:val="24"/>
          <w:highlight w:val="none"/>
        </w:rPr>
      </w:pPr>
    </w:p>
    <w:p>
      <w:pPr>
        <w:widowControl/>
        <w:spacing w:line="240" w:lineRule="auto"/>
        <w:ind w:firstLine="470" w:firstLineChars="196"/>
        <w:jc w:val="left"/>
        <w:outlineLvl w:val="1"/>
        <w:rPr>
          <w:rFonts w:hint="eastAsia" w:ascii="宋体" w:hAnsi="宋体" w:eastAsia="宋体" w:cs="宋体"/>
          <w:sz w:val="24"/>
          <w:highlight w:val="none"/>
        </w:rPr>
      </w:pPr>
    </w:p>
    <w:p>
      <w:pPr>
        <w:widowControl/>
        <w:spacing w:line="240" w:lineRule="auto"/>
        <w:ind w:firstLine="470" w:firstLineChars="196"/>
        <w:jc w:val="left"/>
        <w:outlineLvl w:val="1"/>
        <w:rPr>
          <w:rFonts w:hint="eastAsia" w:ascii="宋体" w:hAnsi="宋体" w:eastAsia="宋体" w:cs="宋体"/>
          <w:sz w:val="24"/>
          <w:highlight w:val="none"/>
        </w:rPr>
      </w:pPr>
      <w:r>
        <w:rPr>
          <w:rFonts w:hint="eastAsia" w:ascii="宋体" w:hAnsi="宋体" w:eastAsia="宋体" w:cs="宋体"/>
          <w:sz w:val="24"/>
          <w:highlight w:val="none"/>
        </w:rPr>
        <w:t>投标人名称：XXXX（单位盖章）。</w:t>
      </w:r>
    </w:p>
    <w:p>
      <w:pPr>
        <w:widowControl/>
        <w:spacing w:line="240" w:lineRule="auto"/>
        <w:ind w:firstLine="470" w:firstLineChars="196"/>
        <w:jc w:val="left"/>
        <w:outlineLvl w:val="1"/>
        <w:rPr>
          <w:rFonts w:hint="eastAsia" w:ascii="宋体" w:hAnsi="宋体" w:eastAsia="宋体" w:cs="宋体"/>
          <w:sz w:val="24"/>
          <w:highlight w:val="none"/>
        </w:rPr>
      </w:pPr>
      <w:r>
        <w:rPr>
          <w:rFonts w:hint="eastAsia" w:ascii="宋体" w:hAnsi="宋体" w:eastAsia="宋体" w:cs="宋体"/>
          <w:sz w:val="24"/>
          <w:highlight w:val="none"/>
        </w:rPr>
        <w:t>法定代表人/单位负责人或授权代表（签字或加盖个人名章）：XXXX。</w:t>
      </w:r>
    </w:p>
    <w:p>
      <w:pPr>
        <w:widowControl/>
        <w:spacing w:line="360" w:lineRule="atLeast"/>
        <w:ind w:firstLine="470" w:firstLineChars="196"/>
        <w:jc w:val="left"/>
        <w:outlineLvl w:val="1"/>
        <w:rPr>
          <w:rFonts w:hint="eastAsia" w:ascii="宋体" w:hAnsi="宋体" w:eastAsia="宋体" w:cs="宋体"/>
          <w:b/>
          <w:color w:val="auto"/>
          <w:sz w:val="32"/>
          <w:szCs w:val="32"/>
          <w:highlight w:val="none"/>
        </w:rPr>
      </w:pPr>
      <w:r>
        <w:rPr>
          <w:rFonts w:hint="eastAsia" w:ascii="宋体" w:hAnsi="宋体" w:eastAsia="宋体" w:cs="宋体"/>
          <w:sz w:val="24"/>
          <w:highlight w:val="none"/>
        </w:rPr>
        <w:t>投标日期：XXXX。</w:t>
      </w:r>
    </w:p>
    <w:p>
      <w:pPr>
        <w:pStyle w:val="13"/>
        <w:rPr>
          <w:rFonts w:hint="eastAsia" w:ascii="宋体" w:hAnsi="宋体" w:eastAsia="宋体" w:cs="宋体"/>
          <w:color w:val="auto"/>
          <w:highlight w:val="none"/>
          <w:lang w:eastAsia="zh-CN"/>
        </w:rPr>
      </w:pPr>
      <w:r>
        <w:rPr>
          <w:rFonts w:hint="eastAsia" w:ascii="宋体" w:hAnsi="宋体" w:cs="宋体"/>
          <w:b/>
          <w:color w:val="auto"/>
          <w:sz w:val="32"/>
          <w:szCs w:val="32"/>
          <w:highlight w:val="none"/>
        </w:rPr>
        <w:t>格式2-</w:t>
      </w:r>
      <w:bookmarkEnd w:id="150"/>
      <w:bookmarkEnd w:id="156"/>
      <w:bookmarkStart w:id="166" w:name="_Toc217446087"/>
      <w:bookmarkStart w:id="167" w:name="PO_默认文件内容_26"/>
      <w:r>
        <w:rPr>
          <w:rFonts w:hint="eastAsia" w:ascii="宋体" w:hAnsi="宋体" w:cs="宋体"/>
          <w:b/>
          <w:color w:val="auto"/>
          <w:sz w:val="32"/>
          <w:szCs w:val="32"/>
          <w:highlight w:val="none"/>
          <w:lang w:val="en-US" w:eastAsia="zh-CN"/>
        </w:rPr>
        <w:t>5</w:t>
      </w:r>
    </w:p>
    <w:p>
      <w:pPr>
        <w:widowControl/>
        <w:spacing w:line="360" w:lineRule="atLeast"/>
        <w:jc w:val="center"/>
        <w:outlineLvl w:val="1"/>
        <w:rPr>
          <w:rFonts w:hint="eastAsia" w:ascii="宋体" w:hAnsi="宋体" w:cs="宋体"/>
          <w:b/>
          <w:color w:val="auto"/>
          <w:sz w:val="32"/>
          <w:szCs w:val="32"/>
          <w:highlight w:val="none"/>
        </w:rPr>
      </w:pPr>
      <w:r>
        <w:rPr>
          <w:rFonts w:hint="eastAsia" w:ascii="宋体" w:hAnsi="宋体" w:cs="宋体"/>
          <w:b/>
          <w:color w:val="auto"/>
          <w:sz w:val="32"/>
          <w:szCs w:val="32"/>
          <w:highlight w:val="none"/>
          <w:lang w:val="en-US" w:eastAsia="zh-CN"/>
        </w:rPr>
        <w:t>四</w:t>
      </w:r>
      <w:r>
        <w:rPr>
          <w:rFonts w:hint="eastAsia" w:ascii="宋体" w:hAnsi="宋体" w:cs="宋体"/>
          <w:b/>
          <w:color w:val="auto"/>
          <w:sz w:val="32"/>
          <w:szCs w:val="32"/>
          <w:highlight w:val="none"/>
        </w:rPr>
        <w:t>、商务应答表</w:t>
      </w:r>
      <w:bookmarkEnd w:id="166"/>
    </w:p>
    <w:p>
      <w:pPr>
        <w:pStyle w:val="13"/>
        <w:rPr>
          <w:rFonts w:hint="eastAsia" w:eastAsia="宋体"/>
          <w:highlight w:val="none"/>
          <w:lang w:val="en-US" w:eastAsia="zh-CN"/>
        </w:rPr>
      </w:pPr>
      <w:r>
        <w:rPr>
          <w:rFonts w:hint="eastAsia"/>
          <w:highlight w:val="none"/>
          <w:lang w:val="en-US" w:eastAsia="zh-CN"/>
        </w:rPr>
        <w:t>项目名称：                                                          包号：</w:t>
      </w:r>
    </w:p>
    <w:tbl>
      <w:tblPr>
        <w:tblStyle w:val="3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555"/>
        <w:gridCol w:w="2777"/>
        <w:gridCol w:w="3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21" w:type="dxa"/>
            <w:vAlign w:val="center"/>
          </w:tcPr>
          <w:p>
            <w:pPr>
              <w:widowControl/>
              <w:spacing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序号</w:t>
            </w:r>
          </w:p>
        </w:tc>
        <w:tc>
          <w:tcPr>
            <w:tcW w:w="1555" w:type="dxa"/>
            <w:vAlign w:val="center"/>
          </w:tcPr>
          <w:p>
            <w:pPr>
              <w:widowControl/>
              <w:spacing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招标要求</w:t>
            </w:r>
          </w:p>
        </w:tc>
        <w:tc>
          <w:tcPr>
            <w:tcW w:w="2777" w:type="dxa"/>
            <w:vAlign w:val="center"/>
          </w:tcPr>
          <w:p>
            <w:pPr>
              <w:widowControl/>
              <w:spacing w:line="360" w:lineRule="atLeast"/>
              <w:ind w:firstLine="950" w:firstLineChars="396"/>
              <w:jc w:val="left"/>
              <w:outlineLvl w:val="1"/>
              <w:rPr>
                <w:rFonts w:ascii="宋体" w:hAnsi="宋体" w:cs="宋体"/>
                <w:color w:val="auto"/>
                <w:sz w:val="24"/>
                <w:highlight w:val="none"/>
              </w:rPr>
            </w:pPr>
            <w:r>
              <w:rPr>
                <w:rFonts w:hint="eastAsia" w:ascii="宋体" w:hAnsi="宋体" w:cs="宋体"/>
                <w:color w:val="auto"/>
                <w:sz w:val="24"/>
                <w:highlight w:val="none"/>
              </w:rPr>
              <w:t>投标应答</w:t>
            </w:r>
          </w:p>
        </w:tc>
        <w:tc>
          <w:tcPr>
            <w:tcW w:w="3305" w:type="dxa"/>
            <w:vAlign w:val="center"/>
          </w:tcPr>
          <w:p>
            <w:pPr>
              <w:widowControl/>
              <w:spacing w:line="360" w:lineRule="atLeast"/>
              <w:ind w:firstLine="950" w:firstLineChars="396"/>
              <w:jc w:val="left"/>
              <w:outlineLvl w:val="1"/>
              <w:rPr>
                <w:rFonts w:ascii="宋体" w:hAnsi="宋体" w:cs="宋体"/>
                <w:color w:val="auto"/>
                <w:sz w:val="24"/>
                <w:highlight w:val="none"/>
              </w:rPr>
            </w:pPr>
            <w:r>
              <w:rPr>
                <w:rFonts w:hint="eastAsia" w:ascii="宋体" w:hAnsi="宋体" w:cs="宋体"/>
                <w:color w:val="auto"/>
                <w:sz w:val="24"/>
                <w:highlight w:val="none"/>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21" w:type="dxa"/>
          </w:tcPr>
          <w:p>
            <w:pPr>
              <w:widowControl/>
              <w:spacing w:line="360" w:lineRule="atLeast"/>
              <w:ind w:firstLine="470" w:firstLineChars="196"/>
              <w:jc w:val="left"/>
              <w:outlineLvl w:val="1"/>
              <w:rPr>
                <w:rFonts w:ascii="宋体" w:hAnsi="宋体" w:cs="宋体"/>
                <w:color w:val="auto"/>
                <w:sz w:val="24"/>
                <w:highlight w:val="none"/>
              </w:rPr>
            </w:pPr>
          </w:p>
        </w:tc>
        <w:tc>
          <w:tcPr>
            <w:tcW w:w="1555" w:type="dxa"/>
          </w:tcPr>
          <w:p>
            <w:pPr>
              <w:widowControl/>
              <w:spacing w:line="360" w:lineRule="atLeast"/>
              <w:ind w:firstLine="470" w:firstLineChars="196"/>
              <w:jc w:val="left"/>
              <w:outlineLvl w:val="1"/>
              <w:rPr>
                <w:rFonts w:ascii="宋体" w:hAnsi="宋体" w:cs="宋体"/>
                <w:color w:val="auto"/>
                <w:sz w:val="24"/>
                <w:highlight w:val="none"/>
              </w:rPr>
            </w:pPr>
          </w:p>
        </w:tc>
        <w:tc>
          <w:tcPr>
            <w:tcW w:w="2777" w:type="dxa"/>
          </w:tcPr>
          <w:p>
            <w:pPr>
              <w:widowControl/>
              <w:spacing w:line="360" w:lineRule="atLeast"/>
              <w:ind w:firstLine="470" w:firstLineChars="196"/>
              <w:jc w:val="left"/>
              <w:outlineLvl w:val="1"/>
              <w:rPr>
                <w:rFonts w:ascii="宋体" w:hAnsi="宋体" w:cs="宋体"/>
                <w:color w:val="auto"/>
                <w:sz w:val="24"/>
                <w:highlight w:val="none"/>
              </w:rPr>
            </w:pPr>
          </w:p>
        </w:tc>
        <w:tc>
          <w:tcPr>
            <w:tcW w:w="3305" w:type="dxa"/>
          </w:tcPr>
          <w:p>
            <w:pPr>
              <w:widowControl/>
              <w:spacing w:line="360" w:lineRule="atLeast"/>
              <w:ind w:firstLine="470" w:firstLineChars="196"/>
              <w:jc w:val="left"/>
              <w:outlineLvl w:val="1"/>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21" w:type="dxa"/>
          </w:tcPr>
          <w:p>
            <w:pPr>
              <w:widowControl/>
              <w:spacing w:line="360" w:lineRule="atLeast"/>
              <w:ind w:firstLine="470" w:firstLineChars="196"/>
              <w:jc w:val="left"/>
              <w:outlineLvl w:val="1"/>
              <w:rPr>
                <w:rFonts w:ascii="宋体" w:hAnsi="宋体" w:cs="宋体"/>
                <w:color w:val="auto"/>
                <w:sz w:val="24"/>
                <w:highlight w:val="none"/>
              </w:rPr>
            </w:pPr>
          </w:p>
        </w:tc>
        <w:tc>
          <w:tcPr>
            <w:tcW w:w="1555" w:type="dxa"/>
          </w:tcPr>
          <w:p>
            <w:pPr>
              <w:widowControl/>
              <w:spacing w:line="360" w:lineRule="atLeast"/>
              <w:ind w:firstLine="470" w:firstLineChars="196"/>
              <w:jc w:val="left"/>
              <w:outlineLvl w:val="1"/>
              <w:rPr>
                <w:rFonts w:ascii="宋体" w:hAnsi="宋体" w:cs="宋体"/>
                <w:color w:val="auto"/>
                <w:sz w:val="24"/>
                <w:highlight w:val="none"/>
              </w:rPr>
            </w:pPr>
          </w:p>
        </w:tc>
        <w:tc>
          <w:tcPr>
            <w:tcW w:w="2777" w:type="dxa"/>
          </w:tcPr>
          <w:p>
            <w:pPr>
              <w:widowControl/>
              <w:spacing w:line="360" w:lineRule="atLeast"/>
              <w:ind w:firstLine="470" w:firstLineChars="196"/>
              <w:jc w:val="left"/>
              <w:outlineLvl w:val="1"/>
              <w:rPr>
                <w:rFonts w:ascii="宋体" w:hAnsi="宋体" w:cs="宋体"/>
                <w:color w:val="auto"/>
                <w:sz w:val="24"/>
                <w:highlight w:val="none"/>
              </w:rPr>
            </w:pPr>
          </w:p>
        </w:tc>
        <w:tc>
          <w:tcPr>
            <w:tcW w:w="3305" w:type="dxa"/>
          </w:tcPr>
          <w:p>
            <w:pPr>
              <w:widowControl/>
              <w:spacing w:line="360" w:lineRule="atLeast"/>
              <w:ind w:firstLine="470" w:firstLineChars="196"/>
              <w:jc w:val="left"/>
              <w:outlineLvl w:val="1"/>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21" w:type="dxa"/>
          </w:tcPr>
          <w:p>
            <w:pPr>
              <w:widowControl/>
              <w:spacing w:line="360" w:lineRule="atLeast"/>
              <w:ind w:firstLine="470" w:firstLineChars="196"/>
              <w:jc w:val="left"/>
              <w:outlineLvl w:val="1"/>
              <w:rPr>
                <w:rFonts w:ascii="宋体" w:hAnsi="宋体" w:cs="宋体"/>
                <w:color w:val="auto"/>
                <w:sz w:val="24"/>
                <w:highlight w:val="none"/>
              </w:rPr>
            </w:pPr>
          </w:p>
        </w:tc>
        <w:tc>
          <w:tcPr>
            <w:tcW w:w="1555" w:type="dxa"/>
          </w:tcPr>
          <w:p>
            <w:pPr>
              <w:widowControl/>
              <w:spacing w:line="360" w:lineRule="atLeast"/>
              <w:ind w:firstLine="470" w:firstLineChars="196"/>
              <w:jc w:val="left"/>
              <w:outlineLvl w:val="1"/>
              <w:rPr>
                <w:rFonts w:ascii="宋体" w:hAnsi="宋体" w:cs="宋体"/>
                <w:color w:val="auto"/>
                <w:sz w:val="24"/>
                <w:highlight w:val="none"/>
              </w:rPr>
            </w:pPr>
          </w:p>
        </w:tc>
        <w:tc>
          <w:tcPr>
            <w:tcW w:w="2777" w:type="dxa"/>
          </w:tcPr>
          <w:p>
            <w:pPr>
              <w:widowControl/>
              <w:spacing w:line="360" w:lineRule="atLeast"/>
              <w:ind w:firstLine="470" w:firstLineChars="196"/>
              <w:jc w:val="left"/>
              <w:outlineLvl w:val="1"/>
              <w:rPr>
                <w:rFonts w:ascii="宋体" w:hAnsi="宋体" w:cs="宋体"/>
                <w:color w:val="auto"/>
                <w:sz w:val="24"/>
                <w:highlight w:val="none"/>
              </w:rPr>
            </w:pPr>
          </w:p>
        </w:tc>
        <w:tc>
          <w:tcPr>
            <w:tcW w:w="3305" w:type="dxa"/>
          </w:tcPr>
          <w:p>
            <w:pPr>
              <w:widowControl/>
              <w:spacing w:line="360" w:lineRule="atLeast"/>
              <w:ind w:firstLine="470" w:firstLineChars="196"/>
              <w:jc w:val="left"/>
              <w:outlineLvl w:val="1"/>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121" w:type="dxa"/>
          </w:tcPr>
          <w:p>
            <w:pPr>
              <w:widowControl/>
              <w:spacing w:line="360" w:lineRule="atLeast"/>
              <w:ind w:firstLine="470" w:firstLineChars="196"/>
              <w:jc w:val="left"/>
              <w:outlineLvl w:val="1"/>
              <w:rPr>
                <w:rFonts w:ascii="宋体" w:hAnsi="宋体" w:cs="宋体"/>
                <w:color w:val="auto"/>
                <w:sz w:val="24"/>
                <w:highlight w:val="none"/>
              </w:rPr>
            </w:pPr>
          </w:p>
        </w:tc>
        <w:tc>
          <w:tcPr>
            <w:tcW w:w="1555" w:type="dxa"/>
          </w:tcPr>
          <w:p>
            <w:pPr>
              <w:widowControl/>
              <w:spacing w:line="360" w:lineRule="atLeast"/>
              <w:ind w:firstLine="470" w:firstLineChars="196"/>
              <w:jc w:val="left"/>
              <w:outlineLvl w:val="1"/>
              <w:rPr>
                <w:rFonts w:ascii="宋体" w:hAnsi="宋体" w:cs="宋体"/>
                <w:color w:val="auto"/>
                <w:sz w:val="24"/>
                <w:highlight w:val="none"/>
              </w:rPr>
            </w:pPr>
          </w:p>
        </w:tc>
        <w:tc>
          <w:tcPr>
            <w:tcW w:w="2777" w:type="dxa"/>
          </w:tcPr>
          <w:p>
            <w:pPr>
              <w:widowControl/>
              <w:spacing w:line="360" w:lineRule="atLeast"/>
              <w:ind w:firstLine="470" w:firstLineChars="196"/>
              <w:jc w:val="left"/>
              <w:outlineLvl w:val="1"/>
              <w:rPr>
                <w:rFonts w:ascii="宋体" w:hAnsi="宋体" w:cs="宋体"/>
                <w:color w:val="auto"/>
                <w:sz w:val="24"/>
                <w:highlight w:val="none"/>
              </w:rPr>
            </w:pPr>
          </w:p>
        </w:tc>
        <w:tc>
          <w:tcPr>
            <w:tcW w:w="3305" w:type="dxa"/>
          </w:tcPr>
          <w:p>
            <w:pPr>
              <w:widowControl/>
              <w:spacing w:line="360" w:lineRule="atLeast"/>
              <w:ind w:firstLine="470" w:firstLineChars="196"/>
              <w:jc w:val="left"/>
              <w:outlineLvl w:val="1"/>
              <w:rPr>
                <w:rFonts w:ascii="宋体" w:hAnsi="宋体" w:cs="宋体"/>
                <w:color w:val="auto"/>
                <w:sz w:val="24"/>
                <w:highlight w:val="none"/>
              </w:rPr>
            </w:pPr>
          </w:p>
        </w:tc>
      </w:tr>
    </w:tbl>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注：1、本表只填写投标文件中与招标文件有偏离的内容，投标文件中商务条款响应与招标文件要求完全一致的，可以不用在此表中列出。</w:t>
      </w:r>
    </w:p>
    <w:p>
      <w:pPr>
        <w:widowControl/>
        <w:spacing w:line="360" w:lineRule="atLeast"/>
        <w:ind w:firstLine="470" w:firstLineChars="196"/>
        <w:jc w:val="left"/>
        <w:outlineLvl w:val="1"/>
        <w:rPr>
          <w:rFonts w:ascii="宋体" w:hAnsi="宋体" w:cs="宋体"/>
          <w:color w:val="auto"/>
          <w:sz w:val="24"/>
          <w:highlight w:val="none"/>
        </w:rPr>
      </w:pP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投标人名称：XXXX（单位盖章）。</w:t>
      </w: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法定代表人/单位负责人或授权代表（签字或加盖个人名章）：XXXX。</w:t>
      </w: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投标日期: XXXX。</w:t>
      </w:r>
    </w:p>
    <w:p>
      <w:pPr>
        <w:spacing w:after="0" w:line="340" w:lineRule="exact"/>
        <w:rPr>
          <w:rFonts w:hint="eastAsia" w:ascii="宋体" w:hAnsi="宋体" w:eastAsia="宋体" w:cs="宋体"/>
          <w:b/>
          <w:color w:val="auto"/>
          <w:sz w:val="32"/>
          <w:szCs w:val="32"/>
          <w:highlight w:val="none"/>
          <w:lang w:eastAsia="zh-CN"/>
        </w:rPr>
      </w:pPr>
      <w:r>
        <w:rPr>
          <w:rFonts w:hint="eastAsia" w:ascii="宋体" w:hAnsi="宋体" w:cs="宋体"/>
          <w:color w:val="auto"/>
          <w:sz w:val="24"/>
          <w:highlight w:val="none"/>
        </w:rPr>
        <w:br w:type="page"/>
      </w:r>
      <w:r>
        <w:rPr>
          <w:rFonts w:hint="eastAsia" w:ascii="宋体" w:hAnsi="宋体" w:cs="宋体"/>
          <w:b/>
          <w:color w:val="auto"/>
          <w:sz w:val="32"/>
          <w:szCs w:val="32"/>
          <w:highlight w:val="none"/>
        </w:rPr>
        <w:t>格式2-</w:t>
      </w:r>
      <w:r>
        <w:rPr>
          <w:rFonts w:hint="eastAsia" w:ascii="宋体" w:hAnsi="宋体" w:cs="宋体"/>
          <w:b/>
          <w:color w:val="auto"/>
          <w:sz w:val="32"/>
          <w:szCs w:val="32"/>
          <w:highlight w:val="none"/>
          <w:lang w:val="en-US" w:eastAsia="zh-CN"/>
        </w:rPr>
        <w:t>6</w:t>
      </w:r>
    </w:p>
    <w:p>
      <w:pPr>
        <w:widowControl/>
        <w:spacing w:after="0" w:line="34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lang w:val="en-US" w:eastAsia="zh-CN"/>
        </w:rPr>
        <w:t>五</w:t>
      </w:r>
      <w:r>
        <w:rPr>
          <w:rFonts w:hint="eastAsia" w:ascii="宋体" w:hAnsi="宋体" w:cs="宋体"/>
          <w:b/>
          <w:color w:val="auto"/>
          <w:sz w:val="32"/>
          <w:szCs w:val="32"/>
          <w:highlight w:val="none"/>
        </w:rPr>
        <w:t>、商务、技术、服务应答附表</w:t>
      </w:r>
    </w:p>
    <w:p>
      <w:pPr>
        <w:widowControl/>
        <w:spacing w:after="0" w:line="34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（仅用于中标、成交结果公告，此表不作为评审内容）</w:t>
      </w:r>
    </w:p>
    <w:p>
      <w:pPr>
        <w:widowControl/>
        <w:spacing w:after="0" w:line="340" w:lineRule="exact"/>
        <w:ind w:firstLine="480"/>
        <w:jc w:val="left"/>
        <w:rPr>
          <w:rFonts w:ascii="宋体" w:hAnsi="宋体" w:cs="宋体"/>
          <w:bCs/>
          <w:color w:val="auto"/>
          <w:sz w:val="24"/>
          <w:highlight w:val="none"/>
        </w:rPr>
      </w:pPr>
      <w:r>
        <w:rPr>
          <w:rFonts w:hint="eastAsia" w:ascii="宋体" w:hAnsi="宋体" w:cs="宋体"/>
          <w:bCs/>
          <w:color w:val="auto"/>
          <w:sz w:val="24"/>
          <w:highlight w:val="none"/>
        </w:rPr>
        <w:t>根据《中华人民共和国政府采购法实施条例》第四十三条第三款要求，中标、成交结果公告应当公告中标（成交）供应商的相关内容，请供应商根据响应情况如实完善以下内容，结果公告时公布中标（成交）供应商的相关信息。</w:t>
      </w:r>
    </w:p>
    <w:tbl>
      <w:tblPr>
        <w:tblStyle w:val="33"/>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431"/>
        <w:gridCol w:w="519"/>
        <w:gridCol w:w="1831"/>
        <w:gridCol w:w="308"/>
        <w:gridCol w:w="1204"/>
        <w:gridCol w:w="34"/>
        <w:gridCol w:w="1712"/>
        <w:gridCol w:w="35"/>
        <w:gridCol w:w="2126"/>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trPr>
        <w:tc>
          <w:tcPr>
            <w:tcW w:w="9200" w:type="dxa"/>
            <w:gridSpan w:val="9"/>
            <w:vAlign w:val="center"/>
          </w:tcPr>
          <w:p>
            <w:pPr>
              <w:widowControl/>
              <w:spacing w:after="0" w:line="340" w:lineRule="exact"/>
              <w:jc w:val="center"/>
              <w:outlineLvl w:val="1"/>
              <w:rPr>
                <w:rFonts w:ascii="宋体" w:hAnsi="宋体" w:cs="宋体"/>
                <w:color w:val="auto"/>
                <w:sz w:val="24"/>
                <w:highlight w:val="none"/>
              </w:rPr>
            </w:pPr>
            <w:r>
              <w:rPr>
                <w:rFonts w:hint="eastAsia" w:ascii="宋体" w:hAnsi="宋体" w:cs="宋体"/>
                <w:b/>
                <w:color w:val="auto"/>
                <w:kern w:val="0"/>
                <w:sz w:val="24"/>
                <w:highlight w:val="none"/>
              </w:rPr>
              <w:t>中标（成交）供应商的相关信息</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4" w:hRule="atLeast"/>
        </w:trPr>
        <w:tc>
          <w:tcPr>
            <w:tcW w:w="1950" w:type="dxa"/>
            <w:gridSpan w:val="2"/>
            <w:vAlign w:val="center"/>
          </w:tcPr>
          <w:p>
            <w:pPr>
              <w:widowControl/>
              <w:spacing w:after="0" w:line="340" w:lineRule="exact"/>
              <w:jc w:val="left"/>
              <w:outlineLvl w:val="1"/>
              <w:rPr>
                <w:rFonts w:ascii="宋体" w:hAnsi="宋体" w:cs="宋体"/>
                <w:color w:val="auto"/>
                <w:sz w:val="24"/>
                <w:highlight w:val="none"/>
              </w:rPr>
            </w:pPr>
            <w:r>
              <w:rPr>
                <w:rFonts w:hint="eastAsia" w:ascii="宋体" w:hAnsi="宋体" w:cs="宋体"/>
                <w:color w:val="auto"/>
                <w:sz w:val="24"/>
                <w:highlight w:val="none"/>
              </w:rPr>
              <w:t>*项目名称</w:t>
            </w:r>
          </w:p>
        </w:tc>
        <w:tc>
          <w:tcPr>
            <w:tcW w:w="7250" w:type="dxa"/>
            <w:gridSpan w:val="7"/>
            <w:vAlign w:val="center"/>
          </w:tcPr>
          <w:p>
            <w:pPr>
              <w:widowControl/>
              <w:spacing w:after="0" w:line="340" w:lineRule="exact"/>
              <w:ind w:firstLine="470" w:firstLineChars="196"/>
              <w:jc w:val="left"/>
              <w:outlineLvl w:val="1"/>
              <w:rPr>
                <w:rFonts w:ascii="宋体" w:hAnsi="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4" w:hRule="atLeast"/>
        </w:trPr>
        <w:tc>
          <w:tcPr>
            <w:tcW w:w="1950" w:type="dxa"/>
            <w:gridSpan w:val="2"/>
            <w:vAlign w:val="center"/>
          </w:tcPr>
          <w:p>
            <w:pPr>
              <w:widowControl/>
              <w:spacing w:after="0" w:line="340" w:lineRule="exact"/>
              <w:jc w:val="left"/>
              <w:outlineLvl w:val="1"/>
              <w:rPr>
                <w:rFonts w:ascii="宋体" w:hAnsi="宋体" w:cs="宋体"/>
                <w:color w:val="auto"/>
                <w:sz w:val="24"/>
                <w:highlight w:val="none"/>
              </w:rPr>
            </w:pPr>
            <w:r>
              <w:rPr>
                <w:rFonts w:hint="eastAsia" w:ascii="宋体" w:hAnsi="宋体" w:cs="宋体"/>
                <w:color w:val="auto"/>
                <w:sz w:val="24"/>
                <w:highlight w:val="none"/>
              </w:rPr>
              <w:t>*投标人名称</w:t>
            </w:r>
          </w:p>
        </w:tc>
        <w:tc>
          <w:tcPr>
            <w:tcW w:w="7250" w:type="dxa"/>
            <w:gridSpan w:val="7"/>
            <w:vAlign w:val="center"/>
          </w:tcPr>
          <w:p>
            <w:pPr>
              <w:widowControl/>
              <w:spacing w:after="0" w:line="340" w:lineRule="exact"/>
              <w:ind w:firstLine="470" w:firstLineChars="196"/>
              <w:jc w:val="left"/>
              <w:outlineLvl w:val="1"/>
              <w:rPr>
                <w:rFonts w:ascii="宋体" w:hAnsi="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4" w:hRule="atLeast"/>
        </w:trPr>
        <w:tc>
          <w:tcPr>
            <w:tcW w:w="1950" w:type="dxa"/>
            <w:gridSpan w:val="2"/>
            <w:vAlign w:val="center"/>
          </w:tcPr>
          <w:p>
            <w:pPr>
              <w:widowControl/>
              <w:spacing w:after="0" w:line="340" w:lineRule="exact"/>
              <w:jc w:val="left"/>
              <w:outlineLvl w:val="1"/>
              <w:rPr>
                <w:rFonts w:ascii="宋体" w:hAnsi="宋体" w:cs="宋体"/>
                <w:color w:val="auto"/>
                <w:sz w:val="24"/>
                <w:highlight w:val="none"/>
              </w:rPr>
            </w:pPr>
            <w:r>
              <w:rPr>
                <w:rFonts w:hint="eastAsia" w:ascii="宋体" w:hAnsi="宋体" w:cs="宋体"/>
                <w:color w:val="auto"/>
                <w:sz w:val="24"/>
                <w:highlight w:val="none"/>
              </w:rPr>
              <w:t>*注册地址</w:t>
            </w:r>
          </w:p>
        </w:tc>
        <w:tc>
          <w:tcPr>
            <w:tcW w:w="3343" w:type="dxa"/>
            <w:gridSpan w:val="3"/>
            <w:tcBorders>
              <w:right w:val="single" w:color="auto" w:sz="4" w:space="0"/>
            </w:tcBorders>
            <w:vAlign w:val="center"/>
          </w:tcPr>
          <w:p>
            <w:pPr>
              <w:widowControl/>
              <w:spacing w:after="0" w:line="340" w:lineRule="exact"/>
              <w:jc w:val="left"/>
              <w:outlineLvl w:val="1"/>
              <w:rPr>
                <w:rFonts w:ascii="宋体" w:hAnsi="宋体" w:cs="宋体"/>
                <w:color w:val="auto"/>
                <w:sz w:val="24"/>
                <w:highlight w:val="none"/>
              </w:rPr>
            </w:pPr>
          </w:p>
        </w:tc>
        <w:tc>
          <w:tcPr>
            <w:tcW w:w="1781" w:type="dxa"/>
            <w:gridSpan w:val="3"/>
            <w:tcBorders>
              <w:left w:val="single" w:color="auto" w:sz="4" w:space="0"/>
              <w:right w:val="single" w:color="auto" w:sz="4" w:space="0"/>
            </w:tcBorders>
            <w:vAlign w:val="center"/>
          </w:tcPr>
          <w:p>
            <w:pPr>
              <w:widowControl/>
              <w:spacing w:after="0" w:line="340" w:lineRule="exact"/>
              <w:jc w:val="left"/>
              <w:outlineLvl w:val="1"/>
              <w:rPr>
                <w:rFonts w:ascii="宋体" w:hAnsi="宋体" w:cs="宋体"/>
                <w:color w:val="auto"/>
                <w:sz w:val="24"/>
                <w:highlight w:val="none"/>
              </w:rPr>
            </w:pPr>
            <w:r>
              <w:rPr>
                <w:rFonts w:hint="eastAsia" w:ascii="宋体" w:hAnsi="宋体" w:cs="宋体"/>
                <w:color w:val="auto"/>
                <w:sz w:val="24"/>
                <w:highlight w:val="none"/>
              </w:rPr>
              <w:t>*行政区域</w:t>
            </w:r>
          </w:p>
        </w:tc>
        <w:tc>
          <w:tcPr>
            <w:tcW w:w="2126" w:type="dxa"/>
            <w:tcBorders>
              <w:left w:val="single" w:color="auto" w:sz="4" w:space="0"/>
            </w:tcBorders>
            <w:vAlign w:val="center"/>
          </w:tcPr>
          <w:p>
            <w:pPr>
              <w:widowControl/>
              <w:spacing w:after="0" w:line="340" w:lineRule="exact"/>
              <w:ind w:firstLine="470" w:firstLineChars="196"/>
              <w:jc w:val="left"/>
              <w:outlineLvl w:val="1"/>
              <w:rPr>
                <w:rFonts w:ascii="宋体" w:hAnsi="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4" w:hRule="atLeast"/>
        </w:trPr>
        <w:tc>
          <w:tcPr>
            <w:tcW w:w="1950" w:type="dxa"/>
            <w:gridSpan w:val="2"/>
            <w:vAlign w:val="center"/>
          </w:tcPr>
          <w:p>
            <w:pPr>
              <w:widowControl/>
              <w:spacing w:after="0" w:line="340" w:lineRule="exact"/>
              <w:jc w:val="left"/>
              <w:outlineLvl w:val="1"/>
              <w:rPr>
                <w:rFonts w:ascii="宋体" w:hAnsi="宋体" w:cs="宋体"/>
                <w:color w:val="auto"/>
                <w:sz w:val="24"/>
                <w:highlight w:val="none"/>
              </w:rPr>
            </w:pPr>
            <w:r>
              <w:rPr>
                <w:rFonts w:hint="eastAsia" w:ascii="宋体" w:hAnsi="宋体" w:cs="宋体"/>
                <w:color w:val="auto"/>
                <w:sz w:val="24"/>
                <w:highlight w:val="none"/>
              </w:rPr>
              <w:t>*供应商规模</w:t>
            </w:r>
          </w:p>
        </w:tc>
        <w:tc>
          <w:tcPr>
            <w:tcW w:w="7250" w:type="dxa"/>
            <w:gridSpan w:val="7"/>
            <w:vAlign w:val="center"/>
          </w:tcPr>
          <w:p>
            <w:pPr>
              <w:widowControl/>
              <w:spacing w:after="0" w:line="340" w:lineRule="exact"/>
              <w:jc w:val="center"/>
              <w:outlineLvl w:val="1"/>
              <w:rPr>
                <w:rFonts w:ascii="宋体" w:hAnsi="宋体" w:cs="宋体"/>
                <w:color w:val="auto"/>
                <w:sz w:val="24"/>
                <w:highlight w:val="none"/>
              </w:rPr>
            </w:pPr>
            <w:r>
              <w:rPr>
                <w:rFonts w:hint="eastAsia" w:ascii="宋体" w:hAnsi="宋体" w:cs="宋体"/>
                <w:color w:val="auto"/>
                <w:szCs w:val="21"/>
                <w:highlight w:val="none"/>
              </w:rPr>
              <w:t>□大型企业   □中型企业   □小微型企业（对应处打“√”）</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4" w:hRule="atLeast"/>
        </w:trPr>
        <w:tc>
          <w:tcPr>
            <w:tcW w:w="1950" w:type="dxa"/>
            <w:gridSpan w:val="2"/>
            <w:vMerge w:val="restart"/>
            <w:vAlign w:val="center"/>
          </w:tcPr>
          <w:p>
            <w:pPr>
              <w:widowControl/>
              <w:spacing w:after="0" w:line="340" w:lineRule="exact"/>
              <w:jc w:val="left"/>
              <w:outlineLvl w:val="1"/>
              <w:rPr>
                <w:rFonts w:ascii="宋体" w:hAnsi="宋体" w:cs="宋体"/>
                <w:color w:val="auto"/>
                <w:sz w:val="24"/>
                <w:highlight w:val="none"/>
              </w:rPr>
            </w:pPr>
            <w:r>
              <w:rPr>
                <w:rFonts w:hint="eastAsia" w:ascii="宋体" w:hAnsi="宋体" w:cs="宋体"/>
                <w:color w:val="auto"/>
                <w:sz w:val="24"/>
                <w:highlight w:val="none"/>
              </w:rPr>
              <w:t>*单位联系方式</w:t>
            </w:r>
          </w:p>
        </w:tc>
        <w:tc>
          <w:tcPr>
            <w:tcW w:w="1831" w:type="dxa"/>
            <w:vAlign w:val="center"/>
          </w:tcPr>
          <w:p>
            <w:pPr>
              <w:widowControl/>
              <w:spacing w:after="0" w:line="340" w:lineRule="exact"/>
              <w:jc w:val="left"/>
              <w:outlineLvl w:val="1"/>
              <w:rPr>
                <w:rFonts w:ascii="宋体" w:hAnsi="宋体" w:cs="宋体"/>
                <w:color w:val="auto"/>
                <w:sz w:val="24"/>
                <w:highlight w:val="none"/>
              </w:rPr>
            </w:pPr>
            <w:r>
              <w:rPr>
                <w:rFonts w:hint="eastAsia" w:ascii="宋体" w:hAnsi="宋体" w:cs="宋体"/>
                <w:color w:val="auto"/>
                <w:sz w:val="24"/>
                <w:highlight w:val="none"/>
              </w:rPr>
              <w:t>*单位联系人</w:t>
            </w:r>
          </w:p>
        </w:tc>
        <w:tc>
          <w:tcPr>
            <w:tcW w:w="1546" w:type="dxa"/>
            <w:gridSpan w:val="3"/>
            <w:vAlign w:val="center"/>
          </w:tcPr>
          <w:p>
            <w:pPr>
              <w:widowControl/>
              <w:spacing w:after="0" w:line="340" w:lineRule="exact"/>
              <w:ind w:firstLine="470" w:firstLineChars="196"/>
              <w:jc w:val="left"/>
              <w:outlineLvl w:val="1"/>
              <w:rPr>
                <w:rFonts w:ascii="宋体" w:hAnsi="宋体" w:cs="宋体"/>
                <w:color w:val="auto"/>
                <w:sz w:val="24"/>
                <w:highlight w:val="none"/>
              </w:rPr>
            </w:pPr>
          </w:p>
        </w:tc>
        <w:tc>
          <w:tcPr>
            <w:tcW w:w="1712" w:type="dxa"/>
            <w:vAlign w:val="center"/>
          </w:tcPr>
          <w:p>
            <w:pPr>
              <w:widowControl/>
              <w:spacing w:after="0" w:line="340" w:lineRule="exact"/>
              <w:jc w:val="left"/>
              <w:outlineLvl w:val="1"/>
              <w:rPr>
                <w:rFonts w:ascii="宋体" w:hAnsi="宋体" w:cs="宋体"/>
                <w:color w:val="auto"/>
                <w:sz w:val="24"/>
                <w:highlight w:val="none"/>
              </w:rPr>
            </w:pPr>
            <w:r>
              <w:rPr>
                <w:rFonts w:hint="eastAsia" w:ascii="宋体" w:hAnsi="宋体" w:cs="宋体"/>
                <w:color w:val="auto"/>
                <w:sz w:val="24"/>
                <w:highlight w:val="none"/>
              </w:rPr>
              <w:t>*单位电话</w:t>
            </w:r>
          </w:p>
        </w:tc>
        <w:tc>
          <w:tcPr>
            <w:tcW w:w="2161" w:type="dxa"/>
            <w:gridSpan w:val="2"/>
            <w:vAlign w:val="center"/>
          </w:tcPr>
          <w:p>
            <w:pPr>
              <w:widowControl/>
              <w:spacing w:after="0" w:line="340" w:lineRule="exact"/>
              <w:ind w:firstLine="470" w:firstLineChars="196"/>
              <w:jc w:val="left"/>
              <w:outlineLvl w:val="1"/>
              <w:rPr>
                <w:rFonts w:ascii="宋体" w:hAnsi="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1950" w:type="dxa"/>
            <w:gridSpan w:val="2"/>
            <w:vMerge w:val="continue"/>
            <w:vAlign w:val="center"/>
          </w:tcPr>
          <w:p>
            <w:pPr>
              <w:spacing w:after="0" w:line="340" w:lineRule="exact"/>
              <w:rPr>
                <w:rFonts w:ascii="宋体" w:hAnsi="宋体" w:cs="宋体"/>
                <w:color w:val="auto"/>
                <w:highlight w:val="none"/>
              </w:rPr>
            </w:pPr>
          </w:p>
        </w:tc>
        <w:tc>
          <w:tcPr>
            <w:tcW w:w="1831" w:type="dxa"/>
            <w:vAlign w:val="center"/>
          </w:tcPr>
          <w:p>
            <w:pPr>
              <w:widowControl/>
              <w:spacing w:after="0" w:line="340" w:lineRule="exact"/>
              <w:jc w:val="left"/>
              <w:outlineLvl w:val="1"/>
              <w:rPr>
                <w:rFonts w:ascii="宋体" w:hAnsi="宋体" w:cs="宋体"/>
                <w:color w:val="auto"/>
                <w:sz w:val="24"/>
                <w:highlight w:val="none"/>
              </w:rPr>
            </w:pPr>
            <w:r>
              <w:rPr>
                <w:rFonts w:hint="eastAsia" w:ascii="宋体" w:hAnsi="宋体" w:cs="宋体"/>
                <w:color w:val="auto"/>
                <w:sz w:val="24"/>
                <w:highlight w:val="none"/>
              </w:rPr>
              <w:t>*单位邮箱</w:t>
            </w:r>
          </w:p>
        </w:tc>
        <w:tc>
          <w:tcPr>
            <w:tcW w:w="5419" w:type="dxa"/>
            <w:gridSpan w:val="6"/>
            <w:vAlign w:val="center"/>
          </w:tcPr>
          <w:p>
            <w:pPr>
              <w:widowControl/>
              <w:spacing w:after="0" w:line="340" w:lineRule="exact"/>
              <w:ind w:firstLine="470" w:firstLineChars="196"/>
              <w:jc w:val="left"/>
              <w:outlineLvl w:val="1"/>
              <w:rPr>
                <w:rFonts w:ascii="宋体" w:hAnsi="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6" w:hRule="atLeast"/>
        </w:trPr>
        <w:tc>
          <w:tcPr>
            <w:tcW w:w="9200" w:type="dxa"/>
            <w:gridSpan w:val="9"/>
            <w:vAlign w:val="center"/>
          </w:tcPr>
          <w:p>
            <w:pPr>
              <w:widowControl/>
              <w:spacing w:after="0" w:line="340" w:lineRule="exact"/>
              <w:ind w:firstLine="472" w:firstLineChars="196"/>
              <w:jc w:val="left"/>
              <w:outlineLvl w:val="1"/>
              <w:rPr>
                <w:rFonts w:ascii="宋体" w:hAnsi="宋体" w:cs="宋体"/>
                <w:color w:val="auto"/>
                <w:sz w:val="24"/>
                <w:highlight w:val="none"/>
              </w:rPr>
            </w:pPr>
            <w:r>
              <w:rPr>
                <w:rFonts w:hint="eastAsia" w:ascii="宋体" w:hAnsi="宋体" w:cs="宋体"/>
                <w:b/>
                <w:bCs/>
                <w:color w:val="auto"/>
                <w:sz w:val="24"/>
                <w:highlight w:val="none"/>
              </w:rPr>
              <w:t>注：以上*号项信息供应商须如实填写，信息将录入四川省政府采购计划执行系统，若因供应商提供错误信息造成的问题，由其自身承担。</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6" w:hRule="atLeast"/>
        </w:trPr>
        <w:tc>
          <w:tcPr>
            <w:tcW w:w="1431" w:type="dxa"/>
            <w:vMerge w:val="restart"/>
            <w:tcBorders>
              <w:right w:val="single" w:color="auto" w:sz="4" w:space="0"/>
            </w:tcBorders>
            <w:vAlign w:val="center"/>
          </w:tcPr>
          <w:p>
            <w:pPr>
              <w:widowControl/>
              <w:spacing w:after="0" w:line="340" w:lineRule="exact"/>
              <w:jc w:val="left"/>
              <w:outlineLvl w:val="1"/>
              <w:rPr>
                <w:rFonts w:ascii="宋体" w:hAnsi="宋体" w:cs="宋体"/>
                <w:b/>
                <w:bCs/>
                <w:color w:val="auto"/>
                <w:sz w:val="24"/>
                <w:highlight w:val="none"/>
              </w:rPr>
            </w:pPr>
            <w:r>
              <w:rPr>
                <w:rFonts w:hint="eastAsia" w:ascii="宋体" w:hAnsi="宋体" w:cs="宋体"/>
                <w:b/>
                <w:bCs/>
                <w:color w:val="auto"/>
                <w:sz w:val="24"/>
                <w:highlight w:val="none"/>
              </w:rPr>
              <w:t>供应商应答“采购文件”的主要内容</w:t>
            </w:r>
          </w:p>
        </w:tc>
        <w:tc>
          <w:tcPr>
            <w:tcW w:w="2658" w:type="dxa"/>
            <w:gridSpan w:val="3"/>
            <w:tcBorders>
              <w:left w:val="single" w:color="auto" w:sz="4" w:space="0"/>
              <w:right w:val="single" w:color="auto" w:sz="4" w:space="0"/>
            </w:tcBorders>
            <w:vAlign w:val="center"/>
          </w:tcPr>
          <w:p>
            <w:pPr>
              <w:spacing w:after="0" w:line="340" w:lineRule="exact"/>
              <w:jc w:val="left"/>
              <w:rPr>
                <w:rFonts w:ascii="宋体" w:hAnsi="宋体" w:cs="宋体"/>
                <w:b/>
                <w:bCs/>
                <w:color w:val="auto"/>
                <w:sz w:val="24"/>
                <w:highlight w:val="none"/>
              </w:rPr>
            </w:pPr>
            <w:r>
              <w:rPr>
                <w:rFonts w:hint="eastAsia" w:ascii="宋体" w:hAnsi="宋体" w:cs="宋体"/>
                <w:bCs/>
                <w:color w:val="auto"/>
                <w:kern w:val="0"/>
                <w:sz w:val="24"/>
                <w:highlight w:val="none"/>
              </w:rPr>
              <w:t>主要中标或者成交标的的名称</w:t>
            </w:r>
          </w:p>
        </w:tc>
        <w:tc>
          <w:tcPr>
            <w:tcW w:w="5111" w:type="dxa"/>
            <w:gridSpan w:val="5"/>
            <w:tcBorders>
              <w:left w:val="single" w:color="auto" w:sz="4" w:space="0"/>
            </w:tcBorders>
            <w:vAlign w:val="center"/>
          </w:tcPr>
          <w:p>
            <w:pPr>
              <w:spacing w:after="0" w:line="340" w:lineRule="exact"/>
              <w:jc w:val="left"/>
              <w:rPr>
                <w:rFonts w:ascii="宋体" w:hAnsi="宋体" w:cs="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6" w:hRule="atLeast"/>
        </w:trPr>
        <w:tc>
          <w:tcPr>
            <w:tcW w:w="1431" w:type="dxa"/>
            <w:vMerge w:val="continue"/>
            <w:tcBorders>
              <w:right w:val="single" w:color="auto" w:sz="4" w:space="0"/>
            </w:tcBorders>
            <w:vAlign w:val="center"/>
          </w:tcPr>
          <w:p>
            <w:pPr>
              <w:widowControl/>
              <w:spacing w:after="0" w:line="340" w:lineRule="exact"/>
              <w:ind w:firstLine="472" w:firstLineChars="196"/>
              <w:jc w:val="left"/>
              <w:outlineLvl w:val="1"/>
              <w:rPr>
                <w:rFonts w:ascii="宋体" w:hAnsi="宋体" w:cs="宋体"/>
                <w:b/>
                <w:bCs/>
                <w:color w:val="auto"/>
                <w:sz w:val="24"/>
                <w:highlight w:val="none"/>
              </w:rPr>
            </w:pPr>
          </w:p>
        </w:tc>
        <w:tc>
          <w:tcPr>
            <w:tcW w:w="2658" w:type="dxa"/>
            <w:gridSpan w:val="3"/>
            <w:tcBorders>
              <w:left w:val="single" w:color="auto" w:sz="4" w:space="0"/>
              <w:right w:val="single" w:color="auto" w:sz="4" w:space="0"/>
            </w:tcBorders>
            <w:vAlign w:val="center"/>
          </w:tcPr>
          <w:p>
            <w:pPr>
              <w:spacing w:after="0" w:line="340" w:lineRule="exact"/>
              <w:jc w:val="left"/>
              <w:rPr>
                <w:rFonts w:ascii="宋体" w:hAnsi="宋体" w:cs="宋体"/>
                <w:b/>
                <w:bCs/>
                <w:color w:val="auto"/>
                <w:sz w:val="24"/>
                <w:highlight w:val="none"/>
              </w:rPr>
            </w:pPr>
            <w:r>
              <w:rPr>
                <w:rFonts w:hint="eastAsia" w:ascii="宋体" w:hAnsi="宋体" w:cs="宋体"/>
                <w:bCs/>
                <w:color w:val="auto"/>
                <w:kern w:val="0"/>
                <w:sz w:val="24"/>
                <w:highlight w:val="none"/>
              </w:rPr>
              <w:t>主要中标或者成交标的的规格型号</w:t>
            </w:r>
          </w:p>
        </w:tc>
        <w:tc>
          <w:tcPr>
            <w:tcW w:w="5111" w:type="dxa"/>
            <w:gridSpan w:val="5"/>
            <w:tcBorders>
              <w:left w:val="single" w:color="auto" w:sz="4" w:space="0"/>
            </w:tcBorders>
            <w:vAlign w:val="center"/>
          </w:tcPr>
          <w:p>
            <w:pPr>
              <w:spacing w:after="0" w:line="340" w:lineRule="exact"/>
              <w:jc w:val="left"/>
              <w:rPr>
                <w:rFonts w:ascii="宋体" w:hAnsi="宋体" w:cs="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6" w:hRule="atLeast"/>
        </w:trPr>
        <w:tc>
          <w:tcPr>
            <w:tcW w:w="1431" w:type="dxa"/>
            <w:vMerge w:val="continue"/>
            <w:tcBorders>
              <w:right w:val="single" w:color="auto" w:sz="4" w:space="0"/>
            </w:tcBorders>
            <w:vAlign w:val="center"/>
          </w:tcPr>
          <w:p>
            <w:pPr>
              <w:widowControl/>
              <w:spacing w:after="0" w:line="340" w:lineRule="exact"/>
              <w:ind w:firstLine="472" w:firstLineChars="196"/>
              <w:jc w:val="left"/>
              <w:outlineLvl w:val="1"/>
              <w:rPr>
                <w:rFonts w:ascii="宋体" w:hAnsi="宋体" w:cs="宋体"/>
                <w:b/>
                <w:bCs/>
                <w:color w:val="auto"/>
                <w:sz w:val="24"/>
                <w:highlight w:val="none"/>
              </w:rPr>
            </w:pPr>
          </w:p>
        </w:tc>
        <w:tc>
          <w:tcPr>
            <w:tcW w:w="2658" w:type="dxa"/>
            <w:gridSpan w:val="3"/>
            <w:tcBorders>
              <w:left w:val="single" w:color="auto" w:sz="4" w:space="0"/>
              <w:right w:val="single" w:color="auto" w:sz="4" w:space="0"/>
            </w:tcBorders>
            <w:vAlign w:val="center"/>
          </w:tcPr>
          <w:p>
            <w:pPr>
              <w:spacing w:after="0" w:line="340" w:lineRule="exact"/>
              <w:jc w:val="left"/>
              <w:rPr>
                <w:rFonts w:ascii="宋体" w:hAnsi="宋体" w:cs="宋体"/>
                <w:b/>
                <w:bCs/>
                <w:color w:val="auto"/>
                <w:sz w:val="24"/>
                <w:highlight w:val="none"/>
              </w:rPr>
            </w:pPr>
            <w:r>
              <w:rPr>
                <w:rFonts w:hint="eastAsia" w:ascii="宋体" w:hAnsi="宋体" w:cs="宋体"/>
                <w:bCs/>
                <w:color w:val="auto"/>
                <w:kern w:val="0"/>
                <w:sz w:val="24"/>
                <w:highlight w:val="none"/>
              </w:rPr>
              <w:t>主要中标或者成交标的的数量</w:t>
            </w:r>
          </w:p>
        </w:tc>
        <w:tc>
          <w:tcPr>
            <w:tcW w:w="5111" w:type="dxa"/>
            <w:gridSpan w:val="5"/>
            <w:tcBorders>
              <w:left w:val="single" w:color="auto" w:sz="4" w:space="0"/>
            </w:tcBorders>
            <w:vAlign w:val="center"/>
          </w:tcPr>
          <w:p>
            <w:pPr>
              <w:spacing w:after="0" w:line="340" w:lineRule="exact"/>
              <w:jc w:val="left"/>
              <w:rPr>
                <w:rFonts w:ascii="宋体" w:hAnsi="宋体" w:cs="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6" w:hRule="atLeast"/>
        </w:trPr>
        <w:tc>
          <w:tcPr>
            <w:tcW w:w="1431" w:type="dxa"/>
            <w:vMerge w:val="continue"/>
            <w:tcBorders>
              <w:right w:val="single" w:color="auto" w:sz="4" w:space="0"/>
            </w:tcBorders>
            <w:vAlign w:val="center"/>
          </w:tcPr>
          <w:p>
            <w:pPr>
              <w:widowControl/>
              <w:spacing w:after="0" w:line="340" w:lineRule="exact"/>
              <w:ind w:firstLine="472" w:firstLineChars="196"/>
              <w:jc w:val="left"/>
              <w:outlineLvl w:val="1"/>
              <w:rPr>
                <w:rFonts w:ascii="宋体" w:hAnsi="宋体" w:cs="宋体"/>
                <w:b/>
                <w:bCs/>
                <w:color w:val="auto"/>
                <w:sz w:val="24"/>
                <w:highlight w:val="none"/>
              </w:rPr>
            </w:pPr>
          </w:p>
        </w:tc>
        <w:tc>
          <w:tcPr>
            <w:tcW w:w="2658" w:type="dxa"/>
            <w:gridSpan w:val="3"/>
            <w:tcBorders>
              <w:left w:val="single" w:color="auto" w:sz="4" w:space="0"/>
              <w:right w:val="single" w:color="auto" w:sz="4" w:space="0"/>
            </w:tcBorders>
            <w:vAlign w:val="center"/>
          </w:tcPr>
          <w:p>
            <w:pPr>
              <w:spacing w:after="0" w:line="340" w:lineRule="exact"/>
              <w:jc w:val="left"/>
              <w:rPr>
                <w:rFonts w:ascii="宋体" w:hAnsi="宋体" w:cs="宋体"/>
                <w:b/>
                <w:bCs/>
                <w:color w:val="auto"/>
                <w:sz w:val="24"/>
                <w:highlight w:val="none"/>
              </w:rPr>
            </w:pPr>
            <w:r>
              <w:rPr>
                <w:rFonts w:hint="eastAsia" w:ascii="宋体" w:hAnsi="宋体" w:cs="宋体"/>
                <w:bCs/>
                <w:color w:val="auto"/>
                <w:kern w:val="0"/>
                <w:sz w:val="24"/>
                <w:highlight w:val="none"/>
              </w:rPr>
              <w:t>主要中标或者成交标的的单价</w:t>
            </w:r>
          </w:p>
        </w:tc>
        <w:tc>
          <w:tcPr>
            <w:tcW w:w="5111" w:type="dxa"/>
            <w:gridSpan w:val="5"/>
            <w:tcBorders>
              <w:left w:val="single" w:color="auto" w:sz="4" w:space="0"/>
            </w:tcBorders>
            <w:vAlign w:val="center"/>
          </w:tcPr>
          <w:p>
            <w:pPr>
              <w:spacing w:after="0" w:line="340" w:lineRule="exact"/>
              <w:jc w:val="left"/>
              <w:rPr>
                <w:rFonts w:ascii="宋体" w:hAnsi="宋体" w:cs="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43" w:hRule="atLeast"/>
        </w:trPr>
        <w:tc>
          <w:tcPr>
            <w:tcW w:w="1431" w:type="dxa"/>
            <w:vMerge w:val="continue"/>
            <w:tcBorders>
              <w:right w:val="single" w:color="auto" w:sz="4" w:space="0"/>
            </w:tcBorders>
            <w:vAlign w:val="center"/>
          </w:tcPr>
          <w:p>
            <w:pPr>
              <w:widowControl/>
              <w:spacing w:after="0" w:line="340" w:lineRule="exact"/>
              <w:ind w:firstLine="472" w:firstLineChars="196"/>
              <w:jc w:val="left"/>
              <w:outlineLvl w:val="1"/>
              <w:rPr>
                <w:rFonts w:ascii="宋体" w:hAnsi="宋体" w:cs="宋体"/>
                <w:b/>
                <w:bCs/>
                <w:color w:val="auto"/>
                <w:sz w:val="24"/>
                <w:highlight w:val="none"/>
              </w:rPr>
            </w:pPr>
          </w:p>
        </w:tc>
        <w:tc>
          <w:tcPr>
            <w:tcW w:w="2658" w:type="dxa"/>
            <w:gridSpan w:val="3"/>
            <w:tcBorders>
              <w:left w:val="single" w:color="auto" w:sz="4" w:space="0"/>
              <w:right w:val="single" w:color="auto" w:sz="4" w:space="0"/>
            </w:tcBorders>
            <w:vAlign w:val="center"/>
          </w:tcPr>
          <w:p>
            <w:pPr>
              <w:spacing w:after="0" w:line="340" w:lineRule="exact"/>
              <w:jc w:val="left"/>
              <w:rPr>
                <w:rFonts w:ascii="宋体" w:hAnsi="宋体" w:cs="宋体"/>
                <w:b/>
                <w:bCs/>
                <w:color w:val="auto"/>
                <w:sz w:val="24"/>
                <w:highlight w:val="none"/>
              </w:rPr>
            </w:pPr>
            <w:r>
              <w:rPr>
                <w:rFonts w:hint="eastAsia" w:ascii="宋体" w:hAnsi="宋体" w:cs="宋体"/>
                <w:bCs/>
                <w:color w:val="auto"/>
                <w:kern w:val="0"/>
                <w:sz w:val="24"/>
                <w:highlight w:val="none"/>
              </w:rPr>
              <w:t>主要中标或者成交标的的服务要求（如：交货期、质保期、售后服务等等）</w:t>
            </w:r>
          </w:p>
        </w:tc>
        <w:tc>
          <w:tcPr>
            <w:tcW w:w="5111" w:type="dxa"/>
            <w:gridSpan w:val="5"/>
            <w:tcBorders>
              <w:left w:val="single" w:color="auto" w:sz="4" w:space="0"/>
            </w:tcBorders>
            <w:vAlign w:val="center"/>
          </w:tcPr>
          <w:p>
            <w:pPr>
              <w:numPr>
                <w:ilvl w:val="0"/>
                <w:numId w:val="2"/>
              </w:numPr>
              <w:spacing w:after="0" w:line="340" w:lineRule="exact"/>
              <w:jc w:val="left"/>
              <w:rPr>
                <w:rFonts w:ascii="宋体" w:hAnsi="宋体" w:cs="宋体"/>
                <w:bCs/>
                <w:color w:val="auto"/>
                <w:sz w:val="24"/>
                <w:highlight w:val="none"/>
              </w:rPr>
            </w:pPr>
            <w:r>
              <w:rPr>
                <w:rFonts w:hint="eastAsia" w:ascii="宋体" w:hAnsi="宋体" w:cs="宋体"/>
                <w:bCs/>
                <w:color w:val="auto"/>
                <w:sz w:val="24"/>
                <w:highlight w:val="none"/>
              </w:rPr>
              <w:t>....</w:t>
            </w:r>
          </w:p>
          <w:p>
            <w:pPr>
              <w:numPr>
                <w:ilvl w:val="0"/>
                <w:numId w:val="2"/>
              </w:numPr>
              <w:spacing w:after="0" w:line="340" w:lineRule="exact"/>
              <w:jc w:val="left"/>
              <w:rPr>
                <w:rFonts w:ascii="宋体" w:hAnsi="宋体" w:cs="宋体"/>
                <w:bCs/>
                <w:color w:val="auto"/>
                <w:sz w:val="24"/>
                <w:highlight w:val="none"/>
              </w:rPr>
            </w:pPr>
            <w:r>
              <w:rPr>
                <w:rFonts w:hint="eastAsia" w:ascii="宋体" w:hAnsi="宋体" w:cs="宋体"/>
                <w:bCs/>
                <w:color w:val="auto"/>
                <w:sz w:val="24"/>
                <w:highlight w:val="none"/>
              </w:rPr>
              <w:t>....</w:t>
            </w:r>
          </w:p>
          <w:p>
            <w:pPr>
              <w:numPr>
                <w:ilvl w:val="0"/>
                <w:numId w:val="2"/>
              </w:numPr>
              <w:spacing w:after="0" w:line="340" w:lineRule="exact"/>
              <w:jc w:val="left"/>
              <w:rPr>
                <w:rFonts w:ascii="宋体" w:hAnsi="宋体" w:cs="宋体"/>
                <w:bCs/>
                <w:color w:val="auto"/>
                <w:sz w:val="24"/>
                <w:highlight w:val="none"/>
              </w:rPr>
            </w:pPr>
            <w:r>
              <w:rPr>
                <w:rFonts w:hint="eastAsia" w:ascii="宋体" w:hAnsi="宋体" w:cs="宋体"/>
                <w:bCs/>
                <w:color w:val="auto"/>
                <w:sz w:val="24"/>
                <w:highlight w:val="none"/>
              </w:rPr>
              <w:t>....</w:t>
            </w:r>
          </w:p>
          <w:p>
            <w:pPr>
              <w:spacing w:after="0" w:line="340" w:lineRule="exact"/>
              <w:jc w:val="left"/>
              <w:rPr>
                <w:rFonts w:ascii="宋体" w:hAnsi="宋体" w:cs="宋体"/>
                <w:b/>
                <w:bCs/>
                <w:color w:val="auto"/>
                <w:sz w:val="24"/>
                <w:highlight w:val="none"/>
              </w:rPr>
            </w:pPr>
            <w:r>
              <w:rPr>
                <w:rFonts w:hint="eastAsia" w:ascii="宋体" w:hAnsi="宋体" w:cs="宋体"/>
                <w:bCs/>
                <w:color w:val="auto"/>
                <w:sz w:val="24"/>
                <w:highlight w:val="none"/>
              </w:rPr>
              <w:t>......</w:t>
            </w:r>
          </w:p>
        </w:tc>
      </w:tr>
    </w:tbl>
    <w:p>
      <w:pPr>
        <w:spacing w:after="0" w:line="340" w:lineRule="exact"/>
        <w:rPr>
          <w:rFonts w:ascii="宋体" w:hAnsi="宋体" w:cs="宋体"/>
          <w:color w:val="auto"/>
          <w:sz w:val="24"/>
          <w:highlight w:val="none"/>
        </w:rPr>
      </w:pPr>
      <w:r>
        <w:rPr>
          <w:rFonts w:hint="eastAsia" w:ascii="宋体" w:hAnsi="宋体" w:cs="宋体"/>
          <w:color w:val="auto"/>
          <w:sz w:val="24"/>
          <w:highlight w:val="none"/>
        </w:rPr>
        <w:t>注：</w:t>
      </w:r>
    </w:p>
    <w:p>
      <w:pPr>
        <w:numPr>
          <w:ilvl w:val="0"/>
          <w:numId w:val="3"/>
        </w:numPr>
        <w:spacing w:after="0" w:line="340" w:lineRule="exact"/>
        <w:rPr>
          <w:rFonts w:ascii="宋体" w:hAnsi="宋体" w:cs="宋体"/>
          <w:color w:val="auto"/>
          <w:sz w:val="24"/>
          <w:highlight w:val="none"/>
        </w:rPr>
      </w:pPr>
      <w:r>
        <w:rPr>
          <w:rFonts w:hint="eastAsia" w:ascii="宋体" w:hAnsi="宋体" w:cs="宋体"/>
          <w:color w:val="auto"/>
          <w:sz w:val="24"/>
          <w:highlight w:val="none"/>
        </w:rPr>
        <w:t>供应商需如实完善表格内容。</w:t>
      </w:r>
    </w:p>
    <w:p>
      <w:pPr>
        <w:numPr>
          <w:ilvl w:val="0"/>
          <w:numId w:val="3"/>
        </w:numPr>
        <w:spacing w:after="0" w:line="340" w:lineRule="exact"/>
        <w:rPr>
          <w:rFonts w:ascii="宋体" w:hAnsi="宋体" w:cs="宋体"/>
          <w:color w:val="auto"/>
          <w:sz w:val="24"/>
          <w:highlight w:val="none"/>
        </w:rPr>
      </w:pPr>
      <w:r>
        <w:rPr>
          <w:rFonts w:hint="eastAsia" w:ascii="宋体" w:hAnsi="宋体" w:cs="宋体"/>
          <w:color w:val="auto"/>
          <w:sz w:val="24"/>
          <w:highlight w:val="none"/>
        </w:rPr>
        <w:t>供应商应答的主要内容应与投标文件一致，可以进行简要概括性表述。</w:t>
      </w:r>
    </w:p>
    <w:p>
      <w:pPr>
        <w:numPr>
          <w:ilvl w:val="0"/>
          <w:numId w:val="3"/>
        </w:numPr>
        <w:spacing w:after="0" w:line="340" w:lineRule="exact"/>
        <w:rPr>
          <w:rFonts w:ascii="宋体" w:hAnsi="宋体" w:cs="宋体"/>
          <w:color w:val="auto"/>
          <w:sz w:val="24"/>
          <w:highlight w:val="none"/>
        </w:rPr>
      </w:pPr>
      <w:r>
        <w:rPr>
          <w:rFonts w:hint="eastAsia" w:ascii="宋体" w:hAnsi="宋体" w:cs="宋体"/>
          <w:color w:val="auto"/>
          <w:sz w:val="24"/>
          <w:highlight w:val="none"/>
        </w:rPr>
        <w:t>供应商应答的主要内容仅用于结果公告，供应商自行完善的内容视为不涉及供应商商业秘密。若供应商没有填写或没有递交此表，视为允许采购代理机构将供应商投标文件中所有相关的应答内容进行公告。</w:t>
      </w:r>
    </w:p>
    <w:p>
      <w:pPr>
        <w:widowControl/>
        <w:spacing w:after="0" w:line="340" w:lineRule="exac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投标人名称：XXXX（单位盖章）。</w:t>
      </w:r>
    </w:p>
    <w:p>
      <w:pPr>
        <w:widowControl/>
        <w:spacing w:after="0" w:line="340" w:lineRule="exac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法定代表人/单位负责人或授权代表（签字或加盖个人名章）：XXXX。</w:t>
      </w:r>
    </w:p>
    <w:p>
      <w:pPr>
        <w:widowControl/>
        <w:spacing w:after="0" w:line="340" w:lineRule="exact"/>
        <w:ind w:firstLine="470" w:firstLineChars="196"/>
        <w:jc w:val="left"/>
        <w:outlineLvl w:val="1"/>
        <w:rPr>
          <w:rFonts w:ascii="宋体" w:hAnsi="宋体" w:cs="宋体"/>
          <w:b/>
          <w:color w:val="auto"/>
          <w:sz w:val="24"/>
          <w:highlight w:val="none"/>
        </w:rPr>
      </w:pPr>
      <w:r>
        <w:rPr>
          <w:rFonts w:hint="eastAsia" w:ascii="宋体" w:hAnsi="宋体" w:cs="宋体"/>
          <w:color w:val="auto"/>
          <w:sz w:val="24"/>
          <w:highlight w:val="none"/>
        </w:rPr>
        <w:t>投标日期: XXXX。</w:t>
      </w:r>
    </w:p>
    <w:p>
      <w:pPr>
        <w:spacing w:after="0" w:line="360" w:lineRule="auto"/>
        <w:rPr>
          <w:rFonts w:hint="eastAsia" w:ascii="宋体" w:hAnsi="宋体" w:eastAsia="宋体" w:cs="宋体"/>
          <w:b/>
          <w:color w:val="auto"/>
          <w:sz w:val="32"/>
          <w:szCs w:val="32"/>
          <w:highlight w:val="none"/>
          <w:lang w:eastAsia="zh-CN"/>
        </w:rPr>
      </w:pPr>
      <w:bookmarkStart w:id="168" w:name="_Toc217446088"/>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格式2-</w:t>
      </w:r>
      <w:r>
        <w:rPr>
          <w:rFonts w:hint="eastAsia" w:ascii="宋体" w:hAnsi="宋体" w:cs="宋体"/>
          <w:b/>
          <w:color w:val="auto"/>
          <w:sz w:val="32"/>
          <w:szCs w:val="32"/>
          <w:highlight w:val="none"/>
          <w:lang w:val="en-US" w:eastAsia="zh-CN"/>
        </w:rPr>
        <w:t>7</w:t>
      </w:r>
    </w:p>
    <w:p>
      <w:pPr>
        <w:widowControl/>
        <w:spacing w:after="0" w:line="360" w:lineRule="atLeast"/>
        <w:jc w:val="center"/>
        <w:outlineLvl w:val="1"/>
        <w:rPr>
          <w:rFonts w:ascii="宋体" w:hAnsi="宋体" w:cs="宋体"/>
          <w:b/>
          <w:color w:val="auto"/>
          <w:sz w:val="32"/>
          <w:szCs w:val="32"/>
          <w:highlight w:val="none"/>
        </w:rPr>
      </w:pPr>
      <w:r>
        <w:rPr>
          <w:rFonts w:hint="eastAsia" w:ascii="宋体" w:hAnsi="宋体" w:cs="宋体"/>
          <w:b/>
          <w:color w:val="auto"/>
          <w:sz w:val="32"/>
          <w:szCs w:val="32"/>
          <w:highlight w:val="none"/>
          <w:lang w:val="en-US" w:eastAsia="zh-CN"/>
        </w:rPr>
        <w:t>六</w:t>
      </w:r>
      <w:r>
        <w:rPr>
          <w:rFonts w:hint="eastAsia" w:ascii="宋体" w:hAnsi="宋体" w:cs="宋体"/>
          <w:b/>
          <w:color w:val="auto"/>
          <w:sz w:val="32"/>
          <w:szCs w:val="32"/>
          <w:highlight w:val="none"/>
        </w:rPr>
        <w:t>、投标人基本情况表</w:t>
      </w:r>
      <w:bookmarkEnd w:id="168"/>
    </w:p>
    <w:tbl>
      <w:tblPr>
        <w:tblStyle w:val="33"/>
        <w:tblW w:w="9339"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730"/>
        <w:gridCol w:w="1088"/>
        <w:gridCol w:w="1408"/>
        <w:gridCol w:w="1418"/>
        <w:gridCol w:w="1500"/>
        <w:gridCol w:w="180"/>
        <w:gridCol w:w="786"/>
        <w:gridCol w:w="122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07" w:hRule="atLeast"/>
        </w:trPr>
        <w:tc>
          <w:tcPr>
            <w:tcW w:w="1730" w:type="dxa"/>
            <w:vAlign w:val="center"/>
          </w:tcPr>
          <w:p>
            <w:pPr>
              <w:widowControl/>
              <w:spacing w:after="0"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投标人名称</w:t>
            </w:r>
          </w:p>
        </w:tc>
        <w:tc>
          <w:tcPr>
            <w:tcW w:w="7609" w:type="dxa"/>
            <w:gridSpan w:val="7"/>
            <w:vAlign w:val="center"/>
          </w:tcPr>
          <w:p>
            <w:pPr>
              <w:widowControl/>
              <w:spacing w:after="0" w:line="360" w:lineRule="atLeast"/>
              <w:ind w:firstLine="470" w:firstLineChars="196"/>
              <w:jc w:val="left"/>
              <w:outlineLvl w:val="1"/>
              <w:rPr>
                <w:rFonts w:ascii="宋体" w:hAnsi="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77" w:hRule="atLeast"/>
        </w:trPr>
        <w:tc>
          <w:tcPr>
            <w:tcW w:w="1730" w:type="dxa"/>
            <w:vAlign w:val="center"/>
          </w:tcPr>
          <w:p>
            <w:pPr>
              <w:widowControl/>
              <w:spacing w:after="0"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注册地址</w:t>
            </w:r>
          </w:p>
        </w:tc>
        <w:tc>
          <w:tcPr>
            <w:tcW w:w="3914" w:type="dxa"/>
            <w:gridSpan w:val="3"/>
            <w:vAlign w:val="center"/>
          </w:tcPr>
          <w:p>
            <w:pPr>
              <w:widowControl/>
              <w:spacing w:after="0" w:line="360" w:lineRule="atLeast"/>
              <w:ind w:firstLine="470" w:firstLineChars="196"/>
              <w:jc w:val="left"/>
              <w:outlineLvl w:val="1"/>
              <w:rPr>
                <w:rFonts w:ascii="宋体" w:hAnsi="宋体" w:cs="宋体"/>
                <w:color w:val="auto"/>
                <w:sz w:val="24"/>
                <w:highlight w:val="none"/>
              </w:rPr>
            </w:pPr>
          </w:p>
        </w:tc>
        <w:tc>
          <w:tcPr>
            <w:tcW w:w="1500" w:type="dxa"/>
            <w:vAlign w:val="center"/>
          </w:tcPr>
          <w:p>
            <w:pPr>
              <w:widowControl/>
              <w:spacing w:after="0"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邮政编码</w:t>
            </w:r>
          </w:p>
        </w:tc>
        <w:tc>
          <w:tcPr>
            <w:tcW w:w="2195" w:type="dxa"/>
            <w:gridSpan w:val="3"/>
            <w:vAlign w:val="center"/>
          </w:tcPr>
          <w:p>
            <w:pPr>
              <w:widowControl/>
              <w:spacing w:after="0" w:line="360" w:lineRule="atLeast"/>
              <w:ind w:firstLine="470" w:firstLineChars="196"/>
              <w:jc w:val="left"/>
              <w:outlineLvl w:val="1"/>
              <w:rPr>
                <w:rFonts w:ascii="宋体" w:hAnsi="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trPr>
        <w:tc>
          <w:tcPr>
            <w:tcW w:w="1730" w:type="dxa"/>
            <w:vMerge w:val="restart"/>
            <w:vAlign w:val="center"/>
          </w:tcPr>
          <w:p>
            <w:pPr>
              <w:widowControl/>
              <w:spacing w:after="0"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联系方式</w:t>
            </w:r>
          </w:p>
        </w:tc>
        <w:tc>
          <w:tcPr>
            <w:tcW w:w="1088" w:type="dxa"/>
            <w:vAlign w:val="center"/>
          </w:tcPr>
          <w:p>
            <w:pPr>
              <w:widowControl/>
              <w:spacing w:after="0"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联系人</w:t>
            </w:r>
          </w:p>
        </w:tc>
        <w:tc>
          <w:tcPr>
            <w:tcW w:w="2826" w:type="dxa"/>
            <w:gridSpan w:val="2"/>
            <w:vAlign w:val="center"/>
          </w:tcPr>
          <w:p>
            <w:pPr>
              <w:widowControl/>
              <w:spacing w:after="0" w:line="360" w:lineRule="atLeast"/>
              <w:ind w:firstLine="470" w:firstLineChars="196"/>
              <w:jc w:val="left"/>
              <w:outlineLvl w:val="1"/>
              <w:rPr>
                <w:rFonts w:ascii="宋体" w:hAnsi="宋体" w:cs="宋体"/>
                <w:color w:val="auto"/>
                <w:sz w:val="24"/>
                <w:highlight w:val="none"/>
              </w:rPr>
            </w:pPr>
          </w:p>
        </w:tc>
        <w:tc>
          <w:tcPr>
            <w:tcW w:w="1500" w:type="dxa"/>
            <w:vAlign w:val="center"/>
          </w:tcPr>
          <w:p>
            <w:pPr>
              <w:widowControl/>
              <w:spacing w:after="0"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电话</w:t>
            </w:r>
          </w:p>
        </w:tc>
        <w:tc>
          <w:tcPr>
            <w:tcW w:w="2195" w:type="dxa"/>
            <w:gridSpan w:val="3"/>
            <w:vAlign w:val="center"/>
          </w:tcPr>
          <w:p>
            <w:pPr>
              <w:widowControl/>
              <w:spacing w:after="0" w:line="360" w:lineRule="atLeast"/>
              <w:ind w:firstLine="470" w:firstLineChars="196"/>
              <w:jc w:val="left"/>
              <w:outlineLvl w:val="1"/>
              <w:rPr>
                <w:rFonts w:ascii="宋体" w:hAnsi="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75" w:hRule="atLeast"/>
        </w:trPr>
        <w:tc>
          <w:tcPr>
            <w:tcW w:w="1730" w:type="dxa"/>
            <w:vMerge w:val="continue"/>
            <w:vAlign w:val="center"/>
          </w:tcPr>
          <w:p>
            <w:pPr>
              <w:spacing w:after="0"/>
              <w:rPr>
                <w:rFonts w:ascii="宋体" w:hAnsi="宋体" w:cs="宋体"/>
                <w:color w:val="auto"/>
                <w:highlight w:val="none"/>
              </w:rPr>
            </w:pPr>
          </w:p>
        </w:tc>
        <w:tc>
          <w:tcPr>
            <w:tcW w:w="1088" w:type="dxa"/>
            <w:vAlign w:val="center"/>
          </w:tcPr>
          <w:p>
            <w:pPr>
              <w:widowControl/>
              <w:spacing w:after="0"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传真</w:t>
            </w:r>
          </w:p>
        </w:tc>
        <w:tc>
          <w:tcPr>
            <w:tcW w:w="2826" w:type="dxa"/>
            <w:gridSpan w:val="2"/>
            <w:vAlign w:val="center"/>
          </w:tcPr>
          <w:p>
            <w:pPr>
              <w:widowControl/>
              <w:spacing w:after="0" w:line="360" w:lineRule="atLeast"/>
              <w:ind w:firstLine="470" w:firstLineChars="196"/>
              <w:jc w:val="left"/>
              <w:outlineLvl w:val="1"/>
              <w:rPr>
                <w:rFonts w:ascii="宋体" w:hAnsi="宋体" w:cs="宋体"/>
                <w:color w:val="auto"/>
                <w:sz w:val="24"/>
                <w:highlight w:val="none"/>
              </w:rPr>
            </w:pPr>
          </w:p>
        </w:tc>
        <w:tc>
          <w:tcPr>
            <w:tcW w:w="1500" w:type="dxa"/>
            <w:vAlign w:val="center"/>
          </w:tcPr>
          <w:p>
            <w:pPr>
              <w:widowControl/>
              <w:spacing w:after="0"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网址</w:t>
            </w:r>
          </w:p>
        </w:tc>
        <w:tc>
          <w:tcPr>
            <w:tcW w:w="2195" w:type="dxa"/>
            <w:gridSpan w:val="3"/>
            <w:vAlign w:val="center"/>
          </w:tcPr>
          <w:p>
            <w:pPr>
              <w:widowControl/>
              <w:spacing w:after="0" w:line="360" w:lineRule="atLeast"/>
              <w:ind w:firstLine="470" w:firstLineChars="196"/>
              <w:jc w:val="left"/>
              <w:outlineLvl w:val="1"/>
              <w:rPr>
                <w:rFonts w:ascii="宋体" w:hAnsi="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trPr>
        <w:tc>
          <w:tcPr>
            <w:tcW w:w="1730" w:type="dxa"/>
            <w:vAlign w:val="center"/>
          </w:tcPr>
          <w:p>
            <w:pPr>
              <w:widowControl/>
              <w:spacing w:after="0"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组织结构</w:t>
            </w:r>
          </w:p>
        </w:tc>
        <w:tc>
          <w:tcPr>
            <w:tcW w:w="7609" w:type="dxa"/>
            <w:gridSpan w:val="7"/>
            <w:vAlign w:val="center"/>
          </w:tcPr>
          <w:p>
            <w:pPr>
              <w:widowControl/>
              <w:spacing w:after="0" w:line="360" w:lineRule="atLeast"/>
              <w:ind w:firstLine="470" w:firstLineChars="196"/>
              <w:jc w:val="left"/>
              <w:outlineLvl w:val="1"/>
              <w:rPr>
                <w:rFonts w:ascii="宋体" w:hAnsi="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094" w:hRule="atLeast"/>
        </w:trPr>
        <w:tc>
          <w:tcPr>
            <w:tcW w:w="1730" w:type="dxa"/>
            <w:vAlign w:val="center"/>
          </w:tcPr>
          <w:p>
            <w:pPr>
              <w:widowControl/>
              <w:spacing w:after="0"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法定代表人/单位负责人</w:t>
            </w:r>
          </w:p>
        </w:tc>
        <w:tc>
          <w:tcPr>
            <w:tcW w:w="1088" w:type="dxa"/>
            <w:vAlign w:val="center"/>
          </w:tcPr>
          <w:p>
            <w:pPr>
              <w:widowControl/>
              <w:spacing w:after="0"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姓名</w:t>
            </w:r>
          </w:p>
        </w:tc>
        <w:tc>
          <w:tcPr>
            <w:tcW w:w="1408" w:type="dxa"/>
            <w:vAlign w:val="center"/>
          </w:tcPr>
          <w:p>
            <w:pPr>
              <w:widowControl/>
              <w:spacing w:after="0" w:line="360" w:lineRule="atLeast"/>
              <w:ind w:firstLine="470" w:firstLineChars="196"/>
              <w:jc w:val="left"/>
              <w:outlineLvl w:val="1"/>
              <w:rPr>
                <w:rFonts w:ascii="宋体" w:hAnsi="宋体" w:cs="宋体"/>
                <w:color w:val="auto"/>
                <w:sz w:val="24"/>
                <w:highlight w:val="none"/>
              </w:rPr>
            </w:pPr>
          </w:p>
        </w:tc>
        <w:tc>
          <w:tcPr>
            <w:tcW w:w="1418" w:type="dxa"/>
            <w:vAlign w:val="center"/>
          </w:tcPr>
          <w:p>
            <w:pPr>
              <w:widowControl/>
              <w:spacing w:after="0"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技术职称</w:t>
            </w:r>
          </w:p>
        </w:tc>
        <w:tc>
          <w:tcPr>
            <w:tcW w:w="1500" w:type="dxa"/>
            <w:vAlign w:val="center"/>
          </w:tcPr>
          <w:p>
            <w:pPr>
              <w:widowControl/>
              <w:spacing w:after="0" w:line="360" w:lineRule="atLeast"/>
              <w:ind w:firstLine="470" w:firstLineChars="196"/>
              <w:jc w:val="left"/>
              <w:outlineLvl w:val="1"/>
              <w:rPr>
                <w:rFonts w:ascii="宋体" w:hAnsi="宋体" w:cs="宋体"/>
                <w:color w:val="auto"/>
                <w:sz w:val="24"/>
                <w:highlight w:val="none"/>
              </w:rPr>
            </w:pPr>
          </w:p>
        </w:tc>
        <w:tc>
          <w:tcPr>
            <w:tcW w:w="966" w:type="dxa"/>
            <w:gridSpan w:val="2"/>
            <w:vAlign w:val="center"/>
          </w:tcPr>
          <w:p>
            <w:pPr>
              <w:widowControl/>
              <w:spacing w:after="0"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电话</w:t>
            </w:r>
          </w:p>
        </w:tc>
        <w:tc>
          <w:tcPr>
            <w:tcW w:w="1229" w:type="dxa"/>
            <w:vAlign w:val="center"/>
          </w:tcPr>
          <w:p>
            <w:pPr>
              <w:widowControl/>
              <w:spacing w:after="0" w:line="360" w:lineRule="atLeast"/>
              <w:ind w:firstLine="470" w:firstLineChars="196"/>
              <w:jc w:val="left"/>
              <w:outlineLvl w:val="1"/>
              <w:rPr>
                <w:rFonts w:ascii="宋体" w:hAnsi="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730" w:type="dxa"/>
            <w:vAlign w:val="center"/>
          </w:tcPr>
          <w:p>
            <w:pPr>
              <w:widowControl/>
              <w:spacing w:after="0"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技术负责人</w:t>
            </w:r>
          </w:p>
        </w:tc>
        <w:tc>
          <w:tcPr>
            <w:tcW w:w="1088" w:type="dxa"/>
            <w:vAlign w:val="center"/>
          </w:tcPr>
          <w:p>
            <w:pPr>
              <w:widowControl/>
              <w:spacing w:after="0"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姓名</w:t>
            </w:r>
          </w:p>
        </w:tc>
        <w:tc>
          <w:tcPr>
            <w:tcW w:w="1408" w:type="dxa"/>
            <w:vAlign w:val="center"/>
          </w:tcPr>
          <w:p>
            <w:pPr>
              <w:widowControl/>
              <w:spacing w:after="0" w:line="360" w:lineRule="atLeast"/>
              <w:ind w:firstLine="470" w:firstLineChars="196"/>
              <w:jc w:val="left"/>
              <w:outlineLvl w:val="1"/>
              <w:rPr>
                <w:rFonts w:ascii="宋体" w:hAnsi="宋体" w:cs="宋体"/>
                <w:color w:val="auto"/>
                <w:sz w:val="24"/>
                <w:highlight w:val="none"/>
              </w:rPr>
            </w:pPr>
          </w:p>
        </w:tc>
        <w:tc>
          <w:tcPr>
            <w:tcW w:w="1418" w:type="dxa"/>
            <w:vAlign w:val="center"/>
          </w:tcPr>
          <w:p>
            <w:pPr>
              <w:widowControl/>
              <w:spacing w:after="0"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技术职称</w:t>
            </w:r>
          </w:p>
        </w:tc>
        <w:tc>
          <w:tcPr>
            <w:tcW w:w="1500" w:type="dxa"/>
            <w:vAlign w:val="center"/>
          </w:tcPr>
          <w:p>
            <w:pPr>
              <w:widowControl/>
              <w:spacing w:after="0" w:line="360" w:lineRule="atLeast"/>
              <w:ind w:firstLine="470" w:firstLineChars="196"/>
              <w:jc w:val="left"/>
              <w:outlineLvl w:val="1"/>
              <w:rPr>
                <w:rFonts w:ascii="宋体" w:hAnsi="宋体" w:cs="宋体"/>
                <w:color w:val="auto"/>
                <w:sz w:val="24"/>
                <w:highlight w:val="none"/>
              </w:rPr>
            </w:pPr>
          </w:p>
        </w:tc>
        <w:tc>
          <w:tcPr>
            <w:tcW w:w="966" w:type="dxa"/>
            <w:gridSpan w:val="2"/>
            <w:vAlign w:val="center"/>
          </w:tcPr>
          <w:p>
            <w:pPr>
              <w:widowControl/>
              <w:spacing w:after="0"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电话</w:t>
            </w:r>
          </w:p>
        </w:tc>
        <w:tc>
          <w:tcPr>
            <w:tcW w:w="1229" w:type="dxa"/>
            <w:vAlign w:val="center"/>
          </w:tcPr>
          <w:p>
            <w:pPr>
              <w:widowControl/>
              <w:spacing w:after="0" w:line="360" w:lineRule="atLeast"/>
              <w:ind w:firstLine="470" w:firstLineChars="196"/>
              <w:jc w:val="left"/>
              <w:outlineLvl w:val="1"/>
              <w:rPr>
                <w:rFonts w:ascii="宋体" w:hAnsi="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trPr>
        <w:tc>
          <w:tcPr>
            <w:tcW w:w="1730" w:type="dxa"/>
            <w:vAlign w:val="center"/>
          </w:tcPr>
          <w:p>
            <w:pPr>
              <w:widowControl/>
              <w:spacing w:after="0"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成立时间</w:t>
            </w:r>
          </w:p>
        </w:tc>
        <w:tc>
          <w:tcPr>
            <w:tcW w:w="2496" w:type="dxa"/>
            <w:gridSpan w:val="2"/>
            <w:vAlign w:val="center"/>
          </w:tcPr>
          <w:p>
            <w:pPr>
              <w:widowControl/>
              <w:spacing w:after="0" w:line="360" w:lineRule="atLeast"/>
              <w:ind w:firstLine="470" w:firstLineChars="196"/>
              <w:jc w:val="left"/>
              <w:outlineLvl w:val="1"/>
              <w:rPr>
                <w:rFonts w:ascii="宋体" w:hAnsi="宋体" w:cs="宋体"/>
                <w:color w:val="auto"/>
                <w:sz w:val="24"/>
                <w:highlight w:val="none"/>
              </w:rPr>
            </w:pPr>
          </w:p>
        </w:tc>
        <w:tc>
          <w:tcPr>
            <w:tcW w:w="5113" w:type="dxa"/>
            <w:gridSpan w:val="5"/>
            <w:vAlign w:val="center"/>
          </w:tcPr>
          <w:p>
            <w:pPr>
              <w:widowControl/>
              <w:spacing w:after="0"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35" w:hRule="atLeast"/>
        </w:trPr>
        <w:tc>
          <w:tcPr>
            <w:tcW w:w="1730" w:type="dxa"/>
            <w:vAlign w:val="center"/>
          </w:tcPr>
          <w:p>
            <w:pPr>
              <w:widowControl/>
              <w:spacing w:after="0"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企业资质等级</w:t>
            </w:r>
          </w:p>
        </w:tc>
        <w:tc>
          <w:tcPr>
            <w:tcW w:w="2496" w:type="dxa"/>
            <w:gridSpan w:val="2"/>
            <w:vAlign w:val="center"/>
          </w:tcPr>
          <w:p>
            <w:pPr>
              <w:widowControl/>
              <w:spacing w:after="0" w:line="360" w:lineRule="atLeast"/>
              <w:ind w:firstLine="470" w:firstLineChars="196"/>
              <w:jc w:val="left"/>
              <w:outlineLvl w:val="1"/>
              <w:rPr>
                <w:rFonts w:ascii="宋体" w:hAnsi="宋体" w:cs="宋体"/>
                <w:color w:val="auto"/>
                <w:sz w:val="24"/>
                <w:highlight w:val="none"/>
              </w:rPr>
            </w:pPr>
          </w:p>
        </w:tc>
        <w:tc>
          <w:tcPr>
            <w:tcW w:w="1418" w:type="dxa"/>
            <w:vMerge w:val="restart"/>
            <w:vAlign w:val="center"/>
          </w:tcPr>
          <w:p>
            <w:pPr>
              <w:widowControl/>
              <w:spacing w:after="0"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其中</w:t>
            </w:r>
          </w:p>
        </w:tc>
        <w:tc>
          <w:tcPr>
            <w:tcW w:w="1680" w:type="dxa"/>
            <w:gridSpan w:val="2"/>
            <w:vAlign w:val="center"/>
          </w:tcPr>
          <w:p>
            <w:pPr>
              <w:widowControl/>
              <w:spacing w:after="0"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项目经理</w:t>
            </w:r>
          </w:p>
        </w:tc>
        <w:tc>
          <w:tcPr>
            <w:tcW w:w="2015" w:type="dxa"/>
            <w:gridSpan w:val="2"/>
            <w:vAlign w:val="center"/>
          </w:tcPr>
          <w:p>
            <w:pPr>
              <w:widowControl/>
              <w:spacing w:after="0" w:line="360" w:lineRule="atLeast"/>
              <w:ind w:firstLine="470" w:firstLineChars="196"/>
              <w:jc w:val="left"/>
              <w:outlineLvl w:val="1"/>
              <w:rPr>
                <w:rFonts w:ascii="宋体" w:hAnsi="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35" w:hRule="atLeast"/>
        </w:trPr>
        <w:tc>
          <w:tcPr>
            <w:tcW w:w="1730" w:type="dxa"/>
            <w:vAlign w:val="center"/>
          </w:tcPr>
          <w:p>
            <w:pPr>
              <w:widowControl/>
              <w:spacing w:after="0"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营业执照号</w:t>
            </w:r>
          </w:p>
        </w:tc>
        <w:tc>
          <w:tcPr>
            <w:tcW w:w="2496" w:type="dxa"/>
            <w:gridSpan w:val="2"/>
            <w:vAlign w:val="center"/>
          </w:tcPr>
          <w:p>
            <w:pPr>
              <w:widowControl/>
              <w:spacing w:after="0" w:line="360" w:lineRule="atLeast"/>
              <w:ind w:firstLine="470" w:firstLineChars="196"/>
              <w:jc w:val="left"/>
              <w:outlineLvl w:val="1"/>
              <w:rPr>
                <w:rFonts w:ascii="宋体" w:hAnsi="宋体" w:cs="宋体"/>
                <w:color w:val="auto"/>
                <w:sz w:val="24"/>
                <w:highlight w:val="none"/>
              </w:rPr>
            </w:pPr>
          </w:p>
        </w:tc>
        <w:tc>
          <w:tcPr>
            <w:tcW w:w="1418" w:type="dxa"/>
            <w:vMerge w:val="continue"/>
            <w:vAlign w:val="center"/>
          </w:tcPr>
          <w:p>
            <w:pPr>
              <w:spacing w:after="0"/>
              <w:rPr>
                <w:rFonts w:ascii="宋体" w:hAnsi="宋体" w:cs="宋体"/>
                <w:color w:val="auto"/>
                <w:highlight w:val="none"/>
              </w:rPr>
            </w:pPr>
          </w:p>
        </w:tc>
        <w:tc>
          <w:tcPr>
            <w:tcW w:w="1680" w:type="dxa"/>
            <w:gridSpan w:val="2"/>
            <w:vAlign w:val="center"/>
          </w:tcPr>
          <w:p>
            <w:pPr>
              <w:widowControl/>
              <w:spacing w:after="0"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高级职称人员</w:t>
            </w:r>
          </w:p>
        </w:tc>
        <w:tc>
          <w:tcPr>
            <w:tcW w:w="2015" w:type="dxa"/>
            <w:gridSpan w:val="2"/>
            <w:vAlign w:val="center"/>
          </w:tcPr>
          <w:p>
            <w:pPr>
              <w:widowControl/>
              <w:spacing w:after="0" w:line="360" w:lineRule="atLeast"/>
              <w:ind w:firstLine="470" w:firstLineChars="196"/>
              <w:jc w:val="left"/>
              <w:outlineLvl w:val="1"/>
              <w:rPr>
                <w:rFonts w:ascii="宋体" w:hAnsi="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35" w:hRule="atLeast"/>
        </w:trPr>
        <w:tc>
          <w:tcPr>
            <w:tcW w:w="1730" w:type="dxa"/>
            <w:vAlign w:val="center"/>
          </w:tcPr>
          <w:p>
            <w:pPr>
              <w:widowControl/>
              <w:spacing w:after="0"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注册资金</w:t>
            </w:r>
          </w:p>
        </w:tc>
        <w:tc>
          <w:tcPr>
            <w:tcW w:w="2496" w:type="dxa"/>
            <w:gridSpan w:val="2"/>
            <w:vAlign w:val="center"/>
          </w:tcPr>
          <w:p>
            <w:pPr>
              <w:widowControl/>
              <w:spacing w:after="0" w:line="360" w:lineRule="atLeast"/>
              <w:ind w:firstLine="470" w:firstLineChars="196"/>
              <w:jc w:val="left"/>
              <w:outlineLvl w:val="1"/>
              <w:rPr>
                <w:rFonts w:ascii="宋体" w:hAnsi="宋体" w:cs="宋体"/>
                <w:color w:val="auto"/>
                <w:sz w:val="24"/>
                <w:highlight w:val="none"/>
              </w:rPr>
            </w:pPr>
          </w:p>
        </w:tc>
        <w:tc>
          <w:tcPr>
            <w:tcW w:w="1418" w:type="dxa"/>
            <w:vMerge w:val="continue"/>
            <w:vAlign w:val="center"/>
          </w:tcPr>
          <w:p>
            <w:pPr>
              <w:spacing w:after="0"/>
              <w:rPr>
                <w:rFonts w:ascii="宋体" w:hAnsi="宋体" w:cs="宋体"/>
                <w:color w:val="auto"/>
                <w:highlight w:val="none"/>
              </w:rPr>
            </w:pPr>
          </w:p>
        </w:tc>
        <w:tc>
          <w:tcPr>
            <w:tcW w:w="1680" w:type="dxa"/>
            <w:gridSpan w:val="2"/>
            <w:vAlign w:val="center"/>
          </w:tcPr>
          <w:p>
            <w:pPr>
              <w:widowControl/>
              <w:spacing w:after="0"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中级职称人员</w:t>
            </w:r>
          </w:p>
        </w:tc>
        <w:tc>
          <w:tcPr>
            <w:tcW w:w="2015" w:type="dxa"/>
            <w:gridSpan w:val="2"/>
            <w:vAlign w:val="center"/>
          </w:tcPr>
          <w:p>
            <w:pPr>
              <w:widowControl/>
              <w:spacing w:after="0" w:line="360" w:lineRule="atLeast"/>
              <w:ind w:firstLine="470" w:firstLineChars="196"/>
              <w:jc w:val="left"/>
              <w:outlineLvl w:val="1"/>
              <w:rPr>
                <w:rFonts w:ascii="宋体" w:hAnsi="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35" w:hRule="atLeast"/>
        </w:trPr>
        <w:tc>
          <w:tcPr>
            <w:tcW w:w="1730" w:type="dxa"/>
            <w:vAlign w:val="center"/>
          </w:tcPr>
          <w:p>
            <w:pPr>
              <w:widowControl/>
              <w:spacing w:after="0"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开户银行</w:t>
            </w:r>
          </w:p>
        </w:tc>
        <w:tc>
          <w:tcPr>
            <w:tcW w:w="2496" w:type="dxa"/>
            <w:gridSpan w:val="2"/>
            <w:vAlign w:val="center"/>
          </w:tcPr>
          <w:p>
            <w:pPr>
              <w:widowControl/>
              <w:spacing w:after="0" w:line="360" w:lineRule="atLeast"/>
              <w:ind w:firstLine="470" w:firstLineChars="196"/>
              <w:jc w:val="left"/>
              <w:outlineLvl w:val="1"/>
              <w:rPr>
                <w:rFonts w:ascii="宋体" w:hAnsi="宋体" w:cs="宋体"/>
                <w:color w:val="auto"/>
                <w:sz w:val="24"/>
                <w:highlight w:val="none"/>
              </w:rPr>
            </w:pPr>
          </w:p>
        </w:tc>
        <w:tc>
          <w:tcPr>
            <w:tcW w:w="1418" w:type="dxa"/>
            <w:vMerge w:val="continue"/>
            <w:vAlign w:val="center"/>
          </w:tcPr>
          <w:p>
            <w:pPr>
              <w:spacing w:after="0"/>
              <w:rPr>
                <w:rFonts w:ascii="宋体" w:hAnsi="宋体" w:cs="宋体"/>
                <w:color w:val="auto"/>
                <w:highlight w:val="none"/>
              </w:rPr>
            </w:pPr>
          </w:p>
        </w:tc>
        <w:tc>
          <w:tcPr>
            <w:tcW w:w="1680" w:type="dxa"/>
            <w:gridSpan w:val="2"/>
            <w:vAlign w:val="center"/>
          </w:tcPr>
          <w:p>
            <w:pPr>
              <w:widowControl/>
              <w:spacing w:after="0"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初级职称人员</w:t>
            </w:r>
          </w:p>
        </w:tc>
        <w:tc>
          <w:tcPr>
            <w:tcW w:w="2015" w:type="dxa"/>
            <w:gridSpan w:val="2"/>
            <w:vAlign w:val="center"/>
          </w:tcPr>
          <w:p>
            <w:pPr>
              <w:widowControl/>
              <w:spacing w:after="0" w:line="360" w:lineRule="atLeast"/>
              <w:ind w:firstLine="470" w:firstLineChars="196"/>
              <w:jc w:val="left"/>
              <w:outlineLvl w:val="1"/>
              <w:rPr>
                <w:rFonts w:ascii="宋体" w:hAnsi="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trPr>
        <w:tc>
          <w:tcPr>
            <w:tcW w:w="1730" w:type="dxa"/>
            <w:vAlign w:val="center"/>
          </w:tcPr>
          <w:p>
            <w:pPr>
              <w:widowControl/>
              <w:spacing w:after="0"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账号</w:t>
            </w:r>
          </w:p>
        </w:tc>
        <w:tc>
          <w:tcPr>
            <w:tcW w:w="2496" w:type="dxa"/>
            <w:gridSpan w:val="2"/>
            <w:vAlign w:val="center"/>
          </w:tcPr>
          <w:p>
            <w:pPr>
              <w:widowControl/>
              <w:spacing w:after="0" w:line="360" w:lineRule="atLeast"/>
              <w:ind w:firstLine="470" w:firstLineChars="196"/>
              <w:jc w:val="left"/>
              <w:outlineLvl w:val="1"/>
              <w:rPr>
                <w:rFonts w:ascii="宋体" w:hAnsi="宋体" w:cs="宋体"/>
                <w:color w:val="auto"/>
                <w:sz w:val="24"/>
                <w:highlight w:val="none"/>
              </w:rPr>
            </w:pPr>
          </w:p>
        </w:tc>
        <w:tc>
          <w:tcPr>
            <w:tcW w:w="1418" w:type="dxa"/>
            <w:vMerge w:val="continue"/>
            <w:vAlign w:val="center"/>
          </w:tcPr>
          <w:p>
            <w:pPr>
              <w:spacing w:after="0"/>
              <w:rPr>
                <w:rFonts w:ascii="宋体" w:hAnsi="宋体" w:cs="宋体"/>
                <w:color w:val="auto"/>
                <w:highlight w:val="none"/>
              </w:rPr>
            </w:pPr>
          </w:p>
        </w:tc>
        <w:tc>
          <w:tcPr>
            <w:tcW w:w="1680" w:type="dxa"/>
            <w:gridSpan w:val="2"/>
            <w:vAlign w:val="center"/>
          </w:tcPr>
          <w:p>
            <w:pPr>
              <w:widowControl/>
              <w:spacing w:after="0"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技工</w:t>
            </w:r>
          </w:p>
        </w:tc>
        <w:tc>
          <w:tcPr>
            <w:tcW w:w="2015" w:type="dxa"/>
            <w:gridSpan w:val="2"/>
            <w:vAlign w:val="center"/>
          </w:tcPr>
          <w:p>
            <w:pPr>
              <w:widowControl/>
              <w:spacing w:after="0" w:line="360" w:lineRule="atLeast"/>
              <w:ind w:firstLine="470" w:firstLineChars="196"/>
              <w:jc w:val="left"/>
              <w:outlineLvl w:val="1"/>
              <w:rPr>
                <w:rFonts w:ascii="宋体" w:hAnsi="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795" w:hRule="atLeast"/>
        </w:trPr>
        <w:tc>
          <w:tcPr>
            <w:tcW w:w="1730" w:type="dxa"/>
            <w:vAlign w:val="center"/>
          </w:tcPr>
          <w:p>
            <w:pPr>
              <w:widowControl/>
              <w:spacing w:after="0"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经营范围</w:t>
            </w:r>
          </w:p>
        </w:tc>
        <w:tc>
          <w:tcPr>
            <w:tcW w:w="7609" w:type="dxa"/>
            <w:gridSpan w:val="7"/>
            <w:vAlign w:val="center"/>
          </w:tcPr>
          <w:p>
            <w:pPr>
              <w:widowControl/>
              <w:spacing w:after="0" w:line="360" w:lineRule="atLeast"/>
              <w:ind w:firstLine="470" w:firstLineChars="196"/>
              <w:jc w:val="left"/>
              <w:outlineLvl w:val="1"/>
              <w:rPr>
                <w:rFonts w:ascii="宋体" w:hAnsi="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31" w:hRule="atLeast"/>
        </w:trPr>
        <w:tc>
          <w:tcPr>
            <w:tcW w:w="1730" w:type="dxa"/>
          </w:tcPr>
          <w:p>
            <w:pPr>
              <w:widowControl/>
              <w:spacing w:after="0"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备注</w:t>
            </w:r>
          </w:p>
        </w:tc>
        <w:tc>
          <w:tcPr>
            <w:tcW w:w="7609" w:type="dxa"/>
            <w:gridSpan w:val="7"/>
          </w:tcPr>
          <w:p>
            <w:pPr>
              <w:widowControl/>
              <w:spacing w:after="0" w:line="360" w:lineRule="atLeast"/>
              <w:ind w:firstLine="470" w:firstLineChars="196"/>
              <w:jc w:val="left"/>
              <w:outlineLvl w:val="1"/>
              <w:rPr>
                <w:rFonts w:ascii="宋体" w:hAnsi="宋体" w:cs="宋体"/>
                <w:color w:val="auto"/>
                <w:sz w:val="24"/>
                <w:highlight w:val="none"/>
              </w:rPr>
            </w:pPr>
          </w:p>
        </w:tc>
      </w:tr>
    </w:tbl>
    <w:p>
      <w:pPr>
        <w:widowControl/>
        <w:spacing w:after="0"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投标人名称：XXXX（单位盖章）。</w:t>
      </w:r>
    </w:p>
    <w:p>
      <w:pPr>
        <w:widowControl/>
        <w:spacing w:after="0"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法定代表人/单位负责人或授权代表（签字或加盖个人名章）：XXXX。</w:t>
      </w:r>
    </w:p>
    <w:p>
      <w:pPr>
        <w:widowControl/>
        <w:spacing w:after="0"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投标日期: XXXX。</w:t>
      </w:r>
    </w:p>
    <w:p>
      <w:pPr>
        <w:spacing w:line="360" w:lineRule="auto"/>
        <w:rPr>
          <w:rFonts w:hint="eastAsia" w:ascii="宋体" w:hAnsi="宋体" w:eastAsia="宋体" w:cs="宋体"/>
          <w:b/>
          <w:color w:val="auto"/>
          <w:sz w:val="32"/>
          <w:szCs w:val="32"/>
          <w:highlight w:val="none"/>
          <w:lang w:eastAsia="zh-CN"/>
        </w:rPr>
      </w:pPr>
      <w:bookmarkStart w:id="169" w:name="_Toc217446089"/>
      <w:r>
        <w:rPr>
          <w:rFonts w:hint="eastAsia" w:ascii="宋体" w:hAnsi="宋体" w:cs="宋体"/>
          <w:b/>
          <w:color w:val="auto"/>
          <w:sz w:val="36"/>
          <w:szCs w:val="36"/>
          <w:highlight w:val="none"/>
        </w:rPr>
        <w:br w:type="page"/>
      </w:r>
      <w:r>
        <w:rPr>
          <w:rFonts w:hint="eastAsia" w:ascii="宋体" w:hAnsi="宋体" w:cs="宋体"/>
          <w:b/>
          <w:color w:val="auto"/>
          <w:sz w:val="32"/>
          <w:szCs w:val="32"/>
          <w:highlight w:val="none"/>
        </w:rPr>
        <w:t>格式2-</w:t>
      </w:r>
      <w:r>
        <w:rPr>
          <w:rFonts w:hint="eastAsia" w:ascii="宋体" w:hAnsi="宋体" w:cs="宋体"/>
          <w:b/>
          <w:color w:val="auto"/>
          <w:sz w:val="32"/>
          <w:szCs w:val="32"/>
          <w:highlight w:val="none"/>
          <w:lang w:val="en-US" w:eastAsia="zh-CN"/>
        </w:rPr>
        <w:t>8</w:t>
      </w:r>
    </w:p>
    <w:p>
      <w:pPr>
        <w:widowControl/>
        <w:spacing w:line="360" w:lineRule="atLeast"/>
        <w:jc w:val="center"/>
        <w:outlineLvl w:val="1"/>
        <w:rPr>
          <w:rFonts w:hint="eastAsia" w:ascii="宋体" w:hAnsi="宋体" w:cs="宋体"/>
          <w:b/>
          <w:color w:val="auto"/>
          <w:sz w:val="36"/>
          <w:szCs w:val="36"/>
          <w:highlight w:val="none"/>
        </w:rPr>
      </w:pPr>
      <w:r>
        <w:rPr>
          <w:rFonts w:hint="eastAsia" w:ascii="宋体" w:hAnsi="宋体" w:cs="宋体"/>
          <w:b/>
          <w:color w:val="auto"/>
          <w:sz w:val="36"/>
          <w:szCs w:val="36"/>
          <w:highlight w:val="none"/>
          <w:lang w:val="en-US" w:eastAsia="zh-CN"/>
        </w:rPr>
        <w:t>七</w:t>
      </w:r>
      <w:r>
        <w:rPr>
          <w:rFonts w:hint="eastAsia" w:ascii="宋体" w:hAnsi="宋体" w:cs="宋体"/>
          <w:b/>
          <w:color w:val="auto"/>
          <w:sz w:val="36"/>
          <w:szCs w:val="36"/>
          <w:highlight w:val="none"/>
        </w:rPr>
        <w:t>、类似项目业绩一览表</w:t>
      </w:r>
      <w:bookmarkEnd w:id="169"/>
    </w:p>
    <w:p>
      <w:pPr>
        <w:pStyle w:val="13"/>
        <w:rPr>
          <w:rFonts w:hint="eastAsia" w:eastAsia="宋体"/>
          <w:highlight w:val="none"/>
          <w:lang w:val="en-US" w:eastAsia="zh-CN"/>
        </w:rPr>
      </w:pPr>
      <w:r>
        <w:rPr>
          <w:rFonts w:hint="eastAsia"/>
          <w:highlight w:val="none"/>
          <w:lang w:val="en-US" w:eastAsia="zh-CN"/>
        </w:rPr>
        <w:t>项目名称：                                                          包号：</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97"/>
        <w:gridCol w:w="1595"/>
        <w:gridCol w:w="1462"/>
        <w:gridCol w:w="2062"/>
        <w:gridCol w:w="1406"/>
        <w:gridCol w:w="121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0" w:hRule="atLeast"/>
          <w:jc w:val="center"/>
        </w:trPr>
        <w:tc>
          <w:tcPr>
            <w:tcW w:w="797" w:type="dxa"/>
            <w:tcBorders>
              <w:top w:val="single" w:color="auto" w:sz="4" w:space="0"/>
            </w:tcBorders>
            <w:vAlign w:val="center"/>
          </w:tcPr>
          <w:p>
            <w:pPr>
              <w:widowControl/>
              <w:spacing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序号</w:t>
            </w:r>
          </w:p>
        </w:tc>
        <w:tc>
          <w:tcPr>
            <w:tcW w:w="1595" w:type="dxa"/>
            <w:vAlign w:val="center"/>
          </w:tcPr>
          <w:p>
            <w:pPr>
              <w:widowControl/>
              <w:spacing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用户名称</w:t>
            </w:r>
          </w:p>
        </w:tc>
        <w:tc>
          <w:tcPr>
            <w:tcW w:w="1462" w:type="dxa"/>
            <w:vAlign w:val="center"/>
          </w:tcPr>
          <w:p>
            <w:pPr>
              <w:widowControl/>
              <w:spacing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项目名称</w:t>
            </w:r>
          </w:p>
        </w:tc>
        <w:tc>
          <w:tcPr>
            <w:tcW w:w="2062" w:type="dxa"/>
            <w:vAlign w:val="center"/>
          </w:tcPr>
          <w:p>
            <w:pPr>
              <w:widowControl/>
              <w:spacing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合同签订时间</w:t>
            </w:r>
          </w:p>
        </w:tc>
        <w:tc>
          <w:tcPr>
            <w:tcW w:w="1406" w:type="dxa"/>
            <w:vAlign w:val="center"/>
          </w:tcPr>
          <w:p>
            <w:pPr>
              <w:widowControl/>
              <w:spacing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合同金额</w:t>
            </w:r>
          </w:p>
        </w:tc>
        <w:tc>
          <w:tcPr>
            <w:tcW w:w="1215" w:type="dxa"/>
            <w:tcBorders>
              <w:left w:val="single" w:color="auto" w:sz="4" w:space="0"/>
            </w:tcBorders>
            <w:vAlign w:val="center"/>
          </w:tcPr>
          <w:p>
            <w:pPr>
              <w:widowControl/>
              <w:spacing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6" w:hRule="atLeast"/>
          <w:jc w:val="center"/>
        </w:trPr>
        <w:tc>
          <w:tcPr>
            <w:tcW w:w="797" w:type="dxa"/>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595" w:type="dxa"/>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462" w:type="dxa"/>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2062" w:type="dxa"/>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406" w:type="dxa"/>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215" w:type="dxa"/>
            <w:tcBorders>
              <w:left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6" w:hRule="atLeast"/>
          <w:jc w:val="center"/>
        </w:trPr>
        <w:tc>
          <w:tcPr>
            <w:tcW w:w="797" w:type="dxa"/>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595" w:type="dxa"/>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462" w:type="dxa"/>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2062" w:type="dxa"/>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406" w:type="dxa"/>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215" w:type="dxa"/>
            <w:tcBorders>
              <w:left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6" w:hRule="atLeast"/>
          <w:jc w:val="center"/>
        </w:trPr>
        <w:tc>
          <w:tcPr>
            <w:tcW w:w="797" w:type="dxa"/>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595" w:type="dxa"/>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462" w:type="dxa"/>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2062" w:type="dxa"/>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406" w:type="dxa"/>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215" w:type="dxa"/>
            <w:tcBorders>
              <w:left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6" w:hRule="atLeast"/>
          <w:jc w:val="center"/>
        </w:trPr>
        <w:tc>
          <w:tcPr>
            <w:tcW w:w="797" w:type="dxa"/>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595" w:type="dxa"/>
            <w:tcBorders>
              <w:right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462" w:type="dxa"/>
            <w:tcBorders>
              <w:left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2062" w:type="dxa"/>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406" w:type="dxa"/>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215" w:type="dxa"/>
            <w:tcBorders>
              <w:left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6" w:hRule="atLeast"/>
          <w:jc w:val="center"/>
        </w:trPr>
        <w:tc>
          <w:tcPr>
            <w:tcW w:w="797" w:type="dxa"/>
            <w:tcBorders>
              <w:right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595"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462"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2062"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406"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215" w:type="dxa"/>
            <w:tcBorders>
              <w:left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6" w:hRule="atLeast"/>
          <w:jc w:val="center"/>
        </w:trPr>
        <w:tc>
          <w:tcPr>
            <w:tcW w:w="797" w:type="dxa"/>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595" w:type="dxa"/>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462" w:type="dxa"/>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2062" w:type="dxa"/>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406" w:type="dxa"/>
            <w:tcBorders>
              <w:right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215" w:type="dxa"/>
            <w:tcBorders>
              <w:left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6" w:hRule="atLeast"/>
          <w:jc w:val="center"/>
        </w:trPr>
        <w:tc>
          <w:tcPr>
            <w:tcW w:w="797" w:type="dxa"/>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595" w:type="dxa"/>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462" w:type="dxa"/>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2062" w:type="dxa"/>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406" w:type="dxa"/>
            <w:tcBorders>
              <w:right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215" w:type="dxa"/>
            <w:tcBorders>
              <w:left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6" w:hRule="atLeast"/>
          <w:jc w:val="center"/>
        </w:trPr>
        <w:tc>
          <w:tcPr>
            <w:tcW w:w="797" w:type="dxa"/>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595" w:type="dxa"/>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462" w:type="dxa"/>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2062" w:type="dxa"/>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406" w:type="dxa"/>
            <w:tcBorders>
              <w:right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215" w:type="dxa"/>
            <w:tcBorders>
              <w:left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35" w:hRule="atLeast"/>
          <w:jc w:val="center"/>
        </w:trPr>
        <w:tc>
          <w:tcPr>
            <w:tcW w:w="797" w:type="dxa"/>
            <w:tcBorders>
              <w:bottom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595" w:type="dxa"/>
            <w:tcBorders>
              <w:bottom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462" w:type="dxa"/>
            <w:tcBorders>
              <w:bottom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2062" w:type="dxa"/>
            <w:tcBorders>
              <w:bottom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406" w:type="dxa"/>
            <w:tcBorders>
              <w:bottom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215" w:type="dxa"/>
            <w:tcBorders>
              <w:left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6" w:hRule="atLeast"/>
          <w:jc w:val="center"/>
        </w:trPr>
        <w:tc>
          <w:tcPr>
            <w:tcW w:w="797"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595"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462"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2062"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406" w:type="dxa"/>
            <w:tcBorders>
              <w:top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215" w:type="dxa"/>
            <w:tcBorders>
              <w:top w:val="single" w:color="auto" w:sz="4" w:space="0"/>
              <w:left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36" w:hRule="atLeast"/>
          <w:jc w:val="center"/>
        </w:trPr>
        <w:tc>
          <w:tcPr>
            <w:tcW w:w="797"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595"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462"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2062"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406" w:type="dxa"/>
            <w:tcBorders>
              <w:top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215" w:type="dxa"/>
            <w:tcBorders>
              <w:top w:val="single" w:color="auto" w:sz="4" w:space="0"/>
              <w:left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r>
    </w:tbl>
    <w:p>
      <w:pPr>
        <w:widowControl/>
        <w:spacing w:line="360" w:lineRule="atLeast"/>
        <w:ind w:firstLine="470" w:firstLineChars="196"/>
        <w:jc w:val="left"/>
        <w:outlineLvl w:val="1"/>
        <w:rPr>
          <w:rFonts w:ascii="宋体" w:hAnsi="宋体" w:cs="宋体"/>
          <w:color w:val="auto"/>
          <w:sz w:val="24"/>
          <w:highlight w:val="none"/>
        </w:rPr>
      </w:pP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注：按综合评分明细表要求提供相关证明材料。</w:t>
      </w:r>
    </w:p>
    <w:p>
      <w:pPr>
        <w:widowControl/>
        <w:spacing w:line="360" w:lineRule="atLeast"/>
        <w:ind w:firstLine="470" w:firstLineChars="196"/>
        <w:jc w:val="left"/>
        <w:outlineLvl w:val="1"/>
        <w:rPr>
          <w:rFonts w:ascii="宋体" w:hAnsi="宋体" w:cs="宋体"/>
          <w:color w:val="auto"/>
          <w:sz w:val="24"/>
          <w:highlight w:val="none"/>
        </w:rPr>
      </w:pP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投标人名称：XXXX（单位盖章）。</w:t>
      </w: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法定代表人/单位负责人或授权代表（签字或加盖个人名章）：XXXX。</w:t>
      </w:r>
    </w:p>
    <w:p>
      <w:pPr>
        <w:widowControl/>
        <w:spacing w:line="360" w:lineRule="atLeast"/>
        <w:ind w:firstLine="480" w:firstLineChars="200"/>
        <w:jc w:val="left"/>
        <w:outlineLvl w:val="1"/>
        <w:rPr>
          <w:rFonts w:hint="eastAsia" w:ascii="宋体" w:hAnsi="宋体" w:eastAsia="宋体" w:cs="宋体"/>
          <w:b/>
          <w:color w:val="auto"/>
          <w:sz w:val="32"/>
          <w:szCs w:val="32"/>
          <w:highlight w:val="none"/>
          <w:lang w:eastAsia="zh-CN"/>
        </w:rPr>
      </w:pPr>
      <w:r>
        <w:rPr>
          <w:rFonts w:hint="eastAsia" w:ascii="宋体" w:hAnsi="宋体" w:cs="宋体"/>
          <w:color w:val="auto"/>
          <w:sz w:val="24"/>
          <w:highlight w:val="none"/>
        </w:rPr>
        <w:t>投标日期: XXXX。</w:t>
      </w:r>
      <w:bookmarkStart w:id="170" w:name="_Toc217446090"/>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格式2-</w:t>
      </w:r>
      <w:r>
        <w:rPr>
          <w:rFonts w:hint="eastAsia" w:ascii="宋体" w:hAnsi="宋体" w:cs="宋体"/>
          <w:b/>
          <w:color w:val="auto"/>
          <w:sz w:val="32"/>
          <w:szCs w:val="32"/>
          <w:highlight w:val="none"/>
          <w:lang w:val="en-US" w:eastAsia="zh-CN"/>
        </w:rPr>
        <w:t>9</w:t>
      </w:r>
    </w:p>
    <w:p>
      <w:pPr>
        <w:widowControl/>
        <w:spacing w:line="360" w:lineRule="atLeast"/>
        <w:jc w:val="center"/>
        <w:outlineLvl w:val="1"/>
        <w:rPr>
          <w:rFonts w:hint="eastAsia" w:ascii="宋体" w:hAnsi="宋体" w:cs="宋体"/>
          <w:b/>
          <w:color w:val="auto"/>
          <w:sz w:val="32"/>
          <w:szCs w:val="32"/>
          <w:highlight w:val="none"/>
        </w:rPr>
      </w:pPr>
      <w:r>
        <w:rPr>
          <w:rFonts w:hint="eastAsia" w:ascii="宋体" w:hAnsi="宋体" w:cs="宋体"/>
          <w:b/>
          <w:color w:val="auto"/>
          <w:sz w:val="32"/>
          <w:szCs w:val="32"/>
          <w:highlight w:val="none"/>
          <w:lang w:val="en-US" w:eastAsia="zh-CN"/>
        </w:rPr>
        <w:t>八</w:t>
      </w:r>
      <w:r>
        <w:rPr>
          <w:rFonts w:hint="eastAsia" w:ascii="宋体" w:hAnsi="宋体" w:cs="宋体"/>
          <w:b/>
          <w:color w:val="auto"/>
          <w:sz w:val="32"/>
          <w:szCs w:val="32"/>
          <w:highlight w:val="none"/>
        </w:rPr>
        <w:t>、投标产品技术参数要求应答表</w:t>
      </w:r>
    </w:p>
    <w:p>
      <w:pPr>
        <w:pStyle w:val="13"/>
        <w:rPr>
          <w:rFonts w:hint="eastAsia" w:eastAsia="宋体"/>
          <w:highlight w:val="none"/>
          <w:lang w:val="en-US" w:eastAsia="zh-CN"/>
        </w:rPr>
      </w:pPr>
      <w:r>
        <w:rPr>
          <w:rFonts w:hint="eastAsia"/>
          <w:highlight w:val="none"/>
          <w:lang w:val="en-US" w:eastAsia="zh-CN"/>
        </w:rPr>
        <w:t>项目名称：                                                          包号：</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704"/>
        <w:gridCol w:w="2200"/>
        <w:gridCol w:w="2212"/>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vAlign w:val="center"/>
          </w:tcPr>
          <w:p>
            <w:pPr>
              <w:widowControl/>
              <w:spacing w:line="360" w:lineRule="atLeast"/>
              <w:jc w:val="center"/>
              <w:outlineLvl w:val="1"/>
              <w:rPr>
                <w:rFonts w:ascii="宋体" w:hAnsi="宋体" w:cs="宋体"/>
                <w:color w:val="auto"/>
                <w:sz w:val="24"/>
                <w:highlight w:val="none"/>
              </w:rPr>
            </w:pPr>
            <w:r>
              <w:rPr>
                <w:rFonts w:hint="eastAsia" w:ascii="宋体" w:hAnsi="宋体" w:cs="宋体"/>
                <w:color w:val="auto"/>
                <w:sz w:val="24"/>
                <w:highlight w:val="none"/>
              </w:rPr>
              <w:t>序号</w:t>
            </w:r>
          </w:p>
        </w:tc>
        <w:tc>
          <w:tcPr>
            <w:tcW w:w="1704" w:type="dxa"/>
            <w:vAlign w:val="center"/>
          </w:tcPr>
          <w:p>
            <w:pPr>
              <w:widowControl/>
              <w:spacing w:line="360" w:lineRule="atLeast"/>
              <w:jc w:val="center"/>
              <w:outlineLvl w:val="1"/>
              <w:rPr>
                <w:rFonts w:ascii="宋体" w:hAnsi="宋体" w:cs="宋体"/>
                <w:color w:val="auto"/>
                <w:sz w:val="24"/>
                <w:highlight w:val="none"/>
              </w:rPr>
            </w:pPr>
            <w:r>
              <w:rPr>
                <w:rFonts w:hint="eastAsia" w:ascii="宋体" w:hAnsi="宋体" w:cs="宋体"/>
                <w:color w:val="auto"/>
                <w:sz w:val="24"/>
                <w:highlight w:val="none"/>
              </w:rPr>
              <w:t>产品名称</w:t>
            </w:r>
          </w:p>
        </w:tc>
        <w:tc>
          <w:tcPr>
            <w:tcW w:w="2200" w:type="dxa"/>
            <w:vAlign w:val="center"/>
          </w:tcPr>
          <w:p>
            <w:pPr>
              <w:widowControl/>
              <w:spacing w:line="360" w:lineRule="atLeast"/>
              <w:jc w:val="center"/>
              <w:outlineLvl w:val="1"/>
              <w:rPr>
                <w:rFonts w:ascii="宋体" w:hAnsi="宋体" w:cs="宋体"/>
                <w:color w:val="auto"/>
                <w:sz w:val="24"/>
                <w:highlight w:val="none"/>
              </w:rPr>
            </w:pPr>
            <w:r>
              <w:rPr>
                <w:rFonts w:hint="eastAsia" w:ascii="宋体" w:hAnsi="宋体" w:cs="宋体"/>
                <w:color w:val="auto"/>
                <w:sz w:val="24"/>
                <w:highlight w:val="none"/>
              </w:rPr>
              <w:t>招标文件技术参数</w:t>
            </w:r>
          </w:p>
        </w:tc>
        <w:tc>
          <w:tcPr>
            <w:tcW w:w="2212" w:type="dxa"/>
            <w:vAlign w:val="center"/>
          </w:tcPr>
          <w:p>
            <w:pPr>
              <w:widowControl/>
              <w:spacing w:line="360" w:lineRule="atLeast"/>
              <w:jc w:val="center"/>
              <w:outlineLvl w:val="1"/>
              <w:rPr>
                <w:rFonts w:ascii="宋体" w:hAnsi="宋体" w:cs="宋体"/>
                <w:color w:val="auto"/>
                <w:sz w:val="24"/>
                <w:highlight w:val="none"/>
              </w:rPr>
            </w:pPr>
            <w:r>
              <w:rPr>
                <w:rFonts w:hint="eastAsia" w:ascii="宋体" w:hAnsi="宋体" w:cs="宋体"/>
                <w:color w:val="auto"/>
                <w:sz w:val="24"/>
                <w:highlight w:val="none"/>
              </w:rPr>
              <w:t>投标产品技术参数</w:t>
            </w:r>
          </w:p>
        </w:tc>
        <w:tc>
          <w:tcPr>
            <w:tcW w:w="1738" w:type="dxa"/>
            <w:vAlign w:val="center"/>
          </w:tcPr>
          <w:p>
            <w:pPr>
              <w:widowControl/>
              <w:spacing w:line="360" w:lineRule="atLeast"/>
              <w:jc w:val="center"/>
              <w:outlineLvl w:val="1"/>
              <w:rPr>
                <w:rFonts w:ascii="宋体" w:hAnsi="宋体" w:cs="宋体"/>
                <w:color w:val="auto"/>
                <w:sz w:val="24"/>
                <w:highlight w:val="none"/>
              </w:rPr>
            </w:pPr>
            <w:r>
              <w:rPr>
                <w:rFonts w:hint="eastAsia" w:ascii="宋体" w:hAnsi="宋体" w:cs="宋体"/>
                <w:color w:val="auto"/>
                <w:sz w:val="24"/>
                <w:highlight w:val="none"/>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Pr>
          <w:p>
            <w:pPr>
              <w:widowControl/>
              <w:spacing w:line="360" w:lineRule="atLeast"/>
              <w:ind w:firstLine="470" w:firstLineChars="196"/>
              <w:jc w:val="left"/>
              <w:outlineLvl w:val="1"/>
              <w:rPr>
                <w:rFonts w:ascii="宋体" w:hAnsi="宋体" w:cs="宋体"/>
                <w:color w:val="auto"/>
                <w:sz w:val="24"/>
                <w:highlight w:val="none"/>
              </w:rPr>
            </w:pPr>
          </w:p>
        </w:tc>
        <w:tc>
          <w:tcPr>
            <w:tcW w:w="1704" w:type="dxa"/>
          </w:tcPr>
          <w:p>
            <w:pPr>
              <w:widowControl/>
              <w:spacing w:line="360" w:lineRule="atLeast"/>
              <w:ind w:firstLine="470" w:firstLineChars="196"/>
              <w:jc w:val="left"/>
              <w:outlineLvl w:val="1"/>
              <w:rPr>
                <w:rFonts w:ascii="宋体" w:hAnsi="宋体" w:cs="宋体"/>
                <w:color w:val="auto"/>
                <w:sz w:val="24"/>
                <w:highlight w:val="none"/>
              </w:rPr>
            </w:pPr>
          </w:p>
        </w:tc>
        <w:tc>
          <w:tcPr>
            <w:tcW w:w="2200" w:type="dxa"/>
          </w:tcPr>
          <w:p>
            <w:pPr>
              <w:widowControl/>
              <w:spacing w:line="360" w:lineRule="atLeast"/>
              <w:ind w:firstLine="470" w:firstLineChars="196"/>
              <w:jc w:val="left"/>
              <w:outlineLvl w:val="1"/>
              <w:rPr>
                <w:rFonts w:ascii="宋体" w:hAnsi="宋体" w:cs="宋体"/>
                <w:color w:val="auto"/>
                <w:sz w:val="24"/>
                <w:highlight w:val="none"/>
              </w:rPr>
            </w:pPr>
          </w:p>
        </w:tc>
        <w:tc>
          <w:tcPr>
            <w:tcW w:w="2212" w:type="dxa"/>
          </w:tcPr>
          <w:p>
            <w:pPr>
              <w:widowControl/>
              <w:spacing w:line="360" w:lineRule="atLeast"/>
              <w:ind w:firstLine="470" w:firstLineChars="196"/>
              <w:jc w:val="left"/>
              <w:outlineLvl w:val="1"/>
              <w:rPr>
                <w:rFonts w:ascii="宋体" w:hAnsi="宋体" w:cs="宋体"/>
                <w:color w:val="auto"/>
                <w:sz w:val="24"/>
                <w:highlight w:val="none"/>
              </w:rPr>
            </w:pPr>
          </w:p>
        </w:tc>
        <w:tc>
          <w:tcPr>
            <w:tcW w:w="1738" w:type="dxa"/>
          </w:tcPr>
          <w:p>
            <w:pPr>
              <w:widowControl/>
              <w:spacing w:line="360" w:lineRule="atLeast"/>
              <w:ind w:firstLine="470" w:firstLineChars="196"/>
              <w:jc w:val="left"/>
              <w:outlineLvl w:val="1"/>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Pr>
          <w:p>
            <w:pPr>
              <w:widowControl/>
              <w:spacing w:line="360" w:lineRule="atLeast"/>
              <w:ind w:firstLine="470" w:firstLineChars="196"/>
              <w:jc w:val="left"/>
              <w:outlineLvl w:val="1"/>
              <w:rPr>
                <w:rFonts w:ascii="宋体" w:hAnsi="宋体" w:cs="宋体"/>
                <w:color w:val="auto"/>
                <w:sz w:val="24"/>
                <w:highlight w:val="none"/>
              </w:rPr>
            </w:pPr>
          </w:p>
        </w:tc>
        <w:tc>
          <w:tcPr>
            <w:tcW w:w="1704" w:type="dxa"/>
          </w:tcPr>
          <w:p>
            <w:pPr>
              <w:widowControl/>
              <w:spacing w:line="360" w:lineRule="atLeast"/>
              <w:ind w:firstLine="470" w:firstLineChars="196"/>
              <w:jc w:val="left"/>
              <w:outlineLvl w:val="1"/>
              <w:rPr>
                <w:rFonts w:ascii="宋体" w:hAnsi="宋体" w:cs="宋体"/>
                <w:color w:val="auto"/>
                <w:sz w:val="24"/>
                <w:highlight w:val="none"/>
              </w:rPr>
            </w:pPr>
          </w:p>
        </w:tc>
        <w:tc>
          <w:tcPr>
            <w:tcW w:w="2200" w:type="dxa"/>
          </w:tcPr>
          <w:p>
            <w:pPr>
              <w:widowControl/>
              <w:spacing w:line="360" w:lineRule="atLeast"/>
              <w:ind w:firstLine="470" w:firstLineChars="196"/>
              <w:jc w:val="left"/>
              <w:outlineLvl w:val="1"/>
              <w:rPr>
                <w:rFonts w:ascii="宋体" w:hAnsi="宋体" w:cs="宋体"/>
                <w:color w:val="auto"/>
                <w:sz w:val="24"/>
                <w:highlight w:val="none"/>
              </w:rPr>
            </w:pPr>
          </w:p>
        </w:tc>
        <w:tc>
          <w:tcPr>
            <w:tcW w:w="2212" w:type="dxa"/>
          </w:tcPr>
          <w:p>
            <w:pPr>
              <w:widowControl/>
              <w:spacing w:line="360" w:lineRule="atLeast"/>
              <w:ind w:firstLine="470" w:firstLineChars="196"/>
              <w:jc w:val="left"/>
              <w:outlineLvl w:val="1"/>
              <w:rPr>
                <w:rFonts w:ascii="宋体" w:hAnsi="宋体" w:cs="宋体"/>
                <w:color w:val="auto"/>
                <w:sz w:val="24"/>
                <w:highlight w:val="none"/>
              </w:rPr>
            </w:pPr>
          </w:p>
        </w:tc>
        <w:tc>
          <w:tcPr>
            <w:tcW w:w="1738" w:type="dxa"/>
          </w:tcPr>
          <w:p>
            <w:pPr>
              <w:widowControl/>
              <w:spacing w:line="360" w:lineRule="atLeast"/>
              <w:ind w:firstLine="470" w:firstLineChars="196"/>
              <w:jc w:val="left"/>
              <w:outlineLvl w:val="1"/>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Pr>
          <w:p>
            <w:pPr>
              <w:widowControl/>
              <w:spacing w:line="360" w:lineRule="atLeast"/>
              <w:ind w:firstLine="470" w:firstLineChars="196"/>
              <w:jc w:val="left"/>
              <w:outlineLvl w:val="1"/>
              <w:rPr>
                <w:rFonts w:ascii="宋体" w:hAnsi="宋体" w:cs="宋体"/>
                <w:color w:val="auto"/>
                <w:sz w:val="24"/>
                <w:highlight w:val="none"/>
              </w:rPr>
            </w:pPr>
          </w:p>
        </w:tc>
        <w:tc>
          <w:tcPr>
            <w:tcW w:w="1704" w:type="dxa"/>
          </w:tcPr>
          <w:p>
            <w:pPr>
              <w:widowControl/>
              <w:spacing w:line="360" w:lineRule="atLeast"/>
              <w:ind w:firstLine="470" w:firstLineChars="196"/>
              <w:jc w:val="left"/>
              <w:outlineLvl w:val="1"/>
              <w:rPr>
                <w:rFonts w:ascii="宋体" w:hAnsi="宋体" w:cs="宋体"/>
                <w:color w:val="auto"/>
                <w:sz w:val="24"/>
                <w:highlight w:val="none"/>
              </w:rPr>
            </w:pPr>
          </w:p>
        </w:tc>
        <w:tc>
          <w:tcPr>
            <w:tcW w:w="2200" w:type="dxa"/>
          </w:tcPr>
          <w:p>
            <w:pPr>
              <w:widowControl/>
              <w:spacing w:line="360" w:lineRule="atLeast"/>
              <w:ind w:firstLine="470" w:firstLineChars="196"/>
              <w:jc w:val="left"/>
              <w:outlineLvl w:val="1"/>
              <w:rPr>
                <w:rFonts w:ascii="宋体" w:hAnsi="宋体" w:cs="宋体"/>
                <w:color w:val="auto"/>
                <w:sz w:val="24"/>
                <w:highlight w:val="none"/>
              </w:rPr>
            </w:pPr>
          </w:p>
        </w:tc>
        <w:tc>
          <w:tcPr>
            <w:tcW w:w="2212" w:type="dxa"/>
          </w:tcPr>
          <w:p>
            <w:pPr>
              <w:widowControl/>
              <w:spacing w:line="360" w:lineRule="atLeast"/>
              <w:ind w:firstLine="470" w:firstLineChars="196"/>
              <w:jc w:val="left"/>
              <w:outlineLvl w:val="1"/>
              <w:rPr>
                <w:rFonts w:ascii="宋体" w:hAnsi="宋体" w:cs="宋体"/>
                <w:color w:val="auto"/>
                <w:sz w:val="24"/>
                <w:highlight w:val="none"/>
              </w:rPr>
            </w:pPr>
          </w:p>
        </w:tc>
        <w:tc>
          <w:tcPr>
            <w:tcW w:w="1738" w:type="dxa"/>
          </w:tcPr>
          <w:p>
            <w:pPr>
              <w:widowControl/>
              <w:spacing w:line="360" w:lineRule="atLeast"/>
              <w:ind w:firstLine="470" w:firstLineChars="196"/>
              <w:jc w:val="left"/>
              <w:outlineLvl w:val="1"/>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Pr>
          <w:p>
            <w:pPr>
              <w:widowControl/>
              <w:spacing w:line="360" w:lineRule="atLeast"/>
              <w:ind w:firstLine="470" w:firstLineChars="196"/>
              <w:jc w:val="left"/>
              <w:outlineLvl w:val="1"/>
              <w:rPr>
                <w:rFonts w:ascii="宋体" w:hAnsi="宋体" w:cs="宋体"/>
                <w:color w:val="auto"/>
                <w:sz w:val="24"/>
                <w:highlight w:val="none"/>
              </w:rPr>
            </w:pPr>
          </w:p>
        </w:tc>
        <w:tc>
          <w:tcPr>
            <w:tcW w:w="1704" w:type="dxa"/>
          </w:tcPr>
          <w:p>
            <w:pPr>
              <w:widowControl/>
              <w:spacing w:line="360" w:lineRule="atLeast"/>
              <w:ind w:firstLine="470" w:firstLineChars="196"/>
              <w:jc w:val="left"/>
              <w:outlineLvl w:val="1"/>
              <w:rPr>
                <w:rFonts w:ascii="宋体" w:hAnsi="宋体" w:cs="宋体"/>
                <w:color w:val="auto"/>
                <w:sz w:val="24"/>
                <w:highlight w:val="none"/>
              </w:rPr>
            </w:pPr>
          </w:p>
        </w:tc>
        <w:tc>
          <w:tcPr>
            <w:tcW w:w="2200" w:type="dxa"/>
          </w:tcPr>
          <w:p>
            <w:pPr>
              <w:widowControl/>
              <w:spacing w:line="360" w:lineRule="atLeast"/>
              <w:ind w:firstLine="470" w:firstLineChars="196"/>
              <w:jc w:val="left"/>
              <w:outlineLvl w:val="1"/>
              <w:rPr>
                <w:rFonts w:ascii="宋体" w:hAnsi="宋体" w:cs="宋体"/>
                <w:color w:val="auto"/>
                <w:sz w:val="24"/>
                <w:highlight w:val="none"/>
              </w:rPr>
            </w:pPr>
          </w:p>
        </w:tc>
        <w:tc>
          <w:tcPr>
            <w:tcW w:w="2212" w:type="dxa"/>
          </w:tcPr>
          <w:p>
            <w:pPr>
              <w:widowControl/>
              <w:spacing w:line="360" w:lineRule="atLeast"/>
              <w:ind w:firstLine="470" w:firstLineChars="196"/>
              <w:jc w:val="left"/>
              <w:outlineLvl w:val="1"/>
              <w:rPr>
                <w:rFonts w:ascii="宋体" w:hAnsi="宋体" w:cs="宋体"/>
                <w:color w:val="auto"/>
                <w:sz w:val="24"/>
                <w:highlight w:val="none"/>
              </w:rPr>
            </w:pPr>
          </w:p>
        </w:tc>
        <w:tc>
          <w:tcPr>
            <w:tcW w:w="1738" w:type="dxa"/>
          </w:tcPr>
          <w:p>
            <w:pPr>
              <w:widowControl/>
              <w:spacing w:line="360" w:lineRule="atLeast"/>
              <w:ind w:firstLine="470" w:firstLineChars="196"/>
              <w:jc w:val="left"/>
              <w:outlineLvl w:val="1"/>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Pr>
          <w:p>
            <w:pPr>
              <w:widowControl/>
              <w:spacing w:line="360" w:lineRule="atLeast"/>
              <w:ind w:firstLine="470" w:firstLineChars="196"/>
              <w:jc w:val="left"/>
              <w:outlineLvl w:val="1"/>
              <w:rPr>
                <w:rFonts w:ascii="宋体" w:hAnsi="宋体" w:cs="宋体"/>
                <w:color w:val="auto"/>
                <w:sz w:val="24"/>
                <w:highlight w:val="none"/>
              </w:rPr>
            </w:pPr>
          </w:p>
        </w:tc>
        <w:tc>
          <w:tcPr>
            <w:tcW w:w="1704" w:type="dxa"/>
          </w:tcPr>
          <w:p>
            <w:pPr>
              <w:widowControl/>
              <w:spacing w:line="360" w:lineRule="atLeast"/>
              <w:ind w:firstLine="470" w:firstLineChars="196"/>
              <w:jc w:val="left"/>
              <w:outlineLvl w:val="1"/>
              <w:rPr>
                <w:rFonts w:ascii="宋体" w:hAnsi="宋体" w:cs="宋体"/>
                <w:color w:val="auto"/>
                <w:sz w:val="24"/>
                <w:highlight w:val="none"/>
              </w:rPr>
            </w:pPr>
          </w:p>
        </w:tc>
        <w:tc>
          <w:tcPr>
            <w:tcW w:w="2200" w:type="dxa"/>
          </w:tcPr>
          <w:p>
            <w:pPr>
              <w:widowControl/>
              <w:spacing w:line="360" w:lineRule="atLeast"/>
              <w:ind w:firstLine="470" w:firstLineChars="196"/>
              <w:jc w:val="left"/>
              <w:outlineLvl w:val="1"/>
              <w:rPr>
                <w:rFonts w:ascii="宋体" w:hAnsi="宋体" w:cs="宋体"/>
                <w:color w:val="auto"/>
                <w:sz w:val="24"/>
                <w:highlight w:val="none"/>
              </w:rPr>
            </w:pPr>
          </w:p>
        </w:tc>
        <w:tc>
          <w:tcPr>
            <w:tcW w:w="2212" w:type="dxa"/>
          </w:tcPr>
          <w:p>
            <w:pPr>
              <w:widowControl/>
              <w:spacing w:line="360" w:lineRule="atLeast"/>
              <w:ind w:firstLine="470" w:firstLineChars="196"/>
              <w:jc w:val="left"/>
              <w:outlineLvl w:val="1"/>
              <w:rPr>
                <w:rFonts w:ascii="宋体" w:hAnsi="宋体" w:cs="宋体"/>
                <w:color w:val="auto"/>
                <w:sz w:val="24"/>
                <w:highlight w:val="none"/>
              </w:rPr>
            </w:pPr>
          </w:p>
        </w:tc>
        <w:tc>
          <w:tcPr>
            <w:tcW w:w="1738" w:type="dxa"/>
          </w:tcPr>
          <w:p>
            <w:pPr>
              <w:widowControl/>
              <w:spacing w:line="360" w:lineRule="atLeast"/>
              <w:ind w:firstLine="470" w:firstLineChars="196"/>
              <w:jc w:val="left"/>
              <w:outlineLvl w:val="1"/>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Pr>
          <w:p>
            <w:pPr>
              <w:widowControl/>
              <w:spacing w:line="360" w:lineRule="atLeast"/>
              <w:ind w:firstLine="470" w:firstLineChars="196"/>
              <w:jc w:val="left"/>
              <w:outlineLvl w:val="1"/>
              <w:rPr>
                <w:rFonts w:ascii="宋体" w:hAnsi="宋体" w:cs="宋体"/>
                <w:color w:val="auto"/>
                <w:sz w:val="24"/>
                <w:highlight w:val="none"/>
              </w:rPr>
            </w:pPr>
          </w:p>
        </w:tc>
        <w:tc>
          <w:tcPr>
            <w:tcW w:w="1704" w:type="dxa"/>
          </w:tcPr>
          <w:p>
            <w:pPr>
              <w:widowControl/>
              <w:spacing w:line="360" w:lineRule="atLeast"/>
              <w:ind w:firstLine="470" w:firstLineChars="196"/>
              <w:jc w:val="left"/>
              <w:outlineLvl w:val="1"/>
              <w:rPr>
                <w:rFonts w:ascii="宋体" w:hAnsi="宋体" w:cs="宋体"/>
                <w:color w:val="auto"/>
                <w:sz w:val="24"/>
                <w:highlight w:val="none"/>
              </w:rPr>
            </w:pPr>
          </w:p>
        </w:tc>
        <w:tc>
          <w:tcPr>
            <w:tcW w:w="2200" w:type="dxa"/>
          </w:tcPr>
          <w:p>
            <w:pPr>
              <w:widowControl/>
              <w:spacing w:line="360" w:lineRule="atLeast"/>
              <w:ind w:firstLine="470" w:firstLineChars="196"/>
              <w:jc w:val="left"/>
              <w:outlineLvl w:val="1"/>
              <w:rPr>
                <w:rFonts w:ascii="宋体" w:hAnsi="宋体" w:cs="宋体"/>
                <w:color w:val="auto"/>
                <w:sz w:val="24"/>
                <w:highlight w:val="none"/>
              </w:rPr>
            </w:pPr>
          </w:p>
        </w:tc>
        <w:tc>
          <w:tcPr>
            <w:tcW w:w="2212" w:type="dxa"/>
          </w:tcPr>
          <w:p>
            <w:pPr>
              <w:widowControl/>
              <w:spacing w:line="360" w:lineRule="atLeast"/>
              <w:ind w:firstLine="470" w:firstLineChars="196"/>
              <w:jc w:val="left"/>
              <w:outlineLvl w:val="1"/>
              <w:rPr>
                <w:rFonts w:ascii="宋体" w:hAnsi="宋体" w:cs="宋体"/>
                <w:color w:val="auto"/>
                <w:sz w:val="24"/>
                <w:highlight w:val="none"/>
              </w:rPr>
            </w:pPr>
          </w:p>
        </w:tc>
        <w:tc>
          <w:tcPr>
            <w:tcW w:w="1738" w:type="dxa"/>
          </w:tcPr>
          <w:p>
            <w:pPr>
              <w:widowControl/>
              <w:spacing w:line="360" w:lineRule="atLeast"/>
              <w:ind w:firstLine="470" w:firstLineChars="196"/>
              <w:jc w:val="left"/>
              <w:outlineLvl w:val="1"/>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Pr>
          <w:p>
            <w:pPr>
              <w:widowControl/>
              <w:spacing w:line="360" w:lineRule="atLeast"/>
              <w:ind w:firstLine="470" w:firstLineChars="196"/>
              <w:jc w:val="left"/>
              <w:outlineLvl w:val="1"/>
              <w:rPr>
                <w:rFonts w:ascii="宋体" w:hAnsi="宋体" w:cs="宋体"/>
                <w:color w:val="auto"/>
                <w:sz w:val="24"/>
                <w:highlight w:val="none"/>
              </w:rPr>
            </w:pPr>
          </w:p>
        </w:tc>
        <w:tc>
          <w:tcPr>
            <w:tcW w:w="1704" w:type="dxa"/>
          </w:tcPr>
          <w:p>
            <w:pPr>
              <w:widowControl/>
              <w:spacing w:line="360" w:lineRule="atLeast"/>
              <w:ind w:firstLine="470" w:firstLineChars="196"/>
              <w:jc w:val="left"/>
              <w:outlineLvl w:val="1"/>
              <w:rPr>
                <w:rFonts w:ascii="宋体" w:hAnsi="宋体" w:cs="宋体"/>
                <w:color w:val="auto"/>
                <w:sz w:val="24"/>
                <w:highlight w:val="none"/>
              </w:rPr>
            </w:pPr>
          </w:p>
        </w:tc>
        <w:tc>
          <w:tcPr>
            <w:tcW w:w="2200" w:type="dxa"/>
          </w:tcPr>
          <w:p>
            <w:pPr>
              <w:widowControl/>
              <w:spacing w:line="360" w:lineRule="atLeast"/>
              <w:ind w:firstLine="470" w:firstLineChars="196"/>
              <w:jc w:val="left"/>
              <w:outlineLvl w:val="1"/>
              <w:rPr>
                <w:rFonts w:ascii="宋体" w:hAnsi="宋体" w:cs="宋体"/>
                <w:color w:val="auto"/>
                <w:sz w:val="24"/>
                <w:highlight w:val="none"/>
              </w:rPr>
            </w:pPr>
          </w:p>
        </w:tc>
        <w:tc>
          <w:tcPr>
            <w:tcW w:w="2212" w:type="dxa"/>
          </w:tcPr>
          <w:p>
            <w:pPr>
              <w:widowControl/>
              <w:spacing w:line="360" w:lineRule="atLeast"/>
              <w:ind w:firstLine="470" w:firstLineChars="196"/>
              <w:jc w:val="left"/>
              <w:outlineLvl w:val="1"/>
              <w:rPr>
                <w:rFonts w:ascii="宋体" w:hAnsi="宋体" w:cs="宋体"/>
                <w:color w:val="auto"/>
                <w:sz w:val="24"/>
                <w:highlight w:val="none"/>
              </w:rPr>
            </w:pPr>
          </w:p>
        </w:tc>
        <w:tc>
          <w:tcPr>
            <w:tcW w:w="1738" w:type="dxa"/>
          </w:tcPr>
          <w:p>
            <w:pPr>
              <w:widowControl/>
              <w:spacing w:line="360" w:lineRule="atLeast"/>
              <w:ind w:firstLine="470" w:firstLineChars="196"/>
              <w:jc w:val="left"/>
              <w:outlineLvl w:val="1"/>
              <w:rPr>
                <w:rFonts w:ascii="宋体" w:hAnsi="宋体" w:cs="宋体"/>
                <w:color w:val="auto"/>
                <w:sz w:val="24"/>
                <w:highlight w:val="none"/>
              </w:rPr>
            </w:pPr>
          </w:p>
        </w:tc>
      </w:tr>
    </w:tbl>
    <w:p>
      <w:pPr>
        <w:widowControl/>
        <w:spacing w:line="360" w:lineRule="atLeast"/>
        <w:ind w:firstLine="470" w:firstLineChars="196"/>
        <w:jc w:val="left"/>
        <w:outlineLvl w:val="1"/>
        <w:rPr>
          <w:rFonts w:ascii="宋体" w:hAnsi="宋体" w:cs="宋体"/>
          <w:color w:val="auto"/>
          <w:sz w:val="24"/>
          <w:highlight w:val="none"/>
        </w:rPr>
      </w:pP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注： 本表只填写投标文件中与招标文件有偏离的内容，投标文件中技术、服务响应与招标文件要求完全一致的，可以不用在此表中列出。</w:t>
      </w: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 xml:space="preserve"> </w:t>
      </w: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投标人名称：XXXX（单位盖章）。</w:t>
      </w: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法定代表人/单位负责人或授权代表（签字或加盖个人名章）：XXXX。</w:t>
      </w: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投标日期: XXXX。</w:t>
      </w:r>
    </w:p>
    <w:p>
      <w:pPr>
        <w:widowControl/>
        <w:spacing w:line="360" w:lineRule="atLeast"/>
        <w:ind w:firstLine="643" w:firstLineChars="200"/>
        <w:jc w:val="center"/>
        <w:outlineLvl w:val="1"/>
        <w:rPr>
          <w:rFonts w:ascii="宋体" w:hAnsi="宋体" w:cs="宋体"/>
          <w:b/>
          <w:color w:val="auto"/>
          <w:sz w:val="32"/>
          <w:szCs w:val="32"/>
          <w:highlight w:val="none"/>
        </w:rPr>
      </w:pPr>
    </w:p>
    <w:p>
      <w:pPr>
        <w:pStyle w:val="6"/>
        <w:rPr>
          <w:rFonts w:ascii="宋体" w:hAnsi="宋体" w:cs="宋体"/>
          <w:color w:val="auto"/>
          <w:sz w:val="32"/>
          <w:szCs w:val="32"/>
          <w:highlight w:val="none"/>
        </w:rPr>
      </w:pPr>
    </w:p>
    <w:p>
      <w:pPr>
        <w:rPr>
          <w:rFonts w:ascii="宋体" w:hAnsi="宋体" w:cs="宋体"/>
          <w:b/>
          <w:color w:val="auto"/>
          <w:sz w:val="32"/>
          <w:szCs w:val="32"/>
          <w:highlight w:val="none"/>
        </w:rPr>
      </w:pPr>
    </w:p>
    <w:p>
      <w:pPr>
        <w:pStyle w:val="6"/>
        <w:rPr>
          <w:rFonts w:ascii="宋体" w:hAnsi="宋体" w:cs="宋体"/>
          <w:color w:val="auto"/>
          <w:sz w:val="32"/>
          <w:szCs w:val="32"/>
          <w:highlight w:val="none"/>
        </w:rPr>
      </w:pPr>
    </w:p>
    <w:p>
      <w:pPr>
        <w:widowControl/>
        <w:spacing w:line="360" w:lineRule="atLeast"/>
        <w:ind w:firstLine="630" w:firstLineChars="196"/>
        <w:jc w:val="left"/>
        <w:outlineLvl w:val="1"/>
        <w:rPr>
          <w:rFonts w:ascii="宋体" w:hAnsi="宋体" w:cs="宋体"/>
          <w:b/>
          <w:color w:val="auto"/>
          <w:sz w:val="32"/>
          <w:szCs w:val="32"/>
          <w:highlight w:val="none"/>
        </w:rPr>
      </w:pPr>
    </w:p>
    <w:p>
      <w:pPr>
        <w:widowControl/>
        <w:spacing w:line="360" w:lineRule="atLeast"/>
        <w:ind w:firstLine="630" w:firstLineChars="196"/>
        <w:jc w:val="left"/>
        <w:outlineLvl w:val="1"/>
        <w:rPr>
          <w:rFonts w:ascii="宋体" w:hAnsi="宋体" w:cs="宋体"/>
          <w:b/>
          <w:color w:val="auto"/>
          <w:sz w:val="32"/>
          <w:szCs w:val="32"/>
          <w:highlight w:val="none"/>
        </w:rPr>
      </w:pPr>
    </w:p>
    <w:bookmarkEnd w:id="170"/>
    <w:p>
      <w:pPr>
        <w:spacing w:line="360" w:lineRule="auto"/>
        <w:rPr>
          <w:rFonts w:hint="default" w:ascii="宋体" w:hAnsi="宋体" w:eastAsia="宋体" w:cs="宋体"/>
          <w:b/>
          <w:color w:val="auto"/>
          <w:sz w:val="32"/>
          <w:szCs w:val="32"/>
          <w:highlight w:val="none"/>
          <w:lang w:val="en-US" w:eastAsia="zh-CN"/>
        </w:rPr>
      </w:pPr>
      <w:bookmarkStart w:id="171" w:name="_Toc217446091"/>
      <w:r>
        <w:rPr>
          <w:rFonts w:hint="eastAsia" w:ascii="宋体" w:hAnsi="宋体" w:cs="宋体"/>
          <w:b/>
          <w:color w:val="auto"/>
          <w:sz w:val="32"/>
          <w:szCs w:val="32"/>
          <w:highlight w:val="none"/>
        </w:rPr>
        <w:t>格式2-</w:t>
      </w:r>
      <w:r>
        <w:rPr>
          <w:rFonts w:hint="eastAsia" w:ascii="宋体" w:hAnsi="宋体" w:cs="宋体"/>
          <w:b/>
          <w:color w:val="auto"/>
          <w:sz w:val="32"/>
          <w:szCs w:val="32"/>
          <w:highlight w:val="none"/>
          <w:lang w:val="en-US" w:eastAsia="zh-CN"/>
        </w:rPr>
        <w:t>10</w:t>
      </w:r>
    </w:p>
    <w:bookmarkEnd w:id="171"/>
    <w:p>
      <w:pPr>
        <w:widowControl/>
        <w:spacing w:line="360" w:lineRule="atLeast"/>
        <w:ind w:firstLine="472" w:firstLineChars="196"/>
        <w:jc w:val="left"/>
        <w:outlineLvl w:val="1"/>
        <w:rPr>
          <w:rFonts w:ascii="宋体" w:hAnsi="宋体" w:cs="宋体"/>
          <w:b/>
          <w:color w:val="auto"/>
          <w:sz w:val="24"/>
          <w:highlight w:val="none"/>
        </w:rPr>
      </w:pPr>
    </w:p>
    <w:p>
      <w:pPr>
        <w:widowControl/>
        <w:spacing w:after="0" w:line="360" w:lineRule="atLeast"/>
        <w:jc w:val="center"/>
        <w:outlineLvl w:val="1"/>
        <w:rPr>
          <w:rFonts w:ascii="宋体" w:hAnsi="宋体" w:cs="宋体"/>
          <w:b/>
          <w:color w:val="auto"/>
          <w:sz w:val="32"/>
          <w:szCs w:val="32"/>
          <w:highlight w:val="none"/>
        </w:rPr>
      </w:pPr>
      <w:r>
        <w:rPr>
          <w:rFonts w:hint="eastAsia" w:ascii="宋体" w:hAnsi="宋体" w:cs="宋体"/>
          <w:b/>
          <w:color w:val="auto"/>
          <w:sz w:val="32"/>
          <w:szCs w:val="32"/>
          <w:highlight w:val="none"/>
          <w:lang w:val="en-US" w:eastAsia="zh-CN"/>
        </w:rPr>
        <w:t>九</w:t>
      </w:r>
      <w:r>
        <w:rPr>
          <w:rFonts w:hint="eastAsia" w:ascii="宋体" w:hAnsi="宋体" w:cs="宋体"/>
          <w:b/>
          <w:color w:val="auto"/>
          <w:sz w:val="32"/>
          <w:szCs w:val="32"/>
          <w:highlight w:val="none"/>
        </w:rPr>
        <w:t>、服务方案</w:t>
      </w:r>
    </w:p>
    <w:p>
      <w:pPr>
        <w:spacing w:after="0"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格式自拟</w:t>
      </w:r>
    </w:p>
    <w:p>
      <w:pPr>
        <w:spacing w:after="0" w:line="360" w:lineRule="auto"/>
        <w:rPr>
          <w:rFonts w:ascii="宋体" w:hAnsi="宋体" w:cs="宋体"/>
          <w:b/>
          <w:color w:val="auto"/>
          <w:sz w:val="24"/>
          <w:highlight w:val="none"/>
        </w:rPr>
      </w:pPr>
    </w:p>
    <w:p>
      <w:pPr>
        <w:spacing w:after="0" w:line="360" w:lineRule="auto"/>
        <w:rPr>
          <w:rFonts w:ascii="宋体" w:hAnsi="宋体" w:cs="宋体"/>
          <w:b/>
          <w:color w:val="auto"/>
          <w:sz w:val="24"/>
          <w:highlight w:val="none"/>
        </w:rPr>
      </w:pPr>
    </w:p>
    <w:p>
      <w:pPr>
        <w:widowControl/>
        <w:spacing w:line="360" w:lineRule="atLeast"/>
        <w:ind w:firstLine="472" w:firstLineChars="196"/>
        <w:jc w:val="left"/>
        <w:outlineLvl w:val="1"/>
        <w:rPr>
          <w:rFonts w:ascii="宋体" w:hAnsi="宋体" w:cs="宋体"/>
          <w:b/>
          <w:color w:val="auto"/>
          <w:sz w:val="24"/>
          <w:highlight w:val="none"/>
        </w:rPr>
      </w:pPr>
    </w:p>
    <w:p>
      <w:pPr>
        <w:spacing w:after="0" w:line="360" w:lineRule="auto"/>
        <w:rPr>
          <w:rFonts w:hint="eastAsia" w:ascii="宋体" w:hAnsi="宋体" w:eastAsia="宋体" w:cs="宋体"/>
          <w:b/>
          <w:color w:val="auto"/>
          <w:sz w:val="32"/>
          <w:szCs w:val="32"/>
          <w:highlight w:val="none"/>
          <w:lang w:eastAsia="zh-CN"/>
        </w:rPr>
      </w:pPr>
      <w:r>
        <w:rPr>
          <w:rFonts w:hint="eastAsia" w:ascii="宋体" w:hAnsi="宋体" w:cs="宋体"/>
          <w:b/>
          <w:color w:val="auto"/>
          <w:sz w:val="24"/>
          <w:highlight w:val="none"/>
        </w:rPr>
        <w:br w:type="page"/>
      </w:r>
      <w:r>
        <w:rPr>
          <w:rFonts w:hint="eastAsia" w:ascii="宋体" w:hAnsi="宋体" w:cs="宋体"/>
          <w:b/>
          <w:color w:val="auto"/>
          <w:sz w:val="32"/>
          <w:szCs w:val="32"/>
          <w:highlight w:val="none"/>
        </w:rPr>
        <w:t>格式2-1</w:t>
      </w:r>
      <w:r>
        <w:rPr>
          <w:rFonts w:hint="eastAsia" w:ascii="宋体" w:hAnsi="宋体" w:cs="宋体"/>
          <w:b/>
          <w:color w:val="auto"/>
          <w:sz w:val="32"/>
          <w:szCs w:val="32"/>
          <w:highlight w:val="none"/>
          <w:lang w:val="en-US" w:eastAsia="zh-CN"/>
        </w:rPr>
        <w:t>1</w:t>
      </w:r>
    </w:p>
    <w:p>
      <w:pPr>
        <w:widowControl/>
        <w:spacing w:after="0" w:line="360" w:lineRule="atLeast"/>
        <w:jc w:val="center"/>
        <w:outlineLvl w:val="1"/>
        <w:rPr>
          <w:rFonts w:ascii="宋体" w:hAnsi="宋体" w:cs="宋体"/>
          <w:b/>
          <w:color w:val="auto"/>
          <w:sz w:val="32"/>
          <w:szCs w:val="32"/>
          <w:highlight w:val="none"/>
        </w:rPr>
      </w:pPr>
      <w:r>
        <w:rPr>
          <w:rFonts w:hint="eastAsia" w:ascii="宋体" w:hAnsi="宋体" w:cs="宋体"/>
          <w:b/>
          <w:color w:val="auto"/>
          <w:sz w:val="32"/>
          <w:szCs w:val="32"/>
          <w:highlight w:val="none"/>
          <w:lang w:val="en-US" w:eastAsia="zh-CN"/>
        </w:rPr>
        <w:t>十</w:t>
      </w:r>
      <w:r>
        <w:rPr>
          <w:rFonts w:hint="eastAsia" w:ascii="宋体" w:hAnsi="宋体" w:cs="宋体"/>
          <w:b/>
          <w:color w:val="auto"/>
          <w:sz w:val="32"/>
          <w:szCs w:val="32"/>
          <w:highlight w:val="none"/>
        </w:rPr>
        <w:t>、供应商诚信情况承诺函</w:t>
      </w:r>
    </w:p>
    <w:p>
      <w:pPr>
        <w:spacing w:after="0" w:line="360" w:lineRule="auto"/>
        <w:rPr>
          <w:rFonts w:ascii="宋体" w:hAnsi="宋体" w:cs="宋体"/>
          <w:bCs/>
          <w:color w:val="auto"/>
          <w:sz w:val="24"/>
          <w:highlight w:val="none"/>
        </w:rPr>
      </w:pPr>
    </w:p>
    <w:p>
      <w:pPr>
        <w:spacing w:after="0" w:line="360" w:lineRule="auto"/>
        <w:rPr>
          <w:rFonts w:ascii="宋体" w:hAnsi="宋体" w:cs="宋体"/>
          <w:bCs/>
          <w:color w:val="auto"/>
          <w:sz w:val="24"/>
          <w:highlight w:val="none"/>
        </w:rPr>
      </w:pPr>
      <w:r>
        <w:rPr>
          <w:rFonts w:hint="eastAsia" w:ascii="宋体" w:hAnsi="宋体" w:cs="宋体"/>
          <w:bCs/>
          <w:color w:val="auto"/>
          <w:sz w:val="24"/>
          <w:highlight w:val="none"/>
        </w:rPr>
        <w:t xml:space="preserve">致四川军贤工程项目管理有限公司： </w:t>
      </w:r>
    </w:p>
    <w:p>
      <w:pPr>
        <w:spacing w:after="0" w:line="360" w:lineRule="auto"/>
        <w:rPr>
          <w:rFonts w:ascii="宋体" w:hAnsi="宋体" w:cs="宋体"/>
          <w:color w:val="auto"/>
          <w:sz w:val="24"/>
          <w:highlight w:val="none"/>
        </w:rPr>
      </w:pPr>
      <w:r>
        <w:rPr>
          <w:rFonts w:hint="eastAsia" w:ascii="宋体" w:hAnsi="宋体" w:cs="宋体"/>
          <w:bCs/>
          <w:color w:val="auto"/>
          <w:sz w:val="24"/>
          <w:highlight w:val="none"/>
        </w:rPr>
        <w:t xml:space="preserve">    本单位</w:t>
      </w:r>
      <w:r>
        <w:rPr>
          <w:rFonts w:hint="eastAsia" w:ascii="宋体" w:hAnsi="宋体" w:cs="宋体"/>
          <w:color w:val="auto"/>
          <w:sz w:val="24"/>
          <w:highlight w:val="none"/>
          <w:u w:val="single"/>
        </w:rPr>
        <w:t>XXXX</w:t>
      </w:r>
      <w:r>
        <w:rPr>
          <w:rFonts w:hint="eastAsia" w:ascii="宋体" w:hAnsi="宋体" w:cs="宋体"/>
          <w:bCs/>
          <w:color w:val="auto"/>
          <w:sz w:val="24"/>
          <w:highlight w:val="none"/>
          <w:u w:val="single"/>
        </w:rPr>
        <w:t>（供应商名称）</w:t>
      </w:r>
      <w:r>
        <w:rPr>
          <w:rFonts w:hint="eastAsia" w:ascii="宋体" w:hAnsi="宋体" w:cs="宋体"/>
          <w:bCs/>
          <w:color w:val="auto"/>
          <w:sz w:val="24"/>
          <w:highlight w:val="none"/>
        </w:rPr>
        <w:t xml:space="preserve">参加 </w:t>
      </w:r>
      <w:r>
        <w:rPr>
          <w:rFonts w:hint="eastAsia" w:ascii="宋体" w:hAnsi="宋体" w:cs="宋体"/>
          <w:color w:val="auto"/>
          <w:sz w:val="24"/>
          <w:highlight w:val="none"/>
          <w:u w:val="single"/>
        </w:rPr>
        <w:t>XXXX</w:t>
      </w:r>
      <w:r>
        <w:rPr>
          <w:rFonts w:hint="eastAsia" w:ascii="宋体" w:hAnsi="宋体" w:cs="宋体"/>
          <w:bCs/>
          <w:color w:val="auto"/>
          <w:sz w:val="24"/>
          <w:highlight w:val="none"/>
          <w:u w:val="single"/>
        </w:rPr>
        <w:t>（项目名称及采购编号）</w:t>
      </w:r>
      <w:r>
        <w:rPr>
          <w:rFonts w:hint="eastAsia" w:ascii="宋体" w:hAnsi="宋体" w:cs="宋体"/>
          <w:bCs/>
          <w:color w:val="auto"/>
          <w:sz w:val="24"/>
          <w:highlight w:val="none"/>
        </w:rPr>
        <w:t>的政府采购活动，</w:t>
      </w:r>
      <w:r>
        <w:rPr>
          <w:rFonts w:hint="eastAsia" w:ascii="宋体" w:hAnsi="宋体" w:cs="宋体"/>
          <w:color w:val="auto"/>
          <w:sz w:val="24"/>
          <w:highlight w:val="none"/>
        </w:rPr>
        <w:t>现根据《四川省政府采购当事人诚信管理办法》川财采〔2015〕33号的相关规定，针</w:t>
      </w:r>
      <w:r>
        <w:rPr>
          <w:rFonts w:hint="eastAsia" w:ascii="宋体" w:hAnsi="宋体" w:cs="宋体"/>
          <w:bCs/>
          <w:color w:val="auto"/>
          <w:sz w:val="24"/>
          <w:highlight w:val="none"/>
        </w:rPr>
        <w:t>对本单位的诚信情况作出以下承诺：</w:t>
      </w:r>
    </w:p>
    <w:p>
      <w:pPr>
        <w:spacing w:after="0" w:line="360" w:lineRule="auto"/>
        <w:ind w:firstLine="480" w:firstLineChars="200"/>
        <w:rPr>
          <w:rFonts w:ascii="宋体" w:hAnsi="宋体" w:cs="宋体"/>
          <w:bCs/>
          <w:color w:val="auto"/>
          <w:sz w:val="24"/>
          <w:highlight w:val="none"/>
        </w:rPr>
      </w:pPr>
    </w:p>
    <w:p>
      <w:pPr>
        <w:spacing w:after="0"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我单位具有</w:t>
      </w:r>
      <w:r>
        <w:rPr>
          <w:rFonts w:hint="eastAsia" w:ascii="宋体" w:hAnsi="宋体" w:cs="宋体"/>
          <w:color w:val="auto"/>
          <w:sz w:val="24"/>
          <w:highlight w:val="none"/>
        </w:rPr>
        <w:t>《四川省政府采购当事人诚信管理办法》（川财采[2015]33号）所规定的失信行为</w:t>
      </w:r>
      <w:r>
        <w:rPr>
          <w:rFonts w:hint="eastAsia" w:ascii="宋体" w:hAnsi="宋体" w:cs="宋体"/>
          <w:color w:val="auto"/>
          <w:sz w:val="24"/>
          <w:highlight w:val="none"/>
          <w:u w:val="single"/>
        </w:rPr>
        <w:t>XXXX</w:t>
      </w:r>
      <w:r>
        <w:rPr>
          <w:rFonts w:hint="eastAsia" w:ascii="宋体" w:hAnsi="宋体" w:cs="宋体"/>
          <w:color w:val="auto"/>
          <w:sz w:val="24"/>
          <w:highlight w:val="none"/>
        </w:rPr>
        <w:t>次（填写失信行为的次数时，建议使用大写数字，如零、壹、贰、叁、肆等。）；</w:t>
      </w:r>
      <w:r>
        <w:rPr>
          <w:rFonts w:hint="eastAsia" w:ascii="宋体" w:hAnsi="宋体" w:cs="宋体"/>
          <w:bCs/>
          <w:color w:val="auto"/>
          <w:sz w:val="24"/>
          <w:highlight w:val="none"/>
        </w:rPr>
        <w:t>（仅限投标截止当日仍在有效期的次数）</w:t>
      </w:r>
    </w:p>
    <w:p>
      <w:pPr>
        <w:spacing w:after="0" w:line="360" w:lineRule="auto"/>
        <w:ind w:firstLine="480" w:firstLineChars="200"/>
        <w:rPr>
          <w:rFonts w:ascii="宋体" w:hAnsi="宋体" w:cs="宋体"/>
          <w:color w:val="auto"/>
          <w:sz w:val="24"/>
          <w:highlight w:val="none"/>
        </w:rPr>
      </w:pPr>
    </w:p>
    <w:p>
      <w:pPr>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bCs/>
          <w:color w:val="auto"/>
          <w:sz w:val="24"/>
          <w:highlight w:val="none"/>
        </w:rPr>
        <w:t>单位</w:t>
      </w:r>
      <w:r>
        <w:rPr>
          <w:rFonts w:hint="eastAsia" w:ascii="宋体" w:hAnsi="宋体" w:cs="宋体"/>
          <w:color w:val="auto"/>
          <w:sz w:val="24"/>
          <w:highlight w:val="none"/>
        </w:rPr>
        <w:t>对以上填写信息的真实性负责。如有不实，本</w:t>
      </w:r>
      <w:r>
        <w:rPr>
          <w:rFonts w:hint="eastAsia" w:ascii="宋体" w:hAnsi="宋体" w:cs="宋体"/>
          <w:bCs/>
          <w:color w:val="auto"/>
          <w:sz w:val="24"/>
          <w:highlight w:val="none"/>
        </w:rPr>
        <w:t>单位</w:t>
      </w:r>
      <w:r>
        <w:rPr>
          <w:rFonts w:hint="eastAsia" w:ascii="宋体" w:hAnsi="宋体" w:cs="宋体"/>
          <w:color w:val="auto"/>
          <w:sz w:val="24"/>
          <w:highlight w:val="none"/>
        </w:rPr>
        <w:t>愿承担由此产生的一切法律责任和后果。</w:t>
      </w:r>
    </w:p>
    <w:p>
      <w:pPr>
        <w:spacing w:after="0" w:line="360" w:lineRule="auto"/>
        <w:rPr>
          <w:rFonts w:ascii="宋体" w:hAnsi="宋体" w:cs="宋体"/>
          <w:bCs/>
          <w:color w:val="auto"/>
          <w:sz w:val="24"/>
          <w:highlight w:val="none"/>
        </w:rPr>
      </w:pPr>
    </w:p>
    <w:p>
      <w:pPr>
        <w:widowControl/>
        <w:spacing w:after="0"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投标人名称：XXXX（单位盖章）。</w:t>
      </w:r>
    </w:p>
    <w:p>
      <w:pPr>
        <w:widowControl/>
        <w:spacing w:after="0"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法定代表人/单位负责人或授权代表（签字或加盖个人名章）：XXXX。</w:t>
      </w:r>
    </w:p>
    <w:p>
      <w:pPr>
        <w:widowControl/>
        <w:spacing w:after="0"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投标日期: XXXX。</w:t>
      </w:r>
    </w:p>
    <w:p>
      <w:pPr>
        <w:spacing w:after="0" w:line="360" w:lineRule="auto"/>
        <w:rPr>
          <w:rFonts w:ascii="宋体" w:hAnsi="宋体" w:cs="宋体"/>
          <w:bCs/>
          <w:color w:val="auto"/>
          <w:sz w:val="24"/>
          <w:highlight w:val="none"/>
        </w:rPr>
      </w:pPr>
    </w:p>
    <w:p>
      <w:pPr>
        <w:spacing w:after="0" w:line="360" w:lineRule="auto"/>
        <w:rPr>
          <w:rFonts w:ascii="宋体" w:hAnsi="宋体" w:cs="宋体"/>
          <w:bCs/>
          <w:color w:val="auto"/>
          <w:sz w:val="24"/>
          <w:highlight w:val="none"/>
        </w:rPr>
      </w:pPr>
      <w:r>
        <w:rPr>
          <w:rFonts w:hint="eastAsia" w:ascii="宋体" w:hAnsi="宋体" w:cs="宋体"/>
          <w:bCs/>
          <w:color w:val="auto"/>
          <w:sz w:val="24"/>
          <w:highlight w:val="none"/>
        </w:rPr>
        <w:t>注：</w:t>
      </w:r>
    </w:p>
    <w:p>
      <w:pPr>
        <w:spacing w:after="0"/>
        <w:rPr>
          <w:rFonts w:ascii="宋体" w:hAnsi="宋体" w:cs="宋体"/>
          <w:bCs/>
          <w:color w:val="auto"/>
          <w:sz w:val="24"/>
          <w:highlight w:val="none"/>
        </w:rPr>
      </w:pPr>
      <w:r>
        <w:rPr>
          <w:rFonts w:hint="eastAsia" w:ascii="宋体" w:hAnsi="宋体" w:cs="宋体"/>
          <w:bCs/>
          <w:color w:val="auto"/>
          <w:sz w:val="24"/>
          <w:highlight w:val="none"/>
        </w:rPr>
        <w:t>1、本表格式及内容仅供参考，投标人也可提供自己的格式；</w:t>
      </w:r>
    </w:p>
    <w:p>
      <w:pPr>
        <w:spacing w:after="0"/>
        <w:rPr>
          <w:rFonts w:ascii="宋体" w:hAnsi="宋体" w:cs="宋体"/>
          <w:bCs/>
          <w:color w:val="auto"/>
          <w:sz w:val="24"/>
          <w:highlight w:val="none"/>
        </w:rPr>
      </w:pPr>
      <w:r>
        <w:rPr>
          <w:rFonts w:hint="eastAsia" w:ascii="宋体" w:hAnsi="宋体" w:cs="宋体"/>
          <w:bCs/>
          <w:color w:val="auto"/>
          <w:sz w:val="24"/>
          <w:highlight w:val="none"/>
        </w:rPr>
        <w:t>2、投标人存在以上所述失信行为的，将按照</w:t>
      </w:r>
      <w:r>
        <w:rPr>
          <w:rFonts w:hint="eastAsia" w:ascii="宋体" w:hAnsi="宋体" w:cs="宋体"/>
          <w:color w:val="auto"/>
          <w:sz w:val="24"/>
          <w:highlight w:val="none"/>
        </w:rPr>
        <w:t>第二章投标人须知附表的要求进行处理；</w:t>
      </w:r>
    </w:p>
    <w:p>
      <w:pPr>
        <w:spacing w:after="0"/>
        <w:rPr>
          <w:rFonts w:ascii="宋体" w:hAnsi="宋体" w:cs="宋体"/>
          <w:color w:val="auto"/>
          <w:kern w:val="0"/>
          <w:sz w:val="24"/>
          <w:highlight w:val="none"/>
        </w:rPr>
      </w:pPr>
      <w:r>
        <w:rPr>
          <w:rFonts w:hint="eastAsia" w:ascii="宋体" w:hAnsi="宋体" w:cs="宋体"/>
          <w:bCs/>
          <w:color w:val="auto"/>
          <w:sz w:val="24"/>
          <w:highlight w:val="none"/>
        </w:rPr>
        <w:t>3、财政部门对政府采购当事人的失信行为依法进行处罚、处理后，应当在四川政府采购网向社会公告，并记入诚信档案，有效期为1年。工商部门、税务部门、审判机关及其他有关部门单位认定供应商的失信行为明</w:t>
      </w:r>
      <w:r>
        <w:rPr>
          <w:rFonts w:hint="eastAsia" w:ascii="宋体" w:hAnsi="宋体" w:cs="宋体"/>
          <w:color w:val="auto"/>
          <w:kern w:val="0"/>
          <w:sz w:val="24"/>
          <w:highlight w:val="none"/>
        </w:rPr>
        <w:t>确了有效期的，不再重复计算。</w:t>
      </w:r>
    </w:p>
    <w:p>
      <w:pPr>
        <w:spacing w:after="0"/>
        <w:rPr>
          <w:rFonts w:ascii="宋体" w:hAnsi="宋体" w:cs="宋体"/>
          <w:bCs/>
          <w:color w:val="auto"/>
          <w:sz w:val="24"/>
          <w:highlight w:val="none"/>
        </w:rPr>
      </w:pPr>
      <w:r>
        <w:rPr>
          <w:rFonts w:hint="eastAsia" w:ascii="宋体" w:hAnsi="宋体" w:cs="宋体"/>
          <w:color w:val="auto"/>
          <w:kern w:val="0"/>
          <w:sz w:val="24"/>
          <w:highlight w:val="none"/>
        </w:rPr>
        <w:t>4、</w:t>
      </w:r>
      <w:r>
        <w:rPr>
          <w:rFonts w:hint="eastAsia" w:ascii="宋体" w:hAnsi="宋体" w:cs="宋体"/>
          <w:bCs/>
          <w:color w:val="auto"/>
          <w:sz w:val="24"/>
          <w:highlight w:val="none"/>
        </w:rPr>
        <w:t>投标人的失信行为受到行政处罚或司法惩处的，评审时不再对其以价格加成进行惩戒。</w:t>
      </w:r>
    </w:p>
    <w:p>
      <w:pPr>
        <w:spacing w:after="0" w:line="360" w:lineRule="auto"/>
        <w:rPr>
          <w:rFonts w:hint="eastAsia" w:ascii="宋体" w:hAnsi="宋体" w:eastAsia="宋体" w:cs="宋体"/>
          <w:b/>
          <w:color w:val="auto"/>
          <w:sz w:val="32"/>
          <w:szCs w:val="32"/>
          <w:highlight w:val="none"/>
          <w:lang w:eastAsia="zh-CN"/>
        </w:rPr>
      </w:pPr>
      <w:r>
        <w:rPr>
          <w:rFonts w:hint="eastAsia" w:ascii="宋体" w:hAnsi="宋体" w:cs="宋体"/>
          <w:bCs/>
          <w:color w:val="auto"/>
          <w:sz w:val="24"/>
          <w:highlight w:val="none"/>
        </w:rPr>
        <w:br w:type="page"/>
      </w:r>
      <w:r>
        <w:rPr>
          <w:rFonts w:hint="eastAsia" w:ascii="宋体" w:hAnsi="宋体" w:cs="宋体"/>
          <w:b/>
          <w:color w:val="auto"/>
          <w:sz w:val="32"/>
          <w:szCs w:val="32"/>
          <w:highlight w:val="none"/>
        </w:rPr>
        <w:t>格式2-1</w:t>
      </w:r>
      <w:r>
        <w:rPr>
          <w:rFonts w:hint="eastAsia" w:ascii="宋体" w:hAnsi="宋体" w:cs="宋体"/>
          <w:b/>
          <w:color w:val="auto"/>
          <w:sz w:val="32"/>
          <w:szCs w:val="32"/>
          <w:highlight w:val="none"/>
          <w:lang w:val="en-US" w:eastAsia="zh-CN"/>
        </w:rPr>
        <w:t>2</w:t>
      </w:r>
    </w:p>
    <w:p>
      <w:pPr>
        <w:widowControl/>
        <w:spacing w:after="0" w:line="360" w:lineRule="atLeast"/>
        <w:jc w:val="center"/>
        <w:outlineLvl w:val="1"/>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十</w:t>
      </w:r>
      <w:r>
        <w:rPr>
          <w:rFonts w:hint="eastAsia" w:ascii="宋体" w:hAnsi="宋体" w:cs="宋体"/>
          <w:b/>
          <w:color w:val="auto"/>
          <w:sz w:val="32"/>
          <w:szCs w:val="32"/>
          <w:highlight w:val="none"/>
          <w:lang w:val="en-US" w:eastAsia="zh-CN"/>
        </w:rPr>
        <w:t>一</w:t>
      </w:r>
      <w:r>
        <w:rPr>
          <w:rFonts w:hint="eastAsia" w:ascii="宋体" w:hAnsi="宋体" w:cs="宋体"/>
          <w:b/>
          <w:color w:val="auto"/>
          <w:sz w:val="32"/>
          <w:szCs w:val="32"/>
          <w:highlight w:val="none"/>
        </w:rPr>
        <w:t>、中小企业声明函</w:t>
      </w:r>
    </w:p>
    <w:p>
      <w:pPr>
        <w:spacing w:line="240" w:lineRule="auto"/>
        <w:ind w:firstLine="480" w:firstLineChars="200"/>
        <w:rPr>
          <w:rFonts w:ascii="宋体" w:hAnsi="宋体" w:cs="宋体"/>
          <w:color w:val="auto"/>
          <w:sz w:val="24"/>
          <w:highlight w:val="none"/>
        </w:rPr>
      </w:pPr>
      <w:bookmarkStart w:id="172" w:name="_Toc387658050"/>
      <w:bookmarkStart w:id="173" w:name="_Toc417911732"/>
      <w:bookmarkStart w:id="174" w:name="_Toc413748654"/>
      <w:bookmarkStart w:id="175" w:name="_Toc387147344"/>
      <w:bookmarkStart w:id="176" w:name="_Toc419811733"/>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本公司郑重声明，根据《政府采购促进中小企业发展管理办法》（财库﹝2020﹞46 号）的规定，本公司参加</w:t>
      </w:r>
      <w:r>
        <w:rPr>
          <w:rFonts w:hint="eastAsia" w:ascii="宋体" w:hAnsi="宋体" w:cs="宋体"/>
          <w:color w:val="auto"/>
          <w:sz w:val="24"/>
          <w:highlight w:val="none"/>
          <w:u w:val="single"/>
        </w:rPr>
        <w:t xml:space="preserve">      （单位名称）</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w:t>
      </w:r>
      <w:r>
        <w:rPr>
          <w:rFonts w:hint="eastAsia" w:ascii="宋体" w:hAnsi="宋体" w:cs="宋体"/>
          <w:color w:val="auto"/>
          <w:sz w:val="24"/>
          <w:highlight w:val="none"/>
        </w:rPr>
        <w:t>采购活动，提供的货物全部由符合政策要求的中小企业制造。相关企业的具体情况如下：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 ，属于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w:t>
      </w:r>
    </w:p>
    <w:p>
      <w:pPr>
        <w:pStyle w:val="13"/>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 ，属于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以上企业，不属于大企业的分支机构，不存在控股股东为大企业的情形，也不存在与大企业的负责人为同一人的情形。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企业名称（盖章）：</w:t>
      </w:r>
    </w:p>
    <w:p>
      <w:pPr>
        <w:spacing w:line="360" w:lineRule="auto"/>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注：1.从业人员、营业收入、资产总额填报上一年度数据，无上一年度数据的新成立企业可不填报。</w:t>
      </w:r>
    </w:p>
    <w:p>
      <w:pPr>
        <w:numPr>
          <w:ilvl w:val="-1"/>
          <w:numId w:val="0"/>
        </w:numPr>
        <w:spacing w:line="240" w:lineRule="auto"/>
        <w:ind w:firstLine="0" w:firstLineChars="0"/>
        <w:rPr>
          <w:rFonts w:ascii="宋体" w:hAnsi="宋体" w:cs="宋体"/>
          <w:color w:val="auto"/>
          <w:sz w:val="24"/>
          <w:highlight w:val="none"/>
        </w:rPr>
      </w:pPr>
    </w:p>
    <w:bookmarkEnd w:id="172"/>
    <w:bookmarkEnd w:id="173"/>
    <w:bookmarkEnd w:id="174"/>
    <w:bookmarkEnd w:id="175"/>
    <w:bookmarkEnd w:id="176"/>
    <w:p>
      <w:pPr>
        <w:spacing w:after="0" w:line="360" w:lineRule="auto"/>
        <w:rPr>
          <w:rFonts w:ascii="宋体" w:hAnsi="宋体" w:cs="宋体"/>
          <w:b/>
          <w:color w:val="auto"/>
          <w:sz w:val="32"/>
          <w:szCs w:val="32"/>
          <w:highlight w:val="none"/>
        </w:rPr>
      </w:pPr>
      <w:bookmarkStart w:id="177" w:name="_Toc28654"/>
      <w:bookmarkStart w:id="178" w:name="_Toc28495"/>
      <w:r>
        <w:rPr>
          <w:rFonts w:hint="eastAsia" w:ascii="宋体" w:hAnsi="宋体" w:cs="宋体"/>
          <w:color w:val="auto"/>
          <w:sz w:val="24"/>
          <w:highlight w:val="none"/>
        </w:rPr>
        <w:br w:type="page"/>
      </w:r>
      <w:r>
        <w:rPr>
          <w:rFonts w:hint="eastAsia" w:ascii="宋体" w:hAnsi="宋体" w:cs="宋体"/>
          <w:b/>
          <w:color w:val="auto"/>
          <w:sz w:val="32"/>
          <w:szCs w:val="32"/>
          <w:highlight w:val="none"/>
        </w:rPr>
        <w:t>格式2-1</w:t>
      </w:r>
      <w:r>
        <w:rPr>
          <w:rFonts w:hint="eastAsia" w:ascii="宋体" w:hAnsi="宋体" w:cs="宋体"/>
          <w:b/>
          <w:color w:val="auto"/>
          <w:sz w:val="32"/>
          <w:szCs w:val="32"/>
          <w:highlight w:val="none"/>
          <w:lang w:val="en-US" w:eastAsia="zh-CN"/>
        </w:rPr>
        <w:t>3</w:t>
      </w:r>
    </w:p>
    <w:p>
      <w:pPr>
        <w:widowControl/>
        <w:spacing w:after="0" w:line="360" w:lineRule="atLeast"/>
        <w:jc w:val="center"/>
        <w:outlineLvl w:val="1"/>
        <w:rPr>
          <w:rFonts w:ascii="宋体" w:hAnsi="宋体" w:cs="宋体"/>
          <w:b/>
          <w:color w:val="auto"/>
          <w:spacing w:val="6"/>
          <w:sz w:val="24"/>
          <w:highlight w:val="none"/>
        </w:rPr>
      </w:pPr>
      <w:r>
        <w:rPr>
          <w:rFonts w:hint="eastAsia" w:ascii="宋体" w:hAnsi="宋体" w:cs="宋体"/>
          <w:b/>
          <w:color w:val="auto"/>
          <w:sz w:val="32"/>
          <w:szCs w:val="32"/>
          <w:highlight w:val="none"/>
        </w:rPr>
        <w:t>十</w:t>
      </w:r>
      <w:r>
        <w:rPr>
          <w:rFonts w:hint="eastAsia" w:ascii="宋体" w:hAnsi="宋体" w:cs="宋体"/>
          <w:b/>
          <w:color w:val="auto"/>
          <w:sz w:val="32"/>
          <w:szCs w:val="32"/>
          <w:highlight w:val="none"/>
          <w:lang w:val="en-US" w:eastAsia="zh-CN"/>
        </w:rPr>
        <w:t>二</w:t>
      </w:r>
      <w:r>
        <w:rPr>
          <w:rFonts w:hint="eastAsia" w:ascii="宋体" w:hAnsi="宋体" w:cs="宋体"/>
          <w:b/>
          <w:color w:val="auto"/>
          <w:sz w:val="32"/>
          <w:szCs w:val="32"/>
          <w:highlight w:val="none"/>
        </w:rPr>
        <w:t>、残疾人福利性单位声明函</w:t>
      </w:r>
    </w:p>
    <w:p>
      <w:pPr>
        <w:spacing w:line="588" w:lineRule="exact"/>
        <w:ind w:firstLine="504" w:firstLineChars="200"/>
        <w:rPr>
          <w:rFonts w:ascii="宋体" w:hAnsi="宋体" w:cs="宋体"/>
          <w:color w:val="auto"/>
          <w:spacing w:val="6"/>
          <w:sz w:val="24"/>
          <w:highlight w:val="none"/>
        </w:rPr>
      </w:pPr>
    </w:p>
    <w:p>
      <w:pPr>
        <w:spacing w:line="588"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 141</w:t>
      </w:r>
      <w:r>
        <w:rPr>
          <w:rFonts w:hint="eastAsia" w:ascii="宋体" w:hAnsi="宋体" w:cs="宋体"/>
          <w:color w:val="auto"/>
          <w:spacing w:val="6"/>
          <w:sz w:val="24"/>
          <w:highlight w:val="none"/>
        </w:rPr>
        <w:t>号）的规定，本单位为符合条件的残疾人福利性单位，且本单位参加</w:t>
      </w:r>
      <w:r>
        <w:rPr>
          <w:rFonts w:hint="eastAsia" w:ascii="宋体" w:hAnsi="宋体" w:cs="宋体"/>
          <w:color w:val="auto"/>
          <w:sz w:val="24"/>
          <w:highlight w:val="none"/>
          <w:u w:val="single"/>
        </w:rPr>
        <w:t>XXXX</w:t>
      </w:r>
      <w:r>
        <w:rPr>
          <w:rFonts w:hint="eastAsia" w:ascii="宋体" w:hAnsi="宋体" w:cs="宋体"/>
          <w:color w:val="auto"/>
          <w:spacing w:val="6"/>
          <w:sz w:val="24"/>
          <w:highlight w:val="none"/>
        </w:rPr>
        <w:t>单位的</w:t>
      </w:r>
      <w:r>
        <w:rPr>
          <w:rFonts w:hint="eastAsia" w:ascii="宋体" w:hAnsi="宋体" w:cs="宋体"/>
          <w:color w:val="auto"/>
          <w:sz w:val="24"/>
          <w:highlight w:val="none"/>
          <w:u w:val="single"/>
        </w:rPr>
        <w:t>XXXX</w:t>
      </w:r>
      <w:r>
        <w:rPr>
          <w:rFonts w:hint="eastAsia" w:ascii="宋体" w:hAnsi="宋体" w:cs="宋体"/>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pPr>
        <w:spacing w:line="588" w:lineRule="exact"/>
        <w:rPr>
          <w:rFonts w:ascii="宋体" w:hAnsi="宋体" w:cs="宋体"/>
          <w:color w:val="auto"/>
          <w:spacing w:val="6"/>
          <w:sz w:val="24"/>
          <w:highlight w:val="none"/>
        </w:rPr>
      </w:pPr>
    </w:p>
    <w:p>
      <w:pPr>
        <w:spacing w:line="588" w:lineRule="exact"/>
        <w:rPr>
          <w:rFonts w:ascii="宋体" w:hAnsi="宋体" w:cs="宋体"/>
          <w:color w:val="auto"/>
          <w:spacing w:val="6"/>
          <w:sz w:val="24"/>
          <w:highlight w:val="none"/>
        </w:rPr>
      </w:pPr>
    </w:p>
    <w:p>
      <w:pPr>
        <w:tabs>
          <w:tab w:val="left" w:pos="4860"/>
        </w:tabs>
        <w:spacing w:line="588" w:lineRule="exact"/>
        <w:ind w:right="1560"/>
        <w:rPr>
          <w:rFonts w:ascii="宋体" w:hAnsi="宋体" w:cs="宋体"/>
          <w:color w:val="auto"/>
          <w:spacing w:val="6"/>
          <w:sz w:val="24"/>
          <w:highlight w:val="none"/>
        </w:rPr>
      </w:pPr>
      <w:r>
        <w:rPr>
          <w:rFonts w:hint="eastAsia" w:ascii="宋体" w:hAnsi="宋体" w:cs="宋体"/>
          <w:color w:val="auto"/>
          <w:spacing w:val="6"/>
          <w:sz w:val="24"/>
          <w:highlight w:val="none"/>
        </w:rPr>
        <w:t>单位名称（盖章）：</w:t>
      </w:r>
      <w:r>
        <w:rPr>
          <w:rFonts w:hint="eastAsia" w:ascii="宋体" w:hAnsi="宋体" w:cs="宋体"/>
          <w:color w:val="auto"/>
          <w:sz w:val="24"/>
          <w:highlight w:val="none"/>
        </w:rPr>
        <w:t>XXXX</w:t>
      </w:r>
    </w:p>
    <w:p>
      <w:pPr>
        <w:rPr>
          <w:rFonts w:ascii="宋体" w:hAnsi="宋体" w:cs="宋体"/>
          <w:color w:val="auto"/>
          <w:spacing w:val="6"/>
          <w:sz w:val="24"/>
          <w:highlight w:val="none"/>
        </w:rPr>
      </w:pPr>
      <w:r>
        <w:rPr>
          <w:rFonts w:hint="eastAsia" w:ascii="宋体" w:hAnsi="宋体" w:cs="宋体"/>
          <w:color w:val="auto"/>
          <w:spacing w:val="6"/>
          <w:sz w:val="24"/>
          <w:highlight w:val="none"/>
        </w:rPr>
        <w:t>日  期：</w:t>
      </w:r>
      <w:r>
        <w:rPr>
          <w:rFonts w:hint="eastAsia" w:ascii="宋体" w:hAnsi="宋体" w:cs="宋体"/>
          <w:color w:val="auto"/>
          <w:sz w:val="24"/>
          <w:highlight w:val="none"/>
        </w:rPr>
        <w:t>XXXX</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注：</w:t>
      </w:r>
    </w:p>
    <w:p>
      <w:pPr>
        <w:numPr>
          <w:ilvl w:val="0"/>
          <w:numId w:val="4"/>
        </w:numPr>
        <w:spacing w:line="360" w:lineRule="auto"/>
        <w:rPr>
          <w:rFonts w:ascii="宋体" w:hAnsi="宋体" w:cs="宋体"/>
          <w:color w:val="auto"/>
          <w:sz w:val="24"/>
          <w:highlight w:val="none"/>
        </w:rPr>
      </w:pPr>
      <w:r>
        <w:rPr>
          <w:rFonts w:hint="eastAsia" w:ascii="宋体" w:hAnsi="宋体" w:cs="宋体"/>
          <w:color w:val="auto"/>
          <w:sz w:val="24"/>
          <w:highlight w:val="none"/>
        </w:rPr>
        <w:t>残疾人福利性单位视同小型、微型企业，享受预留份额、评审中价格扣除等促进中小企业发展的政府采购政策。残疾人福利性单位属于小型、微型企业的，不重复享受政策。</w:t>
      </w:r>
    </w:p>
    <w:p>
      <w:pPr>
        <w:numPr>
          <w:ilvl w:val="0"/>
          <w:numId w:val="4"/>
        </w:numPr>
        <w:spacing w:line="360" w:lineRule="auto"/>
        <w:rPr>
          <w:rFonts w:ascii="宋体" w:hAnsi="宋体" w:cs="宋体"/>
          <w:color w:val="auto"/>
          <w:sz w:val="24"/>
          <w:highlight w:val="none"/>
        </w:rPr>
      </w:pPr>
      <w:r>
        <w:rPr>
          <w:rFonts w:hint="eastAsia" w:ascii="宋体" w:hAnsi="宋体" w:cs="宋体"/>
          <w:color w:val="auto"/>
          <w:sz w:val="24"/>
          <w:highlight w:val="none"/>
        </w:rPr>
        <w:t>投标人为非残疾人福利性单位的，可不提供此声明。</w:t>
      </w:r>
    </w:p>
    <w:p>
      <w:pPr>
        <w:spacing w:line="300" w:lineRule="exact"/>
        <w:rPr>
          <w:rFonts w:ascii="宋体" w:hAnsi="宋体" w:cs="宋体"/>
          <w:color w:val="auto"/>
          <w:sz w:val="24"/>
          <w:highlight w:val="none"/>
        </w:rPr>
      </w:pPr>
    </w:p>
    <w:p>
      <w:pPr>
        <w:spacing w:line="360" w:lineRule="auto"/>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pPr>
        <w:spacing w:after="0" w:line="360" w:lineRule="auto"/>
        <w:rPr>
          <w:rFonts w:hint="eastAsia"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格式2-1</w:t>
      </w:r>
      <w:r>
        <w:rPr>
          <w:rFonts w:hint="eastAsia" w:ascii="宋体" w:hAnsi="宋体" w:cs="宋体"/>
          <w:b/>
          <w:color w:val="auto"/>
          <w:sz w:val="32"/>
          <w:szCs w:val="32"/>
          <w:highlight w:val="none"/>
          <w:lang w:val="en-US" w:eastAsia="zh-CN"/>
        </w:rPr>
        <w:t>4</w:t>
      </w:r>
    </w:p>
    <w:p>
      <w:pPr>
        <w:widowControl/>
        <w:spacing w:after="0" w:line="360" w:lineRule="atLeast"/>
        <w:jc w:val="center"/>
        <w:outlineLvl w:val="1"/>
        <w:rPr>
          <w:rFonts w:ascii="宋体" w:hAnsi="宋体" w:cs="宋体"/>
          <w:b/>
          <w:color w:val="auto"/>
          <w:spacing w:val="6"/>
          <w:sz w:val="24"/>
          <w:highlight w:val="none"/>
        </w:rPr>
      </w:pPr>
      <w:r>
        <w:rPr>
          <w:rFonts w:hint="eastAsia" w:ascii="宋体" w:hAnsi="宋体" w:cs="宋体"/>
          <w:b/>
          <w:color w:val="auto"/>
          <w:sz w:val="32"/>
          <w:szCs w:val="32"/>
          <w:highlight w:val="none"/>
        </w:rPr>
        <w:t>十</w:t>
      </w:r>
      <w:r>
        <w:rPr>
          <w:rFonts w:hint="eastAsia" w:ascii="宋体" w:hAnsi="宋体" w:cs="宋体"/>
          <w:b/>
          <w:color w:val="auto"/>
          <w:sz w:val="32"/>
          <w:szCs w:val="32"/>
          <w:highlight w:val="none"/>
          <w:lang w:val="en-US" w:eastAsia="zh-CN"/>
        </w:rPr>
        <w:t>三</w:t>
      </w:r>
      <w:r>
        <w:rPr>
          <w:rFonts w:hint="eastAsia" w:ascii="宋体" w:hAnsi="宋体" w:cs="宋体"/>
          <w:b/>
          <w:color w:val="auto"/>
          <w:sz w:val="32"/>
          <w:szCs w:val="32"/>
          <w:highlight w:val="none"/>
        </w:rPr>
        <w:t>、监狱企业声明函</w:t>
      </w:r>
    </w:p>
    <w:p>
      <w:pPr>
        <w:spacing w:line="588" w:lineRule="exact"/>
        <w:ind w:firstLine="504" w:firstLineChars="200"/>
        <w:rPr>
          <w:rFonts w:ascii="宋体" w:hAnsi="宋体" w:cs="宋体"/>
          <w:color w:val="auto"/>
          <w:spacing w:val="6"/>
          <w:sz w:val="24"/>
          <w:highlight w:val="none"/>
        </w:rPr>
      </w:pPr>
    </w:p>
    <w:p>
      <w:pPr>
        <w:spacing w:line="588" w:lineRule="exact"/>
        <w:ind w:firstLine="504" w:firstLineChars="200"/>
        <w:rPr>
          <w:rFonts w:hint="eastAsia" w:ascii="宋体" w:hAnsi="宋体" w:eastAsia="宋体" w:cs="宋体"/>
          <w:b/>
          <w:color w:val="auto"/>
          <w:spacing w:val="6"/>
          <w:sz w:val="24"/>
          <w:highlight w:val="none"/>
          <w:lang w:val="en-US" w:eastAsia="zh-CN"/>
        </w:rPr>
      </w:pPr>
      <w:r>
        <w:rPr>
          <w:rFonts w:hint="eastAsia" w:ascii="宋体" w:hAnsi="宋体" w:eastAsia="宋体" w:cs="宋体"/>
          <w:b w:val="0"/>
          <w:bCs w:val="0"/>
          <w:color w:val="auto"/>
          <w:spacing w:val="6"/>
          <w:sz w:val="24"/>
          <w:highlight w:val="none"/>
          <w:lang w:val="en-US" w:eastAsia="zh-CN"/>
        </w:rPr>
        <w:t>根据《政府采购支持监狱企业发展有关问题的通知》（财库〔2014〕68号）的规定监狱企业参加采购活动的，应提供由省级以上监狱管理局、戒毒管理局(含新疆生产建设兵团)出具的属于监狱企业的证明文件。</w:t>
      </w:r>
    </w:p>
    <w:p>
      <w:pPr>
        <w:spacing w:line="588" w:lineRule="exact"/>
        <w:ind w:firstLine="504" w:firstLineChars="200"/>
        <w:rPr>
          <w:rFonts w:hint="eastAsia" w:ascii="宋体" w:hAnsi="宋体" w:eastAsia="宋体" w:cs="宋体"/>
          <w:b w:val="0"/>
          <w:bCs w:val="0"/>
          <w:color w:val="auto"/>
          <w:spacing w:val="6"/>
          <w:sz w:val="24"/>
          <w:highlight w:val="none"/>
          <w:lang w:val="en-US" w:eastAsia="zh-CN"/>
        </w:rPr>
      </w:pPr>
    </w:p>
    <w:p>
      <w:pPr>
        <w:spacing w:line="588" w:lineRule="exact"/>
        <w:ind w:firstLine="504" w:firstLineChars="200"/>
        <w:rPr>
          <w:rFonts w:hint="eastAsia" w:ascii="宋体" w:hAnsi="宋体" w:eastAsia="宋体" w:cs="宋体"/>
          <w:b w:val="0"/>
          <w:bCs w:val="0"/>
          <w:color w:val="auto"/>
          <w:spacing w:val="6"/>
          <w:sz w:val="24"/>
          <w:highlight w:val="none"/>
          <w:lang w:val="en-US" w:eastAsia="zh-CN"/>
        </w:rPr>
      </w:pPr>
    </w:p>
    <w:p>
      <w:pPr>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单位名称：XXXX（盖单位公章）</w:t>
      </w:r>
    </w:p>
    <w:p>
      <w:pPr>
        <w:ind w:firstLine="480" w:firstLineChars="200"/>
        <w:jc w:val="left"/>
        <w:rPr>
          <w:rFonts w:hint="eastAsia" w:ascii="宋体" w:hAnsi="宋体" w:eastAsia="宋体" w:cs="宋体"/>
          <w:color w:val="auto"/>
          <w:sz w:val="24"/>
          <w:highlight w:val="none"/>
        </w:rPr>
      </w:pPr>
    </w:p>
    <w:p>
      <w:pPr>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法定代表人/单位负责人或授权代表（签字或加盖个人印章）：XXXX</w:t>
      </w:r>
    </w:p>
    <w:p>
      <w:pPr>
        <w:ind w:firstLine="480" w:firstLineChars="200"/>
        <w:jc w:val="left"/>
        <w:rPr>
          <w:rFonts w:hint="eastAsia" w:ascii="宋体" w:hAnsi="宋体" w:eastAsia="宋体" w:cs="宋体"/>
          <w:color w:val="auto"/>
          <w:sz w:val="24"/>
          <w:highlight w:val="none"/>
        </w:rPr>
      </w:pPr>
    </w:p>
    <w:p>
      <w:pPr>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日期：XXXX</w:t>
      </w:r>
    </w:p>
    <w:p>
      <w:pPr>
        <w:spacing w:line="588" w:lineRule="exact"/>
        <w:ind w:firstLine="504" w:firstLineChars="200"/>
        <w:rPr>
          <w:rFonts w:hint="eastAsia" w:ascii="宋体" w:hAnsi="宋体" w:eastAsia="宋体" w:cs="宋体"/>
          <w:b w:val="0"/>
          <w:bCs w:val="0"/>
          <w:color w:val="auto"/>
          <w:spacing w:val="6"/>
          <w:sz w:val="24"/>
          <w:highlight w:val="none"/>
          <w:lang w:val="en-US" w:eastAsia="zh-CN"/>
        </w:rPr>
      </w:pPr>
      <w:r>
        <w:rPr>
          <w:rFonts w:hint="eastAsia" w:ascii="宋体" w:hAnsi="宋体" w:eastAsia="宋体" w:cs="宋体"/>
          <w:b w:val="0"/>
          <w:bCs w:val="0"/>
          <w:color w:val="auto"/>
          <w:spacing w:val="6"/>
          <w:sz w:val="24"/>
          <w:highlight w:val="none"/>
          <w:lang w:val="en-US" w:eastAsia="zh-CN"/>
        </w:rPr>
        <w:t>注：</w:t>
      </w:r>
    </w:p>
    <w:p>
      <w:pPr>
        <w:spacing w:line="588" w:lineRule="exact"/>
        <w:ind w:firstLine="504" w:firstLineChars="200"/>
        <w:rPr>
          <w:rFonts w:hint="eastAsia" w:ascii="宋体" w:hAnsi="宋体" w:eastAsia="宋体" w:cs="宋体"/>
          <w:b w:val="0"/>
          <w:bCs w:val="0"/>
          <w:color w:val="auto"/>
          <w:spacing w:val="6"/>
          <w:sz w:val="24"/>
          <w:highlight w:val="none"/>
          <w:lang w:val="en-US" w:eastAsia="zh-CN"/>
        </w:rPr>
      </w:pPr>
      <w:r>
        <w:rPr>
          <w:rFonts w:hint="eastAsia" w:ascii="宋体" w:hAnsi="宋体" w:eastAsia="宋体" w:cs="宋体"/>
          <w:b w:val="0"/>
          <w:bCs w:val="0"/>
          <w:color w:val="auto"/>
          <w:spacing w:val="6"/>
          <w:sz w:val="24"/>
          <w:highlight w:val="none"/>
          <w:lang w:val="en-US" w:eastAsia="zh-CN"/>
        </w:rPr>
        <w:t>1、投标人符合《政府采购支持监狱企业发展有关问题的通知》（财库〔2014〕68号）规定的划分标准为监狱企业适用。</w:t>
      </w:r>
    </w:p>
    <w:p>
      <w:pPr>
        <w:spacing w:line="588" w:lineRule="exact"/>
        <w:ind w:firstLine="504" w:firstLineChars="200"/>
        <w:rPr>
          <w:rFonts w:hint="eastAsia" w:ascii="宋体" w:hAnsi="宋体" w:eastAsia="宋体" w:cs="宋体"/>
          <w:b w:val="0"/>
          <w:bCs w:val="0"/>
          <w:color w:val="auto"/>
          <w:spacing w:val="6"/>
          <w:sz w:val="24"/>
          <w:highlight w:val="none"/>
          <w:lang w:val="en-US" w:eastAsia="zh-CN"/>
        </w:rPr>
      </w:pPr>
      <w:r>
        <w:rPr>
          <w:rFonts w:hint="eastAsia" w:ascii="宋体" w:hAnsi="宋体" w:eastAsia="宋体" w:cs="宋体"/>
          <w:b w:val="0"/>
          <w:bCs w:val="0"/>
          <w:color w:val="auto"/>
          <w:spacing w:val="6"/>
          <w:sz w:val="24"/>
          <w:highlight w:val="none"/>
          <w:lang w:val="en-US" w:eastAsia="zh-CN"/>
        </w:rPr>
        <w:t>2、在政府采购活动中，监狱企业视同小型、微型企业，享受预留份额、评审中价格扣除等政府采购促进中小企业发展的政府采购政策。</w:t>
      </w:r>
      <w:r>
        <w:rPr>
          <w:rFonts w:hint="eastAsia" w:ascii="宋体" w:hAnsi="宋体" w:cs="宋体"/>
          <w:color w:val="auto"/>
          <w:sz w:val="24"/>
          <w:highlight w:val="none"/>
        </w:rPr>
        <w:t>投标人为非</w:t>
      </w:r>
      <w:r>
        <w:rPr>
          <w:rFonts w:hint="eastAsia" w:ascii="宋体" w:hAnsi="宋体" w:eastAsia="宋体" w:cs="宋体"/>
          <w:b w:val="0"/>
          <w:bCs w:val="0"/>
          <w:color w:val="auto"/>
          <w:spacing w:val="6"/>
          <w:sz w:val="24"/>
          <w:highlight w:val="none"/>
          <w:lang w:val="en-US" w:eastAsia="zh-CN"/>
        </w:rPr>
        <w:t>残疾人福利性单位的，可不提供此声明。</w:t>
      </w:r>
    </w:p>
    <w:p>
      <w:pPr>
        <w:spacing w:line="588" w:lineRule="exact"/>
        <w:ind w:firstLine="504" w:firstLineChars="200"/>
        <w:rPr>
          <w:rFonts w:hint="eastAsia" w:ascii="宋体" w:hAnsi="宋体" w:eastAsia="宋体" w:cs="宋体"/>
          <w:b w:val="0"/>
          <w:bCs w:val="0"/>
          <w:color w:val="auto"/>
          <w:spacing w:val="6"/>
          <w:sz w:val="24"/>
          <w:highlight w:val="none"/>
          <w:lang w:val="en-US" w:eastAsia="zh-CN"/>
        </w:rPr>
      </w:pPr>
      <w:r>
        <w:rPr>
          <w:rFonts w:hint="eastAsia" w:ascii="宋体" w:hAnsi="宋体" w:eastAsia="宋体" w:cs="宋体"/>
          <w:b w:val="0"/>
          <w:bCs w:val="0"/>
          <w:color w:val="auto"/>
          <w:spacing w:val="6"/>
          <w:sz w:val="24"/>
          <w:highlight w:val="none"/>
          <w:lang w:val="en-US" w:eastAsia="zh-CN"/>
        </w:rPr>
        <w:t>3、</w:t>
      </w:r>
      <w:r>
        <w:rPr>
          <w:rFonts w:hint="eastAsia" w:ascii="宋体" w:hAnsi="宋体" w:cs="宋体"/>
          <w:color w:val="auto"/>
          <w:sz w:val="24"/>
          <w:highlight w:val="none"/>
        </w:rPr>
        <w:t>投标人为非监狱企业的，可不提供此声明。</w:t>
      </w:r>
    </w:p>
    <w:p>
      <w:pPr>
        <w:spacing w:line="588" w:lineRule="exact"/>
        <w:ind w:firstLine="504" w:firstLineChars="200"/>
        <w:rPr>
          <w:rFonts w:hint="eastAsia" w:ascii="宋体" w:hAnsi="宋体" w:eastAsia="宋体" w:cs="宋体"/>
          <w:b w:val="0"/>
          <w:bCs w:val="0"/>
          <w:color w:val="auto"/>
          <w:spacing w:val="6"/>
          <w:sz w:val="24"/>
          <w:highlight w:val="none"/>
          <w:lang w:val="en-US" w:eastAsia="zh-CN"/>
        </w:rPr>
      </w:pPr>
    </w:p>
    <w:p>
      <w:pPr>
        <w:spacing w:line="360" w:lineRule="auto"/>
        <w:rPr>
          <w:rFonts w:hint="eastAsia" w:ascii="宋体" w:hAnsi="宋体" w:cs="宋体"/>
          <w:b/>
          <w:color w:val="auto"/>
          <w:sz w:val="32"/>
          <w:szCs w:val="32"/>
          <w:highlight w:val="none"/>
        </w:rPr>
      </w:pPr>
    </w:p>
    <w:p>
      <w:pPr>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格式2-1</w:t>
      </w:r>
      <w:r>
        <w:rPr>
          <w:rFonts w:hint="eastAsia" w:ascii="宋体" w:hAnsi="宋体" w:cs="宋体"/>
          <w:b/>
          <w:color w:val="auto"/>
          <w:sz w:val="32"/>
          <w:szCs w:val="32"/>
          <w:highlight w:val="none"/>
          <w:lang w:val="en-US" w:eastAsia="zh-CN"/>
        </w:rPr>
        <w:t>5</w:t>
      </w:r>
    </w:p>
    <w:p>
      <w:pPr>
        <w:widowControl/>
        <w:spacing w:after="0" w:line="360" w:lineRule="atLeast"/>
        <w:jc w:val="center"/>
        <w:outlineLvl w:val="1"/>
        <w:rPr>
          <w:rFonts w:ascii="宋体" w:hAnsi="宋体" w:cs="宋体"/>
          <w:b/>
          <w:color w:val="auto"/>
          <w:sz w:val="32"/>
          <w:szCs w:val="32"/>
          <w:highlight w:val="none"/>
        </w:rPr>
      </w:pPr>
      <w:r>
        <w:rPr>
          <w:rFonts w:hint="eastAsia" w:ascii="宋体" w:hAnsi="宋体" w:cs="宋体"/>
          <w:b/>
          <w:color w:val="auto"/>
          <w:sz w:val="32"/>
          <w:szCs w:val="32"/>
          <w:highlight w:val="none"/>
        </w:rPr>
        <w:t>十</w:t>
      </w:r>
      <w:r>
        <w:rPr>
          <w:rFonts w:hint="eastAsia" w:ascii="宋体" w:hAnsi="宋体" w:cs="宋体"/>
          <w:b/>
          <w:color w:val="auto"/>
          <w:sz w:val="32"/>
          <w:szCs w:val="32"/>
          <w:highlight w:val="none"/>
          <w:lang w:val="en-US" w:eastAsia="zh-CN"/>
        </w:rPr>
        <w:t>四</w:t>
      </w:r>
      <w:r>
        <w:rPr>
          <w:rFonts w:hint="eastAsia" w:ascii="宋体" w:hAnsi="宋体" w:cs="宋体"/>
          <w:b/>
          <w:color w:val="auto"/>
          <w:sz w:val="32"/>
          <w:szCs w:val="32"/>
          <w:highlight w:val="none"/>
        </w:rPr>
        <w:t>、知识产权声明函</w:t>
      </w:r>
    </w:p>
    <w:p>
      <w:pPr>
        <w:spacing w:line="360" w:lineRule="auto"/>
        <w:rPr>
          <w:rFonts w:ascii="宋体" w:hAnsi="宋体" w:cs="宋体"/>
          <w:bCs/>
          <w:color w:val="auto"/>
          <w:sz w:val="24"/>
          <w:highlight w:val="none"/>
        </w:rPr>
      </w:pPr>
    </w:p>
    <w:p>
      <w:pPr>
        <w:spacing w:line="360" w:lineRule="auto"/>
        <w:rPr>
          <w:rFonts w:ascii="宋体" w:hAnsi="宋体" w:cs="宋体"/>
          <w:bCs/>
          <w:color w:val="auto"/>
          <w:sz w:val="24"/>
          <w:highlight w:val="none"/>
        </w:rPr>
      </w:pPr>
      <w:r>
        <w:rPr>
          <w:rFonts w:hint="eastAsia" w:ascii="宋体" w:hAnsi="宋体" w:cs="宋体"/>
          <w:bCs/>
          <w:color w:val="auto"/>
          <w:sz w:val="24"/>
          <w:highlight w:val="none"/>
        </w:rPr>
        <w:t>致：</w:t>
      </w:r>
      <w:r>
        <w:rPr>
          <w:rFonts w:hint="eastAsia" w:ascii="宋体" w:hAnsi="宋体" w:cs="宋体"/>
          <w:bCs/>
          <w:color w:val="auto"/>
          <w:sz w:val="24"/>
          <w:highlight w:val="none"/>
          <w:u w:val="single"/>
        </w:rPr>
        <w:t xml:space="preserve">          （代理机构名称）</w:t>
      </w:r>
      <w:r>
        <w:rPr>
          <w:rFonts w:hint="eastAsia" w:ascii="宋体" w:hAnsi="宋体" w:cs="宋体"/>
          <w:bCs/>
          <w:color w:val="auto"/>
          <w:sz w:val="24"/>
          <w:highlight w:val="none"/>
        </w:rPr>
        <w:t xml:space="preserve"> </w:t>
      </w:r>
    </w:p>
    <w:p>
      <w:pPr>
        <w:spacing w:line="360" w:lineRule="auto"/>
        <w:ind w:firstLine="482" w:firstLineChars="200"/>
        <w:rPr>
          <w:rFonts w:ascii="宋体" w:hAnsi="宋体" w:cs="宋体"/>
          <w:bCs/>
          <w:color w:val="auto"/>
          <w:sz w:val="24"/>
          <w:highlight w:val="none"/>
        </w:rPr>
      </w:pPr>
      <w:r>
        <w:rPr>
          <w:rFonts w:hint="eastAsia" w:ascii="宋体" w:hAnsi="宋体" w:cs="宋体"/>
          <w:b/>
          <w:color w:val="auto"/>
          <w:sz w:val="24"/>
          <w:highlight w:val="none"/>
        </w:rPr>
        <w:t>本单位</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（公司名称）参加</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（项目名称）的采购活动，现承诺声明：</w:t>
      </w:r>
      <w:r>
        <w:rPr>
          <w:rFonts w:hint="eastAsia" w:ascii="宋体" w:hAnsi="宋体" w:cs="宋体"/>
          <w:bCs/>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我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2.除非招标文件特别规定，采购人享有本项目实施过程中产生的知识成果及知识产权。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本单位在采购项目实施过程中采用自有或者第三方知识成果的，使用该知识成果后，我单位提供开发接口和开发手册等技术资料，并承诺提供无限期支持，采购人享有使用权（含采购人委托第三方在该项目后续开发的使用权）。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4.如采用本单位所不拥有的知识产权，本单位承诺在本项目报价中已经包括合法获取该知识产权的相关费用。 </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本单位对上述承诺声明内容事项真实性负责。如经查实上述承诺声明的内容事项存在虚假或未履行，本单位愿意接受以提供虚假材料谋取成交追究法律责任。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法定代表人/单位负责人或授权代表（签字或加盖个人名章）：XXXX。</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投标人名称：XXXX（盖章）</w:t>
      </w:r>
    </w:p>
    <w:p>
      <w:pPr>
        <w:spacing w:line="360" w:lineRule="auto"/>
        <w:ind w:firstLine="480" w:firstLineChars="200"/>
        <w:rPr>
          <w:rFonts w:ascii="宋体" w:hAnsi="宋体" w:cs="宋体"/>
          <w:b/>
          <w:color w:val="auto"/>
          <w:sz w:val="32"/>
          <w:szCs w:val="32"/>
          <w:highlight w:val="none"/>
        </w:rPr>
      </w:pPr>
      <w:r>
        <w:rPr>
          <w:rFonts w:hint="eastAsia" w:ascii="宋体" w:hAnsi="宋体" w:cs="宋体"/>
          <w:color w:val="auto"/>
          <w:sz w:val="24"/>
          <w:highlight w:val="none"/>
        </w:rPr>
        <w:t>日    期：XXX年XXX月XXX日</w:t>
      </w:r>
    </w:p>
    <w:p>
      <w:pPr>
        <w:spacing w:line="360" w:lineRule="auto"/>
        <w:rPr>
          <w:rFonts w:ascii="宋体" w:hAnsi="宋体" w:cs="宋体"/>
          <w:color w:val="auto"/>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格式2-1</w:t>
      </w:r>
      <w:r>
        <w:rPr>
          <w:rFonts w:hint="eastAsia" w:ascii="宋体" w:hAnsi="宋体" w:cs="宋体"/>
          <w:b/>
          <w:color w:val="auto"/>
          <w:sz w:val="32"/>
          <w:szCs w:val="32"/>
          <w:highlight w:val="none"/>
          <w:lang w:val="en-US" w:eastAsia="zh-CN"/>
        </w:rPr>
        <w:t>6</w:t>
      </w:r>
    </w:p>
    <w:p>
      <w:pPr>
        <w:widowControl/>
        <w:spacing w:after="0" w:line="360" w:lineRule="atLeast"/>
        <w:jc w:val="center"/>
        <w:outlineLvl w:val="1"/>
        <w:rPr>
          <w:rFonts w:ascii="宋体" w:hAnsi="宋体" w:cs="宋体"/>
          <w:b/>
          <w:color w:val="auto"/>
          <w:sz w:val="32"/>
          <w:szCs w:val="32"/>
          <w:highlight w:val="none"/>
        </w:rPr>
      </w:pPr>
      <w:r>
        <w:rPr>
          <w:rFonts w:hint="eastAsia" w:ascii="宋体" w:hAnsi="宋体" w:cs="宋体"/>
          <w:b/>
          <w:color w:val="auto"/>
          <w:sz w:val="32"/>
          <w:szCs w:val="32"/>
          <w:highlight w:val="none"/>
        </w:rPr>
        <w:t>十</w:t>
      </w:r>
      <w:r>
        <w:rPr>
          <w:rFonts w:hint="eastAsia" w:ascii="宋体" w:hAnsi="宋体" w:cs="宋体"/>
          <w:b/>
          <w:color w:val="auto"/>
          <w:sz w:val="32"/>
          <w:szCs w:val="32"/>
          <w:highlight w:val="none"/>
          <w:lang w:val="en-US" w:eastAsia="zh-CN"/>
        </w:rPr>
        <w:t>五</w:t>
      </w:r>
      <w:r>
        <w:rPr>
          <w:rFonts w:hint="eastAsia" w:ascii="宋体" w:hAnsi="宋体" w:cs="宋体"/>
          <w:b/>
          <w:color w:val="auto"/>
          <w:sz w:val="32"/>
          <w:szCs w:val="32"/>
          <w:highlight w:val="none"/>
        </w:rPr>
        <w:t>、实质性承诺函</w:t>
      </w:r>
    </w:p>
    <w:p>
      <w:pPr>
        <w:spacing w:line="240" w:lineRule="auto"/>
        <w:rPr>
          <w:rFonts w:ascii="宋体" w:hAnsi="宋体" w:cs="宋体"/>
          <w:color w:val="auto"/>
          <w:highlight w:val="none"/>
        </w:rPr>
      </w:pPr>
    </w:p>
    <w:p>
      <w:pPr>
        <w:spacing w:line="240" w:lineRule="auto"/>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pPr>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我公司作为本次采购项目的投标人，根据招标文件中规定的实质性要求，现郑重承诺完全响应本项目招标文件规定的所有实质性要求：</w:t>
      </w:r>
    </w:p>
    <w:p>
      <w:pPr>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1.采购预算的要求：完全响应；</w:t>
      </w:r>
    </w:p>
    <w:p>
      <w:pPr>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2.是否专门面向中小企业、小微企业的要求：完全响应；</w:t>
      </w:r>
    </w:p>
    <w:p>
      <w:pPr>
        <w:spacing w:line="240" w:lineRule="auto"/>
        <w:ind w:firstLine="480" w:firstLineChars="200"/>
        <w:rPr>
          <w:rFonts w:ascii="宋体" w:hAnsi="宋体" w:cs="宋体"/>
          <w:color w:val="auto"/>
          <w:szCs w:val="21"/>
          <w:highlight w:val="none"/>
          <w:lang w:val="zh-CN"/>
        </w:rPr>
      </w:pPr>
      <w:r>
        <w:rPr>
          <w:rFonts w:hint="eastAsia" w:ascii="宋体" w:hAnsi="宋体" w:cs="宋体"/>
          <w:color w:val="auto"/>
          <w:sz w:val="24"/>
          <w:highlight w:val="none"/>
        </w:rPr>
        <w:t>3.最高限价的要求：完全响应；</w:t>
      </w:r>
    </w:p>
    <w:p>
      <w:pPr>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4.低于成本价不正当竞争预防措施的要求：完全响应；</w:t>
      </w:r>
    </w:p>
    <w:p>
      <w:pPr>
        <w:spacing w:line="24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5.</w:t>
      </w:r>
      <w:r>
        <w:rPr>
          <w:rFonts w:hint="eastAsia" w:ascii="宋体" w:hAnsi="宋体" w:cs="宋体"/>
          <w:color w:val="auto"/>
          <w:sz w:val="24"/>
          <w:highlight w:val="none"/>
          <w:lang w:val="zh-CN"/>
        </w:rPr>
        <w:t>进口产品</w:t>
      </w:r>
      <w:r>
        <w:rPr>
          <w:rFonts w:hint="eastAsia" w:ascii="宋体" w:hAnsi="宋体" w:cs="宋体"/>
          <w:color w:val="auto"/>
          <w:sz w:val="24"/>
          <w:highlight w:val="none"/>
        </w:rPr>
        <w:t>的要求：完全响应；</w:t>
      </w:r>
    </w:p>
    <w:p>
      <w:pPr>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6.国家规定的强制采购范围的要求：完全响应；</w:t>
      </w:r>
    </w:p>
    <w:p>
      <w:pPr>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7.投标费用的要求：完全响应；</w:t>
      </w:r>
    </w:p>
    <w:p>
      <w:pPr>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8.充分、公平竞争保障措施的要求：完全响应；</w:t>
      </w:r>
    </w:p>
    <w:p>
      <w:pPr>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9.投标文件的语言的要求：完全响应；</w:t>
      </w:r>
    </w:p>
    <w:p>
      <w:pPr>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10.计量单位的要求：完全响应；</w:t>
      </w:r>
    </w:p>
    <w:p>
      <w:pPr>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11.投标货币的要求：完全响应；</w:t>
      </w:r>
    </w:p>
    <w:p>
      <w:pPr>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12.投标有效期的要求：完全响应；</w:t>
      </w:r>
    </w:p>
    <w:p>
      <w:pPr>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13.““开标一览表”除单独密封提交外，还应编制于其他响应性投标文件正副本内，如有遗漏，将视为无效投标”的要求：完全响应；</w:t>
      </w:r>
    </w:p>
    <w:p>
      <w:pPr>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14.合同分包的要求：完全响应；</w:t>
      </w:r>
    </w:p>
    <w:p>
      <w:pPr>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15.合同转包的要求：完全响应；</w:t>
      </w:r>
    </w:p>
    <w:p>
      <w:pPr>
        <w:spacing w:line="24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16.第六章  招标项目技术、服务、商务及其他要求中“</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四</w:t>
      </w:r>
      <w:r>
        <w:rPr>
          <w:rFonts w:hint="eastAsia" w:ascii="宋体" w:hAnsi="宋体" w:cs="宋体"/>
          <w:color w:val="auto"/>
          <w:sz w:val="24"/>
          <w:highlight w:val="none"/>
        </w:rPr>
        <w:t>、商务要求</w:t>
      </w:r>
      <w:r>
        <w:rPr>
          <w:rFonts w:hint="eastAsia" w:ascii="宋体" w:hAnsi="宋体" w:cs="宋体"/>
          <w:color w:val="auto"/>
          <w:sz w:val="24"/>
          <w:highlight w:val="none"/>
          <w:lang w:val="en-US" w:eastAsia="zh-CN"/>
        </w:rPr>
        <w:t>”的要求：完全响应；</w:t>
      </w:r>
    </w:p>
    <w:p>
      <w:pPr>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.招标文件中标注★号的内容的要求：完全响应；</w:t>
      </w:r>
    </w:p>
    <w:p>
      <w:pPr>
        <w:widowControl/>
        <w:spacing w:line="240" w:lineRule="auto"/>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投标人名称：XXXX（单位盖章）。</w:t>
      </w:r>
    </w:p>
    <w:p>
      <w:pPr>
        <w:widowControl/>
        <w:spacing w:line="240" w:lineRule="auto"/>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法定代表人/单位负责人或授权代表（签字或加盖个人名章）：XXXX。</w:t>
      </w:r>
    </w:p>
    <w:p>
      <w:pPr>
        <w:widowControl/>
        <w:spacing w:line="240" w:lineRule="auto"/>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投标日期: XXXX。</w:t>
      </w:r>
    </w:p>
    <w:p>
      <w:pPr>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格式2-1</w:t>
      </w:r>
      <w:r>
        <w:rPr>
          <w:rFonts w:hint="eastAsia" w:ascii="宋体" w:hAnsi="宋体" w:cs="宋体"/>
          <w:b/>
          <w:color w:val="auto"/>
          <w:sz w:val="32"/>
          <w:szCs w:val="32"/>
          <w:highlight w:val="none"/>
          <w:lang w:val="en-US" w:eastAsia="zh-CN"/>
        </w:rPr>
        <w:t>7</w:t>
      </w:r>
    </w:p>
    <w:p>
      <w:pPr>
        <w:widowControl/>
        <w:spacing w:line="360" w:lineRule="atLeast"/>
        <w:jc w:val="center"/>
        <w:outlineLvl w:val="1"/>
        <w:rPr>
          <w:rFonts w:ascii="宋体" w:hAnsi="宋体" w:cs="宋体"/>
          <w:b/>
          <w:color w:val="auto"/>
          <w:sz w:val="32"/>
          <w:szCs w:val="32"/>
          <w:highlight w:val="none"/>
        </w:rPr>
      </w:pPr>
      <w:r>
        <w:rPr>
          <w:rFonts w:hint="eastAsia" w:ascii="宋体" w:hAnsi="宋体" w:cs="宋体"/>
          <w:b/>
          <w:color w:val="auto"/>
          <w:sz w:val="32"/>
          <w:szCs w:val="32"/>
          <w:highlight w:val="none"/>
        </w:rPr>
        <w:t>十</w:t>
      </w:r>
      <w:r>
        <w:rPr>
          <w:rFonts w:hint="eastAsia" w:ascii="宋体" w:hAnsi="宋体" w:cs="宋体"/>
          <w:b/>
          <w:color w:val="auto"/>
          <w:sz w:val="32"/>
          <w:szCs w:val="32"/>
          <w:highlight w:val="none"/>
          <w:lang w:val="en-US" w:eastAsia="zh-CN"/>
        </w:rPr>
        <w:t>六</w:t>
      </w:r>
      <w:r>
        <w:rPr>
          <w:rFonts w:hint="eastAsia" w:ascii="宋体" w:hAnsi="宋体" w:cs="宋体"/>
          <w:b/>
          <w:color w:val="auto"/>
          <w:sz w:val="32"/>
          <w:szCs w:val="32"/>
          <w:highlight w:val="none"/>
        </w:rPr>
        <w:t>、承诺函</w:t>
      </w:r>
    </w:p>
    <w:p>
      <w:pPr>
        <w:widowControl/>
        <w:spacing w:line="360" w:lineRule="atLeast"/>
        <w:jc w:val="center"/>
        <w:outlineLvl w:val="1"/>
        <w:rPr>
          <w:rFonts w:ascii="宋体" w:hAnsi="宋体" w:cs="宋体"/>
          <w:b/>
          <w:color w:val="auto"/>
          <w:sz w:val="24"/>
          <w:highlight w:val="none"/>
        </w:rPr>
      </w:pPr>
    </w:p>
    <w:p>
      <w:pPr>
        <w:widowControl/>
        <w:spacing w:line="360" w:lineRule="auto"/>
        <w:jc w:val="left"/>
        <w:outlineLvl w:val="1"/>
        <w:rPr>
          <w:rFonts w:ascii="宋体" w:hAnsi="宋体" w:cs="宋体"/>
          <w:color w:val="auto"/>
          <w:sz w:val="24"/>
          <w:highlight w:val="none"/>
        </w:rPr>
      </w:pPr>
      <w:r>
        <w:rPr>
          <w:rFonts w:hint="eastAsia" w:ascii="宋体" w:hAnsi="宋体" w:cs="宋体"/>
          <w:color w:val="auto"/>
          <w:sz w:val="24"/>
          <w:highlight w:val="none"/>
        </w:rPr>
        <w:t>XXX（采购代理机构名称）：</w:t>
      </w:r>
    </w:p>
    <w:p>
      <w:pPr>
        <w:widowControl/>
        <w:spacing w:line="360" w:lineRule="auto"/>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我公司作为本次采购项目的投标人，根据招标文件要求，现郑重承诺如下：</w:t>
      </w:r>
    </w:p>
    <w:p>
      <w:pPr>
        <w:widowControl/>
        <w:spacing w:line="360" w:lineRule="auto"/>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我供应商所投产品涉及国家强制认证的（CCC）或前置许可、认证的，承诺在供货时一并提供相关许可、认证材料。</w:t>
      </w:r>
    </w:p>
    <w:p>
      <w:pPr>
        <w:widowControl/>
        <w:spacing w:line="360" w:lineRule="auto"/>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本公司对上述承诺的内容事项真实性负责。如经查实上述承诺的内容事项存在虚假，我公司愿意接受以提供虚假材料谋取成交的法律责任。</w:t>
      </w:r>
    </w:p>
    <w:p>
      <w:pPr>
        <w:widowControl/>
        <w:spacing w:line="360" w:lineRule="auto"/>
        <w:ind w:firstLine="470" w:firstLineChars="196"/>
        <w:jc w:val="left"/>
        <w:outlineLvl w:val="1"/>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widowControl/>
        <w:spacing w:line="360" w:lineRule="auto"/>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投标人名称：XXXX（单位盖章）。</w:t>
      </w:r>
    </w:p>
    <w:p>
      <w:pPr>
        <w:widowControl/>
        <w:spacing w:line="360" w:lineRule="auto"/>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法定代表人/单位负责人或授权代表（签字或加盖个人名章）：XXXX。</w:t>
      </w:r>
    </w:p>
    <w:p>
      <w:pPr>
        <w:widowControl/>
        <w:spacing w:line="360" w:lineRule="auto"/>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投标日期: XXXX。</w:t>
      </w:r>
    </w:p>
    <w:p>
      <w:pPr>
        <w:widowControl/>
        <w:spacing w:after="0" w:line="360" w:lineRule="atLeast"/>
        <w:jc w:val="center"/>
        <w:outlineLvl w:val="1"/>
        <w:rPr>
          <w:rFonts w:ascii="宋体" w:hAnsi="宋体" w:cs="宋体"/>
          <w:b/>
          <w:color w:val="auto"/>
          <w:sz w:val="32"/>
          <w:szCs w:val="32"/>
          <w:highlight w:val="none"/>
        </w:rPr>
      </w:pPr>
    </w:p>
    <w:p>
      <w:pPr>
        <w:pStyle w:val="13"/>
        <w:rPr>
          <w:rFonts w:ascii="宋体" w:hAnsi="宋体" w:cs="宋体"/>
          <w:b/>
          <w:color w:val="auto"/>
          <w:sz w:val="32"/>
          <w:szCs w:val="32"/>
          <w:highlight w:val="none"/>
        </w:rPr>
      </w:pPr>
    </w:p>
    <w:p>
      <w:pPr>
        <w:rPr>
          <w:rFonts w:ascii="宋体" w:hAnsi="宋体" w:cs="宋体"/>
          <w:b/>
          <w:color w:val="auto"/>
          <w:sz w:val="32"/>
          <w:szCs w:val="32"/>
          <w:highlight w:val="none"/>
        </w:rPr>
      </w:pPr>
    </w:p>
    <w:p>
      <w:pPr>
        <w:pStyle w:val="13"/>
        <w:rPr>
          <w:rFonts w:ascii="宋体" w:hAnsi="宋体" w:cs="宋体"/>
          <w:b/>
          <w:color w:val="auto"/>
          <w:sz w:val="32"/>
          <w:szCs w:val="32"/>
          <w:highlight w:val="none"/>
        </w:rPr>
      </w:pPr>
    </w:p>
    <w:p>
      <w:pPr>
        <w:rPr>
          <w:rFonts w:ascii="宋体" w:hAnsi="宋体" w:cs="宋体"/>
          <w:b/>
          <w:color w:val="auto"/>
          <w:sz w:val="32"/>
          <w:szCs w:val="32"/>
          <w:highlight w:val="none"/>
        </w:rPr>
      </w:pPr>
    </w:p>
    <w:p>
      <w:pPr>
        <w:pStyle w:val="13"/>
        <w:rPr>
          <w:rFonts w:ascii="宋体" w:hAnsi="宋体" w:cs="宋体"/>
          <w:b/>
          <w:color w:val="auto"/>
          <w:sz w:val="32"/>
          <w:szCs w:val="32"/>
          <w:highlight w:val="none"/>
        </w:rPr>
      </w:pPr>
    </w:p>
    <w:p>
      <w:pPr>
        <w:rPr>
          <w:rFonts w:ascii="宋体" w:hAnsi="宋体" w:cs="宋体"/>
          <w:b/>
          <w:color w:val="auto"/>
          <w:sz w:val="32"/>
          <w:szCs w:val="32"/>
          <w:highlight w:val="none"/>
        </w:rPr>
      </w:pPr>
    </w:p>
    <w:p>
      <w:pPr>
        <w:pStyle w:val="13"/>
        <w:rPr>
          <w:rFonts w:ascii="宋体" w:hAnsi="宋体" w:cs="宋体"/>
          <w:b/>
          <w:color w:val="auto"/>
          <w:sz w:val="32"/>
          <w:szCs w:val="32"/>
          <w:highlight w:val="none"/>
        </w:rPr>
      </w:pPr>
    </w:p>
    <w:p>
      <w:pPr>
        <w:rPr>
          <w:rFonts w:ascii="宋体" w:hAnsi="宋体" w:cs="宋体"/>
          <w:b/>
          <w:color w:val="auto"/>
          <w:sz w:val="32"/>
          <w:szCs w:val="32"/>
          <w:highlight w:val="none"/>
        </w:rPr>
      </w:pPr>
    </w:p>
    <w:p>
      <w:pPr>
        <w:pStyle w:val="13"/>
        <w:rPr>
          <w:rFonts w:ascii="宋体" w:hAnsi="宋体" w:cs="宋体"/>
          <w:color w:val="auto"/>
          <w:highlight w:val="none"/>
        </w:rPr>
      </w:pPr>
    </w:p>
    <w:p>
      <w:pPr>
        <w:widowControl/>
        <w:spacing w:after="0" w:line="360" w:lineRule="atLeast"/>
        <w:jc w:val="left"/>
        <w:outlineLvl w:val="1"/>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格式2-1</w:t>
      </w:r>
      <w:r>
        <w:rPr>
          <w:rFonts w:hint="eastAsia" w:ascii="宋体" w:hAnsi="宋体" w:cs="宋体"/>
          <w:b/>
          <w:color w:val="auto"/>
          <w:sz w:val="32"/>
          <w:szCs w:val="32"/>
          <w:highlight w:val="none"/>
          <w:lang w:val="en-US" w:eastAsia="zh-CN"/>
        </w:rPr>
        <w:t>8</w:t>
      </w:r>
    </w:p>
    <w:p>
      <w:pPr>
        <w:widowControl/>
        <w:spacing w:after="0" w:line="360" w:lineRule="atLeast"/>
        <w:jc w:val="center"/>
        <w:outlineLvl w:val="1"/>
        <w:rPr>
          <w:rFonts w:ascii="宋体" w:hAnsi="宋体" w:cs="宋体"/>
          <w:b/>
          <w:color w:val="auto"/>
          <w:sz w:val="32"/>
          <w:szCs w:val="32"/>
          <w:highlight w:val="none"/>
        </w:rPr>
      </w:pPr>
    </w:p>
    <w:p>
      <w:pPr>
        <w:widowControl/>
        <w:spacing w:after="0" w:line="360" w:lineRule="atLeast"/>
        <w:jc w:val="center"/>
        <w:outlineLvl w:val="1"/>
        <w:rPr>
          <w:rFonts w:ascii="宋体" w:hAnsi="宋体" w:cs="宋体"/>
          <w:b/>
          <w:color w:val="auto"/>
          <w:sz w:val="32"/>
          <w:szCs w:val="32"/>
          <w:highlight w:val="none"/>
        </w:rPr>
      </w:pPr>
      <w:r>
        <w:rPr>
          <w:rFonts w:hint="eastAsia" w:ascii="宋体" w:hAnsi="宋体" w:cs="宋体"/>
          <w:b/>
          <w:color w:val="auto"/>
          <w:sz w:val="32"/>
          <w:szCs w:val="32"/>
          <w:highlight w:val="none"/>
        </w:rPr>
        <w:t>十</w:t>
      </w:r>
      <w:r>
        <w:rPr>
          <w:rFonts w:hint="eastAsia" w:ascii="宋体" w:hAnsi="宋体" w:cs="宋体"/>
          <w:b/>
          <w:color w:val="auto"/>
          <w:sz w:val="32"/>
          <w:szCs w:val="32"/>
          <w:highlight w:val="none"/>
          <w:lang w:val="en-US" w:eastAsia="zh-CN"/>
        </w:rPr>
        <w:t>七</w:t>
      </w:r>
      <w:r>
        <w:rPr>
          <w:rFonts w:hint="eastAsia" w:ascii="宋体" w:hAnsi="宋体" w:cs="宋体"/>
          <w:b/>
          <w:color w:val="auto"/>
          <w:sz w:val="32"/>
          <w:szCs w:val="32"/>
          <w:highlight w:val="none"/>
        </w:rPr>
        <w:t>、投标人按照招标文件要求作出的其他应答和承诺。</w:t>
      </w:r>
    </w:p>
    <w:p>
      <w:pPr>
        <w:widowControl/>
        <w:spacing w:after="0" w:line="360" w:lineRule="atLeast"/>
        <w:jc w:val="center"/>
        <w:outlineLvl w:val="1"/>
        <w:rPr>
          <w:rFonts w:ascii="宋体" w:hAnsi="宋体" w:cs="宋体"/>
          <w:b/>
          <w:color w:val="auto"/>
          <w:sz w:val="32"/>
          <w:szCs w:val="32"/>
          <w:highlight w:val="none"/>
        </w:rPr>
      </w:pP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格式自拟</w:t>
      </w:r>
    </w:p>
    <w:p>
      <w:pPr>
        <w:rPr>
          <w:rFonts w:ascii="宋体" w:hAnsi="宋体" w:cs="宋体"/>
          <w:color w:val="auto"/>
          <w:highlight w:val="none"/>
        </w:rPr>
        <w:sectPr>
          <w:footerReference r:id="rId17" w:type="default"/>
          <w:pgSz w:w="11905" w:h="16838"/>
          <w:pgMar w:top="1440" w:right="1803" w:bottom="1440" w:left="1803" w:header="851" w:footer="992" w:gutter="0"/>
          <w:cols w:space="720" w:num="1"/>
          <w:docGrid w:linePitch="319" w:charSpace="0"/>
        </w:sectPr>
      </w:pPr>
    </w:p>
    <w:p>
      <w:pPr>
        <w:pStyle w:val="3"/>
        <w:spacing w:line="24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第四章  投标人和投标产品的资格、资质性及其他类似效力要求</w:t>
      </w:r>
      <w:bookmarkEnd w:id="177"/>
      <w:bookmarkEnd w:id="178"/>
    </w:p>
    <w:p>
      <w:pPr>
        <w:widowControl/>
        <w:spacing w:line="360" w:lineRule="auto"/>
        <w:ind w:firstLine="472" w:firstLineChars="196"/>
        <w:jc w:val="left"/>
        <w:outlineLvl w:val="1"/>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一、投标人资格、资质性及其他类似效力要求</w:t>
      </w:r>
    </w:p>
    <w:p>
      <w:pPr>
        <w:widowControl/>
        <w:spacing w:line="360" w:lineRule="auto"/>
        <w:ind w:firstLine="470" w:firstLineChars="196"/>
        <w:jc w:val="left"/>
        <w:outlineLvl w:val="1"/>
        <w:rPr>
          <w:rFonts w:ascii="宋体" w:hAnsi="宋体" w:cs="宋体"/>
          <w:b w:val="0"/>
          <w:bCs w:val="0"/>
          <w:color w:val="auto"/>
          <w:sz w:val="24"/>
          <w:highlight w:val="none"/>
        </w:rPr>
      </w:pPr>
      <w:r>
        <w:rPr>
          <w:rFonts w:hint="eastAsia" w:ascii="宋体" w:hAnsi="宋体" w:cs="宋体"/>
          <w:b w:val="0"/>
          <w:bCs w:val="0"/>
          <w:color w:val="auto"/>
          <w:sz w:val="24"/>
          <w:highlight w:val="none"/>
        </w:rPr>
        <w:t>（一）资格要求：</w:t>
      </w:r>
    </w:p>
    <w:p>
      <w:pPr>
        <w:widowControl/>
        <w:spacing w:line="360" w:lineRule="auto"/>
        <w:ind w:firstLine="470" w:firstLineChars="196"/>
        <w:jc w:val="left"/>
        <w:outlineLvl w:val="1"/>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1.具有独立承担民事责任的能力；</w:t>
      </w:r>
    </w:p>
    <w:p>
      <w:pPr>
        <w:widowControl/>
        <w:spacing w:line="360" w:lineRule="auto"/>
        <w:ind w:firstLine="470" w:firstLineChars="196"/>
        <w:jc w:val="left"/>
        <w:outlineLvl w:val="1"/>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2.具有良好的商业信誉和健全的财务会计制度；</w:t>
      </w:r>
    </w:p>
    <w:p>
      <w:pPr>
        <w:widowControl/>
        <w:spacing w:line="360" w:lineRule="auto"/>
        <w:ind w:firstLine="470" w:firstLineChars="196"/>
        <w:jc w:val="left"/>
        <w:outlineLvl w:val="1"/>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3.具有履行合同所必须的设备和专业技术能力；</w:t>
      </w:r>
    </w:p>
    <w:p>
      <w:pPr>
        <w:widowControl/>
        <w:spacing w:line="360" w:lineRule="auto"/>
        <w:ind w:firstLine="470" w:firstLineChars="196"/>
        <w:jc w:val="left"/>
        <w:outlineLvl w:val="1"/>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4.具有依法缴纳税收和社会保障资金的良好记录；</w:t>
      </w:r>
    </w:p>
    <w:p>
      <w:pPr>
        <w:widowControl/>
        <w:spacing w:line="360" w:lineRule="auto"/>
        <w:ind w:firstLine="470" w:firstLineChars="196"/>
        <w:jc w:val="left"/>
        <w:outlineLvl w:val="1"/>
        <w:rPr>
          <w:rFonts w:hint="eastAsia" w:ascii="宋体" w:hAnsi="宋体" w:cs="宋体"/>
          <w:b/>
          <w:bCs/>
          <w:color w:val="auto"/>
          <w:sz w:val="24"/>
          <w:highlight w:val="none"/>
        </w:rPr>
      </w:pPr>
      <w:r>
        <w:rPr>
          <w:rFonts w:hint="eastAsia" w:ascii="宋体" w:hAnsi="宋体" w:cs="宋体"/>
          <w:b w:val="0"/>
          <w:bCs w:val="0"/>
          <w:color w:val="auto"/>
          <w:sz w:val="24"/>
          <w:highlight w:val="none"/>
        </w:rPr>
        <w:t>5.参加本次政府采购活动前三年内，在经营活动中没有重大违法记录。</w:t>
      </w:r>
    </w:p>
    <w:p>
      <w:pPr>
        <w:widowControl/>
        <w:spacing w:line="360" w:lineRule="auto"/>
        <w:ind w:firstLine="472" w:firstLineChars="196"/>
        <w:jc w:val="left"/>
        <w:outlineLvl w:val="1"/>
        <w:rPr>
          <w:rFonts w:ascii="宋体" w:hAnsi="宋体" w:cs="宋体"/>
          <w:b/>
          <w:bCs/>
          <w:color w:val="auto"/>
          <w:sz w:val="24"/>
          <w:highlight w:val="none"/>
        </w:rPr>
      </w:pPr>
      <w:r>
        <w:rPr>
          <w:rFonts w:hint="eastAsia" w:ascii="宋体" w:hAnsi="宋体" w:cs="宋体"/>
          <w:b/>
          <w:bCs/>
          <w:color w:val="auto"/>
          <w:sz w:val="24"/>
          <w:highlight w:val="none"/>
        </w:rPr>
        <w:t>（二）法律、行政法规规定的其他条件：</w:t>
      </w:r>
    </w:p>
    <w:p>
      <w:pPr>
        <w:widowControl/>
        <w:spacing w:line="360" w:lineRule="auto"/>
        <w:ind w:firstLine="470" w:firstLineChars="196"/>
        <w:jc w:val="left"/>
        <w:outlineLvl w:val="1"/>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1.参加本次政府采购活动，投标人不存在与单位负责人为同一人或者存在直接控股、管理关系的其他投标人参与同一合同项下的政府采购活动的行为。</w:t>
      </w:r>
    </w:p>
    <w:p>
      <w:pPr>
        <w:widowControl/>
        <w:spacing w:line="360" w:lineRule="auto"/>
        <w:ind w:firstLine="470" w:firstLineChars="196"/>
        <w:jc w:val="left"/>
        <w:outlineLvl w:val="1"/>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2.参加本次政府采购活动，投标人不存在和其他投标人在同一合同项下的采购项目中，同时委托同一个自然人、同一家庭的人员、同一单位的人员作为代理人的行为。</w:t>
      </w:r>
    </w:p>
    <w:p>
      <w:pPr>
        <w:widowControl/>
        <w:spacing w:line="360" w:lineRule="auto"/>
        <w:ind w:firstLine="470" w:firstLineChars="196"/>
        <w:jc w:val="left"/>
        <w:outlineLvl w:val="1"/>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3.为采购项目提供整体设计、规范编制或者项目管理、监理、检测等服务的投标人，不得再参加该采购项目的其他采购活动。</w:t>
      </w:r>
    </w:p>
    <w:p>
      <w:pPr>
        <w:widowControl/>
        <w:spacing w:line="360" w:lineRule="auto"/>
        <w:ind w:firstLine="470" w:firstLineChars="196"/>
        <w:jc w:val="left"/>
        <w:outlineLvl w:val="1"/>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4.投标人单位及其现任法定代表人、主要负责人不得具有行贿犯罪记录。</w:t>
      </w:r>
    </w:p>
    <w:p>
      <w:pPr>
        <w:widowControl/>
        <w:spacing w:line="360" w:lineRule="auto"/>
        <w:ind w:firstLine="470" w:firstLineChars="196"/>
        <w:jc w:val="left"/>
        <w:outlineLvl w:val="1"/>
        <w:rPr>
          <w:rFonts w:ascii="宋体" w:hAnsi="宋体" w:cs="宋体"/>
          <w:color w:val="auto"/>
          <w:sz w:val="24"/>
          <w:highlight w:val="none"/>
        </w:rPr>
      </w:pPr>
      <w:r>
        <w:rPr>
          <w:rFonts w:hint="eastAsia" w:ascii="宋体" w:hAnsi="宋体" w:cs="宋体"/>
          <w:b w:val="0"/>
          <w:bCs w:val="0"/>
          <w:color w:val="auto"/>
          <w:sz w:val="24"/>
          <w:highlight w:val="none"/>
        </w:rPr>
        <w:t>5.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处罚决定规定的时间和地域范围内)；（注：采购代理机构将通过“信用中国”（www.creditchina.gov.cn）、“中国政府采购网”（www.ccgp.gov.cn）等渠道查询投标人在递交响应文件截止时间前的信用记录并保存信用记录结果网页截图。查询时以输入投标人全称搜索后的结果截图为准，如有列入失信被执行人、重大税收违法案件当事人名单、政府采购严重违法失信行为记录名单及其他不符合《中华人民共和国政府采购法》第二十二条规定条件的供应商，拒绝其参与政府采购活动。以联合体形式参加本项目采购活动，联合体成员存在不良信用记录的，视同联合体存在不良信用记录。）；②非企业参与投标时由投标人在响应文件中自行提供承诺函，格式自拟。</w:t>
      </w:r>
    </w:p>
    <w:p>
      <w:pPr>
        <w:widowControl/>
        <w:spacing w:line="360" w:lineRule="auto"/>
        <w:ind w:firstLine="472" w:firstLineChars="196"/>
        <w:jc w:val="left"/>
        <w:outlineLvl w:val="1"/>
        <w:rPr>
          <w:rFonts w:ascii="宋体" w:hAnsi="宋体" w:cs="宋体"/>
          <w:b/>
          <w:bCs/>
          <w:color w:val="auto"/>
          <w:sz w:val="24"/>
          <w:highlight w:val="none"/>
        </w:rPr>
      </w:pPr>
      <w:r>
        <w:rPr>
          <w:rFonts w:hint="eastAsia" w:ascii="宋体" w:hAnsi="宋体" w:cs="宋体"/>
          <w:b/>
          <w:bCs/>
          <w:color w:val="auto"/>
          <w:sz w:val="24"/>
          <w:highlight w:val="none"/>
        </w:rPr>
        <w:t>（三）本次政府采购活动不接受联合体的形式参加投标。</w:t>
      </w:r>
    </w:p>
    <w:p>
      <w:pPr>
        <w:widowControl/>
        <w:spacing w:line="360" w:lineRule="auto"/>
        <w:ind w:firstLine="472" w:firstLineChars="196"/>
        <w:jc w:val="left"/>
        <w:outlineLvl w:val="1"/>
        <w:rPr>
          <w:rFonts w:ascii="宋体" w:hAnsi="宋体" w:cs="宋体"/>
          <w:b/>
          <w:bCs/>
          <w:color w:val="auto"/>
          <w:sz w:val="24"/>
          <w:highlight w:val="none"/>
        </w:rPr>
      </w:pPr>
      <w:r>
        <w:rPr>
          <w:rFonts w:hint="eastAsia" w:ascii="宋体" w:hAnsi="宋体" w:cs="宋体"/>
          <w:b/>
          <w:bCs/>
          <w:color w:val="auto"/>
          <w:sz w:val="24"/>
          <w:highlight w:val="none"/>
        </w:rPr>
        <w:t>（四）根据采购项目提出的特殊条件：无。</w:t>
      </w:r>
    </w:p>
    <w:p>
      <w:pPr>
        <w:pStyle w:val="65"/>
        <w:spacing w:line="420" w:lineRule="exact"/>
        <w:ind w:firstLine="482"/>
        <w:rPr>
          <w:rFonts w:ascii="宋体" w:hAnsi="宋体" w:cs="宋体"/>
          <w:b/>
          <w:color w:val="auto"/>
          <w:sz w:val="24"/>
          <w:highlight w:val="none"/>
        </w:rPr>
      </w:pPr>
      <w:r>
        <w:rPr>
          <w:rFonts w:hint="eastAsia" w:ascii="宋体" w:hAnsi="宋体" w:cs="宋体"/>
          <w:b/>
          <w:color w:val="auto"/>
          <w:sz w:val="24"/>
          <w:highlight w:val="none"/>
        </w:rPr>
        <w:t>注：1、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pPr>
        <w:pStyle w:val="65"/>
        <w:numPr>
          <w:ilvl w:val="0"/>
          <w:numId w:val="5"/>
        </w:numPr>
        <w:spacing w:line="420" w:lineRule="exact"/>
        <w:ind w:firstLine="472" w:firstLineChars="196"/>
        <w:rPr>
          <w:rFonts w:ascii="宋体" w:hAnsi="宋体" w:cs="宋体"/>
          <w:b/>
          <w:color w:val="auto"/>
          <w:sz w:val="24"/>
          <w:highlight w:val="none"/>
        </w:rPr>
      </w:pPr>
      <w:r>
        <w:rPr>
          <w:rFonts w:hint="eastAsia" w:ascii="宋体" w:hAnsi="宋体" w:cs="宋体"/>
          <w:b/>
          <w:color w:val="auto"/>
          <w:sz w:val="24"/>
          <w:highlight w:val="none"/>
        </w:rPr>
        <w:t>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3"/>
        <w:spacing w:line="240" w:lineRule="auto"/>
        <w:jc w:val="center"/>
        <w:rPr>
          <w:rFonts w:ascii="宋体" w:hAnsi="宋体" w:cs="宋体"/>
          <w:color w:val="auto"/>
          <w:sz w:val="36"/>
          <w:szCs w:val="36"/>
          <w:highlight w:val="none"/>
        </w:rPr>
      </w:pPr>
      <w:bookmarkStart w:id="179" w:name="_Toc3806"/>
      <w:bookmarkStart w:id="180" w:name="_Toc1588"/>
      <w:r>
        <w:rPr>
          <w:rFonts w:hint="eastAsia" w:ascii="宋体" w:hAnsi="宋体" w:cs="宋体"/>
          <w:color w:val="auto"/>
          <w:sz w:val="36"/>
          <w:szCs w:val="36"/>
          <w:highlight w:val="none"/>
        </w:rPr>
        <w:br w:type="page"/>
      </w:r>
      <w:r>
        <w:rPr>
          <w:rFonts w:hint="eastAsia" w:ascii="宋体" w:hAnsi="宋体" w:cs="宋体"/>
          <w:color w:val="auto"/>
          <w:sz w:val="36"/>
          <w:szCs w:val="36"/>
          <w:highlight w:val="none"/>
        </w:rPr>
        <w:t>第五章  投标人应当提供的资格、资质性及其他类似效力要求的相关证明材料</w:t>
      </w:r>
      <w:bookmarkEnd w:id="179"/>
      <w:bookmarkEnd w:id="180"/>
    </w:p>
    <w:bookmarkEnd w:id="167"/>
    <w:p>
      <w:pPr>
        <w:widowControl/>
        <w:spacing w:line="360" w:lineRule="auto"/>
        <w:ind w:firstLine="413" w:firstLineChars="196"/>
        <w:jc w:val="left"/>
        <w:outlineLvl w:val="1"/>
        <w:rPr>
          <w:rFonts w:ascii="宋体" w:hAnsi="宋体" w:cs="宋体"/>
          <w:b/>
          <w:bCs/>
          <w:color w:val="auto"/>
          <w:highlight w:val="none"/>
        </w:rPr>
      </w:pPr>
      <w:bookmarkStart w:id="181" w:name="_Toc2122"/>
      <w:bookmarkStart w:id="182" w:name="_Toc217446093"/>
      <w:bookmarkStart w:id="183" w:name="PO_默认文件内容_32"/>
      <w:r>
        <w:rPr>
          <w:rFonts w:hint="eastAsia" w:ascii="宋体" w:hAnsi="宋体" w:cs="宋体"/>
          <w:b/>
          <w:bCs/>
          <w:color w:val="auto"/>
          <w:highlight w:val="none"/>
        </w:rPr>
        <w:t>一、《</w:t>
      </w:r>
      <w:r>
        <w:rPr>
          <w:rFonts w:hint="eastAsia" w:ascii="宋体" w:hAnsi="宋体" w:eastAsia="宋体" w:cs="宋体"/>
          <w:b/>
          <w:bCs/>
          <w:color w:val="auto"/>
          <w:sz w:val="24"/>
          <w:szCs w:val="24"/>
          <w:highlight w:val="none"/>
        </w:rPr>
        <w:t>中华人民共和国</w:t>
      </w:r>
      <w:r>
        <w:rPr>
          <w:rFonts w:hint="eastAsia" w:ascii="宋体" w:hAnsi="宋体" w:cs="宋体"/>
          <w:b/>
          <w:bCs/>
          <w:color w:val="auto"/>
          <w:highlight w:val="none"/>
        </w:rPr>
        <w:t>政府采购法》第二十二条第一款第1项至第5项规定的条件：</w:t>
      </w:r>
    </w:p>
    <w:p>
      <w:pPr>
        <w:widowControl/>
        <w:spacing w:line="360" w:lineRule="auto"/>
        <w:ind w:firstLine="470" w:firstLineChars="196"/>
        <w:jc w:val="left"/>
        <w:outlineLvl w:val="1"/>
        <w:rPr>
          <w:rFonts w:ascii="宋体" w:hAnsi="宋体" w:cs="宋体"/>
          <w:b/>
          <w:bCs/>
          <w:color w:val="auto"/>
          <w:sz w:val="24"/>
          <w:highlight w:val="none"/>
        </w:rPr>
      </w:pPr>
      <w:r>
        <w:rPr>
          <w:rFonts w:hint="eastAsia" w:ascii="宋体" w:hAnsi="宋体" w:cs="宋体"/>
          <w:color w:val="auto"/>
          <w:sz w:val="24"/>
          <w:highlight w:val="none"/>
        </w:rPr>
        <w:t>1、具有独立承担民事责任的能力（①投标人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有关注册登记证照”；④若为自然人：提供“身份证明材料”。）</w:t>
      </w:r>
      <w:r>
        <w:rPr>
          <w:rFonts w:hint="eastAsia" w:ascii="宋体" w:hAnsi="宋体" w:cs="宋体"/>
          <w:b/>
          <w:bCs/>
          <w:color w:val="auto"/>
          <w:sz w:val="24"/>
          <w:highlight w:val="none"/>
        </w:rPr>
        <w:t>（提供复印件加盖公章）；</w:t>
      </w:r>
    </w:p>
    <w:p>
      <w:pPr>
        <w:widowControl/>
        <w:spacing w:line="360" w:lineRule="auto"/>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2、具备良好商业信誉的证明材料</w:t>
      </w:r>
      <w:r>
        <w:rPr>
          <w:rFonts w:hint="eastAsia" w:ascii="宋体" w:hAnsi="宋体" w:cs="宋体"/>
          <w:b/>
          <w:bCs/>
          <w:color w:val="auto"/>
          <w:sz w:val="24"/>
          <w:highlight w:val="none"/>
        </w:rPr>
        <w:t>（提供承诺函，格式自拟）</w:t>
      </w:r>
      <w:r>
        <w:rPr>
          <w:rFonts w:hint="eastAsia" w:ascii="宋体" w:hAnsi="宋体" w:cs="宋体"/>
          <w:color w:val="auto"/>
          <w:sz w:val="24"/>
          <w:highlight w:val="none"/>
        </w:rPr>
        <w:t>；</w:t>
      </w:r>
    </w:p>
    <w:p>
      <w:pPr>
        <w:widowControl/>
        <w:spacing w:line="360" w:lineRule="auto"/>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3、具备健全的财务会计制度的证明材料；｛注：①可提供2019年度或者2020年度经审计的财务报告复印件（包含审计报告和审计报告中所涉及的财务报表和报表附注），②也可提供2019年度或者2020年度投标人内部的财务报表复印件（至少包含资产负债表），③也可提供距文件递交截止日一年内银行出具的资信证明（复印件）④投标人注册时间截至投标文件递交截止日不足一年的，也可提供在工商备案的公司章程（复印件）⑤投标人为事业单位或其他组织的提供其具有健全的财务会计制度的承诺函原件即可。｝。</w:t>
      </w:r>
    </w:p>
    <w:p>
      <w:pPr>
        <w:widowControl/>
        <w:spacing w:line="360" w:lineRule="auto"/>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4、具有履行合同所必需的设备和专业技术能力</w:t>
      </w:r>
      <w:r>
        <w:rPr>
          <w:rFonts w:hint="eastAsia" w:ascii="宋体" w:hAnsi="宋体" w:cs="宋体"/>
          <w:b/>
          <w:bCs/>
          <w:color w:val="auto"/>
          <w:sz w:val="24"/>
          <w:highlight w:val="none"/>
        </w:rPr>
        <w:t>（提供承诺函，格式自拟）</w:t>
      </w:r>
      <w:r>
        <w:rPr>
          <w:rFonts w:hint="eastAsia" w:ascii="宋体" w:hAnsi="宋体" w:cs="宋体"/>
          <w:color w:val="auto"/>
          <w:sz w:val="24"/>
          <w:highlight w:val="none"/>
        </w:rPr>
        <w:t>；</w:t>
      </w:r>
    </w:p>
    <w:p>
      <w:pPr>
        <w:widowControl/>
        <w:spacing w:line="360" w:lineRule="auto"/>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5、具有依法缴纳税收和社会保障资金的良好记录｛注：①提供2020年至投标截止时间任意1个月的纳税和社保缴纳证明材料；依法免税或不需要缴纳社会保障资金的投标人，应提供相应文件证明其依法免税或不需要缴纳社会保障资金，②若公司成立未满一年可提供具有依法缴纳税收和社会保障资金的良好记录的承诺书。}。</w:t>
      </w:r>
    </w:p>
    <w:p>
      <w:pPr>
        <w:widowControl/>
        <w:spacing w:line="360" w:lineRule="auto"/>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6、参加本次政府采购活动前三年内，在经营活动中没有重大违法记录的承诺函。</w:t>
      </w:r>
      <w:r>
        <w:rPr>
          <w:rFonts w:hint="eastAsia" w:ascii="宋体" w:hAnsi="宋体" w:cs="宋体"/>
          <w:b/>
          <w:bCs/>
          <w:color w:val="auto"/>
          <w:sz w:val="24"/>
          <w:highlight w:val="none"/>
        </w:rPr>
        <w:t>（格式自拟）</w:t>
      </w:r>
    </w:p>
    <w:p>
      <w:pPr>
        <w:widowControl/>
        <w:spacing w:line="360" w:lineRule="auto"/>
        <w:ind w:firstLine="413" w:firstLineChars="196"/>
        <w:jc w:val="left"/>
        <w:outlineLvl w:val="1"/>
        <w:rPr>
          <w:rFonts w:ascii="宋体" w:hAnsi="宋体" w:cs="宋体"/>
          <w:b/>
          <w:bCs/>
          <w:color w:val="auto"/>
          <w:highlight w:val="none"/>
        </w:rPr>
      </w:pPr>
      <w:r>
        <w:rPr>
          <w:rFonts w:hint="eastAsia" w:ascii="宋体" w:hAnsi="宋体" w:cs="宋体"/>
          <w:b/>
          <w:bCs/>
          <w:color w:val="auto"/>
          <w:highlight w:val="none"/>
        </w:rPr>
        <w:t>二、符合法律、行政法规规定的其他条件:</w:t>
      </w:r>
    </w:p>
    <w:p>
      <w:pPr>
        <w:widowControl/>
        <w:spacing w:line="360" w:lineRule="auto"/>
        <w:ind w:firstLine="470" w:firstLineChars="196"/>
        <w:jc w:val="left"/>
        <w:outlineLvl w:val="1"/>
        <w:rPr>
          <w:rFonts w:ascii="宋体" w:hAnsi="宋体" w:cs="宋体"/>
          <w:b/>
          <w:bCs/>
          <w:color w:val="auto"/>
          <w:sz w:val="24"/>
          <w:highlight w:val="none"/>
        </w:rPr>
      </w:pPr>
      <w:r>
        <w:rPr>
          <w:rFonts w:hint="eastAsia" w:ascii="宋体" w:hAnsi="宋体" w:cs="宋体"/>
          <w:color w:val="auto"/>
          <w:sz w:val="24"/>
          <w:highlight w:val="none"/>
        </w:rPr>
        <w:t>1、投标人不存在与单位负责人为同一人或者存在直接控股、管理关系的其他投标人参与同一合同项下的政府采购活动的行为。</w:t>
      </w:r>
      <w:r>
        <w:rPr>
          <w:rFonts w:hint="eastAsia" w:ascii="宋体" w:hAnsi="宋体" w:cs="宋体"/>
          <w:b/>
          <w:bCs/>
          <w:color w:val="auto"/>
          <w:sz w:val="24"/>
          <w:highlight w:val="none"/>
        </w:rPr>
        <w:t>（提供承诺函，格式自拟）</w:t>
      </w:r>
    </w:p>
    <w:p>
      <w:pPr>
        <w:widowControl/>
        <w:spacing w:line="360" w:lineRule="auto"/>
        <w:ind w:firstLine="470" w:firstLineChars="196"/>
        <w:jc w:val="left"/>
        <w:outlineLvl w:val="1"/>
        <w:rPr>
          <w:rFonts w:ascii="宋体" w:hAnsi="宋体" w:cs="宋体"/>
          <w:b/>
          <w:bCs/>
          <w:color w:val="auto"/>
          <w:sz w:val="24"/>
          <w:highlight w:val="none"/>
        </w:rPr>
      </w:pPr>
      <w:r>
        <w:rPr>
          <w:rFonts w:hint="eastAsia" w:ascii="宋体" w:hAnsi="宋体" w:cs="宋体"/>
          <w:color w:val="auto"/>
          <w:sz w:val="24"/>
          <w:highlight w:val="none"/>
        </w:rPr>
        <w:t>2、投标人不存在和其他投标人在同一合同项下的采购项目中，同时委托同一个自然人、同一家庭的人员、同一单位的人员作为代理人的行为。</w:t>
      </w:r>
      <w:r>
        <w:rPr>
          <w:rFonts w:hint="eastAsia" w:ascii="宋体" w:hAnsi="宋体" w:cs="宋体"/>
          <w:b/>
          <w:bCs/>
          <w:color w:val="auto"/>
          <w:sz w:val="24"/>
          <w:highlight w:val="none"/>
        </w:rPr>
        <w:t>（提供承诺函，格式自拟）</w:t>
      </w:r>
    </w:p>
    <w:p>
      <w:pPr>
        <w:widowControl/>
        <w:spacing w:line="360" w:lineRule="auto"/>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3、提供为采购项目提供整体设计、规范编制或者项目管理、监理、检测等服务的投标人，不得再参加该采购项目的其他采购活动的承诺函。</w:t>
      </w:r>
      <w:r>
        <w:rPr>
          <w:rFonts w:hint="eastAsia" w:ascii="宋体" w:hAnsi="宋体" w:cs="宋体"/>
          <w:b/>
          <w:bCs/>
          <w:color w:val="auto"/>
          <w:sz w:val="24"/>
          <w:highlight w:val="none"/>
        </w:rPr>
        <w:t>（提供承诺函，格式自拟）</w:t>
      </w:r>
    </w:p>
    <w:p>
      <w:pPr>
        <w:widowControl/>
        <w:spacing w:line="360" w:lineRule="auto"/>
        <w:ind w:firstLine="470" w:firstLineChars="196"/>
        <w:jc w:val="left"/>
        <w:outlineLvl w:val="1"/>
        <w:rPr>
          <w:rFonts w:ascii="宋体" w:hAnsi="宋体" w:cs="宋体"/>
          <w:b/>
          <w:bCs/>
          <w:color w:val="auto"/>
          <w:sz w:val="24"/>
          <w:highlight w:val="none"/>
        </w:rPr>
      </w:pPr>
      <w:r>
        <w:rPr>
          <w:rFonts w:hint="eastAsia" w:ascii="宋体" w:hAnsi="宋体" w:cs="宋体"/>
          <w:color w:val="auto"/>
          <w:sz w:val="24"/>
          <w:highlight w:val="none"/>
        </w:rPr>
        <w:t>4、投标人单位及其现任法定代表人、主要负责人不得具有行贿犯罪记录。</w:t>
      </w:r>
      <w:r>
        <w:rPr>
          <w:rFonts w:hint="eastAsia" w:ascii="宋体" w:hAnsi="宋体" w:cs="宋体"/>
          <w:b/>
          <w:bCs/>
          <w:color w:val="auto"/>
          <w:sz w:val="24"/>
          <w:highlight w:val="none"/>
        </w:rPr>
        <w:t>（提供承诺函）</w:t>
      </w:r>
    </w:p>
    <w:p>
      <w:pPr>
        <w:widowControl/>
        <w:spacing w:line="360" w:lineRule="auto"/>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5、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处罚决定规定的时间和地域范围内)；（注：采购代理机构将通过“信用中国”（www.creditchina.gov.cn）、“中国政府采购网”（www.ccgp.gov.cn）等渠道查询投标人在递交响应文件截止时间前的信用记录并保存信用记录结果网页截图。查询时以输入投标人全称搜索后的结果截图为准，如有列入失信被执行人、重大税收违法案件当事人名单、政府采购严重违法失信行为记录名单及其他不符合《中华人民共和国政府采购法》第二十二条规定条件的供应商，拒绝其参与政府采购活动。以联合体形式参加本项目采购活动，联合体成员存在不良信用记录的，视同联合体存在不良信用记录。②非企业参与投标时由投标人在响应文件中自行提供承诺函，格式自拟；</w:t>
      </w:r>
    </w:p>
    <w:p>
      <w:pPr>
        <w:widowControl/>
        <w:spacing w:line="360" w:lineRule="auto"/>
        <w:ind w:firstLine="413" w:firstLineChars="196"/>
        <w:jc w:val="left"/>
        <w:outlineLvl w:val="1"/>
        <w:rPr>
          <w:rFonts w:hint="eastAsia" w:ascii="宋体" w:hAnsi="宋体" w:eastAsia="宋体" w:cs="宋体"/>
          <w:b/>
          <w:bCs/>
          <w:color w:val="auto"/>
          <w:highlight w:val="none"/>
          <w:lang w:eastAsia="zh-CN"/>
        </w:rPr>
      </w:pPr>
      <w:r>
        <w:rPr>
          <w:rFonts w:hint="eastAsia" w:ascii="宋体" w:hAnsi="宋体" w:cs="宋体"/>
          <w:b/>
          <w:bCs/>
          <w:color w:val="auto"/>
          <w:highlight w:val="none"/>
        </w:rPr>
        <w:t>三、采购人根据采购项目提出的特殊条件：无</w:t>
      </w:r>
      <w:r>
        <w:rPr>
          <w:rFonts w:hint="eastAsia" w:ascii="宋体" w:hAnsi="宋体" w:cs="宋体"/>
          <w:b/>
          <w:bCs/>
          <w:color w:val="auto"/>
          <w:highlight w:val="none"/>
          <w:lang w:eastAsia="zh-CN"/>
        </w:rPr>
        <w:t>；</w:t>
      </w:r>
    </w:p>
    <w:p>
      <w:pPr>
        <w:widowControl/>
        <w:spacing w:line="360" w:lineRule="auto"/>
        <w:ind w:firstLine="413" w:firstLineChars="196"/>
        <w:jc w:val="left"/>
        <w:outlineLvl w:val="1"/>
        <w:rPr>
          <w:rFonts w:ascii="宋体" w:hAnsi="宋体" w:cs="宋体"/>
          <w:b/>
          <w:bCs/>
          <w:color w:val="auto"/>
          <w:highlight w:val="none"/>
        </w:rPr>
      </w:pPr>
      <w:r>
        <w:rPr>
          <w:rFonts w:hint="eastAsia" w:ascii="宋体" w:hAnsi="宋体" w:cs="宋体"/>
          <w:b/>
          <w:bCs/>
          <w:color w:val="auto"/>
          <w:highlight w:val="none"/>
        </w:rPr>
        <w:t>四、投标人应提供的其他类似效力要求的相关证明材料：</w:t>
      </w:r>
    </w:p>
    <w:p>
      <w:pPr>
        <w:pStyle w:val="65"/>
        <w:spacing w:line="240" w:lineRule="auto"/>
        <w:ind w:firstLine="480"/>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zh-CN"/>
        </w:rPr>
        <w:t>授权参加本次采购活动的</w:t>
      </w:r>
      <w:r>
        <w:rPr>
          <w:rFonts w:hint="eastAsia" w:ascii="宋体" w:hAnsi="宋体" w:cs="宋体"/>
          <w:color w:val="auto"/>
          <w:sz w:val="24"/>
          <w:highlight w:val="none"/>
        </w:rPr>
        <w:t>投标人</w:t>
      </w:r>
      <w:r>
        <w:rPr>
          <w:rFonts w:hint="eastAsia" w:ascii="宋体" w:hAnsi="宋体" w:cs="宋体"/>
          <w:color w:val="auto"/>
          <w:sz w:val="24"/>
          <w:highlight w:val="none"/>
          <w:lang w:val="zh-CN"/>
        </w:rPr>
        <w:t>代表证明材料：</w:t>
      </w:r>
    </w:p>
    <w:p>
      <w:pPr>
        <w:pStyle w:val="65"/>
        <w:spacing w:line="24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①法定代表人/单位负责人身份证明材料复印件。</w:t>
      </w:r>
    </w:p>
    <w:p>
      <w:pPr>
        <w:pStyle w:val="65"/>
        <w:spacing w:line="240" w:lineRule="auto"/>
        <w:ind w:firstLine="480"/>
        <w:rPr>
          <w:rFonts w:ascii="宋体" w:hAnsi="宋体" w:cs="宋体"/>
          <w:color w:val="auto"/>
          <w:sz w:val="24"/>
          <w:highlight w:val="none"/>
        </w:rPr>
      </w:pPr>
      <w:r>
        <w:rPr>
          <w:rFonts w:hint="eastAsia" w:ascii="宋体" w:hAnsi="宋体" w:cs="宋体"/>
          <w:color w:val="auto"/>
          <w:sz w:val="24"/>
          <w:highlight w:val="none"/>
          <w:lang w:val="zh-CN"/>
        </w:rPr>
        <w:t>②法定代表人/单位负责人授权代理书原件及代理人身份证明材料复印件（注：①法定代表人/单位负责人授权代理书原件需加盖公章；②如响应文件均由</w:t>
      </w:r>
      <w:r>
        <w:rPr>
          <w:rFonts w:hint="eastAsia" w:ascii="宋体" w:hAnsi="宋体" w:cs="宋体"/>
          <w:color w:val="auto"/>
          <w:sz w:val="24"/>
          <w:highlight w:val="none"/>
        </w:rPr>
        <w:t>投标人</w:t>
      </w:r>
      <w:r>
        <w:rPr>
          <w:rFonts w:hint="eastAsia" w:ascii="宋体" w:hAnsi="宋体" w:cs="宋体"/>
          <w:color w:val="auto"/>
          <w:sz w:val="24"/>
          <w:highlight w:val="none"/>
          <w:lang w:val="zh-CN"/>
        </w:rPr>
        <w:t>法定代表人/单位负责人签字的且法定代表人/单位负责人本人参与</w:t>
      </w:r>
      <w:r>
        <w:rPr>
          <w:rFonts w:hint="eastAsia" w:ascii="宋体" w:hAnsi="宋体" w:cs="宋体"/>
          <w:color w:val="auto"/>
          <w:sz w:val="24"/>
          <w:highlight w:val="none"/>
        </w:rPr>
        <w:t>投标</w:t>
      </w:r>
      <w:r>
        <w:rPr>
          <w:rFonts w:hint="eastAsia" w:ascii="宋体" w:hAnsi="宋体" w:cs="宋体"/>
          <w:color w:val="auto"/>
          <w:sz w:val="24"/>
          <w:highlight w:val="none"/>
          <w:lang w:val="zh-CN"/>
        </w:rPr>
        <w:t>的，则可不提供）。</w:t>
      </w:r>
    </w:p>
    <w:p>
      <w:pPr>
        <w:pStyle w:val="65"/>
        <w:spacing w:line="240" w:lineRule="auto"/>
        <w:ind w:firstLine="480"/>
        <w:rPr>
          <w:rFonts w:ascii="宋体" w:hAnsi="宋体" w:cs="宋体"/>
          <w:color w:val="auto"/>
          <w:sz w:val="24"/>
          <w:highlight w:val="none"/>
        </w:rPr>
      </w:pPr>
      <w:r>
        <w:rPr>
          <w:rFonts w:hint="eastAsia" w:ascii="宋体" w:hAnsi="宋体" w:cs="宋体"/>
          <w:color w:val="auto"/>
          <w:sz w:val="24"/>
          <w:highlight w:val="none"/>
        </w:rPr>
        <w:t>注：</w:t>
      </w:r>
    </w:p>
    <w:p>
      <w:pPr>
        <w:snapToGrid w:val="0"/>
        <w:spacing w:line="24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1）以上承诺函(可参照投标文件格式“承诺函”格式或自拟格式填写均有效)。</w:t>
      </w:r>
    </w:p>
    <w:p>
      <w:pPr>
        <w:snapToGrid w:val="0"/>
        <w:spacing w:line="24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2）投标人提供的以上资格证明材料为复印件的均应加盖投标人公章。</w:t>
      </w:r>
    </w:p>
    <w:p>
      <w:pPr>
        <w:snapToGrid w:val="0"/>
        <w:spacing w:line="24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3）投标人应对其所提供的资格证明材料来源的合法性、真实性负责。</w:t>
      </w:r>
    </w:p>
    <w:p>
      <w:pPr>
        <w:snapToGrid w:val="0"/>
        <w:spacing w:line="24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4）以上要求提供的相关证明材料应当结合采购项目具体情况和投标人的组织机构性质确定，不得一概而论。</w:t>
      </w:r>
    </w:p>
    <w:p>
      <w:pPr>
        <w:pStyle w:val="3"/>
        <w:spacing w:line="24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br w:type="page"/>
      </w:r>
      <w:r>
        <w:rPr>
          <w:rFonts w:hint="eastAsia" w:ascii="宋体" w:hAnsi="宋体" w:cs="宋体"/>
          <w:color w:val="auto"/>
          <w:sz w:val="36"/>
          <w:szCs w:val="36"/>
          <w:highlight w:val="none"/>
        </w:rPr>
        <w:t xml:space="preserve">第六章  </w:t>
      </w:r>
      <w:bookmarkEnd w:id="181"/>
      <w:r>
        <w:rPr>
          <w:rFonts w:hint="eastAsia" w:ascii="宋体" w:hAnsi="宋体" w:cs="宋体"/>
          <w:color w:val="auto"/>
          <w:sz w:val="36"/>
          <w:szCs w:val="36"/>
          <w:highlight w:val="none"/>
        </w:rPr>
        <w:t>招标项目技术、服务、商务及其他要求</w:t>
      </w:r>
    </w:p>
    <w:bookmarkEnd w:id="182"/>
    <w:p>
      <w:pPr>
        <w:spacing w:line="360" w:lineRule="auto"/>
        <w:ind w:firstLine="482" w:firstLineChars="200"/>
        <w:jc w:val="left"/>
        <w:rPr>
          <w:rFonts w:ascii="宋体" w:hAnsi="宋体" w:cs="宋体"/>
          <w:b/>
          <w:bCs/>
          <w:color w:val="auto"/>
          <w:sz w:val="24"/>
          <w:highlight w:val="none"/>
        </w:rPr>
      </w:pPr>
      <w:bookmarkStart w:id="184" w:name="_Toc31810"/>
      <w:bookmarkStart w:id="185" w:name="_Toc24786"/>
      <w:r>
        <w:rPr>
          <w:rFonts w:hint="eastAsia" w:ascii="宋体" w:hAnsi="宋体" w:cs="宋体"/>
          <w:b/>
          <w:bCs/>
          <w:color w:val="auto"/>
          <w:sz w:val="24"/>
          <w:highlight w:val="none"/>
        </w:rPr>
        <w:t>本章中标注“★”的条款为本项目的实质性条款，投标人不满足的，将按照无效投标处理。</w:t>
      </w:r>
    </w:p>
    <w:p>
      <w:pPr>
        <w:jc w:val="left"/>
        <w:rPr>
          <w:rFonts w:ascii="宋体" w:hAnsi="宋体" w:cs="宋体"/>
          <w:b/>
          <w:color w:val="auto"/>
          <w:sz w:val="24"/>
          <w:highlight w:val="none"/>
        </w:rPr>
      </w:pPr>
      <w:r>
        <w:rPr>
          <w:rFonts w:hint="eastAsia" w:ascii="宋体" w:hAnsi="宋体" w:cs="宋体"/>
          <w:b/>
          <w:color w:val="auto"/>
          <w:sz w:val="24"/>
          <w:highlight w:val="none"/>
        </w:rPr>
        <w:t>一、采购清单</w:t>
      </w:r>
    </w:p>
    <w:tbl>
      <w:tblPr>
        <w:tblStyle w:val="33"/>
        <w:tblpPr w:leftFromText="180" w:rightFromText="180" w:vertAnchor="text" w:horzAnchor="page" w:tblpX="1466" w:tblpY="447"/>
        <w:tblOverlap w:val="never"/>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3588"/>
        <w:gridCol w:w="2307"/>
        <w:gridCol w:w="2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319" w:type="dxa"/>
            <w:gridSpan w:val="4"/>
            <w:vAlign w:val="center"/>
          </w:tcPr>
          <w:p>
            <w:pPr>
              <w:widowControl w:val="0"/>
              <w:spacing w:line="360" w:lineRule="auto"/>
              <w:jc w:val="center"/>
              <w:rPr>
                <w:rFonts w:ascii="宋体" w:hAnsi="宋体" w:eastAsia="宋体" w:cs="宋体"/>
                <w:bCs/>
                <w:sz w:val="24"/>
                <w:szCs w:val="24"/>
                <w:highlight w:val="none"/>
              </w:rPr>
            </w:pPr>
            <w:r>
              <w:rPr>
                <w:rFonts w:hint="eastAsia" w:ascii="宋体" w:hAnsi="宋体" w:eastAsia="宋体" w:cs="宋体"/>
                <w:bCs/>
                <w:sz w:val="24"/>
                <w:szCs w:val="24"/>
                <w:highlight w:val="none"/>
              </w:rPr>
              <w:t>01包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99" w:type="dxa"/>
            <w:vAlign w:val="center"/>
          </w:tcPr>
          <w:p>
            <w:pPr>
              <w:widowControl w:val="0"/>
              <w:spacing w:line="360" w:lineRule="auto"/>
              <w:jc w:val="center"/>
              <w:rPr>
                <w:rFonts w:ascii="宋体" w:hAnsi="宋体" w:eastAsia="宋体" w:cs="宋体"/>
                <w:bCs/>
                <w:sz w:val="24"/>
                <w:szCs w:val="24"/>
                <w:highlight w:val="none"/>
              </w:rPr>
            </w:pPr>
            <w:r>
              <w:rPr>
                <w:rFonts w:hint="eastAsia" w:ascii="宋体" w:hAnsi="宋体" w:cs="宋体"/>
                <w:bCs/>
                <w:sz w:val="24"/>
                <w:szCs w:val="24"/>
                <w:highlight w:val="none"/>
                <w:lang w:val="en-US" w:eastAsia="zh-CN"/>
              </w:rPr>
              <w:t>序</w:t>
            </w:r>
            <w:r>
              <w:rPr>
                <w:rFonts w:hint="eastAsia" w:ascii="宋体" w:hAnsi="宋体" w:eastAsia="宋体" w:cs="宋体"/>
                <w:bCs/>
                <w:sz w:val="24"/>
                <w:szCs w:val="24"/>
                <w:highlight w:val="none"/>
              </w:rPr>
              <w:t>号</w:t>
            </w:r>
          </w:p>
        </w:tc>
        <w:tc>
          <w:tcPr>
            <w:tcW w:w="3588" w:type="dxa"/>
            <w:vAlign w:val="center"/>
          </w:tcPr>
          <w:p>
            <w:pPr>
              <w:widowControl w:val="0"/>
              <w:spacing w:line="360" w:lineRule="auto"/>
              <w:jc w:val="center"/>
              <w:rPr>
                <w:rFonts w:ascii="宋体" w:hAnsi="宋体" w:eastAsia="宋体" w:cs="宋体"/>
                <w:bCs/>
                <w:sz w:val="24"/>
                <w:szCs w:val="24"/>
                <w:highlight w:val="none"/>
              </w:rPr>
            </w:pPr>
            <w:r>
              <w:rPr>
                <w:rFonts w:hint="eastAsia" w:ascii="宋体" w:hAnsi="宋体" w:eastAsia="宋体" w:cs="宋体"/>
                <w:bCs/>
                <w:sz w:val="24"/>
                <w:szCs w:val="24"/>
                <w:highlight w:val="none"/>
              </w:rPr>
              <w:t>设备名称</w:t>
            </w:r>
          </w:p>
        </w:tc>
        <w:tc>
          <w:tcPr>
            <w:tcW w:w="2307" w:type="dxa"/>
            <w:vAlign w:val="center"/>
          </w:tcPr>
          <w:p>
            <w:pPr>
              <w:widowControl w:val="0"/>
              <w:spacing w:line="360" w:lineRule="auto"/>
              <w:jc w:val="center"/>
              <w:rPr>
                <w:rFonts w:ascii="宋体" w:hAnsi="宋体" w:eastAsia="宋体" w:cs="宋体"/>
                <w:bCs/>
                <w:sz w:val="24"/>
                <w:szCs w:val="24"/>
                <w:highlight w:val="none"/>
              </w:rPr>
            </w:pPr>
            <w:r>
              <w:rPr>
                <w:rFonts w:hint="eastAsia" w:ascii="宋体" w:hAnsi="宋体" w:eastAsia="宋体" w:cs="宋体"/>
                <w:bCs/>
                <w:sz w:val="24"/>
                <w:szCs w:val="24"/>
                <w:highlight w:val="none"/>
              </w:rPr>
              <w:t>数量（台/套）</w:t>
            </w:r>
          </w:p>
        </w:tc>
        <w:tc>
          <w:tcPr>
            <w:tcW w:w="2425" w:type="dxa"/>
            <w:vAlign w:val="center"/>
          </w:tcPr>
          <w:p>
            <w:pPr>
              <w:widowControl w:val="0"/>
              <w:spacing w:line="360" w:lineRule="auto"/>
              <w:jc w:val="center"/>
              <w:rPr>
                <w:rFonts w:ascii="宋体" w:hAnsi="宋体" w:eastAsia="宋体" w:cs="宋体"/>
                <w:bCs/>
                <w:sz w:val="24"/>
                <w:szCs w:val="24"/>
                <w:highlight w:val="none"/>
              </w:rPr>
            </w:pPr>
            <w:r>
              <w:rPr>
                <w:rFonts w:hint="eastAsia" w:ascii="宋体" w:hAnsi="宋体" w:eastAsia="宋体" w:cs="宋体"/>
                <w:bCs/>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99" w:type="dxa"/>
            <w:vAlign w:val="center"/>
          </w:tcPr>
          <w:p>
            <w:pPr>
              <w:widowControl w:val="0"/>
              <w:spacing w:line="360" w:lineRule="auto"/>
              <w:jc w:val="center"/>
              <w:rPr>
                <w:rFonts w:ascii="宋体" w:hAnsi="宋体" w:eastAsia="宋体" w:cs="宋体"/>
                <w:bCs/>
                <w:sz w:val="24"/>
                <w:szCs w:val="24"/>
                <w:highlight w:val="none"/>
              </w:rPr>
            </w:pPr>
            <w:r>
              <w:rPr>
                <w:rFonts w:hint="eastAsia" w:ascii="宋体" w:hAnsi="宋体" w:eastAsia="宋体" w:cs="宋体"/>
                <w:bCs/>
                <w:sz w:val="24"/>
                <w:szCs w:val="24"/>
                <w:highlight w:val="none"/>
              </w:rPr>
              <w:t>1</w:t>
            </w:r>
          </w:p>
        </w:tc>
        <w:tc>
          <w:tcPr>
            <w:tcW w:w="3588" w:type="dxa"/>
            <w:vAlign w:val="center"/>
          </w:tcPr>
          <w:p>
            <w:pPr>
              <w:jc w:val="center"/>
              <w:rPr>
                <w:rFonts w:ascii="宋体" w:hAnsi="宋体" w:eastAsia="宋体" w:cs="宋体"/>
                <w:bCs/>
                <w:sz w:val="24"/>
                <w:szCs w:val="24"/>
                <w:highlight w:val="none"/>
              </w:rPr>
            </w:pPr>
            <w:r>
              <w:rPr>
                <w:rFonts w:hint="eastAsia" w:ascii="宋体" w:hAnsi="宋体" w:eastAsia="宋体" w:cs="宋体"/>
                <w:sz w:val="24"/>
                <w:highlight w:val="none"/>
              </w:rPr>
              <w:t>X射线荧光光谱仪</w:t>
            </w:r>
          </w:p>
        </w:tc>
        <w:tc>
          <w:tcPr>
            <w:tcW w:w="2307" w:type="dxa"/>
            <w:vAlign w:val="center"/>
          </w:tcPr>
          <w:p>
            <w:pPr>
              <w:jc w:val="center"/>
              <w:rPr>
                <w:rFonts w:ascii="宋体" w:hAnsi="宋体" w:eastAsia="宋体" w:cs="宋体"/>
                <w:bCs/>
                <w:sz w:val="24"/>
                <w:szCs w:val="24"/>
                <w:highlight w:val="none"/>
              </w:rPr>
            </w:pPr>
            <w:r>
              <w:rPr>
                <w:rFonts w:hint="eastAsia" w:ascii="宋体" w:hAnsi="宋体" w:eastAsia="宋体" w:cs="宋体"/>
                <w:sz w:val="24"/>
                <w:highlight w:val="none"/>
              </w:rPr>
              <w:t>1</w:t>
            </w:r>
          </w:p>
        </w:tc>
        <w:tc>
          <w:tcPr>
            <w:tcW w:w="2425" w:type="dxa"/>
            <w:vAlign w:val="center"/>
          </w:tcPr>
          <w:p>
            <w:pPr>
              <w:widowControl w:val="0"/>
              <w:spacing w:line="360" w:lineRule="auto"/>
              <w:jc w:val="center"/>
              <w:rPr>
                <w:rFonts w:ascii="宋体" w:hAnsi="宋体" w:eastAsia="宋体" w:cs="宋体"/>
                <w:b/>
                <w:bCs/>
                <w:sz w:val="24"/>
                <w:szCs w:val="24"/>
                <w:highlight w:val="none"/>
              </w:rPr>
            </w:pPr>
            <w:r>
              <w:rPr>
                <w:rFonts w:hint="eastAsia" w:ascii="宋体" w:hAnsi="宋体" w:eastAsia="宋体" w:cs="宋体"/>
                <w:b/>
                <w:bCs/>
                <w:sz w:val="24"/>
                <w:highlight w:val="none"/>
              </w:rPr>
              <w:t>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99" w:type="dxa"/>
            <w:vAlign w:val="center"/>
          </w:tcPr>
          <w:p>
            <w:pPr>
              <w:widowControl w:val="0"/>
              <w:spacing w:line="360" w:lineRule="auto"/>
              <w:jc w:val="center"/>
              <w:rPr>
                <w:rFonts w:ascii="宋体" w:hAnsi="宋体" w:eastAsia="宋体" w:cs="宋体"/>
                <w:bCs/>
                <w:sz w:val="24"/>
                <w:szCs w:val="24"/>
                <w:highlight w:val="none"/>
              </w:rPr>
            </w:pPr>
            <w:r>
              <w:rPr>
                <w:rFonts w:hint="eastAsia" w:ascii="宋体" w:hAnsi="宋体" w:eastAsia="宋体" w:cs="宋体"/>
                <w:bCs/>
                <w:sz w:val="24"/>
                <w:szCs w:val="24"/>
                <w:highlight w:val="none"/>
              </w:rPr>
              <w:t>2</w:t>
            </w:r>
          </w:p>
        </w:tc>
        <w:tc>
          <w:tcPr>
            <w:tcW w:w="3588" w:type="dxa"/>
            <w:vAlign w:val="center"/>
          </w:tcPr>
          <w:p>
            <w:pPr>
              <w:jc w:val="center"/>
              <w:rPr>
                <w:rFonts w:ascii="宋体" w:hAnsi="宋体" w:eastAsia="宋体" w:cs="宋体"/>
                <w:bCs/>
                <w:sz w:val="24"/>
                <w:szCs w:val="24"/>
                <w:highlight w:val="none"/>
              </w:rPr>
            </w:pPr>
            <w:r>
              <w:rPr>
                <w:rFonts w:hint="eastAsia" w:ascii="宋体" w:hAnsi="宋体" w:eastAsia="宋体" w:cs="宋体"/>
                <w:sz w:val="24"/>
                <w:highlight w:val="none"/>
              </w:rPr>
              <w:t>吹扫捕集+水土自动进样器</w:t>
            </w:r>
          </w:p>
        </w:tc>
        <w:tc>
          <w:tcPr>
            <w:tcW w:w="2307" w:type="dxa"/>
            <w:vAlign w:val="center"/>
          </w:tcPr>
          <w:p>
            <w:pPr>
              <w:jc w:val="center"/>
              <w:rPr>
                <w:rFonts w:ascii="宋体" w:hAnsi="宋体" w:eastAsia="宋体" w:cs="宋体"/>
                <w:bCs/>
                <w:sz w:val="24"/>
                <w:szCs w:val="24"/>
                <w:highlight w:val="none"/>
              </w:rPr>
            </w:pPr>
            <w:r>
              <w:rPr>
                <w:rFonts w:hint="eastAsia" w:ascii="宋体" w:hAnsi="宋体" w:eastAsia="宋体" w:cs="宋体"/>
                <w:sz w:val="24"/>
                <w:highlight w:val="none"/>
              </w:rPr>
              <w:t>1</w:t>
            </w:r>
          </w:p>
        </w:tc>
        <w:tc>
          <w:tcPr>
            <w:tcW w:w="2425" w:type="dxa"/>
            <w:vAlign w:val="center"/>
          </w:tcPr>
          <w:p>
            <w:pPr>
              <w:widowControl w:val="0"/>
              <w:spacing w:line="360" w:lineRule="auto"/>
              <w:jc w:val="center"/>
              <w:rPr>
                <w:rFonts w:ascii="宋体" w:hAnsi="宋体" w:eastAsia="宋体" w:cs="宋体"/>
                <w:b/>
                <w:bCs/>
                <w:sz w:val="24"/>
                <w:szCs w:val="24"/>
                <w:highlight w:val="none"/>
              </w:rPr>
            </w:pPr>
            <w:r>
              <w:rPr>
                <w:rFonts w:hint="eastAsia" w:ascii="宋体" w:hAnsi="宋体" w:eastAsia="宋体" w:cs="宋体"/>
                <w:b/>
                <w:bCs/>
                <w:sz w:val="24"/>
                <w:highlight w:val="none"/>
              </w:rPr>
              <w:t>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99" w:type="dxa"/>
            <w:vAlign w:val="center"/>
          </w:tcPr>
          <w:p>
            <w:pPr>
              <w:widowControl w:val="0"/>
              <w:spacing w:line="360" w:lineRule="auto"/>
              <w:jc w:val="center"/>
              <w:rPr>
                <w:rFonts w:ascii="宋体" w:hAnsi="宋体" w:eastAsia="宋体" w:cs="宋体"/>
                <w:bCs/>
                <w:sz w:val="24"/>
                <w:szCs w:val="24"/>
                <w:highlight w:val="none"/>
              </w:rPr>
            </w:pPr>
            <w:r>
              <w:rPr>
                <w:rFonts w:hint="eastAsia" w:ascii="宋体" w:hAnsi="宋体" w:eastAsia="宋体" w:cs="宋体"/>
                <w:bCs/>
                <w:sz w:val="24"/>
                <w:szCs w:val="24"/>
                <w:highlight w:val="none"/>
              </w:rPr>
              <w:t>3</w:t>
            </w:r>
          </w:p>
        </w:tc>
        <w:tc>
          <w:tcPr>
            <w:tcW w:w="3588" w:type="dxa"/>
            <w:vAlign w:val="center"/>
          </w:tcPr>
          <w:p>
            <w:pPr>
              <w:jc w:val="center"/>
              <w:rPr>
                <w:rFonts w:ascii="宋体" w:hAnsi="宋体" w:eastAsia="宋体" w:cs="宋体"/>
                <w:bCs/>
                <w:sz w:val="24"/>
                <w:szCs w:val="24"/>
                <w:highlight w:val="none"/>
              </w:rPr>
            </w:pPr>
            <w:r>
              <w:rPr>
                <w:rFonts w:hint="eastAsia" w:ascii="宋体" w:hAnsi="宋体" w:eastAsia="宋体" w:cs="宋体"/>
                <w:sz w:val="24"/>
                <w:highlight w:val="none"/>
              </w:rPr>
              <w:t>气相色谱-质谱联用仪</w:t>
            </w:r>
          </w:p>
        </w:tc>
        <w:tc>
          <w:tcPr>
            <w:tcW w:w="2307" w:type="dxa"/>
            <w:vAlign w:val="center"/>
          </w:tcPr>
          <w:p>
            <w:pPr>
              <w:jc w:val="center"/>
              <w:rPr>
                <w:rFonts w:ascii="宋体" w:hAnsi="宋体" w:eastAsia="宋体" w:cs="宋体"/>
                <w:bCs/>
                <w:sz w:val="24"/>
                <w:szCs w:val="24"/>
                <w:highlight w:val="none"/>
              </w:rPr>
            </w:pPr>
            <w:r>
              <w:rPr>
                <w:rFonts w:hint="eastAsia" w:ascii="宋体" w:hAnsi="宋体" w:eastAsia="宋体" w:cs="宋体"/>
                <w:sz w:val="24"/>
                <w:highlight w:val="none"/>
              </w:rPr>
              <w:t>1</w:t>
            </w:r>
          </w:p>
        </w:tc>
        <w:tc>
          <w:tcPr>
            <w:tcW w:w="2425" w:type="dxa"/>
            <w:vAlign w:val="center"/>
          </w:tcPr>
          <w:p>
            <w:pPr>
              <w:widowControl w:val="0"/>
              <w:spacing w:line="360" w:lineRule="auto"/>
              <w:jc w:val="center"/>
              <w:rPr>
                <w:rFonts w:ascii="宋体" w:hAnsi="宋体" w:eastAsia="宋体" w:cs="宋体"/>
                <w:b/>
                <w:bCs/>
                <w:sz w:val="24"/>
                <w:szCs w:val="24"/>
                <w:highlight w:val="none"/>
              </w:rPr>
            </w:pPr>
            <w:r>
              <w:rPr>
                <w:rFonts w:hint="eastAsia" w:ascii="宋体" w:hAnsi="宋体" w:eastAsia="宋体" w:cs="宋体"/>
                <w:b/>
                <w:bCs/>
                <w:sz w:val="24"/>
                <w:highlight w:val="none"/>
              </w:rPr>
              <w:t>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99" w:type="dxa"/>
            <w:vAlign w:val="center"/>
          </w:tcPr>
          <w:p>
            <w:pPr>
              <w:widowControl w:val="0"/>
              <w:spacing w:line="360" w:lineRule="auto"/>
              <w:jc w:val="center"/>
              <w:rPr>
                <w:rFonts w:ascii="宋体" w:hAnsi="宋体" w:eastAsia="宋体" w:cs="宋体"/>
                <w:bCs/>
                <w:sz w:val="24"/>
                <w:szCs w:val="24"/>
                <w:highlight w:val="none"/>
              </w:rPr>
            </w:pPr>
            <w:r>
              <w:rPr>
                <w:rFonts w:hint="eastAsia" w:ascii="宋体" w:hAnsi="宋体" w:eastAsia="宋体" w:cs="宋体"/>
                <w:bCs/>
                <w:sz w:val="24"/>
                <w:szCs w:val="24"/>
                <w:highlight w:val="none"/>
              </w:rPr>
              <w:t>4</w:t>
            </w:r>
          </w:p>
        </w:tc>
        <w:tc>
          <w:tcPr>
            <w:tcW w:w="3588" w:type="dxa"/>
            <w:vAlign w:val="center"/>
          </w:tcPr>
          <w:p>
            <w:pPr>
              <w:jc w:val="center"/>
              <w:rPr>
                <w:rFonts w:ascii="宋体" w:hAnsi="宋体" w:eastAsia="宋体" w:cs="宋体"/>
                <w:bCs/>
                <w:sz w:val="24"/>
                <w:szCs w:val="24"/>
                <w:highlight w:val="none"/>
              </w:rPr>
            </w:pPr>
            <w:r>
              <w:rPr>
                <w:rFonts w:hint="eastAsia" w:ascii="宋体" w:hAnsi="宋体" w:eastAsia="宋体" w:cs="宋体"/>
                <w:sz w:val="24"/>
                <w:highlight w:val="none"/>
              </w:rPr>
              <w:t>净化式药品柜</w:t>
            </w:r>
          </w:p>
        </w:tc>
        <w:tc>
          <w:tcPr>
            <w:tcW w:w="2307" w:type="dxa"/>
            <w:vAlign w:val="center"/>
          </w:tcPr>
          <w:p>
            <w:pPr>
              <w:jc w:val="center"/>
              <w:rPr>
                <w:rFonts w:ascii="宋体" w:hAnsi="宋体" w:eastAsia="宋体" w:cs="宋体"/>
                <w:bCs/>
                <w:sz w:val="24"/>
                <w:szCs w:val="24"/>
                <w:highlight w:val="none"/>
              </w:rPr>
            </w:pPr>
            <w:r>
              <w:rPr>
                <w:rFonts w:hint="eastAsia" w:ascii="宋体" w:hAnsi="宋体" w:eastAsia="宋体" w:cs="宋体"/>
                <w:sz w:val="24"/>
                <w:highlight w:val="none"/>
              </w:rPr>
              <w:t>3</w:t>
            </w:r>
          </w:p>
        </w:tc>
        <w:tc>
          <w:tcPr>
            <w:tcW w:w="2425" w:type="dxa"/>
            <w:vAlign w:val="center"/>
          </w:tcPr>
          <w:p>
            <w:pPr>
              <w:widowControl w:val="0"/>
              <w:spacing w:line="360" w:lineRule="auto"/>
              <w:jc w:val="center"/>
              <w:rPr>
                <w:rFonts w:ascii="宋体" w:hAnsi="宋体" w:eastAsia="宋体" w:cs="宋体"/>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99" w:type="dxa"/>
            <w:vAlign w:val="center"/>
          </w:tcPr>
          <w:p>
            <w:pPr>
              <w:widowControl w:val="0"/>
              <w:spacing w:line="360" w:lineRule="auto"/>
              <w:jc w:val="center"/>
              <w:rPr>
                <w:rFonts w:ascii="宋体" w:hAnsi="宋体" w:eastAsia="宋体" w:cs="宋体"/>
                <w:bCs/>
                <w:sz w:val="24"/>
                <w:szCs w:val="24"/>
                <w:highlight w:val="none"/>
              </w:rPr>
            </w:pPr>
            <w:r>
              <w:rPr>
                <w:rFonts w:hint="eastAsia" w:ascii="宋体" w:hAnsi="宋体" w:eastAsia="宋体" w:cs="宋体"/>
                <w:bCs/>
                <w:sz w:val="24"/>
                <w:szCs w:val="24"/>
                <w:highlight w:val="none"/>
              </w:rPr>
              <w:t>5</w:t>
            </w:r>
          </w:p>
        </w:tc>
        <w:tc>
          <w:tcPr>
            <w:tcW w:w="3588" w:type="dxa"/>
            <w:vAlign w:val="center"/>
          </w:tcPr>
          <w:p>
            <w:pPr>
              <w:jc w:val="center"/>
              <w:rPr>
                <w:rFonts w:ascii="宋体" w:hAnsi="宋体" w:eastAsia="宋体" w:cs="宋体"/>
                <w:bCs/>
                <w:sz w:val="24"/>
                <w:szCs w:val="24"/>
                <w:highlight w:val="none"/>
              </w:rPr>
            </w:pPr>
            <w:r>
              <w:rPr>
                <w:rFonts w:hint="eastAsia" w:ascii="宋体" w:hAnsi="宋体" w:eastAsia="宋体" w:cs="宋体"/>
                <w:sz w:val="24"/>
                <w:highlight w:val="none"/>
              </w:rPr>
              <w:t>温控电热板（PTFE）</w:t>
            </w:r>
          </w:p>
        </w:tc>
        <w:tc>
          <w:tcPr>
            <w:tcW w:w="2307" w:type="dxa"/>
            <w:vAlign w:val="center"/>
          </w:tcPr>
          <w:p>
            <w:pPr>
              <w:jc w:val="center"/>
              <w:rPr>
                <w:rFonts w:ascii="宋体" w:hAnsi="宋体" w:eastAsia="宋体" w:cs="宋体"/>
                <w:bCs/>
                <w:sz w:val="24"/>
                <w:szCs w:val="24"/>
                <w:highlight w:val="none"/>
              </w:rPr>
            </w:pPr>
            <w:r>
              <w:rPr>
                <w:rFonts w:hint="eastAsia" w:ascii="宋体" w:hAnsi="宋体" w:eastAsia="宋体" w:cs="宋体"/>
                <w:sz w:val="24"/>
                <w:highlight w:val="none"/>
              </w:rPr>
              <w:t>1</w:t>
            </w:r>
          </w:p>
        </w:tc>
        <w:tc>
          <w:tcPr>
            <w:tcW w:w="2425" w:type="dxa"/>
            <w:vAlign w:val="center"/>
          </w:tcPr>
          <w:p>
            <w:pPr>
              <w:widowControl w:val="0"/>
              <w:spacing w:line="360" w:lineRule="auto"/>
              <w:jc w:val="center"/>
              <w:rPr>
                <w:rFonts w:ascii="宋体" w:hAnsi="宋体" w:eastAsia="宋体" w:cs="宋体"/>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99" w:type="dxa"/>
            <w:vAlign w:val="center"/>
          </w:tcPr>
          <w:p>
            <w:pPr>
              <w:widowControl w:val="0"/>
              <w:spacing w:line="360" w:lineRule="auto"/>
              <w:jc w:val="center"/>
              <w:rPr>
                <w:rFonts w:ascii="宋体" w:hAnsi="宋体" w:eastAsia="宋体" w:cs="宋体"/>
                <w:bCs/>
                <w:sz w:val="24"/>
                <w:szCs w:val="24"/>
                <w:highlight w:val="none"/>
              </w:rPr>
            </w:pPr>
            <w:r>
              <w:rPr>
                <w:rFonts w:hint="eastAsia" w:ascii="宋体" w:hAnsi="宋体" w:eastAsia="宋体" w:cs="宋体"/>
                <w:bCs/>
                <w:sz w:val="24"/>
                <w:szCs w:val="24"/>
                <w:highlight w:val="none"/>
              </w:rPr>
              <w:t>6</w:t>
            </w:r>
          </w:p>
        </w:tc>
        <w:tc>
          <w:tcPr>
            <w:tcW w:w="3588" w:type="dxa"/>
            <w:vAlign w:val="center"/>
          </w:tcPr>
          <w:p>
            <w:pPr>
              <w:jc w:val="center"/>
              <w:rPr>
                <w:rFonts w:ascii="宋体" w:hAnsi="宋体" w:eastAsia="宋体" w:cs="宋体"/>
                <w:bCs/>
                <w:sz w:val="24"/>
                <w:szCs w:val="24"/>
                <w:highlight w:val="none"/>
              </w:rPr>
            </w:pPr>
            <w:r>
              <w:rPr>
                <w:rFonts w:hint="eastAsia" w:ascii="宋体" w:hAnsi="宋体" w:eastAsia="宋体" w:cs="宋体"/>
                <w:sz w:val="24"/>
                <w:highlight w:val="none"/>
              </w:rPr>
              <w:t>测汞仪</w:t>
            </w:r>
          </w:p>
        </w:tc>
        <w:tc>
          <w:tcPr>
            <w:tcW w:w="2307" w:type="dxa"/>
            <w:vAlign w:val="center"/>
          </w:tcPr>
          <w:p>
            <w:pPr>
              <w:jc w:val="center"/>
              <w:rPr>
                <w:rFonts w:ascii="宋体" w:hAnsi="宋体" w:eastAsia="宋体" w:cs="宋体"/>
                <w:bCs/>
                <w:sz w:val="24"/>
                <w:szCs w:val="24"/>
                <w:highlight w:val="none"/>
              </w:rPr>
            </w:pPr>
            <w:r>
              <w:rPr>
                <w:rFonts w:hint="eastAsia" w:ascii="宋体" w:hAnsi="宋体" w:eastAsia="宋体" w:cs="宋体"/>
                <w:sz w:val="24"/>
                <w:highlight w:val="none"/>
              </w:rPr>
              <w:t>1</w:t>
            </w:r>
          </w:p>
        </w:tc>
        <w:tc>
          <w:tcPr>
            <w:tcW w:w="2425" w:type="dxa"/>
            <w:vAlign w:val="center"/>
          </w:tcPr>
          <w:p>
            <w:pPr>
              <w:widowControl w:val="0"/>
              <w:spacing w:line="360" w:lineRule="auto"/>
              <w:jc w:val="center"/>
              <w:rPr>
                <w:rFonts w:ascii="宋体" w:hAnsi="宋体" w:eastAsia="宋体" w:cs="宋体"/>
                <w:b/>
                <w:bCs/>
                <w:sz w:val="24"/>
                <w:szCs w:val="24"/>
                <w:highlight w:val="none"/>
              </w:rPr>
            </w:pPr>
            <w:r>
              <w:rPr>
                <w:rFonts w:hint="eastAsia" w:ascii="宋体" w:hAnsi="宋体" w:eastAsia="宋体" w:cs="宋体"/>
                <w:b/>
                <w:bCs/>
                <w:sz w:val="24"/>
                <w:highlight w:val="none"/>
              </w:rPr>
              <w:t>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99" w:type="dxa"/>
            <w:vAlign w:val="center"/>
          </w:tcPr>
          <w:p>
            <w:pPr>
              <w:widowControl w:val="0"/>
              <w:spacing w:line="360" w:lineRule="auto"/>
              <w:jc w:val="center"/>
              <w:rPr>
                <w:rFonts w:ascii="宋体" w:hAnsi="宋体" w:eastAsia="宋体" w:cs="宋体"/>
                <w:bCs/>
                <w:sz w:val="24"/>
                <w:szCs w:val="24"/>
                <w:highlight w:val="none"/>
              </w:rPr>
            </w:pPr>
            <w:r>
              <w:rPr>
                <w:rFonts w:hint="eastAsia" w:ascii="宋体" w:hAnsi="宋体" w:eastAsia="宋体" w:cs="宋体"/>
                <w:bCs/>
                <w:sz w:val="24"/>
                <w:szCs w:val="24"/>
                <w:highlight w:val="none"/>
              </w:rPr>
              <w:t>7</w:t>
            </w:r>
          </w:p>
        </w:tc>
        <w:tc>
          <w:tcPr>
            <w:tcW w:w="3588" w:type="dxa"/>
            <w:vAlign w:val="center"/>
          </w:tcPr>
          <w:p>
            <w:pPr>
              <w:jc w:val="center"/>
              <w:rPr>
                <w:rFonts w:ascii="宋体" w:hAnsi="宋体" w:eastAsia="宋体" w:cs="宋体"/>
                <w:bCs/>
                <w:sz w:val="24"/>
                <w:szCs w:val="24"/>
                <w:highlight w:val="none"/>
              </w:rPr>
            </w:pPr>
            <w:r>
              <w:rPr>
                <w:rFonts w:hint="eastAsia" w:ascii="宋体" w:hAnsi="宋体" w:eastAsia="宋体" w:cs="宋体"/>
                <w:sz w:val="24"/>
                <w:highlight w:val="none"/>
              </w:rPr>
              <w:t>瓶口分液器</w:t>
            </w:r>
          </w:p>
        </w:tc>
        <w:tc>
          <w:tcPr>
            <w:tcW w:w="2307" w:type="dxa"/>
            <w:vAlign w:val="center"/>
          </w:tcPr>
          <w:p>
            <w:pPr>
              <w:jc w:val="center"/>
              <w:rPr>
                <w:rFonts w:ascii="宋体" w:hAnsi="宋体" w:eastAsia="宋体" w:cs="宋体"/>
                <w:bCs/>
                <w:sz w:val="24"/>
                <w:szCs w:val="24"/>
                <w:highlight w:val="none"/>
              </w:rPr>
            </w:pPr>
            <w:r>
              <w:rPr>
                <w:rFonts w:hint="eastAsia" w:ascii="宋体" w:hAnsi="宋体" w:eastAsia="宋体" w:cs="宋体"/>
                <w:sz w:val="24"/>
                <w:highlight w:val="none"/>
              </w:rPr>
              <w:t>3</w:t>
            </w:r>
          </w:p>
        </w:tc>
        <w:tc>
          <w:tcPr>
            <w:tcW w:w="2425" w:type="dxa"/>
            <w:vAlign w:val="center"/>
          </w:tcPr>
          <w:p>
            <w:pPr>
              <w:widowControl w:val="0"/>
              <w:spacing w:line="360" w:lineRule="auto"/>
              <w:jc w:val="center"/>
              <w:rPr>
                <w:rFonts w:ascii="宋体" w:hAnsi="宋体" w:eastAsia="宋体" w:cs="宋体"/>
                <w:b/>
                <w:bCs/>
                <w:sz w:val="24"/>
                <w:szCs w:val="24"/>
                <w:highlight w:val="none"/>
              </w:rPr>
            </w:pPr>
            <w:r>
              <w:rPr>
                <w:rFonts w:hint="eastAsia" w:ascii="宋体" w:hAnsi="宋体" w:eastAsia="宋体" w:cs="宋体"/>
                <w:b/>
                <w:bCs/>
                <w:sz w:val="24"/>
                <w:highlight w:val="none"/>
              </w:rPr>
              <w:t>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99" w:type="dxa"/>
            <w:vAlign w:val="center"/>
          </w:tcPr>
          <w:p>
            <w:pPr>
              <w:widowControl w:val="0"/>
              <w:spacing w:line="360" w:lineRule="auto"/>
              <w:jc w:val="center"/>
              <w:rPr>
                <w:rFonts w:ascii="宋体" w:hAnsi="宋体" w:eastAsia="宋体" w:cs="宋体"/>
                <w:bCs/>
                <w:sz w:val="24"/>
                <w:szCs w:val="24"/>
                <w:highlight w:val="none"/>
              </w:rPr>
            </w:pPr>
            <w:r>
              <w:rPr>
                <w:rFonts w:hint="eastAsia" w:ascii="宋体" w:hAnsi="宋体" w:eastAsia="宋体" w:cs="宋体"/>
                <w:bCs/>
                <w:sz w:val="24"/>
                <w:szCs w:val="24"/>
                <w:highlight w:val="none"/>
              </w:rPr>
              <w:t>8</w:t>
            </w:r>
          </w:p>
        </w:tc>
        <w:tc>
          <w:tcPr>
            <w:tcW w:w="3588" w:type="dxa"/>
            <w:vAlign w:val="center"/>
          </w:tcPr>
          <w:p>
            <w:pPr>
              <w:jc w:val="center"/>
              <w:rPr>
                <w:rFonts w:ascii="宋体" w:hAnsi="宋体" w:eastAsia="宋体" w:cs="宋体"/>
                <w:bCs/>
                <w:sz w:val="24"/>
                <w:szCs w:val="24"/>
                <w:highlight w:val="none"/>
              </w:rPr>
            </w:pPr>
            <w:r>
              <w:rPr>
                <w:rFonts w:hint="eastAsia" w:ascii="宋体" w:hAnsi="宋体" w:eastAsia="宋体" w:cs="宋体"/>
                <w:sz w:val="24"/>
                <w:highlight w:val="none"/>
              </w:rPr>
              <w:t>全自动玻璃器皿清洗机</w:t>
            </w:r>
          </w:p>
        </w:tc>
        <w:tc>
          <w:tcPr>
            <w:tcW w:w="2307" w:type="dxa"/>
            <w:vAlign w:val="center"/>
          </w:tcPr>
          <w:p>
            <w:pPr>
              <w:jc w:val="center"/>
              <w:rPr>
                <w:rFonts w:ascii="宋体" w:hAnsi="宋体" w:eastAsia="宋体" w:cs="宋体"/>
                <w:bCs/>
                <w:sz w:val="24"/>
                <w:szCs w:val="24"/>
                <w:highlight w:val="none"/>
              </w:rPr>
            </w:pPr>
            <w:r>
              <w:rPr>
                <w:rFonts w:hint="eastAsia" w:ascii="宋体" w:hAnsi="宋体" w:eastAsia="宋体" w:cs="宋体"/>
                <w:sz w:val="24"/>
                <w:highlight w:val="none"/>
              </w:rPr>
              <w:t>1</w:t>
            </w:r>
          </w:p>
        </w:tc>
        <w:tc>
          <w:tcPr>
            <w:tcW w:w="2425" w:type="dxa"/>
            <w:vAlign w:val="center"/>
          </w:tcPr>
          <w:p>
            <w:pPr>
              <w:widowControl w:val="0"/>
              <w:spacing w:line="360" w:lineRule="auto"/>
              <w:jc w:val="center"/>
              <w:rPr>
                <w:rFonts w:ascii="宋体" w:hAnsi="宋体" w:eastAsia="宋体" w:cs="宋体"/>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99" w:type="dxa"/>
            <w:vAlign w:val="center"/>
          </w:tcPr>
          <w:p>
            <w:pPr>
              <w:widowControl w:val="0"/>
              <w:spacing w:line="360" w:lineRule="auto"/>
              <w:jc w:val="center"/>
              <w:rPr>
                <w:rFonts w:ascii="宋体" w:hAnsi="宋体" w:eastAsia="宋体" w:cs="宋体"/>
                <w:bCs/>
                <w:sz w:val="24"/>
                <w:szCs w:val="24"/>
                <w:highlight w:val="none"/>
              </w:rPr>
            </w:pPr>
            <w:r>
              <w:rPr>
                <w:rFonts w:hint="eastAsia" w:ascii="宋体" w:hAnsi="宋体" w:eastAsia="宋体" w:cs="宋体"/>
                <w:bCs/>
                <w:sz w:val="24"/>
                <w:szCs w:val="24"/>
                <w:highlight w:val="none"/>
              </w:rPr>
              <w:t>9</w:t>
            </w:r>
          </w:p>
        </w:tc>
        <w:tc>
          <w:tcPr>
            <w:tcW w:w="3588" w:type="dxa"/>
            <w:vAlign w:val="center"/>
          </w:tcPr>
          <w:p>
            <w:pPr>
              <w:jc w:val="center"/>
              <w:rPr>
                <w:rFonts w:ascii="宋体" w:hAnsi="宋体" w:eastAsia="宋体" w:cs="宋体"/>
                <w:bCs/>
                <w:sz w:val="24"/>
                <w:szCs w:val="24"/>
                <w:highlight w:val="none"/>
              </w:rPr>
            </w:pPr>
            <w:r>
              <w:rPr>
                <w:rFonts w:hint="eastAsia" w:ascii="宋体" w:hAnsi="宋体" w:eastAsia="宋体" w:cs="宋体"/>
                <w:sz w:val="24"/>
                <w:highlight w:val="none"/>
              </w:rPr>
              <w:t>万分之一分析天平</w:t>
            </w:r>
          </w:p>
        </w:tc>
        <w:tc>
          <w:tcPr>
            <w:tcW w:w="2307" w:type="dxa"/>
            <w:vAlign w:val="center"/>
          </w:tcPr>
          <w:p>
            <w:pPr>
              <w:jc w:val="center"/>
              <w:rPr>
                <w:rFonts w:ascii="宋体" w:hAnsi="宋体" w:eastAsia="宋体" w:cs="宋体"/>
                <w:bCs/>
                <w:sz w:val="24"/>
                <w:szCs w:val="24"/>
                <w:highlight w:val="none"/>
              </w:rPr>
            </w:pPr>
            <w:r>
              <w:rPr>
                <w:rFonts w:hint="eastAsia" w:ascii="宋体" w:hAnsi="宋体" w:eastAsia="宋体" w:cs="宋体"/>
                <w:sz w:val="24"/>
                <w:highlight w:val="none"/>
              </w:rPr>
              <w:t>1</w:t>
            </w:r>
          </w:p>
        </w:tc>
        <w:tc>
          <w:tcPr>
            <w:tcW w:w="2425" w:type="dxa"/>
            <w:vAlign w:val="center"/>
          </w:tcPr>
          <w:p>
            <w:pPr>
              <w:widowControl w:val="0"/>
              <w:spacing w:line="360" w:lineRule="auto"/>
              <w:jc w:val="center"/>
              <w:rPr>
                <w:rFonts w:ascii="宋体" w:hAnsi="宋体" w:eastAsia="宋体" w:cs="宋体"/>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99" w:type="dxa"/>
            <w:vAlign w:val="center"/>
          </w:tcPr>
          <w:p>
            <w:pPr>
              <w:widowControl w:val="0"/>
              <w:spacing w:line="360" w:lineRule="auto"/>
              <w:jc w:val="center"/>
              <w:rPr>
                <w:rFonts w:ascii="宋体" w:hAnsi="宋体" w:eastAsia="宋体" w:cs="宋体"/>
                <w:bCs/>
                <w:sz w:val="24"/>
                <w:szCs w:val="24"/>
                <w:highlight w:val="none"/>
              </w:rPr>
            </w:pPr>
            <w:r>
              <w:rPr>
                <w:rFonts w:hint="eastAsia" w:ascii="宋体" w:hAnsi="宋体" w:eastAsia="宋体" w:cs="宋体"/>
                <w:bCs/>
                <w:sz w:val="24"/>
                <w:szCs w:val="24"/>
                <w:highlight w:val="none"/>
              </w:rPr>
              <w:t>10</w:t>
            </w:r>
          </w:p>
        </w:tc>
        <w:tc>
          <w:tcPr>
            <w:tcW w:w="3588" w:type="dxa"/>
            <w:vAlign w:val="center"/>
          </w:tcPr>
          <w:p>
            <w:pPr>
              <w:jc w:val="center"/>
              <w:rPr>
                <w:rFonts w:ascii="宋体" w:hAnsi="宋体" w:eastAsia="宋体" w:cs="宋体"/>
                <w:bCs/>
                <w:sz w:val="24"/>
                <w:szCs w:val="24"/>
                <w:highlight w:val="none"/>
              </w:rPr>
            </w:pPr>
            <w:r>
              <w:rPr>
                <w:rFonts w:hint="eastAsia" w:ascii="宋体" w:hAnsi="宋体" w:eastAsia="宋体" w:cs="宋体"/>
                <w:sz w:val="24"/>
                <w:highlight w:val="none"/>
              </w:rPr>
              <w:t>手持录入终端</w:t>
            </w:r>
          </w:p>
        </w:tc>
        <w:tc>
          <w:tcPr>
            <w:tcW w:w="2307" w:type="dxa"/>
            <w:vAlign w:val="center"/>
          </w:tcPr>
          <w:p>
            <w:pPr>
              <w:jc w:val="center"/>
              <w:rPr>
                <w:rFonts w:ascii="宋体" w:hAnsi="宋体" w:eastAsia="宋体" w:cs="宋体"/>
                <w:bCs/>
                <w:sz w:val="24"/>
                <w:szCs w:val="24"/>
                <w:highlight w:val="none"/>
              </w:rPr>
            </w:pPr>
            <w:r>
              <w:rPr>
                <w:rFonts w:hint="eastAsia" w:ascii="宋体" w:hAnsi="宋体" w:eastAsia="宋体" w:cs="宋体"/>
                <w:sz w:val="24"/>
                <w:highlight w:val="none"/>
              </w:rPr>
              <w:t>27</w:t>
            </w:r>
          </w:p>
        </w:tc>
        <w:tc>
          <w:tcPr>
            <w:tcW w:w="2425" w:type="dxa"/>
            <w:vAlign w:val="center"/>
          </w:tcPr>
          <w:p>
            <w:pPr>
              <w:widowControl w:val="0"/>
              <w:spacing w:line="360" w:lineRule="auto"/>
              <w:jc w:val="center"/>
              <w:rPr>
                <w:rFonts w:ascii="宋体" w:hAnsi="宋体" w:eastAsia="宋体" w:cs="宋体"/>
                <w:b/>
                <w:bCs/>
                <w:sz w:val="24"/>
                <w:szCs w:val="24"/>
                <w:highlight w:val="none"/>
              </w:rPr>
            </w:pPr>
          </w:p>
        </w:tc>
      </w:tr>
    </w:tbl>
    <w:p>
      <w:pPr>
        <w:rPr>
          <w:highlight w:val="none"/>
        </w:rPr>
      </w:pPr>
    </w:p>
    <w:tbl>
      <w:tblPr>
        <w:tblStyle w:val="33"/>
        <w:tblpPr w:leftFromText="180" w:rightFromText="180" w:vertAnchor="text" w:horzAnchor="page" w:tblpX="1466" w:tblpY="81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3588"/>
        <w:gridCol w:w="2307"/>
        <w:gridCol w:w="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173" w:type="dxa"/>
            <w:gridSpan w:val="4"/>
            <w:vAlign w:val="center"/>
          </w:tcPr>
          <w:p>
            <w:pPr>
              <w:widowControl w:val="0"/>
              <w:spacing w:line="360" w:lineRule="auto"/>
              <w:jc w:val="center"/>
              <w:rPr>
                <w:rFonts w:ascii="宋体" w:hAnsi="宋体" w:eastAsia="宋体" w:cs="宋体"/>
                <w:b/>
                <w:bCs/>
                <w:sz w:val="24"/>
                <w:szCs w:val="24"/>
                <w:highlight w:val="none"/>
              </w:rPr>
            </w:pPr>
            <w:r>
              <w:rPr>
                <w:rFonts w:hint="eastAsia" w:ascii="宋体" w:hAnsi="宋体" w:eastAsia="宋体" w:cs="宋体"/>
                <w:b w:val="0"/>
                <w:bCs w:val="0"/>
                <w:sz w:val="24"/>
                <w:szCs w:val="24"/>
                <w:highlight w:val="none"/>
              </w:rPr>
              <w:t>02包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99" w:type="dxa"/>
            <w:vAlign w:val="center"/>
          </w:tcPr>
          <w:p>
            <w:pPr>
              <w:widowControl w:val="0"/>
              <w:spacing w:line="360" w:lineRule="auto"/>
              <w:jc w:val="center"/>
              <w:rPr>
                <w:rFonts w:ascii="宋体" w:hAnsi="宋体" w:eastAsia="宋体" w:cs="宋体"/>
                <w:bCs/>
                <w:sz w:val="24"/>
                <w:szCs w:val="24"/>
                <w:highlight w:val="none"/>
              </w:rPr>
            </w:pPr>
            <w:r>
              <w:rPr>
                <w:rFonts w:hint="eastAsia" w:ascii="宋体" w:hAnsi="宋体" w:cs="宋体"/>
                <w:bCs/>
                <w:sz w:val="24"/>
                <w:szCs w:val="24"/>
                <w:highlight w:val="none"/>
                <w:lang w:val="en-US" w:eastAsia="zh-CN"/>
              </w:rPr>
              <w:t>序</w:t>
            </w:r>
            <w:r>
              <w:rPr>
                <w:rFonts w:hint="eastAsia" w:ascii="宋体" w:hAnsi="宋体" w:eastAsia="宋体" w:cs="宋体"/>
                <w:bCs/>
                <w:sz w:val="24"/>
                <w:szCs w:val="24"/>
                <w:highlight w:val="none"/>
              </w:rPr>
              <w:t>号</w:t>
            </w:r>
          </w:p>
        </w:tc>
        <w:tc>
          <w:tcPr>
            <w:tcW w:w="3588" w:type="dxa"/>
            <w:vAlign w:val="center"/>
          </w:tcPr>
          <w:p>
            <w:pPr>
              <w:widowControl w:val="0"/>
              <w:spacing w:line="360" w:lineRule="auto"/>
              <w:jc w:val="center"/>
              <w:rPr>
                <w:rFonts w:ascii="宋体" w:hAnsi="宋体" w:eastAsia="宋体" w:cs="宋体"/>
                <w:bCs/>
                <w:sz w:val="24"/>
                <w:szCs w:val="24"/>
                <w:highlight w:val="none"/>
              </w:rPr>
            </w:pPr>
            <w:r>
              <w:rPr>
                <w:rFonts w:hint="eastAsia" w:ascii="宋体" w:hAnsi="宋体" w:eastAsia="宋体" w:cs="宋体"/>
                <w:bCs/>
                <w:sz w:val="24"/>
                <w:szCs w:val="24"/>
                <w:highlight w:val="none"/>
              </w:rPr>
              <w:t>设备名称</w:t>
            </w:r>
          </w:p>
        </w:tc>
        <w:tc>
          <w:tcPr>
            <w:tcW w:w="2307" w:type="dxa"/>
            <w:vAlign w:val="center"/>
          </w:tcPr>
          <w:p>
            <w:pPr>
              <w:widowControl w:val="0"/>
              <w:spacing w:line="360" w:lineRule="auto"/>
              <w:jc w:val="center"/>
              <w:rPr>
                <w:rFonts w:ascii="宋体" w:hAnsi="宋体" w:eastAsia="宋体" w:cs="宋体"/>
                <w:bCs/>
                <w:sz w:val="24"/>
                <w:szCs w:val="24"/>
                <w:highlight w:val="none"/>
              </w:rPr>
            </w:pPr>
            <w:r>
              <w:rPr>
                <w:rFonts w:hint="eastAsia" w:ascii="宋体" w:hAnsi="宋体" w:eastAsia="宋体" w:cs="宋体"/>
                <w:bCs/>
                <w:sz w:val="24"/>
                <w:szCs w:val="24"/>
                <w:highlight w:val="none"/>
              </w:rPr>
              <w:t>数量（台/套）</w:t>
            </w:r>
          </w:p>
        </w:tc>
        <w:tc>
          <w:tcPr>
            <w:tcW w:w="2279" w:type="dxa"/>
            <w:vAlign w:val="center"/>
          </w:tcPr>
          <w:p>
            <w:pPr>
              <w:widowControl w:val="0"/>
              <w:spacing w:line="360" w:lineRule="auto"/>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99"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1</w:t>
            </w:r>
          </w:p>
        </w:tc>
        <w:tc>
          <w:tcPr>
            <w:tcW w:w="3588"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ICPMS自动进样器</w:t>
            </w:r>
          </w:p>
        </w:tc>
        <w:tc>
          <w:tcPr>
            <w:tcW w:w="2307"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1</w:t>
            </w:r>
          </w:p>
        </w:tc>
        <w:tc>
          <w:tcPr>
            <w:tcW w:w="2279" w:type="dxa"/>
            <w:vAlign w:val="center"/>
          </w:tcPr>
          <w:p>
            <w:pPr>
              <w:jc w:val="center"/>
              <w:rPr>
                <w:rFonts w:ascii="宋体" w:hAnsi="宋体" w:eastAsia="宋体" w:cs="宋体"/>
                <w:b/>
                <w:bCs/>
                <w:sz w:val="24"/>
                <w:highlight w:val="none"/>
              </w:rPr>
            </w:pPr>
            <w:r>
              <w:rPr>
                <w:rFonts w:hint="eastAsia" w:ascii="宋体" w:hAnsi="宋体" w:eastAsia="宋体" w:cs="宋体"/>
                <w:b/>
                <w:bCs/>
                <w:sz w:val="24"/>
                <w:highlight w:val="none"/>
              </w:rPr>
              <w:t>允许采购进口产品</w:t>
            </w:r>
          </w:p>
        </w:tc>
      </w:tr>
    </w:tbl>
    <w:p>
      <w:pPr>
        <w:spacing w:before="120" w:beforeLines="50" w:after="120" w:afterLines="50" w:line="480" w:lineRule="exact"/>
        <w:rPr>
          <w:rFonts w:ascii="宋体" w:hAnsi="宋体" w:cs="宋体"/>
          <w:b/>
          <w:bCs/>
          <w:color w:val="auto"/>
          <w:sz w:val="24"/>
          <w:highlight w:val="none"/>
        </w:rPr>
      </w:pPr>
      <w:r>
        <w:rPr>
          <w:rFonts w:hint="eastAsia" w:ascii="宋体" w:hAnsi="宋体" w:cs="宋体"/>
          <w:b/>
          <w:bCs/>
          <w:color w:val="auto"/>
          <w:sz w:val="24"/>
          <w:highlight w:val="none"/>
        </w:rPr>
        <w:t>二、技术参数及配置要求</w:t>
      </w:r>
    </w:p>
    <w:p>
      <w:pPr>
        <w:spacing w:line="360" w:lineRule="auto"/>
        <w:ind w:firstLine="482" w:firstLineChars="200"/>
        <w:jc w:val="left"/>
        <w:rPr>
          <w:rFonts w:ascii="宋体" w:hAnsi="宋体" w:eastAsia="宋体" w:cs="宋体"/>
          <w:b/>
          <w:bCs/>
          <w:color w:val="0D0D0D"/>
          <w:sz w:val="24"/>
          <w:highlight w:val="none"/>
        </w:rPr>
      </w:pPr>
      <w:bookmarkStart w:id="186" w:name="_Toc327255591"/>
      <w:bookmarkStart w:id="187" w:name="_Toc327255414"/>
      <w:r>
        <w:rPr>
          <w:rFonts w:hint="eastAsia" w:ascii="宋体" w:hAnsi="宋体" w:eastAsia="宋体" w:cs="宋体"/>
          <w:b/>
          <w:bCs/>
          <w:color w:val="0D0D0D"/>
          <w:sz w:val="24"/>
          <w:highlight w:val="none"/>
        </w:rPr>
        <w:t>01包技术参数及配置要求</w:t>
      </w:r>
    </w:p>
    <w:p>
      <w:pPr>
        <w:spacing w:line="360" w:lineRule="auto"/>
        <w:ind w:firstLine="482" w:firstLineChars="200"/>
        <w:jc w:val="left"/>
        <w:rPr>
          <w:rFonts w:ascii="宋体" w:hAnsi="宋体" w:eastAsia="宋体" w:cs="宋体"/>
          <w:b/>
          <w:bCs/>
          <w:color w:val="0D0D0D"/>
          <w:sz w:val="24"/>
          <w:highlight w:val="none"/>
        </w:rPr>
      </w:pPr>
      <w:r>
        <w:rPr>
          <w:rFonts w:hint="eastAsia" w:ascii="宋体" w:hAnsi="宋体" w:eastAsia="宋体" w:cs="宋体"/>
          <w:b/>
          <w:bCs/>
          <w:color w:val="0D0D0D"/>
          <w:sz w:val="24"/>
          <w:highlight w:val="none"/>
        </w:rPr>
        <w:t>1.X射线荧光光谱仪技术参数</w:t>
      </w:r>
    </w:p>
    <w:bookmarkEnd w:id="186"/>
    <w:bookmarkEnd w:id="187"/>
    <w:p>
      <w:pPr>
        <w:spacing w:line="360" w:lineRule="auto"/>
        <w:ind w:firstLine="482" w:firstLineChars="200"/>
        <w:jc w:val="left"/>
        <w:rPr>
          <w:rFonts w:ascii="Times New Roman" w:hAnsi="Times New Roman"/>
          <w:sz w:val="24"/>
          <w:highlight w:val="none"/>
        </w:rPr>
      </w:pPr>
      <w:r>
        <w:rPr>
          <w:rFonts w:hint="eastAsia" w:ascii="Times New Roman" w:hAnsi="Times New Roman"/>
          <w:b/>
          <w:bCs/>
          <w:sz w:val="24"/>
          <w:highlight w:val="none"/>
        </w:rPr>
        <w:t>1.</w:t>
      </w:r>
      <w:r>
        <w:rPr>
          <w:rFonts w:ascii="Times New Roman" w:hAnsi="Times New Roman"/>
          <w:b/>
          <w:bCs/>
          <w:sz w:val="24"/>
          <w:highlight w:val="none"/>
        </w:rPr>
        <w:t xml:space="preserve"> X射线荧光光谱仪技术参数</w:t>
      </w:r>
    </w:p>
    <w:p>
      <w:pPr>
        <w:spacing w:line="360" w:lineRule="auto"/>
        <w:ind w:firstLine="420" w:firstLineChars="200"/>
        <w:jc w:val="left"/>
        <w:rPr>
          <w:rFonts w:ascii="Times New Roman" w:hAnsi="Times New Roman" w:eastAsia="宋体"/>
          <w:b/>
          <w:bCs/>
          <w:highlight w:val="none"/>
        </w:rPr>
      </w:pPr>
      <w:r>
        <w:rPr>
          <w:rFonts w:ascii="Times New Roman" w:hAnsi="Times New Roman"/>
          <w:bCs/>
          <w:szCs w:val="21"/>
          <w:highlight w:val="none"/>
        </w:rPr>
        <w:t>▲</w:t>
      </w:r>
      <w:r>
        <w:rPr>
          <w:rFonts w:hint="eastAsia" w:ascii="Times New Roman" w:hAnsi="Times New Roman"/>
          <w:highlight w:val="none"/>
        </w:rPr>
        <w:t>1.</w:t>
      </w:r>
      <w:r>
        <w:rPr>
          <w:rFonts w:ascii="Times New Roman" w:hAnsi="Times New Roman"/>
          <w:highlight w:val="none"/>
        </w:rPr>
        <w:t xml:space="preserve"> </w:t>
      </w:r>
      <w:r>
        <w:rPr>
          <w:rFonts w:hint="eastAsia" w:ascii="Times New Roman" w:hAnsi="Times New Roman"/>
          <w:highlight w:val="none"/>
        </w:rPr>
        <w:t>1仪器用途：主要用于土壤和环境空气颗粒物中元素的定性、定量及无标样定量分析。仪器应能够满足H</w:t>
      </w:r>
      <w:r>
        <w:rPr>
          <w:rFonts w:ascii="Times New Roman" w:hAnsi="Times New Roman"/>
          <w:highlight w:val="none"/>
        </w:rPr>
        <w:t>J780</w:t>
      </w:r>
      <w:r>
        <w:rPr>
          <w:rFonts w:hint="eastAsia" w:ascii="Times New Roman" w:hAnsi="Times New Roman"/>
          <w:highlight w:val="none"/>
        </w:rPr>
        <w:t>、H</w:t>
      </w:r>
      <w:r>
        <w:rPr>
          <w:rFonts w:ascii="Times New Roman" w:hAnsi="Times New Roman"/>
          <w:highlight w:val="none"/>
        </w:rPr>
        <w:t>J830</w:t>
      </w:r>
      <w:r>
        <w:rPr>
          <w:rFonts w:hint="eastAsia" w:ascii="Times New Roman" w:hAnsi="Times New Roman"/>
          <w:highlight w:val="none"/>
        </w:rPr>
        <w:t>等波长色散X荧光分析方法相关环境监测国家标准的要求。</w:t>
      </w:r>
      <w:r>
        <w:rPr>
          <w:rFonts w:hint="eastAsia" w:ascii="Times New Roman" w:hAnsi="Times New Roman"/>
          <w:b/>
          <w:bCs/>
          <w:highlight w:val="none"/>
        </w:rPr>
        <w:t>（提供彩页或技术说明书复印件并加盖投标人公章）</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1.2.</w:t>
      </w:r>
      <w:r>
        <w:rPr>
          <w:rFonts w:ascii="Times New Roman" w:hAnsi="Times New Roman"/>
          <w:highlight w:val="none"/>
        </w:rPr>
        <w:t xml:space="preserve"> </w:t>
      </w:r>
      <w:r>
        <w:rPr>
          <w:rFonts w:hint="eastAsia" w:ascii="Times New Roman" w:hAnsi="Times New Roman"/>
          <w:highlight w:val="none"/>
        </w:rPr>
        <w:t>配置</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1.2.1 主机（包括光管、测角仪、自动进样器、探测器、数据工作站、软件等）</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1.2.2 循环冷却水系统：分体式，最大制冷量8KW</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1.2.3 不间断供电电源：30KVA，可以使整套荧光仪系统包括配套水冷延时供电半小时</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1.2.4 满足空气滤膜测量要求使用聚酯薄膜</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1.2.5 满足仪器工作所必须的其他配件或辅助设备</w:t>
      </w:r>
      <w:r>
        <w:rPr>
          <w:rFonts w:hint="eastAsia" w:ascii="Times New Roman" w:hAnsi="Times New Roman"/>
          <w:highlight w:val="none"/>
          <w:lang w:eastAsia="zh-CN"/>
        </w:rPr>
        <w:t>；</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1.2.6 由中标商提供的实验室改造方面的咨询、技术服务。</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1.3. 技术规格</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1.3.1 X射线管和高压发生器</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1.3.1.1阳极材料：铑靶</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1.3.1.2最大功率：</w:t>
      </w:r>
      <w:r>
        <w:rPr>
          <w:rFonts w:hint="eastAsia" w:ascii="Times New Roman" w:hAnsi="Times New Roman"/>
          <w:highlight w:val="none"/>
        </w:rPr>
        <w:sym w:font="Symbol" w:char="F0B3"/>
      </w:r>
      <w:r>
        <w:rPr>
          <w:rFonts w:hint="eastAsia" w:ascii="Times New Roman" w:hAnsi="Times New Roman"/>
          <w:highlight w:val="none"/>
        </w:rPr>
        <w:t xml:space="preserve">60kV, </w:t>
      </w:r>
      <w:r>
        <w:rPr>
          <w:rFonts w:hint="eastAsia" w:ascii="Times New Roman" w:hAnsi="Times New Roman"/>
          <w:highlight w:val="none"/>
        </w:rPr>
        <w:sym w:font="Symbol" w:char="F0B3"/>
      </w:r>
      <w:r>
        <w:rPr>
          <w:rFonts w:hint="eastAsia" w:ascii="Times New Roman" w:hAnsi="Times New Roman"/>
          <w:highlight w:val="none"/>
        </w:rPr>
        <w:t xml:space="preserve">140mA, </w:t>
      </w:r>
      <w:r>
        <w:rPr>
          <w:rFonts w:hint="eastAsia" w:ascii="Times New Roman" w:hAnsi="Times New Roman"/>
          <w:highlight w:val="none"/>
        </w:rPr>
        <w:sym w:font="Symbol" w:char="F0B3"/>
      </w:r>
      <w:r>
        <w:rPr>
          <w:rFonts w:hint="eastAsia" w:ascii="Times New Roman" w:hAnsi="Times New Roman"/>
          <w:highlight w:val="none"/>
        </w:rPr>
        <w:t>4KW</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1.3.1.3窗口厚度：50μm或75μm</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1.3.1.4滤光片：≧4个</w:t>
      </w:r>
      <w:r>
        <w:rPr>
          <w:rFonts w:hint="eastAsia" w:ascii="Times New Roman" w:hAnsi="Times New Roman"/>
          <w:highlight w:val="none"/>
          <w:lang w:eastAsia="zh-CN"/>
        </w:rPr>
        <w:t>。</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1.3.2高压发生器</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1.3.2.1在更换样品时，不降低光管的使用寿命，不影响分析速度和稳定性</w:t>
      </w:r>
      <w:r>
        <w:rPr>
          <w:rFonts w:hint="eastAsia" w:ascii="Times New Roman" w:hAnsi="Times New Roman"/>
          <w:highlight w:val="none"/>
          <w:lang w:eastAsia="zh-CN"/>
        </w:rPr>
        <w:t>；</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 xml:space="preserve">1.3.2.2高压发生器可进行同步式快速电流和电压切换。 </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1.3.3样品方式</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1.3.3.1样品种类：固体, 粉末压片</w:t>
      </w:r>
      <w:r>
        <w:rPr>
          <w:rFonts w:hint="eastAsia" w:ascii="Times New Roman" w:hAnsi="Times New Roman"/>
          <w:highlight w:val="none"/>
          <w:lang w:eastAsia="zh-CN"/>
        </w:rPr>
        <w:t>；</w:t>
      </w:r>
      <w:r>
        <w:rPr>
          <w:rFonts w:ascii="Times New Roman" w:hAnsi="Times New Roman"/>
          <w:highlight w:val="none"/>
        </w:rPr>
        <w:t xml:space="preserve">  </w:t>
      </w:r>
    </w:p>
    <w:p>
      <w:pPr>
        <w:spacing w:line="360" w:lineRule="auto"/>
        <w:ind w:firstLine="420" w:firstLineChars="200"/>
        <w:jc w:val="left"/>
        <w:rPr>
          <w:rFonts w:ascii="Times New Roman" w:hAnsi="Times New Roman"/>
          <w:b/>
          <w:bCs/>
          <w:highlight w:val="none"/>
        </w:rPr>
      </w:pPr>
      <w:r>
        <w:rPr>
          <w:rFonts w:hint="eastAsia" w:ascii="Times New Roman" w:hAnsi="Times New Roman"/>
          <w:highlight w:val="none"/>
        </w:rPr>
        <w:t>▲1.</w:t>
      </w:r>
      <w:r>
        <w:rPr>
          <w:rFonts w:ascii="Times New Roman" w:hAnsi="Times New Roman"/>
          <w:highlight w:val="none"/>
        </w:rPr>
        <w:t>3.3.</w:t>
      </w:r>
      <w:r>
        <w:rPr>
          <w:rFonts w:hint="eastAsia" w:ascii="Times New Roman" w:hAnsi="Times New Roman"/>
          <w:highlight w:val="none"/>
        </w:rPr>
        <w:t>2安全快速的进样系统；在光管开启的情况下，不得有X射线泄漏出来</w:t>
      </w:r>
      <w:r>
        <w:rPr>
          <w:rFonts w:hint="eastAsia" w:ascii="Times New Roman" w:hAnsi="Times New Roman"/>
          <w:highlight w:val="none"/>
          <w:lang w:eastAsia="zh-CN"/>
        </w:rPr>
        <w:t>；</w:t>
      </w:r>
      <w:r>
        <w:rPr>
          <w:rFonts w:hint="eastAsia" w:ascii="Times New Roman" w:hAnsi="Times New Roman"/>
          <w:b/>
          <w:bCs/>
          <w:highlight w:val="none"/>
        </w:rPr>
        <w:t>（提供彩页或技术说明书复印件并加盖投标人公章）</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1.3.3.3仪器带有防尘或除尘设计。</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1.3.4光路设计</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1.3.4.1初级准直器：程序控制, 自动切换</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1.3.4.2整个光谱室（包括晶体室）温度稳定性：在环境温度10-40℃时，恒温保持±0.05℃的波动</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1.3.5晶体</w:t>
      </w:r>
      <w:r>
        <w:rPr>
          <w:rFonts w:hint="eastAsia" w:ascii="Times New Roman" w:hAnsi="Times New Roman"/>
          <w:highlight w:val="none"/>
          <w:lang w:eastAsia="zh-CN"/>
        </w:rPr>
        <w:t>：</w:t>
      </w:r>
      <w:r>
        <w:rPr>
          <w:rFonts w:hint="eastAsia" w:ascii="Times New Roman" w:hAnsi="Times New Roman"/>
          <w:highlight w:val="none"/>
        </w:rPr>
        <w:t>至少5块晶体，高灵敏度和高分辨率地覆盖O-U之间的所有元素测量</w:t>
      </w:r>
      <w:r>
        <w:rPr>
          <w:rFonts w:hint="eastAsia" w:ascii="Times New Roman" w:hAnsi="Times New Roman"/>
          <w:highlight w:val="none"/>
          <w:lang w:eastAsia="zh-CN"/>
        </w:rPr>
        <w:t>。</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1.3.6探测器系统</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1.3.6.1探测器类型：流气式、闪烁式探测器；</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 xml:space="preserve">1.3.6.2 流气式探测器的最大线性计数： </w:t>
      </w:r>
      <w:r>
        <w:rPr>
          <w:rFonts w:hint="eastAsia" w:ascii="Times New Roman" w:hAnsi="Times New Roman"/>
          <w:highlight w:val="none"/>
        </w:rPr>
        <w:sym w:font="Symbol" w:char="F0B3"/>
      </w:r>
      <w:r>
        <w:rPr>
          <w:rFonts w:hint="eastAsia" w:ascii="Times New Roman" w:hAnsi="Times New Roman"/>
          <w:highlight w:val="none"/>
        </w:rPr>
        <w:t>3000kCPS；闪烁式探测器的最大线性计数计数率：</w:t>
      </w:r>
      <w:r>
        <w:rPr>
          <w:rFonts w:hint="eastAsia" w:ascii="Times New Roman" w:hAnsi="Times New Roman"/>
          <w:highlight w:val="none"/>
        </w:rPr>
        <w:sym w:font="Symbol" w:char="F0B3"/>
      </w:r>
      <w:r>
        <w:rPr>
          <w:rFonts w:hint="eastAsia" w:ascii="Times New Roman" w:hAnsi="Times New Roman"/>
          <w:highlight w:val="none"/>
        </w:rPr>
        <w:t>1500kCPS </w:t>
      </w:r>
      <w:r>
        <w:rPr>
          <w:rFonts w:hint="eastAsia" w:ascii="Times New Roman" w:hAnsi="Times New Roman"/>
          <w:highlight w:val="none"/>
          <w:lang w:eastAsia="zh-CN"/>
        </w:rPr>
        <w:t>。</w:t>
      </w:r>
      <w:r>
        <w:rPr>
          <w:rFonts w:hint="eastAsia" w:ascii="Times New Roman" w:hAnsi="Times New Roman"/>
          <w:highlight w:val="none"/>
        </w:rPr>
        <w:t xml:space="preserve">                               </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1.3.7测角仪</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1.3.7.1准确定位角度，确保晶体和探测器之间的</w:t>
      </w:r>
      <w:r>
        <w:rPr>
          <w:rFonts w:hint="eastAsia" w:ascii="Times New Roman" w:hAnsi="Times New Roman"/>
          <w:highlight w:val="none"/>
        </w:rPr>
        <w:sym w:font="Symbol" w:char="F071"/>
      </w:r>
      <w:r>
        <w:rPr>
          <w:rFonts w:hint="eastAsia" w:ascii="Times New Roman" w:hAnsi="Times New Roman"/>
          <w:highlight w:val="none"/>
        </w:rPr>
        <w:t>/2</w:t>
      </w:r>
      <w:r>
        <w:rPr>
          <w:rFonts w:hint="eastAsia" w:ascii="Times New Roman" w:hAnsi="Times New Roman"/>
          <w:highlight w:val="none"/>
        </w:rPr>
        <w:sym w:font="Symbol" w:char="F071"/>
      </w:r>
      <w:r>
        <w:rPr>
          <w:rFonts w:hint="eastAsia" w:ascii="Times New Roman" w:hAnsi="Times New Roman"/>
          <w:highlight w:val="none"/>
        </w:rPr>
        <w:t>角度关系，无机械磨损和振动误差的影响</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1.3.7.2角度精确度：</w:t>
      </w:r>
      <w:r>
        <w:rPr>
          <w:rFonts w:hint="eastAsia" w:ascii="Times New Roman" w:hAnsi="Times New Roman"/>
          <w:highlight w:val="none"/>
        </w:rPr>
        <w:sym w:font="Symbol" w:char="F0A3"/>
      </w:r>
      <w:r>
        <w:rPr>
          <w:rFonts w:hint="eastAsia" w:ascii="Times New Roman" w:hAnsi="Times New Roman"/>
          <w:highlight w:val="none"/>
        </w:rPr>
        <w:t>0.0001</w:t>
      </w:r>
      <w:r>
        <w:rPr>
          <w:rFonts w:hint="eastAsia" w:ascii="Times New Roman" w:hAnsi="Times New Roman"/>
          <w:highlight w:val="none"/>
        </w:rPr>
        <w:sym w:font="Symbol" w:char="F0B0"/>
      </w:r>
      <w:r>
        <w:rPr>
          <w:rFonts w:hint="eastAsia" w:ascii="Times New Roman" w:hAnsi="Times New Roman"/>
          <w:highlight w:val="none"/>
          <w:lang w:eastAsia="zh-CN"/>
        </w:rPr>
        <w:t>；</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1.3.8自动进样器：自动进样器位数≧40位。</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1.3.9真空系统</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1.3.9.1真空度稳定机构：可以任意设定真空稳定点</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1.3.9.2 分光室气氛: 真空，大气</w:t>
      </w:r>
      <w:r>
        <w:rPr>
          <w:rFonts w:hint="eastAsia" w:ascii="Times New Roman" w:hAnsi="Times New Roman"/>
          <w:highlight w:val="none"/>
          <w:lang w:eastAsia="zh-CN"/>
        </w:rPr>
        <w:t>；</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1.3.10软件（中文软件）</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1.3.10.1操作软件：能够根据仪器的配置对仪器进行全面的操作控制，进行定性, 定量分析。提供被选择元素的最佳分析参数，在定量方面, 支持单标样定量功。 软件可以监控仪器状态, 有自动诊断功能, 在线帮助功能, 自动校正功能, 自动判别干扰谱线功能, 可以根据灵敏度、所选择的元素和可能的谱线重叠，用最佳的元素线和分析参数建立分析程序</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30480</wp:posOffset>
                </wp:positionV>
                <wp:extent cx="113665" cy="14224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13665" cy="14224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36pt;margin-top:2.4pt;height:11.2pt;width:8.95pt;z-index:251659264;mso-width-relative:page;mso-height-relative:page;" filled="f" stroked="f" coordsize="21600,21600" o:gfxdata="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vGwklNYAAAAGAQAADwAAAAAAAAABACAAAAAiAAAAZHJzL2Rvd25yZXYueG1sUEsBAhQA&#10;FAAAAAgAh07iQO5Qdli7AQAAcQMAAA4AAAAAAAAAAQAgAAAAJQEAAGRycy9lMm9Eb2MueG1sUEsF&#10;BgAAAAAGAAYAWQEAAFIFAAAAAA==&#10;">
                <v:fill on="f" focussize="0,0"/>
                <v:stroke on="f"/>
                <v:imagedata o:title=""/>
                <o:lock v:ext="edit" aspectratio="f"/>
                <v:textbox inset="0mm,0mm,0mm,0mm">
                  <w:txbxContent>
                    <w:p/>
                  </w:txbxContent>
                </v:textbox>
              </v:shape>
            </w:pict>
          </mc:Fallback>
        </mc:AlternateContent>
      </w:r>
      <w:r>
        <w:rPr>
          <w:rFonts w:hint="eastAsia" w:ascii="Times New Roman" w:hAnsi="Times New Roman"/>
          <w:highlight w:val="none"/>
        </w:rPr>
        <w:t>1.3.10.2无标样定量软件： 要求在无标样的情况下, 可以实现各种基体样品中的元素的定量分析,，具有消除高级次谱线干扰的高级次谱线解析功能</w:t>
      </w:r>
      <w:r>
        <w:rPr>
          <w:rFonts w:hint="eastAsia" w:ascii="Times New Roman" w:hAnsi="Times New Roman"/>
          <w:highlight w:val="none"/>
          <w:lang w:eastAsia="zh-CN"/>
        </w:rPr>
        <w:t>；</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1.3.10.3带有自动</w:t>
      </w:r>
      <w:r>
        <w:rPr>
          <w:rFonts w:ascii="Times New Roman" w:hAnsi="Times New Roman"/>
          <w:highlight w:val="none"/>
        </w:rPr>
        <w:t>监测、故障自动诊断功能</w:t>
      </w:r>
      <w:r>
        <w:rPr>
          <w:rFonts w:hint="eastAsia" w:ascii="Times New Roman" w:hAnsi="Times New Roman"/>
          <w:highlight w:val="none"/>
        </w:rPr>
        <w:t>，工程师可进行远程维护和维修诊断</w:t>
      </w:r>
      <w:r>
        <w:rPr>
          <w:rFonts w:ascii="Times New Roman" w:hAnsi="Times New Roman"/>
          <w:highlight w:val="none"/>
        </w:rPr>
        <w:t>。</w:t>
      </w:r>
    </w:p>
    <w:p>
      <w:pPr>
        <w:spacing w:line="360" w:lineRule="auto"/>
        <w:ind w:firstLine="420" w:firstLineChars="200"/>
        <w:jc w:val="left"/>
        <w:rPr>
          <w:rFonts w:hint="eastAsia" w:ascii="Times New Roman" w:hAnsi="Times New Roman" w:eastAsiaTheme="minorEastAsia"/>
          <w:b/>
          <w:bCs/>
          <w:highlight w:val="none"/>
          <w:lang w:eastAsia="zh-CN"/>
        </w:rPr>
      </w:pPr>
      <w:r>
        <w:rPr>
          <w:rFonts w:ascii="Times New Roman" w:hAnsi="Times New Roman"/>
          <w:bCs/>
          <w:szCs w:val="21"/>
          <w:highlight w:val="none"/>
        </w:rPr>
        <w:t>▲</w:t>
      </w:r>
      <w:r>
        <w:rPr>
          <w:rFonts w:hint="eastAsia" w:ascii="Times New Roman" w:hAnsi="Times New Roman"/>
          <w:bCs/>
          <w:szCs w:val="21"/>
          <w:highlight w:val="none"/>
        </w:rPr>
        <w:t>1.</w:t>
      </w:r>
      <w:r>
        <w:rPr>
          <w:rFonts w:hint="eastAsia" w:ascii="Times New Roman" w:hAnsi="Times New Roman"/>
          <w:highlight w:val="none"/>
        </w:rPr>
        <w:t>3.1</w:t>
      </w:r>
      <w:r>
        <w:rPr>
          <w:rFonts w:ascii="Times New Roman" w:hAnsi="Times New Roman"/>
          <w:highlight w:val="none"/>
        </w:rPr>
        <w:t>1</w:t>
      </w:r>
      <w:r>
        <w:rPr>
          <w:rFonts w:hint="eastAsia" w:ascii="Times New Roman" w:hAnsi="Times New Roman"/>
          <w:highlight w:val="none"/>
        </w:rPr>
        <w:t>安全：需</w:t>
      </w:r>
      <w:r>
        <w:rPr>
          <w:rFonts w:ascii="Times New Roman" w:hAnsi="Times New Roman"/>
          <w:highlight w:val="none"/>
        </w:rPr>
        <w:t>提供中国</w:t>
      </w:r>
      <w:r>
        <w:rPr>
          <w:rFonts w:hint="eastAsia" w:ascii="Times New Roman" w:hAnsi="Times New Roman"/>
          <w:highlight w:val="none"/>
        </w:rPr>
        <w:t>的</w:t>
      </w:r>
      <w:r>
        <w:rPr>
          <w:rFonts w:ascii="Times New Roman" w:hAnsi="Times New Roman"/>
          <w:highlight w:val="none"/>
        </w:rPr>
        <w:t>环保部门对射线装置安全管理的豁免证明。</w:t>
      </w:r>
      <w:r>
        <w:rPr>
          <w:rFonts w:hint="eastAsia" w:ascii="Times New Roman" w:hAnsi="Times New Roman"/>
          <w:b/>
          <w:bCs/>
          <w:highlight w:val="none"/>
          <w:lang w:eastAsia="zh-CN"/>
        </w:rPr>
        <w:t>（</w:t>
      </w:r>
      <w:r>
        <w:rPr>
          <w:rFonts w:hint="eastAsia" w:ascii="Times New Roman" w:hAnsi="Times New Roman"/>
          <w:b/>
          <w:bCs/>
          <w:highlight w:val="none"/>
          <w:lang w:val="en-US" w:eastAsia="zh-CN"/>
        </w:rPr>
        <w:t>提供相关证明材料并加盖投标人公章</w:t>
      </w:r>
      <w:r>
        <w:rPr>
          <w:rFonts w:hint="eastAsia" w:ascii="Times New Roman" w:hAnsi="Times New Roman"/>
          <w:b/>
          <w:bCs/>
          <w:highlight w:val="none"/>
          <w:lang w:eastAsia="zh-CN"/>
        </w:rPr>
        <w:t>）</w:t>
      </w:r>
    </w:p>
    <w:p>
      <w:pPr>
        <w:spacing w:line="360"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1.3.12标准曲线的建立：由生产厂家工程师负责建立对应国标HJ780和HJ830要求的测试标准曲线。</w:t>
      </w:r>
    </w:p>
    <w:p>
      <w:pPr>
        <w:spacing w:line="360" w:lineRule="auto"/>
        <w:ind w:firstLine="420" w:firstLineChars="200"/>
        <w:jc w:val="left"/>
        <w:rPr>
          <w:rFonts w:ascii="Times New Roman" w:hAnsi="Times New Roman"/>
          <w:bCs/>
          <w:szCs w:val="21"/>
          <w:highlight w:val="none"/>
        </w:rPr>
      </w:pPr>
      <w:r>
        <w:rPr>
          <w:rFonts w:hint="eastAsia" w:ascii="Times New Roman" w:hAnsi="Times New Roman"/>
          <w:bCs/>
          <w:szCs w:val="21"/>
          <w:highlight w:val="none"/>
        </w:rPr>
        <w:t>1.4 配置清单</w:t>
      </w:r>
    </w:p>
    <w:p>
      <w:pPr>
        <w:spacing w:line="360" w:lineRule="auto"/>
        <w:ind w:firstLine="420" w:firstLineChars="200"/>
        <w:jc w:val="left"/>
        <w:rPr>
          <w:rFonts w:hint="eastAsia" w:ascii="Times New Roman" w:hAnsi="Times New Roman" w:eastAsiaTheme="minorEastAsia"/>
          <w:bCs/>
          <w:szCs w:val="21"/>
          <w:highlight w:val="none"/>
          <w:lang w:eastAsia="zh-CN"/>
        </w:rPr>
      </w:pPr>
      <w:r>
        <w:rPr>
          <w:rFonts w:hint="eastAsia" w:ascii="Times New Roman" w:hAnsi="Times New Roman"/>
          <w:bCs/>
          <w:szCs w:val="21"/>
          <w:highlight w:val="none"/>
        </w:rPr>
        <w:t>1.4.1 X-荧光光谱仪 主机 1套（包括光管、测角仪、自动进样器、探测器、数据工作站、软件）</w:t>
      </w:r>
      <w:r>
        <w:rPr>
          <w:rFonts w:hint="eastAsia" w:ascii="Times New Roman" w:hAnsi="Times New Roman"/>
          <w:bCs/>
          <w:szCs w:val="21"/>
          <w:highlight w:val="none"/>
          <w:lang w:eastAsia="zh-CN"/>
        </w:rPr>
        <w:t>；</w:t>
      </w:r>
    </w:p>
    <w:p>
      <w:pPr>
        <w:spacing w:line="360" w:lineRule="auto"/>
        <w:ind w:firstLine="420" w:firstLineChars="200"/>
        <w:jc w:val="left"/>
        <w:rPr>
          <w:rFonts w:hint="eastAsia" w:ascii="Times New Roman" w:hAnsi="Times New Roman" w:eastAsiaTheme="minorEastAsia"/>
          <w:bCs/>
          <w:szCs w:val="21"/>
          <w:highlight w:val="none"/>
          <w:lang w:eastAsia="zh-CN"/>
        </w:rPr>
      </w:pPr>
      <w:r>
        <w:rPr>
          <w:rFonts w:hint="eastAsia" w:ascii="Times New Roman" w:hAnsi="Times New Roman"/>
          <w:bCs/>
          <w:szCs w:val="21"/>
          <w:highlight w:val="none"/>
        </w:rPr>
        <w:t>1.4.2 数据输出系统一套</w:t>
      </w:r>
      <w:r>
        <w:rPr>
          <w:rFonts w:hint="eastAsia" w:ascii="Times New Roman" w:hAnsi="Times New Roman"/>
          <w:bCs/>
          <w:szCs w:val="21"/>
          <w:highlight w:val="none"/>
          <w:lang w:eastAsia="zh-CN"/>
        </w:rPr>
        <w:t>；</w:t>
      </w:r>
    </w:p>
    <w:p>
      <w:pPr>
        <w:spacing w:line="360" w:lineRule="auto"/>
        <w:ind w:firstLine="420" w:firstLineChars="200"/>
        <w:jc w:val="left"/>
        <w:rPr>
          <w:rFonts w:hint="eastAsia" w:ascii="Times New Roman" w:hAnsi="Times New Roman" w:eastAsiaTheme="minorEastAsia"/>
          <w:bCs/>
          <w:szCs w:val="21"/>
          <w:highlight w:val="none"/>
          <w:lang w:eastAsia="zh-CN"/>
        </w:rPr>
      </w:pPr>
      <w:r>
        <w:rPr>
          <w:rFonts w:hint="eastAsia" w:ascii="Times New Roman" w:hAnsi="Times New Roman"/>
          <w:bCs/>
          <w:szCs w:val="21"/>
          <w:highlight w:val="none"/>
        </w:rPr>
        <w:t>1.4.3 分体式冷却水系统</w:t>
      </w:r>
      <w:r>
        <w:rPr>
          <w:rFonts w:hint="eastAsia" w:ascii="Times New Roman" w:hAnsi="Times New Roman"/>
          <w:bCs/>
          <w:szCs w:val="21"/>
          <w:highlight w:val="none"/>
          <w:lang w:eastAsia="zh-CN"/>
        </w:rPr>
        <w:t>；</w:t>
      </w:r>
    </w:p>
    <w:p>
      <w:pPr>
        <w:spacing w:line="360" w:lineRule="auto"/>
        <w:ind w:firstLine="420" w:firstLineChars="200"/>
        <w:jc w:val="left"/>
        <w:rPr>
          <w:rFonts w:hint="eastAsia" w:ascii="Times New Roman" w:hAnsi="Times New Roman" w:eastAsiaTheme="minorEastAsia"/>
          <w:bCs/>
          <w:szCs w:val="21"/>
          <w:highlight w:val="none"/>
          <w:lang w:eastAsia="zh-CN"/>
        </w:rPr>
      </w:pPr>
      <w:r>
        <w:rPr>
          <w:rFonts w:hint="eastAsia" w:ascii="Times New Roman" w:hAnsi="Times New Roman"/>
          <w:bCs/>
          <w:szCs w:val="21"/>
          <w:highlight w:val="none"/>
        </w:rPr>
        <w:t>1.4.4 不间断供电电源</w:t>
      </w:r>
      <w:r>
        <w:rPr>
          <w:rFonts w:hint="eastAsia" w:ascii="Times New Roman" w:hAnsi="Times New Roman"/>
          <w:bCs/>
          <w:szCs w:val="21"/>
          <w:highlight w:val="none"/>
          <w:lang w:eastAsia="zh-CN"/>
        </w:rPr>
        <w:t>；</w:t>
      </w:r>
    </w:p>
    <w:p>
      <w:pPr>
        <w:spacing w:line="360" w:lineRule="auto"/>
        <w:ind w:firstLine="420" w:firstLineChars="200"/>
        <w:jc w:val="left"/>
        <w:rPr>
          <w:rFonts w:hint="eastAsia" w:ascii="Times New Roman" w:hAnsi="Times New Roman" w:eastAsiaTheme="minorEastAsia"/>
          <w:bCs/>
          <w:szCs w:val="21"/>
          <w:highlight w:val="none"/>
          <w:lang w:eastAsia="zh-CN"/>
        </w:rPr>
      </w:pPr>
      <w:r>
        <w:rPr>
          <w:rFonts w:hint="eastAsia" w:ascii="Times New Roman" w:hAnsi="Times New Roman"/>
          <w:bCs/>
          <w:szCs w:val="21"/>
          <w:highlight w:val="none"/>
        </w:rPr>
        <w:t>1.4.5 P10气体，40L 1瓶</w:t>
      </w:r>
      <w:r>
        <w:rPr>
          <w:rFonts w:hint="eastAsia" w:ascii="Times New Roman" w:hAnsi="Times New Roman"/>
          <w:bCs/>
          <w:szCs w:val="21"/>
          <w:highlight w:val="none"/>
          <w:lang w:eastAsia="zh-CN"/>
        </w:rPr>
        <w:t>；</w:t>
      </w:r>
    </w:p>
    <w:p>
      <w:pPr>
        <w:spacing w:line="360" w:lineRule="auto"/>
        <w:ind w:firstLine="420" w:firstLineChars="200"/>
        <w:jc w:val="left"/>
        <w:rPr>
          <w:rFonts w:hint="eastAsia" w:ascii="Times New Roman" w:hAnsi="Times New Roman" w:eastAsiaTheme="minorEastAsia"/>
          <w:bCs/>
          <w:szCs w:val="21"/>
          <w:highlight w:val="none"/>
          <w:lang w:eastAsia="zh-CN"/>
        </w:rPr>
      </w:pPr>
      <w:r>
        <w:rPr>
          <w:rFonts w:hint="eastAsia" w:ascii="Times New Roman" w:hAnsi="Times New Roman"/>
          <w:bCs/>
          <w:szCs w:val="21"/>
          <w:highlight w:val="none"/>
        </w:rPr>
        <w:t>1.4.6 自动研磨机 一台</w:t>
      </w:r>
      <w:r>
        <w:rPr>
          <w:rFonts w:hint="eastAsia" w:ascii="Times New Roman" w:hAnsi="Times New Roman"/>
          <w:bCs/>
          <w:szCs w:val="21"/>
          <w:highlight w:val="none"/>
          <w:lang w:eastAsia="zh-CN"/>
        </w:rPr>
        <w:t>；</w:t>
      </w:r>
    </w:p>
    <w:p>
      <w:pPr>
        <w:spacing w:line="360" w:lineRule="auto"/>
        <w:ind w:firstLine="420" w:firstLineChars="200"/>
        <w:jc w:val="left"/>
        <w:rPr>
          <w:rFonts w:hint="eastAsia" w:ascii="Times New Roman" w:hAnsi="Times New Roman" w:eastAsiaTheme="minorEastAsia"/>
          <w:bCs/>
          <w:szCs w:val="21"/>
          <w:highlight w:val="none"/>
          <w:lang w:eastAsia="zh-CN"/>
        </w:rPr>
      </w:pPr>
      <w:r>
        <w:rPr>
          <w:rFonts w:hint="eastAsia" w:ascii="Times New Roman" w:hAnsi="Times New Roman"/>
          <w:bCs/>
          <w:szCs w:val="21"/>
          <w:highlight w:val="none"/>
        </w:rPr>
        <w:t>1.4.7 自动压片机 一台</w:t>
      </w:r>
      <w:r>
        <w:rPr>
          <w:rFonts w:hint="eastAsia" w:ascii="Times New Roman" w:hAnsi="Times New Roman"/>
          <w:bCs/>
          <w:szCs w:val="21"/>
          <w:highlight w:val="none"/>
          <w:lang w:eastAsia="zh-CN"/>
        </w:rPr>
        <w:t>；</w:t>
      </w:r>
    </w:p>
    <w:p>
      <w:pPr>
        <w:spacing w:line="360" w:lineRule="auto"/>
        <w:ind w:firstLine="420" w:firstLineChars="200"/>
        <w:jc w:val="left"/>
        <w:rPr>
          <w:rFonts w:hint="eastAsia" w:ascii="Times New Roman" w:hAnsi="Times New Roman" w:eastAsiaTheme="minorEastAsia"/>
          <w:bCs/>
          <w:szCs w:val="21"/>
          <w:highlight w:val="none"/>
          <w:lang w:eastAsia="zh-CN"/>
        </w:rPr>
      </w:pPr>
      <w:r>
        <w:rPr>
          <w:rFonts w:hint="eastAsia" w:ascii="Times New Roman" w:hAnsi="Times New Roman"/>
          <w:bCs/>
          <w:szCs w:val="21"/>
          <w:highlight w:val="none"/>
        </w:rPr>
        <w:t>1.4.8 聚酯薄膜1卷：满足空气滤膜测量要求使用</w:t>
      </w:r>
      <w:r>
        <w:rPr>
          <w:rFonts w:hint="eastAsia" w:ascii="Times New Roman" w:hAnsi="Times New Roman"/>
          <w:bCs/>
          <w:szCs w:val="21"/>
          <w:highlight w:val="none"/>
          <w:lang w:eastAsia="zh-CN"/>
        </w:rPr>
        <w:t>；</w:t>
      </w:r>
    </w:p>
    <w:p>
      <w:pPr>
        <w:spacing w:line="360" w:lineRule="auto"/>
        <w:ind w:firstLine="420" w:firstLineChars="200"/>
        <w:jc w:val="left"/>
        <w:rPr>
          <w:rFonts w:hint="eastAsia" w:ascii="Times New Roman" w:hAnsi="Times New Roman" w:eastAsiaTheme="minorEastAsia"/>
          <w:bCs/>
          <w:szCs w:val="21"/>
          <w:highlight w:val="none"/>
          <w:lang w:eastAsia="zh-CN"/>
        </w:rPr>
      </w:pPr>
      <w:r>
        <w:rPr>
          <w:rFonts w:hint="eastAsia" w:ascii="Times New Roman" w:hAnsi="Times New Roman"/>
          <w:bCs/>
          <w:szCs w:val="21"/>
          <w:highlight w:val="none"/>
        </w:rPr>
        <w:t>1.4.9 土壤测试样品杯 ≥30套</w:t>
      </w:r>
      <w:r>
        <w:rPr>
          <w:rFonts w:hint="eastAsia" w:ascii="Times New Roman" w:hAnsi="Times New Roman"/>
          <w:bCs/>
          <w:szCs w:val="21"/>
          <w:highlight w:val="none"/>
          <w:lang w:eastAsia="zh-CN"/>
        </w:rPr>
        <w:t>；</w:t>
      </w:r>
    </w:p>
    <w:p>
      <w:pPr>
        <w:spacing w:line="360" w:lineRule="auto"/>
        <w:ind w:firstLine="420" w:firstLineChars="200"/>
        <w:jc w:val="left"/>
        <w:rPr>
          <w:rFonts w:hint="eastAsia" w:ascii="Times New Roman" w:hAnsi="Times New Roman" w:eastAsiaTheme="minorEastAsia"/>
          <w:bCs/>
          <w:szCs w:val="21"/>
          <w:highlight w:val="none"/>
          <w:lang w:eastAsia="zh-CN"/>
        </w:rPr>
      </w:pPr>
      <w:r>
        <w:rPr>
          <w:rFonts w:hint="eastAsia" w:ascii="Times New Roman" w:hAnsi="Times New Roman"/>
          <w:bCs/>
          <w:szCs w:val="21"/>
          <w:highlight w:val="none"/>
        </w:rPr>
        <w:t>1.4.10 空气滤膜测试样品杯 ≥20套</w:t>
      </w:r>
      <w:r>
        <w:rPr>
          <w:rFonts w:hint="eastAsia" w:ascii="Times New Roman" w:hAnsi="Times New Roman"/>
          <w:bCs/>
          <w:szCs w:val="21"/>
          <w:highlight w:val="none"/>
          <w:lang w:eastAsia="zh-CN"/>
        </w:rPr>
        <w:t>。</w:t>
      </w:r>
    </w:p>
    <w:p>
      <w:pPr>
        <w:spacing w:line="360" w:lineRule="auto"/>
        <w:ind w:firstLine="482" w:firstLineChars="200"/>
        <w:jc w:val="left"/>
        <w:rPr>
          <w:rFonts w:ascii="宋体" w:hAnsi="宋体" w:eastAsia="宋体" w:cs="宋体"/>
          <w:b/>
          <w:bCs/>
          <w:color w:val="0D0D0D"/>
          <w:sz w:val="24"/>
          <w:highlight w:val="none"/>
        </w:rPr>
      </w:pPr>
    </w:p>
    <w:p>
      <w:pPr>
        <w:spacing w:line="360" w:lineRule="auto"/>
        <w:ind w:firstLine="482" w:firstLineChars="200"/>
        <w:jc w:val="left"/>
        <w:rPr>
          <w:rFonts w:ascii="宋体" w:hAnsi="宋体" w:eastAsia="宋体" w:cs="宋体"/>
          <w:color w:val="0D0D0D"/>
          <w:sz w:val="24"/>
          <w:highlight w:val="none"/>
        </w:rPr>
      </w:pPr>
      <w:r>
        <w:rPr>
          <w:rFonts w:hint="eastAsia" w:ascii="宋体" w:hAnsi="宋体" w:eastAsia="宋体" w:cs="宋体"/>
          <w:b/>
          <w:bCs/>
          <w:color w:val="0D0D0D"/>
          <w:sz w:val="24"/>
          <w:highlight w:val="none"/>
        </w:rPr>
        <w:t>2.吹扫捕集+水土自动进样器技术参数：</w:t>
      </w:r>
    </w:p>
    <w:p>
      <w:pPr>
        <w:spacing w:line="360" w:lineRule="auto"/>
        <w:ind w:firstLine="420" w:firstLineChars="200"/>
        <w:jc w:val="left"/>
        <w:rPr>
          <w:rFonts w:hint="eastAsia" w:ascii="Times New Roman" w:hAnsi="Times New Roman"/>
          <w:highlight w:val="none"/>
        </w:rPr>
      </w:pPr>
      <w:r>
        <w:rPr>
          <w:rFonts w:hint="eastAsia" w:ascii="Times New Roman" w:hAnsi="Times New Roman"/>
          <w:highlight w:val="none"/>
        </w:rPr>
        <w:t>2.1主要用途：主要用于水、土壤中挥发性及半挥发性的有机物分析测定，如苯系物、醛类、酮类、酯类等，能满足国家环境标准技术指标。</w:t>
      </w:r>
    </w:p>
    <w:p>
      <w:pPr>
        <w:spacing w:line="360" w:lineRule="auto"/>
        <w:ind w:firstLine="420" w:firstLineChars="200"/>
        <w:jc w:val="left"/>
        <w:rPr>
          <w:rFonts w:hint="eastAsia" w:ascii="Times New Roman" w:hAnsi="Times New Roman"/>
          <w:highlight w:val="none"/>
        </w:rPr>
      </w:pPr>
      <w:r>
        <w:rPr>
          <w:rFonts w:hint="eastAsia" w:ascii="Times New Roman" w:hAnsi="Times New Roman"/>
          <w:highlight w:val="none"/>
        </w:rPr>
        <w:t>2.2技术指标</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2.2.1 吹扫捕集主机性能指标</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highlight w:val="none"/>
        </w:rPr>
      </w:pPr>
      <w:r>
        <w:rPr>
          <w:rFonts w:hint="eastAsia" w:ascii="Times New Roman" w:hAnsi="Times New Roman"/>
          <w:highlight w:val="none"/>
        </w:rPr>
        <w:t>2.2.1.1 切换阀设计，马达驱动，使除湿阱与吸附阱分开；</w:t>
      </w:r>
    </w:p>
    <w:p>
      <w:pPr>
        <w:spacing w:line="360" w:lineRule="auto"/>
        <w:ind w:firstLine="420" w:firstLineChars="200"/>
        <w:jc w:val="left"/>
        <w:rPr>
          <w:rFonts w:hint="eastAsia" w:ascii="Times New Roman" w:hAnsi="Times New Roman"/>
          <w:highlight w:val="none"/>
        </w:rPr>
      </w:pPr>
      <w:r>
        <w:rPr>
          <w:rFonts w:hint="eastAsia" w:ascii="Times New Roman" w:hAnsi="Times New Roman"/>
          <w:highlight w:val="none"/>
        </w:rPr>
        <w:t>2.2.1.2阀箱温度：室温至250℃；</w:t>
      </w:r>
    </w:p>
    <w:p>
      <w:pPr>
        <w:spacing w:line="360" w:lineRule="auto"/>
        <w:ind w:firstLine="420" w:firstLineChars="200"/>
        <w:jc w:val="left"/>
        <w:rPr>
          <w:rFonts w:ascii="Times New Roman" w:hAnsi="Times New Roman"/>
          <w:b/>
          <w:bCs/>
          <w:highlight w:val="none"/>
        </w:rPr>
      </w:pPr>
      <w:r>
        <w:rPr>
          <w:rFonts w:hint="eastAsia" w:ascii="Times New Roman" w:hAnsi="Times New Roman"/>
          <w:highlight w:val="none"/>
        </w:rPr>
        <w:t>▲2.2.1.3阱：双阱配置，即除水阱和吸附阱；</w:t>
      </w:r>
      <w:r>
        <w:rPr>
          <w:rFonts w:hint="eastAsia" w:ascii="Times New Roman" w:hAnsi="Times New Roman"/>
          <w:b/>
          <w:bCs/>
          <w:highlight w:val="none"/>
        </w:rPr>
        <w:t>（提供彩页或技术说明书复印件并加盖投标人公章）</w:t>
      </w:r>
    </w:p>
    <w:p>
      <w:pPr>
        <w:spacing w:line="360" w:lineRule="auto"/>
        <w:ind w:firstLine="420" w:firstLineChars="200"/>
        <w:jc w:val="left"/>
        <w:rPr>
          <w:rFonts w:hint="eastAsia" w:ascii="Times New Roman" w:hAnsi="Times New Roman"/>
          <w:highlight w:val="none"/>
        </w:rPr>
      </w:pPr>
      <w:r>
        <w:rPr>
          <w:rFonts w:hint="eastAsia" w:ascii="Times New Roman" w:hAnsi="Times New Roman"/>
          <w:highlight w:val="none"/>
        </w:rPr>
        <w:t>2.2.1.4阱加热温度：除水阱为室温至200℃，吸附阱为室温至350℃；</w:t>
      </w:r>
    </w:p>
    <w:p>
      <w:pPr>
        <w:spacing w:line="360" w:lineRule="auto"/>
        <w:ind w:firstLine="420" w:firstLineChars="200"/>
        <w:jc w:val="left"/>
        <w:rPr>
          <w:rFonts w:ascii="Times New Roman" w:hAnsi="Times New Roman"/>
          <w:b/>
          <w:bCs/>
          <w:highlight w:val="none"/>
        </w:rPr>
      </w:pPr>
      <w:r>
        <w:rPr>
          <w:rFonts w:hint="eastAsia" w:ascii="Times New Roman" w:hAnsi="Times New Roman"/>
          <w:highlight w:val="none"/>
        </w:rPr>
        <w:t>▲2.2.1.5吸附阱加热及冷却速率: 加热速率≥300℃/min，迅速的升温到设定的温度，使得解析出来的色谱峰形更加尖锐，避免了峰拖尾现象</w:t>
      </w:r>
      <w:r>
        <w:rPr>
          <w:rFonts w:hint="eastAsia" w:ascii="Times New Roman" w:hAnsi="Times New Roman"/>
          <w:highlight w:val="none"/>
          <w:lang w:eastAsia="zh-CN"/>
        </w:rPr>
        <w:t>；</w:t>
      </w:r>
      <w:r>
        <w:rPr>
          <w:rFonts w:hint="eastAsia" w:ascii="Times New Roman" w:hAnsi="Times New Roman"/>
          <w:b/>
          <w:bCs/>
          <w:highlight w:val="none"/>
        </w:rPr>
        <w:t>（提供彩页或技术说明书复印件并加盖投标人公章）</w:t>
      </w:r>
    </w:p>
    <w:p>
      <w:pPr>
        <w:spacing w:line="360" w:lineRule="auto"/>
        <w:ind w:firstLine="420" w:firstLineChars="200"/>
        <w:jc w:val="left"/>
        <w:rPr>
          <w:rFonts w:hint="eastAsia" w:ascii="Times New Roman" w:hAnsi="Times New Roman"/>
          <w:highlight w:val="none"/>
        </w:rPr>
      </w:pPr>
      <w:r>
        <w:rPr>
          <w:rFonts w:hint="eastAsia" w:ascii="Times New Roman" w:hAnsi="Times New Roman"/>
          <w:highlight w:val="none"/>
        </w:rPr>
        <w:t>2.2.1.6管线：标准化惰性化管线；</w:t>
      </w:r>
    </w:p>
    <w:p>
      <w:pPr>
        <w:spacing w:line="360" w:lineRule="auto"/>
        <w:ind w:firstLine="420" w:firstLineChars="200"/>
        <w:jc w:val="left"/>
        <w:rPr>
          <w:rFonts w:hint="eastAsia" w:ascii="Times New Roman" w:hAnsi="Times New Roman"/>
          <w:highlight w:val="none"/>
        </w:rPr>
      </w:pPr>
      <w:r>
        <w:rPr>
          <w:rFonts w:hint="eastAsia" w:ascii="Times New Roman" w:hAnsi="Times New Roman"/>
          <w:highlight w:val="none"/>
        </w:rPr>
        <w:t>2.2.1.7传输管线：零死体积设计，加热温度为室温至250℃；</w:t>
      </w:r>
    </w:p>
    <w:p>
      <w:pPr>
        <w:spacing w:line="360" w:lineRule="auto"/>
        <w:ind w:firstLine="420" w:firstLineChars="200"/>
        <w:jc w:val="left"/>
        <w:rPr>
          <w:rFonts w:hint="eastAsia" w:ascii="Times New Roman" w:hAnsi="Times New Roman"/>
          <w:highlight w:val="none"/>
        </w:rPr>
      </w:pPr>
      <w:r>
        <w:rPr>
          <w:rFonts w:hint="eastAsia" w:ascii="Times New Roman" w:hAnsi="Times New Roman"/>
          <w:highlight w:val="none"/>
        </w:rPr>
        <w:t>2.2.1.8配备泡沫传感器，以防止吹扫过程中泡沫溢出；</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2.2.1.9 U型吹扫管，分别为5ml和25ml可选，样品管温度范围从室温~100℃</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2.2.1.10配备喷淋吹扫管加热组件，降低管道残留组分</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highlight w:val="none"/>
        </w:rPr>
      </w:pPr>
      <w:r>
        <w:rPr>
          <w:rFonts w:hint="eastAsia" w:ascii="Times New Roman" w:hAnsi="Times New Roman"/>
          <w:highlight w:val="none"/>
        </w:rPr>
        <w:t>2.2.1.11程序控制，可编程的时间范围10min；</w:t>
      </w:r>
    </w:p>
    <w:p>
      <w:pPr>
        <w:spacing w:line="360" w:lineRule="auto"/>
        <w:ind w:firstLine="420" w:firstLineChars="200"/>
        <w:jc w:val="left"/>
        <w:rPr>
          <w:rFonts w:hint="eastAsia" w:ascii="Times New Roman" w:hAnsi="Times New Roman"/>
          <w:highlight w:val="none"/>
        </w:rPr>
      </w:pPr>
      <w:r>
        <w:rPr>
          <w:rFonts w:hint="eastAsia" w:ascii="Times New Roman" w:hAnsi="Times New Roman"/>
          <w:highlight w:val="none"/>
        </w:rPr>
        <w:t>2.2.1.12可编辑分析方法，存储量≥10种；</w:t>
      </w:r>
    </w:p>
    <w:p>
      <w:pPr>
        <w:spacing w:line="360" w:lineRule="auto"/>
        <w:ind w:firstLine="420" w:firstLineChars="200"/>
        <w:jc w:val="left"/>
        <w:rPr>
          <w:rFonts w:hint="eastAsia" w:ascii="Times New Roman" w:hAnsi="Times New Roman"/>
          <w:highlight w:val="none"/>
        </w:rPr>
      </w:pPr>
      <w:r>
        <w:rPr>
          <w:rFonts w:hint="eastAsia" w:ascii="Times New Roman" w:hAnsi="Times New Roman"/>
          <w:highlight w:val="none"/>
        </w:rPr>
        <w:t>2.2.1.13能完全满足HJ 639方法；</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2.2.1.14模块化设计，便于维修和清洗，并具备自动管路清洗功能</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2.2.1.15具有解析压力控制，确保吹扫的解析压力与GC或者GCMS的柱头压一致，使得最先被解析出来的组分产生的色谱峰形尖锐</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2.2.1.16具有解析流量控制，节省仪器载气的使用量</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highlight w:val="none"/>
        </w:rPr>
      </w:pPr>
      <w:r>
        <w:rPr>
          <w:rFonts w:hint="eastAsia" w:ascii="Times New Roman" w:hAnsi="Times New Roman"/>
          <w:highlight w:val="none"/>
        </w:rPr>
        <w:t>2.2.1.17具备自动诊断功能，实现自动检漏及故障诊断；</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2.2.1.18所有加热区域的温控精度≤±1℃2.2.2水土自动进样器技术性能</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highlight w:val="none"/>
        </w:rPr>
      </w:pPr>
      <w:r>
        <w:rPr>
          <w:rFonts w:hint="eastAsia" w:ascii="Times New Roman" w:hAnsi="Times New Roman"/>
          <w:highlight w:val="none"/>
        </w:rPr>
        <w:t>2.2.2.1样品位：具备水和土自动进样位，极具灵活性，可以和任何品牌的吹扫捕集主机相连接。</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2.2.2.2样品体积：40ml的样品瓶</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2.2.2.3扩展与升级功能：可选冷却系统</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2.2.2.4内标添加阀，没有移动和旋转部件，因此不会产生堵塞和划伤的问题。内标精密度RSD约3%（GC/FID对氟苯和溴氟苯检测值）</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2.2.2.5双内标位或3内标位，完全程序控制，增量为1 μl</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2.2.2.6惰性化处理的样品环</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highlight w:val="none"/>
        </w:rPr>
      </w:pPr>
      <w:r>
        <w:rPr>
          <w:rFonts w:hint="eastAsia" w:ascii="Times New Roman" w:hAnsi="Times New Roman"/>
          <w:highlight w:val="none"/>
        </w:rPr>
        <w:t>2.2.2.7土样进样针和水样进样针独立，两个样品流路，有效避免交叉污染和减少冷却时间；</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2.2.2.8样品环可选5ml，10ml和25ml体积，并且方便更换</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highlight w:val="none"/>
        </w:rPr>
      </w:pPr>
      <w:r>
        <w:rPr>
          <w:rFonts w:hint="eastAsia" w:ascii="Times New Roman" w:hAnsi="Times New Roman"/>
          <w:highlight w:val="none"/>
        </w:rPr>
        <w:t>2.2.2.9具有可编程的自动稀释功能，通过空白能将5ml或25ml样品按一定稀释比自动稀释；</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2.2.2.10程序化热水冲洗功能用于样品管线和吹扫管的清洗，可以任意设置冲洗次数，消除交叉污染</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highlight w:val="none"/>
        </w:rPr>
      </w:pPr>
      <w:r>
        <w:rPr>
          <w:rFonts w:hint="eastAsia" w:ascii="Times New Roman" w:hAnsi="Times New Roman"/>
          <w:highlight w:val="none"/>
        </w:rPr>
        <w:t>2.3配置要求：</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2.3.1吹扫捕集仪主机，含电脑控制模块，除水阱，吸附阱，切换电子驱动阀，吹扫系统等</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2.3.2样品管加热选项</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highlight w:val="none"/>
        </w:rPr>
      </w:pPr>
      <w:r>
        <w:rPr>
          <w:rFonts w:hint="eastAsia" w:ascii="Times New Roman" w:hAnsi="Times New Roman"/>
          <w:highlight w:val="none"/>
        </w:rPr>
        <w:t>2.3.3水土自动进样器主机, 包括:≥50位样品位、机械手、定量环、电脑控制系统；</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2.3.4   40mL样品瓶含瓶盖和盖垫</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2.3.5</w:t>
      </w:r>
      <w:r>
        <w:rPr>
          <w:rFonts w:hint="eastAsia" w:ascii="Times New Roman" w:hAnsi="Times New Roman"/>
          <w:highlight w:val="none"/>
          <w:lang w:val="en-US" w:eastAsia="zh-CN"/>
        </w:rPr>
        <w:t>配备：</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①5mL吹扫管 2个</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highlight w:val="none"/>
        </w:rPr>
      </w:pPr>
      <w:r>
        <w:rPr>
          <w:rFonts w:hint="eastAsia" w:ascii="Times New Roman" w:hAnsi="Times New Roman"/>
          <w:highlight w:val="none"/>
        </w:rPr>
        <w:t>②25mL吹扫管 2个，</w:t>
      </w:r>
    </w:p>
    <w:p>
      <w:pPr>
        <w:spacing w:line="360" w:lineRule="auto"/>
        <w:ind w:firstLine="420" w:firstLineChars="200"/>
        <w:jc w:val="left"/>
        <w:rPr>
          <w:rFonts w:hint="eastAsia" w:ascii="Times New Roman" w:hAnsi="Times New Roman"/>
          <w:highlight w:val="none"/>
        </w:rPr>
      </w:pPr>
      <w:r>
        <w:rPr>
          <w:rFonts w:hint="eastAsia" w:ascii="Times New Roman" w:hAnsi="Times New Roman"/>
          <w:highlight w:val="none"/>
        </w:rPr>
        <w:t>③固相吸附剂捕集阱2个，</w:t>
      </w:r>
    </w:p>
    <w:p>
      <w:pPr>
        <w:spacing w:line="360" w:lineRule="auto"/>
        <w:ind w:firstLine="420" w:firstLineChars="200"/>
        <w:jc w:val="left"/>
        <w:rPr>
          <w:rFonts w:hint="eastAsia" w:ascii="Times New Roman" w:hAnsi="Times New Roman"/>
          <w:highlight w:val="none"/>
        </w:rPr>
      </w:pPr>
      <w:r>
        <w:rPr>
          <w:rFonts w:hint="eastAsia" w:ascii="Times New Roman" w:hAnsi="Times New Roman"/>
          <w:highlight w:val="none"/>
        </w:rPr>
        <w:t>④土样进样针2个，</w:t>
      </w:r>
    </w:p>
    <w:p>
      <w:pPr>
        <w:spacing w:line="360" w:lineRule="auto"/>
        <w:ind w:firstLine="420" w:firstLineChars="200"/>
        <w:jc w:val="left"/>
        <w:rPr>
          <w:rFonts w:hint="eastAsia" w:ascii="Times New Roman" w:hAnsi="Times New Roman"/>
          <w:highlight w:val="none"/>
        </w:rPr>
      </w:pPr>
      <w:r>
        <w:rPr>
          <w:rFonts w:hint="eastAsia" w:ascii="Times New Roman" w:hAnsi="Times New Roman"/>
          <w:highlight w:val="none"/>
        </w:rPr>
        <w:t>⑤水样进样针2个，</w:t>
      </w:r>
    </w:p>
    <w:p>
      <w:pPr>
        <w:spacing w:line="360" w:lineRule="auto"/>
        <w:ind w:firstLine="420" w:firstLineChars="200"/>
        <w:jc w:val="left"/>
        <w:rPr>
          <w:rFonts w:hint="eastAsia" w:ascii="Times New Roman" w:hAnsi="Times New Roman"/>
          <w:highlight w:val="none"/>
          <w:lang w:eastAsia="zh-CN"/>
        </w:rPr>
      </w:pPr>
      <w:r>
        <w:rPr>
          <w:rFonts w:hint="eastAsia" w:ascii="Times New Roman" w:hAnsi="Times New Roman"/>
          <w:highlight w:val="none"/>
        </w:rPr>
        <w:t>⑥除湿装置1套</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highlight w:val="none"/>
        </w:rPr>
      </w:pPr>
      <w:r>
        <w:rPr>
          <w:rFonts w:hint="eastAsia" w:ascii="Times New Roman" w:hAnsi="Times New Roman"/>
          <w:highlight w:val="none"/>
        </w:rPr>
        <w:t>2.3.6 安装所需通讯及样品传输线缆；</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2.3.7 软件及中文操作说明</w:t>
      </w:r>
      <w:r>
        <w:rPr>
          <w:rFonts w:hint="eastAsia" w:ascii="Times New Roman" w:hAnsi="Times New Roman"/>
          <w:highlight w:val="none"/>
          <w:lang w:eastAsia="zh-CN"/>
        </w:rPr>
        <w:t>。</w:t>
      </w:r>
    </w:p>
    <w:p>
      <w:pPr>
        <w:spacing w:line="360" w:lineRule="auto"/>
        <w:ind w:firstLine="482" w:firstLineChars="200"/>
        <w:jc w:val="left"/>
        <w:rPr>
          <w:rFonts w:hint="eastAsia" w:ascii="宋体" w:hAnsi="宋体" w:eastAsia="宋体" w:cs="宋体"/>
          <w:b/>
          <w:bCs/>
          <w:color w:val="0D0D0D"/>
          <w:sz w:val="24"/>
          <w:highlight w:val="none"/>
        </w:rPr>
      </w:pPr>
    </w:p>
    <w:p>
      <w:pPr>
        <w:spacing w:line="360" w:lineRule="auto"/>
        <w:ind w:firstLine="482" w:firstLineChars="200"/>
        <w:jc w:val="left"/>
        <w:rPr>
          <w:rFonts w:ascii="宋体" w:hAnsi="宋体" w:eastAsia="宋体" w:cs="宋体"/>
          <w:color w:val="0D0D0D"/>
          <w:sz w:val="24"/>
          <w:highlight w:val="none"/>
        </w:rPr>
      </w:pPr>
      <w:r>
        <w:rPr>
          <w:rFonts w:hint="eastAsia" w:ascii="宋体" w:hAnsi="宋体" w:eastAsia="宋体" w:cs="宋体"/>
          <w:b/>
          <w:bCs/>
          <w:color w:val="0D0D0D"/>
          <w:sz w:val="24"/>
          <w:highlight w:val="none"/>
        </w:rPr>
        <w:t>3.气相色谱质谱联用仪技术参数：</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3.</w:t>
      </w:r>
      <w:r>
        <w:rPr>
          <w:rFonts w:ascii="Times New Roman" w:hAnsi="Times New Roman"/>
          <w:highlight w:val="none"/>
        </w:rPr>
        <w:t>1主要用途：气相色谱单四级杆质谱联用仪用于空气、水、土壤、固废中有机污染物定性、定量分析。是目前有机分析最主要设备，能够快速定性、定量分析环境中有机污染物。（参考标准HJ759-2015、HJ646-2013、HJ743-2013、HJ716-2014）</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3.</w:t>
      </w:r>
      <w:r>
        <w:rPr>
          <w:rFonts w:ascii="Times New Roman" w:hAnsi="Times New Roman"/>
          <w:highlight w:val="none"/>
        </w:rPr>
        <w:t>2工作条件：电源: 220V(±10%),50Hz(±2%)，温度：10℃～3</w:t>
      </w:r>
      <w:r>
        <w:rPr>
          <w:rFonts w:hint="eastAsia" w:ascii="Times New Roman" w:hAnsi="Times New Roman"/>
          <w:highlight w:val="none"/>
        </w:rPr>
        <w:t>5</w:t>
      </w:r>
      <w:r>
        <w:rPr>
          <w:rFonts w:ascii="Times New Roman" w:hAnsi="Times New Roman"/>
          <w:highlight w:val="none"/>
        </w:rPr>
        <w:t>℃，湿度：≤</w:t>
      </w:r>
      <w:r>
        <w:rPr>
          <w:rFonts w:hint="eastAsia" w:ascii="Times New Roman" w:hAnsi="Times New Roman"/>
          <w:highlight w:val="none"/>
        </w:rPr>
        <w:t>80</w:t>
      </w:r>
      <w:r>
        <w:rPr>
          <w:rFonts w:ascii="Times New Roman" w:hAnsi="Times New Roman"/>
          <w:highlight w:val="none"/>
        </w:rPr>
        <w:t>%</w:t>
      </w:r>
      <w:r>
        <w:rPr>
          <w:rFonts w:hint="eastAsia" w:ascii="Times New Roman" w:hAnsi="Times New Roman"/>
          <w:highlight w:val="none"/>
          <w:lang w:eastAsia="zh-CN"/>
        </w:rPr>
        <w:t>。</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3.</w:t>
      </w:r>
      <w:r>
        <w:rPr>
          <w:rFonts w:ascii="Times New Roman" w:hAnsi="Times New Roman"/>
          <w:highlight w:val="none"/>
        </w:rPr>
        <w:t>3仪器性能指标</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3.</w:t>
      </w:r>
      <w:r>
        <w:rPr>
          <w:rFonts w:ascii="Times New Roman" w:hAnsi="Times New Roman"/>
          <w:highlight w:val="none"/>
        </w:rPr>
        <w:t>3.1 质谱部分</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3.</w:t>
      </w:r>
      <w:r>
        <w:rPr>
          <w:rFonts w:ascii="Times New Roman" w:hAnsi="Times New Roman"/>
          <w:highlight w:val="none"/>
        </w:rPr>
        <w:t xml:space="preserve">3.1.1质量数范围: </w:t>
      </w:r>
      <w:r>
        <w:rPr>
          <w:rFonts w:hint="eastAsia" w:ascii="宋体" w:hAnsi="宋体"/>
          <w:highlight w:val="none"/>
        </w:rPr>
        <w:t>≧</w:t>
      </w:r>
      <w:r>
        <w:rPr>
          <w:rFonts w:ascii="Times New Roman" w:hAnsi="Times New Roman"/>
          <w:highlight w:val="none"/>
        </w:rPr>
        <w:t>600</w:t>
      </w:r>
      <w:r>
        <w:rPr>
          <w:rFonts w:hint="eastAsia" w:ascii="Times New Roman" w:hAnsi="Times New Roman"/>
          <w:highlight w:val="none"/>
        </w:rPr>
        <w:t>u</w:t>
      </w:r>
      <w:r>
        <w:rPr>
          <w:rFonts w:hint="eastAsia" w:ascii="Times New Roman" w:hAnsi="Times New Roman"/>
          <w:highlight w:val="none"/>
          <w:lang w:eastAsia="zh-CN"/>
        </w:rPr>
        <w:t>；</w:t>
      </w:r>
    </w:p>
    <w:p>
      <w:pPr>
        <w:spacing w:line="360" w:lineRule="auto"/>
        <w:ind w:firstLine="420" w:firstLineChars="200"/>
        <w:jc w:val="left"/>
        <w:rPr>
          <w:rFonts w:ascii="Times New Roman" w:hAnsi="Times New Roman"/>
          <w:color w:val="auto"/>
          <w:highlight w:val="none"/>
        </w:rPr>
      </w:pPr>
      <w:r>
        <w:rPr>
          <w:rFonts w:ascii="Times New Roman" w:hAnsi="Times New Roman"/>
          <w:bCs/>
          <w:color w:val="auto"/>
          <w:szCs w:val="21"/>
          <w:highlight w:val="none"/>
        </w:rPr>
        <w:t>▲</w:t>
      </w:r>
      <w:r>
        <w:rPr>
          <w:rFonts w:hint="eastAsia" w:ascii="Times New Roman" w:hAnsi="Times New Roman"/>
          <w:color w:val="auto"/>
          <w:highlight w:val="none"/>
        </w:rPr>
        <w:t>3.</w:t>
      </w:r>
      <w:r>
        <w:rPr>
          <w:rFonts w:ascii="Times New Roman" w:hAnsi="Times New Roman"/>
          <w:color w:val="auto"/>
          <w:highlight w:val="none"/>
        </w:rPr>
        <w:t xml:space="preserve">3.1.2灵敏度:EI Scan(氦气)：1pg，八氟萘 OFN ，m/z 272，S/N ≥ </w:t>
      </w:r>
      <w:r>
        <w:rPr>
          <w:rFonts w:hint="eastAsia" w:ascii="Times New Roman" w:hAnsi="Times New Roman"/>
          <w:color w:val="auto"/>
          <w:highlight w:val="none"/>
        </w:rPr>
        <w:t>15</w:t>
      </w:r>
      <w:r>
        <w:rPr>
          <w:rFonts w:ascii="Times New Roman" w:hAnsi="Times New Roman"/>
          <w:color w:val="auto"/>
          <w:highlight w:val="none"/>
        </w:rPr>
        <w:t>00； IDL（SIM）：IDL ≤10 fg（100 fg，OFN， 8次连续进样，272m/z，峰面积RSD 3.4%）</w:t>
      </w:r>
      <w:r>
        <w:rPr>
          <w:rFonts w:hint="eastAsia" w:ascii="Times New Roman" w:hAnsi="Times New Roman"/>
          <w:color w:val="auto"/>
          <w:highlight w:val="none"/>
          <w:lang w:eastAsia="zh-CN"/>
        </w:rPr>
        <w:t>；</w:t>
      </w:r>
      <w:r>
        <w:rPr>
          <w:rFonts w:ascii="Times New Roman" w:hAnsi="Times New Roman"/>
          <w:color w:val="auto"/>
          <w:highlight w:val="none"/>
        </w:rPr>
        <w:t xml:space="preserve"> IDL（高速扫描Scan）：  IDL ≤500 fg（1pg，OFN，8次连续进样，272m/z，扫描速度≥</w:t>
      </w:r>
      <w:r>
        <w:rPr>
          <w:rFonts w:hint="eastAsia" w:ascii="Times New Roman" w:hAnsi="Times New Roman"/>
          <w:color w:val="auto"/>
          <w:highlight w:val="none"/>
        </w:rPr>
        <w:t>12000</w:t>
      </w:r>
      <w:r>
        <w:rPr>
          <w:rFonts w:ascii="Times New Roman" w:hAnsi="Times New Roman"/>
          <w:color w:val="auto"/>
          <w:highlight w:val="none"/>
        </w:rPr>
        <w:t xml:space="preserve"> u/sec）</w:t>
      </w:r>
      <w:r>
        <w:rPr>
          <w:rFonts w:hint="eastAsia" w:ascii="Times New Roman" w:hAnsi="Times New Roman"/>
          <w:color w:val="auto"/>
          <w:highlight w:val="none"/>
          <w:lang w:eastAsia="zh-CN"/>
        </w:rPr>
        <w:t>；</w:t>
      </w:r>
      <w:r>
        <w:rPr>
          <w:rFonts w:hint="eastAsia" w:ascii="Times New Roman" w:hAnsi="Times New Roman"/>
          <w:b/>
          <w:bCs/>
          <w:color w:val="auto"/>
          <w:highlight w:val="none"/>
          <w:lang w:eastAsia="zh-CN"/>
        </w:rPr>
        <w:t>（</w:t>
      </w:r>
      <w:r>
        <w:rPr>
          <w:rFonts w:hint="eastAsia" w:ascii="Times New Roman" w:hAnsi="Times New Roman"/>
          <w:b/>
          <w:bCs/>
          <w:color w:val="auto"/>
          <w:highlight w:val="none"/>
        </w:rPr>
        <w:t>提供彩页或技术说明书复印件并加盖投标人公章</w:t>
      </w:r>
      <w:r>
        <w:rPr>
          <w:rFonts w:hint="eastAsia" w:ascii="Times New Roman" w:hAnsi="Times New Roman"/>
          <w:b/>
          <w:bCs/>
          <w:color w:val="auto"/>
          <w:highlight w:val="none"/>
          <w:lang w:eastAsia="zh-CN"/>
        </w:rPr>
        <w:t>）</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3.3.1.3 分辨率：单位质量数分辨</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3.3.1.4质量稳定性：≤±0.1u/48小时 (恒温)</w:t>
      </w:r>
      <w:r>
        <w:rPr>
          <w:rFonts w:hint="eastAsia" w:ascii="Times New Roman" w:hAnsi="Times New Roman"/>
          <w:highlight w:val="none"/>
          <w:lang w:eastAsia="zh-CN"/>
        </w:rPr>
        <w:t>；</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3.3.1.5最大扫描速度：≥12,000 u/sec</w:t>
      </w:r>
      <w:r>
        <w:rPr>
          <w:rFonts w:hint="eastAsia" w:ascii="Times New Roman" w:hAnsi="Times New Roman"/>
          <w:highlight w:val="none"/>
          <w:lang w:eastAsia="zh-CN"/>
        </w:rPr>
        <w:t>；</w:t>
      </w:r>
      <w:r>
        <w:rPr>
          <w:rFonts w:hint="eastAsia" w:ascii="Times New Roman" w:hAnsi="Times New Roman"/>
          <w:highlight w:val="none"/>
        </w:rPr>
        <w:t xml:space="preserve"> </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3.3.1.6离子源</w:t>
      </w:r>
      <w:r>
        <w:rPr>
          <w:rFonts w:hint="eastAsia" w:ascii="Times New Roman" w:hAnsi="Times New Roman"/>
          <w:highlight w:val="none"/>
          <w:lang w:eastAsia="zh-CN"/>
        </w:rPr>
        <w:t>：</w:t>
      </w:r>
      <w:r>
        <w:rPr>
          <w:rFonts w:hint="eastAsia" w:ascii="Times New Roman" w:hAnsi="Times New Roman"/>
          <w:highlight w:val="none"/>
        </w:rPr>
        <w:t>EI（标配）</w:t>
      </w:r>
      <w:r>
        <w:rPr>
          <w:rFonts w:hint="eastAsia" w:ascii="Times New Roman" w:hAnsi="Times New Roman"/>
          <w:highlight w:val="none"/>
          <w:lang w:eastAsia="zh-CN"/>
        </w:rPr>
        <w:t>，</w:t>
      </w:r>
      <w:r>
        <w:rPr>
          <w:rFonts w:hint="eastAsia" w:ascii="Times New Roman" w:hAnsi="Times New Roman"/>
          <w:highlight w:val="none"/>
        </w:rPr>
        <w:t>离子源材质：高灵敏度全惰性离子源，温度可调至350℃。</w:t>
      </w:r>
      <w:r>
        <w:rPr>
          <w:rFonts w:hint="eastAsia" w:ascii="Times New Roman" w:hAnsi="Times New Roman"/>
          <w:highlight w:val="none"/>
          <w:lang w:eastAsia="zh-CN"/>
        </w:rPr>
        <w:t>，</w:t>
      </w:r>
      <w:r>
        <w:rPr>
          <w:rFonts w:hint="eastAsia" w:ascii="Times New Roman" w:hAnsi="Times New Roman"/>
          <w:highlight w:val="none"/>
        </w:rPr>
        <w:t>离子源温度：独立控温，可设定不同温度，控温达200℃以上</w:t>
      </w:r>
      <w:r>
        <w:rPr>
          <w:rFonts w:hint="eastAsia" w:ascii="Times New Roman" w:hAnsi="Times New Roman"/>
          <w:highlight w:val="none"/>
          <w:lang w:eastAsia="zh-CN"/>
        </w:rPr>
        <w:t>，</w:t>
      </w:r>
      <w:r>
        <w:rPr>
          <w:rFonts w:hint="eastAsia" w:ascii="Times New Roman" w:hAnsi="Times New Roman"/>
          <w:highlight w:val="none"/>
        </w:rPr>
        <w:t>双灯丝设计</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3.3.1.7扫描功能:全扫描，选择离子扫描</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3.3.1.8检测系统：电子倍增器或光电倍增管检测器</w:t>
      </w:r>
      <w:r>
        <w:rPr>
          <w:rFonts w:hint="eastAsia" w:ascii="Times New Roman" w:hAnsi="Times New Roman"/>
          <w:highlight w:val="none"/>
          <w:lang w:eastAsia="zh-CN"/>
        </w:rPr>
        <w:t>；</w:t>
      </w:r>
    </w:p>
    <w:p>
      <w:pPr>
        <w:spacing w:line="360" w:lineRule="auto"/>
        <w:ind w:firstLine="422" w:firstLineChars="200"/>
        <w:jc w:val="left"/>
        <w:rPr>
          <w:rFonts w:ascii="Times New Roman" w:hAnsi="Times New Roman"/>
          <w:b/>
          <w:bCs/>
          <w:highlight w:val="none"/>
        </w:rPr>
      </w:pPr>
      <w:r>
        <w:rPr>
          <w:rFonts w:hint="eastAsia" w:ascii="Times New Roman" w:hAnsi="Times New Roman"/>
          <w:b/>
          <w:bCs/>
          <w:highlight w:val="none"/>
        </w:rPr>
        <w:t>▲</w:t>
      </w:r>
      <w:r>
        <w:rPr>
          <w:rFonts w:hint="eastAsia" w:ascii="Times New Roman" w:hAnsi="Times New Roman"/>
          <w:highlight w:val="none"/>
        </w:rPr>
        <w:t>3.3.1.9真空系统</w:t>
      </w:r>
      <w:r>
        <w:rPr>
          <w:rFonts w:hint="eastAsia" w:ascii="Times New Roman" w:hAnsi="Times New Roman"/>
          <w:highlight w:val="none"/>
          <w:lang w:eastAsia="zh-CN"/>
        </w:rPr>
        <w:t>：</w:t>
      </w:r>
      <w:r>
        <w:rPr>
          <w:rFonts w:hint="eastAsia" w:ascii="Times New Roman" w:hAnsi="Times New Roman"/>
          <w:b/>
          <w:bCs/>
          <w:highlight w:val="none"/>
        </w:rPr>
        <w:t>真空度：涡轮分子泵排气系统，保证</w:t>
      </w:r>
      <w:r>
        <w:rPr>
          <w:rFonts w:hint="eastAsia" w:ascii="Times New Roman" w:hAnsi="Times New Roman"/>
          <w:b/>
          <w:bCs/>
          <w:highlight w:val="none"/>
          <w:lang w:val="en-US" w:eastAsia="zh-CN"/>
        </w:rPr>
        <w:t>2</w:t>
      </w:r>
      <w:r>
        <w:rPr>
          <w:rFonts w:hint="eastAsia" w:ascii="Times New Roman" w:hAnsi="Times New Roman"/>
          <w:b/>
          <w:bCs/>
          <w:highlight w:val="none"/>
        </w:rPr>
        <w:t>h内能够进行定性定量分析。（提供彩页或技术说明书复印件并加盖投标人公章）</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3.3.2 气相色谱部分</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3.3.2.1柱箱操作温度范围：室温-400℃</w:t>
      </w:r>
      <w:r>
        <w:rPr>
          <w:rFonts w:hint="eastAsia" w:ascii="Times New Roman" w:hAnsi="Times New Roman"/>
          <w:highlight w:val="none"/>
          <w:lang w:eastAsia="zh-CN"/>
        </w:rPr>
        <w:t>，</w:t>
      </w:r>
      <w:r>
        <w:rPr>
          <w:rFonts w:hint="eastAsia" w:ascii="Times New Roman" w:hAnsi="Times New Roman"/>
          <w:highlight w:val="none"/>
        </w:rPr>
        <w:t>柱箱最高升温速率≥</w:t>
      </w:r>
      <w:r>
        <w:rPr>
          <w:rFonts w:ascii="Times New Roman" w:hAnsi="Times New Roman"/>
          <w:highlight w:val="none"/>
        </w:rPr>
        <w:t>120</w:t>
      </w:r>
      <w:r>
        <w:rPr>
          <w:rFonts w:hint="eastAsia" w:ascii="Times New Roman" w:hAnsi="Times New Roman"/>
          <w:highlight w:val="none"/>
        </w:rPr>
        <w:t>℃/min（无需升级），可以0.01℃/min增加（标配不添加任何附件情况下）</w:t>
      </w:r>
      <w:r>
        <w:rPr>
          <w:rFonts w:hint="eastAsia" w:ascii="Times New Roman" w:hAnsi="Times New Roman"/>
          <w:highlight w:val="none"/>
          <w:lang w:eastAsia="zh-CN"/>
        </w:rPr>
        <w:t>，</w:t>
      </w:r>
      <w:r>
        <w:rPr>
          <w:rFonts w:hint="eastAsia" w:ascii="Times New Roman" w:hAnsi="Times New Roman"/>
          <w:highlight w:val="none"/>
        </w:rPr>
        <w:t>温度稳定性：周围温度每变化1℃，柱温箱温度变化小于0.01℃</w:t>
      </w:r>
      <w:r>
        <w:rPr>
          <w:rFonts w:hint="eastAsia" w:ascii="Times New Roman" w:hAnsi="Times New Roman"/>
          <w:highlight w:val="none"/>
          <w:lang w:eastAsia="zh-CN"/>
        </w:rPr>
        <w:t>，</w:t>
      </w:r>
      <w:r>
        <w:rPr>
          <w:rFonts w:hint="eastAsia" w:ascii="Times New Roman" w:hAnsi="Times New Roman"/>
          <w:highlight w:val="none"/>
        </w:rPr>
        <w:t>冷却速度：从 450 降到 50℃ ≤3.5min（210s）</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3.3.2.2流路系统</w:t>
      </w:r>
      <w:r>
        <w:rPr>
          <w:rFonts w:hint="eastAsia" w:ascii="Times New Roman" w:hAnsi="Times New Roman"/>
          <w:highlight w:val="none"/>
          <w:lang w:eastAsia="zh-CN"/>
        </w:rPr>
        <w:t>：</w:t>
      </w:r>
      <w:r>
        <w:rPr>
          <w:rFonts w:hint="eastAsia" w:ascii="Times New Roman" w:hAnsi="Times New Roman"/>
          <w:highlight w:val="none"/>
        </w:rPr>
        <w:t>柱流量控制系统采用先进的流量控制单元</w:t>
      </w:r>
      <w:r>
        <w:rPr>
          <w:rFonts w:hint="eastAsia" w:ascii="Times New Roman" w:hAnsi="Times New Roman"/>
          <w:highlight w:val="none"/>
          <w:lang w:eastAsia="zh-CN"/>
        </w:rPr>
        <w:t>，</w:t>
      </w:r>
      <w:r>
        <w:rPr>
          <w:rFonts w:hint="eastAsia" w:ascii="Times New Roman" w:hAnsi="Times New Roman"/>
          <w:highlight w:val="none"/>
        </w:rPr>
        <w:t>具有室温补偿和自动环境补偿功能</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3.3.2.3分流/不分流毛细管进样口</w:t>
      </w:r>
      <w:r>
        <w:rPr>
          <w:rFonts w:hint="eastAsia" w:ascii="Times New Roman" w:hAnsi="Times New Roman"/>
          <w:highlight w:val="none"/>
          <w:lang w:eastAsia="zh-CN"/>
        </w:rPr>
        <w:t>：</w:t>
      </w:r>
      <w:r>
        <w:rPr>
          <w:rFonts w:hint="eastAsia" w:ascii="Times New Roman" w:hAnsi="Times New Roman"/>
          <w:highlight w:val="none"/>
        </w:rPr>
        <w:t>压力、流量和分流比可通过先进的流量控制系统进行数字化设定</w:t>
      </w:r>
      <w:r>
        <w:rPr>
          <w:rFonts w:hint="eastAsia" w:ascii="Times New Roman" w:hAnsi="Times New Roman"/>
          <w:highlight w:val="none"/>
          <w:lang w:eastAsia="zh-CN"/>
        </w:rPr>
        <w:t>，</w:t>
      </w:r>
      <w:r>
        <w:rPr>
          <w:rFonts w:hint="eastAsia" w:ascii="Times New Roman" w:hAnsi="Times New Roman"/>
          <w:highlight w:val="none"/>
        </w:rPr>
        <w:t>配备全自动电子流量控制系统，具备室温补偿和自动环境补偿功能</w:t>
      </w:r>
      <w:r>
        <w:rPr>
          <w:rFonts w:hint="eastAsia" w:ascii="Times New Roman" w:hAnsi="Times New Roman"/>
          <w:highlight w:val="none"/>
          <w:lang w:eastAsia="zh-CN"/>
        </w:rPr>
        <w:t>，</w:t>
      </w:r>
      <w:r>
        <w:rPr>
          <w:rFonts w:hint="eastAsia" w:ascii="Times New Roman" w:hAnsi="Times New Roman"/>
          <w:highlight w:val="none"/>
        </w:rPr>
        <w:t>支持恒流，恒压</w:t>
      </w:r>
      <w:r>
        <w:rPr>
          <w:rFonts w:hint="eastAsia" w:ascii="Times New Roman" w:hAnsi="Times New Roman"/>
          <w:highlight w:val="none"/>
          <w:lang w:eastAsia="zh-CN"/>
        </w:rPr>
        <w:t>，</w:t>
      </w:r>
      <w:r>
        <w:rPr>
          <w:rFonts w:hint="eastAsia" w:ascii="Times New Roman" w:hAnsi="Times New Roman"/>
          <w:highlight w:val="none"/>
        </w:rPr>
        <w:t>最高温度：450℃</w:t>
      </w:r>
      <w:r>
        <w:rPr>
          <w:rFonts w:hint="eastAsia" w:ascii="Times New Roman" w:hAnsi="Times New Roman"/>
          <w:highlight w:val="none"/>
          <w:lang w:eastAsia="zh-CN"/>
        </w:rPr>
        <w:t>，</w:t>
      </w:r>
      <w:r>
        <w:rPr>
          <w:rFonts w:hint="eastAsia" w:ascii="Times New Roman" w:hAnsi="Times New Roman"/>
          <w:highlight w:val="none"/>
        </w:rPr>
        <w:t>压力设</w:t>
      </w:r>
      <w:r>
        <w:rPr>
          <w:rFonts w:ascii="Times New Roman" w:hAnsi="Times New Roman"/>
          <w:highlight w:val="none"/>
        </w:rPr>
        <w:t>定范围：0 ～ 150psi</w:t>
      </w:r>
      <w:r>
        <w:rPr>
          <w:rFonts w:hint="eastAsia" w:ascii="Times New Roman" w:hAnsi="Times New Roman"/>
          <w:highlight w:val="none"/>
          <w:lang w:eastAsia="zh-CN"/>
        </w:rPr>
        <w:t>，</w:t>
      </w:r>
      <w:r>
        <w:rPr>
          <w:rFonts w:hint="eastAsia" w:ascii="Times New Roman" w:hAnsi="Times New Roman"/>
          <w:highlight w:val="none"/>
        </w:rPr>
        <w:t>升温速率：≥</w:t>
      </w:r>
      <w:r>
        <w:rPr>
          <w:rFonts w:ascii="Times New Roman" w:hAnsi="Times New Roman"/>
          <w:highlight w:val="none"/>
        </w:rPr>
        <w:t>120</w:t>
      </w:r>
      <w:r>
        <w:rPr>
          <w:rFonts w:hint="eastAsia" w:ascii="Times New Roman" w:hAnsi="Times New Roman"/>
          <w:highlight w:val="none"/>
        </w:rPr>
        <w:t>℃/min，以0.01℃/min增加</w:t>
      </w:r>
      <w:r>
        <w:rPr>
          <w:rFonts w:hint="eastAsia" w:ascii="Times New Roman" w:hAnsi="Times New Roman"/>
          <w:highlight w:val="none"/>
          <w:lang w:eastAsia="zh-CN"/>
        </w:rPr>
        <w:t>，</w:t>
      </w:r>
      <w:r>
        <w:rPr>
          <w:rFonts w:hint="eastAsia" w:ascii="Times New Roman" w:hAnsi="Times New Roman"/>
          <w:highlight w:val="none"/>
        </w:rPr>
        <w:t>速率设定范围：-400 ～ 400kPa/min</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3.3.2.4自动进样器单元</w:t>
      </w:r>
      <w:r>
        <w:rPr>
          <w:rFonts w:hint="eastAsia" w:ascii="Times New Roman" w:hAnsi="Times New Roman"/>
          <w:highlight w:val="none"/>
          <w:lang w:eastAsia="zh-CN"/>
        </w:rPr>
        <w:t>：</w:t>
      </w:r>
      <w:r>
        <w:rPr>
          <w:rFonts w:hint="eastAsia" w:ascii="Times New Roman" w:hAnsi="Times New Roman"/>
          <w:highlight w:val="none"/>
        </w:rPr>
        <w:t>分析样品数≥150位(含样品位和洗针位),允许长时间的无人执守操作</w:t>
      </w:r>
      <w:r>
        <w:rPr>
          <w:rFonts w:hint="eastAsia" w:ascii="Times New Roman" w:hAnsi="Times New Roman"/>
          <w:highlight w:val="none"/>
          <w:lang w:eastAsia="zh-CN"/>
        </w:rPr>
        <w:t>，</w:t>
      </w:r>
      <w:r>
        <w:rPr>
          <w:rFonts w:hint="eastAsia" w:ascii="Times New Roman" w:hAnsi="Times New Roman"/>
          <w:highlight w:val="none"/>
        </w:rPr>
        <w:t>进样量范围：0.1~150 μL，10μL 注射器以0.1μL步进</w:t>
      </w:r>
      <w:r>
        <w:rPr>
          <w:rFonts w:hint="eastAsia" w:ascii="Times New Roman" w:hAnsi="Times New Roman"/>
          <w:highlight w:val="none"/>
          <w:lang w:eastAsia="zh-CN"/>
        </w:rPr>
        <w:t>。</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3.3.3数据处理系统</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3.3.3.1软件支持Scan，SIM和快速自动Scan/SIM同时扫描数据采集方式。采用一体化的数据结构，利用定量浏览器和数据浏览器可方便的进行分析操作和信息追溯，满足操作规范。支持中文工作站，一套软件即可安装成中文。支持全中文的样品名、文件名、序列名等输入</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3.3.3.2支持NIST库，Wiley库，谱库均支持带保留指数的相似度检索（LRI），帮助用户在没有标准品的情况下对未知物进行更为准确的定性。支持通用谱库和自建谱库功能</w:t>
      </w:r>
      <w:r>
        <w:rPr>
          <w:rFonts w:hint="eastAsia" w:ascii="Times New Roman" w:hAnsi="Times New Roman"/>
          <w:highlight w:val="none"/>
          <w:lang w:eastAsia="zh-CN"/>
        </w:rPr>
        <w:t>；</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3.3.3.</w:t>
      </w:r>
      <w:r>
        <w:rPr>
          <w:rFonts w:hint="eastAsia" w:ascii="Times New Roman" w:hAnsi="Times New Roman"/>
          <w:highlight w:val="none"/>
          <w:lang w:val="en-US" w:eastAsia="zh-CN"/>
        </w:rPr>
        <w:t>3</w:t>
      </w:r>
      <w:r>
        <w:rPr>
          <w:rFonts w:hint="eastAsia" w:ascii="Times New Roman" w:hAnsi="Times New Roman"/>
          <w:highlight w:val="none"/>
        </w:rPr>
        <w:t>具有高精度控制QA/QC功能，支持自动计算信噪比、精密度、回收率、检出限等方法学指标，仪器系统检查功能和用户安全管理功能。</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 xml:space="preserve">3.4配置清单 </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3.4.1气相色谱仪主机一套</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3.4.2惰性分流/不分流进样口 一套</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3.4.3质谱仪主机（含接口）一套</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3.4.4分子涡轮泵、机械泵（含真空规、离子规）一套</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3.4.5软件（含NIST谱库及农残、环境保留时间谱库）一套</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3.4.6自动进样器一套(150位以上自动进样器)</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highlight w:val="none"/>
          <w:lang w:eastAsia="zh-CN"/>
        </w:rPr>
      </w:pPr>
      <w:r>
        <w:rPr>
          <w:rFonts w:hint="eastAsia" w:ascii="Times New Roman" w:hAnsi="Times New Roman"/>
          <w:highlight w:val="none"/>
        </w:rPr>
        <w:t>3.4.7消耗品一套</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highlight w:val="none"/>
          <w:lang w:eastAsia="zh-CN"/>
        </w:rPr>
      </w:pPr>
      <w:r>
        <w:rPr>
          <w:rFonts w:hint="eastAsia" w:ascii="Times New Roman" w:hAnsi="Times New Roman"/>
          <w:highlight w:val="none"/>
        </w:rPr>
        <w:t>①至少含进样针10根</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highlight w:val="none"/>
          <w:lang w:eastAsia="zh-CN"/>
        </w:rPr>
      </w:pPr>
      <w:r>
        <w:rPr>
          <w:rFonts w:hint="eastAsia" w:ascii="Times New Roman" w:hAnsi="Times New Roman"/>
          <w:highlight w:val="none"/>
        </w:rPr>
        <w:t>②针固定支架1个</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highlight w:val="none"/>
          <w:lang w:eastAsia="zh-CN"/>
        </w:rPr>
      </w:pPr>
      <w:r>
        <w:rPr>
          <w:rFonts w:hint="eastAsia" w:ascii="Times New Roman" w:hAnsi="Times New Roman"/>
          <w:highlight w:val="none"/>
        </w:rPr>
        <w:t>③MS用分子筛过滤器1个</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highlight w:val="none"/>
          <w:lang w:eastAsia="zh-CN"/>
        </w:rPr>
      </w:pPr>
      <w:r>
        <w:rPr>
          <w:rFonts w:hint="eastAsia" w:ascii="Times New Roman" w:hAnsi="Times New Roman"/>
          <w:highlight w:val="none"/>
        </w:rPr>
        <w:t>④过滤组件2个</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highlight w:val="none"/>
          <w:lang w:eastAsia="zh-CN"/>
        </w:rPr>
      </w:pPr>
      <w:r>
        <w:rPr>
          <w:rFonts w:hint="eastAsia" w:ascii="Times New Roman" w:hAnsi="Times New Roman"/>
          <w:highlight w:val="none"/>
        </w:rPr>
        <w:t>⑤铝垫片100个</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highlight w:val="none"/>
          <w:lang w:eastAsia="zh-CN"/>
        </w:rPr>
      </w:pPr>
      <w:r>
        <w:rPr>
          <w:rFonts w:hint="eastAsia" w:ascii="Times New Roman" w:hAnsi="Times New Roman"/>
          <w:highlight w:val="none"/>
        </w:rPr>
        <w:t>⑥金垫片1包</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highlight w:val="none"/>
          <w:lang w:eastAsia="zh-CN"/>
        </w:rPr>
      </w:pPr>
      <w:r>
        <w:rPr>
          <w:rFonts w:hint="eastAsia" w:ascii="Times New Roman" w:hAnsi="Times New Roman"/>
          <w:highlight w:val="none"/>
        </w:rPr>
        <w:t>⑦绿色隔垫100个</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highlight w:val="none"/>
          <w:lang w:eastAsia="zh-CN"/>
        </w:rPr>
      </w:pPr>
      <w:r>
        <w:rPr>
          <w:rFonts w:hint="eastAsia" w:ascii="Times New Roman" w:hAnsi="Times New Roman"/>
          <w:highlight w:val="none"/>
        </w:rPr>
        <w:t>⑧惰性不分流衬管20根</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highlight w:val="none"/>
          <w:lang w:eastAsia="zh-CN"/>
        </w:rPr>
      </w:pPr>
      <w:r>
        <w:rPr>
          <w:rFonts w:hint="eastAsia" w:ascii="Times New Roman" w:hAnsi="Times New Roman"/>
          <w:highlight w:val="none"/>
        </w:rPr>
        <w:t>⑨惰性分流衬管20根</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highlight w:val="none"/>
          <w:lang w:eastAsia="zh-CN"/>
        </w:rPr>
      </w:pPr>
      <w:r>
        <w:rPr>
          <w:rFonts w:hint="eastAsia" w:ascii="Times New Roman" w:hAnsi="Times New Roman"/>
          <w:highlight w:val="none"/>
        </w:rPr>
        <w:t>⑩O形圈20个</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highlight w:val="none"/>
          <w:lang w:eastAsia="zh-CN"/>
        </w:rPr>
      </w:pPr>
      <w:r>
        <w:rPr>
          <w:rFonts w:hint="eastAsia" w:ascii="Times New Roman" w:hAnsi="Times New Roman"/>
          <w:highlight w:val="none"/>
        </w:rPr>
        <w:t>⑪石墨密封垫50个</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highlight w:val="none"/>
          <w:lang w:eastAsia="zh-CN"/>
        </w:rPr>
      </w:pPr>
      <w:r>
        <w:rPr>
          <w:rFonts w:hint="eastAsia" w:ascii="Times New Roman" w:hAnsi="Times New Roman"/>
          <w:highlight w:val="none"/>
        </w:rPr>
        <w:t>⑫柱接头20个</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highlight w:val="none"/>
          <w:lang w:eastAsia="zh-CN"/>
        </w:rPr>
      </w:pPr>
      <w:r>
        <w:rPr>
          <w:rFonts w:hint="eastAsia" w:ascii="Times New Roman" w:hAnsi="Times New Roman"/>
          <w:highlight w:val="none"/>
        </w:rPr>
        <w:t>⑬灯丝2根</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highlight w:val="none"/>
          <w:lang w:eastAsia="zh-CN"/>
        </w:rPr>
      </w:pPr>
      <w:r>
        <w:rPr>
          <w:rFonts w:hint="eastAsia" w:ascii="Times New Roman" w:hAnsi="Times New Roman"/>
          <w:highlight w:val="none"/>
        </w:rPr>
        <w:t>⑭绝缘垫1个</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highlight w:val="none"/>
          <w:lang w:eastAsia="zh-CN"/>
        </w:rPr>
      </w:pPr>
      <w:r>
        <w:rPr>
          <w:rFonts w:hint="eastAsia" w:ascii="Times New Roman" w:hAnsi="Times New Roman"/>
          <w:highlight w:val="none"/>
        </w:rPr>
        <w:t>⑮离子源清洗套装1套</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highlight w:val="none"/>
          <w:lang w:eastAsia="zh-CN"/>
        </w:rPr>
      </w:pPr>
      <w:r>
        <w:rPr>
          <w:rFonts w:hint="eastAsia" w:ascii="Times New Roman" w:hAnsi="Times New Roman"/>
          <w:highlight w:val="none"/>
        </w:rPr>
        <w:t>⑯调谐液1瓶</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⑰泵油1L 5瓶</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3.4.8 不间断供电系统(6KVA)一套</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3.4.9 超高惰性色谱柱 2根（1701MS和35MS）</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3.4.10 信号输出设备一套</w:t>
      </w:r>
      <w:r>
        <w:rPr>
          <w:rFonts w:hint="eastAsia" w:ascii="Times New Roman" w:hAnsi="Times New Roman"/>
          <w:highlight w:val="none"/>
          <w:lang w:eastAsia="zh-CN"/>
        </w:rPr>
        <w:t>。</w:t>
      </w:r>
    </w:p>
    <w:p>
      <w:pPr>
        <w:spacing w:line="360" w:lineRule="auto"/>
        <w:ind w:firstLine="480" w:firstLineChars="200"/>
        <w:jc w:val="left"/>
        <w:rPr>
          <w:rFonts w:ascii="宋体" w:hAnsi="宋体" w:eastAsia="宋体" w:cs="宋体"/>
          <w:color w:val="0D0D0D"/>
          <w:sz w:val="24"/>
          <w:highlight w:val="none"/>
        </w:rPr>
      </w:pPr>
    </w:p>
    <w:p>
      <w:pPr>
        <w:spacing w:line="360" w:lineRule="auto"/>
        <w:ind w:firstLine="482" w:firstLineChars="200"/>
        <w:jc w:val="left"/>
        <w:rPr>
          <w:rFonts w:ascii="宋体" w:hAnsi="宋体" w:eastAsia="宋体" w:cs="宋体"/>
          <w:b/>
          <w:bCs/>
          <w:color w:val="0D0D0D"/>
          <w:sz w:val="24"/>
          <w:highlight w:val="none"/>
        </w:rPr>
      </w:pPr>
      <w:r>
        <w:rPr>
          <w:rFonts w:hint="eastAsia" w:ascii="宋体" w:hAnsi="宋体" w:eastAsia="宋体" w:cs="宋体"/>
          <w:b/>
          <w:bCs/>
          <w:color w:val="0D0D0D"/>
          <w:sz w:val="24"/>
          <w:highlight w:val="none"/>
        </w:rPr>
        <w:t>4.净气式储药柜技术参数：</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4.1 用途：净气式储药柜主要用于实验室分析测试中化学试剂的存放，能够将挥发性有毒有害的化学品进行过滤吸附。</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4.2 技术参数要求</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4.2.1 设备应满足220V/50Hz的用电环境，能够在相对湿度30%-80%的范围内正常使用；</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4.2.2储存容量：≥140 瓶（每瓶 500ml）；</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4.2.3面板和过滤框均采用耐化学腐蚀的聚丙烯（PP）材质、柜体采用涂有抗酸聚 合物的镀锌钢板材质；层板材质：聚丙烯（PP）；具有盛液功能，且层板盛液体积：≥3L</w:t>
      </w:r>
      <w:r>
        <w:rPr>
          <w:rFonts w:hint="eastAsia" w:ascii="Times New Roman" w:hAnsi="Times New Roman"/>
          <w:highlight w:val="none"/>
          <w:lang w:eastAsia="zh-CN"/>
        </w:rPr>
        <w:t>；</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4.2.4过滤器材质应为高效活性炭或分子筛，其过滤器整个使用周期的吸附量应达到如下要求：</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异丙醇 ≥500g、环己烷≥750g、盐酸≥1620g；</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4.2.5过滤器的使用周期应不小于1.5年；</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4.2.6过滤器的空气过滤量应≥220m3/h；</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4.2.7 柜体层板材质应为防酸碱腐蚀的聚丙烯、聚四氟乙烯或同等防腐效果的材质，柜体门板应为防腐蚀透明亚克力门板；</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4.2.8柜体内层板的承重应≥100kg/m²；</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4.2.9过滤系统风机的使用寿命应不低于6年，功率应≤35w，运行噪音应≤35dB；</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4.2.10过滤系统风机应具有变频功能，柜体门打开时自动调速；</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4.2.11设备应配备有提示用户过滤器使用状态及报警信息的提示灯，风机故障、过滤器饱和时通过灯光报警</w:t>
      </w:r>
      <w:r>
        <w:rPr>
          <w:rFonts w:hint="eastAsia" w:ascii="Times New Roman" w:hAnsi="Times New Roman"/>
          <w:highlight w:val="none"/>
          <w:lang w:eastAsia="zh-CN"/>
        </w:rPr>
        <w:t>。</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4.3配置清单</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4.3.1高效活性炭过滤器1块：可吸附有机、无机、甲醛、氨水挥发气体</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highlight w:val="none"/>
          <w:lang w:eastAsia="zh-CN"/>
        </w:rPr>
      </w:pPr>
      <w:r>
        <w:rPr>
          <w:rFonts w:hint="eastAsia" w:ascii="Times New Roman" w:hAnsi="Times New Roman"/>
          <w:highlight w:val="none"/>
        </w:rPr>
        <w:t>4.3.2风机箱：采用静电无刷式风机，风机箱为PP一体注塑成型，可有效避漏电和被腐蚀，提升实验室安全</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4.3.3门板一对：采用可视化亚力克门板，方便取拿和管理试剂</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4.3.4监控软件一套：实现远程在线监控储药柜状态，并可以进行程序设置，同时在不安全状况出现时，及时在手机、平板和电脑上进行报警提醒</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4.3.5化学品过滤吸附参数手册一份：手册上的化学品种类超500种且显示每种化学品吸附量</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4.3.6储酸盒2个：采用优质PP材料，耐强酸强碱腐蚀，密封性好杜绝挥发</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4.3.7层板10块：抗变形，耐腐蚀，防溢出，且可根据需要调整整高度</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4.3.8机械锁：:2把，4把钥匙，方便取拿。对危化品实现双人双锁管理</w:t>
      </w:r>
      <w:r>
        <w:rPr>
          <w:rFonts w:hint="eastAsia" w:ascii="Times New Roman" w:hAnsi="Times New Roman"/>
          <w:highlight w:val="none"/>
          <w:lang w:eastAsia="zh-CN"/>
        </w:rPr>
        <w:t>。</w:t>
      </w:r>
    </w:p>
    <w:p>
      <w:pPr>
        <w:spacing w:line="360" w:lineRule="auto"/>
        <w:ind w:firstLine="480" w:firstLineChars="200"/>
        <w:jc w:val="left"/>
        <w:rPr>
          <w:rFonts w:ascii="宋体" w:hAnsi="宋体" w:eastAsia="宋体" w:cs="宋体"/>
          <w:color w:val="0D0D0D"/>
          <w:sz w:val="24"/>
          <w:highlight w:val="none"/>
        </w:rPr>
      </w:pPr>
    </w:p>
    <w:p>
      <w:pPr>
        <w:spacing w:line="360" w:lineRule="auto"/>
        <w:ind w:firstLine="482" w:firstLineChars="200"/>
        <w:jc w:val="left"/>
        <w:rPr>
          <w:rFonts w:ascii="宋体" w:hAnsi="宋体" w:eastAsia="宋体" w:cs="宋体"/>
          <w:b/>
          <w:bCs/>
          <w:color w:val="0D0D0D"/>
          <w:sz w:val="24"/>
          <w:highlight w:val="none"/>
        </w:rPr>
      </w:pPr>
      <w:r>
        <w:rPr>
          <w:rFonts w:hint="eastAsia" w:ascii="宋体" w:hAnsi="宋体" w:eastAsia="宋体" w:cs="宋体"/>
          <w:b/>
          <w:bCs/>
          <w:color w:val="0D0D0D"/>
          <w:sz w:val="24"/>
          <w:highlight w:val="none"/>
        </w:rPr>
        <w:t>5.电热板参数：</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5.1 用途：电热板主要用于水样、空气和废气样品及土壤样品中金属元素测定的消解前处理。</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5.2 技术参数要求</w:t>
      </w:r>
    </w:p>
    <w:p>
      <w:pPr>
        <w:spacing w:line="360" w:lineRule="auto"/>
        <w:ind w:firstLine="420" w:firstLineChars="200"/>
        <w:jc w:val="left"/>
        <w:rPr>
          <w:rFonts w:ascii="Times New Roman" w:hAnsi="Times New Roman"/>
          <w:b/>
          <w:bCs/>
          <w:highlight w:val="none"/>
        </w:rPr>
      </w:pPr>
      <w:r>
        <w:rPr>
          <w:rFonts w:hint="eastAsia" w:ascii="Times New Roman" w:hAnsi="Times New Roman"/>
          <w:highlight w:val="none"/>
        </w:rPr>
        <w:t>▲5.2.1 电热板应采用碳化硅或高级陶瓷材质面板，耐各种强酸、强碱及腐蚀性气体；</w:t>
      </w:r>
      <w:r>
        <w:rPr>
          <w:rFonts w:hint="eastAsia" w:ascii="Times New Roman" w:hAnsi="Times New Roman"/>
          <w:b/>
          <w:bCs/>
          <w:highlight w:val="none"/>
        </w:rPr>
        <w:t>（提供彩页或技术说明书复印件并加盖投标人公章）</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5.2.2电热板应具备板上测温功能，板面温度应能够达到350℃～500℃；</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5.2.3 电热板板面应受热均匀，板面对角线上各点最大温差应不大于2℃，控温精度应达到±0.1℃，应具有PID调节功能；</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5.2.4电热板升温速度较快；</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5.2.5电热板应有ABS塑料外框，整机耐腐蚀；</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5.2.6 电热板板面硬度应大于莫氏8，使用后应无抹痕；</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5.2.7电热板应具有自动断电报警功能；</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5.2.8 板面尺寸不小于300mm×400mm</w:t>
      </w:r>
      <w:r>
        <w:rPr>
          <w:rFonts w:hint="eastAsia" w:ascii="Times New Roman" w:hAnsi="Times New Roman"/>
          <w:highlight w:val="none"/>
          <w:lang w:eastAsia="zh-CN"/>
        </w:rPr>
        <w:t>。</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5.3 配置要求</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5.3.1电热板主机1台</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5.3.2适配电源1套</w:t>
      </w:r>
      <w:r>
        <w:rPr>
          <w:rFonts w:hint="eastAsia" w:ascii="Times New Roman" w:hAnsi="Times New Roman"/>
          <w:highlight w:val="none"/>
          <w:lang w:eastAsia="zh-CN"/>
        </w:rPr>
        <w:t>。</w:t>
      </w:r>
    </w:p>
    <w:p>
      <w:pPr>
        <w:spacing w:line="360" w:lineRule="auto"/>
        <w:ind w:firstLine="482" w:firstLineChars="200"/>
        <w:jc w:val="left"/>
        <w:rPr>
          <w:rFonts w:ascii="宋体" w:hAnsi="宋体" w:eastAsia="宋体" w:cs="宋体"/>
          <w:b/>
          <w:bCs/>
          <w:color w:val="0D0D0D"/>
          <w:sz w:val="24"/>
          <w:highlight w:val="none"/>
        </w:rPr>
      </w:pPr>
      <w:r>
        <w:rPr>
          <w:rFonts w:hint="eastAsia" w:ascii="宋体" w:hAnsi="宋体" w:eastAsia="宋体" w:cs="宋体"/>
          <w:b/>
          <w:bCs/>
          <w:color w:val="0D0D0D"/>
          <w:sz w:val="24"/>
          <w:highlight w:val="none"/>
        </w:rPr>
        <w:t>6.测汞仪技术参数：</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6.1仪器用途</w:t>
      </w:r>
      <w:r>
        <w:rPr>
          <w:rFonts w:hint="eastAsia" w:ascii="Times New Roman" w:hAnsi="Times New Roman"/>
          <w:highlight w:val="none"/>
          <w:lang w:eastAsia="zh-CN"/>
        </w:rPr>
        <w:t>：</w:t>
      </w:r>
      <w:r>
        <w:rPr>
          <w:rFonts w:hint="eastAsia" w:ascii="Times New Roman" w:hAnsi="Times New Roman"/>
          <w:highlight w:val="none"/>
        </w:rPr>
        <w:t>测汞仪主要用于废气、土壤和固废中汞的直接分析测定。</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6.</w:t>
      </w:r>
      <w:r>
        <w:rPr>
          <w:rFonts w:ascii="Times New Roman" w:hAnsi="Times New Roman"/>
          <w:highlight w:val="none"/>
        </w:rPr>
        <w:t>2技术要求</w:t>
      </w:r>
    </w:p>
    <w:p>
      <w:pPr>
        <w:spacing w:line="360" w:lineRule="auto"/>
        <w:ind w:firstLine="420" w:firstLineChars="200"/>
        <w:jc w:val="left"/>
        <w:rPr>
          <w:rFonts w:ascii="Times New Roman" w:hAnsi="Times New Roman"/>
          <w:b/>
          <w:bCs/>
          <w:highlight w:val="none"/>
        </w:rPr>
      </w:pPr>
      <w:r>
        <w:rPr>
          <w:rFonts w:ascii="Times New Roman" w:hAnsi="Times New Roman"/>
          <w:bCs/>
          <w:color w:val="0D0D0D"/>
          <w:szCs w:val="21"/>
          <w:highlight w:val="none"/>
        </w:rPr>
        <w:t>▲</w:t>
      </w:r>
      <w:r>
        <w:rPr>
          <w:rFonts w:hint="eastAsia" w:ascii="Times New Roman" w:hAnsi="Times New Roman"/>
          <w:highlight w:val="none"/>
        </w:rPr>
        <w:t>6.</w:t>
      </w:r>
      <w:r>
        <w:rPr>
          <w:rFonts w:ascii="Times New Roman" w:hAnsi="Times New Roman"/>
          <w:highlight w:val="none"/>
        </w:rPr>
        <w:t>2.1仪器</w:t>
      </w:r>
      <w:r>
        <w:rPr>
          <w:rFonts w:hint="eastAsia" w:ascii="Times New Roman" w:hAnsi="Times New Roman"/>
          <w:highlight w:val="none"/>
        </w:rPr>
        <w:t>须</w:t>
      </w:r>
      <w:r>
        <w:rPr>
          <w:rFonts w:ascii="Times New Roman" w:hAnsi="Times New Roman"/>
          <w:highlight w:val="none"/>
        </w:rPr>
        <w:t>满足HJ 917-2017和HJ 923-2017方法要求；</w:t>
      </w:r>
      <w:r>
        <w:rPr>
          <w:rFonts w:hint="eastAsia" w:ascii="Times New Roman" w:hAnsi="Times New Roman"/>
          <w:b/>
          <w:bCs/>
          <w:highlight w:val="none"/>
        </w:rPr>
        <w:t>（提供彩页或技术说明书复印件并加盖投标人公章）</w:t>
      </w:r>
    </w:p>
    <w:p>
      <w:pPr>
        <w:spacing w:line="360" w:lineRule="auto"/>
        <w:ind w:firstLine="420" w:firstLineChars="200"/>
        <w:jc w:val="left"/>
        <w:rPr>
          <w:rFonts w:ascii="Times New Roman" w:hAnsi="Times New Roman"/>
          <w:b/>
          <w:bCs/>
          <w:highlight w:val="none"/>
        </w:rPr>
      </w:pPr>
      <w:r>
        <w:rPr>
          <w:rFonts w:ascii="Times New Roman" w:hAnsi="Times New Roman"/>
          <w:bCs/>
          <w:color w:val="0D0D0D"/>
          <w:szCs w:val="21"/>
          <w:highlight w:val="none"/>
        </w:rPr>
        <w:t>▲</w:t>
      </w:r>
      <w:r>
        <w:rPr>
          <w:rFonts w:hint="eastAsia" w:ascii="Times New Roman" w:hAnsi="Times New Roman"/>
          <w:highlight w:val="none"/>
        </w:rPr>
        <w:t>6.</w:t>
      </w:r>
      <w:r>
        <w:rPr>
          <w:rFonts w:ascii="Times New Roman" w:hAnsi="Times New Roman"/>
          <w:highlight w:val="none"/>
        </w:rPr>
        <w:t>2.</w:t>
      </w:r>
      <w:r>
        <w:rPr>
          <w:rFonts w:hint="eastAsia" w:ascii="Times New Roman" w:hAnsi="Times New Roman"/>
          <w:highlight w:val="none"/>
        </w:rPr>
        <w:t>2</w:t>
      </w:r>
      <w:r>
        <w:rPr>
          <w:rFonts w:ascii="Times New Roman" w:hAnsi="Times New Roman"/>
          <w:highlight w:val="none"/>
        </w:rPr>
        <w:t>仪器应有效控制样品中汞释放的完整性。土壤、沉积物等固体样品检出限应</w:t>
      </w:r>
      <w:r>
        <w:rPr>
          <w:rFonts w:hint="eastAsia" w:ascii="Times New Roman" w:hAnsi="Times New Roman"/>
          <w:highlight w:val="none"/>
        </w:rPr>
        <w:t>≤</w:t>
      </w:r>
      <w:r>
        <w:rPr>
          <w:rFonts w:ascii="Times New Roman" w:hAnsi="Times New Roman"/>
          <w:highlight w:val="none"/>
        </w:rPr>
        <w:t>0.2µg/kg ；仪器应便携性强，可实验室和野外操作；</w:t>
      </w:r>
      <w:r>
        <w:rPr>
          <w:rFonts w:hint="eastAsia" w:ascii="Times New Roman" w:hAnsi="Times New Roman"/>
          <w:b/>
          <w:bCs/>
          <w:highlight w:val="none"/>
        </w:rPr>
        <w:t>（提供彩页或技术说明书复印件并加盖投标人公章）</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6.</w:t>
      </w:r>
      <w:r>
        <w:rPr>
          <w:rFonts w:ascii="Times New Roman" w:hAnsi="Times New Roman"/>
          <w:highlight w:val="none"/>
        </w:rPr>
        <w:t>2.</w:t>
      </w:r>
      <w:r>
        <w:rPr>
          <w:rFonts w:hint="eastAsia" w:ascii="Times New Roman" w:hAnsi="Times New Roman"/>
          <w:highlight w:val="none"/>
        </w:rPr>
        <w:t>3</w:t>
      </w:r>
      <w:r>
        <w:rPr>
          <w:rFonts w:ascii="Times New Roman" w:hAnsi="Times New Roman"/>
          <w:highlight w:val="none"/>
        </w:rPr>
        <w:t>电源应满足：交电220V/50Hz和直电10/14V；</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6.</w:t>
      </w:r>
      <w:r>
        <w:rPr>
          <w:rFonts w:ascii="Times New Roman" w:hAnsi="Times New Roman"/>
          <w:highlight w:val="none"/>
        </w:rPr>
        <w:t>2.</w:t>
      </w:r>
      <w:r>
        <w:rPr>
          <w:rFonts w:hint="eastAsia" w:ascii="Times New Roman" w:hAnsi="Times New Roman"/>
          <w:highlight w:val="none"/>
        </w:rPr>
        <w:t>4</w:t>
      </w:r>
      <w:r>
        <w:rPr>
          <w:rFonts w:ascii="Times New Roman" w:hAnsi="Times New Roman"/>
          <w:highlight w:val="none"/>
        </w:rPr>
        <w:t>热解温度范围应满足：室温</w:t>
      </w:r>
      <w:r>
        <w:rPr>
          <w:rFonts w:hint="eastAsia" w:ascii="Times New Roman" w:hAnsi="Times New Roman"/>
          <w:highlight w:val="none"/>
        </w:rPr>
        <w:t>~</w:t>
      </w:r>
      <w:r>
        <w:rPr>
          <w:rFonts w:ascii="Times New Roman" w:hAnsi="Times New Roman"/>
          <w:highlight w:val="none"/>
        </w:rPr>
        <w:t>999℃；</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6.</w:t>
      </w:r>
      <w:r>
        <w:rPr>
          <w:rFonts w:ascii="Times New Roman" w:hAnsi="Times New Roman"/>
          <w:highlight w:val="none"/>
        </w:rPr>
        <w:t>2.</w:t>
      </w:r>
      <w:r>
        <w:rPr>
          <w:rFonts w:hint="eastAsia" w:ascii="Times New Roman" w:hAnsi="Times New Roman"/>
          <w:highlight w:val="none"/>
        </w:rPr>
        <w:t>5</w:t>
      </w:r>
      <w:r>
        <w:rPr>
          <w:rFonts w:ascii="Times New Roman" w:hAnsi="Times New Roman"/>
          <w:highlight w:val="none"/>
        </w:rPr>
        <w:t>分析速度应满足：≤2分钟/样品；</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6.</w:t>
      </w:r>
      <w:r>
        <w:rPr>
          <w:rFonts w:ascii="Times New Roman" w:hAnsi="Times New Roman"/>
          <w:highlight w:val="none"/>
        </w:rPr>
        <w:t>2.</w:t>
      </w:r>
      <w:r>
        <w:rPr>
          <w:rFonts w:hint="eastAsia" w:ascii="Times New Roman" w:hAnsi="Times New Roman"/>
          <w:highlight w:val="none"/>
        </w:rPr>
        <w:t>6</w:t>
      </w:r>
      <w:r>
        <w:rPr>
          <w:rFonts w:ascii="Times New Roman" w:hAnsi="Times New Roman"/>
          <w:highlight w:val="none"/>
        </w:rPr>
        <w:t>仪器控制端应具有友好的计算机界面，实现样品中汞释放的可视化操作；</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6.</w:t>
      </w:r>
      <w:r>
        <w:rPr>
          <w:rFonts w:ascii="Times New Roman" w:hAnsi="Times New Roman"/>
          <w:highlight w:val="none"/>
        </w:rPr>
        <w:t>2.</w:t>
      </w:r>
      <w:r>
        <w:rPr>
          <w:rFonts w:hint="eastAsia" w:ascii="Times New Roman" w:hAnsi="Times New Roman"/>
          <w:highlight w:val="none"/>
        </w:rPr>
        <w:t>.7</w:t>
      </w:r>
      <w:r>
        <w:rPr>
          <w:rFonts w:ascii="Times New Roman" w:hAnsi="Times New Roman"/>
          <w:highlight w:val="none"/>
        </w:rPr>
        <w:t>仪器应具有全套分析软件及数据处理系统；</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6.</w:t>
      </w:r>
      <w:r>
        <w:rPr>
          <w:rFonts w:ascii="Times New Roman" w:hAnsi="Times New Roman"/>
          <w:highlight w:val="none"/>
        </w:rPr>
        <w:t>2.</w:t>
      </w:r>
      <w:r>
        <w:rPr>
          <w:rFonts w:hint="eastAsia" w:ascii="Times New Roman" w:hAnsi="Times New Roman"/>
          <w:highlight w:val="none"/>
        </w:rPr>
        <w:t>8</w:t>
      </w:r>
      <w:r>
        <w:rPr>
          <w:rFonts w:ascii="Times New Roman" w:hAnsi="Times New Roman"/>
          <w:highlight w:val="none"/>
        </w:rPr>
        <w:t>仪器软件应具有自动空白功能；</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6.</w:t>
      </w:r>
      <w:r>
        <w:rPr>
          <w:rFonts w:ascii="Times New Roman" w:hAnsi="Times New Roman"/>
          <w:highlight w:val="none"/>
        </w:rPr>
        <w:t>2.</w:t>
      </w:r>
      <w:r>
        <w:rPr>
          <w:rFonts w:hint="eastAsia" w:ascii="Times New Roman" w:hAnsi="Times New Roman"/>
          <w:highlight w:val="none"/>
        </w:rPr>
        <w:t>9</w:t>
      </w:r>
      <w:r>
        <w:rPr>
          <w:rFonts w:ascii="Times New Roman" w:hAnsi="Times New Roman"/>
          <w:highlight w:val="none"/>
        </w:rPr>
        <w:t>仪器的工作环境应能够在温度10- 30℃、湿度20％</w:t>
      </w:r>
      <w:r>
        <w:rPr>
          <w:rFonts w:hint="eastAsia" w:ascii="Times New Roman" w:hAnsi="Times New Roman"/>
          <w:highlight w:val="none"/>
        </w:rPr>
        <w:t>~</w:t>
      </w:r>
      <w:r>
        <w:rPr>
          <w:rFonts w:ascii="Times New Roman" w:hAnsi="Times New Roman"/>
          <w:highlight w:val="none"/>
        </w:rPr>
        <w:t>80％范围内正常工作；</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6.</w:t>
      </w:r>
      <w:r>
        <w:rPr>
          <w:rFonts w:ascii="Times New Roman" w:hAnsi="Times New Roman"/>
          <w:highlight w:val="none"/>
        </w:rPr>
        <w:t>2.</w:t>
      </w:r>
      <w:r>
        <w:rPr>
          <w:rFonts w:hint="eastAsia" w:ascii="Times New Roman" w:hAnsi="Times New Roman"/>
          <w:highlight w:val="none"/>
        </w:rPr>
        <w:t>10</w:t>
      </w:r>
      <w:r>
        <w:rPr>
          <w:rFonts w:ascii="Times New Roman" w:hAnsi="Times New Roman"/>
          <w:highlight w:val="none"/>
        </w:rPr>
        <w:t>仪器应能够与国内嶗应、众瑞、明华电子、武汉天虹等品牌的烟气汞采样器配套使用。</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6.</w:t>
      </w:r>
      <w:r>
        <w:rPr>
          <w:rFonts w:ascii="Times New Roman" w:hAnsi="Times New Roman"/>
          <w:highlight w:val="none"/>
        </w:rPr>
        <w:t>3 配置要求</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6.</w:t>
      </w:r>
      <w:r>
        <w:rPr>
          <w:rFonts w:ascii="Times New Roman" w:hAnsi="Times New Roman"/>
          <w:highlight w:val="none"/>
        </w:rPr>
        <w:t>3.1测汞仪主机1台；</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6.</w:t>
      </w:r>
      <w:r>
        <w:rPr>
          <w:rFonts w:ascii="Times New Roman" w:hAnsi="Times New Roman"/>
          <w:highlight w:val="none"/>
        </w:rPr>
        <w:t>3.2电源适配器1个；</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6.</w:t>
      </w:r>
      <w:r>
        <w:rPr>
          <w:rFonts w:ascii="Times New Roman" w:hAnsi="Times New Roman"/>
          <w:highlight w:val="none"/>
        </w:rPr>
        <w:t>3.3防尘过滤器1个；</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6.</w:t>
      </w:r>
      <w:r>
        <w:rPr>
          <w:rFonts w:ascii="Times New Roman" w:hAnsi="Times New Roman"/>
          <w:highlight w:val="none"/>
        </w:rPr>
        <w:t>3.4热裂解复杂样品分析附件1套；</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6.</w:t>
      </w:r>
      <w:r>
        <w:rPr>
          <w:rFonts w:ascii="Times New Roman" w:hAnsi="Times New Roman"/>
          <w:highlight w:val="none"/>
        </w:rPr>
        <w:t>3.5热解室1个；</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6.</w:t>
      </w:r>
      <w:r>
        <w:rPr>
          <w:rFonts w:ascii="Times New Roman" w:hAnsi="Times New Roman"/>
          <w:highlight w:val="none"/>
        </w:rPr>
        <w:t>3.6气泵单元1个；</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6.</w:t>
      </w:r>
      <w:r>
        <w:rPr>
          <w:rFonts w:ascii="Times New Roman" w:hAnsi="Times New Roman"/>
          <w:highlight w:val="none"/>
        </w:rPr>
        <w:t>3.7带手柄的样品舟5个；</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6.</w:t>
      </w:r>
      <w:r>
        <w:rPr>
          <w:rFonts w:ascii="Times New Roman" w:hAnsi="Times New Roman"/>
          <w:highlight w:val="none"/>
        </w:rPr>
        <w:t>3.8不带手柄的样品舟5个；</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rPr>
        <w:t>6.</w:t>
      </w:r>
      <w:r>
        <w:rPr>
          <w:rFonts w:ascii="Times New Roman" w:hAnsi="Times New Roman"/>
          <w:highlight w:val="none"/>
        </w:rPr>
        <w:t>3.9中文版操作说明书</w:t>
      </w:r>
      <w:r>
        <w:rPr>
          <w:rFonts w:hint="eastAsia" w:ascii="Times New Roman" w:hAnsi="Times New Roman"/>
          <w:highlight w:val="none"/>
          <w:lang w:eastAsia="zh-CN"/>
        </w:rPr>
        <w:t>；</w:t>
      </w:r>
    </w:p>
    <w:p>
      <w:pPr>
        <w:spacing w:line="360" w:lineRule="auto"/>
        <w:ind w:firstLine="420" w:firstLineChars="200"/>
        <w:jc w:val="left"/>
        <w:rPr>
          <w:rFonts w:hint="eastAsia" w:ascii="Times New Roman" w:hAnsi="Times New Roman" w:eastAsiaTheme="minorEastAsia"/>
          <w:highlight w:val="none"/>
          <w:lang w:eastAsia="zh-CN"/>
        </w:rPr>
      </w:pPr>
      <w:r>
        <w:rPr>
          <w:rFonts w:hint="eastAsia" w:ascii="Times New Roman" w:hAnsi="Times New Roman"/>
          <w:highlight w:val="none"/>
          <w:lang w:val="en-US" w:eastAsia="zh-CN"/>
        </w:rPr>
        <w:t>6.3.10</w:t>
      </w:r>
      <w:r>
        <w:rPr>
          <w:rFonts w:ascii="Times New Roman" w:hAnsi="Times New Roman"/>
          <w:highlight w:val="none"/>
        </w:rPr>
        <w:t>软件光盘</w:t>
      </w:r>
      <w:r>
        <w:rPr>
          <w:rFonts w:hint="eastAsia" w:ascii="Times New Roman" w:hAnsi="Times New Roman"/>
          <w:highlight w:val="none"/>
          <w:lang w:eastAsia="zh-CN"/>
        </w:rPr>
        <w:t>；</w:t>
      </w:r>
    </w:p>
    <w:p>
      <w:pPr>
        <w:spacing w:line="360" w:lineRule="auto"/>
        <w:ind w:firstLine="420" w:firstLineChars="200"/>
        <w:jc w:val="left"/>
        <w:rPr>
          <w:rFonts w:ascii="宋体" w:hAnsi="宋体" w:eastAsia="宋体" w:cs="宋体"/>
          <w:color w:val="0D0D0D"/>
          <w:sz w:val="24"/>
          <w:highlight w:val="none"/>
        </w:rPr>
      </w:pPr>
      <w:r>
        <w:rPr>
          <w:rFonts w:hint="eastAsia" w:ascii="Times New Roman" w:hAnsi="Times New Roman"/>
          <w:highlight w:val="none"/>
          <w:lang w:val="en-US" w:eastAsia="zh-CN"/>
        </w:rPr>
        <w:t>6.3.11</w:t>
      </w:r>
      <w:r>
        <w:rPr>
          <w:rFonts w:ascii="Times New Roman" w:hAnsi="Times New Roman"/>
          <w:highlight w:val="none"/>
        </w:rPr>
        <w:t>质量证书各1份</w:t>
      </w:r>
      <w:r>
        <w:rPr>
          <w:rFonts w:hint="eastAsia" w:ascii="Times New Roman" w:hAnsi="Times New Roman"/>
          <w:highlight w:val="none"/>
        </w:rPr>
        <w:t>。</w:t>
      </w:r>
    </w:p>
    <w:p>
      <w:pPr>
        <w:spacing w:line="360" w:lineRule="auto"/>
        <w:ind w:firstLine="482" w:firstLineChars="200"/>
        <w:jc w:val="left"/>
        <w:rPr>
          <w:rFonts w:ascii="宋体" w:hAnsi="宋体" w:eastAsia="宋体" w:cs="宋体"/>
          <w:b/>
          <w:bCs/>
          <w:color w:val="0D0D0D"/>
          <w:sz w:val="24"/>
          <w:highlight w:val="none"/>
        </w:rPr>
      </w:pPr>
      <w:r>
        <w:rPr>
          <w:rFonts w:hint="eastAsia" w:ascii="宋体" w:hAnsi="宋体" w:eastAsia="宋体" w:cs="宋体"/>
          <w:b/>
          <w:bCs/>
          <w:color w:val="0D0D0D"/>
          <w:sz w:val="24"/>
          <w:highlight w:val="none"/>
        </w:rPr>
        <w:t>7.瓶口分液器技术参数：</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7.</w:t>
      </w:r>
      <w:r>
        <w:rPr>
          <w:rFonts w:ascii="Times New Roman" w:hAnsi="Times New Roman"/>
          <w:highlight w:val="none"/>
        </w:rPr>
        <w:t>1规格要求：5～30ml，最小分度：0.5ml。</w:t>
      </w:r>
    </w:p>
    <w:p>
      <w:pPr>
        <w:spacing w:line="360" w:lineRule="auto"/>
        <w:ind w:firstLine="420" w:firstLineChars="200"/>
        <w:jc w:val="left"/>
        <w:rPr>
          <w:rFonts w:ascii="Times New Roman" w:hAnsi="Times New Roman"/>
          <w:highlight w:val="none"/>
        </w:rPr>
      </w:pPr>
      <w:r>
        <w:rPr>
          <w:rFonts w:hint="eastAsia" w:ascii="Times New Roman" w:hAnsi="Times New Roman"/>
          <w:highlight w:val="none"/>
        </w:rPr>
        <w:t>7.</w:t>
      </w:r>
      <w:r>
        <w:rPr>
          <w:rFonts w:ascii="Times New Roman" w:hAnsi="Times New Roman"/>
          <w:highlight w:val="none"/>
        </w:rPr>
        <w:t>2技术指标：</w:t>
      </w:r>
    </w:p>
    <w:p>
      <w:pPr>
        <w:spacing w:line="360" w:lineRule="auto"/>
        <w:ind w:firstLine="420" w:firstLineChars="200"/>
        <w:jc w:val="left"/>
        <w:rPr>
          <w:rFonts w:ascii="Times New Roman" w:hAnsi="Times New Roman"/>
          <w:b/>
          <w:bCs/>
          <w:highlight w:val="none"/>
        </w:rPr>
      </w:pPr>
      <w:r>
        <w:rPr>
          <w:rFonts w:ascii="Times New Roman" w:hAnsi="Times New Roman"/>
          <w:bCs/>
          <w:color w:val="0D0D0D"/>
          <w:szCs w:val="21"/>
          <w:highlight w:val="none"/>
        </w:rPr>
        <w:t>▲</w:t>
      </w:r>
      <w:r>
        <w:rPr>
          <w:rFonts w:hint="eastAsia" w:ascii="Times New Roman" w:hAnsi="Times New Roman"/>
          <w:highlight w:val="none"/>
        </w:rPr>
        <w:t>7.</w:t>
      </w:r>
      <w:r>
        <w:rPr>
          <w:rFonts w:ascii="Times New Roman" w:hAnsi="Times New Roman"/>
          <w:highlight w:val="none"/>
        </w:rPr>
        <w:t>2.1由高纯度陶瓷制成的活塞柱，耐各种强酸、强碱和有机物腐蚀，耐磨损；</w:t>
      </w:r>
      <w:r>
        <w:rPr>
          <w:rFonts w:hint="eastAsia" w:ascii="Times New Roman" w:hAnsi="Times New Roman"/>
          <w:b/>
          <w:bCs/>
          <w:highlight w:val="none"/>
        </w:rPr>
        <w:t>（提供彩页或技术说明书复印件并加盖投标人公章）</w:t>
      </w:r>
    </w:p>
    <w:p>
      <w:pPr>
        <w:spacing w:line="360" w:lineRule="auto"/>
        <w:ind w:firstLine="420" w:firstLineChars="200"/>
        <w:jc w:val="left"/>
        <w:rPr>
          <w:rFonts w:hint="eastAsia" w:ascii="Times New Roman" w:hAnsi="Times New Roman" w:eastAsiaTheme="minorEastAsia"/>
          <w:bCs/>
          <w:color w:val="0D0D0D"/>
          <w:szCs w:val="21"/>
          <w:highlight w:val="none"/>
          <w:lang w:eastAsia="zh-CN"/>
        </w:rPr>
      </w:pPr>
      <w:r>
        <w:rPr>
          <w:rFonts w:hint="eastAsia" w:ascii="Times New Roman" w:hAnsi="Times New Roman"/>
          <w:bCs/>
          <w:color w:val="0D0D0D"/>
          <w:szCs w:val="21"/>
          <w:highlight w:val="none"/>
        </w:rPr>
        <w:t>7.</w:t>
      </w:r>
      <w:r>
        <w:rPr>
          <w:rFonts w:ascii="Times New Roman" w:hAnsi="Times New Roman"/>
          <w:bCs/>
          <w:color w:val="0D0D0D"/>
          <w:szCs w:val="21"/>
          <w:highlight w:val="none"/>
        </w:rPr>
        <w:t>2.2有易操作的多功能安全阀，有试剂回收系统，不出现排液管漏液；在移液操作后，可将安全阀调至密封档位，确保试剂密封</w:t>
      </w:r>
      <w:r>
        <w:rPr>
          <w:rFonts w:hint="eastAsia" w:ascii="Times New Roman" w:hAnsi="Times New Roman"/>
          <w:bCs/>
          <w:color w:val="0D0D0D"/>
          <w:szCs w:val="21"/>
          <w:highlight w:val="none"/>
          <w:lang w:eastAsia="zh-CN"/>
        </w:rPr>
        <w:t>；</w:t>
      </w:r>
    </w:p>
    <w:p>
      <w:pPr>
        <w:spacing w:line="360" w:lineRule="auto"/>
        <w:ind w:firstLine="420" w:firstLineChars="200"/>
        <w:jc w:val="left"/>
        <w:rPr>
          <w:rFonts w:hint="eastAsia" w:ascii="Times New Roman" w:hAnsi="Times New Roman" w:eastAsiaTheme="minorEastAsia"/>
          <w:bCs/>
          <w:color w:val="0D0D0D"/>
          <w:szCs w:val="21"/>
          <w:highlight w:val="none"/>
          <w:lang w:eastAsia="zh-CN"/>
        </w:rPr>
      </w:pPr>
      <w:r>
        <w:rPr>
          <w:rFonts w:hint="eastAsia" w:ascii="Times New Roman" w:hAnsi="Times New Roman"/>
          <w:bCs/>
          <w:color w:val="0D0D0D"/>
          <w:szCs w:val="21"/>
          <w:highlight w:val="none"/>
        </w:rPr>
        <w:t>7.</w:t>
      </w:r>
      <w:r>
        <w:rPr>
          <w:rFonts w:ascii="Times New Roman" w:hAnsi="Times New Roman"/>
          <w:bCs/>
          <w:color w:val="0D0D0D"/>
          <w:szCs w:val="21"/>
          <w:highlight w:val="none"/>
        </w:rPr>
        <w:t>2.3用阶梯式控制量程，采用容量分度节环，确保分液量的高度精确，无人为误差</w:t>
      </w:r>
      <w:r>
        <w:rPr>
          <w:rFonts w:hint="eastAsia" w:ascii="Times New Roman" w:hAnsi="Times New Roman"/>
          <w:bCs/>
          <w:color w:val="0D0D0D"/>
          <w:szCs w:val="21"/>
          <w:highlight w:val="none"/>
          <w:lang w:eastAsia="zh-CN"/>
        </w:rPr>
        <w:t>；</w:t>
      </w:r>
    </w:p>
    <w:p>
      <w:pPr>
        <w:spacing w:line="360" w:lineRule="auto"/>
        <w:ind w:firstLine="420" w:firstLineChars="200"/>
        <w:jc w:val="left"/>
        <w:rPr>
          <w:rFonts w:hint="eastAsia" w:ascii="Times New Roman" w:hAnsi="Times New Roman" w:eastAsiaTheme="minorEastAsia"/>
          <w:bCs/>
          <w:color w:val="0D0D0D"/>
          <w:szCs w:val="21"/>
          <w:highlight w:val="none"/>
          <w:lang w:eastAsia="zh-CN"/>
        </w:rPr>
      </w:pPr>
      <w:r>
        <w:rPr>
          <w:rFonts w:hint="eastAsia" w:ascii="Times New Roman" w:hAnsi="Times New Roman"/>
          <w:bCs/>
          <w:color w:val="0D0D0D"/>
          <w:szCs w:val="21"/>
          <w:highlight w:val="none"/>
        </w:rPr>
        <w:t>7.</w:t>
      </w:r>
      <w:r>
        <w:rPr>
          <w:rFonts w:ascii="Times New Roman" w:hAnsi="Times New Roman"/>
          <w:bCs/>
          <w:color w:val="0D0D0D"/>
          <w:szCs w:val="21"/>
          <w:highlight w:val="none"/>
        </w:rPr>
        <w:t>2.4机体无</w:t>
      </w:r>
      <w:r>
        <w:rPr>
          <w:rFonts w:hint="eastAsia" w:ascii="Times New Roman" w:hAnsi="Times New Roman"/>
          <w:bCs/>
          <w:color w:val="0D0D0D"/>
          <w:szCs w:val="21"/>
          <w:highlight w:val="none"/>
        </w:rPr>
        <w:t>需</w:t>
      </w:r>
      <w:r>
        <w:rPr>
          <w:rFonts w:ascii="Times New Roman" w:hAnsi="Times New Roman"/>
          <w:bCs/>
          <w:color w:val="0D0D0D"/>
          <w:szCs w:val="21"/>
          <w:highlight w:val="none"/>
        </w:rPr>
        <w:t>拆卸即可进行高温消毒，带有透明视窗</w:t>
      </w:r>
      <w:r>
        <w:rPr>
          <w:rFonts w:hint="eastAsia" w:ascii="Times New Roman" w:hAnsi="Times New Roman"/>
          <w:bCs/>
          <w:color w:val="0D0D0D"/>
          <w:szCs w:val="21"/>
          <w:highlight w:val="none"/>
          <w:lang w:eastAsia="zh-CN"/>
        </w:rPr>
        <w:t>；</w:t>
      </w:r>
    </w:p>
    <w:p>
      <w:pPr>
        <w:spacing w:line="360" w:lineRule="auto"/>
        <w:ind w:firstLine="420" w:firstLineChars="200"/>
        <w:jc w:val="left"/>
        <w:rPr>
          <w:rFonts w:ascii="Times New Roman" w:hAnsi="Times New Roman"/>
          <w:bCs/>
          <w:color w:val="0D0D0D"/>
          <w:szCs w:val="21"/>
          <w:highlight w:val="none"/>
        </w:rPr>
      </w:pPr>
      <w:r>
        <w:rPr>
          <w:rFonts w:hint="eastAsia" w:ascii="Times New Roman" w:hAnsi="Times New Roman"/>
          <w:bCs/>
          <w:color w:val="0D0D0D"/>
          <w:szCs w:val="21"/>
          <w:highlight w:val="none"/>
        </w:rPr>
        <w:t>7.</w:t>
      </w:r>
      <w:r>
        <w:rPr>
          <w:rFonts w:ascii="Times New Roman" w:hAnsi="Times New Roman"/>
          <w:bCs/>
          <w:color w:val="0D0D0D"/>
          <w:szCs w:val="21"/>
          <w:highlight w:val="none"/>
        </w:rPr>
        <w:t>2.5带防倾倒底座，保证操作过程安全平稳；</w:t>
      </w:r>
    </w:p>
    <w:p>
      <w:pPr>
        <w:spacing w:line="360" w:lineRule="auto"/>
        <w:ind w:firstLine="420" w:firstLineChars="200"/>
        <w:jc w:val="left"/>
        <w:rPr>
          <w:rFonts w:hint="eastAsia" w:ascii="Times New Roman" w:hAnsi="Times New Roman" w:eastAsiaTheme="minorEastAsia"/>
          <w:bCs/>
          <w:color w:val="0D0D0D"/>
          <w:szCs w:val="21"/>
          <w:highlight w:val="none"/>
          <w:lang w:eastAsia="zh-CN"/>
        </w:rPr>
      </w:pPr>
      <w:r>
        <w:rPr>
          <w:rFonts w:hint="eastAsia" w:ascii="Times New Roman" w:hAnsi="Times New Roman"/>
          <w:bCs/>
          <w:color w:val="0D0D0D"/>
          <w:szCs w:val="21"/>
          <w:highlight w:val="none"/>
        </w:rPr>
        <w:t>7.</w:t>
      </w:r>
      <w:r>
        <w:rPr>
          <w:rFonts w:ascii="Times New Roman" w:hAnsi="Times New Roman"/>
          <w:bCs/>
          <w:color w:val="0D0D0D"/>
          <w:szCs w:val="21"/>
          <w:highlight w:val="none"/>
        </w:rPr>
        <w:t>2.6带伸缩式进液管，可在不同容积的试剂瓶中更换使用</w:t>
      </w:r>
      <w:r>
        <w:rPr>
          <w:rFonts w:hint="eastAsia" w:ascii="Times New Roman" w:hAnsi="Times New Roman"/>
          <w:bCs/>
          <w:color w:val="0D0D0D"/>
          <w:szCs w:val="21"/>
          <w:highlight w:val="none"/>
          <w:lang w:eastAsia="zh-CN"/>
        </w:rPr>
        <w:t>。</w:t>
      </w:r>
    </w:p>
    <w:p>
      <w:pPr>
        <w:spacing w:line="360" w:lineRule="auto"/>
        <w:ind w:firstLine="480" w:firstLineChars="200"/>
        <w:jc w:val="left"/>
        <w:rPr>
          <w:rFonts w:ascii="宋体" w:hAnsi="宋体" w:eastAsia="宋体" w:cs="宋体"/>
          <w:color w:val="0D0D0D"/>
          <w:sz w:val="24"/>
          <w:highlight w:val="none"/>
        </w:rPr>
      </w:pPr>
    </w:p>
    <w:p>
      <w:pPr>
        <w:spacing w:line="360" w:lineRule="auto"/>
        <w:ind w:firstLine="482" w:firstLineChars="200"/>
        <w:jc w:val="left"/>
        <w:rPr>
          <w:rFonts w:ascii="宋体" w:hAnsi="宋体" w:eastAsia="宋体" w:cs="宋体"/>
          <w:b/>
          <w:bCs/>
          <w:color w:val="0D0D0D"/>
          <w:sz w:val="24"/>
          <w:highlight w:val="none"/>
        </w:rPr>
      </w:pPr>
      <w:r>
        <w:rPr>
          <w:rFonts w:hint="eastAsia" w:ascii="宋体" w:hAnsi="宋体" w:eastAsia="宋体" w:cs="宋体"/>
          <w:b/>
          <w:bCs/>
          <w:color w:val="0D0D0D"/>
          <w:sz w:val="24"/>
          <w:highlight w:val="none"/>
        </w:rPr>
        <w:t>8.全自动玻璃器皿清洗机技术参数：</w:t>
      </w:r>
    </w:p>
    <w:p>
      <w:pPr>
        <w:spacing w:line="360" w:lineRule="auto"/>
        <w:ind w:firstLine="420" w:firstLineChars="200"/>
        <w:jc w:val="left"/>
        <w:rPr>
          <w:rFonts w:ascii="Times New Roman" w:hAnsi="Times New Roman"/>
          <w:bCs/>
          <w:color w:val="0D0D0D"/>
          <w:szCs w:val="21"/>
          <w:highlight w:val="none"/>
        </w:rPr>
      </w:pPr>
      <w:r>
        <w:rPr>
          <w:rFonts w:hint="eastAsia" w:ascii="Times New Roman" w:hAnsi="Times New Roman"/>
          <w:bCs/>
          <w:color w:val="0D0D0D"/>
          <w:szCs w:val="21"/>
          <w:highlight w:val="none"/>
        </w:rPr>
        <w:t>8.1</w:t>
      </w:r>
      <w:r>
        <w:rPr>
          <w:rFonts w:ascii="Times New Roman" w:hAnsi="Times New Roman"/>
          <w:bCs/>
          <w:color w:val="0D0D0D"/>
          <w:szCs w:val="21"/>
          <w:highlight w:val="none"/>
        </w:rPr>
        <w:t xml:space="preserve"> </w:t>
      </w:r>
      <w:r>
        <w:rPr>
          <w:rFonts w:hint="eastAsia" w:ascii="Times New Roman" w:hAnsi="Times New Roman"/>
          <w:bCs/>
          <w:color w:val="0D0D0D"/>
          <w:szCs w:val="21"/>
          <w:highlight w:val="none"/>
        </w:rPr>
        <w:t>用途：适用于清洗实验室玻璃器皿与水冲式清洗单独或配合使用。</w:t>
      </w:r>
    </w:p>
    <w:p>
      <w:pPr>
        <w:spacing w:line="360" w:lineRule="auto"/>
        <w:ind w:firstLine="420" w:firstLineChars="200"/>
        <w:jc w:val="left"/>
        <w:rPr>
          <w:rFonts w:ascii="Times New Roman" w:hAnsi="Times New Roman"/>
          <w:bCs/>
          <w:color w:val="0D0D0D"/>
          <w:szCs w:val="21"/>
          <w:highlight w:val="none"/>
        </w:rPr>
      </w:pPr>
      <w:r>
        <w:rPr>
          <w:rFonts w:hint="eastAsia" w:ascii="Times New Roman" w:hAnsi="Times New Roman"/>
          <w:bCs/>
          <w:color w:val="0D0D0D"/>
          <w:szCs w:val="21"/>
          <w:highlight w:val="none"/>
        </w:rPr>
        <w:t>8.2技术要求：</w:t>
      </w:r>
    </w:p>
    <w:p>
      <w:pPr>
        <w:spacing w:line="360" w:lineRule="auto"/>
        <w:ind w:firstLine="420" w:firstLineChars="200"/>
        <w:jc w:val="left"/>
        <w:rPr>
          <w:rFonts w:ascii="Times New Roman" w:hAnsi="Times New Roman"/>
          <w:bCs/>
          <w:color w:val="0D0D0D"/>
          <w:szCs w:val="21"/>
          <w:highlight w:val="none"/>
        </w:rPr>
      </w:pPr>
      <w:r>
        <w:rPr>
          <w:rFonts w:hint="eastAsia" w:ascii="Times New Roman" w:hAnsi="Times New Roman"/>
          <w:bCs/>
          <w:color w:val="0D0D0D"/>
          <w:szCs w:val="21"/>
          <w:highlight w:val="none"/>
        </w:rPr>
        <w:t>8.2.1外壳材质，304不锈钢，内腔材质，316L不锈钢，仪器内部可以存储4桶5L装清洗剂；</w:t>
      </w:r>
    </w:p>
    <w:p>
      <w:pPr>
        <w:spacing w:line="360" w:lineRule="auto"/>
        <w:ind w:firstLine="420" w:firstLineChars="200"/>
        <w:jc w:val="left"/>
        <w:rPr>
          <w:rFonts w:ascii="Times New Roman" w:hAnsi="Times New Roman"/>
          <w:bCs/>
          <w:color w:val="0D0D0D"/>
          <w:szCs w:val="21"/>
          <w:highlight w:val="none"/>
        </w:rPr>
      </w:pPr>
      <w:r>
        <w:rPr>
          <w:rFonts w:hint="eastAsia" w:ascii="Times New Roman" w:hAnsi="Times New Roman"/>
          <w:bCs/>
          <w:color w:val="0D0D0D"/>
          <w:szCs w:val="21"/>
          <w:highlight w:val="none"/>
        </w:rPr>
        <w:t>8.2.2清洗容积≥221L，可放置双层篮架，单次最多可以清洗460个色谱进样瓶或170根移液管；清洗剂独立供给通道不低于2个；</w:t>
      </w:r>
    </w:p>
    <w:p>
      <w:pPr>
        <w:spacing w:line="360" w:lineRule="auto"/>
        <w:ind w:firstLine="420" w:firstLineChars="200"/>
        <w:jc w:val="left"/>
        <w:rPr>
          <w:rFonts w:ascii="Times New Roman" w:hAnsi="Times New Roman"/>
          <w:bCs/>
          <w:color w:val="0D0D0D"/>
          <w:szCs w:val="21"/>
          <w:highlight w:val="none"/>
        </w:rPr>
      </w:pPr>
      <w:r>
        <w:rPr>
          <w:rFonts w:hint="eastAsia" w:ascii="Times New Roman" w:hAnsi="Times New Roman"/>
          <w:bCs/>
          <w:color w:val="0D0D0D"/>
          <w:szCs w:val="21"/>
          <w:highlight w:val="none"/>
        </w:rPr>
        <w:t>8.2.3电源220V，50hz，峰值功率≤5KW，加热功率≤4KW，水加热盘管隐藏在水箱内部，不直接裸露在底板之上；</w:t>
      </w:r>
    </w:p>
    <w:p>
      <w:pPr>
        <w:spacing w:line="360" w:lineRule="auto"/>
        <w:ind w:firstLine="420" w:firstLineChars="200"/>
        <w:jc w:val="left"/>
        <w:rPr>
          <w:rFonts w:ascii="Times New Roman" w:hAnsi="Times New Roman"/>
          <w:bCs/>
          <w:color w:val="0D0D0D"/>
          <w:szCs w:val="21"/>
          <w:highlight w:val="none"/>
        </w:rPr>
      </w:pPr>
      <w:r>
        <w:rPr>
          <w:rFonts w:hint="eastAsia" w:ascii="Times New Roman" w:hAnsi="Times New Roman"/>
          <w:bCs/>
          <w:color w:val="0D0D0D"/>
          <w:szCs w:val="21"/>
          <w:highlight w:val="none"/>
        </w:rPr>
        <w:t>8.2.4控制系统为进口微电脑芯片控制技术，非PLC控制，采用轻触式耐酸碱钢化面板显示操作；</w:t>
      </w:r>
    </w:p>
    <w:p>
      <w:pPr>
        <w:spacing w:line="360" w:lineRule="auto"/>
        <w:ind w:firstLine="420" w:firstLineChars="200"/>
        <w:jc w:val="left"/>
        <w:rPr>
          <w:rFonts w:ascii="Times New Roman" w:hAnsi="Times New Roman"/>
          <w:bCs/>
          <w:color w:val="0D0D0D"/>
          <w:szCs w:val="21"/>
          <w:highlight w:val="none"/>
        </w:rPr>
      </w:pPr>
      <w:r>
        <w:rPr>
          <w:rFonts w:hint="eastAsia" w:ascii="Times New Roman" w:hAnsi="Times New Roman"/>
          <w:bCs/>
          <w:color w:val="0D0D0D"/>
          <w:szCs w:val="21"/>
          <w:highlight w:val="none"/>
        </w:rPr>
        <w:t>8.2.5内置不少于25个标准程序及不少于75个用户自定义程序，每个程序均有独立编码和参数，为应对极痕量清洗最多可提供27次以上漂洗；</w:t>
      </w:r>
    </w:p>
    <w:p>
      <w:pPr>
        <w:spacing w:line="360" w:lineRule="auto"/>
        <w:ind w:firstLine="420" w:firstLineChars="200"/>
        <w:jc w:val="left"/>
        <w:rPr>
          <w:rFonts w:ascii="Times New Roman" w:hAnsi="Times New Roman"/>
          <w:bCs/>
          <w:color w:val="0D0D0D"/>
          <w:szCs w:val="21"/>
          <w:highlight w:val="none"/>
        </w:rPr>
      </w:pPr>
      <w:r>
        <w:rPr>
          <w:rFonts w:hint="eastAsia" w:ascii="Times New Roman" w:hAnsi="Times New Roman"/>
          <w:bCs/>
          <w:color w:val="0D0D0D"/>
          <w:szCs w:val="21"/>
          <w:highlight w:val="none"/>
        </w:rPr>
        <w:t>8.2.6 循环泵软启动变频控制实现水循环量0~580L/min可调节，避免了水泵启动瞬间水柱压力过大对玻璃器皿造成的伤害；</w:t>
      </w:r>
    </w:p>
    <w:p>
      <w:pPr>
        <w:spacing w:line="360" w:lineRule="auto"/>
        <w:ind w:firstLine="420" w:firstLineChars="200"/>
        <w:jc w:val="left"/>
        <w:rPr>
          <w:rFonts w:ascii="Times New Roman" w:hAnsi="Times New Roman"/>
          <w:bCs/>
          <w:color w:val="0D0D0D"/>
          <w:szCs w:val="21"/>
          <w:highlight w:val="none"/>
        </w:rPr>
      </w:pPr>
      <w:r>
        <w:rPr>
          <w:rFonts w:hint="eastAsia" w:ascii="Times New Roman" w:hAnsi="Times New Roman"/>
          <w:bCs/>
          <w:color w:val="0D0D0D"/>
          <w:szCs w:val="21"/>
          <w:highlight w:val="none"/>
        </w:rPr>
        <w:t>8.2.7通过管道压力检测传感器实时检测清洗水管道压力，在水压过低或零时可暂停水泵运行，防止水泵空转运行和有效保障清洗过程中的喷淋压力，防泡沫清洗技术；</w:t>
      </w:r>
    </w:p>
    <w:p>
      <w:pPr>
        <w:spacing w:line="360" w:lineRule="auto"/>
        <w:ind w:firstLine="420" w:firstLineChars="200"/>
        <w:jc w:val="left"/>
        <w:rPr>
          <w:rFonts w:ascii="Times New Roman" w:hAnsi="Times New Roman"/>
          <w:bCs/>
          <w:color w:val="0D0D0D"/>
          <w:szCs w:val="21"/>
          <w:highlight w:val="none"/>
        </w:rPr>
      </w:pPr>
      <w:r>
        <w:rPr>
          <w:rFonts w:hint="eastAsia" w:ascii="Times New Roman" w:hAnsi="Times New Roman"/>
          <w:bCs/>
          <w:color w:val="0D0D0D"/>
          <w:szCs w:val="21"/>
          <w:highlight w:val="none"/>
        </w:rPr>
        <w:t>8.2.8要求移液管为直上直下清洗方式，不为倾斜清洗方式，防止倾斜式清洗大肚移液管造成的清洗死角问题；</w:t>
      </w:r>
    </w:p>
    <w:p>
      <w:pPr>
        <w:spacing w:line="360" w:lineRule="auto"/>
        <w:ind w:firstLine="420" w:firstLineChars="200"/>
        <w:jc w:val="left"/>
        <w:rPr>
          <w:rFonts w:hint="eastAsia" w:ascii="Times New Roman" w:hAnsi="Times New Roman" w:eastAsiaTheme="minorEastAsia"/>
          <w:bCs/>
          <w:color w:val="0D0D0D"/>
          <w:szCs w:val="21"/>
          <w:highlight w:val="none"/>
          <w:lang w:eastAsia="zh-CN"/>
        </w:rPr>
      </w:pPr>
      <w:r>
        <w:rPr>
          <w:rFonts w:hint="eastAsia" w:ascii="Times New Roman" w:hAnsi="Times New Roman"/>
          <w:bCs/>
          <w:color w:val="0D0D0D"/>
          <w:szCs w:val="21"/>
          <w:highlight w:val="none"/>
        </w:rPr>
        <w:t>8.2.9为保证痕量分析实验结果的精确性，清洗后的残留物能完全达到行业内相应方法检出限标准和清洗后的颗粒物残留物≤0.003ppm</w:t>
      </w:r>
      <w:r>
        <w:rPr>
          <w:rFonts w:hint="eastAsia" w:ascii="Times New Roman" w:hAnsi="Times New Roman"/>
          <w:bCs/>
          <w:color w:val="0D0D0D"/>
          <w:szCs w:val="21"/>
          <w:highlight w:val="none"/>
          <w:lang w:eastAsia="zh-CN"/>
        </w:rPr>
        <w:t>。</w:t>
      </w:r>
    </w:p>
    <w:p>
      <w:pPr>
        <w:spacing w:line="360" w:lineRule="auto"/>
        <w:ind w:firstLine="420" w:firstLineChars="200"/>
        <w:jc w:val="left"/>
        <w:rPr>
          <w:rFonts w:ascii="Times New Roman" w:hAnsi="Times New Roman"/>
          <w:bCs/>
          <w:color w:val="0D0D0D"/>
          <w:szCs w:val="21"/>
          <w:highlight w:val="none"/>
        </w:rPr>
      </w:pPr>
      <w:r>
        <w:rPr>
          <w:rFonts w:hint="eastAsia" w:ascii="Times New Roman" w:hAnsi="Times New Roman"/>
          <w:bCs/>
          <w:color w:val="0D0D0D"/>
          <w:szCs w:val="21"/>
          <w:highlight w:val="none"/>
        </w:rPr>
        <w:t>8.3</w:t>
      </w:r>
      <w:r>
        <w:rPr>
          <w:rFonts w:ascii="Times New Roman" w:hAnsi="Times New Roman"/>
          <w:bCs/>
          <w:color w:val="0D0D0D"/>
          <w:szCs w:val="21"/>
          <w:highlight w:val="none"/>
        </w:rPr>
        <w:t xml:space="preserve"> </w:t>
      </w:r>
      <w:r>
        <w:rPr>
          <w:rFonts w:hint="eastAsia" w:ascii="Times New Roman" w:hAnsi="Times New Roman"/>
          <w:bCs/>
          <w:color w:val="0D0D0D"/>
          <w:szCs w:val="21"/>
          <w:highlight w:val="none"/>
        </w:rPr>
        <w:t>安全保护系统及干燥系统</w:t>
      </w:r>
    </w:p>
    <w:p>
      <w:pPr>
        <w:spacing w:line="360" w:lineRule="auto"/>
        <w:ind w:firstLine="420" w:firstLineChars="200"/>
        <w:jc w:val="left"/>
        <w:rPr>
          <w:rFonts w:ascii="Times New Roman" w:hAnsi="Times New Roman"/>
          <w:bCs/>
          <w:color w:val="0D0D0D"/>
          <w:szCs w:val="21"/>
          <w:highlight w:val="none"/>
        </w:rPr>
      </w:pPr>
      <w:r>
        <w:rPr>
          <w:rFonts w:hint="eastAsia" w:ascii="Times New Roman" w:hAnsi="Times New Roman"/>
          <w:bCs/>
          <w:color w:val="0D0D0D"/>
          <w:szCs w:val="21"/>
          <w:highlight w:val="none"/>
        </w:rPr>
        <w:t>8.3.1干燥空气通过注射清洗栏架直达器皿内部，可彻底干燥玻璃器皿的内部和外部，温度可调（室温-110℃），干燥时间（0-180分钟），热风循环量不低于100m³/h；</w:t>
      </w:r>
    </w:p>
    <w:p>
      <w:pPr>
        <w:spacing w:line="360" w:lineRule="auto"/>
        <w:ind w:firstLine="420" w:firstLineChars="200"/>
        <w:jc w:val="left"/>
        <w:rPr>
          <w:rFonts w:ascii="Times New Roman" w:hAnsi="Times New Roman"/>
          <w:bCs/>
          <w:color w:val="0D0D0D"/>
          <w:szCs w:val="21"/>
          <w:highlight w:val="none"/>
        </w:rPr>
      </w:pPr>
      <w:r>
        <w:rPr>
          <w:rFonts w:hint="eastAsia" w:ascii="Times New Roman" w:hAnsi="Times New Roman"/>
          <w:bCs/>
          <w:color w:val="0D0D0D"/>
          <w:szCs w:val="21"/>
          <w:highlight w:val="none"/>
        </w:rPr>
        <w:t>8.3.2具有双重喷淋热交换系统，进行蒸汽冷凝和冷却水自动排放，无需排风管道，冷凝器采用高品质不锈钢材料，能够在循环结束前冷却玻璃器皿，每次排水后，水槽、清洗管路内不得有残留的废水；</w:t>
      </w:r>
    </w:p>
    <w:p>
      <w:pPr>
        <w:spacing w:line="360" w:lineRule="auto"/>
        <w:ind w:firstLine="420" w:firstLineChars="200"/>
        <w:jc w:val="left"/>
        <w:rPr>
          <w:rFonts w:ascii="Times New Roman" w:hAnsi="Times New Roman"/>
          <w:bCs/>
          <w:color w:val="0D0D0D"/>
          <w:szCs w:val="21"/>
          <w:highlight w:val="none"/>
        </w:rPr>
      </w:pPr>
      <w:r>
        <w:rPr>
          <w:rFonts w:hint="eastAsia" w:ascii="Times New Roman" w:hAnsi="Times New Roman"/>
          <w:bCs/>
          <w:color w:val="0D0D0D"/>
          <w:szCs w:val="21"/>
          <w:highlight w:val="none"/>
        </w:rPr>
        <w:t>8.4</w:t>
      </w:r>
      <w:r>
        <w:rPr>
          <w:rFonts w:ascii="Times New Roman" w:hAnsi="Times New Roman"/>
          <w:bCs/>
          <w:color w:val="0D0D0D"/>
          <w:szCs w:val="21"/>
          <w:highlight w:val="none"/>
        </w:rPr>
        <w:t xml:space="preserve"> </w:t>
      </w:r>
      <w:r>
        <w:rPr>
          <w:rFonts w:hint="eastAsia" w:ascii="Times New Roman" w:hAnsi="Times New Roman"/>
          <w:bCs/>
          <w:color w:val="0D0D0D"/>
          <w:szCs w:val="21"/>
          <w:highlight w:val="none"/>
        </w:rPr>
        <w:t>配置要求</w:t>
      </w:r>
    </w:p>
    <w:p>
      <w:pPr>
        <w:spacing w:line="360" w:lineRule="auto"/>
        <w:ind w:firstLine="420" w:firstLineChars="200"/>
        <w:jc w:val="left"/>
        <w:rPr>
          <w:rFonts w:ascii="Times New Roman" w:hAnsi="Times New Roman"/>
          <w:bCs/>
          <w:color w:val="0D0D0D"/>
          <w:szCs w:val="21"/>
          <w:highlight w:val="none"/>
        </w:rPr>
      </w:pPr>
      <w:r>
        <w:rPr>
          <w:rFonts w:hint="eastAsia" w:ascii="Times New Roman" w:hAnsi="Times New Roman"/>
          <w:bCs/>
          <w:color w:val="0D0D0D"/>
          <w:szCs w:val="21"/>
          <w:highlight w:val="none"/>
        </w:rPr>
        <w:t>8.4.1清洗篮架一：不少于48位上层清洗篮架，主要用于清洗烧杯、容量瓶、锥形瓶、三角瓶、量筒等实验室器皿，数量：一套；</w:t>
      </w:r>
    </w:p>
    <w:p>
      <w:pPr>
        <w:spacing w:line="360" w:lineRule="auto"/>
        <w:ind w:firstLine="420" w:firstLineChars="200"/>
        <w:jc w:val="left"/>
        <w:rPr>
          <w:rFonts w:ascii="Times New Roman" w:hAnsi="Times New Roman"/>
          <w:bCs/>
          <w:color w:val="0D0D0D"/>
          <w:szCs w:val="21"/>
          <w:highlight w:val="none"/>
        </w:rPr>
      </w:pPr>
      <w:r>
        <w:rPr>
          <w:rFonts w:hint="eastAsia" w:ascii="Times New Roman" w:hAnsi="Times New Roman"/>
          <w:bCs/>
          <w:color w:val="0D0D0D"/>
          <w:szCs w:val="21"/>
          <w:highlight w:val="none"/>
        </w:rPr>
        <w:t>8.4.2清洗篮架二：不少于50位下层清洗篮架，主要用于清洗烧杯、容量瓶、锥形瓶、三角瓶、量筒等实验室器皿，数量：一套；</w:t>
      </w:r>
    </w:p>
    <w:p>
      <w:pPr>
        <w:spacing w:line="360" w:lineRule="auto"/>
        <w:ind w:firstLine="420" w:firstLineChars="200"/>
        <w:jc w:val="left"/>
        <w:rPr>
          <w:rFonts w:ascii="Times New Roman" w:hAnsi="Times New Roman"/>
          <w:bCs/>
          <w:color w:val="0D0D0D"/>
          <w:szCs w:val="21"/>
          <w:highlight w:val="none"/>
        </w:rPr>
      </w:pPr>
      <w:r>
        <w:rPr>
          <w:rFonts w:hint="eastAsia" w:ascii="Times New Roman" w:hAnsi="Times New Roman"/>
          <w:bCs/>
          <w:color w:val="0D0D0D"/>
          <w:szCs w:val="21"/>
          <w:highlight w:val="none"/>
        </w:rPr>
        <w:t>8.4.3清洗篮架三：不少于170位混合清洗插件，用于清洗移液管喷淋器25个，试管喷淋器75个，进样小瓶喷淋器70个，数量：一套；</w:t>
      </w:r>
    </w:p>
    <w:p>
      <w:pPr>
        <w:spacing w:line="360" w:lineRule="auto"/>
        <w:ind w:firstLine="420" w:firstLineChars="200"/>
        <w:jc w:val="left"/>
        <w:rPr>
          <w:rFonts w:ascii="Times New Roman" w:hAnsi="Times New Roman"/>
          <w:bCs/>
          <w:color w:val="0D0D0D"/>
          <w:szCs w:val="21"/>
          <w:highlight w:val="none"/>
        </w:rPr>
      </w:pPr>
      <w:r>
        <w:rPr>
          <w:rFonts w:hint="eastAsia" w:ascii="Times New Roman" w:hAnsi="Times New Roman"/>
          <w:bCs/>
          <w:color w:val="0D0D0D"/>
          <w:szCs w:val="21"/>
          <w:highlight w:val="none"/>
        </w:rPr>
        <w:t>8.4.4酸性清洗剂5L/桶  数量：一桶，碱性清洗剂6kg/桶 数量：一桶；</w:t>
      </w:r>
    </w:p>
    <w:p>
      <w:pPr>
        <w:spacing w:line="360" w:lineRule="auto"/>
        <w:ind w:firstLine="420" w:firstLineChars="200"/>
        <w:jc w:val="left"/>
        <w:rPr>
          <w:rFonts w:ascii="Times New Roman" w:hAnsi="Times New Roman"/>
          <w:bCs/>
          <w:color w:val="0D0D0D"/>
          <w:szCs w:val="21"/>
          <w:highlight w:val="none"/>
        </w:rPr>
      </w:pPr>
      <w:r>
        <w:rPr>
          <w:rFonts w:hint="eastAsia" w:ascii="Times New Roman" w:hAnsi="Times New Roman"/>
          <w:bCs/>
          <w:color w:val="0D0D0D"/>
          <w:szCs w:val="21"/>
          <w:highlight w:val="none"/>
        </w:rPr>
        <w:t>8.4.5纯水系统：纯水制水量：≥40L/h，水箱：配有液位传感器及冲洗排水阀，数量：一套；</w:t>
      </w:r>
    </w:p>
    <w:p>
      <w:pPr>
        <w:spacing w:line="360" w:lineRule="auto"/>
        <w:ind w:firstLine="482" w:firstLineChars="200"/>
        <w:jc w:val="left"/>
        <w:rPr>
          <w:rFonts w:ascii="宋体" w:hAnsi="宋体" w:eastAsia="宋体" w:cs="宋体"/>
          <w:b/>
          <w:bCs/>
          <w:color w:val="0D0D0D"/>
          <w:sz w:val="24"/>
          <w:highlight w:val="none"/>
        </w:rPr>
      </w:pPr>
      <w:r>
        <w:rPr>
          <w:rFonts w:hint="eastAsia" w:ascii="宋体" w:hAnsi="宋体" w:eastAsia="宋体" w:cs="宋体"/>
          <w:b/>
          <w:bCs/>
          <w:color w:val="0D0D0D"/>
          <w:sz w:val="24"/>
          <w:highlight w:val="none"/>
        </w:rPr>
        <w:t>9.万分之一分析天平技术参数：</w:t>
      </w:r>
    </w:p>
    <w:p>
      <w:pPr>
        <w:spacing w:line="360" w:lineRule="auto"/>
        <w:ind w:firstLine="420" w:firstLineChars="200"/>
        <w:jc w:val="left"/>
        <w:rPr>
          <w:rFonts w:ascii="Times New Roman" w:hAnsi="Times New Roman"/>
          <w:b/>
          <w:color w:val="0D0D0D"/>
          <w:szCs w:val="21"/>
          <w:highlight w:val="none"/>
        </w:rPr>
      </w:pPr>
      <w:r>
        <w:rPr>
          <w:rFonts w:hint="eastAsia" w:ascii="Times New Roman" w:hAnsi="Times New Roman"/>
          <w:bCs/>
          <w:color w:val="0D0D0D"/>
          <w:szCs w:val="21"/>
          <w:highlight w:val="none"/>
        </w:rPr>
        <w:t>▲9.1最大称量值不小于220g，可读性0.1mg，重复性：0.1mg，线性误差0.2mg；</w:t>
      </w:r>
      <w:r>
        <w:rPr>
          <w:rFonts w:hint="eastAsia" w:ascii="Times New Roman" w:hAnsi="Times New Roman"/>
          <w:b/>
          <w:color w:val="0D0D0D"/>
          <w:szCs w:val="21"/>
          <w:highlight w:val="none"/>
        </w:rPr>
        <w:t>（提供彩页或技术说明书复印件并加盖投标人公章）</w:t>
      </w:r>
    </w:p>
    <w:p>
      <w:pPr>
        <w:spacing w:line="360" w:lineRule="auto"/>
        <w:ind w:firstLine="420" w:firstLineChars="200"/>
        <w:jc w:val="left"/>
        <w:rPr>
          <w:rFonts w:ascii="Times New Roman" w:hAnsi="Times New Roman"/>
          <w:bCs/>
          <w:color w:val="0D0D0D"/>
          <w:szCs w:val="21"/>
          <w:highlight w:val="none"/>
        </w:rPr>
      </w:pPr>
      <w:r>
        <w:rPr>
          <w:rFonts w:hint="eastAsia" w:ascii="Times New Roman" w:hAnsi="Times New Roman"/>
          <w:bCs/>
          <w:color w:val="0D0D0D"/>
          <w:szCs w:val="21"/>
          <w:highlight w:val="none"/>
        </w:rPr>
        <w:t>9.2超大的数字清晰的符号和图标，任何光照条件下均可毫不费力的读取数据；</w:t>
      </w:r>
    </w:p>
    <w:p>
      <w:pPr>
        <w:spacing w:line="360" w:lineRule="auto"/>
        <w:ind w:firstLine="420" w:firstLineChars="200"/>
        <w:jc w:val="left"/>
        <w:rPr>
          <w:rFonts w:ascii="Times New Roman" w:hAnsi="Times New Roman"/>
          <w:bCs/>
          <w:color w:val="0D0D0D"/>
          <w:szCs w:val="21"/>
          <w:highlight w:val="none"/>
        </w:rPr>
      </w:pPr>
      <w:r>
        <w:rPr>
          <w:rFonts w:hint="eastAsia" w:ascii="Times New Roman" w:hAnsi="Times New Roman"/>
          <w:bCs/>
          <w:color w:val="0D0D0D"/>
          <w:szCs w:val="21"/>
          <w:highlight w:val="none"/>
        </w:rPr>
        <w:t>9.3称量过程中可显示剩余量程，外置砝码校准；</w:t>
      </w:r>
    </w:p>
    <w:p>
      <w:pPr>
        <w:spacing w:line="360" w:lineRule="auto"/>
        <w:ind w:firstLine="420" w:firstLineChars="200"/>
        <w:jc w:val="left"/>
        <w:rPr>
          <w:rFonts w:ascii="Times New Roman" w:hAnsi="Times New Roman"/>
          <w:bCs/>
          <w:color w:val="0D0D0D"/>
          <w:szCs w:val="21"/>
          <w:highlight w:val="none"/>
        </w:rPr>
      </w:pPr>
      <w:r>
        <w:rPr>
          <w:rFonts w:hint="eastAsia" w:ascii="Times New Roman" w:hAnsi="Times New Roman"/>
          <w:bCs/>
          <w:color w:val="0D0D0D"/>
          <w:szCs w:val="21"/>
          <w:highlight w:val="none"/>
        </w:rPr>
        <w:t xml:space="preserve">9.4铝模铸造机架，整个防风罩及秤盘支架均可拆卸，前置超大的水平调节脚和水平指示器； </w:t>
      </w:r>
    </w:p>
    <w:p>
      <w:pPr>
        <w:spacing w:line="360" w:lineRule="auto"/>
        <w:ind w:firstLine="420" w:firstLineChars="200"/>
        <w:jc w:val="left"/>
        <w:rPr>
          <w:rFonts w:ascii="Times New Roman" w:hAnsi="Times New Roman"/>
          <w:bCs/>
          <w:color w:val="0D0D0D"/>
          <w:szCs w:val="21"/>
          <w:highlight w:val="none"/>
        </w:rPr>
      </w:pPr>
      <w:r>
        <w:rPr>
          <w:rFonts w:hint="eastAsia" w:ascii="Times New Roman" w:hAnsi="Times New Roman"/>
          <w:bCs/>
          <w:color w:val="0D0D0D"/>
          <w:szCs w:val="21"/>
          <w:highlight w:val="none"/>
        </w:rPr>
        <w:t xml:space="preserve">9.5应用程序：配方称量、求和称量、动态称量、计件称量、密度测定、百分比称量、检重称量、统计称量、自由因子称量；快捷调用所有内置应用程序和校正菜单； </w:t>
      </w:r>
    </w:p>
    <w:p>
      <w:pPr>
        <w:spacing w:line="360" w:lineRule="auto"/>
        <w:ind w:firstLine="420" w:firstLineChars="200"/>
        <w:jc w:val="left"/>
        <w:rPr>
          <w:rFonts w:ascii="Times New Roman" w:hAnsi="Times New Roman"/>
          <w:highlight w:val="none"/>
        </w:rPr>
      </w:pPr>
      <w:r>
        <w:rPr>
          <w:rFonts w:hint="eastAsia" w:ascii="Times New Roman" w:hAnsi="Times New Roman"/>
          <w:bCs/>
          <w:color w:val="0D0D0D"/>
          <w:szCs w:val="21"/>
          <w:highlight w:val="none"/>
        </w:rPr>
        <w:t>9.6标准接口，</w:t>
      </w:r>
      <w:r>
        <w:rPr>
          <w:rFonts w:ascii="Times New Roman" w:hAnsi="Times New Roman"/>
          <w:highlight w:val="none"/>
        </w:rPr>
        <w:t>接口可以直接连接天平与电脑或打印机，称量数据结果可直接转移至 Microsoft Excel</w:t>
      </w:r>
      <w:r>
        <w:rPr>
          <w:rFonts w:hint="eastAsia" w:ascii="Times New Roman" w:hAnsi="Times New Roman"/>
          <w:highlight w:val="none"/>
        </w:rPr>
        <w:t>。</w:t>
      </w:r>
    </w:p>
    <w:p>
      <w:pPr>
        <w:spacing w:line="360" w:lineRule="auto"/>
        <w:ind w:firstLine="482" w:firstLineChars="200"/>
        <w:jc w:val="left"/>
        <w:rPr>
          <w:rFonts w:ascii="宋体" w:hAnsi="宋体" w:eastAsia="宋体" w:cs="宋体"/>
          <w:b/>
          <w:bCs/>
          <w:color w:val="0D0D0D"/>
          <w:sz w:val="24"/>
          <w:highlight w:val="none"/>
        </w:rPr>
      </w:pPr>
    </w:p>
    <w:p>
      <w:pPr>
        <w:spacing w:line="360" w:lineRule="auto"/>
        <w:ind w:firstLine="482" w:firstLineChars="200"/>
        <w:jc w:val="left"/>
        <w:rPr>
          <w:rFonts w:ascii="宋体" w:hAnsi="宋体" w:eastAsia="宋体" w:cs="宋体"/>
          <w:b/>
          <w:bCs/>
          <w:color w:val="0D0D0D"/>
          <w:sz w:val="24"/>
          <w:highlight w:val="none"/>
        </w:rPr>
      </w:pPr>
      <w:r>
        <w:rPr>
          <w:rFonts w:hint="eastAsia" w:ascii="宋体" w:hAnsi="宋体" w:eastAsia="宋体" w:cs="宋体"/>
          <w:b/>
          <w:bCs/>
          <w:color w:val="0D0D0D"/>
          <w:sz w:val="24"/>
          <w:highlight w:val="none"/>
        </w:rPr>
        <w:t>10.手持录入终端技术参数：</w:t>
      </w:r>
    </w:p>
    <w:p>
      <w:pPr>
        <w:spacing w:line="360" w:lineRule="auto"/>
        <w:ind w:firstLine="420" w:firstLineChars="200"/>
        <w:jc w:val="left"/>
        <w:rPr>
          <w:rFonts w:hint="eastAsia" w:ascii="Times New Roman" w:hAnsi="Times New Roman" w:eastAsiaTheme="minorEastAsia"/>
          <w:bCs/>
          <w:color w:val="0D0D0D"/>
          <w:szCs w:val="21"/>
          <w:highlight w:val="none"/>
          <w:lang w:eastAsia="zh-CN"/>
        </w:rPr>
      </w:pPr>
      <w:r>
        <w:rPr>
          <w:rFonts w:hint="eastAsia" w:ascii="Times New Roman" w:hAnsi="Times New Roman"/>
          <w:bCs/>
          <w:color w:val="0D0D0D"/>
          <w:szCs w:val="21"/>
          <w:highlight w:val="none"/>
        </w:rPr>
        <w:t>10.1软件：终端智能设备人机交互通信软件</w:t>
      </w:r>
      <w:r>
        <w:rPr>
          <w:rFonts w:hint="eastAsia" w:ascii="Times New Roman" w:hAnsi="Times New Roman"/>
          <w:bCs/>
          <w:color w:val="0D0D0D"/>
          <w:szCs w:val="21"/>
          <w:highlight w:val="none"/>
          <w:lang w:eastAsia="zh-CN"/>
        </w:rPr>
        <w:t>；</w:t>
      </w:r>
    </w:p>
    <w:p>
      <w:pPr>
        <w:spacing w:line="360" w:lineRule="auto"/>
        <w:ind w:firstLine="420" w:firstLineChars="200"/>
        <w:jc w:val="left"/>
        <w:rPr>
          <w:rFonts w:hint="eastAsia" w:ascii="Times New Roman" w:hAnsi="Times New Roman" w:eastAsiaTheme="minorEastAsia"/>
          <w:bCs/>
          <w:color w:val="0D0D0D"/>
          <w:szCs w:val="21"/>
          <w:highlight w:val="none"/>
          <w:lang w:eastAsia="zh-CN"/>
        </w:rPr>
      </w:pPr>
      <w:r>
        <w:rPr>
          <w:rFonts w:hint="eastAsia" w:ascii="Times New Roman" w:hAnsi="Times New Roman"/>
          <w:bCs/>
          <w:color w:val="0D0D0D"/>
          <w:szCs w:val="21"/>
          <w:highlight w:val="none"/>
        </w:rPr>
        <w:t>10.2屏幕: ≥9.7英寸、LCD 、2560 x 1600 像素</w:t>
      </w:r>
      <w:r>
        <w:rPr>
          <w:rFonts w:hint="eastAsia" w:ascii="Times New Roman" w:hAnsi="Times New Roman"/>
          <w:bCs/>
          <w:color w:val="0D0D0D"/>
          <w:szCs w:val="21"/>
          <w:highlight w:val="none"/>
          <w:lang w:eastAsia="zh-CN"/>
        </w:rPr>
        <w:t>；</w:t>
      </w:r>
    </w:p>
    <w:p>
      <w:pPr>
        <w:spacing w:line="360" w:lineRule="auto"/>
        <w:ind w:firstLine="420" w:firstLineChars="200"/>
        <w:jc w:val="left"/>
        <w:rPr>
          <w:rFonts w:hint="eastAsia" w:ascii="Times New Roman" w:hAnsi="Times New Roman" w:eastAsiaTheme="minorEastAsia"/>
          <w:bCs/>
          <w:color w:val="0D0D0D"/>
          <w:szCs w:val="21"/>
          <w:highlight w:val="none"/>
          <w:lang w:eastAsia="zh-CN"/>
        </w:rPr>
      </w:pPr>
      <w:r>
        <w:rPr>
          <w:rFonts w:hint="eastAsia" w:ascii="Times New Roman" w:hAnsi="Times New Roman"/>
          <w:bCs/>
          <w:color w:val="0D0D0D"/>
          <w:szCs w:val="21"/>
          <w:highlight w:val="none"/>
        </w:rPr>
        <w:t>10.3内存：8 GB RAM + 512 GB ROM，能扩展存储</w:t>
      </w:r>
      <w:r>
        <w:rPr>
          <w:rFonts w:hint="eastAsia" w:ascii="Times New Roman" w:hAnsi="Times New Roman"/>
          <w:bCs/>
          <w:color w:val="0D0D0D"/>
          <w:szCs w:val="21"/>
          <w:highlight w:val="none"/>
          <w:lang w:eastAsia="zh-CN"/>
        </w:rPr>
        <w:t>；</w:t>
      </w:r>
    </w:p>
    <w:p>
      <w:pPr>
        <w:spacing w:line="360" w:lineRule="auto"/>
        <w:ind w:firstLine="420" w:firstLineChars="200"/>
        <w:jc w:val="left"/>
        <w:rPr>
          <w:rFonts w:hint="eastAsia" w:ascii="Times New Roman" w:hAnsi="Times New Roman" w:eastAsiaTheme="minorEastAsia"/>
          <w:bCs/>
          <w:color w:val="0D0D0D"/>
          <w:szCs w:val="21"/>
          <w:highlight w:val="none"/>
          <w:lang w:eastAsia="zh-CN"/>
        </w:rPr>
      </w:pPr>
      <w:r>
        <w:rPr>
          <w:rFonts w:hint="eastAsia" w:ascii="Times New Roman" w:hAnsi="Times New Roman"/>
          <w:bCs/>
          <w:color w:val="0D0D0D"/>
          <w:szCs w:val="21"/>
          <w:highlight w:val="none"/>
        </w:rPr>
        <w:t>10.4摄像头：不低于前800万像素/后1300万像素</w:t>
      </w:r>
      <w:r>
        <w:rPr>
          <w:rFonts w:hint="eastAsia" w:ascii="Times New Roman" w:hAnsi="Times New Roman"/>
          <w:bCs/>
          <w:color w:val="0D0D0D"/>
          <w:szCs w:val="21"/>
          <w:highlight w:val="none"/>
          <w:lang w:eastAsia="zh-CN"/>
        </w:rPr>
        <w:t>；</w:t>
      </w:r>
    </w:p>
    <w:p>
      <w:pPr>
        <w:spacing w:line="360" w:lineRule="auto"/>
        <w:ind w:firstLine="420" w:firstLineChars="200"/>
        <w:jc w:val="left"/>
        <w:rPr>
          <w:rFonts w:hint="eastAsia" w:ascii="Times New Roman" w:hAnsi="Times New Roman" w:eastAsiaTheme="minorEastAsia"/>
          <w:bCs/>
          <w:color w:val="0D0D0D"/>
          <w:szCs w:val="21"/>
          <w:highlight w:val="none"/>
          <w:lang w:eastAsia="zh-CN"/>
        </w:rPr>
      </w:pPr>
      <w:r>
        <w:rPr>
          <w:rFonts w:hint="eastAsia" w:ascii="Times New Roman" w:hAnsi="Times New Roman"/>
          <w:bCs/>
          <w:color w:val="0D0D0D"/>
          <w:szCs w:val="21"/>
          <w:highlight w:val="none"/>
        </w:rPr>
        <w:t>10.5电池容量不低于7000mAh</w:t>
      </w:r>
      <w:r>
        <w:rPr>
          <w:rFonts w:hint="eastAsia" w:ascii="Times New Roman" w:hAnsi="Times New Roman"/>
          <w:bCs/>
          <w:color w:val="0D0D0D"/>
          <w:szCs w:val="21"/>
          <w:highlight w:val="none"/>
          <w:lang w:eastAsia="zh-CN"/>
        </w:rPr>
        <w:t>；</w:t>
      </w:r>
    </w:p>
    <w:p>
      <w:pPr>
        <w:spacing w:line="360" w:lineRule="auto"/>
        <w:ind w:firstLine="420" w:firstLineChars="200"/>
        <w:jc w:val="left"/>
        <w:rPr>
          <w:rFonts w:hint="eastAsia" w:ascii="Times New Roman" w:hAnsi="Times New Roman" w:eastAsiaTheme="minorEastAsia"/>
          <w:bCs/>
          <w:color w:val="0D0D0D"/>
          <w:szCs w:val="21"/>
          <w:highlight w:val="none"/>
          <w:lang w:eastAsia="zh-CN"/>
        </w:rPr>
      </w:pPr>
      <w:r>
        <w:rPr>
          <w:rFonts w:hint="eastAsia" w:ascii="Times New Roman" w:hAnsi="Times New Roman"/>
          <w:bCs/>
          <w:color w:val="0D0D0D"/>
          <w:szCs w:val="21"/>
          <w:highlight w:val="none"/>
        </w:rPr>
        <w:t>10.5网络制式：移动5G/联通5G/电信5G</w:t>
      </w:r>
      <w:r>
        <w:rPr>
          <w:rFonts w:hint="eastAsia" w:ascii="Times New Roman" w:hAnsi="Times New Roman"/>
          <w:bCs/>
          <w:color w:val="0D0D0D"/>
          <w:szCs w:val="21"/>
          <w:highlight w:val="none"/>
          <w:lang w:eastAsia="zh-CN"/>
        </w:rPr>
        <w:t>；</w:t>
      </w:r>
    </w:p>
    <w:p>
      <w:pPr>
        <w:spacing w:line="360" w:lineRule="auto"/>
        <w:ind w:firstLine="420" w:firstLineChars="200"/>
        <w:jc w:val="left"/>
        <w:rPr>
          <w:rFonts w:hint="eastAsia" w:ascii="宋体" w:hAnsi="宋体" w:cs="宋体"/>
          <w:color w:val="auto"/>
          <w:sz w:val="24"/>
          <w:highlight w:val="none"/>
        </w:rPr>
      </w:pPr>
      <w:r>
        <w:rPr>
          <w:rFonts w:hint="eastAsia" w:ascii="Times New Roman" w:hAnsi="Times New Roman"/>
          <w:bCs/>
          <w:color w:val="0D0D0D"/>
          <w:szCs w:val="21"/>
          <w:highlight w:val="none"/>
        </w:rPr>
        <w:t>10.7数据连接：WLAN、蓝牙、PC数据同步、USB、Type-C、GPS、无线投屏</w:t>
      </w:r>
      <w:r>
        <w:rPr>
          <w:rFonts w:hint="eastAsia" w:ascii="Times New Roman" w:hAnsi="Times New Roman"/>
          <w:bCs/>
          <w:color w:val="0D0D0D"/>
          <w:szCs w:val="21"/>
          <w:highlight w:val="none"/>
          <w:lang w:eastAsia="zh-CN"/>
        </w:rPr>
        <w:t>。</w:t>
      </w:r>
    </w:p>
    <w:p>
      <w:pPr>
        <w:spacing w:line="360" w:lineRule="auto"/>
        <w:ind w:firstLine="482" w:firstLineChars="200"/>
        <w:jc w:val="left"/>
        <w:rPr>
          <w:rFonts w:ascii="宋体" w:hAnsi="宋体" w:eastAsia="宋体" w:cs="宋体"/>
          <w:b/>
          <w:bCs/>
          <w:color w:val="0D0D0D"/>
          <w:sz w:val="24"/>
          <w:highlight w:val="none"/>
        </w:rPr>
      </w:pPr>
      <w:r>
        <w:rPr>
          <w:rFonts w:hint="eastAsia" w:ascii="宋体" w:hAnsi="宋体" w:eastAsia="宋体" w:cs="宋体"/>
          <w:b/>
          <w:bCs/>
          <w:color w:val="0D0D0D"/>
          <w:sz w:val="24"/>
          <w:highlight w:val="none"/>
        </w:rPr>
        <w:t>02包技术参数及配置要求</w:t>
      </w:r>
    </w:p>
    <w:p>
      <w:pPr>
        <w:spacing w:line="360" w:lineRule="auto"/>
        <w:ind w:firstLine="440" w:firstLineChars="200"/>
        <w:jc w:val="left"/>
        <w:rPr>
          <w:rFonts w:ascii="宋体" w:hAnsi="宋体" w:eastAsia="宋体" w:cs="宋体"/>
          <w:color w:val="0D0D0D"/>
          <w:sz w:val="22"/>
          <w:szCs w:val="22"/>
          <w:highlight w:val="none"/>
        </w:rPr>
      </w:pPr>
      <w:r>
        <w:rPr>
          <w:rFonts w:hint="eastAsia" w:ascii="宋体" w:hAnsi="宋体" w:eastAsia="宋体" w:cs="宋体"/>
          <w:color w:val="0D0D0D"/>
          <w:sz w:val="22"/>
          <w:szCs w:val="22"/>
          <w:highlight w:val="none"/>
        </w:rPr>
        <w:t>1. ICPMS自动进样器技术参数</w:t>
      </w:r>
    </w:p>
    <w:p>
      <w:pPr>
        <w:spacing w:line="360" w:lineRule="auto"/>
        <w:ind w:firstLine="440" w:firstLineChars="200"/>
        <w:jc w:val="left"/>
        <w:rPr>
          <w:rFonts w:hint="eastAsia" w:ascii="宋体" w:hAnsi="宋体" w:eastAsia="宋体" w:cs="宋体"/>
          <w:color w:val="0D0D0D"/>
          <w:sz w:val="22"/>
          <w:szCs w:val="22"/>
          <w:highlight w:val="none"/>
          <w:lang w:eastAsia="zh-CN"/>
        </w:rPr>
      </w:pPr>
      <w:r>
        <w:rPr>
          <w:rFonts w:hint="eastAsia" w:ascii="宋体" w:hAnsi="宋体" w:eastAsia="宋体" w:cs="宋体"/>
          <w:color w:val="0D0D0D"/>
          <w:sz w:val="22"/>
          <w:szCs w:val="22"/>
          <w:highlight w:val="none"/>
        </w:rPr>
        <w:t>1.1 工作条件</w:t>
      </w:r>
      <w:r>
        <w:rPr>
          <w:rFonts w:hint="eastAsia" w:ascii="宋体" w:hAnsi="宋体" w:eastAsia="宋体" w:cs="宋体"/>
          <w:color w:val="0D0D0D"/>
          <w:sz w:val="22"/>
          <w:szCs w:val="22"/>
          <w:highlight w:val="none"/>
          <w:lang w:eastAsia="zh-CN"/>
        </w:rPr>
        <w:t>：</w:t>
      </w:r>
      <w:r>
        <w:rPr>
          <w:rFonts w:hint="eastAsia" w:ascii="宋体" w:hAnsi="宋体" w:eastAsia="宋体" w:cs="宋体"/>
          <w:color w:val="0D0D0D"/>
          <w:sz w:val="22"/>
          <w:szCs w:val="22"/>
          <w:highlight w:val="none"/>
        </w:rPr>
        <w:t>电源：220V±10%，50Hz</w:t>
      </w:r>
      <w:r>
        <w:rPr>
          <w:rFonts w:hint="eastAsia" w:ascii="宋体" w:hAnsi="宋体" w:eastAsia="宋体" w:cs="宋体"/>
          <w:color w:val="0D0D0D"/>
          <w:sz w:val="22"/>
          <w:szCs w:val="22"/>
          <w:highlight w:val="none"/>
          <w:lang w:eastAsia="zh-CN"/>
        </w:rPr>
        <w:t>，</w:t>
      </w:r>
      <w:r>
        <w:rPr>
          <w:rFonts w:hint="eastAsia" w:ascii="宋体" w:hAnsi="宋体" w:eastAsia="宋体" w:cs="宋体"/>
          <w:color w:val="0D0D0D"/>
          <w:sz w:val="22"/>
          <w:szCs w:val="22"/>
          <w:highlight w:val="none"/>
        </w:rPr>
        <w:t>温度：操作环境15˚C-35˚C</w:t>
      </w:r>
      <w:r>
        <w:rPr>
          <w:rFonts w:hint="eastAsia" w:ascii="宋体" w:hAnsi="宋体" w:eastAsia="宋体" w:cs="宋体"/>
          <w:color w:val="0D0D0D"/>
          <w:sz w:val="22"/>
          <w:szCs w:val="22"/>
          <w:highlight w:val="none"/>
          <w:lang w:eastAsia="zh-CN"/>
        </w:rPr>
        <w:t>，</w:t>
      </w:r>
      <w:r>
        <w:rPr>
          <w:rFonts w:hint="eastAsia" w:ascii="宋体" w:hAnsi="宋体" w:eastAsia="宋体" w:cs="宋体"/>
          <w:color w:val="0D0D0D"/>
          <w:sz w:val="22"/>
          <w:szCs w:val="22"/>
          <w:highlight w:val="none"/>
        </w:rPr>
        <w:t>湿度：40-80%</w:t>
      </w:r>
      <w:r>
        <w:rPr>
          <w:rFonts w:hint="eastAsia" w:ascii="宋体" w:hAnsi="宋体" w:eastAsia="宋体" w:cs="宋体"/>
          <w:color w:val="0D0D0D"/>
          <w:sz w:val="22"/>
          <w:szCs w:val="22"/>
          <w:highlight w:val="none"/>
          <w:lang w:eastAsia="zh-CN"/>
        </w:rPr>
        <w:t>。</w:t>
      </w:r>
    </w:p>
    <w:p>
      <w:pPr>
        <w:spacing w:line="360" w:lineRule="auto"/>
        <w:ind w:firstLine="440" w:firstLineChars="200"/>
        <w:jc w:val="left"/>
        <w:rPr>
          <w:rFonts w:ascii="宋体" w:hAnsi="宋体" w:eastAsia="宋体" w:cs="宋体"/>
          <w:color w:val="0D0D0D"/>
          <w:sz w:val="22"/>
          <w:szCs w:val="22"/>
          <w:highlight w:val="none"/>
        </w:rPr>
      </w:pPr>
      <w:r>
        <w:rPr>
          <w:rFonts w:hint="eastAsia" w:ascii="宋体" w:hAnsi="宋体" w:eastAsia="宋体" w:cs="宋体"/>
          <w:color w:val="0D0D0D"/>
          <w:sz w:val="22"/>
          <w:szCs w:val="22"/>
          <w:highlight w:val="none"/>
        </w:rPr>
        <w:t>1.2 技术参数</w:t>
      </w:r>
    </w:p>
    <w:p>
      <w:pPr>
        <w:spacing w:line="360" w:lineRule="auto"/>
        <w:ind w:firstLine="440" w:firstLineChars="200"/>
        <w:jc w:val="left"/>
        <w:rPr>
          <w:rFonts w:hint="eastAsia" w:ascii="宋体" w:hAnsi="宋体" w:eastAsia="宋体" w:cs="宋体"/>
          <w:color w:val="0D0D0D"/>
          <w:sz w:val="22"/>
          <w:szCs w:val="22"/>
          <w:highlight w:val="none"/>
          <w:lang w:eastAsia="zh-CN"/>
        </w:rPr>
      </w:pPr>
      <w:r>
        <w:rPr>
          <w:rFonts w:hint="eastAsia" w:ascii="宋体" w:hAnsi="宋体" w:eastAsia="宋体" w:cs="宋体"/>
          <w:color w:val="0D0D0D"/>
          <w:sz w:val="22"/>
          <w:szCs w:val="22"/>
          <w:highlight w:val="none"/>
        </w:rPr>
        <w:t>1.2.1可兼容各种市售无金属样品架</w:t>
      </w:r>
      <w:r>
        <w:rPr>
          <w:rFonts w:hint="eastAsia" w:ascii="宋体" w:hAnsi="宋体" w:eastAsia="宋体" w:cs="宋体"/>
          <w:color w:val="0D0D0D"/>
          <w:sz w:val="22"/>
          <w:szCs w:val="22"/>
          <w:highlight w:val="none"/>
          <w:lang w:eastAsia="zh-CN"/>
        </w:rPr>
        <w:t>；</w:t>
      </w:r>
    </w:p>
    <w:p>
      <w:pPr>
        <w:spacing w:line="360" w:lineRule="auto"/>
        <w:ind w:firstLine="440" w:firstLineChars="200"/>
        <w:jc w:val="left"/>
        <w:rPr>
          <w:rFonts w:hint="eastAsia" w:ascii="宋体" w:hAnsi="宋体" w:eastAsia="宋体" w:cs="宋体"/>
          <w:color w:val="0D0D0D"/>
          <w:sz w:val="22"/>
          <w:szCs w:val="22"/>
          <w:highlight w:val="none"/>
          <w:lang w:eastAsia="zh-CN"/>
        </w:rPr>
      </w:pPr>
      <w:r>
        <w:rPr>
          <w:rFonts w:hint="eastAsia" w:ascii="宋体" w:hAnsi="宋体" w:eastAsia="宋体" w:cs="宋体"/>
          <w:color w:val="0D0D0D"/>
          <w:sz w:val="22"/>
          <w:szCs w:val="22"/>
          <w:highlight w:val="none"/>
        </w:rPr>
        <w:t>1.2.2样品架配置可由用户自行选择，样品架尺寸可根据需要混合使用并相应匹配</w:t>
      </w:r>
      <w:r>
        <w:rPr>
          <w:rFonts w:hint="eastAsia" w:ascii="宋体" w:hAnsi="宋体" w:eastAsia="宋体" w:cs="宋体"/>
          <w:color w:val="0D0D0D"/>
          <w:sz w:val="22"/>
          <w:szCs w:val="22"/>
          <w:highlight w:val="none"/>
          <w:lang w:eastAsia="zh-CN"/>
        </w:rPr>
        <w:t>；</w:t>
      </w:r>
    </w:p>
    <w:p>
      <w:pPr>
        <w:spacing w:line="360" w:lineRule="auto"/>
        <w:ind w:firstLine="440" w:firstLineChars="200"/>
        <w:jc w:val="left"/>
        <w:rPr>
          <w:rFonts w:hint="eastAsia" w:ascii="宋体" w:hAnsi="宋体" w:eastAsia="宋体" w:cs="宋体"/>
          <w:color w:val="0D0D0D"/>
          <w:sz w:val="22"/>
          <w:szCs w:val="22"/>
          <w:highlight w:val="none"/>
          <w:lang w:eastAsia="zh-CN"/>
        </w:rPr>
      </w:pPr>
      <w:r>
        <w:rPr>
          <w:rFonts w:hint="eastAsia" w:ascii="宋体" w:hAnsi="宋体" w:eastAsia="宋体" w:cs="宋体"/>
          <w:color w:val="0D0D0D"/>
          <w:sz w:val="22"/>
          <w:szCs w:val="22"/>
          <w:highlight w:val="none"/>
        </w:rPr>
        <w:t>1.2.3样品位：200位或以上，可通过增加样品支架扩展样品容量，最多可容纳 350 个以上的16ml样品位，确保实验室高通量长期无人值守的运行</w:t>
      </w:r>
      <w:r>
        <w:rPr>
          <w:rFonts w:hint="eastAsia" w:ascii="宋体" w:hAnsi="宋体" w:eastAsia="宋体" w:cs="宋体"/>
          <w:color w:val="0D0D0D"/>
          <w:sz w:val="22"/>
          <w:szCs w:val="22"/>
          <w:highlight w:val="none"/>
          <w:lang w:eastAsia="zh-CN"/>
        </w:rPr>
        <w:t>；</w:t>
      </w:r>
    </w:p>
    <w:p>
      <w:pPr>
        <w:spacing w:line="360" w:lineRule="auto"/>
        <w:ind w:firstLine="440" w:firstLineChars="200"/>
        <w:jc w:val="left"/>
        <w:rPr>
          <w:rFonts w:hint="eastAsia" w:ascii="宋体" w:hAnsi="宋体" w:eastAsia="宋体" w:cs="宋体"/>
          <w:b/>
          <w:bCs/>
          <w:color w:val="0D0D0D"/>
          <w:sz w:val="22"/>
          <w:szCs w:val="22"/>
          <w:highlight w:val="none"/>
          <w:lang w:eastAsia="zh-CN"/>
        </w:rPr>
      </w:pPr>
      <w:r>
        <w:rPr>
          <w:rFonts w:hint="eastAsia" w:ascii="宋体" w:hAnsi="宋体" w:eastAsia="宋体" w:cs="宋体"/>
          <w:color w:val="0D0D0D"/>
          <w:sz w:val="22"/>
          <w:szCs w:val="22"/>
          <w:highlight w:val="none"/>
        </w:rPr>
        <w:t>▲1.2.4可与使用单位现有的ICPMS7700主机完全兼容，用于样品的自动进样</w:t>
      </w:r>
      <w:r>
        <w:rPr>
          <w:rFonts w:hint="eastAsia" w:ascii="宋体" w:hAnsi="宋体" w:eastAsia="宋体" w:cs="宋体"/>
          <w:color w:val="0D0D0D"/>
          <w:sz w:val="22"/>
          <w:szCs w:val="22"/>
          <w:highlight w:val="none"/>
          <w:lang w:eastAsia="zh-CN"/>
        </w:rPr>
        <w:t>；</w:t>
      </w:r>
      <w:r>
        <w:rPr>
          <w:rFonts w:hint="eastAsia" w:ascii="宋体" w:hAnsi="宋体" w:eastAsia="宋体" w:cs="宋体"/>
          <w:b/>
          <w:bCs/>
          <w:color w:val="0D0D0D"/>
          <w:sz w:val="22"/>
          <w:szCs w:val="22"/>
          <w:highlight w:val="none"/>
          <w:lang w:eastAsia="zh-CN"/>
        </w:rPr>
        <w:t>（</w:t>
      </w:r>
      <w:r>
        <w:rPr>
          <w:rFonts w:hint="eastAsia" w:ascii="宋体" w:hAnsi="宋体" w:eastAsia="宋体" w:cs="宋体"/>
          <w:b/>
          <w:bCs/>
          <w:color w:val="0D0D0D"/>
          <w:sz w:val="22"/>
          <w:szCs w:val="22"/>
          <w:highlight w:val="none"/>
          <w:lang w:val="en-US" w:eastAsia="zh-CN"/>
        </w:rPr>
        <w:t>提供承诺函格式自拟并加盖投标人公章</w:t>
      </w:r>
      <w:r>
        <w:rPr>
          <w:rFonts w:hint="eastAsia" w:ascii="宋体" w:hAnsi="宋体" w:eastAsia="宋体" w:cs="宋体"/>
          <w:b/>
          <w:bCs/>
          <w:color w:val="0D0D0D"/>
          <w:sz w:val="22"/>
          <w:szCs w:val="22"/>
          <w:highlight w:val="none"/>
          <w:lang w:eastAsia="zh-CN"/>
        </w:rPr>
        <w:t>）</w:t>
      </w:r>
    </w:p>
    <w:p>
      <w:pPr>
        <w:spacing w:line="360" w:lineRule="auto"/>
        <w:ind w:firstLine="440" w:firstLineChars="200"/>
        <w:jc w:val="left"/>
        <w:rPr>
          <w:rFonts w:hint="eastAsia" w:ascii="宋体" w:hAnsi="宋体" w:eastAsia="宋体" w:cs="宋体"/>
          <w:color w:val="0D0D0D"/>
          <w:sz w:val="22"/>
          <w:szCs w:val="22"/>
          <w:highlight w:val="none"/>
          <w:lang w:eastAsia="zh-CN"/>
        </w:rPr>
      </w:pPr>
      <w:r>
        <w:rPr>
          <w:rFonts w:hint="eastAsia" w:ascii="宋体" w:hAnsi="宋体" w:eastAsia="宋体" w:cs="宋体"/>
          <w:color w:val="0D0D0D"/>
          <w:sz w:val="22"/>
          <w:szCs w:val="22"/>
          <w:highlight w:val="none"/>
        </w:rPr>
        <w:t>1.2.5集成进样器防护罩：耐腐蚀材质，保护样品不受实验室环境影响维持样品完整性；保护操作人员与实验室仪器免受腐蚀性样品蒸气的影响</w:t>
      </w:r>
      <w:r>
        <w:rPr>
          <w:rFonts w:hint="eastAsia" w:ascii="宋体" w:hAnsi="宋体" w:eastAsia="宋体" w:cs="宋体"/>
          <w:color w:val="0D0D0D"/>
          <w:sz w:val="22"/>
          <w:szCs w:val="22"/>
          <w:highlight w:val="none"/>
          <w:lang w:eastAsia="zh-CN"/>
        </w:rPr>
        <w:t>；</w:t>
      </w:r>
    </w:p>
    <w:p>
      <w:pPr>
        <w:spacing w:line="360" w:lineRule="auto"/>
        <w:ind w:firstLine="440" w:firstLineChars="200"/>
        <w:jc w:val="left"/>
        <w:rPr>
          <w:rFonts w:hint="eastAsia" w:ascii="宋体" w:hAnsi="宋体" w:eastAsia="宋体" w:cs="宋体"/>
          <w:color w:val="0D0D0D"/>
          <w:sz w:val="22"/>
          <w:szCs w:val="22"/>
          <w:highlight w:val="none"/>
          <w:lang w:eastAsia="zh-CN"/>
        </w:rPr>
      </w:pPr>
      <w:r>
        <w:rPr>
          <w:rFonts w:hint="eastAsia" w:ascii="宋体" w:hAnsi="宋体" w:eastAsia="宋体" w:cs="宋体"/>
          <w:color w:val="0D0D0D"/>
          <w:sz w:val="22"/>
          <w:szCs w:val="22"/>
          <w:highlight w:val="none"/>
        </w:rPr>
        <w:t>1.2.6电气连接和管路连接：接口位于防护罩之外，方便进行操作和安装，具备排气软管接头</w:t>
      </w:r>
      <w:r>
        <w:rPr>
          <w:rFonts w:hint="eastAsia" w:ascii="宋体" w:hAnsi="宋体" w:eastAsia="宋体" w:cs="宋体"/>
          <w:color w:val="0D0D0D"/>
          <w:sz w:val="22"/>
          <w:szCs w:val="22"/>
          <w:highlight w:val="none"/>
          <w:lang w:eastAsia="zh-CN"/>
        </w:rPr>
        <w:t>；</w:t>
      </w:r>
    </w:p>
    <w:p>
      <w:pPr>
        <w:spacing w:line="360" w:lineRule="auto"/>
        <w:ind w:firstLine="440" w:firstLineChars="200"/>
        <w:jc w:val="left"/>
        <w:rPr>
          <w:rFonts w:hint="eastAsia" w:ascii="宋体" w:hAnsi="宋体" w:eastAsia="宋体" w:cs="宋体"/>
          <w:color w:val="0D0D0D"/>
          <w:sz w:val="22"/>
          <w:szCs w:val="22"/>
          <w:highlight w:val="none"/>
          <w:lang w:eastAsia="zh-CN"/>
        </w:rPr>
      </w:pPr>
      <w:r>
        <w:rPr>
          <w:rFonts w:hint="eastAsia" w:ascii="宋体" w:hAnsi="宋体" w:eastAsia="宋体" w:cs="宋体"/>
          <w:color w:val="0D0D0D"/>
          <w:sz w:val="22"/>
          <w:szCs w:val="22"/>
          <w:highlight w:val="none"/>
        </w:rPr>
        <w:t>1.2.7可编程探针深度，适用于沉积或分层样品的取样</w:t>
      </w:r>
      <w:r>
        <w:rPr>
          <w:rFonts w:hint="eastAsia" w:ascii="宋体" w:hAnsi="宋体" w:eastAsia="宋体" w:cs="宋体"/>
          <w:color w:val="0D0D0D"/>
          <w:sz w:val="22"/>
          <w:szCs w:val="22"/>
          <w:highlight w:val="none"/>
          <w:lang w:eastAsia="zh-CN"/>
        </w:rPr>
        <w:t>；</w:t>
      </w:r>
    </w:p>
    <w:p>
      <w:pPr>
        <w:spacing w:line="360" w:lineRule="auto"/>
        <w:ind w:firstLine="440" w:firstLineChars="200"/>
        <w:jc w:val="left"/>
        <w:rPr>
          <w:rFonts w:hint="eastAsia" w:ascii="宋体" w:hAnsi="宋体" w:eastAsia="宋体" w:cs="宋体"/>
          <w:color w:val="0D0D0D"/>
          <w:sz w:val="22"/>
          <w:szCs w:val="22"/>
          <w:highlight w:val="none"/>
          <w:lang w:eastAsia="zh-CN"/>
        </w:rPr>
      </w:pPr>
      <w:r>
        <w:rPr>
          <w:rFonts w:hint="eastAsia" w:ascii="宋体" w:hAnsi="宋体" w:eastAsia="宋体" w:cs="宋体"/>
          <w:color w:val="0D0D0D"/>
          <w:sz w:val="22"/>
          <w:szCs w:val="22"/>
          <w:highlight w:val="none"/>
        </w:rPr>
        <w:t>1.2.8 USB 2.0（全速）虚拟 COM 端口，具备即插即用功能</w:t>
      </w:r>
      <w:r>
        <w:rPr>
          <w:rFonts w:hint="eastAsia" w:ascii="宋体" w:hAnsi="宋体" w:eastAsia="宋体" w:cs="宋体"/>
          <w:color w:val="0D0D0D"/>
          <w:sz w:val="22"/>
          <w:szCs w:val="22"/>
          <w:highlight w:val="none"/>
          <w:lang w:eastAsia="zh-CN"/>
        </w:rPr>
        <w:t>；</w:t>
      </w:r>
    </w:p>
    <w:p>
      <w:pPr>
        <w:spacing w:line="360" w:lineRule="auto"/>
        <w:ind w:firstLine="440" w:firstLineChars="200"/>
        <w:jc w:val="left"/>
        <w:rPr>
          <w:rFonts w:ascii="宋体" w:hAnsi="宋体" w:eastAsia="宋体" w:cs="宋体"/>
          <w:color w:val="0D0D0D"/>
          <w:sz w:val="22"/>
          <w:szCs w:val="22"/>
          <w:highlight w:val="none"/>
        </w:rPr>
      </w:pPr>
      <w:r>
        <w:rPr>
          <w:rFonts w:hint="eastAsia" w:ascii="宋体" w:hAnsi="宋体" w:eastAsia="宋体" w:cs="宋体"/>
          <w:color w:val="0D0D0D"/>
          <w:sz w:val="22"/>
          <w:szCs w:val="22"/>
          <w:highlight w:val="none"/>
        </w:rPr>
        <w:t>1.2.9其他要求：自动进样器可被现有ICPMS主机软件或通过软件升级实现整机的软件控制，确保系统的兼容性</w:t>
      </w:r>
      <w:r>
        <w:rPr>
          <w:rFonts w:hint="eastAsia" w:ascii="宋体" w:hAnsi="宋体" w:eastAsia="宋体" w:cs="宋体"/>
          <w:color w:val="0D0D0D"/>
          <w:sz w:val="22"/>
          <w:szCs w:val="22"/>
          <w:highlight w:val="none"/>
          <w:lang w:eastAsia="zh-CN"/>
        </w:rPr>
        <w:t>；</w:t>
      </w:r>
      <w:r>
        <w:rPr>
          <w:rFonts w:hint="eastAsia" w:ascii="宋体" w:hAnsi="宋体" w:eastAsia="宋体" w:cs="宋体"/>
          <w:color w:val="0D0D0D"/>
          <w:sz w:val="22"/>
          <w:szCs w:val="22"/>
          <w:highlight w:val="none"/>
        </w:rPr>
        <w:t xml:space="preserve"> </w:t>
      </w:r>
    </w:p>
    <w:p>
      <w:pPr>
        <w:spacing w:line="360" w:lineRule="auto"/>
        <w:ind w:firstLine="440" w:firstLineChars="200"/>
        <w:jc w:val="left"/>
        <w:rPr>
          <w:rFonts w:ascii="宋体" w:hAnsi="宋体" w:eastAsia="宋体" w:cs="宋体"/>
          <w:color w:val="0D0D0D"/>
          <w:sz w:val="22"/>
          <w:szCs w:val="22"/>
          <w:highlight w:val="none"/>
        </w:rPr>
      </w:pPr>
      <w:r>
        <w:rPr>
          <w:rFonts w:hint="eastAsia" w:ascii="宋体" w:hAnsi="宋体" w:eastAsia="宋体" w:cs="宋体"/>
          <w:color w:val="0D0D0D"/>
          <w:sz w:val="22"/>
          <w:szCs w:val="22"/>
          <w:highlight w:val="none"/>
          <w:lang w:val="en-US" w:eastAsia="zh-CN"/>
        </w:rPr>
        <w:t>1.3</w:t>
      </w:r>
      <w:r>
        <w:rPr>
          <w:rFonts w:hint="eastAsia" w:ascii="宋体" w:hAnsi="宋体" w:eastAsia="宋体" w:cs="宋体"/>
          <w:color w:val="0D0D0D"/>
          <w:sz w:val="22"/>
          <w:szCs w:val="22"/>
          <w:highlight w:val="none"/>
        </w:rPr>
        <w:t>产品配置：</w:t>
      </w:r>
    </w:p>
    <w:p>
      <w:pPr>
        <w:spacing w:line="360" w:lineRule="auto"/>
        <w:ind w:firstLine="440" w:firstLineChars="200"/>
        <w:jc w:val="left"/>
        <w:rPr>
          <w:rFonts w:hint="eastAsia" w:ascii="宋体" w:hAnsi="宋体" w:cs="宋体"/>
          <w:color w:val="auto"/>
          <w:sz w:val="24"/>
          <w:highlight w:val="none"/>
        </w:rPr>
      </w:pPr>
      <w:r>
        <w:rPr>
          <w:rFonts w:hint="eastAsia" w:ascii="宋体" w:hAnsi="宋体" w:eastAsia="宋体" w:cs="宋体"/>
          <w:color w:val="0D0D0D"/>
          <w:sz w:val="22"/>
          <w:szCs w:val="22"/>
          <w:highlight w:val="none"/>
        </w:rPr>
        <w:t>自动进样器主机1套；21位标准样品架（50ml）1套； 60位标准样品架（16ml）3套；50ml聚丙烯样品管25个， 16mL聚丙烯样品管1000根。</w:t>
      </w:r>
    </w:p>
    <w:p>
      <w:pPr>
        <w:spacing w:line="360" w:lineRule="auto"/>
        <w:ind w:firstLine="482" w:firstLineChars="200"/>
        <w:jc w:val="left"/>
        <w:rPr>
          <w:rFonts w:ascii="宋体" w:hAnsi="宋体" w:eastAsia="宋体" w:cs="宋体"/>
          <w:color w:val="0D0D0D"/>
          <w:sz w:val="24"/>
          <w:highlight w:val="none"/>
        </w:rPr>
      </w:pPr>
      <w:r>
        <w:rPr>
          <w:rFonts w:hint="eastAsia" w:ascii="宋体" w:hAnsi="宋体" w:eastAsia="宋体" w:cs="宋体"/>
          <w:b/>
          <w:bCs/>
          <w:color w:val="0D0D0D"/>
          <w:sz w:val="24"/>
          <w:highlight w:val="none"/>
        </w:rPr>
        <w:t>三、其它要求：</w:t>
      </w:r>
    </w:p>
    <w:p>
      <w:pPr>
        <w:spacing w:line="360" w:lineRule="auto"/>
        <w:ind w:firstLine="480" w:firstLineChars="200"/>
        <w:jc w:val="left"/>
        <w:rPr>
          <w:rFonts w:ascii="宋体" w:hAnsi="宋体" w:eastAsia="宋体" w:cs="宋体"/>
          <w:color w:val="0D0D0D"/>
          <w:sz w:val="24"/>
          <w:highlight w:val="none"/>
        </w:rPr>
      </w:pPr>
      <w:r>
        <w:rPr>
          <w:rFonts w:hint="eastAsia" w:ascii="宋体" w:hAnsi="宋体" w:eastAsia="宋体" w:cs="宋体"/>
          <w:color w:val="0D0D0D"/>
          <w:sz w:val="24"/>
          <w:highlight w:val="none"/>
        </w:rPr>
        <w:t>1.保修期：验收合格后所有设备整机免费质保三年，质保期间负责设备维修维护服务，其中X光管三年免费质保，X射线荧光光谱仪安装调试完成并投入使用投标人须对X射线荧光光谱仪使用条件下的环境进行辐射检测并出具检测报告，辐射监测结果必须达到相关标准规范使用要求，确保仪器使用人员不受辐射影响。</w:t>
      </w:r>
    </w:p>
    <w:p>
      <w:pPr>
        <w:spacing w:line="360" w:lineRule="auto"/>
        <w:ind w:firstLine="480" w:firstLineChars="200"/>
        <w:jc w:val="left"/>
        <w:rPr>
          <w:rFonts w:ascii="宋体" w:hAnsi="宋体" w:eastAsia="宋体" w:cs="宋体"/>
          <w:color w:val="0D0D0D"/>
          <w:sz w:val="24"/>
          <w:highlight w:val="none"/>
        </w:rPr>
      </w:pPr>
      <w:r>
        <w:rPr>
          <w:rFonts w:hint="eastAsia" w:ascii="宋体" w:hAnsi="宋体" w:eastAsia="宋体" w:cs="宋体"/>
          <w:color w:val="0D0D0D"/>
          <w:sz w:val="24"/>
          <w:highlight w:val="none"/>
        </w:rPr>
        <w:t>2.维修响应时间：8小时以内响应，48小时内到现场。</w:t>
      </w:r>
    </w:p>
    <w:p>
      <w:pPr>
        <w:spacing w:line="360" w:lineRule="auto"/>
        <w:ind w:firstLine="480" w:firstLineChars="200"/>
        <w:jc w:val="left"/>
        <w:rPr>
          <w:rFonts w:ascii="宋体" w:hAnsi="宋体" w:eastAsia="宋体" w:cs="宋体"/>
          <w:color w:val="0D0D0D"/>
          <w:sz w:val="24"/>
          <w:highlight w:val="none"/>
        </w:rPr>
      </w:pPr>
      <w:r>
        <w:rPr>
          <w:rFonts w:hint="eastAsia" w:ascii="宋体" w:hAnsi="宋体" w:eastAsia="宋体" w:cs="宋体"/>
          <w:color w:val="0D0D0D"/>
          <w:sz w:val="24"/>
          <w:highlight w:val="none"/>
        </w:rPr>
        <w:t>3.人员培训：第一次在用户仪器安装现场进行，培训期间还需协助用户建立各种样品的分析方法（包括土壤样品分析、空气滤膜样品分析、无标样定性定量分析等），直到用户能独立操作仪器，并满足分析要求为止；第二次在供方国内实验室进行，用户派出2人接受仪器使用再培训及生产厂商技术巩固，培训时间不少于1周。</w:t>
      </w:r>
    </w:p>
    <w:p>
      <w:pPr>
        <w:spacing w:line="360" w:lineRule="auto"/>
        <w:ind w:firstLine="482" w:firstLineChars="200"/>
        <w:jc w:val="left"/>
        <w:rPr>
          <w:rFonts w:ascii="宋体" w:hAnsi="宋体" w:eastAsia="宋体" w:cs="宋体"/>
          <w:color w:val="0D0D0D"/>
          <w:sz w:val="24"/>
          <w:highlight w:val="none"/>
        </w:rPr>
      </w:pPr>
      <w:r>
        <w:rPr>
          <w:rFonts w:hint="eastAsia" w:ascii="宋体" w:hAnsi="宋体" w:eastAsia="宋体" w:cs="宋体"/>
          <w:b/>
          <w:bCs/>
          <w:sz w:val="24"/>
          <w:highlight w:val="none"/>
        </w:rPr>
        <w:t>★</w:t>
      </w:r>
      <w:r>
        <w:rPr>
          <w:rFonts w:hint="eastAsia" w:ascii="宋体" w:hAnsi="宋体" w:eastAsia="宋体" w:cs="宋体"/>
          <w:b/>
          <w:bCs/>
          <w:color w:val="0D0D0D"/>
          <w:sz w:val="24"/>
          <w:highlight w:val="none"/>
        </w:rPr>
        <w:t>4.投标人</w:t>
      </w:r>
      <w:r>
        <w:rPr>
          <w:rFonts w:hint="eastAsia" w:ascii="宋体" w:hAnsi="宋体" w:cs="宋体"/>
          <w:b/>
          <w:bCs/>
          <w:color w:val="0D0D0D"/>
          <w:sz w:val="24"/>
          <w:highlight w:val="none"/>
          <w:lang w:val="en-US" w:eastAsia="zh-CN"/>
        </w:rPr>
        <w:t>须</w:t>
      </w:r>
      <w:r>
        <w:rPr>
          <w:rFonts w:hint="eastAsia" w:ascii="宋体" w:hAnsi="宋体" w:eastAsia="宋体" w:cs="宋体"/>
          <w:b/>
          <w:bCs/>
          <w:color w:val="0D0D0D"/>
          <w:sz w:val="24"/>
          <w:highlight w:val="none"/>
        </w:rPr>
        <w:t>在投标</w:t>
      </w:r>
      <w:r>
        <w:rPr>
          <w:rFonts w:hint="eastAsia" w:ascii="宋体" w:hAnsi="宋体" w:cs="宋体"/>
          <w:b/>
          <w:bCs/>
          <w:color w:val="0D0D0D"/>
          <w:sz w:val="24"/>
          <w:highlight w:val="none"/>
          <w:lang w:val="en-US" w:eastAsia="zh-CN"/>
        </w:rPr>
        <w:t>文件中</w:t>
      </w:r>
      <w:r>
        <w:rPr>
          <w:rFonts w:hint="eastAsia" w:ascii="宋体" w:hAnsi="宋体" w:eastAsia="宋体" w:cs="宋体"/>
          <w:b/>
          <w:bCs/>
          <w:color w:val="0D0D0D"/>
          <w:sz w:val="24"/>
          <w:highlight w:val="none"/>
        </w:rPr>
        <w:t>提供：X射线荧光光谱仪、吹扫捕集+水土自动进样器、气相色谱-质谱联用仪、测汞仪、瓶口分液器、ICPMS自动进样器的所投</w:t>
      </w:r>
      <w:r>
        <w:rPr>
          <w:rFonts w:hint="eastAsia" w:ascii="宋体" w:hAnsi="宋体" w:cs="宋体"/>
          <w:b/>
          <w:bCs/>
          <w:color w:val="0D0D0D"/>
          <w:sz w:val="24"/>
          <w:highlight w:val="none"/>
          <w:lang w:val="en-US" w:eastAsia="zh-CN"/>
        </w:rPr>
        <w:t>进口</w:t>
      </w:r>
      <w:r>
        <w:rPr>
          <w:rFonts w:hint="eastAsia" w:ascii="宋体" w:hAnsi="宋体" w:eastAsia="宋体" w:cs="宋体"/>
          <w:b/>
          <w:bCs/>
          <w:color w:val="0D0D0D"/>
          <w:sz w:val="24"/>
          <w:highlight w:val="none"/>
        </w:rPr>
        <w:t>产品制造商授权书及售后服务授权书原件。</w:t>
      </w:r>
    </w:p>
    <w:p>
      <w:pPr>
        <w:spacing w:line="240" w:lineRule="auto"/>
        <w:ind w:firstLine="482" w:firstLineChars="200"/>
        <w:jc w:val="left"/>
        <w:rPr>
          <w:rFonts w:ascii="宋体" w:hAnsi="宋体" w:cs="宋体"/>
          <w:b/>
          <w:bCs/>
          <w:color w:val="auto"/>
          <w:sz w:val="24"/>
          <w:highlight w:val="none"/>
        </w:rPr>
      </w:pPr>
      <w:r>
        <w:rPr>
          <w:rFonts w:hint="eastAsia" w:ascii="宋体" w:hAnsi="宋体" w:eastAsia="宋体" w:cs="宋体"/>
          <w:b/>
          <w:bCs/>
          <w:sz w:val="24"/>
          <w:highlight w:val="none"/>
        </w:rPr>
        <w:t>★</w:t>
      </w:r>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rPr>
        <w:t>、商务要求</w:t>
      </w:r>
    </w:p>
    <w:p>
      <w:pPr>
        <w:spacing w:line="360" w:lineRule="auto"/>
        <w:ind w:firstLine="480" w:firstLineChars="200"/>
        <w:jc w:val="left"/>
        <w:rPr>
          <w:rFonts w:ascii="宋体" w:hAnsi="宋体" w:eastAsia="宋体" w:cs="宋体"/>
          <w:color w:val="0D0D0D"/>
          <w:sz w:val="24"/>
          <w:highlight w:val="none"/>
        </w:rPr>
      </w:pPr>
      <w:r>
        <w:rPr>
          <w:rFonts w:hint="eastAsia" w:ascii="宋体" w:hAnsi="宋体" w:eastAsia="宋体" w:cs="宋体"/>
          <w:color w:val="0D0D0D"/>
          <w:sz w:val="24"/>
          <w:highlight w:val="none"/>
        </w:rPr>
        <w:t>3.1交货安装时间：签订合同后90天内交货并安装调试完毕。</w:t>
      </w:r>
    </w:p>
    <w:p>
      <w:pPr>
        <w:spacing w:line="360" w:lineRule="auto"/>
        <w:ind w:firstLine="480" w:firstLineChars="200"/>
        <w:jc w:val="left"/>
        <w:rPr>
          <w:rFonts w:ascii="宋体" w:hAnsi="宋体" w:eastAsia="宋体" w:cs="宋体"/>
          <w:color w:val="0D0D0D"/>
          <w:sz w:val="24"/>
          <w:highlight w:val="none"/>
        </w:rPr>
      </w:pPr>
      <w:r>
        <w:rPr>
          <w:rFonts w:hint="eastAsia" w:ascii="宋体" w:hAnsi="宋体" w:eastAsia="宋体" w:cs="宋体"/>
          <w:color w:val="0D0D0D"/>
          <w:sz w:val="24"/>
          <w:highlight w:val="none"/>
        </w:rPr>
        <w:t>3.2交付地点：</w:t>
      </w:r>
      <w:r>
        <w:rPr>
          <w:rFonts w:hint="eastAsia" w:ascii="宋体" w:hAnsi="宋体" w:cs="宋体"/>
          <w:color w:val="0D0D0D"/>
          <w:sz w:val="24"/>
          <w:highlight w:val="none"/>
          <w:lang w:val="en-US" w:eastAsia="zh-CN"/>
        </w:rPr>
        <w:t>成都市</w:t>
      </w:r>
      <w:r>
        <w:rPr>
          <w:rFonts w:hint="eastAsia" w:ascii="宋体" w:hAnsi="宋体" w:eastAsia="宋体" w:cs="宋体"/>
          <w:color w:val="0D0D0D"/>
          <w:sz w:val="24"/>
          <w:highlight w:val="none"/>
        </w:rPr>
        <w:t>。</w:t>
      </w:r>
    </w:p>
    <w:p>
      <w:pPr>
        <w:spacing w:line="360" w:lineRule="auto"/>
        <w:ind w:firstLine="480" w:firstLineChars="200"/>
        <w:jc w:val="left"/>
        <w:rPr>
          <w:rFonts w:ascii="宋体" w:hAnsi="宋体" w:eastAsia="宋体" w:cs="宋体"/>
          <w:color w:val="0D0D0D"/>
          <w:sz w:val="24"/>
          <w:highlight w:val="none"/>
        </w:rPr>
      </w:pPr>
      <w:r>
        <w:rPr>
          <w:rFonts w:hint="eastAsia" w:ascii="宋体" w:hAnsi="宋体" w:eastAsia="宋体" w:cs="宋体"/>
          <w:color w:val="0D0D0D"/>
          <w:sz w:val="24"/>
          <w:highlight w:val="none"/>
        </w:rPr>
        <w:t>3.3付款时间及付款方式：合同签订生效后</w:t>
      </w:r>
      <w:bookmarkStart w:id="188" w:name="_Hlk70434418"/>
      <w:r>
        <w:rPr>
          <w:rFonts w:hint="eastAsia" w:ascii="宋体" w:hAnsi="宋体" w:eastAsia="宋体" w:cs="宋体"/>
          <w:color w:val="0D0D0D"/>
          <w:sz w:val="24"/>
          <w:highlight w:val="none"/>
        </w:rPr>
        <w:t>，采购人启动财政支付审批程序，待财政支付平台下达资金支付指标，且中标人开具当期付款金额等额发票后5个工作日内支付合同总款的40%；</w:t>
      </w:r>
      <w:bookmarkEnd w:id="188"/>
      <w:r>
        <w:rPr>
          <w:rFonts w:hint="eastAsia" w:ascii="宋体" w:hAnsi="宋体" w:eastAsia="宋体" w:cs="宋体"/>
          <w:color w:val="0D0D0D"/>
          <w:sz w:val="24"/>
          <w:highlight w:val="none"/>
        </w:rPr>
        <w:t>项目到货、开箱验收合格后，采购人启动财政支付审批程序，待财政支付平台下达资金支付指标，且中标人开具当期付款金额等额发票后支付合同总款的</w:t>
      </w:r>
      <w:r>
        <w:rPr>
          <w:rFonts w:ascii="宋体" w:hAnsi="宋体" w:eastAsia="宋体" w:cs="宋体"/>
          <w:color w:val="0D0D0D"/>
          <w:sz w:val="24"/>
          <w:highlight w:val="none"/>
        </w:rPr>
        <w:t>10</w:t>
      </w:r>
      <w:r>
        <w:rPr>
          <w:rFonts w:hint="eastAsia" w:ascii="宋体" w:hAnsi="宋体" w:eastAsia="宋体" w:cs="宋体"/>
          <w:color w:val="0D0D0D"/>
          <w:sz w:val="24"/>
          <w:highlight w:val="none"/>
        </w:rPr>
        <w:t>%；待项目履约验收合格后，采购人启动财政支付审批程序，待财政支付平台下达资金支付指标，且中标人开具当期付款金额等额发票后支付项目尾款。</w:t>
      </w:r>
    </w:p>
    <w:p>
      <w:pPr>
        <w:spacing w:line="240" w:lineRule="auto"/>
        <w:ind w:firstLine="480" w:firstLineChars="200"/>
        <w:jc w:val="left"/>
        <w:rPr>
          <w:rFonts w:ascii="宋体" w:hAnsi="宋体" w:eastAsia="宋体" w:cs="宋体"/>
          <w:color w:val="0D0D0D"/>
          <w:sz w:val="24"/>
          <w:highlight w:val="none"/>
        </w:rPr>
      </w:pPr>
      <w:r>
        <w:rPr>
          <w:rFonts w:hint="eastAsia" w:ascii="宋体" w:hAnsi="宋体" w:eastAsia="宋体" w:cs="宋体"/>
          <w:color w:val="0D0D0D"/>
          <w:sz w:val="24"/>
          <w:highlight w:val="none"/>
        </w:rPr>
        <w:t>3.4报价要求：</w:t>
      </w:r>
    </w:p>
    <w:p>
      <w:pPr>
        <w:spacing w:line="240" w:lineRule="auto"/>
        <w:ind w:firstLine="480" w:firstLineChars="200"/>
        <w:jc w:val="left"/>
        <w:rPr>
          <w:rFonts w:ascii="宋体" w:hAnsi="宋体" w:eastAsia="宋体" w:cs="宋体"/>
          <w:color w:val="0D0D0D"/>
          <w:sz w:val="24"/>
          <w:highlight w:val="none"/>
        </w:rPr>
      </w:pPr>
      <w:r>
        <w:rPr>
          <w:rFonts w:hint="eastAsia" w:ascii="宋体" w:hAnsi="宋体" w:eastAsia="宋体" w:cs="宋体"/>
          <w:color w:val="0D0D0D"/>
          <w:sz w:val="24"/>
          <w:highlight w:val="none"/>
        </w:rPr>
        <w:t>（1）所有报价一律以人民币报价。采购人不接受任何非人民币币种的报价。</w:t>
      </w:r>
    </w:p>
    <w:p>
      <w:pPr>
        <w:spacing w:line="240" w:lineRule="auto"/>
        <w:ind w:firstLine="480" w:firstLineChars="200"/>
        <w:jc w:val="left"/>
        <w:rPr>
          <w:rFonts w:ascii="宋体" w:hAnsi="宋体" w:eastAsia="宋体" w:cs="宋体"/>
          <w:color w:val="0D0D0D"/>
          <w:sz w:val="24"/>
          <w:highlight w:val="none"/>
        </w:rPr>
      </w:pPr>
      <w:r>
        <w:rPr>
          <w:rFonts w:hint="eastAsia" w:ascii="宋体" w:hAnsi="宋体" w:eastAsia="宋体" w:cs="宋体"/>
          <w:color w:val="0D0D0D"/>
          <w:sz w:val="24"/>
          <w:highlight w:val="none"/>
        </w:rPr>
        <w:t>（2）投标人的报价是含设备、安装、调试、</w:t>
      </w:r>
      <w:r>
        <w:rPr>
          <w:rFonts w:hint="eastAsia" w:ascii="宋体" w:hAnsi="宋体" w:cs="宋体"/>
          <w:color w:val="0D0D0D"/>
          <w:sz w:val="24"/>
          <w:highlight w:val="none"/>
          <w:lang w:val="en-US" w:eastAsia="zh-CN"/>
        </w:rPr>
        <w:t>运输、</w:t>
      </w:r>
      <w:r>
        <w:rPr>
          <w:rFonts w:hint="eastAsia" w:ascii="宋体" w:hAnsi="宋体" w:eastAsia="宋体" w:cs="宋体"/>
          <w:color w:val="0D0D0D"/>
          <w:sz w:val="24"/>
          <w:highlight w:val="none"/>
        </w:rPr>
        <w:t>验收、设备手工比对监测、质量保修、其他售后服务、采购代理服务费等费用，是其响应本项目要求的全部工作内容的价格体现，采购人将不再支付其他额外费用。</w:t>
      </w:r>
    </w:p>
    <w:p>
      <w:pPr>
        <w:spacing w:line="240" w:lineRule="auto"/>
        <w:ind w:firstLine="480" w:firstLineChars="200"/>
        <w:jc w:val="left"/>
        <w:rPr>
          <w:rFonts w:ascii="宋体" w:hAnsi="宋体" w:eastAsia="宋体" w:cs="宋体"/>
          <w:b/>
          <w:bCs/>
          <w:color w:val="0D0D0D"/>
          <w:sz w:val="24"/>
          <w:highlight w:val="none"/>
        </w:rPr>
      </w:pPr>
      <w:r>
        <w:rPr>
          <w:rFonts w:hint="eastAsia" w:ascii="宋体" w:hAnsi="宋体" w:eastAsia="宋体" w:cs="宋体"/>
          <w:color w:val="0D0D0D"/>
          <w:sz w:val="24"/>
          <w:highlight w:val="none"/>
        </w:rPr>
        <w:t>3.</w:t>
      </w:r>
      <w:r>
        <w:rPr>
          <w:rFonts w:hint="eastAsia" w:ascii="宋体" w:hAnsi="宋体" w:cs="宋体"/>
          <w:color w:val="0D0D0D"/>
          <w:sz w:val="24"/>
          <w:highlight w:val="none"/>
          <w:lang w:val="en-US" w:eastAsia="zh-CN"/>
        </w:rPr>
        <w:t>5</w:t>
      </w:r>
      <w:r>
        <w:rPr>
          <w:rFonts w:hint="eastAsia" w:ascii="宋体" w:hAnsi="宋体" w:eastAsia="宋体" w:cs="宋体"/>
          <w:color w:val="0D0D0D"/>
          <w:sz w:val="24"/>
          <w:highlight w:val="none"/>
        </w:rPr>
        <w:t>投标人须提供廉政承诺书原件并加盖投标人公章。</w:t>
      </w:r>
      <w:r>
        <w:rPr>
          <w:rFonts w:hint="eastAsia" w:ascii="宋体" w:hAnsi="宋体" w:eastAsia="宋体" w:cs="宋体"/>
          <w:b/>
          <w:bCs/>
          <w:color w:val="0D0D0D"/>
          <w:sz w:val="24"/>
          <w:highlight w:val="none"/>
        </w:rPr>
        <w:t>（提供承诺函，格式自拟，否则按无效投标处理）</w:t>
      </w:r>
    </w:p>
    <w:p>
      <w:pPr>
        <w:spacing w:line="240" w:lineRule="auto"/>
        <w:ind w:firstLine="480" w:firstLineChars="200"/>
        <w:jc w:val="left"/>
        <w:rPr>
          <w:rFonts w:ascii="宋体" w:hAnsi="宋体" w:eastAsia="宋体" w:cs="宋体"/>
          <w:color w:val="0D0D0D"/>
          <w:sz w:val="24"/>
          <w:highlight w:val="none"/>
        </w:rPr>
      </w:pPr>
      <w:r>
        <w:rPr>
          <w:rFonts w:hint="eastAsia" w:ascii="宋体" w:hAnsi="宋体" w:eastAsia="宋体" w:cs="宋体"/>
          <w:color w:val="0D0D0D"/>
          <w:sz w:val="24"/>
          <w:highlight w:val="none"/>
        </w:rPr>
        <w:t>3.</w:t>
      </w:r>
      <w:r>
        <w:rPr>
          <w:rFonts w:hint="eastAsia" w:ascii="宋体" w:hAnsi="宋体" w:cs="宋体"/>
          <w:color w:val="0D0D0D"/>
          <w:sz w:val="24"/>
          <w:highlight w:val="none"/>
          <w:lang w:val="en-US" w:eastAsia="zh-CN"/>
        </w:rPr>
        <w:t>6</w:t>
      </w:r>
      <w:r>
        <w:rPr>
          <w:rFonts w:hint="eastAsia" w:ascii="宋体" w:hAnsi="宋体" w:eastAsia="宋体" w:cs="宋体"/>
          <w:color w:val="0D0D0D"/>
          <w:sz w:val="24"/>
          <w:highlight w:val="none"/>
        </w:rPr>
        <w:t>验收：采购人组织专家验收，按照招标文件及相关法律法规要求。验收时间：接到中标人验收申请后，经评估符合验收条件的，5个工作日内组织验收。</w:t>
      </w:r>
    </w:p>
    <w:p>
      <w:pPr>
        <w:spacing w:line="240" w:lineRule="auto"/>
        <w:ind w:firstLine="480" w:firstLineChars="200"/>
        <w:jc w:val="left"/>
        <w:rPr>
          <w:rFonts w:ascii="宋体" w:hAnsi="宋体" w:cs="宋体"/>
          <w:color w:val="auto"/>
          <w:highlight w:val="none"/>
        </w:rPr>
      </w:pPr>
      <w:r>
        <w:rPr>
          <w:rFonts w:hint="eastAsia" w:ascii="宋体" w:hAnsi="宋体" w:eastAsia="宋体" w:cs="宋体"/>
          <w:color w:val="0D0D0D"/>
          <w:sz w:val="24"/>
          <w:highlight w:val="none"/>
        </w:rPr>
        <w:t>3.</w:t>
      </w:r>
      <w:r>
        <w:rPr>
          <w:rFonts w:hint="eastAsia" w:ascii="宋体" w:hAnsi="宋体" w:cs="宋体"/>
          <w:color w:val="0D0D0D"/>
          <w:sz w:val="24"/>
          <w:highlight w:val="none"/>
          <w:lang w:val="en-US" w:eastAsia="zh-CN"/>
        </w:rPr>
        <w:t>7</w:t>
      </w:r>
      <w:r>
        <w:rPr>
          <w:rFonts w:hint="eastAsia" w:ascii="宋体" w:hAnsi="宋体" w:eastAsia="宋体" w:cs="宋体"/>
          <w:color w:val="0D0D0D"/>
          <w:sz w:val="24"/>
          <w:highlight w:val="none"/>
        </w:rPr>
        <w:t>履约验收：《财政部关于进一步加强政府采购需求和履约验收管理的指导意见》（财库〔2016〕205号）的要求以及采购文件要求进行验收。</w:t>
      </w:r>
    </w:p>
    <w:p>
      <w:pPr>
        <w:pStyle w:val="3"/>
        <w:spacing w:line="400" w:lineRule="exact"/>
        <w:jc w:val="center"/>
        <w:rPr>
          <w:rFonts w:ascii="宋体" w:hAnsi="宋体" w:cs="宋体"/>
          <w:color w:val="auto"/>
          <w:sz w:val="36"/>
          <w:szCs w:val="36"/>
          <w:highlight w:val="none"/>
        </w:rPr>
      </w:pPr>
      <w:r>
        <w:rPr>
          <w:rFonts w:hint="eastAsia" w:ascii="宋体" w:hAnsi="宋体" w:cs="宋体"/>
          <w:color w:val="auto"/>
          <w:sz w:val="36"/>
          <w:szCs w:val="36"/>
          <w:highlight w:val="none"/>
        </w:rPr>
        <w:br w:type="page"/>
      </w:r>
      <w:r>
        <w:rPr>
          <w:rFonts w:hint="eastAsia" w:ascii="宋体" w:hAnsi="宋体" w:cs="宋体"/>
          <w:color w:val="auto"/>
          <w:sz w:val="36"/>
          <w:szCs w:val="36"/>
          <w:highlight w:val="none"/>
        </w:rPr>
        <w:t>第七章  评标办法</w:t>
      </w:r>
      <w:bookmarkEnd w:id="184"/>
      <w:bookmarkEnd w:id="185"/>
      <w:bookmarkStart w:id="189" w:name="_Hlt101846155"/>
      <w:bookmarkEnd w:id="189"/>
      <w:bookmarkStart w:id="190" w:name="_Toc217446097"/>
      <w:bookmarkStart w:id="191" w:name="_Toc183682415"/>
      <w:bookmarkStart w:id="192" w:name="_Toc208849007"/>
      <w:bookmarkStart w:id="193" w:name="_Toc183582280"/>
    </w:p>
    <w:p>
      <w:pPr>
        <w:pStyle w:val="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 总则</w:t>
      </w:r>
      <w:bookmarkEnd w:id="190"/>
      <w:bookmarkEnd w:id="191"/>
      <w:bookmarkEnd w:id="192"/>
      <w:bookmarkEnd w:id="193"/>
    </w:p>
    <w:p>
      <w:pPr>
        <w:spacing w:line="360" w:lineRule="auto"/>
        <w:ind w:firstLine="480" w:firstLineChars="200"/>
        <w:jc w:val="left"/>
        <w:rPr>
          <w:rFonts w:ascii="宋体" w:hAnsi="宋体" w:cs="宋体"/>
          <w:color w:val="auto"/>
          <w:sz w:val="24"/>
          <w:highlight w:val="none"/>
          <w:lang w:val="zh-CN"/>
        </w:rPr>
      </w:pPr>
      <w:bookmarkStart w:id="194" w:name="_Toc101250640"/>
      <w:bookmarkStart w:id="195" w:name="_Toc209847065"/>
      <w:bookmarkStart w:id="196" w:name="_Toc101338358"/>
      <w:bookmarkStart w:id="197" w:name="_Toc101174146"/>
      <w:bookmarkStart w:id="198" w:name="_Toc430773924"/>
      <w:bookmarkStart w:id="199" w:name="_Toc5845"/>
      <w:bookmarkStart w:id="200" w:name="_Toc23042"/>
      <w:r>
        <w:rPr>
          <w:rFonts w:hint="eastAsia" w:ascii="宋体" w:hAnsi="宋体" w:cs="宋体"/>
          <w:color w:val="auto"/>
          <w:sz w:val="24"/>
          <w:highlight w:val="none"/>
          <w:lang w:val="zh-CN"/>
        </w:rPr>
        <w:t>1.1 根据《中华人民共和国政府采购法》、《中华人民共和国政府采购法实施条例》、《政府采购货物和服务招标投标管理办法》等法律制度，结合采购项目特点制定本评标办法。</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1.2 公开招标采购项目开标结束后，采购人或者采购代理机构应当依法对投标人的资格进行审查。依据法律法规和本招标文件的规定，对投标文件是否按照规定要求提供资格性证明材料、是否按照规定交纳投标保证金，以确定投标</w:t>
      </w:r>
      <w:r>
        <w:rPr>
          <w:rFonts w:hint="eastAsia" w:ascii="宋体" w:hAnsi="宋体" w:cs="宋体"/>
          <w:color w:val="auto"/>
          <w:sz w:val="24"/>
          <w:highlight w:val="none"/>
        </w:rPr>
        <w:t>人</w:t>
      </w:r>
      <w:r>
        <w:rPr>
          <w:rFonts w:hint="eastAsia" w:ascii="宋体" w:hAnsi="宋体" w:cs="宋体"/>
          <w:color w:val="auto"/>
          <w:sz w:val="24"/>
          <w:highlight w:val="none"/>
          <w:lang w:val="zh-CN"/>
        </w:rPr>
        <w:t>是否具备投标资格。</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合格投标人不足三家的，不得评标。</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评标工作由采购代理机构负责组织，具体评标事务由采购代理机构依法组建的评标委员会负责。评标委员会由采购人代表和有关技术、经济、法律等方面的专家组成。</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1.3 评标工作应遵循公平、公正、科学及择优的原则，并以相同的评标程序和标准对待所有的投标人。</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1.4 评标委员会按照招标文件规定的评标方法和标准进行评标，并独立履行下列职责：</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（一）熟悉和理解招标文件；</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（二）审查</w:t>
      </w:r>
      <w:r>
        <w:rPr>
          <w:rFonts w:hint="eastAsia" w:ascii="宋体" w:hAnsi="宋体" w:cs="宋体"/>
          <w:color w:val="auto"/>
          <w:sz w:val="24"/>
          <w:highlight w:val="none"/>
        </w:rPr>
        <w:t>投标人</w:t>
      </w:r>
      <w:r>
        <w:rPr>
          <w:rFonts w:hint="eastAsia" w:ascii="宋体" w:hAnsi="宋体" w:cs="宋体"/>
          <w:color w:val="auto"/>
          <w:sz w:val="24"/>
          <w:highlight w:val="none"/>
          <w:lang w:val="zh-CN"/>
        </w:rPr>
        <w:t>（已通过资格审查）的投标文件是否满足招标文件要求，并作出评价；</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（三）根据需要要求招标采购单位对招标文件作出解释；根据需要要求</w:t>
      </w:r>
      <w:r>
        <w:rPr>
          <w:rFonts w:hint="eastAsia" w:ascii="宋体" w:hAnsi="宋体" w:cs="宋体"/>
          <w:color w:val="auto"/>
          <w:sz w:val="24"/>
          <w:highlight w:val="none"/>
        </w:rPr>
        <w:t>投标人</w:t>
      </w:r>
      <w:r>
        <w:rPr>
          <w:rFonts w:hint="eastAsia" w:ascii="宋体" w:hAnsi="宋体" w:cs="宋体"/>
          <w:color w:val="auto"/>
          <w:sz w:val="24"/>
          <w:highlight w:val="none"/>
          <w:lang w:val="zh-CN"/>
        </w:rPr>
        <w:t>对投标文件有关事项作出澄清、说明或者更正；</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（四）推荐中标候选</w:t>
      </w:r>
      <w:r>
        <w:rPr>
          <w:rFonts w:hint="eastAsia" w:ascii="宋体" w:hAnsi="宋体" w:cs="宋体"/>
          <w:color w:val="auto"/>
          <w:sz w:val="24"/>
          <w:highlight w:val="none"/>
        </w:rPr>
        <w:t>人</w:t>
      </w:r>
      <w:r>
        <w:rPr>
          <w:rFonts w:hint="eastAsia" w:ascii="宋体" w:hAnsi="宋体" w:cs="宋体"/>
          <w:color w:val="auto"/>
          <w:sz w:val="24"/>
          <w:highlight w:val="none"/>
          <w:lang w:val="zh-CN"/>
        </w:rPr>
        <w:t>，或者受采购人委托确定中标</w:t>
      </w:r>
      <w:r>
        <w:rPr>
          <w:rFonts w:hint="eastAsia" w:ascii="宋体" w:hAnsi="宋体" w:cs="宋体"/>
          <w:color w:val="auto"/>
          <w:sz w:val="24"/>
          <w:highlight w:val="none"/>
        </w:rPr>
        <w:t>人</w:t>
      </w:r>
      <w:r>
        <w:rPr>
          <w:rFonts w:hint="eastAsia" w:ascii="宋体" w:hAnsi="宋体" w:cs="宋体"/>
          <w:color w:val="auto"/>
          <w:sz w:val="24"/>
          <w:highlight w:val="none"/>
          <w:lang w:val="zh-CN"/>
        </w:rPr>
        <w:t>；</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（五）起草评标报告并进行签署；</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（六）向招标采购单位、财政部门或者其他监督部门报告非法干预评标工作的行为；</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（七）法律、法规和规章规定的其他职责。</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1.5 评标过程独立、保密。投标人非法干预评标过程的行为将导致其投标文件作为无效处理。</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1.6 评标委员会评价投标文件的响应性，对于投标人而言，除评标委员会要求其澄清、说明或者更正而提供的资料外，仅依据投标文件本身的内容，不寻求其他外部证据。</w:t>
      </w:r>
    </w:p>
    <w:p>
      <w:pPr>
        <w:spacing w:line="360" w:lineRule="auto"/>
        <w:ind w:firstLine="482" w:firstLineChars="200"/>
        <w:jc w:val="left"/>
        <w:rPr>
          <w:rFonts w:ascii="宋体" w:hAnsi="宋体" w:cs="宋体"/>
          <w:b/>
          <w:bCs/>
          <w:color w:val="auto"/>
          <w:sz w:val="24"/>
          <w:highlight w:val="none"/>
          <w:lang w:val="zh-CN"/>
        </w:rPr>
      </w:pPr>
      <w:r>
        <w:rPr>
          <w:rFonts w:hint="eastAsia" w:ascii="宋体" w:hAnsi="宋体" w:cs="宋体"/>
          <w:b/>
          <w:bCs/>
          <w:color w:val="auto"/>
          <w:sz w:val="24"/>
          <w:highlight w:val="none"/>
          <w:lang w:val="zh-CN"/>
        </w:rPr>
        <w:t>2、 评标方法</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2.1本项目评标方法为：综合评分法。</w:t>
      </w:r>
    </w:p>
    <w:p>
      <w:pPr>
        <w:spacing w:line="360" w:lineRule="auto"/>
        <w:ind w:firstLine="482" w:firstLineChars="200"/>
        <w:jc w:val="left"/>
        <w:rPr>
          <w:rFonts w:ascii="宋体" w:hAnsi="宋体" w:cs="宋体"/>
          <w:b/>
          <w:bCs/>
          <w:color w:val="auto"/>
          <w:sz w:val="24"/>
          <w:highlight w:val="none"/>
          <w:lang w:val="zh-CN"/>
        </w:rPr>
      </w:pPr>
      <w:r>
        <w:rPr>
          <w:rFonts w:hint="eastAsia" w:ascii="宋体" w:hAnsi="宋体" w:cs="宋体"/>
          <w:b/>
          <w:bCs/>
          <w:color w:val="auto"/>
          <w:sz w:val="24"/>
          <w:highlight w:val="none"/>
          <w:lang w:val="zh-CN"/>
        </w:rPr>
        <w:t>3、 评标程序</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3.1熟悉和理解招标文件和停止评标。</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3.1.1评标委员会正式评标前，应当对招标文件进行熟悉和理解，内容主要包括招标文件中投标人资格条件要求、采购项目技术、服务和商务要求、评标方法和标准以及可能涉及签订政府采购合同的内容等。</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3.1.2评标委员会熟悉和理解招标文件以及评标过程中，发现本招标文件有下列情形之一的，评标委员会应当停止评标：</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（1）招标文件的规定存在歧义、重大缺陷的；</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（2）招标文件明显以不合理条件对</w:t>
      </w:r>
      <w:r>
        <w:rPr>
          <w:rFonts w:hint="eastAsia" w:ascii="宋体" w:hAnsi="宋体" w:cs="宋体"/>
          <w:color w:val="auto"/>
          <w:sz w:val="24"/>
          <w:highlight w:val="none"/>
        </w:rPr>
        <w:t>投标人</w:t>
      </w:r>
      <w:r>
        <w:rPr>
          <w:rFonts w:hint="eastAsia" w:ascii="宋体" w:hAnsi="宋体" w:cs="宋体"/>
          <w:color w:val="auto"/>
          <w:sz w:val="24"/>
          <w:highlight w:val="none"/>
          <w:lang w:val="zh-CN"/>
        </w:rPr>
        <w:t>实行差别待遇或者歧视待遇的；</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（3）招标文件内容违反强制采购相关规定的；</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（4）采购项目属于政府采购促进中小企业发展的范围，但是招标文件未依法体现促进中小企业发展相关规定的；</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（5）招标文件规定的评标方法是综合评分法、最低评标价法之外的评标方法，或者虽然名称为综合评分法、最低评标价法，但实际上不符合国家规定；</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（6）招标文件将投标人的资格条件列为评分因素的；</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（7）招标文件有违反国家其他有关强制性规定的情形。</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3.1.3出现本条3.1.2规定应当停止评标情形的，评标委员会成员应当向招标采购单位书面说明情况。除本条规定和评标委员会无法依法组建的情形外，评标委员会成员不得以任何方式和理由停止评标。</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3.2符合性检查。</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3.2.1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3.2.2投标文件（包括单独递交的开标一览表）有下列情形的，本项目不作为实质性要求进行规定，即不作为符合性审查事项，不得作为无效投标处理：</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一</w:t>
      </w:r>
      <w:r>
        <w:rPr>
          <w:rFonts w:hint="eastAsia" w:ascii="宋体" w:hAnsi="宋体" w:cs="宋体"/>
          <w:color w:val="auto"/>
          <w:sz w:val="24"/>
          <w:highlight w:val="none"/>
          <w:lang w:val="zh-CN"/>
        </w:rPr>
        <w:t>）存在个别地方（不超过2个）没有法定代表人/单位负责人签字，但有法定代表人/单位负责人的私人印章或者有效授权代理人签字的；</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二</w:t>
      </w:r>
      <w:r>
        <w:rPr>
          <w:rFonts w:hint="eastAsia" w:ascii="宋体" w:hAnsi="宋体" w:cs="宋体"/>
          <w:color w:val="auto"/>
          <w:sz w:val="24"/>
          <w:highlight w:val="none"/>
          <w:lang w:val="zh-CN"/>
        </w:rPr>
        <w:t>）除招标文件明确要求加盖单位(法人)公章的以外，其他地方以相关专用章加盖的；</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三</w:t>
      </w:r>
      <w:r>
        <w:rPr>
          <w:rFonts w:hint="eastAsia" w:ascii="宋体" w:hAnsi="宋体" w:cs="宋体"/>
          <w:color w:val="auto"/>
          <w:sz w:val="24"/>
          <w:highlight w:val="none"/>
          <w:lang w:val="zh-CN"/>
        </w:rPr>
        <w:t>）以骑缝章的形式代替投标文件内容逐页盖章的（但是骑缝章模糊不清，印章名称无法辨认的除外）；</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四</w:t>
      </w:r>
      <w:r>
        <w:rPr>
          <w:rFonts w:hint="eastAsia" w:ascii="宋体" w:hAnsi="宋体" w:cs="宋体"/>
          <w:color w:val="auto"/>
          <w:sz w:val="24"/>
          <w:highlight w:val="none"/>
          <w:lang w:val="zh-CN"/>
        </w:rPr>
        <w:t>）其他不影响采购项目实质性要求的情形。</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3.2.3除政府采购法律制度规定的情形外，本项目投标人或者其投标文件有下列情形之一的，作为无效投标处理：</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（一）投标文件正副本数量不足的；</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（二）投标文件组成明显不符合招标文件的规定要求，影响评标委员会评判的；</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（三）投标文件的格式、语言、计量单位、报价货币、知识产权、投标有效期等不符合招标文件的规定，影响评标委员会评判的；</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（四）投标报价不符合招标文件规定的采购预算或限价或其他报价规定的；</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（五）投标文件未按招标文件要求签署、盖章的（本章3.2.2规定的例外情形除外）；</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（六）商务、技术、服务应答内容没有完全响应招标文件带“★”的实质性要求的；</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（七）未载明或者载明的招标项目履约时间、方式、数量及其他政府采购合同实质性内容与招标文件要求不一致，且招标采购单位无法接受的。</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3.3比较与评价。按招标文件中规定的评标方法和标准，对未作无效投标处理的投标文件进行技术、服务、商务等方面评估，综合比较与评价。</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3.4复核。评分汇总结束后，评标委员会应当进行复核，特别要对拟推荐为中标候选</w:t>
      </w:r>
      <w:r>
        <w:rPr>
          <w:rFonts w:hint="eastAsia" w:ascii="宋体" w:hAnsi="宋体" w:cs="宋体"/>
          <w:color w:val="auto"/>
          <w:sz w:val="24"/>
          <w:highlight w:val="none"/>
        </w:rPr>
        <w:t>人</w:t>
      </w:r>
      <w:r>
        <w:rPr>
          <w:rFonts w:hint="eastAsia" w:ascii="宋体" w:hAnsi="宋体" w:cs="宋体"/>
          <w:color w:val="auto"/>
          <w:sz w:val="24"/>
          <w:highlight w:val="none"/>
          <w:lang w:val="zh-CN"/>
        </w:rPr>
        <w:t>的、报价最低的、投标文件被认定为无效的进行重点复核。</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3.5推荐中标候选</w:t>
      </w:r>
      <w:r>
        <w:rPr>
          <w:rFonts w:hint="eastAsia" w:ascii="宋体" w:hAnsi="宋体" w:cs="宋体"/>
          <w:color w:val="auto"/>
          <w:sz w:val="24"/>
          <w:highlight w:val="none"/>
        </w:rPr>
        <w:t>人</w:t>
      </w:r>
      <w:r>
        <w:rPr>
          <w:rFonts w:hint="eastAsia" w:ascii="宋体" w:hAnsi="宋体" w:cs="宋体"/>
          <w:color w:val="auto"/>
          <w:sz w:val="24"/>
          <w:highlight w:val="none"/>
          <w:lang w:val="zh-CN"/>
        </w:rPr>
        <w:t>。中标候选</w:t>
      </w:r>
      <w:r>
        <w:rPr>
          <w:rFonts w:hint="eastAsia" w:ascii="宋体" w:hAnsi="宋体" w:cs="宋体"/>
          <w:color w:val="auto"/>
          <w:sz w:val="24"/>
          <w:highlight w:val="none"/>
        </w:rPr>
        <w:t>人</w:t>
      </w:r>
      <w:r>
        <w:rPr>
          <w:rFonts w:hint="eastAsia" w:ascii="宋体" w:hAnsi="宋体" w:cs="宋体"/>
          <w:color w:val="auto"/>
          <w:sz w:val="24"/>
          <w:highlight w:val="none"/>
          <w:lang w:val="zh-CN"/>
        </w:rPr>
        <w:t>应当排序。本项目采用综合评分法，评标结果按评审后得分由高到低顺序排列。得分相同的，按投标报价由低到高顺序排列；得分且投标报价相同的，不发达地区或少数民族地区的</w:t>
      </w:r>
      <w:r>
        <w:rPr>
          <w:rFonts w:hint="eastAsia" w:ascii="宋体" w:hAnsi="宋体" w:cs="宋体"/>
          <w:color w:val="auto"/>
          <w:sz w:val="24"/>
          <w:highlight w:val="none"/>
        </w:rPr>
        <w:t>候选人</w:t>
      </w:r>
      <w:r>
        <w:rPr>
          <w:rFonts w:hint="eastAsia" w:ascii="宋体" w:hAnsi="宋体" w:cs="宋体"/>
          <w:color w:val="auto"/>
          <w:sz w:val="24"/>
          <w:highlight w:val="none"/>
          <w:lang w:val="zh-CN"/>
        </w:rPr>
        <w:t>排列顺序在非不发达地区或少数民族地区的</w:t>
      </w:r>
      <w:r>
        <w:rPr>
          <w:rFonts w:hint="eastAsia" w:ascii="宋体" w:hAnsi="宋体" w:cs="宋体"/>
          <w:color w:val="auto"/>
          <w:sz w:val="24"/>
          <w:highlight w:val="none"/>
        </w:rPr>
        <w:t>候选人</w:t>
      </w:r>
      <w:r>
        <w:rPr>
          <w:rFonts w:hint="eastAsia" w:ascii="宋体" w:hAnsi="宋体" w:cs="宋体"/>
          <w:color w:val="auto"/>
          <w:sz w:val="24"/>
          <w:highlight w:val="none"/>
          <w:lang w:val="zh-CN"/>
        </w:rPr>
        <w:t>之前；得分且投标报价相同的，且均为不发达地区或少数民族地区的</w:t>
      </w:r>
      <w:r>
        <w:rPr>
          <w:rFonts w:hint="eastAsia" w:ascii="宋体" w:hAnsi="宋体" w:cs="宋体"/>
          <w:color w:val="auto"/>
          <w:sz w:val="24"/>
          <w:highlight w:val="none"/>
        </w:rPr>
        <w:t>候选人</w:t>
      </w:r>
      <w:r>
        <w:rPr>
          <w:rFonts w:hint="eastAsia" w:ascii="宋体" w:hAnsi="宋体" w:cs="宋体"/>
          <w:color w:val="auto"/>
          <w:sz w:val="24"/>
          <w:highlight w:val="none"/>
          <w:lang w:val="zh-CN"/>
        </w:rPr>
        <w:t>并列；得分且投标报价相同的，且不能判定为不发达地区或少数民族地区的</w:t>
      </w:r>
      <w:r>
        <w:rPr>
          <w:rFonts w:hint="eastAsia" w:ascii="宋体" w:hAnsi="宋体" w:cs="宋体"/>
          <w:color w:val="auto"/>
          <w:sz w:val="24"/>
          <w:highlight w:val="none"/>
        </w:rPr>
        <w:t>候选人</w:t>
      </w:r>
      <w:r>
        <w:rPr>
          <w:rFonts w:hint="eastAsia" w:ascii="宋体" w:hAnsi="宋体" w:cs="宋体"/>
          <w:color w:val="auto"/>
          <w:sz w:val="24"/>
          <w:highlight w:val="none"/>
          <w:lang w:val="zh-CN"/>
        </w:rPr>
        <w:t>并列。</w:t>
      </w:r>
      <w:r>
        <w:rPr>
          <w:rFonts w:hint="eastAsia" w:ascii="宋体" w:hAnsi="宋体" w:cs="宋体"/>
          <w:b/>
          <w:bCs/>
          <w:color w:val="auto"/>
          <w:sz w:val="24"/>
          <w:highlight w:val="none"/>
          <w:lang w:val="zh-CN"/>
        </w:rPr>
        <w:t>（不发达地区或少数民族地区的</w:t>
      </w:r>
      <w:r>
        <w:rPr>
          <w:rFonts w:hint="eastAsia" w:ascii="宋体" w:hAnsi="宋体" w:cs="宋体"/>
          <w:b/>
          <w:bCs/>
          <w:color w:val="auto"/>
          <w:sz w:val="24"/>
          <w:highlight w:val="none"/>
        </w:rPr>
        <w:t>投标人</w:t>
      </w:r>
      <w:r>
        <w:rPr>
          <w:rFonts w:hint="eastAsia" w:ascii="宋体" w:hAnsi="宋体" w:cs="宋体"/>
          <w:b/>
          <w:bCs/>
          <w:color w:val="auto"/>
          <w:sz w:val="24"/>
          <w:highlight w:val="none"/>
          <w:lang w:val="zh-CN"/>
        </w:rPr>
        <w:t>需提供属于不发达地区或少数民族地区企业的相关证明材料。）</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评标委员会可推荐的中标候选</w:t>
      </w:r>
      <w:r>
        <w:rPr>
          <w:rFonts w:hint="eastAsia" w:ascii="宋体" w:hAnsi="宋体" w:cs="宋体"/>
          <w:color w:val="auto"/>
          <w:sz w:val="24"/>
          <w:highlight w:val="none"/>
        </w:rPr>
        <w:t>人</w:t>
      </w:r>
      <w:r>
        <w:rPr>
          <w:rFonts w:hint="eastAsia" w:ascii="宋体" w:hAnsi="宋体" w:cs="宋体"/>
          <w:color w:val="auto"/>
          <w:sz w:val="24"/>
          <w:highlight w:val="none"/>
          <w:lang w:val="zh-CN"/>
        </w:rPr>
        <w:t>数量不能满足招标文件规定的数量的，只有在获得采购人书面同意后，可以根据实际情况推荐中标候选</w:t>
      </w:r>
      <w:r>
        <w:rPr>
          <w:rFonts w:hint="eastAsia" w:ascii="宋体" w:hAnsi="宋体" w:cs="宋体"/>
          <w:color w:val="auto"/>
          <w:sz w:val="24"/>
          <w:highlight w:val="none"/>
        </w:rPr>
        <w:t>人</w:t>
      </w:r>
      <w:r>
        <w:rPr>
          <w:rFonts w:hint="eastAsia" w:ascii="宋体" w:hAnsi="宋体" w:cs="宋体"/>
          <w:color w:val="auto"/>
          <w:sz w:val="24"/>
          <w:highlight w:val="none"/>
          <w:lang w:val="zh-CN"/>
        </w:rPr>
        <w:t>。未获得采购人的书面同意,评标委员会不得在招标文件规定之外推荐中标候选</w:t>
      </w:r>
      <w:r>
        <w:rPr>
          <w:rFonts w:hint="eastAsia" w:ascii="宋体" w:hAnsi="宋体" w:cs="宋体"/>
          <w:color w:val="auto"/>
          <w:sz w:val="24"/>
          <w:highlight w:val="none"/>
        </w:rPr>
        <w:t>人</w:t>
      </w:r>
      <w:r>
        <w:rPr>
          <w:rFonts w:hint="eastAsia" w:ascii="宋体" w:hAnsi="宋体" w:cs="宋体"/>
          <w:color w:val="auto"/>
          <w:sz w:val="24"/>
          <w:highlight w:val="none"/>
          <w:lang w:val="zh-CN"/>
        </w:rPr>
        <w:t>，否则，采购人可以不予认可。</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3.6出具评标报告。评标委员会推荐中标候选</w:t>
      </w:r>
      <w:r>
        <w:rPr>
          <w:rFonts w:hint="eastAsia" w:ascii="宋体" w:hAnsi="宋体" w:cs="宋体"/>
          <w:color w:val="auto"/>
          <w:sz w:val="24"/>
          <w:highlight w:val="none"/>
        </w:rPr>
        <w:t>人</w:t>
      </w:r>
      <w:r>
        <w:rPr>
          <w:rFonts w:hint="eastAsia" w:ascii="宋体" w:hAnsi="宋体" w:cs="宋体"/>
          <w:color w:val="auto"/>
          <w:sz w:val="24"/>
          <w:highlight w:val="none"/>
          <w:lang w:val="zh-CN"/>
        </w:rPr>
        <w:t>后，应当向招标采购单位出具评标报告。评标报告应当包括下列内容：</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（一）招标公告刊登的媒体名称、开标日期和地点；</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（二）获取招标文件的投标人名单和评标委员会成员名单；</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（三）评标方法和标准；</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（四）开标记录和评标情况及说明，包括无效投标人名单及原因；</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（五）评标结果和中标候选</w:t>
      </w:r>
      <w:r>
        <w:rPr>
          <w:rFonts w:hint="eastAsia" w:ascii="宋体" w:hAnsi="宋体" w:cs="宋体"/>
          <w:color w:val="auto"/>
          <w:sz w:val="24"/>
          <w:highlight w:val="none"/>
        </w:rPr>
        <w:t>人</w:t>
      </w:r>
      <w:r>
        <w:rPr>
          <w:rFonts w:hint="eastAsia" w:ascii="宋体" w:hAnsi="宋体" w:cs="宋体"/>
          <w:color w:val="auto"/>
          <w:sz w:val="24"/>
          <w:highlight w:val="none"/>
          <w:lang w:val="zh-CN"/>
        </w:rPr>
        <w:t>排序表；</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（六）评标委员会授标建议；</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（七）报价最高的投标人为中标候选人的，评标委员会应当对其报价的合理性予以特别说明。</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3.7评标争议处理规则。评标委员会在评审过程中，对于符合性审查、对</w:t>
      </w:r>
      <w:r>
        <w:rPr>
          <w:rFonts w:hint="eastAsia" w:ascii="宋体" w:hAnsi="宋体" w:cs="宋体"/>
          <w:color w:val="auto"/>
          <w:sz w:val="24"/>
          <w:highlight w:val="none"/>
        </w:rPr>
        <w:t>投标人的</w:t>
      </w:r>
      <w:r>
        <w:rPr>
          <w:rFonts w:hint="eastAsia" w:ascii="宋体" w:hAnsi="宋体" w:cs="宋体"/>
          <w:color w:val="auto"/>
          <w:sz w:val="24"/>
          <w:highlight w:val="none"/>
          <w:lang w:val="zh-CN"/>
        </w:rPr>
        <w:t>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3.8</w:t>
      </w:r>
      <w:r>
        <w:rPr>
          <w:rFonts w:hint="eastAsia" w:ascii="宋体" w:hAnsi="宋体" w:cs="宋体"/>
          <w:color w:val="auto"/>
          <w:sz w:val="24"/>
          <w:highlight w:val="none"/>
        </w:rPr>
        <w:t>投标人</w:t>
      </w:r>
      <w:r>
        <w:rPr>
          <w:rFonts w:hint="eastAsia" w:ascii="宋体" w:hAnsi="宋体" w:cs="宋体"/>
          <w:color w:val="auto"/>
          <w:sz w:val="24"/>
          <w:highlight w:val="none"/>
          <w:lang w:val="zh-CN"/>
        </w:rPr>
        <w:t>应当书面澄清、说明或者更正。</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3.8.1在评标过程中，</w:t>
      </w:r>
      <w:r>
        <w:rPr>
          <w:rFonts w:hint="eastAsia" w:ascii="宋体" w:hAnsi="宋体" w:cs="宋体"/>
          <w:color w:val="auto"/>
          <w:sz w:val="24"/>
          <w:highlight w:val="none"/>
        </w:rPr>
        <w:t>投标人的</w:t>
      </w:r>
      <w:r>
        <w:rPr>
          <w:rFonts w:hint="eastAsia" w:ascii="宋体" w:hAnsi="宋体" w:cs="宋体"/>
          <w:color w:val="auto"/>
          <w:sz w:val="24"/>
          <w:highlight w:val="none"/>
          <w:lang w:val="zh-CN"/>
        </w:rPr>
        <w:t>投标文件实质性符合招标文件要求的前提下，评标委员会对投标文件中含义不明确、同类问题表述不一致或者有明显文字和计算错误的内容，应当以书面形式（须由评标委员会全体成员签字）要求</w:t>
      </w:r>
      <w:r>
        <w:rPr>
          <w:rFonts w:hint="eastAsia" w:ascii="宋体" w:hAnsi="宋体" w:cs="宋体"/>
          <w:color w:val="auto"/>
          <w:sz w:val="24"/>
          <w:highlight w:val="none"/>
        </w:rPr>
        <w:t>投标人</w:t>
      </w:r>
      <w:r>
        <w:rPr>
          <w:rFonts w:hint="eastAsia" w:ascii="宋体" w:hAnsi="宋体" w:cs="宋体"/>
          <w:color w:val="auto"/>
          <w:sz w:val="24"/>
          <w:highlight w:val="none"/>
          <w:lang w:val="zh-CN"/>
        </w:rPr>
        <w:t>作出必要的书面澄清、说明或者更正，并给予</w:t>
      </w:r>
      <w:r>
        <w:rPr>
          <w:rFonts w:hint="eastAsia" w:ascii="宋体" w:hAnsi="宋体" w:cs="宋体"/>
          <w:color w:val="auto"/>
          <w:sz w:val="24"/>
          <w:highlight w:val="none"/>
        </w:rPr>
        <w:t>投标人</w:t>
      </w:r>
      <w:r>
        <w:rPr>
          <w:rFonts w:hint="eastAsia" w:ascii="宋体" w:hAnsi="宋体" w:cs="宋体"/>
          <w:color w:val="auto"/>
          <w:sz w:val="24"/>
          <w:highlight w:val="none"/>
          <w:lang w:val="zh-CN"/>
        </w:rPr>
        <w:t>必要的反馈时间。</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3.8.2</w:t>
      </w:r>
      <w:r>
        <w:rPr>
          <w:rFonts w:hint="eastAsia" w:ascii="宋体" w:hAnsi="宋体" w:cs="宋体"/>
          <w:color w:val="auto"/>
          <w:sz w:val="24"/>
          <w:highlight w:val="none"/>
        </w:rPr>
        <w:t>投标人</w:t>
      </w:r>
      <w:r>
        <w:rPr>
          <w:rFonts w:hint="eastAsia" w:ascii="宋体" w:hAnsi="宋体" w:cs="宋体"/>
          <w:color w:val="auto"/>
          <w:sz w:val="24"/>
          <w:highlight w:val="none"/>
          <w:lang w:val="zh-CN"/>
        </w:rPr>
        <w:t>应当书面澄清、说明或者更正，并加盖公章或签字确认（</w:t>
      </w:r>
      <w:r>
        <w:rPr>
          <w:rFonts w:hint="eastAsia" w:ascii="宋体" w:hAnsi="宋体" w:cs="宋体"/>
          <w:color w:val="auto"/>
          <w:sz w:val="24"/>
          <w:highlight w:val="none"/>
        </w:rPr>
        <w:t>投标人</w:t>
      </w:r>
      <w:r>
        <w:rPr>
          <w:rFonts w:hint="eastAsia" w:ascii="宋体" w:hAnsi="宋体" w:cs="宋体"/>
          <w:color w:val="auto"/>
          <w:sz w:val="24"/>
          <w:highlight w:val="none"/>
          <w:lang w:val="zh-CN"/>
        </w:rPr>
        <w:t>为法人的，应当由其法定代表人/单位负责人或者代理人签字确认；</w:t>
      </w:r>
      <w:r>
        <w:rPr>
          <w:rFonts w:hint="eastAsia" w:ascii="宋体" w:hAnsi="宋体" w:cs="宋体"/>
          <w:color w:val="auto"/>
          <w:sz w:val="24"/>
          <w:highlight w:val="none"/>
        </w:rPr>
        <w:t>投标人</w:t>
      </w:r>
      <w:r>
        <w:rPr>
          <w:rFonts w:hint="eastAsia" w:ascii="宋体" w:hAnsi="宋体" w:cs="宋体"/>
          <w:color w:val="auto"/>
          <w:sz w:val="24"/>
          <w:highlight w:val="none"/>
          <w:lang w:val="zh-CN"/>
        </w:rPr>
        <w:t>为其他组织的，应当由其主要负责人或者代理人签字确认；</w:t>
      </w:r>
      <w:r>
        <w:rPr>
          <w:rFonts w:hint="eastAsia" w:ascii="宋体" w:hAnsi="宋体" w:cs="宋体"/>
          <w:color w:val="auto"/>
          <w:sz w:val="24"/>
          <w:highlight w:val="none"/>
        </w:rPr>
        <w:t>投标人</w:t>
      </w:r>
      <w:r>
        <w:rPr>
          <w:rFonts w:hint="eastAsia" w:ascii="宋体" w:hAnsi="宋体" w:cs="宋体"/>
          <w:color w:val="auto"/>
          <w:sz w:val="24"/>
          <w:highlight w:val="none"/>
          <w:lang w:val="zh-CN"/>
        </w:rPr>
        <w:t>为自然人的，应当由其本人或者代理人签字确认），否则无效。澄清、说明或者更正不影响投标文件的效力，有效的澄清、说明或者更正材料，是投标文件的组成部分。</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3.8.3评标委员会要求</w:t>
      </w:r>
      <w:r>
        <w:rPr>
          <w:rFonts w:hint="eastAsia" w:ascii="宋体" w:hAnsi="宋体" w:cs="宋体"/>
          <w:color w:val="auto"/>
          <w:sz w:val="24"/>
          <w:highlight w:val="none"/>
        </w:rPr>
        <w:t>投标人</w:t>
      </w:r>
      <w:r>
        <w:rPr>
          <w:rFonts w:hint="eastAsia" w:ascii="宋体" w:hAnsi="宋体" w:cs="宋体"/>
          <w:color w:val="auto"/>
          <w:sz w:val="24"/>
          <w:highlight w:val="none"/>
          <w:lang w:val="zh-CN"/>
        </w:rPr>
        <w:t>澄清、说明或者更正，不得超出招标文件的范围，不得以此让</w:t>
      </w:r>
      <w:r>
        <w:rPr>
          <w:rFonts w:hint="eastAsia" w:ascii="宋体" w:hAnsi="宋体" w:cs="宋体"/>
          <w:color w:val="auto"/>
          <w:sz w:val="24"/>
          <w:highlight w:val="none"/>
        </w:rPr>
        <w:t>投标人</w:t>
      </w:r>
      <w:r>
        <w:rPr>
          <w:rFonts w:hint="eastAsia" w:ascii="宋体" w:hAnsi="宋体" w:cs="宋体"/>
          <w:color w:val="auto"/>
          <w:sz w:val="24"/>
          <w:highlight w:val="none"/>
          <w:lang w:val="zh-CN"/>
        </w:rPr>
        <w:t>实质改变投标文件的内容，不得影响</w:t>
      </w:r>
      <w:r>
        <w:rPr>
          <w:rFonts w:hint="eastAsia" w:ascii="宋体" w:hAnsi="宋体" w:cs="宋体"/>
          <w:color w:val="auto"/>
          <w:sz w:val="24"/>
          <w:highlight w:val="none"/>
        </w:rPr>
        <w:t>投标人</w:t>
      </w:r>
      <w:r>
        <w:rPr>
          <w:rFonts w:hint="eastAsia" w:ascii="宋体" w:hAnsi="宋体" w:cs="宋体"/>
          <w:color w:val="auto"/>
          <w:sz w:val="24"/>
          <w:highlight w:val="none"/>
          <w:lang w:val="zh-CN"/>
        </w:rPr>
        <w:t>公平竞争。本项目下列内容不得澄清：</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（一）按财政部规定应当在评标时不予承认的投标文件内容事项；</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（二）投标文件中已经明确的内容事项；</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3.8.4 本项目采购过程中，投标文件报价出现前后不一致的，按照下列规定修正：</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（一）投标文件中开标一览表（报价表）内容与投标文件中相应内容不一致的，以开标一览表（报价表）为准；</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（二）大写金额和小写金额不一致的，以大写金额为准；</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（三）单价金额小数点或者百分比有明显错位的，以开标一览表的总价为准，并修改单价；</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（四）总价金额与按单价汇总金额不一致的，以单价金额计算结果为准。</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同时出现两种以上不一致的，按照前款规定的顺序修正。修正后的报价按照本章3.8.1-3.8.3的规定经投标人确认后产生约束力，投标人不确认的，其投标无效。</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注：评标委员会当积极履行澄清、说明或者更正的职责，不得滥用权力。</w:t>
      </w:r>
      <w:r>
        <w:rPr>
          <w:rFonts w:hint="eastAsia" w:ascii="宋体" w:hAnsi="宋体" w:cs="宋体"/>
          <w:color w:val="auto"/>
          <w:sz w:val="24"/>
          <w:highlight w:val="none"/>
        </w:rPr>
        <w:t>投标人</w:t>
      </w:r>
      <w:r>
        <w:rPr>
          <w:rFonts w:hint="eastAsia" w:ascii="宋体" w:hAnsi="宋体" w:cs="宋体"/>
          <w:color w:val="auto"/>
          <w:sz w:val="24"/>
          <w:highlight w:val="none"/>
          <w:lang w:val="zh-CN"/>
        </w:rPr>
        <w:t>的投标文件应当要求澄清、说明或者更正的，不得未经澄清、说明或者更正而直接作无效投标处理。</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3.9低于成本价投标处理。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3.10招标采购单位现场复核评标结果。</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3.10.1评标结果汇总完成后，评标委员会拟出具评标报告前，招标采购单位应当组织2名以上的本单位工作人员，在采购现场监督人员的监督之下，依据有关的法律制度和采购文件对评标结果进行复核，出具复核报告。除下列情形外，任何人不得修改评标结果：</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（一）分值汇总计算错误的；</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（二）分项评分超出评分标准范围的；</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（三）客观评分不一致的；</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（四）经评标委员会认定评分畸高畸低的。</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3.10.2有下列情形之一的，不得修改评标结果或者重新评审：</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（一）招标采购单位现场复核时，复核工作人员数量不足的；</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（二）招标采购单位现场复核时，没有采购监督人员现场监督的；</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（三）招标采购单位现场复核内容超出规定范围的；</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（四）招标采购单位未提供书面建议的。</w:t>
      </w:r>
    </w:p>
    <w:p>
      <w:pPr>
        <w:spacing w:line="360" w:lineRule="auto"/>
        <w:ind w:firstLine="482" w:firstLineChars="200"/>
        <w:jc w:val="left"/>
        <w:rPr>
          <w:rFonts w:ascii="宋体" w:hAnsi="宋体" w:cs="宋体"/>
          <w:b/>
          <w:bCs/>
          <w:color w:val="auto"/>
          <w:sz w:val="24"/>
          <w:highlight w:val="none"/>
          <w:lang w:val="zh-CN"/>
        </w:rPr>
      </w:pPr>
      <w:r>
        <w:rPr>
          <w:rFonts w:hint="eastAsia" w:ascii="宋体" w:hAnsi="宋体" w:cs="宋体"/>
          <w:b/>
          <w:bCs/>
          <w:color w:val="auto"/>
          <w:sz w:val="24"/>
          <w:highlight w:val="none"/>
          <w:lang w:val="zh-CN"/>
        </w:rPr>
        <w:t>4. 评标细则及标准</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4.1本项目采用综合评分法，评分因素详见综合评分明细表。</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4.2 评标委员会成员应当根据自身专业情况对每个有效投标</w:t>
      </w:r>
      <w:r>
        <w:rPr>
          <w:rFonts w:hint="eastAsia" w:ascii="宋体" w:hAnsi="宋体" w:cs="宋体"/>
          <w:color w:val="auto"/>
          <w:sz w:val="24"/>
          <w:highlight w:val="none"/>
        </w:rPr>
        <w:t>人</w:t>
      </w:r>
      <w:r>
        <w:rPr>
          <w:rFonts w:hint="eastAsia" w:ascii="宋体" w:hAnsi="宋体" w:cs="宋体"/>
          <w:color w:val="auto"/>
          <w:sz w:val="24"/>
          <w:highlight w:val="none"/>
          <w:lang w:val="zh-CN"/>
        </w:rPr>
        <w:t>的投标文件进行独立评分，加权汇总每项评分因素的得分，得出每个有效投标</w:t>
      </w:r>
      <w:r>
        <w:rPr>
          <w:rFonts w:hint="eastAsia" w:ascii="宋体" w:hAnsi="宋体" w:cs="宋体"/>
          <w:color w:val="auto"/>
          <w:sz w:val="24"/>
          <w:highlight w:val="none"/>
        </w:rPr>
        <w:t>人</w:t>
      </w:r>
      <w:r>
        <w:rPr>
          <w:rFonts w:hint="eastAsia" w:ascii="宋体" w:hAnsi="宋体" w:cs="宋体"/>
          <w:color w:val="auto"/>
          <w:sz w:val="24"/>
          <w:highlight w:val="none"/>
          <w:lang w:val="zh-CN"/>
        </w:rPr>
        <w:t>的总分。技术类评分因素由技术方面评标委员会成员独立评分。经济类评分因素由经济方面评标委员会成员独立评分。政策合同类的评分因素由法律方面评标委员会成员独立评分。采购人代表原则上对技术类评分因素独立评分。价格和其他不能明确区分的评分因素由评标委员会成员共同评分。</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4.3综合评分明细表</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4.3.1综合评分明细表的制定以科学合理、降低评委会自由裁量权为原则。</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4.3.2 综合评分明细表按须知表中的相关要求进行价格调整，再参与价格分评审。</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4.3.3综合评分明细表</w:t>
      </w:r>
    </w:p>
    <w:bookmarkEnd w:id="194"/>
    <w:bookmarkEnd w:id="195"/>
    <w:bookmarkEnd w:id="196"/>
    <w:bookmarkEnd w:id="197"/>
    <w:bookmarkEnd w:id="198"/>
    <w:p>
      <w:pPr>
        <w:spacing w:line="360" w:lineRule="auto"/>
        <w:ind w:firstLine="482" w:firstLineChars="200"/>
        <w:jc w:val="left"/>
        <w:rPr>
          <w:rFonts w:ascii="宋体" w:hAnsi="宋体" w:cs="宋体"/>
          <w:color w:val="0D0D0D"/>
          <w:sz w:val="24"/>
          <w:highlight w:val="none"/>
        </w:rPr>
      </w:pPr>
      <w:r>
        <w:rPr>
          <w:rFonts w:hint="eastAsia" w:ascii="宋体" w:hAnsi="宋体" w:eastAsia="宋体" w:cs="宋体"/>
          <w:b/>
          <w:bCs/>
          <w:color w:val="0D0D0D"/>
          <w:sz w:val="24"/>
          <w:highlight w:val="none"/>
        </w:rPr>
        <w:t>01包</w:t>
      </w:r>
      <w:r>
        <w:rPr>
          <w:rFonts w:hint="eastAsia" w:ascii="宋体" w:hAnsi="宋体" w:eastAsia="宋体" w:cs="宋体"/>
          <w:b/>
          <w:bCs/>
          <w:color w:val="0D0D0D"/>
          <w:sz w:val="24"/>
          <w:highlight w:val="none"/>
          <w:lang w:val="zh-CN"/>
        </w:rPr>
        <w:t>综合评分明细表（</w:t>
      </w:r>
      <w:r>
        <w:rPr>
          <w:rFonts w:hint="eastAsia" w:ascii="宋体" w:hAnsi="宋体" w:eastAsia="宋体" w:cs="宋体"/>
          <w:b/>
          <w:bCs/>
          <w:color w:val="0D0D0D"/>
          <w:sz w:val="24"/>
          <w:highlight w:val="none"/>
        </w:rPr>
        <w:t>100分</w:t>
      </w:r>
      <w:r>
        <w:rPr>
          <w:rFonts w:hint="eastAsia" w:ascii="宋体" w:hAnsi="宋体" w:eastAsia="宋体" w:cs="宋体"/>
          <w:b/>
          <w:bCs/>
          <w:color w:val="0D0D0D"/>
          <w:sz w:val="24"/>
          <w:highlight w:val="none"/>
          <w:lang w:val="zh-CN"/>
        </w:rPr>
        <w:t>）</w:t>
      </w:r>
    </w:p>
    <w:tbl>
      <w:tblPr>
        <w:tblStyle w:val="33"/>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3"/>
        <w:gridCol w:w="992"/>
        <w:gridCol w:w="623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709" w:type="dxa"/>
            <w:vAlign w:val="center"/>
          </w:tcPr>
          <w:p>
            <w:pPr>
              <w:spacing w:line="400" w:lineRule="atLeast"/>
              <w:jc w:val="center"/>
              <w:rPr>
                <w:rFonts w:ascii="宋体" w:hAnsi="宋体" w:eastAsia="宋体" w:cs="宋体"/>
                <w:szCs w:val="21"/>
                <w:highlight w:val="none"/>
              </w:rPr>
            </w:pPr>
            <w:r>
              <w:rPr>
                <w:rFonts w:hint="eastAsia" w:ascii="宋体" w:hAnsi="宋体" w:eastAsia="宋体" w:cs="宋体"/>
                <w:szCs w:val="21"/>
                <w:highlight w:val="none"/>
              </w:rPr>
              <w:t>序号</w:t>
            </w:r>
          </w:p>
        </w:tc>
        <w:tc>
          <w:tcPr>
            <w:tcW w:w="993" w:type="dxa"/>
            <w:vAlign w:val="center"/>
          </w:tcPr>
          <w:p>
            <w:pPr>
              <w:spacing w:line="400" w:lineRule="atLeast"/>
              <w:jc w:val="center"/>
              <w:rPr>
                <w:rFonts w:ascii="宋体" w:hAnsi="宋体" w:eastAsia="宋体" w:cs="宋体"/>
                <w:szCs w:val="21"/>
                <w:highlight w:val="none"/>
              </w:rPr>
            </w:pPr>
            <w:r>
              <w:rPr>
                <w:rFonts w:hint="eastAsia" w:ascii="宋体" w:hAnsi="宋体" w:eastAsia="宋体" w:cs="宋体"/>
                <w:szCs w:val="21"/>
                <w:highlight w:val="none"/>
              </w:rPr>
              <w:t>评分因素</w:t>
            </w:r>
          </w:p>
          <w:p>
            <w:pPr>
              <w:spacing w:line="400" w:lineRule="atLeast"/>
              <w:jc w:val="center"/>
              <w:rPr>
                <w:rFonts w:ascii="宋体" w:hAnsi="宋体" w:eastAsia="宋体" w:cs="宋体"/>
                <w:szCs w:val="21"/>
                <w:highlight w:val="none"/>
              </w:rPr>
            </w:pPr>
            <w:r>
              <w:rPr>
                <w:rFonts w:hint="eastAsia" w:ascii="宋体" w:hAnsi="宋体" w:eastAsia="宋体" w:cs="宋体"/>
                <w:szCs w:val="21"/>
                <w:highlight w:val="none"/>
              </w:rPr>
              <w:t>及权重</w:t>
            </w:r>
          </w:p>
        </w:tc>
        <w:tc>
          <w:tcPr>
            <w:tcW w:w="992" w:type="dxa"/>
            <w:vAlign w:val="center"/>
          </w:tcPr>
          <w:p>
            <w:pPr>
              <w:spacing w:line="400" w:lineRule="atLeast"/>
              <w:jc w:val="center"/>
              <w:rPr>
                <w:rFonts w:ascii="宋体" w:hAnsi="宋体" w:eastAsia="宋体" w:cs="宋体"/>
                <w:szCs w:val="21"/>
                <w:highlight w:val="none"/>
              </w:rPr>
            </w:pPr>
            <w:r>
              <w:rPr>
                <w:rFonts w:hint="eastAsia" w:ascii="宋体" w:hAnsi="宋体" w:eastAsia="宋体" w:cs="宋体"/>
                <w:szCs w:val="21"/>
                <w:highlight w:val="none"/>
              </w:rPr>
              <w:t>分值</w:t>
            </w:r>
          </w:p>
        </w:tc>
        <w:tc>
          <w:tcPr>
            <w:tcW w:w="6237" w:type="dxa"/>
            <w:vAlign w:val="center"/>
          </w:tcPr>
          <w:p>
            <w:pPr>
              <w:spacing w:line="400" w:lineRule="atLeast"/>
              <w:jc w:val="center"/>
              <w:rPr>
                <w:rFonts w:ascii="宋体" w:hAnsi="宋体" w:eastAsia="宋体" w:cs="宋体"/>
                <w:szCs w:val="21"/>
                <w:highlight w:val="none"/>
              </w:rPr>
            </w:pPr>
            <w:r>
              <w:rPr>
                <w:rFonts w:hint="eastAsia" w:ascii="宋体" w:hAnsi="宋体" w:eastAsia="宋体" w:cs="宋体"/>
                <w:szCs w:val="21"/>
                <w:highlight w:val="none"/>
              </w:rPr>
              <w:t>评分标准</w:t>
            </w:r>
          </w:p>
        </w:tc>
        <w:tc>
          <w:tcPr>
            <w:tcW w:w="850" w:type="dxa"/>
            <w:vAlign w:val="center"/>
          </w:tcPr>
          <w:p>
            <w:pPr>
              <w:spacing w:line="400" w:lineRule="atLeast"/>
              <w:jc w:val="center"/>
              <w:rPr>
                <w:rFonts w:ascii="宋体" w:hAnsi="宋体" w:eastAsia="宋体" w:cs="宋体"/>
                <w:szCs w:val="21"/>
                <w:highlight w:val="none"/>
              </w:rPr>
            </w:pPr>
            <w:r>
              <w:rPr>
                <w:rFonts w:hint="eastAsia" w:ascii="宋体" w:hAnsi="宋体" w:eastAsia="宋体" w:cs="宋体"/>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0" w:hRule="atLeast"/>
        </w:trPr>
        <w:tc>
          <w:tcPr>
            <w:tcW w:w="709" w:type="dxa"/>
            <w:vAlign w:val="center"/>
          </w:tcPr>
          <w:p>
            <w:pPr>
              <w:spacing w:line="400" w:lineRule="atLeast"/>
              <w:jc w:val="center"/>
              <w:rPr>
                <w:rFonts w:ascii="宋体" w:hAnsi="宋体" w:eastAsia="宋体" w:cs="宋体"/>
                <w:szCs w:val="21"/>
                <w:highlight w:val="none"/>
              </w:rPr>
            </w:pPr>
            <w:r>
              <w:rPr>
                <w:rFonts w:hint="eastAsia" w:ascii="宋体" w:hAnsi="宋体" w:eastAsia="宋体" w:cs="宋体"/>
                <w:szCs w:val="21"/>
                <w:highlight w:val="none"/>
              </w:rPr>
              <w:t>1</w:t>
            </w:r>
          </w:p>
        </w:tc>
        <w:tc>
          <w:tcPr>
            <w:tcW w:w="993" w:type="dxa"/>
            <w:vAlign w:val="center"/>
          </w:tcPr>
          <w:p>
            <w:pPr>
              <w:spacing w:line="400" w:lineRule="atLeast"/>
              <w:jc w:val="center"/>
              <w:rPr>
                <w:rFonts w:ascii="宋体" w:hAnsi="宋体" w:eastAsia="宋体" w:cs="宋体"/>
                <w:szCs w:val="21"/>
                <w:highlight w:val="none"/>
              </w:rPr>
            </w:pPr>
            <w:r>
              <w:rPr>
                <w:rFonts w:hint="eastAsia" w:ascii="宋体" w:hAnsi="宋体" w:eastAsia="宋体" w:cs="宋体"/>
                <w:szCs w:val="21"/>
                <w:highlight w:val="none"/>
              </w:rPr>
              <w:t>报价30%</w:t>
            </w:r>
          </w:p>
        </w:tc>
        <w:tc>
          <w:tcPr>
            <w:tcW w:w="992" w:type="dxa"/>
            <w:vAlign w:val="center"/>
          </w:tcPr>
          <w:p>
            <w:pPr>
              <w:spacing w:line="400" w:lineRule="atLeast"/>
              <w:jc w:val="center"/>
              <w:rPr>
                <w:rFonts w:ascii="宋体" w:hAnsi="宋体" w:eastAsia="宋体" w:cs="宋体"/>
                <w:szCs w:val="21"/>
                <w:highlight w:val="none"/>
              </w:rPr>
            </w:pPr>
            <w:r>
              <w:rPr>
                <w:rFonts w:hint="eastAsia" w:ascii="宋体" w:hAnsi="宋体" w:eastAsia="宋体" w:cs="宋体"/>
                <w:szCs w:val="21"/>
                <w:highlight w:val="none"/>
              </w:rPr>
              <w:t>报价</w:t>
            </w:r>
          </w:p>
          <w:p>
            <w:pPr>
              <w:spacing w:line="400" w:lineRule="atLeast"/>
              <w:jc w:val="center"/>
              <w:rPr>
                <w:rFonts w:ascii="宋体" w:hAnsi="宋体" w:eastAsia="宋体" w:cs="宋体"/>
                <w:szCs w:val="21"/>
                <w:highlight w:val="none"/>
              </w:rPr>
            </w:pPr>
            <w:r>
              <w:rPr>
                <w:rFonts w:hint="eastAsia" w:ascii="宋体" w:hAnsi="宋体" w:eastAsia="宋体" w:cs="宋体"/>
                <w:szCs w:val="21"/>
                <w:highlight w:val="none"/>
              </w:rPr>
              <w:t>30分</w:t>
            </w:r>
          </w:p>
        </w:tc>
        <w:tc>
          <w:tcPr>
            <w:tcW w:w="6237" w:type="dxa"/>
          </w:tcPr>
          <w:p>
            <w:pPr>
              <w:spacing w:line="240" w:lineRule="auto"/>
              <w:ind w:firstLine="210" w:firstLineChars="100"/>
              <w:jc w:val="left"/>
              <w:rPr>
                <w:rFonts w:ascii="宋体" w:hAnsi="宋体" w:eastAsia="宋体" w:cs="宋体"/>
                <w:snapToGrid w:val="0"/>
                <w:szCs w:val="21"/>
                <w:highlight w:val="none"/>
              </w:rPr>
            </w:pPr>
            <w:r>
              <w:rPr>
                <w:rFonts w:hint="eastAsia" w:ascii="宋体" w:hAnsi="宋体" w:eastAsia="宋体" w:cs="宋体"/>
                <w:snapToGrid w:val="0"/>
                <w:szCs w:val="21"/>
                <w:highlight w:val="none"/>
              </w:rPr>
              <w:t>以本次有效的最低投标总价为基准价，其价格分为满分30分.投标报价得分=(投标基准价／投标报价)*30%*100。</w:t>
            </w:r>
          </w:p>
          <w:p>
            <w:pPr>
              <w:spacing w:line="240" w:lineRule="auto"/>
              <w:ind w:firstLine="210" w:firstLineChars="100"/>
              <w:jc w:val="left"/>
              <w:rPr>
                <w:rFonts w:ascii="宋体" w:hAnsi="宋体" w:eastAsia="宋体" w:cs="宋体"/>
                <w:snapToGrid w:val="0"/>
                <w:szCs w:val="21"/>
                <w:highlight w:val="none"/>
              </w:rPr>
            </w:pPr>
            <w:r>
              <w:rPr>
                <w:rFonts w:hint="eastAsia" w:ascii="宋体" w:hAnsi="宋体" w:eastAsia="宋体" w:cs="宋体"/>
                <w:snapToGrid w:val="0"/>
                <w:szCs w:val="21"/>
                <w:highlight w:val="none"/>
              </w:rPr>
              <w:t>注：1.小微企业（监狱企业、残疾人福利单位视同小微企业）价格扣除：根据财库[2020]46号文，对小型和微型企业（监狱企业、残疾人福利性单位视同小微企业）的价格给予10%的扣除，用扣除后的价格参与评标。</w:t>
            </w:r>
          </w:p>
          <w:p>
            <w:pPr>
              <w:spacing w:line="240" w:lineRule="auto"/>
              <w:ind w:firstLine="210" w:firstLineChars="100"/>
              <w:jc w:val="left"/>
              <w:rPr>
                <w:rFonts w:ascii="宋体" w:hAnsi="宋体" w:eastAsia="宋体" w:cs="宋体"/>
                <w:snapToGrid w:val="0"/>
                <w:szCs w:val="21"/>
                <w:highlight w:val="none"/>
              </w:rPr>
            </w:pPr>
            <w:r>
              <w:rPr>
                <w:rFonts w:hint="eastAsia" w:ascii="宋体" w:hAnsi="宋体" w:eastAsia="宋体" w:cs="宋体"/>
                <w:snapToGrid w:val="0"/>
                <w:szCs w:val="21"/>
                <w:highlight w:val="none"/>
              </w:rPr>
              <w:t>2.失信企业扣分：对记入诚信档案且在有效期内的失信供应商，在参加政府采购活动中直接从总分中扣除5分/次予以惩戒，供应商失信行为惩戒实行无限制累加制，直到总分 100 分扣完为止。</w:t>
            </w:r>
          </w:p>
          <w:p>
            <w:pPr>
              <w:spacing w:line="240" w:lineRule="auto"/>
              <w:ind w:firstLine="210" w:firstLineChars="100"/>
              <w:jc w:val="left"/>
              <w:rPr>
                <w:rFonts w:ascii="宋体" w:hAnsi="宋体" w:eastAsia="宋体" w:cs="宋体"/>
                <w:snapToGrid w:val="0"/>
                <w:szCs w:val="21"/>
                <w:highlight w:val="none"/>
              </w:rPr>
            </w:pPr>
            <w:r>
              <w:rPr>
                <w:rFonts w:hint="eastAsia" w:ascii="宋体" w:hAnsi="宋体" w:eastAsia="宋体" w:cs="宋体"/>
                <w:snapToGrid w:val="0"/>
                <w:szCs w:val="21"/>
                <w:highlight w:val="none"/>
              </w:rPr>
              <w:t>3.参加政府采购活动的投标人应提供中小企业应提供《中小企业声明函》；残疾人福利性单位应提供《残疾人福利性单位声明函》。</w:t>
            </w:r>
          </w:p>
          <w:p>
            <w:pPr>
              <w:spacing w:line="240" w:lineRule="auto"/>
              <w:ind w:firstLine="210" w:firstLineChars="100"/>
              <w:jc w:val="left"/>
              <w:rPr>
                <w:rFonts w:ascii="宋体" w:hAnsi="宋体" w:eastAsia="宋体" w:cs="宋体"/>
                <w:snapToGrid w:val="0"/>
                <w:szCs w:val="21"/>
                <w:highlight w:val="none"/>
              </w:rPr>
            </w:pPr>
            <w:r>
              <w:rPr>
                <w:rFonts w:hint="eastAsia" w:ascii="宋体" w:hAnsi="宋体" w:eastAsia="宋体" w:cs="宋体"/>
                <w:snapToGrid w:val="0"/>
                <w:szCs w:val="21"/>
                <w:highlight w:val="none"/>
              </w:rPr>
              <w:t>4.投标人为监狱企业的，提供由省级以上监狱管理局、戒毒管理局出具的投标人属于监狱企业的证明文件复印件。</w:t>
            </w:r>
          </w:p>
          <w:p>
            <w:pPr>
              <w:spacing w:line="240" w:lineRule="auto"/>
              <w:ind w:firstLine="210" w:firstLineChars="100"/>
              <w:jc w:val="left"/>
              <w:rPr>
                <w:rFonts w:ascii="宋体" w:hAnsi="宋体" w:eastAsia="宋体" w:cs="宋体"/>
                <w:szCs w:val="21"/>
                <w:highlight w:val="none"/>
              </w:rPr>
            </w:pPr>
            <w:r>
              <w:rPr>
                <w:rFonts w:hint="eastAsia" w:ascii="宋体" w:hAnsi="宋体" w:eastAsia="宋体" w:cs="宋体"/>
                <w:snapToGrid w:val="0"/>
                <w:szCs w:val="21"/>
                <w:highlight w:val="none"/>
              </w:rPr>
              <w:t>注：残疾人福利性单位和监狱企业属于小型、微型企业的，不重复享受政策。</w:t>
            </w:r>
          </w:p>
        </w:tc>
        <w:tc>
          <w:tcPr>
            <w:tcW w:w="850" w:type="dxa"/>
            <w:vAlign w:val="center"/>
          </w:tcPr>
          <w:p>
            <w:pPr>
              <w:spacing w:line="400" w:lineRule="atLeast"/>
              <w:rPr>
                <w:rFonts w:ascii="宋体" w:hAnsi="宋体" w:eastAsia="宋体" w:cs="宋体"/>
                <w:snapToGrid w:val="0"/>
                <w:szCs w:val="21"/>
                <w:highlight w:val="none"/>
              </w:rPr>
            </w:pPr>
            <w:r>
              <w:rPr>
                <w:rFonts w:hint="eastAsia" w:ascii="宋体" w:hAnsi="宋体" w:eastAsia="宋体" w:cs="宋体"/>
                <w:snapToGrid w:val="0"/>
                <w:szCs w:val="21"/>
                <w:highlight w:val="none"/>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5" w:hRule="atLeast"/>
        </w:trPr>
        <w:tc>
          <w:tcPr>
            <w:tcW w:w="709" w:type="dxa"/>
            <w:vAlign w:val="center"/>
          </w:tcPr>
          <w:p>
            <w:pPr>
              <w:spacing w:line="400" w:lineRule="atLeast"/>
              <w:jc w:val="center"/>
              <w:rPr>
                <w:rFonts w:ascii="宋体" w:hAnsi="宋体" w:eastAsia="宋体" w:cs="宋体"/>
                <w:szCs w:val="21"/>
                <w:highlight w:val="none"/>
              </w:rPr>
            </w:pPr>
            <w:r>
              <w:rPr>
                <w:rFonts w:hint="eastAsia" w:ascii="宋体" w:hAnsi="宋体" w:eastAsia="宋体" w:cs="宋体"/>
                <w:szCs w:val="21"/>
                <w:highlight w:val="none"/>
              </w:rPr>
              <w:t>2</w:t>
            </w:r>
          </w:p>
        </w:tc>
        <w:tc>
          <w:tcPr>
            <w:tcW w:w="993" w:type="dxa"/>
            <w:vAlign w:val="center"/>
          </w:tcPr>
          <w:p>
            <w:pPr>
              <w:spacing w:line="400" w:lineRule="atLeast"/>
              <w:jc w:val="center"/>
              <w:rPr>
                <w:rFonts w:ascii="宋体" w:hAnsi="宋体" w:eastAsia="宋体" w:cs="宋体"/>
                <w:szCs w:val="21"/>
                <w:highlight w:val="none"/>
              </w:rPr>
            </w:pPr>
            <w:r>
              <w:rPr>
                <w:rFonts w:hint="eastAsia" w:ascii="宋体" w:hAnsi="宋体" w:eastAsia="宋体" w:cs="宋体"/>
                <w:szCs w:val="21"/>
                <w:highlight w:val="none"/>
              </w:rPr>
              <w:t>技术参数22%</w:t>
            </w:r>
          </w:p>
        </w:tc>
        <w:tc>
          <w:tcPr>
            <w:tcW w:w="992" w:type="dxa"/>
            <w:vAlign w:val="center"/>
          </w:tcPr>
          <w:p>
            <w:pPr>
              <w:spacing w:line="400" w:lineRule="atLeast"/>
              <w:jc w:val="center"/>
              <w:rPr>
                <w:rFonts w:ascii="宋体" w:hAnsi="宋体" w:eastAsia="宋体" w:cs="宋体"/>
                <w:szCs w:val="21"/>
                <w:highlight w:val="none"/>
              </w:rPr>
            </w:pPr>
            <w:r>
              <w:rPr>
                <w:rFonts w:hint="eastAsia" w:ascii="宋体" w:hAnsi="宋体" w:eastAsia="宋体" w:cs="宋体"/>
                <w:szCs w:val="21"/>
                <w:highlight w:val="none"/>
              </w:rPr>
              <w:t>技术参数22分</w:t>
            </w:r>
          </w:p>
        </w:tc>
        <w:tc>
          <w:tcPr>
            <w:tcW w:w="6237" w:type="dxa"/>
          </w:tcPr>
          <w:p>
            <w:pPr>
              <w:spacing w:line="240" w:lineRule="auto"/>
              <w:ind w:firstLine="210" w:firstLineChars="100"/>
              <w:jc w:val="left"/>
              <w:rPr>
                <w:rFonts w:ascii="宋体" w:hAnsi="宋体" w:eastAsia="宋体" w:cs="宋体"/>
                <w:snapToGrid w:val="0"/>
                <w:szCs w:val="21"/>
                <w:highlight w:val="none"/>
              </w:rPr>
            </w:pPr>
            <w:r>
              <w:rPr>
                <w:rFonts w:hint="eastAsia" w:ascii="宋体" w:hAnsi="宋体" w:eastAsia="宋体" w:cs="宋体"/>
                <w:snapToGrid w:val="0"/>
                <w:szCs w:val="21"/>
                <w:highlight w:val="none"/>
              </w:rPr>
              <w:t>投标产品的技术指标和配置要求：完全满足招标文件中第六章（二、技术参数及配置要求）“▲”一项的得</w:t>
            </w:r>
            <w:r>
              <w:rPr>
                <w:rFonts w:hint="eastAsia" w:ascii="宋体" w:hAnsi="宋体" w:eastAsia="宋体" w:cs="宋体"/>
                <w:snapToGrid w:val="0"/>
                <w:szCs w:val="21"/>
                <w:highlight w:val="none"/>
                <w:lang w:val="en-US" w:eastAsia="zh-CN"/>
              </w:rPr>
              <w:t>1</w:t>
            </w:r>
            <w:r>
              <w:rPr>
                <w:rFonts w:hint="eastAsia" w:ascii="宋体" w:hAnsi="宋体" w:eastAsia="宋体" w:cs="宋体"/>
                <w:snapToGrid w:val="0"/>
                <w:szCs w:val="21"/>
                <w:highlight w:val="none"/>
              </w:rPr>
              <w:t>分，“▲”要求参数共计</w:t>
            </w:r>
            <w:r>
              <w:rPr>
                <w:rFonts w:hint="eastAsia" w:ascii="宋体" w:hAnsi="宋体" w:eastAsia="宋体" w:cs="宋体"/>
                <w:snapToGrid w:val="0"/>
                <w:szCs w:val="21"/>
                <w:highlight w:val="none"/>
                <w:lang w:val="en-US" w:eastAsia="zh-CN"/>
              </w:rPr>
              <w:t>12</w:t>
            </w:r>
            <w:r>
              <w:rPr>
                <w:rFonts w:hint="eastAsia" w:ascii="宋体" w:hAnsi="宋体" w:eastAsia="宋体" w:cs="宋体"/>
                <w:snapToGrid w:val="0"/>
                <w:szCs w:val="21"/>
                <w:highlight w:val="none"/>
              </w:rPr>
              <w:t>项，最多得</w:t>
            </w:r>
            <w:r>
              <w:rPr>
                <w:rFonts w:hint="eastAsia" w:ascii="宋体" w:hAnsi="宋体" w:eastAsia="宋体" w:cs="宋体"/>
                <w:snapToGrid w:val="0"/>
                <w:szCs w:val="21"/>
                <w:highlight w:val="none"/>
                <w:lang w:val="en-US" w:eastAsia="zh-CN"/>
              </w:rPr>
              <w:t>12</w:t>
            </w:r>
            <w:r>
              <w:rPr>
                <w:rFonts w:hint="eastAsia" w:ascii="宋体" w:hAnsi="宋体" w:eastAsia="宋体" w:cs="宋体"/>
                <w:snapToGrid w:val="0"/>
                <w:szCs w:val="21"/>
                <w:highlight w:val="none"/>
              </w:rPr>
              <w:t>分；完全满足招标文件中第六章（二、技术参数及配置要求）中未带“▲”一项的得</w:t>
            </w:r>
            <w:r>
              <w:rPr>
                <w:rFonts w:hint="eastAsia" w:ascii="宋体" w:hAnsi="宋体" w:eastAsia="宋体" w:cs="宋体"/>
                <w:snapToGrid w:val="0"/>
                <w:szCs w:val="21"/>
                <w:highlight w:val="none"/>
                <w:lang w:val="en-US" w:eastAsia="zh-CN"/>
              </w:rPr>
              <w:t>0.05</w:t>
            </w:r>
            <w:r>
              <w:rPr>
                <w:rFonts w:hint="eastAsia" w:ascii="宋体" w:hAnsi="宋体" w:eastAsia="宋体" w:cs="宋体"/>
                <w:snapToGrid w:val="0"/>
                <w:szCs w:val="21"/>
                <w:highlight w:val="none"/>
              </w:rPr>
              <w:t>分，未带“▲”共</w:t>
            </w:r>
            <w:r>
              <w:rPr>
                <w:rFonts w:hint="eastAsia" w:ascii="宋体" w:hAnsi="宋体" w:eastAsia="宋体" w:cs="宋体"/>
                <w:snapToGrid w:val="0"/>
                <w:szCs w:val="21"/>
                <w:highlight w:val="none"/>
                <w:lang w:val="en-US" w:eastAsia="zh-CN"/>
              </w:rPr>
              <w:t>200</w:t>
            </w:r>
            <w:r>
              <w:rPr>
                <w:rFonts w:hint="eastAsia" w:ascii="宋体" w:hAnsi="宋体" w:eastAsia="宋体" w:cs="宋体"/>
                <w:snapToGrid w:val="0"/>
                <w:szCs w:val="21"/>
                <w:highlight w:val="none"/>
              </w:rPr>
              <w:t>项，最多得</w:t>
            </w:r>
            <w:r>
              <w:rPr>
                <w:rFonts w:hint="eastAsia" w:ascii="宋体" w:hAnsi="宋体" w:eastAsia="宋体" w:cs="宋体"/>
                <w:snapToGrid w:val="0"/>
                <w:szCs w:val="21"/>
                <w:highlight w:val="none"/>
                <w:lang w:val="en-US" w:eastAsia="zh-CN"/>
              </w:rPr>
              <w:t>10</w:t>
            </w:r>
            <w:r>
              <w:rPr>
                <w:rFonts w:hint="eastAsia" w:ascii="宋体" w:hAnsi="宋体" w:eastAsia="宋体" w:cs="宋体"/>
                <w:snapToGrid w:val="0"/>
                <w:szCs w:val="21"/>
                <w:highlight w:val="none"/>
              </w:rPr>
              <w:t>分。</w:t>
            </w:r>
          </w:p>
          <w:p>
            <w:pPr>
              <w:spacing w:line="240" w:lineRule="auto"/>
              <w:ind w:firstLine="210" w:firstLineChars="100"/>
              <w:jc w:val="left"/>
              <w:rPr>
                <w:rFonts w:ascii="宋体" w:hAnsi="宋体" w:eastAsia="宋体" w:cs="宋体"/>
                <w:snapToGrid w:val="0"/>
                <w:szCs w:val="21"/>
                <w:highlight w:val="none"/>
              </w:rPr>
            </w:pPr>
            <w:r>
              <w:rPr>
                <w:rFonts w:hint="eastAsia" w:ascii="宋体" w:hAnsi="宋体" w:eastAsia="宋体" w:cs="宋体"/>
                <w:snapToGrid w:val="0"/>
                <w:szCs w:val="21"/>
                <w:highlight w:val="none"/>
              </w:rPr>
              <w:t>注：带“▲”</w:t>
            </w:r>
            <w:r>
              <w:rPr>
                <w:rFonts w:hint="eastAsia" w:ascii="宋体" w:hAnsi="宋体" w:cs="宋体"/>
                <w:snapToGrid w:val="0"/>
                <w:szCs w:val="21"/>
                <w:highlight w:val="none"/>
                <w:lang w:val="en-US" w:eastAsia="zh-CN"/>
              </w:rPr>
              <w:t>参数</w:t>
            </w:r>
            <w:r>
              <w:rPr>
                <w:rFonts w:hint="eastAsia" w:ascii="宋体" w:hAnsi="宋体" w:eastAsia="宋体" w:cs="宋体"/>
                <w:snapToGrid w:val="0"/>
                <w:szCs w:val="21"/>
                <w:highlight w:val="none"/>
              </w:rPr>
              <w:t>按要求提供证明材料，加盖</w:t>
            </w:r>
            <w:r>
              <w:rPr>
                <w:rFonts w:hint="eastAsia" w:ascii="宋体" w:hAnsi="宋体" w:cs="宋体"/>
                <w:snapToGrid w:val="0"/>
                <w:szCs w:val="21"/>
                <w:highlight w:val="none"/>
                <w:lang w:val="en-US" w:eastAsia="zh-CN"/>
              </w:rPr>
              <w:t>投标人</w:t>
            </w:r>
            <w:r>
              <w:rPr>
                <w:rFonts w:hint="eastAsia" w:ascii="宋体" w:hAnsi="宋体" w:eastAsia="宋体" w:cs="宋体"/>
                <w:snapToGrid w:val="0"/>
                <w:szCs w:val="21"/>
                <w:highlight w:val="none"/>
              </w:rPr>
              <w:t>公章</w:t>
            </w:r>
            <w:r>
              <w:rPr>
                <w:rFonts w:hint="eastAsia" w:ascii="宋体" w:hAnsi="宋体" w:cs="宋体"/>
                <w:snapToGrid w:val="0"/>
                <w:szCs w:val="21"/>
                <w:highlight w:val="none"/>
                <w:lang w:eastAsia="zh-CN"/>
              </w:rPr>
              <w:t>，</w:t>
            </w:r>
            <w:r>
              <w:rPr>
                <w:rFonts w:hint="eastAsia" w:ascii="宋体" w:hAnsi="宋体" w:cs="宋体"/>
                <w:snapToGrid w:val="0"/>
                <w:szCs w:val="21"/>
                <w:highlight w:val="none"/>
                <w:lang w:val="en-US" w:eastAsia="zh-CN"/>
              </w:rPr>
              <w:t>未带</w:t>
            </w:r>
            <w:r>
              <w:rPr>
                <w:rFonts w:hint="eastAsia" w:ascii="宋体" w:hAnsi="宋体" w:eastAsia="宋体" w:cs="宋体"/>
                <w:snapToGrid w:val="0"/>
                <w:szCs w:val="21"/>
                <w:highlight w:val="none"/>
              </w:rPr>
              <w:t>“▲”</w:t>
            </w:r>
            <w:r>
              <w:rPr>
                <w:rFonts w:hint="eastAsia" w:ascii="宋体" w:hAnsi="宋体" w:cs="宋体"/>
                <w:snapToGrid w:val="0"/>
                <w:szCs w:val="21"/>
                <w:highlight w:val="none"/>
                <w:lang w:val="en-US" w:eastAsia="zh-CN"/>
              </w:rPr>
              <w:t>参数提供技术说明书加盖投标人公章</w:t>
            </w:r>
            <w:r>
              <w:rPr>
                <w:rFonts w:hint="eastAsia" w:ascii="宋体" w:hAnsi="宋体" w:eastAsia="宋体" w:cs="宋体"/>
                <w:snapToGrid w:val="0"/>
                <w:szCs w:val="21"/>
                <w:highlight w:val="none"/>
              </w:rPr>
              <w:t>。</w:t>
            </w:r>
          </w:p>
        </w:tc>
        <w:tc>
          <w:tcPr>
            <w:tcW w:w="850" w:type="dxa"/>
            <w:vAlign w:val="center"/>
          </w:tcPr>
          <w:p>
            <w:pPr>
              <w:spacing w:line="400" w:lineRule="atLeast"/>
              <w:jc w:val="center"/>
              <w:rPr>
                <w:rFonts w:ascii="宋体" w:hAnsi="宋体" w:eastAsia="宋体" w:cs="宋体"/>
                <w:snapToGrid w:val="0"/>
                <w:szCs w:val="21"/>
                <w:highlight w:val="none"/>
              </w:rPr>
            </w:pPr>
            <w:r>
              <w:rPr>
                <w:rFonts w:hint="eastAsia" w:ascii="宋体" w:hAnsi="宋体" w:eastAsia="宋体" w:cs="宋体"/>
                <w:snapToGrid w:val="0"/>
                <w:szCs w:val="21"/>
                <w:highlight w:val="none"/>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trPr>
        <w:tc>
          <w:tcPr>
            <w:tcW w:w="709" w:type="dxa"/>
            <w:vMerge w:val="restart"/>
            <w:vAlign w:val="center"/>
          </w:tcPr>
          <w:p>
            <w:pPr>
              <w:spacing w:line="400" w:lineRule="atLeast"/>
              <w:jc w:val="center"/>
              <w:rPr>
                <w:rFonts w:ascii="宋体" w:hAnsi="宋体" w:eastAsia="宋体" w:cs="宋体"/>
                <w:szCs w:val="21"/>
                <w:highlight w:val="none"/>
              </w:rPr>
            </w:pPr>
            <w:r>
              <w:rPr>
                <w:rFonts w:hint="eastAsia" w:ascii="宋体" w:hAnsi="宋体" w:eastAsia="宋体" w:cs="宋体"/>
                <w:szCs w:val="21"/>
                <w:highlight w:val="none"/>
              </w:rPr>
              <w:t>3</w:t>
            </w:r>
          </w:p>
          <w:p>
            <w:pPr>
              <w:spacing w:line="400" w:lineRule="atLeast"/>
              <w:jc w:val="center"/>
              <w:rPr>
                <w:rFonts w:ascii="宋体" w:hAnsi="宋体" w:eastAsia="宋体" w:cs="宋体"/>
                <w:szCs w:val="21"/>
                <w:highlight w:val="none"/>
              </w:rPr>
            </w:pPr>
          </w:p>
        </w:tc>
        <w:tc>
          <w:tcPr>
            <w:tcW w:w="993" w:type="dxa"/>
            <w:vMerge w:val="restart"/>
            <w:vAlign w:val="center"/>
          </w:tcPr>
          <w:p>
            <w:pPr>
              <w:spacing w:line="400" w:lineRule="atLeast"/>
              <w:jc w:val="center"/>
              <w:rPr>
                <w:rFonts w:ascii="宋体" w:hAnsi="宋体" w:eastAsia="宋体" w:cs="宋体"/>
                <w:szCs w:val="21"/>
                <w:highlight w:val="none"/>
              </w:rPr>
            </w:pPr>
            <w:r>
              <w:rPr>
                <w:rFonts w:hint="eastAsia" w:ascii="宋体" w:hAnsi="宋体" w:eastAsia="宋体" w:cs="宋体"/>
                <w:szCs w:val="21"/>
                <w:highlight w:val="none"/>
              </w:rPr>
              <w:t>服务方案39%</w:t>
            </w:r>
          </w:p>
        </w:tc>
        <w:tc>
          <w:tcPr>
            <w:tcW w:w="992" w:type="dxa"/>
            <w:vAlign w:val="center"/>
          </w:tcPr>
          <w:p>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项目实施方案</w:t>
            </w:r>
          </w:p>
          <w:p>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15分</w:t>
            </w:r>
          </w:p>
        </w:tc>
        <w:tc>
          <w:tcPr>
            <w:tcW w:w="6237" w:type="dxa"/>
            <w:vAlign w:val="center"/>
          </w:tcPr>
          <w:p>
            <w:pPr>
              <w:spacing w:line="240" w:lineRule="auto"/>
              <w:ind w:firstLine="210" w:firstLineChars="100"/>
              <w:rPr>
                <w:rFonts w:ascii="宋体" w:hAnsi="宋体" w:eastAsia="宋体" w:cs="宋体"/>
                <w:szCs w:val="21"/>
                <w:highlight w:val="none"/>
              </w:rPr>
            </w:pPr>
            <w:r>
              <w:rPr>
                <w:rFonts w:hint="eastAsia" w:ascii="宋体" w:hAnsi="宋体" w:eastAsia="宋体" w:cs="宋体"/>
                <w:sz w:val="21"/>
                <w:szCs w:val="21"/>
                <w:highlight w:val="none"/>
              </w:rPr>
              <w:t>供应商提供项目实施方案：①</w:t>
            </w:r>
            <w:r>
              <w:rPr>
                <w:rFonts w:hint="eastAsia" w:ascii="宋体" w:hAnsi="宋体" w:cs="宋体"/>
                <w:sz w:val="21"/>
                <w:szCs w:val="21"/>
                <w:highlight w:val="none"/>
                <w:lang w:val="en-US" w:eastAsia="zh-CN"/>
              </w:rPr>
              <w:t>货源准备</w:t>
            </w:r>
            <w:r>
              <w:rPr>
                <w:rFonts w:hint="eastAsia" w:ascii="宋体" w:hAnsi="宋体" w:eastAsia="宋体" w:cs="宋体"/>
                <w:sz w:val="21"/>
                <w:szCs w:val="21"/>
                <w:highlight w:val="none"/>
              </w:rPr>
              <w:t>、②安装技术人员配备、③</w:t>
            </w:r>
            <w:r>
              <w:rPr>
                <w:rFonts w:hint="eastAsia" w:ascii="宋体" w:hAnsi="宋体" w:cs="宋体"/>
                <w:sz w:val="21"/>
                <w:szCs w:val="21"/>
                <w:highlight w:val="none"/>
                <w:lang w:val="en-US" w:eastAsia="zh-CN"/>
              </w:rPr>
              <w:t>安装</w:t>
            </w:r>
            <w:r>
              <w:rPr>
                <w:rFonts w:hint="eastAsia" w:ascii="宋体" w:hAnsi="宋体" w:eastAsia="宋体" w:cs="宋体"/>
                <w:sz w:val="21"/>
                <w:szCs w:val="21"/>
                <w:highlight w:val="none"/>
              </w:rPr>
              <w:t>机械设备配备、④安装调试、⑤项目实施进度时间安排方案进行阐述，方案完善、操作性强的得15分；每有一项缺失的扣3分，每有一项不完善或操作性不强的扣1.5分，本项最多得15分。</w:t>
            </w:r>
          </w:p>
        </w:tc>
        <w:tc>
          <w:tcPr>
            <w:tcW w:w="850" w:type="dxa"/>
            <w:vMerge w:val="restart"/>
            <w:vAlign w:val="center"/>
          </w:tcPr>
          <w:p>
            <w:pPr>
              <w:spacing w:line="400" w:lineRule="atLeast"/>
              <w:jc w:val="center"/>
              <w:rPr>
                <w:rFonts w:ascii="宋体" w:hAnsi="宋体" w:eastAsia="宋体" w:cs="宋体"/>
                <w:snapToGrid w:val="0"/>
                <w:szCs w:val="21"/>
                <w:highlight w:val="none"/>
              </w:rPr>
            </w:pPr>
            <w:r>
              <w:rPr>
                <w:rFonts w:hint="eastAsia" w:ascii="宋体" w:hAnsi="宋体" w:eastAsia="宋体" w:cs="宋体"/>
                <w:snapToGrid w:val="0"/>
                <w:szCs w:val="21"/>
                <w:highlight w:val="none"/>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trPr>
        <w:tc>
          <w:tcPr>
            <w:tcW w:w="709" w:type="dxa"/>
            <w:vMerge w:val="continue"/>
            <w:vAlign w:val="center"/>
          </w:tcPr>
          <w:p>
            <w:pPr>
              <w:spacing w:line="400" w:lineRule="atLeast"/>
              <w:jc w:val="center"/>
              <w:rPr>
                <w:rFonts w:ascii="宋体" w:hAnsi="宋体" w:eastAsia="宋体" w:cs="宋体"/>
                <w:szCs w:val="21"/>
                <w:highlight w:val="none"/>
              </w:rPr>
            </w:pPr>
          </w:p>
        </w:tc>
        <w:tc>
          <w:tcPr>
            <w:tcW w:w="993" w:type="dxa"/>
            <w:vMerge w:val="continue"/>
            <w:vAlign w:val="center"/>
          </w:tcPr>
          <w:p>
            <w:pPr>
              <w:spacing w:line="400" w:lineRule="atLeast"/>
              <w:jc w:val="center"/>
              <w:rPr>
                <w:rFonts w:ascii="宋体" w:hAnsi="宋体" w:eastAsia="宋体" w:cs="宋体"/>
                <w:szCs w:val="21"/>
                <w:highlight w:val="none"/>
              </w:rPr>
            </w:pPr>
          </w:p>
        </w:tc>
        <w:tc>
          <w:tcPr>
            <w:tcW w:w="992"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质量保障方案</w:t>
            </w:r>
          </w:p>
          <w:p>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6分</w:t>
            </w:r>
          </w:p>
        </w:tc>
        <w:tc>
          <w:tcPr>
            <w:tcW w:w="6237" w:type="dxa"/>
            <w:vAlign w:val="center"/>
          </w:tcPr>
          <w:p>
            <w:pPr>
              <w:spacing w:line="240" w:lineRule="auto"/>
              <w:ind w:firstLine="210" w:firstLineChars="100"/>
              <w:rPr>
                <w:rFonts w:ascii="宋体" w:hAnsi="宋体" w:eastAsia="宋体" w:cs="宋体"/>
                <w:sz w:val="21"/>
                <w:szCs w:val="21"/>
                <w:highlight w:val="none"/>
              </w:rPr>
            </w:pPr>
            <w:r>
              <w:rPr>
                <w:rFonts w:hint="eastAsia" w:ascii="宋体" w:hAnsi="宋体" w:eastAsia="宋体" w:cs="宋体"/>
                <w:sz w:val="21"/>
                <w:szCs w:val="21"/>
                <w:highlight w:val="none"/>
              </w:rPr>
              <w:t>供应商提供质量保障方案：①质量保障目标、②质量保障管理制度、③质量控制技术措施方案进行阐述，方案完善、操作性强的得6分；每有一项缺失的扣2分，每有一项不完善或操作性不强的扣1分，本项最多得6分。</w:t>
            </w:r>
          </w:p>
        </w:tc>
        <w:tc>
          <w:tcPr>
            <w:tcW w:w="850" w:type="dxa"/>
            <w:vMerge w:val="continue"/>
            <w:vAlign w:val="center"/>
          </w:tcPr>
          <w:p>
            <w:pPr>
              <w:spacing w:line="400" w:lineRule="atLeast"/>
              <w:jc w:val="center"/>
              <w:rPr>
                <w:rFonts w:ascii="宋体" w:hAnsi="宋体" w:eastAsia="宋体" w:cs="宋体"/>
                <w:snapToGrid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trPr>
        <w:tc>
          <w:tcPr>
            <w:tcW w:w="709" w:type="dxa"/>
            <w:vMerge w:val="continue"/>
            <w:vAlign w:val="center"/>
          </w:tcPr>
          <w:p>
            <w:pPr>
              <w:spacing w:line="400" w:lineRule="atLeast"/>
              <w:jc w:val="center"/>
              <w:rPr>
                <w:rFonts w:ascii="宋体" w:hAnsi="宋体" w:eastAsia="宋体" w:cs="宋体"/>
                <w:szCs w:val="21"/>
                <w:highlight w:val="none"/>
              </w:rPr>
            </w:pPr>
          </w:p>
        </w:tc>
        <w:tc>
          <w:tcPr>
            <w:tcW w:w="993" w:type="dxa"/>
            <w:vMerge w:val="continue"/>
            <w:vAlign w:val="center"/>
          </w:tcPr>
          <w:p>
            <w:pPr>
              <w:spacing w:line="400" w:lineRule="atLeast"/>
              <w:jc w:val="center"/>
              <w:rPr>
                <w:rFonts w:ascii="宋体" w:hAnsi="宋体" w:eastAsia="宋体" w:cs="宋体"/>
                <w:szCs w:val="21"/>
                <w:highlight w:val="none"/>
              </w:rPr>
            </w:pPr>
          </w:p>
        </w:tc>
        <w:tc>
          <w:tcPr>
            <w:tcW w:w="992"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培训服务方案</w:t>
            </w:r>
          </w:p>
          <w:p>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9分</w:t>
            </w:r>
          </w:p>
        </w:tc>
        <w:tc>
          <w:tcPr>
            <w:tcW w:w="6237" w:type="dxa"/>
            <w:vAlign w:val="center"/>
          </w:tcPr>
          <w:p>
            <w:pPr>
              <w:spacing w:line="240" w:lineRule="auto"/>
              <w:ind w:firstLine="210" w:firstLineChars="100"/>
              <w:rPr>
                <w:rFonts w:ascii="宋体" w:hAnsi="宋体" w:eastAsia="宋体" w:cs="宋体"/>
                <w:sz w:val="21"/>
                <w:szCs w:val="21"/>
                <w:highlight w:val="none"/>
              </w:rPr>
            </w:pPr>
            <w:r>
              <w:rPr>
                <w:rFonts w:hint="eastAsia" w:ascii="宋体" w:hAnsi="宋体" w:eastAsia="宋体" w:cs="宋体"/>
                <w:sz w:val="21"/>
                <w:szCs w:val="21"/>
                <w:highlight w:val="none"/>
              </w:rPr>
              <w:t>供应商提供培训服务方案：①培训管理制度、②培训人员安排、③</w:t>
            </w:r>
            <w:r>
              <w:rPr>
                <w:rFonts w:hint="eastAsia" w:ascii="宋体" w:hAnsi="宋体" w:eastAsia="宋体" w:cs="宋体"/>
                <w:szCs w:val="21"/>
                <w:highlight w:val="none"/>
              </w:rPr>
              <w:t>培训技术措施</w:t>
            </w:r>
            <w:r>
              <w:rPr>
                <w:rFonts w:hint="eastAsia" w:ascii="宋体" w:hAnsi="宋体" w:eastAsia="宋体" w:cs="宋体"/>
                <w:sz w:val="21"/>
                <w:szCs w:val="21"/>
                <w:highlight w:val="none"/>
              </w:rPr>
              <w:t>方案进行阐述，方案完善、操作性强的得9分；每有一项缺失的扣3分，每有一项不完善或操作性不强的扣1.5分，本项最多得9分。</w:t>
            </w:r>
          </w:p>
        </w:tc>
        <w:tc>
          <w:tcPr>
            <w:tcW w:w="850" w:type="dxa"/>
            <w:vMerge w:val="continue"/>
            <w:vAlign w:val="center"/>
          </w:tcPr>
          <w:p>
            <w:pPr>
              <w:spacing w:line="400" w:lineRule="atLeast"/>
              <w:jc w:val="center"/>
              <w:rPr>
                <w:rFonts w:ascii="宋体" w:hAnsi="宋体" w:eastAsia="宋体" w:cs="宋体"/>
                <w:snapToGrid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trPr>
        <w:tc>
          <w:tcPr>
            <w:tcW w:w="709" w:type="dxa"/>
            <w:vMerge w:val="continue"/>
            <w:vAlign w:val="center"/>
          </w:tcPr>
          <w:p>
            <w:pPr>
              <w:spacing w:line="400" w:lineRule="atLeast"/>
              <w:jc w:val="center"/>
              <w:rPr>
                <w:rFonts w:ascii="宋体" w:hAnsi="宋体" w:eastAsia="宋体" w:cs="宋体"/>
                <w:szCs w:val="21"/>
                <w:highlight w:val="none"/>
              </w:rPr>
            </w:pPr>
          </w:p>
        </w:tc>
        <w:tc>
          <w:tcPr>
            <w:tcW w:w="993" w:type="dxa"/>
            <w:vMerge w:val="continue"/>
            <w:vAlign w:val="center"/>
          </w:tcPr>
          <w:p>
            <w:pPr>
              <w:spacing w:line="400" w:lineRule="atLeast"/>
              <w:jc w:val="center"/>
              <w:rPr>
                <w:rFonts w:ascii="宋体" w:hAnsi="宋体" w:eastAsia="宋体" w:cs="宋体"/>
                <w:szCs w:val="21"/>
                <w:highlight w:val="none"/>
              </w:rPr>
            </w:pPr>
          </w:p>
        </w:tc>
        <w:tc>
          <w:tcPr>
            <w:tcW w:w="992" w:type="dxa"/>
            <w:vAlign w:val="center"/>
          </w:tcPr>
          <w:p>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售后服务方案</w:t>
            </w:r>
          </w:p>
          <w:p>
            <w:pPr>
              <w:spacing w:line="360" w:lineRule="auto"/>
              <w:jc w:val="center"/>
              <w:rPr>
                <w:rFonts w:ascii="宋体" w:hAnsi="宋体" w:eastAsia="宋体" w:cs="宋体"/>
                <w:sz w:val="21"/>
                <w:szCs w:val="21"/>
                <w:highlight w:val="none"/>
              </w:rPr>
            </w:pPr>
            <w:r>
              <w:rPr>
                <w:rFonts w:hint="eastAsia" w:ascii="宋体" w:hAnsi="宋体" w:eastAsia="宋体" w:cs="宋体"/>
                <w:szCs w:val="21"/>
                <w:highlight w:val="none"/>
              </w:rPr>
              <w:t>9分</w:t>
            </w:r>
          </w:p>
        </w:tc>
        <w:tc>
          <w:tcPr>
            <w:tcW w:w="6237" w:type="dxa"/>
            <w:vAlign w:val="center"/>
          </w:tcPr>
          <w:p>
            <w:pPr>
              <w:spacing w:line="240" w:lineRule="auto"/>
              <w:ind w:firstLine="210" w:firstLineChars="100"/>
              <w:rPr>
                <w:rFonts w:ascii="宋体" w:hAnsi="宋体" w:eastAsia="宋体" w:cs="宋体"/>
                <w:sz w:val="21"/>
                <w:szCs w:val="21"/>
                <w:highlight w:val="none"/>
              </w:rPr>
            </w:pPr>
            <w:r>
              <w:rPr>
                <w:rFonts w:hint="eastAsia" w:ascii="宋体" w:hAnsi="宋体" w:eastAsia="宋体" w:cs="宋体"/>
                <w:sz w:val="21"/>
                <w:szCs w:val="21"/>
                <w:highlight w:val="none"/>
              </w:rPr>
              <w:t>1.供应商提供售后服务方案：①售后服务管理制度、②售后服务</w:t>
            </w:r>
            <w:r>
              <w:rPr>
                <w:rFonts w:hint="eastAsia" w:ascii="宋体" w:hAnsi="宋体" w:cs="宋体"/>
                <w:sz w:val="21"/>
                <w:szCs w:val="21"/>
                <w:highlight w:val="none"/>
                <w:lang w:val="en-US" w:eastAsia="zh-CN"/>
              </w:rPr>
              <w:t>人员安排</w:t>
            </w:r>
            <w:r>
              <w:rPr>
                <w:rFonts w:hint="eastAsia" w:ascii="宋体" w:hAnsi="宋体" w:eastAsia="宋体" w:cs="宋体"/>
                <w:sz w:val="21"/>
                <w:szCs w:val="21"/>
                <w:highlight w:val="none"/>
              </w:rPr>
              <w:t>、③售后服务技术保障及承诺方案进行阐述，方案完善、操作性强的得9分；每有一项缺失的扣3分，每有一项不完善或操作性不强的扣1.5分，此项最多得9分。</w:t>
            </w:r>
          </w:p>
          <w:p>
            <w:pPr>
              <w:spacing w:line="240" w:lineRule="auto"/>
              <w:ind w:firstLine="210" w:firstLineChars="100"/>
              <w:rPr>
                <w:rFonts w:ascii="宋体" w:hAnsi="宋体" w:eastAsia="宋体" w:cs="宋体"/>
                <w:sz w:val="21"/>
                <w:szCs w:val="21"/>
                <w:highlight w:val="none"/>
              </w:rPr>
            </w:pPr>
          </w:p>
        </w:tc>
        <w:tc>
          <w:tcPr>
            <w:tcW w:w="850" w:type="dxa"/>
            <w:vMerge w:val="continue"/>
            <w:vAlign w:val="center"/>
          </w:tcPr>
          <w:p>
            <w:pPr>
              <w:spacing w:line="400" w:lineRule="atLeast"/>
              <w:jc w:val="center"/>
              <w:rPr>
                <w:rFonts w:ascii="宋体" w:hAnsi="宋体" w:eastAsia="宋体" w:cs="宋体"/>
                <w:snapToGrid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5" w:hRule="atLeast"/>
        </w:trPr>
        <w:tc>
          <w:tcPr>
            <w:tcW w:w="709" w:type="dxa"/>
            <w:vMerge w:val="restart"/>
            <w:tcBorders>
              <w:top w:val="single" w:color="auto" w:sz="4" w:space="0"/>
              <w:left w:val="single" w:color="auto" w:sz="4" w:space="0"/>
              <w:right w:val="single" w:color="auto" w:sz="4" w:space="0"/>
            </w:tcBorders>
            <w:vAlign w:val="center"/>
          </w:tcPr>
          <w:p>
            <w:pPr>
              <w:spacing w:line="400" w:lineRule="atLeast"/>
              <w:jc w:val="center"/>
              <w:rPr>
                <w:rFonts w:ascii="宋体" w:hAnsi="宋体" w:eastAsia="宋体" w:cs="宋体"/>
                <w:szCs w:val="21"/>
                <w:highlight w:val="none"/>
              </w:rPr>
            </w:pPr>
            <w:r>
              <w:rPr>
                <w:rFonts w:hint="eastAsia" w:ascii="宋体" w:hAnsi="宋体" w:eastAsia="宋体" w:cs="宋体"/>
                <w:szCs w:val="21"/>
                <w:highlight w:val="none"/>
              </w:rPr>
              <w:t>5</w:t>
            </w:r>
          </w:p>
        </w:tc>
        <w:tc>
          <w:tcPr>
            <w:tcW w:w="993" w:type="dxa"/>
            <w:vMerge w:val="restart"/>
            <w:tcBorders>
              <w:top w:val="single" w:color="auto" w:sz="4" w:space="0"/>
              <w:left w:val="single" w:color="auto" w:sz="4" w:space="0"/>
              <w:right w:val="single" w:color="auto" w:sz="4" w:space="0"/>
            </w:tcBorders>
            <w:vAlign w:val="center"/>
          </w:tcPr>
          <w:p>
            <w:pPr>
              <w:snapToGrid w:val="0"/>
              <w:spacing w:line="400" w:lineRule="atLeast"/>
              <w:jc w:val="center"/>
              <w:rPr>
                <w:rFonts w:ascii="宋体" w:hAnsi="宋体" w:eastAsia="宋体" w:cs="宋体"/>
                <w:szCs w:val="21"/>
                <w:highlight w:val="none"/>
              </w:rPr>
            </w:pPr>
            <w:r>
              <w:rPr>
                <w:rFonts w:hint="eastAsia" w:ascii="宋体" w:hAnsi="宋体" w:eastAsia="宋体" w:cs="宋体"/>
                <w:szCs w:val="21"/>
                <w:highlight w:val="none"/>
              </w:rPr>
              <w:t>履约能力7%</w:t>
            </w:r>
          </w:p>
        </w:tc>
        <w:tc>
          <w:tcPr>
            <w:tcW w:w="992" w:type="dxa"/>
            <w:tcBorders>
              <w:top w:val="single" w:color="auto" w:sz="4" w:space="0"/>
              <w:left w:val="single" w:color="auto" w:sz="4" w:space="0"/>
              <w:right w:val="single" w:color="auto" w:sz="4" w:space="0"/>
            </w:tcBorders>
            <w:vAlign w:val="center"/>
          </w:tcPr>
          <w:p>
            <w:pPr>
              <w:snapToGrid w:val="0"/>
              <w:spacing w:line="400" w:lineRule="atLeast"/>
              <w:jc w:val="center"/>
              <w:rPr>
                <w:rFonts w:ascii="宋体" w:hAnsi="宋体" w:eastAsia="宋体" w:cs="宋体"/>
                <w:szCs w:val="21"/>
                <w:highlight w:val="none"/>
              </w:rPr>
            </w:pPr>
            <w:r>
              <w:rPr>
                <w:rFonts w:hint="eastAsia" w:ascii="宋体" w:hAnsi="宋体" w:eastAsia="宋体" w:cs="宋体"/>
                <w:szCs w:val="21"/>
                <w:highlight w:val="none"/>
              </w:rPr>
              <w:t>业绩</w:t>
            </w:r>
          </w:p>
          <w:p>
            <w:pPr>
              <w:snapToGrid w:val="0"/>
              <w:spacing w:line="400" w:lineRule="atLeast"/>
              <w:jc w:val="center"/>
              <w:rPr>
                <w:rFonts w:ascii="宋体" w:hAnsi="宋体" w:eastAsia="宋体" w:cs="宋体"/>
                <w:szCs w:val="21"/>
                <w:highlight w:val="none"/>
              </w:rPr>
            </w:pPr>
            <w:r>
              <w:rPr>
                <w:rFonts w:hint="eastAsia" w:ascii="宋体" w:hAnsi="宋体" w:eastAsia="宋体" w:cs="宋体"/>
                <w:szCs w:val="21"/>
                <w:highlight w:val="none"/>
              </w:rPr>
              <w:t>2分</w:t>
            </w:r>
          </w:p>
        </w:tc>
        <w:tc>
          <w:tcPr>
            <w:tcW w:w="6237" w:type="dxa"/>
            <w:tcBorders>
              <w:top w:val="single" w:color="auto" w:sz="4" w:space="0"/>
              <w:left w:val="single" w:color="auto" w:sz="4" w:space="0"/>
              <w:right w:val="single" w:color="auto" w:sz="4" w:space="0"/>
            </w:tcBorders>
          </w:tcPr>
          <w:p>
            <w:pPr>
              <w:spacing w:line="240" w:lineRule="auto"/>
              <w:ind w:firstLine="210" w:firstLineChars="100"/>
              <w:rPr>
                <w:rFonts w:ascii="宋体" w:hAnsi="宋体" w:eastAsia="宋体" w:cs="宋体"/>
                <w:szCs w:val="21"/>
                <w:highlight w:val="none"/>
              </w:rPr>
            </w:pPr>
            <w:r>
              <w:rPr>
                <w:rFonts w:hint="eastAsia" w:ascii="宋体" w:hAnsi="宋体" w:eastAsia="宋体" w:cs="宋体"/>
                <w:szCs w:val="21"/>
                <w:highlight w:val="none"/>
              </w:rPr>
              <w:t>供应商自2018年1月1日</w:t>
            </w:r>
            <w:r>
              <w:rPr>
                <w:rFonts w:hint="eastAsia" w:ascii="宋体" w:hAnsi="宋体" w:eastAsia="宋体" w:cs="宋体"/>
                <w:szCs w:val="21"/>
                <w:highlight w:val="none"/>
                <w:lang w:val="en-US" w:eastAsia="zh-CN"/>
              </w:rPr>
              <w:t>至投标截止之日</w:t>
            </w:r>
            <w:r>
              <w:rPr>
                <w:rFonts w:hint="eastAsia" w:ascii="宋体" w:hAnsi="宋体" w:eastAsia="宋体" w:cs="宋体"/>
                <w:szCs w:val="21"/>
                <w:highlight w:val="none"/>
              </w:rPr>
              <w:t>每具有一个类似业绩的得0.5分，本项最多得2分。</w:t>
            </w:r>
          </w:p>
          <w:p>
            <w:pPr>
              <w:spacing w:line="240" w:lineRule="auto"/>
              <w:ind w:firstLine="210" w:firstLineChars="100"/>
              <w:rPr>
                <w:rFonts w:ascii="宋体" w:hAnsi="宋体" w:eastAsia="宋体" w:cs="宋体"/>
                <w:highlight w:val="none"/>
              </w:rPr>
            </w:pPr>
            <w:r>
              <w:rPr>
                <w:rFonts w:hint="eastAsia" w:ascii="宋体" w:hAnsi="宋体" w:eastAsia="宋体" w:cs="宋体"/>
                <w:szCs w:val="21"/>
                <w:highlight w:val="none"/>
              </w:rPr>
              <w:t>注：以合同签订时间为准，提供合同复印件并加盖</w:t>
            </w:r>
            <w:r>
              <w:rPr>
                <w:rFonts w:hint="eastAsia" w:ascii="宋体" w:hAnsi="宋体" w:cs="宋体"/>
                <w:szCs w:val="21"/>
                <w:highlight w:val="none"/>
                <w:lang w:val="en-US" w:eastAsia="zh-CN"/>
              </w:rPr>
              <w:t>投标人</w:t>
            </w:r>
            <w:r>
              <w:rPr>
                <w:rFonts w:hint="eastAsia" w:ascii="宋体" w:hAnsi="宋体" w:eastAsia="宋体" w:cs="宋体"/>
                <w:szCs w:val="21"/>
                <w:highlight w:val="none"/>
              </w:rPr>
              <w:t>公章.</w:t>
            </w:r>
          </w:p>
        </w:tc>
        <w:tc>
          <w:tcPr>
            <w:tcW w:w="850" w:type="dxa"/>
            <w:tcBorders>
              <w:top w:val="single" w:color="auto" w:sz="4" w:space="0"/>
              <w:left w:val="single" w:color="auto" w:sz="4" w:space="0"/>
              <w:right w:val="single" w:color="auto" w:sz="4" w:space="0"/>
            </w:tcBorders>
            <w:vAlign w:val="center"/>
          </w:tcPr>
          <w:p>
            <w:pPr>
              <w:snapToGrid w:val="0"/>
              <w:spacing w:line="400" w:lineRule="atLeast"/>
              <w:rPr>
                <w:rFonts w:ascii="宋体" w:hAnsi="宋体" w:eastAsia="宋体" w:cs="宋体"/>
                <w:snapToGrid w:val="0"/>
                <w:szCs w:val="21"/>
                <w:highlight w:val="none"/>
              </w:rPr>
            </w:pPr>
            <w:r>
              <w:rPr>
                <w:rFonts w:hint="eastAsia" w:ascii="宋体" w:hAnsi="宋体" w:eastAsia="宋体" w:cs="宋体"/>
                <w:snapToGrid w:val="0"/>
                <w:szCs w:val="21"/>
                <w:highlight w:val="none"/>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5" w:hRule="atLeast"/>
        </w:trPr>
        <w:tc>
          <w:tcPr>
            <w:tcW w:w="709" w:type="dxa"/>
            <w:vMerge w:val="continue"/>
            <w:tcBorders>
              <w:left w:val="single" w:color="auto" w:sz="4" w:space="0"/>
              <w:right w:val="single" w:color="auto" w:sz="4" w:space="0"/>
            </w:tcBorders>
            <w:vAlign w:val="center"/>
          </w:tcPr>
          <w:p>
            <w:pPr>
              <w:spacing w:line="400" w:lineRule="atLeast"/>
              <w:jc w:val="center"/>
              <w:rPr>
                <w:rFonts w:ascii="宋体" w:hAnsi="宋体" w:eastAsia="宋体" w:cs="宋体"/>
                <w:szCs w:val="21"/>
                <w:highlight w:val="none"/>
              </w:rPr>
            </w:pPr>
          </w:p>
        </w:tc>
        <w:tc>
          <w:tcPr>
            <w:tcW w:w="993" w:type="dxa"/>
            <w:vMerge w:val="continue"/>
            <w:tcBorders>
              <w:left w:val="single" w:color="auto" w:sz="4" w:space="0"/>
              <w:right w:val="single" w:color="auto" w:sz="4" w:space="0"/>
            </w:tcBorders>
            <w:vAlign w:val="center"/>
          </w:tcPr>
          <w:p>
            <w:pPr>
              <w:snapToGrid w:val="0"/>
              <w:spacing w:line="400" w:lineRule="atLeast"/>
              <w:jc w:val="center"/>
              <w:rPr>
                <w:rFonts w:ascii="宋体" w:hAnsi="宋体" w:eastAsia="宋体" w:cs="宋体"/>
                <w:szCs w:val="21"/>
                <w:highlight w:val="none"/>
              </w:rPr>
            </w:pPr>
          </w:p>
        </w:tc>
        <w:tc>
          <w:tcPr>
            <w:tcW w:w="992" w:type="dxa"/>
            <w:tcBorders>
              <w:top w:val="single" w:color="auto" w:sz="4" w:space="0"/>
              <w:left w:val="single" w:color="auto" w:sz="4" w:space="0"/>
              <w:right w:val="single" w:color="auto" w:sz="4" w:space="0"/>
            </w:tcBorders>
            <w:vAlign w:val="center"/>
          </w:tcPr>
          <w:p>
            <w:pPr>
              <w:snapToGrid w:val="0"/>
              <w:spacing w:line="400" w:lineRule="atLeast"/>
              <w:jc w:val="center"/>
              <w:rPr>
                <w:rFonts w:ascii="宋体" w:hAnsi="宋体" w:eastAsia="宋体" w:cs="宋体"/>
                <w:szCs w:val="21"/>
                <w:highlight w:val="none"/>
              </w:rPr>
            </w:pPr>
            <w:r>
              <w:rPr>
                <w:rFonts w:hint="eastAsia" w:ascii="宋体" w:hAnsi="宋体" w:eastAsia="宋体" w:cs="宋体"/>
                <w:szCs w:val="21"/>
                <w:highlight w:val="none"/>
              </w:rPr>
              <w:t>企业实力5</w:t>
            </w:r>
          </w:p>
        </w:tc>
        <w:tc>
          <w:tcPr>
            <w:tcW w:w="6237" w:type="dxa"/>
            <w:tcBorders>
              <w:top w:val="single" w:color="auto" w:sz="4" w:space="0"/>
              <w:left w:val="single" w:color="auto" w:sz="4" w:space="0"/>
              <w:right w:val="single" w:color="auto" w:sz="4" w:space="0"/>
            </w:tcBorders>
          </w:tcPr>
          <w:p>
            <w:pPr>
              <w:spacing w:line="240" w:lineRule="auto"/>
              <w:ind w:firstLine="210" w:firstLineChars="100"/>
              <w:rPr>
                <w:rFonts w:ascii="宋体" w:hAnsi="宋体" w:eastAsia="宋体" w:cs="宋体"/>
                <w:b/>
                <w:bCs/>
                <w:sz w:val="21"/>
                <w:szCs w:val="21"/>
                <w:highlight w:val="none"/>
              </w:rPr>
            </w:pPr>
            <w:r>
              <w:rPr>
                <w:rFonts w:hint="eastAsia" w:ascii="宋体" w:hAnsi="宋体" w:eastAsia="宋体" w:cs="宋体"/>
                <w:sz w:val="21"/>
                <w:szCs w:val="21"/>
                <w:highlight w:val="none"/>
              </w:rPr>
              <w:t>1.投标人或设备制造厂家具有行政部门颁发的能力评估结果为准予开展入境机电产品维修业务</w:t>
            </w:r>
            <w:r>
              <w:rPr>
                <w:rFonts w:hint="eastAsia" w:ascii="宋体" w:hAnsi="宋体" w:cs="宋体"/>
                <w:sz w:val="21"/>
                <w:szCs w:val="21"/>
                <w:highlight w:val="none"/>
                <w:lang w:val="en-US" w:eastAsia="zh-CN"/>
              </w:rPr>
              <w:t>的</w:t>
            </w:r>
            <w:r>
              <w:rPr>
                <w:rFonts w:hint="eastAsia" w:ascii="宋体" w:hAnsi="宋体" w:eastAsia="宋体" w:cs="宋体"/>
                <w:sz w:val="21"/>
                <w:szCs w:val="21"/>
                <w:highlight w:val="none"/>
              </w:rPr>
              <w:t>得2分，此项最多得2分。</w:t>
            </w:r>
            <w:r>
              <w:rPr>
                <w:rFonts w:hint="eastAsia" w:ascii="宋体" w:hAnsi="宋体" w:eastAsia="宋体" w:cs="宋体"/>
                <w:b/>
                <w:bCs/>
                <w:sz w:val="21"/>
                <w:szCs w:val="21"/>
                <w:highlight w:val="none"/>
              </w:rPr>
              <w:t>（提供相关证明材料加盖投标人公章）</w:t>
            </w:r>
          </w:p>
          <w:p>
            <w:pPr>
              <w:spacing w:line="240" w:lineRule="auto"/>
              <w:ind w:firstLine="210" w:firstLineChars="100"/>
              <w:rPr>
                <w:rFonts w:ascii="宋体" w:hAnsi="宋体" w:eastAsia="宋体" w:cs="宋体"/>
                <w:szCs w:val="21"/>
                <w:highlight w:val="none"/>
              </w:rPr>
            </w:pPr>
            <w:r>
              <w:rPr>
                <w:rFonts w:hint="eastAsia" w:ascii="宋体" w:hAnsi="宋体" w:eastAsia="宋体" w:cs="宋体"/>
                <w:sz w:val="21"/>
                <w:szCs w:val="21"/>
                <w:highlight w:val="none"/>
              </w:rPr>
              <w:t>2.2018年1月1日（含）以来投标人每提供1个类似项目用户出具的关于售后服务评价的材料为：优或者满意或好或者相近意思的得1分，此项最多得3分。</w:t>
            </w:r>
            <w:r>
              <w:rPr>
                <w:rFonts w:hint="eastAsia" w:ascii="宋体" w:hAnsi="宋体" w:eastAsia="宋体" w:cs="宋体"/>
                <w:b/>
                <w:bCs/>
                <w:sz w:val="21"/>
                <w:szCs w:val="21"/>
                <w:highlight w:val="none"/>
              </w:rPr>
              <w:t>（提供相关证明材料加盖投标人公章）</w:t>
            </w:r>
          </w:p>
        </w:tc>
        <w:tc>
          <w:tcPr>
            <w:tcW w:w="850" w:type="dxa"/>
            <w:tcBorders>
              <w:top w:val="single" w:color="auto" w:sz="4" w:space="0"/>
              <w:left w:val="single" w:color="auto" w:sz="4" w:space="0"/>
              <w:right w:val="single" w:color="auto" w:sz="4" w:space="0"/>
            </w:tcBorders>
            <w:vAlign w:val="center"/>
          </w:tcPr>
          <w:p>
            <w:pPr>
              <w:snapToGrid w:val="0"/>
              <w:spacing w:line="400" w:lineRule="atLeast"/>
              <w:rPr>
                <w:rFonts w:ascii="宋体" w:hAnsi="宋体" w:eastAsia="宋体" w:cs="宋体"/>
                <w:snapToGrid w:val="0"/>
                <w:szCs w:val="21"/>
                <w:highlight w:val="none"/>
              </w:rPr>
            </w:pPr>
            <w:r>
              <w:rPr>
                <w:rFonts w:hint="eastAsia" w:ascii="宋体" w:hAnsi="宋体" w:eastAsia="宋体" w:cs="宋体"/>
                <w:snapToGrid w:val="0"/>
                <w:szCs w:val="21"/>
                <w:highlight w:val="none"/>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9" w:hRule="atLeast"/>
        </w:trPr>
        <w:tc>
          <w:tcPr>
            <w:tcW w:w="709" w:type="dxa"/>
            <w:tcBorders>
              <w:top w:val="single" w:color="auto" w:sz="4" w:space="0"/>
              <w:left w:val="single" w:color="auto" w:sz="4" w:space="0"/>
              <w:right w:val="single" w:color="auto" w:sz="4" w:space="0"/>
            </w:tcBorders>
            <w:vAlign w:val="center"/>
          </w:tcPr>
          <w:p>
            <w:pPr>
              <w:spacing w:line="400" w:lineRule="atLeast"/>
              <w:jc w:val="center"/>
              <w:rPr>
                <w:rFonts w:ascii="宋体" w:hAnsi="宋体" w:eastAsia="宋体" w:cs="宋体"/>
                <w:szCs w:val="21"/>
                <w:highlight w:val="none"/>
              </w:rPr>
            </w:pPr>
            <w:r>
              <w:rPr>
                <w:rFonts w:hint="eastAsia" w:ascii="宋体" w:hAnsi="宋体" w:eastAsia="宋体" w:cs="宋体"/>
                <w:szCs w:val="21"/>
                <w:highlight w:val="none"/>
              </w:rPr>
              <w:t>6</w:t>
            </w:r>
          </w:p>
        </w:tc>
        <w:tc>
          <w:tcPr>
            <w:tcW w:w="993" w:type="dxa"/>
            <w:tcBorders>
              <w:top w:val="single" w:color="auto" w:sz="4" w:space="0"/>
              <w:left w:val="single" w:color="auto" w:sz="4" w:space="0"/>
              <w:right w:val="single" w:color="auto" w:sz="4" w:space="0"/>
            </w:tcBorders>
            <w:vAlign w:val="center"/>
          </w:tcPr>
          <w:p>
            <w:pPr>
              <w:snapToGrid w:val="0"/>
              <w:spacing w:line="400" w:lineRule="atLeast"/>
              <w:jc w:val="center"/>
              <w:rPr>
                <w:rFonts w:ascii="宋体" w:hAnsi="宋体" w:eastAsia="宋体" w:cs="宋体"/>
                <w:szCs w:val="21"/>
                <w:highlight w:val="none"/>
              </w:rPr>
            </w:pPr>
            <w:r>
              <w:rPr>
                <w:rFonts w:hint="eastAsia" w:ascii="宋体" w:hAnsi="宋体" w:eastAsia="宋体" w:cs="宋体"/>
                <w:szCs w:val="21"/>
                <w:highlight w:val="none"/>
              </w:rPr>
              <w:t>节能、环境标志、无线局域网产品</w:t>
            </w:r>
          </w:p>
          <w:p>
            <w:pPr>
              <w:snapToGrid w:val="0"/>
              <w:spacing w:line="400" w:lineRule="atLeast"/>
              <w:jc w:val="center"/>
              <w:rPr>
                <w:rFonts w:ascii="宋体" w:hAnsi="宋体" w:eastAsia="宋体" w:cs="宋体"/>
                <w:szCs w:val="21"/>
                <w:highlight w:val="none"/>
              </w:rPr>
            </w:pPr>
            <w:r>
              <w:rPr>
                <w:rFonts w:hint="eastAsia" w:ascii="宋体" w:hAnsi="宋体" w:eastAsia="宋体" w:cs="宋体"/>
                <w:szCs w:val="21"/>
                <w:highlight w:val="none"/>
              </w:rPr>
              <w:t>1%</w:t>
            </w:r>
          </w:p>
        </w:tc>
        <w:tc>
          <w:tcPr>
            <w:tcW w:w="992" w:type="dxa"/>
            <w:tcBorders>
              <w:top w:val="single" w:color="auto" w:sz="4" w:space="0"/>
              <w:left w:val="single" w:color="auto" w:sz="4" w:space="0"/>
              <w:right w:val="single" w:color="auto" w:sz="4" w:space="0"/>
            </w:tcBorders>
            <w:vAlign w:val="center"/>
          </w:tcPr>
          <w:p>
            <w:pPr>
              <w:snapToGrid w:val="0"/>
              <w:spacing w:line="400" w:lineRule="atLeast"/>
              <w:jc w:val="center"/>
              <w:rPr>
                <w:rFonts w:ascii="宋体" w:hAnsi="宋体" w:eastAsia="宋体" w:cs="宋体"/>
                <w:szCs w:val="21"/>
                <w:highlight w:val="none"/>
              </w:rPr>
            </w:pPr>
            <w:r>
              <w:rPr>
                <w:rFonts w:hint="eastAsia" w:ascii="宋体" w:hAnsi="宋体" w:eastAsia="宋体" w:cs="宋体"/>
                <w:szCs w:val="21"/>
                <w:highlight w:val="none"/>
              </w:rPr>
              <w:t>节能、环境标志、无线局域网产品</w:t>
            </w:r>
          </w:p>
          <w:p>
            <w:pPr>
              <w:snapToGrid w:val="0"/>
              <w:spacing w:line="400" w:lineRule="atLeast"/>
              <w:jc w:val="center"/>
              <w:rPr>
                <w:rFonts w:ascii="宋体" w:hAnsi="宋体" w:eastAsia="宋体" w:cs="宋体"/>
                <w:szCs w:val="21"/>
                <w:highlight w:val="none"/>
              </w:rPr>
            </w:pPr>
            <w:r>
              <w:rPr>
                <w:rFonts w:hint="eastAsia" w:ascii="宋体" w:hAnsi="宋体" w:eastAsia="宋体" w:cs="宋体"/>
                <w:szCs w:val="21"/>
                <w:highlight w:val="none"/>
              </w:rPr>
              <w:t>1分</w:t>
            </w:r>
          </w:p>
        </w:tc>
        <w:tc>
          <w:tcPr>
            <w:tcW w:w="6237" w:type="dxa"/>
            <w:tcBorders>
              <w:top w:val="single" w:color="auto" w:sz="4" w:space="0"/>
              <w:left w:val="single" w:color="auto" w:sz="4" w:space="0"/>
              <w:right w:val="single" w:color="auto" w:sz="4" w:space="0"/>
            </w:tcBorders>
          </w:tcPr>
          <w:p>
            <w:pPr>
              <w:snapToGrid w:val="0"/>
              <w:spacing w:line="240" w:lineRule="auto"/>
              <w:ind w:firstLine="210" w:firstLineChars="100"/>
              <w:rPr>
                <w:rFonts w:ascii="宋体" w:hAnsi="宋体" w:eastAsia="宋体" w:cs="宋体"/>
                <w:szCs w:val="21"/>
                <w:highlight w:val="none"/>
              </w:rPr>
            </w:pPr>
            <w:r>
              <w:rPr>
                <w:rFonts w:hint="eastAsia" w:ascii="宋体" w:hAnsi="宋体" w:eastAsia="宋体" w:cs="宋体"/>
                <w:szCs w:val="21"/>
                <w:highlight w:val="none"/>
              </w:rPr>
              <w:t>投标产品中属于国家优先采购范围的，则每有一项为政府采购节能产品或者环境标志产品、无线局域网产品的得 0.5分，非政府采购节能、环境标志产品、无线局域网产品的不得分。本项最多得1分。</w:t>
            </w:r>
          </w:p>
          <w:p>
            <w:pPr>
              <w:snapToGrid w:val="0"/>
              <w:spacing w:line="240" w:lineRule="auto"/>
              <w:ind w:firstLine="210" w:firstLineChars="100"/>
              <w:rPr>
                <w:rFonts w:ascii="宋体" w:hAnsi="宋体" w:eastAsia="宋体" w:cs="宋体"/>
                <w:szCs w:val="21"/>
                <w:highlight w:val="none"/>
              </w:rPr>
            </w:pPr>
            <w:r>
              <w:rPr>
                <w:rFonts w:hint="eastAsia" w:ascii="宋体" w:hAnsi="宋体" w:eastAsia="宋体" w:cs="宋体"/>
                <w:szCs w:val="21"/>
                <w:highlight w:val="none"/>
              </w:rPr>
              <w:t>注：1、按照《关于调整优化节能产品、环境标志产品政府采购执行机制的通知》（财库〔2019〕9 号）、《关于印发环境标志产品政府采购品目清单的通知》财库〔2019〕18号、《关于印发节能产品政府采购品目清单的通知》财库〔2019〕19号的规定，属于政府优先采购的品目清单范围的，提供国家确定的认证机构出具的、处于有效期之内的节能产品、环境标志产品认证证书复印件加盖公章。</w:t>
            </w:r>
          </w:p>
          <w:p>
            <w:pPr>
              <w:snapToGrid w:val="0"/>
              <w:spacing w:line="240" w:lineRule="auto"/>
              <w:ind w:firstLine="210" w:firstLineChars="100"/>
              <w:rPr>
                <w:rFonts w:ascii="宋体" w:hAnsi="宋体" w:eastAsia="宋体" w:cs="宋体"/>
                <w:b/>
                <w:bCs/>
                <w:szCs w:val="21"/>
                <w:highlight w:val="none"/>
              </w:rPr>
            </w:pPr>
            <w:r>
              <w:rPr>
                <w:rFonts w:hint="eastAsia" w:ascii="宋体" w:hAnsi="宋体" w:eastAsia="宋体" w:cs="宋体"/>
                <w:szCs w:val="21"/>
                <w:highlight w:val="none"/>
              </w:rPr>
              <w:t>2、无线局域网产品以《中国政府采购网》最新颁布清单为准提供证书复印件加盖公章。</w:t>
            </w:r>
          </w:p>
        </w:tc>
        <w:tc>
          <w:tcPr>
            <w:tcW w:w="850" w:type="dxa"/>
            <w:tcBorders>
              <w:top w:val="single" w:color="auto" w:sz="4" w:space="0"/>
              <w:left w:val="single" w:color="auto" w:sz="4" w:space="0"/>
              <w:right w:val="single" w:color="auto" w:sz="4" w:space="0"/>
            </w:tcBorders>
            <w:vAlign w:val="center"/>
          </w:tcPr>
          <w:p>
            <w:pPr>
              <w:snapToGrid w:val="0"/>
              <w:spacing w:line="400" w:lineRule="atLeast"/>
              <w:jc w:val="center"/>
              <w:rPr>
                <w:rFonts w:ascii="宋体" w:hAnsi="宋体" w:eastAsia="宋体" w:cs="宋体"/>
                <w:snapToGrid w:val="0"/>
                <w:szCs w:val="21"/>
                <w:highlight w:val="none"/>
              </w:rPr>
            </w:pPr>
            <w:r>
              <w:rPr>
                <w:rFonts w:hint="eastAsia" w:ascii="宋体" w:hAnsi="宋体" w:eastAsia="宋体" w:cs="宋体"/>
                <w:snapToGrid w:val="0"/>
                <w:szCs w:val="21"/>
                <w:highlight w:val="none"/>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hAnsi="宋体" w:eastAsia="宋体" w:cs="宋体"/>
                <w:szCs w:val="21"/>
                <w:highlight w:val="none"/>
              </w:rPr>
            </w:pPr>
            <w:r>
              <w:rPr>
                <w:rFonts w:hint="eastAsia" w:ascii="宋体" w:hAnsi="宋体" w:eastAsia="宋体" w:cs="宋体"/>
                <w:szCs w:val="21"/>
                <w:highlight w:val="none"/>
              </w:rPr>
              <w:t>7</w:t>
            </w: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hAnsi="宋体" w:eastAsia="宋体" w:cs="宋体"/>
                <w:szCs w:val="21"/>
                <w:highlight w:val="none"/>
              </w:rPr>
            </w:pPr>
            <w:r>
              <w:rPr>
                <w:rFonts w:hint="eastAsia" w:ascii="宋体" w:hAnsi="宋体" w:eastAsia="宋体" w:cs="宋体"/>
                <w:szCs w:val="21"/>
                <w:highlight w:val="none"/>
              </w:rPr>
              <w:t>投标文件的规范性1%</w:t>
            </w: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hAnsi="宋体" w:eastAsia="宋体" w:cs="宋体"/>
                <w:szCs w:val="21"/>
                <w:highlight w:val="none"/>
              </w:rPr>
            </w:pPr>
            <w:r>
              <w:rPr>
                <w:rFonts w:hint="eastAsia" w:ascii="宋体" w:hAnsi="宋体" w:eastAsia="宋体" w:cs="宋体"/>
                <w:szCs w:val="21"/>
                <w:highlight w:val="none"/>
              </w:rPr>
              <w:t>投标文件的规范性</w:t>
            </w:r>
          </w:p>
          <w:p>
            <w:pPr>
              <w:spacing w:line="400" w:lineRule="atLeast"/>
              <w:jc w:val="center"/>
              <w:rPr>
                <w:rFonts w:ascii="宋体" w:hAnsi="宋体" w:eastAsia="宋体" w:cs="宋体"/>
                <w:szCs w:val="21"/>
                <w:highlight w:val="none"/>
              </w:rPr>
            </w:pPr>
            <w:r>
              <w:rPr>
                <w:rFonts w:hint="eastAsia" w:ascii="宋体" w:hAnsi="宋体" w:eastAsia="宋体" w:cs="宋体"/>
                <w:szCs w:val="21"/>
                <w:highlight w:val="none"/>
              </w:rPr>
              <w:t>1分</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宋体"/>
                <w:szCs w:val="21"/>
                <w:highlight w:val="none"/>
              </w:rPr>
            </w:pPr>
            <w:r>
              <w:rPr>
                <w:rFonts w:hint="eastAsia" w:ascii="宋体" w:hAnsi="宋体" w:eastAsia="宋体" w:cs="宋体"/>
                <w:szCs w:val="21"/>
                <w:highlight w:val="none"/>
              </w:rPr>
              <w:t>投标文件制作规范，没有细微偏差情形的得1分，每有一项细微偏差扣</w:t>
            </w:r>
            <w:r>
              <w:rPr>
                <w:rFonts w:hint="eastAsia" w:ascii="宋体" w:hAnsi="宋体" w:eastAsia="宋体" w:cs="宋体"/>
                <w:szCs w:val="21"/>
                <w:highlight w:val="none"/>
                <w:lang w:val="en-US" w:eastAsia="zh-CN"/>
              </w:rPr>
              <w:t>0.5</w:t>
            </w:r>
            <w:r>
              <w:rPr>
                <w:rFonts w:hint="eastAsia" w:ascii="宋体" w:hAnsi="宋体" w:eastAsia="宋体" w:cs="宋体"/>
                <w:szCs w:val="21"/>
                <w:highlight w:val="none"/>
              </w:rPr>
              <w:t>分，直到该项分值扣完为止。</w:t>
            </w: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宋体" w:hAnsi="宋体" w:eastAsia="宋体" w:cs="宋体"/>
                <w:snapToGrid w:val="0"/>
                <w:szCs w:val="21"/>
                <w:highlight w:val="none"/>
              </w:rPr>
            </w:pPr>
            <w:r>
              <w:rPr>
                <w:rFonts w:hint="eastAsia" w:ascii="宋体" w:hAnsi="宋体" w:eastAsia="宋体" w:cs="宋体"/>
                <w:snapToGrid w:val="0"/>
                <w:szCs w:val="21"/>
                <w:highlight w:val="none"/>
              </w:rPr>
              <w:t>共同评审因素</w:t>
            </w:r>
          </w:p>
        </w:tc>
      </w:tr>
    </w:tbl>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 评分的取值按四舍五入法，保留小数点后两位。</w:t>
      </w:r>
    </w:p>
    <w:p>
      <w:pPr>
        <w:spacing w:line="440" w:lineRule="exact"/>
        <w:ind w:firstLine="480" w:firstLineChars="200"/>
        <w:rPr>
          <w:rFonts w:hint="eastAsia" w:ascii="宋体" w:hAnsi="宋体" w:cs="宋体"/>
          <w:color w:val="auto"/>
          <w:sz w:val="24"/>
          <w:highlight w:val="none"/>
        </w:rPr>
      </w:pP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02包综合评分明细表（100分）</w:t>
      </w:r>
    </w:p>
    <w:tbl>
      <w:tblPr>
        <w:tblStyle w:val="33"/>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851"/>
        <w:gridCol w:w="623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709" w:type="dxa"/>
            <w:vAlign w:val="center"/>
          </w:tcPr>
          <w:p>
            <w:pPr>
              <w:spacing w:line="400" w:lineRule="atLeast"/>
              <w:jc w:val="center"/>
              <w:rPr>
                <w:rFonts w:ascii="宋体" w:hAnsi="宋体" w:eastAsia="宋体" w:cs="宋体"/>
                <w:szCs w:val="21"/>
                <w:highlight w:val="none"/>
              </w:rPr>
            </w:pPr>
            <w:r>
              <w:rPr>
                <w:rFonts w:hint="eastAsia" w:ascii="宋体" w:hAnsi="宋体" w:eastAsia="宋体" w:cs="宋体"/>
                <w:szCs w:val="21"/>
                <w:highlight w:val="none"/>
              </w:rPr>
              <w:t>序号</w:t>
            </w:r>
          </w:p>
        </w:tc>
        <w:tc>
          <w:tcPr>
            <w:tcW w:w="1134" w:type="dxa"/>
            <w:vAlign w:val="center"/>
          </w:tcPr>
          <w:p>
            <w:pPr>
              <w:spacing w:line="400" w:lineRule="atLeast"/>
              <w:jc w:val="center"/>
              <w:rPr>
                <w:rFonts w:ascii="宋体" w:hAnsi="宋体" w:eastAsia="宋体" w:cs="宋体"/>
                <w:szCs w:val="21"/>
                <w:highlight w:val="none"/>
              </w:rPr>
            </w:pPr>
            <w:r>
              <w:rPr>
                <w:rFonts w:hint="eastAsia" w:ascii="宋体" w:hAnsi="宋体" w:eastAsia="宋体" w:cs="宋体"/>
                <w:szCs w:val="21"/>
                <w:highlight w:val="none"/>
              </w:rPr>
              <w:t>评分因素</w:t>
            </w:r>
          </w:p>
          <w:p>
            <w:pPr>
              <w:spacing w:line="400" w:lineRule="atLeast"/>
              <w:jc w:val="center"/>
              <w:rPr>
                <w:rFonts w:ascii="宋体" w:hAnsi="宋体" w:eastAsia="宋体" w:cs="宋体"/>
                <w:szCs w:val="21"/>
                <w:highlight w:val="none"/>
              </w:rPr>
            </w:pPr>
            <w:r>
              <w:rPr>
                <w:rFonts w:hint="eastAsia" w:ascii="宋体" w:hAnsi="宋体" w:eastAsia="宋体" w:cs="宋体"/>
                <w:szCs w:val="21"/>
                <w:highlight w:val="none"/>
              </w:rPr>
              <w:t>及权重</w:t>
            </w:r>
          </w:p>
        </w:tc>
        <w:tc>
          <w:tcPr>
            <w:tcW w:w="851" w:type="dxa"/>
            <w:vAlign w:val="center"/>
          </w:tcPr>
          <w:p>
            <w:pPr>
              <w:spacing w:line="400" w:lineRule="atLeast"/>
              <w:jc w:val="center"/>
              <w:rPr>
                <w:rFonts w:ascii="宋体" w:hAnsi="宋体" w:eastAsia="宋体" w:cs="宋体"/>
                <w:szCs w:val="21"/>
                <w:highlight w:val="none"/>
              </w:rPr>
            </w:pPr>
            <w:r>
              <w:rPr>
                <w:rFonts w:hint="eastAsia" w:ascii="宋体" w:hAnsi="宋体" w:eastAsia="宋体" w:cs="宋体"/>
                <w:szCs w:val="21"/>
                <w:highlight w:val="none"/>
              </w:rPr>
              <w:t>分值</w:t>
            </w:r>
          </w:p>
        </w:tc>
        <w:tc>
          <w:tcPr>
            <w:tcW w:w="6237" w:type="dxa"/>
            <w:vAlign w:val="center"/>
          </w:tcPr>
          <w:p>
            <w:pPr>
              <w:spacing w:line="400" w:lineRule="atLeast"/>
              <w:jc w:val="center"/>
              <w:rPr>
                <w:rFonts w:ascii="宋体" w:hAnsi="宋体" w:eastAsia="宋体" w:cs="宋体"/>
                <w:szCs w:val="21"/>
                <w:highlight w:val="none"/>
              </w:rPr>
            </w:pPr>
            <w:r>
              <w:rPr>
                <w:rFonts w:hint="eastAsia" w:ascii="宋体" w:hAnsi="宋体" w:eastAsia="宋体" w:cs="宋体"/>
                <w:szCs w:val="21"/>
                <w:highlight w:val="none"/>
              </w:rPr>
              <w:t>评分标准</w:t>
            </w:r>
          </w:p>
        </w:tc>
        <w:tc>
          <w:tcPr>
            <w:tcW w:w="850" w:type="dxa"/>
            <w:vAlign w:val="center"/>
          </w:tcPr>
          <w:p>
            <w:pPr>
              <w:spacing w:line="400" w:lineRule="atLeast"/>
              <w:jc w:val="center"/>
              <w:rPr>
                <w:rFonts w:ascii="宋体" w:hAnsi="宋体" w:eastAsia="宋体" w:cs="宋体"/>
                <w:szCs w:val="21"/>
                <w:highlight w:val="none"/>
              </w:rPr>
            </w:pPr>
            <w:r>
              <w:rPr>
                <w:rFonts w:hint="eastAsia" w:ascii="宋体" w:hAnsi="宋体" w:eastAsia="宋体" w:cs="宋体"/>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0" w:hRule="atLeast"/>
        </w:trPr>
        <w:tc>
          <w:tcPr>
            <w:tcW w:w="709" w:type="dxa"/>
            <w:vAlign w:val="center"/>
          </w:tcPr>
          <w:p>
            <w:pPr>
              <w:spacing w:line="400" w:lineRule="atLeast"/>
              <w:jc w:val="center"/>
              <w:rPr>
                <w:rFonts w:ascii="宋体" w:hAnsi="宋体" w:eastAsia="宋体" w:cs="宋体"/>
                <w:szCs w:val="21"/>
                <w:highlight w:val="none"/>
              </w:rPr>
            </w:pPr>
            <w:r>
              <w:rPr>
                <w:rFonts w:hint="eastAsia" w:ascii="宋体" w:hAnsi="宋体" w:eastAsia="宋体" w:cs="宋体"/>
                <w:szCs w:val="21"/>
                <w:highlight w:val="none"/>
              </w:rPr>
              <w:t>1</w:t>
            </w:r>
          </w:p>
        </w:tc>
        <w:tc>
          <w:tcPr>
            <w:tcW w:w="1134" w:type="dxa"/>
            <w:vAlign w:val="center"/>
          </w:tcPr>
          <w:p>
            <w:pPr>
              <w:spacing w:line="400" w:lineRule="atLeast"/>
              <w:jc w:val="center"/>
              <w:rPr>
                <w:rFonts w:ascii="宋体" w:hAnsi="宋体" w:eastAsia="宋体" w:cs="宋体"/>
                <w:szCs w:val="21"/>
                <w:highlight w:val="none"/>
              </w:rPr>
            </w:pPr>
            <w:r>
              <w:rPr>
                <w:rFonts w:hint="eastAsia" w:ascii="宋体" w:hAnsi="宋体" w:eastAsia="宋体" w:cs="宋体"/>
                <w:szCs w:val="21"/>
                <w:highlight w:val="none"/>
              </w:rPr>
              <w:t>报价30%</w:t>
            </w:r>
          </w:p>
        </w:tc>
        <w:tc>
          <w:tcPr>
            <w:tcW w:w="851" w:type="dxa"/>
            <w:vAlign w:val="center"/>
          </w:tcPr>
          <w:p>
            <w:pPr>
              <w:spacing w:line="400" w:lineRule="atLeast"/>
              <w:jc w:val="center"/>
              <w:rPr>
                <w:rFonts w:ascii="宋体" w:hAnsi="宋体" w:eastAsia="宋体" w:cs="宋体"/>
                <w:szCs w:val="21"/>
                <w:highlight w:val="none"/>
              </w:rPr>
            </w:pPr>
            <w:r>
              <w:rPr>
                <w:rFonts w:hint="eastAsia" w:ascii="宋体" w:hAnsi="宋体" w:eastAsia="宋体" w:cs="宋体"/>
                <w:szCs w:val="21"/>
                <w:highlight w:val="none"/>
              </w:rPr>
              <w:t>报价</w:t>
            </w:r>
          </w:p>
          <w:p>
            <w:pPr>
              <w:spacing w:line="400" w:lineRule="atLeast"/>
              <w:jc w:val="center"/>
              <w:rPr>
                <w:rFonts w:ascii="宋体" w:hAnsi="宋体" w:eastAsia="宋体" w:cs="宋体"/>
                <w:szCs w:val="21"/>
                <w:highlight w:val="none"/>
              </w:rPr>
            </w:pPr>
            <w:r>
              <w:rPr>
                <w:rFonts w:hint="eastAsia" w:ascii="宋体" w:hAnsi="宋体" w:eastAsia="宋体" w:cs="宋体"/>
                <w:szCs w:val="21"/>
                <w:highlight w:val="none"/>
              </w:rPr>
              <w:t>30分</w:t>
            </w:r>
          </w:p>
        </w:tc>
        <w:tc>
          <w:tcPr>
            <w:tcW w:w="6237" w:type="dxa"/>
          </w:tcPr>
          <w:p>
            <w:pPr>
              <w:spacing w:line="240" w:lineRule="auto"/>
              <w:ind w:firstLine="210" w:firstLineChars="100"/>
              <w:jc w:val="left"/>
              <w:rPr>
                <w:rFonts w:ascii="宋体" w:hAnsi="宋体" w:eastAsia="宋体" w:cs="宋体"/>
                <w:snapToGrid w:val="0"/>
                <w:szCs w:val="21"/>
                <w:highlight w:val="none"/>
              </w:rPr>
            </w:pPr>
            <w:r>
              <w:rPr>
                <w:rFonts w:hint="eastAsia" w:ascii="宋体" w:hAnsi="宋体" w:eastAsia="宋体" w:cs="宋体"/>
                <w:snapToGrid w:val="0"/>
                <w:szCs w:val="21"/>
                <w:highlight w:val="none"/>
              </w:rPr>
              <w:t>以本次有效的最低投标总价为基准价，其价格分为满分30分.投标报价得分=(投标基准价／投标报价)*30%*100。</w:t>
            </w:r>
          </w:p>
          <w:p>
            <w:pPr>
              <w:spacing w:line="240" w:lineRule="auto"/>
              <w:ind w:firstLine="210" w:firstLineChars="100"/>
              <w:jc w:val="left"/>
              <w:rPr>
                <w:rFonts w:ascii="宋体" w:hAnsi="宋体" w:eastAsia="宋体" w:cs="宋体"/>
                <w:snapToGrid w:val="0"/>
                <w:szCs w:val="21"/>
                <w:highlight w:val="none"/>
              </w:rPr>
            </w:pPr>
            <w:r>
              <w:rPr>
                <w:rFonts w:hint="eastAsia" w:ascii="宋体" w:hAnsi="宋体" w:eastAsia="宋体" w:cs="宋体"/>
                <w:snapToGrid w:val="0"/>
                <w:szCs w:val="21"/>
                <w:highlight w:val="none"/>
              </w:rPr>
              <w:t>注：1.小微企业（监狱企业、残疾人福利单位视同小微企业）价格扣除：根据财库[2020]46号文，对小型和微型企业（监狱企业、残疾人福利性单位视同小微企业）的价格给予10%的扣除，用扣除后的价格参与评标。</w:t>
            </w:r>
          </w:p>
          <w:p>
            <w:pPr>
              <w:spacing w:line="240" w:lineRule="auto"/>
              <w:ind w:firstLine="210" w:firstLineChars="100"/>
              <w:jc w:val="left"/>
              <w:rPr>
                <w:rFonts w:ascii="宋体" w:hAnsi="宋体" w:eastAsia="宋体" w:cs="宋体"/>
                <w:snapToGrid w:val="0"/>
                <w:szCs w:val="21"/>
                <w:highlight w:val="none"/>
              </w:rPr>
            </w:pPr>
            <w:r>
              <w:rPr>
                <w:rFonts w:hint="eastAsia" w:ascii="宋体" w:hAnsi="宋体" w:eastAsia="宋体" w:cs="宋体"/>
                <w:snapToGrid w:val="0"/>
                <w:szCs w:val="21"/>
                <w:highlight w:val="none"/>
              </w:rPr>
              <w:t>2.失信企业扣分：对记入诚信档案且在有效期内的失信供应商，在参加政府采购活动中直接从总分中扣除5分/次予以惩戒，供应商失信行为惩戒实行无限制累加制，直到总分 100 分扣完为止。</w:t>
            </w:r>
          </w:p>
          <w:p>
            <w:pPr>
              <w:spacing w:line="240" w:lineRule="auto"/>
              <w:ind w:firstLine="210" w:firstLineChars="100"/>
              <w:jc w:val="left"/>
              <w:rPr>
                <w:rFonts w:ascii="宋体" w:hAnsi="宋体" w:eastAsia="宋体" w:cs="宋体"/>
                <w:snapToGrid w:val="0"/>
                <w:szCs w:val="21"/>
                <w:highlight w:val="none"/>
              </w:rPr>
            </w:pPr>
            <w:r>
              <w:rPr>
                <w:rFonts w:hint="eastAsia" w:ascii="宋体" w:hAnsi="宋体" w:eastAsia="宋体" w:cs="宋体"/>
                <w:snapToGrid w:val="0"/>
                <w:szCs w:val="21"/>
                <w:highlight w:val="none"/>
              </w:rPr>
              <w:t>3.参加政府采购活动的投标人应提供中小企业应提供《中小企业声明函》；残疾人福利性单位应提供《残疾人福利性单位声明函》。</w:t>
            </w:r>
          </w:p>
          <w:p>
            <w:pPr>
              <w:spacing w:line="240" w:lineRule="auto"/>
              <w:ind w:firstLine="210" w:firstLineChars="100"/>
              <w:jc w:val="left"/>
              <w:rPr>
                <w:rFonts w:ascii="宋体" w:hAnsi="宋体" w:eastAsia="宋体" w:cs="宋体"/>
                <w:snapToGrid w:val="0"/>
                <w:szCs w:val="21"/>
                <w:highlight w:val="none"/>
              </w:rPr>
            </w:pPr>
            <w:r>
              <w:rPr>
                <w:rFonts w:hint="eastAsia" w:ascii="宋体" w:hAnsi="宋体" w:eastAsia="宋体" w:cs="宋体"/>
                <w:snapToGrid w:val="0"/>
                <w:szCs w:val="21"/>
                <w:highlight w:val="none"/>
              </w:rPr>
              <w:t>4.投标人为监狱企业的，提供由省级以上监狱管理局、戒毒管理局出具的投标人属于监狱企业的证明文件复印件。</w:t>
            </w:r>
          </w:p>
          <w:p>
            <w:pPr>
              <w:spacing w:line="240" w:lineRule="auto"/>
              <w:ind w:firstLine="210" w:firstLineChars="100"/>
              <w:jc w:val="left"/>
              <w:rPr>
                <w:rFonts w:ascii="宋体" w:hAnsi="宋体" w:eastAsia="宋体" w:cs="宋体"/>
                <w:szCs w:val="21"/>
                <w:highlight w:val="none"/>
              </w:rPr>
            </w:pPr>
            <w:r>
              <w:rPr>
                <w:rFonts w:hint="eastAsia" w:ascii="宋体" w:hAnsi="宋体" w:eastAsia="宋体" w:cs="宋体"/>
                <w:snapToGrid w:val="0"/>
                <w:szCs w:val="21"/>
                <w:highlight w:val="none"/>
              </w:rPr>
              <w:t>注：残疾人福利性单位和监狱企业属于小型、微型企业的，不重复享受政策。</w:t>
            </w:r>
          </w:p>
        </w:tc>
        <w:tc>
          <w:tcPr>
            <w:tcW w:w="850" w:type="dxa"/>
            <w:vAlign w:val="center"/>
          </w:tcPr>
          <w:p>
            <w:pPr>
              <w:spacing w:line="400" w:lineRule="atLeast"/>
              <w:rPr>
                <w:rFonts w:ascii="宋体" w:hAnsi="宋体" w:eastAsia="宋体" w:cs="宋体"/>
                <w:snapToGrid w:val="0"/>
                <w:szCs w:val="21"/>
                <w:highlight w:val="none"/>
              </w:rPr>
            </w:pPr>
            <w:r>
              <w:rPr>
                <w:rFonts w:hint="eastAsia" w:ascii="宋体" w:hAnsi="宋体" w:eastAsia="宋体" w:cs="宋体"/>
                <w:snapToGrid w:val="0"/>
                <w:szCs w:val="21"/>
                <w:highlight w:val="none"/>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5" w:hRule="atLeast"/>
        </w:trPr>
        <w:tc>
          <w:tcPr>
            <w:tcW w:w="709" w:type="dxa"/>
            <w:vAlign w:val="center"/>
          </w:tcPr>
          <w:p>
            <w:pPr>
              <w:spacing w:line="400" w:lineRule="atLeast"/>
              <w:jc w:val="center"/>
              <w:rPr>
                <w:rFonts w:ascii="宋体" w:hAnsi="宋体" w:eastAsia="宋体" w:cs="宋体"/>
                <w:szCs w:val="21"/>
                <w:highlight w:val="none"/>
              </w:rPr>
            </w:pPr>
            <w:r>
              <w:rPr>
                <w:rFonts w:hint="eastAsia" w:ascii="宋体" w:hAnsi="宋体" w:eastAsia="宋体" w:cs="宋体"/>
                <w:szCs w:val="21"/>
                <w:highlight w:val="none"/>
              </w:rPr>
              <w:t>2</w:t>
            </w:r>
          </w:p>
        </w:tc>
        <w:tc>
          <w:tcPr>
            <w:tcW w:w="1134" w:type="dxa"/>
            <w:vAlign w:val="center"/>
          </w:tcPr>
          <w:p>
            <w:pPr>
              <w:spacing w:line="400" w:lineRule="atLeast"/>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rPr>
              <w:t>技术参数</w:t>
            </w:r>
            <w:r>
              <w:rPr>
                <w:rFonts w:hint="eastAsia" w:ascii="宋体" w:hAnsi="宋体" w:eastAsia="宋体" w:cs="宋体"/>
                <w:szCs w:val="21"/>
                <w:highlight w:val="none"/>
                <w:lang w:val="en-US" w:eastAsia="zh-CN"/>
              </w:rPr>
              <w:t>15%</w:t>
            </w:r>
          </w:p>
        </w:tc>
        <w:tc>
          <w:tcPr>
            <w:tcW w:w="851" w:type="dxa"/>
            <w:vAlign w:val="center"/>
          </w:tcPr>
          <w:p>
            <w:pPr>
              <w:spacing w:line="400" w:lineRule="atLeast"/>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rPr>
              <w:t>技术参数</w:t>
            </w:r>
            <w:r>
              <w:rPr>
                <w:rFonts w:hint="eastAsia" w:ascii="宋体" w:hAnsi="宋体" w:eastAsia="宋体" w:cs="宋体"/>
                <w:szCs w:val="21"/>
                <w:highlight w:val="none"/>
                <w:lang w:val="en-US" w:eastAsia="zh-CN"/>
              </w:rPr>
              <w:t>15分</w:t>
            </w:r>
          </w:p>
        </w:tc>
        <w:tc>
          <w:tcPr>
            <w:tcW w:w="6237" w:type="dxa"/>
          </w:tcPr>
          <w:p>
            <w:pPr>
              <w:spacing w:line="400" w:lineRule="atLeast"/>
              <w:ind w:firstLine="210" w:firstLineChars="100"/>
              <w:jc w:val="left"/>
              <w:rPr>
                <w:rFonts w:ascii="宋体" w:hAnsi="宋体" w:eastAsia="宋体" w:cs="宋体"/>
                <w:snapToGrid w:val="0"/>
                <w:szCs w:val="21"/>
                <w:highlight w:val="none"/>
              </w:rPr>
            </w:pPr>
            <w:r>
              <w:rPr>
                <w:rFonts w:hint="eastAsia" w:ascii="宋体" w:hAnsi="宋体" w:eastAsia="宋体" w:cs="宋体"/>
                <w:snapToGrid w:val="0"/>
                <w:szCs w:val="21"/>
                <w:highlight w:val="none"/>
              </w:rPr>
              <w:t>投标产品的技术指标和配置要求：完全满足招标文件中第六章（二、技术参数及配置要求）“▲”一项的得</w:t>
            </w:r>
            <w:r>
              <w:rPr>
                <w:rFonts w:hint="eastAsia" w:ascii="宋体" w:hAnsi="宋体" w:eastAsia="宋体" w:cs="宋体"/>
                <w:snapToGrid w:val="0"/>
                <w:szCs w:val="21"/>
                <w:highlight w:val="none"/>
                <w:lang w:val="en-US" w:eastAsia="zh-CN"/>
              </w:rPr>
              <w:t>5</w:t>
            </w:r>
            <w:r>
              <w:rPr>
                <w:rFonts w:hint="eastAsia" w:ascii="宋体" w:hAnsi="宋体" w:eastAsia="宋体" w:cs="宋体"/>
                <w:snapToGrid w:val="0"/>
                <w:szCs w:val="21"/>
                <w:highlight w:val="none"/>
              </w:rPr>
              <w:t>分，“▲”要求参数共计</w:t>
            </w:r>
            <w:r>
              <w:rPr>
                <w:rFonts w:hint="eastAsia" w:ascii="宋体" w:hAnsi="宋体" w:eastAsia="宋体" w:cs="宋体"/>
                <w:snapToGrid w:val="0"/>
                <w:szCs w:val="21"/>
                <w:highlight w:val="none"/>
                <w:lang w:val="en-US" w:eastAsia="zh-CN"/>
              </w:rPr>
              <w:t>1</w:t>
            </w:r>
            <w:r>
              <w:rPr>
                <w:rFonts w:hint="eastAsia" w:ascii="宋体" w:hAnsi="宋体" w:eastAsia="宋体" w:cs="宋体"/>
                <w:snapToGrid w:val="0"/>
                <w:szCs w:val="21"/>
                <w:highlight w:val="none"/>
              </w:rPr>
              <w:t>项，最多得</w:t>
            </w:r>
            <w:r>
              <w:rPr>
                <w:rFonts w:hint="eastAsia" w:ascii="宋体" w:hAnsi="宋体" w:eastAsia="宋体" w:cs="宋体"/>
                <w:snapToGrid w:val="0"/>
                <w:szCs w:val="21"/>
                <w:highlight w:val="none"/>
                <w:lang w:val="en-US" w:eastAsia="zh-CN"/>
              </w:rPr>
              <w:t>5</w:t>
            </w:r>
            <w:r>
              <w:rPr>
                <w:rFonts w:hint="eastAsia" w:ascii="宋体" w:hAnsi="宋体" w:eastAsia="宋体" w:cs="宋体"/>
                <w:snapToGrid w:val="0"/>
                <w:szCs w:val="21"/>
                <w:highlight w:val="none"/>
              </w:rPr>
              <w:t>分；完全满足招标文件中第六章（二、技术参数及配置要求）中未带“▲”一项的得</w:t>
            </w:r>
            <w:r>
              <w:rPr>
                <w:rFonts w:hint="eastAsia" w:ascii="宋体" w:hAnsi="宋体" w:eastAsia="宋体" w:cs="宋体"/>
                <w:snapToGrid w:val="0"/>
                <w:szCs w:val="21"/>
                <w:highlight w:val="none"/>
                <w:lang w:val="en-US" w:eastAsia="zh-CN"/>
              </w:rPr>
              <w:t>1</w:t>
            </w:r>
            <w:r>
              <w:rPr>
                <w:rFonts w:hint="eastAsia" w:ascii="宋体" w:hAnsi="宋体" w:eastAsia="宋体" w:cs="宋体"/>
                <w:snapToGrid w:val="0"/>
                <w:szCs w:val="21"/>
                <w:highlight w:val="none"/>
              </w:rPr>
              <w:t>分，未带“▲”共</w:t>
            </w:r>
            <w:r>
              <w:rPr>
                <w:rFonts w:hint="eastAsia" w:ascii="宋体" w:hAnsi="宋体" w:eastAsia="宋体" w:cs="宋体"/>
                <w:snapToGrid w:val="0"/>
                <w:szCs w:val="21"/>
                <w:highlight w:val="none"/>
                <w:lang w:val="en-US" w:eastAsia="zh-CN"/>
              </w:rPr>
              <w:t>10</w:t>
            </w:r>
            <w:r>
              <w:rPr>
                <w:rFonts w:hint="eastAsia" w:ascii="宋体" w:hAnsi="宋体" w:eastAsia="宋体" w:cs="宋体"/>
                <w:snapToGrid w:val="0"/>
                <w:szCs w:val="21"/>
                <w:highlight w:val="none"/>
              </w:rPr>
              <w:t>项，最多得</w:t>
            </w:r>
            <w:r>
              <w:rPr>
                <w:rFonts w:hint="eastAsia" w:ascii="宋体" w:hAnsi="宋体" w:eastAsia="宋体" w:cs="宋体"/>
                <w:snapToGrid w:val="0"/>
                <w:szCs w:val="21"/>
                <w:highlight w:val="none"/>
                <w:lang w:val="en-US" w:eastAsia="zh-CN"/>
              </w:rPr>
              <w:t>10</w:t>
            </w:r>
            <w:r>
              <w:rPr>
                <w:rFonts w:hint="eastAsia" w:ascii="宋体" w:hAnsi="宋体" w:eastAsia="宋体" w:cs="宋体"/>
                <w:snapToGrid w:val="0"/>
                <w:szCs w:val="21"/>
                <w:highlight w:val="none"/>
              </w:rPr>
              <w:t>分。</w:t>
            </w:r>
          </w:p>
          <w:p>
            <w:pPr>
              <w:spacing w:line="400" w:lineRule="atLeast"/>
              <w:ind w:firstLine="210" w:firstLineChars="100"/>
              <w:jc w:val="left"/>
              <w:rPr>
                <w:rFonts w:ascii="宋体" w:hAnsi="宋体" w:eastAsia="宋体" w:cs="宋体"/>
                <w:snapToGrid w:val="0"/>
                <w:szCs w:val="21"/>
                <w:highlight w:val="none"/>
              </w:rPr>
            </w:pPr>
            <w:r>
              <w:rPr>
                <w:rFonts w:hint="eastAsia" w:ascii="宋体" w:hAnsi="宋体" w:eastAsia="宋体" w:cs="宋体"/>
                <w:snapToGrid w:val="0"/>
                <w:szCs w:val="21"/>
                <w:highlight w:val="none"/>
              </w:rPr>
              <w:t>注：带“▲”</w:t>
            </w:r>
            <w:r>
              <w:rPr>
                <w:rFonts w:hint="eastAsia" w:ascii="宋体" w:hAnsi="宋体" w:cs="宋体"/>
                <w:snapToGrid w:val="0"/>
                <w:szCs w:val="21"/>
                <w:highlight w:val="none"/>
                <w:lang w:val="en-US" w:eastAsia="zh-CN"/>
              </w:rPr>
              <w:t>参数</w:t>
            </w:r>
            <w:r>
              <w:rPr>
                <w:rFonts w:hint="eastAsia" w:ascii="宋体" w:hAnsi="宋体" w:eastAsia="宋体" w:cs="宋体"/>
                <w:snapToGrid w:val="0"/>
                <w:szCs w:val="21"/>
                <w:highlight w:val="none"/>
              </w:rPr>
              <w:t>按要求提供证明材料，加盖</w:t>
            </w:r>
            <w:r>
              <w:rPr>
                <w:rFonts w:hint="eastAsia" w:ascii="宋体" w:hAnsi="宋体" w:cs="宋体"/>
                <w:snapToGrid w:val="0"/>
                <w:szCs w:val="21"/>
                <w:highlight w:val="none"/>
                <w:lang w:val="en-US" w:eastAsia="zh-CN"/>
              </w:rPr>
              <w:t>投标人</w:t>
            </w:r>
            <w:r>
              <w:rPr>
                <w:rFonts w:hint="eastAsia" w:ascii="宋体" w:hAnsi="宋体" w:eastAsia="宋体" w:cs="宋体"/>
                <w:snapToGrid w:val="0"/>
                <w:szCs w:val="21"/>
                <w:highlight w:val="none"/>
              </w:rPr>
              <w:t>公章</w:t>
            </w:r>
            <w:r>
              <w:rPr>
                <w:rFonts w:hint="eastAsia" w:ascii="宋体" w:hAnsi="宋体" w:cs="宋体"/>
                <w:snapToGrid w:val="0"/>
                <w:szCs w:val="21"/>
                <w:highlight w:val="none"/>
                <w:lang w:eastAsia="zh-CN"/>
              </w:rPr>
              <w:t>，</w:t>
            </w:r>
            <w:r>
              <w:rPr>
                <w:rFonts w:hint="eastAsia" w:ascii="宋体" w:hAnsi="宋体" w:cs="宋体"/>
                <w:snapToGrid w:val="0"/>
                <w:szCs w:val="21"/>
                <w:highlight w:val="none"/>
                <w:lang w:val="en-US" w:eastAsia="zh-CN"/>
              </w:rPr>
              <w:t>未带</w:t>
            </w:r>
            <w:r>
              <w:rPr>
                <w:rFonts w:hint="eastAsia" w:ascii="宋体" w:hAnsi="宋体" w:eastAsia="宋体" w:cs="宋体"/>
                <w:snapToGrid w:val="0"/>
                <w:szCs w:val="21"/>
                <w:highlight w:val="none"/>
              </w:rPr>
              <w:t>“▲”</w:t>
            </w:r>
            <w:r>
              <w:rPr>
                <w:rFonts w:hint="eastAsia" w:ascii="宋体" w:hAnsi="宋体" w:cs="宋体"/>
                <w:snapToGrid w:val="0"/>
                <w:szCs w:val="21"/>
                <w:highlight w:val="none"/>
                <w:lang w:val="en-US" w:eastAsia="zh-CN"/>
              </w:rPr>
              <w:t>参数提供技术说明书加盖投标人公章</w:t>
            </w:r>
            <w:r>
              <w:rPr>
                <w:rFonts w:hint="eastAsia" w:ascii="宋体" w:hAnsi="宋体" w:eastAsia="宋体" w:cs="宋体"/>
                <w:snapToGrid w:val="0"/>
                <w:szCs w:val="21"/>
                <w:highlight w:val="none"/>
              </w:rPr>
              <w:t>。</w:t>
            </w:r>
          </w:p>
        </w:tc>
        <w:tc>
          <w:tcPr>
            <w:tcW w:w="850" w:type="dxa"/>
            <w:vAlign w:val="center"/>
          </w:tcPr>
          <w:p>
            <w:pPr>
              <w:spacing w:line="400" w:lineRule="atLeast"/>
              <w:jc w:val="center"/>
              <w:rPr>
                <w:rFonts w:ascii="宋体" w:hAnsi="宋体" w:eastAsia="宋体" w:cs="宋体"/>
                <w:snapToGrid w:val="0"/>
                <w:szCs w:val="21"/>
                <w:highlight w:val="none"/>
              </w:rPr>
            </w:pPr>
            <w:r>
              <w:rPr>
                <w:rFonts w:hint="eastAsia" w:ascii="宋体" w:hAnsi="宋体" w:eastAsia="宋体" w:cs="宋体"/>
                <w:snapToGrid w:val="0"/>
                <w:szCs w:val="21"/>
                <w:highlight w:val="none"/>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trPr>
        <w:tc>
          <w:tcPr>
            <w:tcW w:w="709" w:type="dxa"/>
            <w:vMerge w:val="restart"/>
            <w:vAlign w:val="center"/>
          </w:tcPr>
          <w:p>
            <w:pPr>
              <w:spacing w:line="400" w:lineRule="atLeast"/>
              <w:jc w:val="center"/>
              <w:rPr>
                <w:rFonts w:ascii="宋体" w:hAnsi="宋体" w:eastAsia="宋体" w:cs="宋体"/>
                <w:szCs w:val="21"/>
                <w:highlight w:val="none"/>
              </w:rPr>
            </w:pPr>
            <w:r>
              <w:rPr>
                <w:rFonts w:hint="eastAsia" w:ascii="宋体" w:hAnsi="宋体" w:eastAsia="宋体" w:cs="宋体"/>
                <w:szCs w:val="21"/>
                <w:highlight w:val="none"/>
              </w:rPr>
              <w:t>3</w:t>
            </w:r>
          </w:p>
        </w:tc>
        <w:tc>
          <w:tcPr>
            <w:tcW w:w="1134" w:type="dxa"/>
            <w:vMerge w:val="restart"/>
            <w:vAlign w:val="center"/>
          </w:tcPr>
          <w:p>
            <w:pPr>
              <w:spacing w:line="400" w:lineRule="atLeast"/>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rPr>
              <w:t>服务方案</w:t>
            </w:r>
            <w:r>
              <w:rPr>
                <w:rFonts w:hint="eastAsia" w:ascii="宋体" w:hAnsi="宋体" w:eastAsia="宋体" w:cs="宋体"/>
                <w:szCs w:val="21"/>
                <w:highlight w:val="none"/>
                <w:lang w:val="en-US" w:eastAsia="zh-CN"/>
              </w:rPr>
              <w:t>45%</w:t>
            </w:r>
          </w:p>
        </w:tc>
        <w:tc>
          <w:tcPr>
            <w:tcW w:w="851" w:type="dxa"/>
            <w:vAlign w:val="center"/>
          </w:tcPr>
          <w:p>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项目实施方案</w:t>
            </w:r>
          </w:p>
          <w:p>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15分</w:t>
            </w:r>
          </w:p>
        </w:tc>
        <w:tc>
          <w:tcPr>
            <w:tcW w:w="6237" w:type="dxa"/>
            <w:vAlign w:val="center"/>
          </w:tcPr>
          <w:p>
            <w:pPr>
              <w:spacing w:line="360" w:lineRule="auto"/>
              <w:ind w:firstLine="210" w:firstLineChars="100"/>
              <w:rPr>
                <w:rFonts w:ascii="宋体" w:hAnsi="宋体" w:eastAsia="宋体" w:cs="宋体"/>
                <w:szCs w:val="21"/>
                <w:highlight w:val="none"/>
              </w:rPr>
            </w:pPr>
            <w:r>
              <w:rPr>
                <w:rFonts w:hint="eastAsia" w:ascii="宋体" w:hAnsi="宋体" w:eastAsia="宋体" w:cs="宋体"/>
                <w:sz w:val="21"/>
                <w:szCs w:val="21"/>
                <w:highlight w:val="none"/>
              </w:rPr>
              <w:t>供应商提供项目实施方案：①</w:t>
            </w:r>
            <w:r>
              <w:rPr>
                <w:rFonts w:hint="eastAsia" w:ascii="宋体" w:hAnsi="宋体" w:cs="宋体"/>
                <w:sz w:val="21"/>
                <w:szCs w:val="21"/>
                <w:highlight w:val="none"/>
                <w:lang w:val="en-US" w:eastAsia="zh-CN"/>
              </w:rPr>
              <w:t>货源准备</w:t>
            </w:r>
            <w:r>
              <w:rPr>
                <w:rFonts w:hint="eastAsia" w:ascii="宋体" w:hAnsi="宋体" w:eastAsia="宋体" w:cs="宋体"/>
                <w:sz w:val="21"/>
                <w:szCs w:val="21"/>
                <w:highlight w:val="none"/>
              </w:rPr>
              <w:t>、②安装技术人员配备、③</w:t>
            </w:r>
            <w:r>
              <w:rPr>
                <w:rFonts w:hint="eastAsia" w:ascii="宋体" w:hAnsi="宋体" w:cs="宋体"/>
                <w:sz w:val="21"/>
                <w:szCs w:val="21"/>
                <w:highlight w:val="none"/>
                <w:lang w:val="en-US" w:eastAsia="zh-CN"/>
              </w:rPr>
              <w:t>安装</w:t>
            </w:r>
            <w:r>
              <w:rPr>
                <w:rFonts w:hint="eastAsia" w:ascii="宋体" w:hAnsi="宋体" w:eastAsia="宋体" w:cs="宋体"/>
                <w:sz w:val="21"/>
                <w:szCs w:val="21"/>
                <w:highlight w:val="none"/>
              </w:rPr>
              <w:t>机械设备配备、④安装调试、⑤项目实施进度时间安排方案进行阐述，方案完善、操作性强的得15分；每有一项缺失的扣3分，每有一项不完善或操作性不强的扣1.5分，本项最多得15分。</w:t>
            </w:r>
          </w:p>
        </w:tc>
        <w:tc>
          <w:tcPr>
            <w:tcW w:w="850" w:type="dxa"/>
            <w:vMerge w:val="restart"/>
            <w:vAlign w:val="center"/>
          </w:tcPr>
          <w:p>
            <w:pPr>
              <w:spacing w:line="400" w:lineRule="atLeast"/>
              <w:jc w:val="center"/>
              <w:rPr>
                <w:rFonts w:ascii="宋体" w:hAnsi="宋体" w:eastAsia="宋体" w:cs="宋体"/>
                <w:snapToGrid w:val="0"/>
                <w:szCs w:val="21"/>
                <w:highlight w:val="none"/>
              </w:rPr>
            </w:pPr>
            <w:r>
              <w:rPr>
                <w:rFonts w:hint="eastAsia" w:ascii="宋体" w:hAnsi="宋体" w:eastAsia="宋体" w:cs="宋体"/>
                <w:snapToGrid w:val="0"/>
                <w:szCs w:val="21"/>
                <w:highlight w:val="none"/>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trPr>
        <w:tc>
          <w:tcPr>
            <w:tcW w:w="709" w:type="dxa"/>
            <w:vMerge w:val="continue"/>
            <w:vAlign w:val="center"/>
          </w:tcPr>
          <w:p>
            <w:pPr>
              <w:spacing w:line="400" w:lineRule="atLeast"/>
              <w:jc w:val="center"/>
              <w:rPr>
                <w:rFonts w:ascii="宋体" w:hAnsi="宋体" w:eastAsia="宋体" w:cs="宋体"/>
                <w:szCs w:val="21"/>
                <w:highlight w:val="none"/>
              </w:rPr>
            </w:pPr>
          </w:p>
        </w:tc>
        <w:tc>
          <w:tcPr>
            <w:tcW w:w="1134" w:type="dxa"/>
            <w:vMerge w:val="continue"/>
            <w:vAlign w:val="center"/>
          </w:tcPr>
          <w:p>
            <w:pPr>
              <w:spacing w:line="400" w:lineRule="atLeast"/>
              <w:jc w:val="center"/>
              <w:rPr>
                <w:rFonts w:ascii="宋体" w:hAnsi="宋体" w:eastAsia="宋体" w:cs="宋体"/>
                <w:szCs w:val="21"/>
                <w:highlight w:val="none"/>
              </w:rPr>
            </w:pPr>
          </w:p>
        </w:tc>
        <w:tc>
          <w:tcPr>
            <w:tcW w:w="851" w:type="dxa"/>
            <w:vAlign w:val="center"/>
          </w:tcPr>
          <w:p>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质量保障方案9分</w:t>
            </w:r>
          </w:p>
        </w:tc>
        <w:tc>
          <w:tcPr>
            <w:tcW w:w="6237" w:type="dxa"/>
            <w:vAlign w:val="center"/>
          </w:tcPr>
          <w:p>
            <w:pPr>
              <w:spacing w:line="360" w:lineRule="auto"/>
              <w:ind w:firstLine="210" w:firstLineChars="100"/>
              <w:rPr>
                <w:rFonts w:ascii="宋体" w:hAnsi="宋体" w:eastAsia="宋体" w:cs="宋体"/>
                <w:sz w:val="21"/>
                <w:szCs w:val="21"/>
                <w:highlight w:val="none"/>
              </w:rPr>
            </w:pPr>
            <w:r>
              <w:rPr>
                <w:rFonts w:hint="eastAsia" w:ascii="宋体" w:hAnsi="宋体" w:eastAsia="宋体" w:cs="宋体"/>
                <w:sz w:val="21"/>
                <w:szCs w:val="21"/>
                <w:highlight w:val="none"/>
              </w:rPr>
              <w:t>供应商提供质量保障方案：①质量保障目标、②质量保障管理制度、③质量控制技术措施进行阐述，方案完善、操作性强的得9分；每有一项缺失的扣3分，每有一项不完善或操作性不强的扣1.5分，本项最多得9分。</w:t>
            </w:r>
          </w:p>
        </w:tc>
        <w:tc>
          <w:tcPr>
            <w:tcW w:w="850" w:type="dxa"/>
            <w:vMerge w:val="continue"/>
            <w:vAlign w:val="center"/>
          </w:tcPr>
          <w:p>
            <w:pPr>
              <w:spacing w:line="400" w:lineRule="atLeast"/>
              <w:jc w:val="center"/>
              <w:rPr>
                <w:rFonts w:ascii="宋体" w:hAnsi="宋体" w:eastAsia="宋体" w:cs="宋体"/>
                <w:snapToGrid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trPr>
        <w:tc>
          <w:tcPr>
            <w:tcW w:w="709" w:type="dxa"/>
            <w:vMerge w:val="continue"/>
            <w:vAlign w:val="center"/>
          </w:tcPr>
          <w:p>
            <w:pPr>
              <w:spacing w:line="400" w:lineRule="atLeast"/>
              <w:jc w:val="center"/>
              <w:rPr>
                <w:rFonts w:ascii="宋体" w:hAnsi="宋体" w:eastAsia="宋体" w:cs="宋体"/>
                <w:szCs w:val="21"/>
                <w:highlight w:val="none"/>
              </w:rPr>
            </w:pPr>
          </w:p>
        </w:tc>
        <w:tc>
          <w:tcPr>
            <w:tcW w:w="1134" w:type="dxa"/>
            <w:vMerge w:val="continue"/>
            <w:vAlign w:val="center"/>
          </w:tcPr>
          <w:p>
            <w:pPr>
              <w:spacing w:line="400" w:lineRule="atLeast"/>
              <w:jc w:val="center"/>
              <w:rPr>
                <w:rFonts w:ascii="宋体" w:hAnsi="宋体" w:eastAsia="宋体" w:cs="宋体"/>
                <w:szCs w:val="21"/>
                <w:highlight w:val="none"/>
              </w:rPr>
            </w:pPr>
          </w:p>
        </w:tc>
        <w:tc>
          <w:tcPr>
            <w:tcW w:w="851" w:type="dxa"/>
            <w:vAlign w:val="center"/>
          </w:tcPr>
          <w:p>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售后服务方案9分</w:t>
            </w:r>
          </w:p>
        </w:tc>
        <w:tc>
          <w:tcPr>
            <w:tcW w:w="6237" w:type="dxa"/>
            <w:vAlign w:val="center"/>
          </w:tcPr>
          <w:p>
            <w:pPr>
              <w:spacing w:line="360" w:lineRule="auto"/>
              <w:ind w:firstLine="210" w:firstLineChars="100"/>
              <w:rPr>
                <w:rFonts w:ascii="宋体" w:hAnsi="宋体" w:eastAsia="宋体" w:cs="宋体"/>
                <w:sz w:val="21"/>
                <w:szCs w:val="21"/>
                <w:highlight w:val="none"/>
              </w:rPr>
            </w:pPr>
            <w:r>
              <w:rPr>
                <w:rFonts w:hint="eastAsia" w:ascii="宋体" w:hAnsi="宋体" w:eastAsia="宋体" w:cs="宋体"/>
                <w:sz w:val="21"/>
                <w:szCs w:val="21"/>
                <w:highlight w:val="none"/>
              </w:rPr>
              <w:t>供应商提供售后服务方案：①售后服务管理制度、②售后服务</w:t>
            </w:r>
            <w:r>
              <w:rPr>
                <w:rFonts w:hint="eastAsia" w:ascii="宋体" w:hAnsi="宋体" w:cs="宋体"/>
                <w:sz w:val="21"/>
                <w:szCs w:val="21"/>
                <w:highlight w:val="none"/>
                <w:lang w:val="en-US" w:eastAsia="zh-CN"/>
              </w:rPr>
              <w:t>人员安排</w:t>
            </w:r>
            <w:r>
              <w:rPr>
                <w:rFonts w:hint="eastAsia" w:ascii="宋体" w:hAnsi="宋体" w:eastAsia="宋体" w:cs="宋体"/>
                <w:sz w:val="21"/>
                <w:szCs w:val="21"/>
                <w:highlight w:val="none"/>
              </w:rPr>
              <w:t>、③</w:t>
            </w:r>
            <w:r>
              <w:rPr>
                <w:rFonts w:hint="eastAsia" w:ascii="宋体" w:hAnsi="宋体" w:eastAsia="宋体" w:cs="宋体"/>
                <w:szCs w:val="21"/>
                <w:highlight w:val="none"/>
              </w:rPr>
              <w:t>售后服务技术保障及承诺</w:t>
            </w:r>
            <w:r>
              <w:rPr>
                <w:rFonts w:hint="eastAsia" w:ascii="宋体" w:hAnsi="宋体" w:eastAsia="宋体" w:cs="宋体"/>
                <w:sz w:val="21"/>
                <w:szCs w:val="21"/>
                <w:highlight w:val="none"/>
              </w:rPr>
              <w:t>方案进行阐述，方案完善、操作性强的得9分；每有一项缺失的扣3分，每有一项不完善或操作性不强的扣1.5分，本项最多得9分。</w:t>
            </w:r>
          </w:p>
        </w:tc>
        <w:tc>
          <w:tcPr>
            <w:tcW w:w="850" w:type="dxa"/>
            <w:vMerge w:val="continue"/>
            <w:vAlign w:val="center"/>
          </w:tcPr>
          <w:p>
            <w:pPr>
              <w:spacing w:line="400" w:lineRule="atLeast"/>
              <w:jc w:val="center"/>
              <w:rPr>
                <w:rFonts w:ascii="宋体" w:hAnsi="宋体" w:eastAsia="宋体" w:cs="宋体"/>
                <w:snapToGrid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trPr>
        <w:tc>
          <w:tcPr>
            <w:tcW w:w="709" w:type="dxa"/>
            <w:vMerge w:val="continue"/>
            <w:vAlign w:val="center"/>
          </w:tcPr>
          <w:p>
            <w:pPr>
              <w:spacing w:line="400" w:lineRule="atLeast"/>
              <w:jc w:val="center"/>
              <w:rPr>
                <w:rFonts w:ascii="宋体" w:hAnsi="宋体" w:eastAsia="宋体" w:cs="宋体"/>
                <w:szCs w:val="21"/>
                <w:highlight w:val="none"/>
              </w:rPr>
            </w:pPr>
          </w:p>
        </w:tc>
        <w:tc>
          <w:tcPr>
            <w:tcW w:w="1134" w:type="dxa"/>
            <w:vMerge w:val="continue"/>
            <w:vAlign w:val="center"/>
          </w:tcPr>
          <w:p>
            <w:pPr>
              <w:spacing w:line="400" w:lineRule="atLeast"/>
              <w:jc w:val="center"/>
              <w:rPr>
                <w:rFonts w:ascii="宋体" w:hAnsi="宋体" w:eastAsia="宋体" w:cs="宋体"/>
                <w:szCs w:val="21"/>
                <w:highlight w:val="none"/>
              </w:rPr>
            </w:pPr>
          </w:p>
        </w:tc>
        <w:tc>
          <w:tcPr>
            <w:tcW w:w="851" w:type="dxa"/>
            <w:vAlign w:val="center"/>
          </w:tcPr>
          <w:p>
            <w:pPr>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培训服务方案12分</w:t>
            </w:r>
          </w:p>
        </w:tc>
        <w:tc>
          <w:tcPr>
            <w:tcW w:w="6237" w:type="dxa"/>
            <w:vAlign w:val="center"/>
          </w:tcPr>
          <w:p>
            <w:pPr>
              <w:spacing w:line="360" w:lineRule="auto"/>
              <w:ind w:firstLine="210" w:firstLineChars="100"/>
              <w:rPr>
                <w:rFonts w:ascii="宋体" w:hAnsi="宋体" w:eastAsia="宋体" w:cs="宋体"/>
                <w:sz w:val="21"/>
                <w:szCs w:val="21"/>
                <w:highlight w:val="none"/>
              </w:rPr>
            </w:pPr>
            <w:r>
              <w:rPr>
                <w:rFonts w:hint="eastAsia" w:ascii="宋体" w:hAnsi="宋体" w:eastAsia="宋体" w:cs="宋体"/>
                <w:sz w:val="21"/>
                <w:szCs w:val="21"/>
                <w:highlight w:val="none"/>
              </w:rPr>
              <w:t>供应商提供培训服务方案：①培训管理制度、②培训人员安排、③</w:t>
            </w:r>
            <w:r>
              <w:rPr>
                <w:rFonts w:hint="eastAsia" w:ascii="宋体" w:hAnsi="宋体" w:eastAsia="宋体" w:cs="宋体"/>
                <w:szCs w:val="21"/>
                <w:highlight w:val="none"/>
              </w:rPr>
              <w:t>培训计划④培训方式</w:t>
            </w:r>
            <w:r>
              <w:rPr>
                <w:rFonts w:hint="eastAsia" w:ascii="宋体" w:hAnsi="宋体" w:eastAsia="宋体" w:cs="宋体"/>
                <w:szCs w:val="21"/>
                <w:highlight w:val="none"/>
                <w:lang w:val="en-US" w:eastAsia="zh-CN"/>
              </w:rPr>
              <w:t>及内容</w:t>
            </w:r>
            <w:r>
              <w:rPr>
                <w:rFonts w:hint="eastAsia" w:ascii="宋体" w:hAnsi="宋体" w:eastAsia="宋体" w:cs="宋体"/>
                <w:sz w:val="21"/>
                <w:szCs w:val="21"/>
                <w:highlight w:val="none"/>
              </w:rPr>
              <w:t>进行阐述，方案完善、操作性强的得12分；每有一项缺失的扣3分，每有一项不完善或操作性不强的扣1.5分，本项最多得12分。</w:t>
            </w:r>
          </w:p>
        </w:tc>
        <w:tc>
          <w:tcPr>
            <w:tcW w:w="850" w:type="dxa"/>
            <w:vMerge w:val="continue"/>
            <w:vAlign w:val="center"/>
          </w:tcPr>
          <w:p>
            <w:pPr>
              <w:spacing w:line="400" w:lineRule="atLeast"/>
              <w:jc w:val="center"/>
              <w:rPr>
                <w:rFonts w:ascii="宋体" w:hAnsi="宋体" w:eastAsia="宋体" w:cs="宋体"/>
                <w:snapToGrid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3" w:hRule="atLeast"/>
        </w:trPr>
        <w:tc>
          <w:tcPr>
            <w:tcW w:w="709" w:type="dxa"/>
            <w:tcBorders>
              <w:top w:val="single" w:color="auto" w:sz="4" w:space="0"/>
              <w:left w:val="single" w:color="auto" w:sz="4" w:space="0"/>
              <w:right w:val="single" w:color="auto" w:sz="4" w:space="0"/>
            </w:tcBorders>
            <w:vAlign w:val="center"/>
          </w:tcPr>
          <w:p>
            <w:pPr>
              <w:spacing w:line="400" w:lineRule="atLeast"/>
              <w:jc w:val="center"/>
              <w:rPr>
                <w:rFonts w:ascii="宋体" w:hAnsi="宋体" w:eastAsia="宋体" w:cs="宋体"/>
                <w:szCs w:val="21"/>
                <w:highlight w:val="none"/>
              </w:rPr>
            </w:pPr>
            <w:r>
              <w:rPr>
                <w:rFonts w:hint="eastAsia" w:ascii="宋体" w:hAnsi="宋体" w:eastAsia="宋体" w:cs="宋体"/>
                <w:szCs w:val="21"/>
                <w:highlight w:val="none"/>
              </w:rPr>
              <w:t>4</w:t>
            </w:r>
          </w:p>
        </w:tc>
        <w:tc>
          <w:tcPr>
            <w:tcW w:w="1134" w:type="dxa"/>
            <w:tcBorders>
              <w:top w:val="single" w:color="auto" w:sz="4" w:space="0"/>
              <w:left w:val="single" w:color="auto" w:sz="4" w:space="0"/>
              <w:right w:val="single" w:color="auto" w:sz="4" w:space="0"/>
            </w:tcBorders>
            <w:vAlign w:val="center"/>
          </w:tcPr>
          <w:p>
            <w:pPr>
              <w:snapToGrid w:val="0"/>
              <w:spacing w:line="400" w:lineRule="atLeast"/>
              <w:jc w:val="center"/>
              <w:rPr>
                <w:rFonts w:ascii="宋体" w:hAnsi="宋体" w:eastAsia="宋体" w:cs="宋体"/>
                <w:szCs w:val="21"/>
                <w:highlight w:val="none"/>
              </w:rPr>
            </w:pPr>
            <w:r>
              <w:rPr>
                <w:rFonts w:hint="eastAsia" w:ascii="宋体" w:hAnsi="宋体" w:eastAsia="宋体" w:cs="宋体"/>
                <w:szCs w:val="21"/>
                <w:highlight w:val="none"/>
              </w:rPr>
              <w:t>履约能力</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w:t>
            </w:r>
          </w:p>
        </w:tc>
        <w:tc>
          <w:tcPr>
            <w:tcW w:w="851" w:type="dxa"/>
            <w:tcBorders>
              <w:top w:val="single" w:color="auto" w:sz="4" w:space="0"/>
              <w:left w:val="single" w:color="auto" w:sz="4" w:space="0"/>
              <w:right w:val="single" w:color="auto" w:sz="4" w:space="0"/>
            </w:tcBorders>
            <w:vAlign w:val="center"/>
          </w:tcPr>
          <w:p>
            <w:pPr>
              <w:snapToGrid w:val="0"/>
              <w:spacing w:line="400" w:lineRule="atLeast"/>
              <w:jc w:val="center"/>
              <w:rPr>
                <w:rFonts w:ascii="宋体" w:hAnsi="宋体" w:eastAsia="宋体" w:cs="宋体"/>
                <w:szCs w:val="21"/>
                <w:highlight w:val="none"/>
              </w:rPr>
            </w:pPr>
            <w:r>
              <w:rPr>
                <w:rFonts w:hint="eastAsia" w:ascii="宋体" w:hAnsi="宋体" w:eastAsia="宋体" w:cs="宋体"/>
                <w:szCs w:val="21"/>
                <w:highlight w:val="none"/>
              </w:rPr>
              <w:t>业绩</w:t>
            </w:r>
          </w:p>
          <w:p>
            <w:pPr>
              <w:snapToGrid w:val="0"/>
              <w:spacing w:line="400" w:lineRule="atLeast"/>
              <w:jc w:val="center"/>
              <w:rPr>
                <w:rFonts w:ascii="宋体" w:hAnsi="宋体" w:eastAsia="宋体" w:cs="宋体"/>
                <w:szCs w:val="21"/>
                <w:highlight w:val="none"/>
              </w:rPr>
            </w:pP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分</w:t>
            </w:r>
          </w:p>
        </w:tc>
        <w:tc>
          <w:tcPr>
            <w:tcW w:w="6237" w:type="dxa"/>
            <w:tcBorders>
              <w:top w:val="single" w:color="auto" w:sz="4" w:space="0"/>
              <w:left w:val="single" w:color="auto" w:sz="4" w:space="0"/>
              <w:right w:val="single" w:color="auto" w:sz="4" w:space="0"/>
            </w:tcBorders>
          </w:tcPr>
          <w:p>
            <w:pPr>
              <w:spacing w:line="400" w:lineRule="atLeast"/>
              <w:ind w:firstLine="210" w:firstLineChars="100"/>
              <w:rPr>
                <w:rFonts w:ascii="宋体" w:hAnsi="宋体" w:eastAsia="宋体" w:cs="宋体"/>
                <w:szCs w:val="21"/>
                <w:highlight w:val="none"/>
              </w:rPr>
            </w:pPr>
            <w:r>
              <w:rPr>
                <w:rFonts w:hint="eastAsia" w:ascii="宋体" w:hAnsi="宋体" w:eastAsia="宋体" w:cs="宋体"/>
                <w:szCs w:val="21"/>
                <w:highlight w:val="none"/>
              </w:rPr>
              <w:t>供应商自2018年1月1日</w:t>
            </w:r>
            <w:r>
              <w:rPr>
                <w:rFonts w:hint="eastAsia" w:ascii="宋体" w:hAnsi="宋体" w:eastAsia="宋体" w:cs="宋体"/>
                <w:szCs w:val="21"/>
                <w:highlight w:val="none"/>
                <w:lang w:val="en-US" w:eastAsia="zh-CN"/>
              </w:rPr>
              <w:t>投标截止之日</w:t>
            </w:r>
            <w:r>
              <w:rPr>
                <w:rFonts w:hint="eastAsia" w:ascii="宋体" w:hAnsi="宋体" w:eastAsia="宋体" w:cs="宋体"/>
                <w:szCs w:val="21"/>
                <w:highlight w:val="none"/>
              </w:rPr>
              <w:t>每具有一个类似业绩的得</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分，本项最多得</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分。</w:t>
            </w:r>
          </w:p>
          <w:p>
            <w:pPr>
              <w:spacing w:line="400" w:lineRule="atLeast"/>
              <w:ind w:firstLine="210" w:firstLineChars="100"/>
              <w:rPr>
                <w:rFonts w:ascii="宋体" w:hAnsi="宋体" w:eastAsia="宋体" w:cs="宋体"/>
                <w:highlight w:val="none"/>
              </w:rPr>
            </w:pPr>
            <w:r>
              <w:rPr>
                <w:rFonts w:hint="eastAsia" w:ascii="宋体" w:hAnsi="宋体" w:eastAsia="宋体" w:cs="宋体"/>
                <w:szCs w:val="21"/>
                <w:highlight w:val="none"/>
              </w:rPr>
              <w:t>注：以合同签订时间为准，提供合同复印件并加盖</w:t>
            </w:r>
            <w:r>
              <w:rPr>
                <w:rFonts w:hint="eastAsia" w:ascii="宋体" w:hAnsi="宋体" w:cs="宋体"/>
                <w:szCs w:val="21"/>
                <w:highlight w:val="none"/>
                <w:lang w:val="en-US" w:eastAsia="zh-CN"/>
              </w:rPr>
              <w:t>投标人</w:t>
            </w:r>
            <w:r>
              <w:rPr>
                <w:rFonts w:hint="eastAsia" w:ascii="宋体" w:hAnsi="宋体" w:eastAsia="宋体" w:cs="宋体"/>
                <w:szCs w:val="21"/>
                <w:highlight w:val="none"/>
              </w:rPr>
              <w:t>公章.</w:t>
            </w:r>
          </w:p>
        </w:tc>
        <w:tc>
          <w:tcPr>
            <w:tcW w:w="850" w:type="dxa"/>
            <w:tcBorders>
              <w:top w:val="single" w:color="auto" w:sz="4" w:space="0"/>
              <w:left w:val="single" w:color="auto" w:sz="4" w:space="0"/>
              <w:right w:val="single" w:color="auto" w:sz="4" w:space="0"/>
            </w:tcBorders>
            <w:vAlign w:val="center"/>
          </w:tcPr>
          <w:p>
            <w:pPr>
              <w:snapToGrid w:val="0"/>
              <w:spacing w:line="400" w:lineRule="atLeast"/>
              <w:rPr>
                <w:rFonts w:ascii="宋体" w:hAnsi="宋体" w:eastAsia="宋体" w:cs="宋体"/>
                <w:snapToGrid w:val="0"/>
                <w:szCs w:val="21"/>
                <w:highlight w:val="none"/>
              </w:rPr>
            </w:pPr>
            <w:r>
              <w:rPr>
                <w:rFonts w:hint="eastAsia" w:ascii="宋体" w:hAnsi="宋体" w:eastAsia="宋体" w:cs="宋体"/>
                <w:snapToGrid w:val="0"/>
                <w:szCs w:val="21"/>
                <w:highlight w:val="none"/>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9" w:hRule="atLeast"/>
        </w:trPr>
        <w:tc>
          <w:tcPr>
            <w:tcW w:w="709" w:type="dxa"/>
            <w:tcBorders>
              <w:top w:val="single" w:color="auto" w:sz="4" w:space="0"/>
              <w:left w:val="single" w:color="auto" w:sz="4" w:space="0"/>
              <w:right w:val="single" w:color="auto" w:sz="4" w:space="0"/>
            </w:tcBorders>
            <w:vAlign w:val="center"/>
          </w:tcPr>
          <w:p>
            <w:pPr>
              <w:spacing w:line="400" w:lineRule="atLeast"/>
              <w:jc w:val="center"/>
              <w:rPr>
                <w:rFonts w:ascii="宋体" w:hAnsi="宋体" w:eastAsia="宋体" w:cs="宋体"/>
                <w:szCs w:val="21"/>
                <w:highlight w:val="none"/>
              </w:rPr>
            </w:pPr>
            <w:r>
              <w:rPr>
                <w:rFonts w:hint="eastAsia" w:ascii="宋体" w:hAnsi="宋体" w:eastAsia="宋体" w:cs="宋体"/>
                <w:szCs w:val="21"/>
                <w:highlight w:val="none"/>
              </w:rPr>
              <w:t>7</w:t>
            </w:r>
          </w:p>
        </w:tc>
        <w:tc>
          <w:tcPr>
            <w:tcW w:w="1134" w:type="dxa"/>
            <w:tcBorders>
              <w:top w:val="single" w:color="auto" w:sz="4" w:space="0"/>
              <w:left w:val="single" w:color="auto" w:sz="4" w:space="0"/>
              <w:right w:val="single" w:color="auto" w:sz="4" w:space="0"/>
            </w:tcBorders>
            <w:vAlign w:val="center"/>
          </w:tcPr>
          <w:p>
            <w:pPr>
              <w:snapToGrid w:val="0"/>
              <w:spacing w:line="400" w:lineRule="atLeast"/>
              <w:jc w:val="center"/>
              <w:rPr>
                <w:rFonts w:ascii="宋体" w:hAnsi="宋体" w:eastAsia="宋体" w:cs="宋体"/>
                <w:szCs w:val="21"/>
                <w:highlight w:val="none"/>
              </w:rPr>
            </w:pPr>
            <w:r>
              <w:rPr>
                <w:rFonts w:hint="eastAsia" w:ascii="宋体" w:hAnsi="宋体" w:eastAsia="宋体" w:cs="宋体"/>
                <w:szCs w:val="21"/>
                <w:highlight w:val="none"/>
              </w:rPr>
              <w:t>节能、环境标志、无线局域网产品</w:t>
            </w:r>
          </w:p>
          <w:p>
            <w:pPr>
              <w:snapToGrid w:val="0"/>
              <w:spacing w:line="400" w:lineRule="atLeast"/>
              <w:jc w:val="center"/>
              <w:rPr>
                <w:rFonts w:ascii="宋体" w:hAnsi="宋体" w:eastAsia="宋体" w:cs="宋体"/>
                <w:szCs w:val="21"/>
                <w:highlight w:val="none"/>
              </w:rPr>
            </w:pPr>
            <w:r>
              <w:rPr>
                <w:rFonts w:hint="eastAsia" w:ascii="宋体" w:hAnsi="宋体" w:eastAsia="宋体" w:cs="宋体"/>
                <w:szCs w:val="21"/>
                <w:highlight w:val="none"/>
              </w:rPr>
              <w:t>2%</w:t>
            </w:r>
          </w:p>
        </w:tc>
        <w:tc>
          <w:tcPr>
            <w:tcW w:w="851" w:type="dxa"/>
            <w:tcBorders>
              <w:top w:val="single" w:color="auto" w:sz="4" w:space="0"/>
              <w:left w:val="single" w:color="auto" w:sz="4" w:space="0"/>
              <w:right w:val="single" w:color="auto" w:sz="4" w:space="0"/>
            </w:tcBorders>
            <w:vAlign w:val="center"/>
          </w:tcPr>
          <w:p>
            <w:pPr>
              <w:snapToGrid w:val="0"/>
              <w:spacing w:line="400" w:lineRule="atLeast"/>
              <w:jc w:val="center"/>
              <w:rPr>
                <w:rFonts w:ascii="宋体" w:hAnsi="宋体" w:eastAsia="宋体" w:cs="宋体"/>
                <w:szCs w:val="21"/>
                <w:highlight w:val="none"/>
              </w:rPr>
            </w:pPr>
            <w:r>
              <w:rPr>
                <w:rFonts w:hint="eastAsia" w:ascii="宋体" w:hAnsi="宋体" w:eastAsia="宋体" w:cs="宋体"/>
                <w:szCs w:val="21"/>
                <w:highlight w:val="none"/>
              </w:rPr>
              <w:t>节能、环境标志、无线局域网产品</w:t>
            </w:r>
          </w:p>
          <w:p>
            <w:pPr>
              <w:snapToGrid w:val="0"/>
              <w:spacing w:line="400" w:lineRule="atLeast"/>
              <w:jc w:val="center"/>
              <w:rPr>
                <w:rFonts w:ascii="宋体" w:hAnsi="宋体" w:eastAsia="宋体" w:cs="宋体"/>
                <w:szCs w:val="21"/>
                <w:highlight w:val="none"/>
              </w:rPr>
            </w:pPr>
            <w:r>
              <w:rPr>
                <w:rFonts w:hint="eastAsia" w:ascii="宋体" w:hAnsi="宋体" w:eastAsia="宋体" w:cs="宋体"/>
                <w:szCs w:val="21"/>
                <w:highlight w:val="none"/>
              </w:rPr>
              <w:t>2分</w:t>
            </w:r>
          </w:p>
        </w:tc>
        <w:tc>
          <w:tcPr>
            <w:tcW w:w="6237" w:type="dxa"/>
            <w:tcBorders>
              <w:top w:val="single" w:color="auto" w:sz="4" w:space="0"/>
              <w:left w:val="single" w:color="auto" w:sz="4" w:space="0"/>
              <w:right w:val="single" w:color="auto" w:sz="4" w:space="0"/>
            </w:tcBorders>
          </w:tcPr>
          <w:p>
            <w:pPr>
              <w:snapToGrid w:val="0"/>
              <w:spacing w:line="400" w:lineRule="atLeast"/>
              <w:ind w:firstLine="210" w:firstLineChars="100"/>
              <w:rPr>
                <w:rFonts w:ascii="宋体" w:hAnsi="宋体" w:eastAsia="宋体" w:cs="宋体"/>
                <w:szCs w:val="21"/>
                <w:highlight w:val="none"/>
              </w:rPr>
            </w:pPr>
            <w:r>
              <w:rPr>
                <w:rFonts w:hint="eastAsia" w:ascii="宋体" w:hAnsi="宋体" w:eastAsia="宋体" w:cs="宋体"/>
                <w:szCs w:val="21"/>
                <w:highlight w:val="none"/>
              </w:rPr>
              <w:t>投标产品中属于国家优先采购范围的，则每有一项为政府采购节能产品或者环境标志产品、无线局域网产品的得 1分，非政府采购节能、环境标志产品、无线局域网产品的不得分。本项最多得2分。</w:t>
            </w:r>
          </w:p>
          <w:p>
            <w:pPr>
              <w:snapToGrid w:val="0"/>
              <w:spacing w:line="400" w:lineRule="atLeast"/>
              <w:ind w:firstLine="210" w:firstLineChars="100"/>
              <w:rPr>
                <w:rFonts w:ascii="宋体" w:hAnsi="宋体" w:eastAsia="宋体" w:cs="宋体"/>
                <w:szCs w:val="21"/>
                <w:highlight w:val="none"/>
              </w:rPr>
            </w:pPr>
            <w:r>
              <w:rPr>
                <w:rFonts w:hint="eastAsia" w:ascii="宋体" w:hAnsi="宋体" w:eastAsia="宋体" w:cs="宋体"/>
                <w:szCs w:val="21"/>
                <w:highlight w:val="none"/>
              </w:rPr>
              <w:t>注：1、按照《关于调整优化节能产品、环境标志产品政府采购执行机制的通知》（财库〔2019〕9 号）、《关于印发环境标志产品政府采购品目清单的通知》财库〔2019〕18号、《关于印发节能产品政府采购品目清单的通知》财库〔2019〕19号的规定，属于政府优先采购的品目清单范围的，提供国家确定的认证机构出具的、处于有效期之内的节能产品、环境标志产品认证证书复印件加盖公章。</w:t>
            </w:r>
          </w:p>
          <w:p>
            <w:pPr>
              <w:snapToGrid w:val="0"/>
              <w:spacing w:line="400" w:lineRule="atLeast"/>
              <w:ind w:firstLine="210" w:firstLineChars="100"/>
              <w:rPr>
                <w:rFonts w:ascii="宋体" w:hAnsi="宋体" w:eastAsia="宋体" w:cs="宋体"/>
                <w:b/>
                <w:bCs/>
                <w:szCs w:val="21"/>
                <w:highlight w:val="none"/>
              </w:rPr>
            </w:pPr>
            <w:r>
              <w:rPr>
                <w:rFonts w:hint="eastAsia" w:ascii="宋体" w:hAnsi="宋体" w:eastAsia="宋体" w:cs="宋体"/>
                <w:szCs w:val="21"/>
                <w:highlight w:val="none"/>
              </w:rPr>
              <w:t>2、无线局域网产品以《中国政府采购网》最新颁布清单为准提供证书复印件加盖公章。</w:t>
            </w:r>
          </w:p>
        </w:tc>
        <w:tc>
          <w:tcPr>
            <w:tcW w:w="850" w:type="dxa"/>
            <w:tcBorders>
              <w:top w:val="single" w:color="auto" w:sz="4" w:space="0"/>
              <w:left w:val="single" w:color="auto" w:sz="4" w:space="0"/>
              <w:right w:val="single" w:color="auto" w:sz="4" w:space="0"/>
            </w:tcBorders>
            <w:vAlign w:val="center"/>
          </w:tcPr>
          <w:p>
            <w:pPr>
              <w:snapToGrid w:val="0"/>
              <w:spacing w:line="400" w:lineRule="atLeast"/>
              <w:jc w:val="center"/>
              <w:rPr>
                <w:rFonts w:ascii="宋体" w:hAnsi="宋体" w:eastAsia="宋体" w:cs="宋体"/>
                <w:snapToGrid w:val="0"/>
                <w:szCs w:val="21"/>
                <w:highlight w:val="none"/>
              </w:rPr>
            </w:pPr>
            <w:r>
              <w:rPr>
                <w:rFonts w:hint="eastAsia" w:ascii="宋体" w:hAnsi="宋体" w:eastAsia="宋体" w:cs="宋体"/>
                <w:snapToGrid w:val="0"/>
                <w:szCs w:val="21"/>
                <w:highlight w:val="none"/>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hAnsi="宋体" w:eastAsia="宋体" w:cs="宋体"/>
                <w:szCs w:val="21"/>
                <w:highlight w:val="none"/>
              </w:rPr>
            </w:pPr>
            <w:r>
              <w:rPr>
                <w:rFonts w:hint="eastAsia" w:ascii="宋体" w:hAnsi="宋体" w:eastAsia="宋体" w:cs="宋体"/>
                <w:szCs w:val="21"/>
                <w:highlight w:val="none"/>
              </w:rPr>
              <w:t>8</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hAnsi="宋体" w:eastAsia="宋体" w:cs="宋体"/>
                <w:szCs w:val="21"/>
                <w:highlight w:val="none"/>
              </w:rPr>
            </w:pPr>
            <w:r>
              <w:rPr>
                <w:rFonts w:hint="eastAsia" w:ascii="宋体" w:hAnsi="宋体" w:eastAsia="宋体" w:cs="宋体"/>
                <w:szCs w:val="21"/>
                <w:highlight w:val="none"/>
              </w:rPr>
              <w:t>投标文件的规范性</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w:t>
            </w: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hAnsi="宋体" w:eastAsia="宋体" w:cs="宋体"/>
                <w:szCs w:val="21"/>
                <w:highlight w:val="none"/>
              </w:rPr>
            </w:pPr>
            <w:r>
              <w:rPr>
                <w:rFonts w:hint="eastAsia" w:ascii="宋体" w:hAnsi="宋体" w:eastAsia="宋体" w:cs="宋体"/>
                <w:szCs w:val="21"/>
                <w:highlight w:val="none"/>
              </w:rPr>
              <w:t>投标文件的规范性</w:t>
            </w:r>
          </w:p>
          <w:p>
            <w:pPr>
              <w:spacing w:line="400" w:lineRule="atLeast"/>
              <w:jc w:val="center"/>
              <w:rPr>
                <w:rFonts w:ascii="宋体" w:hAnsi="宋体" w:eastAsia="宋体" w:cs="宋体"/>
                <w:szCs w:val="21"/>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分</w:t>
            </w:r>
          </w:p>
        </w:tc>
        <w:tc>
          <w:tcPr>
            <w:tcW w:w="6237"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宋体" w:hAnsi="宋体" w:eastAsia="宋体" w:cs="宋体"/>
                <w:szCs w:val="21"/>
                <w:highlight w:val="none"/>
              </w:rPr>
            </w:pPr>
            <w:r>
              <w:rPr>
                <w:rFonts w:hint="eastAsia" w:ascii="宋体" w:hAnsi="宋体" w:eastAsia="宋体" w:cs="宋体"/>
                <w:szCs w:val="21"/>
                <w:highlight w:val="none"/>
              </w:rPr>
              <w:t>投标文件制作规范，没有细微偏差情形的得</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分，每有一项细微偏差扣1分，直到该项分值扣完为止。</w:t>
            </w: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宋体" w:hAnsi="宋体" w:eastAsia="宋体" w:cs="宋体"/>
                <w:snapToGrid w:val="0"/>
                <w:szCs w:val="21"/>
                <w:highlight w:val="none"/>
              </w:rPr>
            </w:pPr>
            <w:r>
              <w:rPr>
                <w:rFonts w:hint="eastAsia" w:ascii="宋体" w:hAnsi="宋体" w:eastAsia="宋体" w:cs="宋体"/>
                <w:snapToGrid w:val="0"/>
                <w:szCs w:val="21"/>
                <w:highlight w:val="none"/>
              </w:rPr>
              <w:t>共同评审因素</w:t>
            </w:r>
          </w:p>
        </w:tc>
      </w:tr>
    </w:tbl>
    <w:p>
      <w:pPr>
        <w:pStyle w:val="14"/>
        <w:tabs>
          <w:tab w:val="left" w:pos="600"/>
        </w:tabs>
        <w:spacing w:line="440" w:lineRule="exact"/>
        <w:ind w:left="723" w:hanging="720" w:hangingChars="300"/>
        <w:rPr>
          <w:rFonts w:ascii="宋体" w:hAnsi="宋体" w:cs="宋体"/>
          <w:b/>
          <w:bCs/>
          <w:color w:val="auto"/>
          <w:sz w:val="24"/>
          <w:szCs w:val="24"/>
          <w:highlight w:val="none"/>
        </w:rPr>
      </w:pPr>
      <w:r>
        <w:rPr>
          <w:rFonts w:hint="eastAsia" w:ascii="宋体" w:hAnsi="宋体" w:cs="宋体"/>
          <w:b w:val="0"/>
          <w:bCs w:val="0"/>
          <w:color w:val="auto"/>
          <w:sz w:val="24"/>
          <w:szCs w:val="24"/>
          <w:highlight w:val="none"/>
        </w:rPr>
        <w:t>注：评分的取值按四舍五入法，保留小数点后两位。</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4.3.4 本次综合评分法由评标委员会各成员独立对通过初审（资格检查和符合性检查）的投标人的投标文件进行评审和打分，评标得分＝（A1＋A2＋……＋An）/NA＋（B1＋B2＋……＋Bn）/ NB＋（C1＋C2＋……＋Cn）/ NC＋（D1＋D2＋……＋Dn）/ ND</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A1、A2……An分别为每个经济类评委（经济类专家）的打分，NA为经济类评委（经济类专家）人数；B1、B2＋……Bn 分别为每个技术类评委（技术类专家和采购人代表）的打分，NB为技术类评委（技术类专家和采购人代表）人数；C1、C2……Cn 分别为每个政策合同类评委（法律类专家）的打分，NC为政策合同类评委（法律类专家）人数；D1、D2……Dn 分别为评审委员会每个成员的打分（共同评分类），ND为评标委员会人数。    </w:t>
      </w:r>
      <w:bookmarkStart w:id="201" w:name="_Toc217446060"/>
    </w:p>
    <w:p>
      <w:pPr>
        <w:pStyle w:val="4"/>
        <w:spacing w:before="0" w:after="0" w:line="440" w:lineRule="exact"/>
        <w:ind w:firstLine="472" w:firstLineChars="19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 废 标</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5.1本次政府采购活动中，出现下列情形之一的，予以废标：</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（1）符合专业条件的投标人或者对招标文件作实质响应的投标人不足三家的；</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（2）出现影响采购公正的违法、违规行为的；</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（3）投标人的报价均超过了采购预算，采购人不能支付的；</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（4）因重大变故，采购任务取消的。</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废标后，采购代理机构应在四川政府采购网上公告，并公告废标的情形。投标人需要知晓导致废标情形的具体原因和理由的，可以通过书面形式询问招标采购单位。</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5.2对于评标过程中废标的采购项目，评标委员会应当对招标文件是否存在倾向性和歧视性、是否存在不合理条款进行论证，并出具书面论证意见。</w:t>
      </w:r>
    </w:p>
    <w:p>
      <w:pPr>
        <w:pStyle w:val="4"/>
        <w:spacing w:before="0" w:after="0" w:line="440" w:lineRule="exact"/>
        <w:ind w:firstLine="472" w:firstLineChars="19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6、定标</w:t>
      </w:r>
      <w:bookmarkEnd w:id="201"/>
      <w:bookmarkStart w:id="202" w:name="_Toc217446061"/>
    </w:p>
    <w:bookmarkEnd w:id="202"/>
    <w:p>
      <w:pPr>
        <w:spacing w:line="440" w:lineRule="exact"/>
        <w:ind w:firstLine="480" w:firstLineChars="200"/>
        <w:rPr>
          <w:rFonts w:ascii="宋体" w:hAnsi="宋体" w:cs="宋体"/>
          <w:color w:val="auto"/>
          <w:sz w:val="24"/>
          <w:highlight w:val="none"/>
        </w:rPr>
      </w:pPr>
      <w:bookmarkStart w:id="203" w:name="_Toc217446105"/>
      <w:bookmarkStart w:id="204" w:name="_Toc183582297"/>
      <w:bookmarkStart w:id="205" w:name="_Toc208849022"/>
      <w:bookmarkStart w:id="206" w:name="_Toc183682432"/>
      <w:r>
        <w:rPr>
          <w:rFonts w:hint="eastAsia" w:ascii="宋体" w:hAnsi="宋体" w:cs="宋体"/>
          <w:color w:val="auto"/>
          <w:sz w:val="24"/>
          <w:highlight w:val="none"/>
        </w:rPr>
        <w:t>6.1. 定标原则：本项目根据评标委员会推荐的中标候选供应商名单，按顺序确定中标供应商。</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6.2. 定标程序</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6.2.1 评标委员会将评标情况写出书面报告，推荐中标候选供应商。</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6.2.2 采购代理机构在评标结束后2个工作日内将评标报告送采购人。</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6.2.3 采购人在收到评标报告后 5 个工作日内，按照评标报告中推荐的中标候选供应商顺序确定中标供应商。中标候选供应商并列的，由采购人自主采取公平、择优的方式选择中标供应商。</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注意，采购人按照推荐的中标候选供应商顺序确定中标供应商，不能认为采购人只能确定第一中标候选供应商为中标供应商，采购人有正当理由的，可以确定后一顺序中标候选供应商为中标供应商，依次类推。</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6.2.4 根据采购人确定的中标供应商，采购代理机构在四川政府采购网上发布中标公告，并自采购人确定中标之日起2个工作日内向中标供应商发出中标通知书。</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6.2.5 招标采购单位不退回投标人投标文件和其他投标资料。</w:t>
      </w:r>
    </w:p>
    <w:p>
      <w:pPr>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7. </w:t>
      </w:r>
      <w:bookmarkEnd w:id="203"/>
      <w:bookmarkEnd w:id="204"/>
      <w:bookmarkEnd w:id="205"/>
      <w:bookmarkEnd w:id="206"/>
      <w:r>
        <w:rPr>
          <w:rFonts w:hint="eastAsia" w:ascii="宋体" w:hAnsi="宋体" w:cs="宋体"/>
          <w:b/>
          <w:bCs/>
          <w:color w:val="auto"/>
          <w:sz w:val="24"/>
          <w:highlight w:val="none"/>
        </w:rPr>
        <w:t>评标专家在政府采购活动中承担以下义务：</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（一）遵守评审工作纪律； </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（二）按照客观、公正、审慎的原则，根据采购文件规定的评审程序、评审方法和评审标准进行独立评审；</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（三）不得泄露评审文件、评审情况和在评审过程中获悉的商业秘密；</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（四）及时向监督部门报告评审过程中采购组织单位向评审专家做倾向性、误导性的解释或者说明，投标人行贿、提供虚假材料或者串通、受到的非法干预情况等违法违规行为；</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（五）发现采购文件内容违反国家有关强制性规定或者存在歧义、重大缺陷导致评审工作无法进行时，停止评审并向采购组织单位书面说明情况；</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（六）配合答复处理投标人的询问、质疑和投诉等事项；</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（七）法律、法规和规章规定的其他义务。</w:t>
      </w:r>
    </w:p>
    <w:p>
      <w:pPr>
        <w:pStyle w:val="4"/>
        <w:spacing w:before="0" w:after="0" w:line="440" w:lineRule="exact"/>
        <w:ind w:firstLine="482" w:firstLineChars="200"/>
        <w:rPr>
          <w:rFonts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8.评标专家在政府采购活动中应当遵守以下工作纪律：</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（一）遵行《政府采购法》第十二条和《政府采购法实施条例》第九条及财政部关于回避的规定。</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（二）评标前，应当将通讯工具或者相关电子设备交由招标采购单位统一保管。</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（三）评标过程中，不得与外界联系，因发生不可预见情况，确实需要与外界联系的，应当在监督人员监督之下办理。</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评标过程中，不得干预或者影响正常评标工作，不得发表倾向性、引导性意见，不得修改或细化招标文件确定的评标程序、评标方法、评标因素和评标标准，不得接受投标人主动提出的澄清和解释，不得征询采购人代表的意见，不得协商评分，不得违反规定的评标格式评分和撰写评标意见，不得拒绝对自己的评标意见签字确认。</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（五）在评标过程中和评标结束后，不得记录、复制或带走任何评标资料，除因规定的义务外，不得向外界透露评标内容。</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（六）服从评标现场招标采购单位的现场秩序管理，接受评标现场监督人员的合法监督。</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（七）遵守有关廉洁自律规定，不得私下接触投标人，不得收受投标人及有关业务单位和个人的财物或好处，不得接受采购组织单位的请托。</w:t>
      </w:r>
    </w:p>
    <w:p>
      <w:pPr>
        <w:pStyle w:val="3"/>
        <w:spacing w:line="400" w:lineRule="exact"/>
        <w:jc w:val="center"/>
        <w:rPr>
          <w:rFonts w:ascii="宋体" w:hAnsi="宋体" w:cs="宋体"/>
          <w:color w:val="auto"/>
          <w:sz w:val="36"/>
          <w:szCs w:val="36"/>
          <w:highlight w:val="none"/>
        </w:rPr>
      </w:pPr>
      <w:r>
        <w:rPr>
          <w:rFonts w:hint="eastAsia" w:ascii="宋体" w:hAnsi="宋体" w:cs="宋体"/>
          <w:color w:val="auto"/>
          <w:sz w:val="36"/>
          <w:szCs w:val="36"/>
          <w:highlight w:val="none"/>
        </w:rPr>
        <w:br w:type="page"/>
      </w:r>
      <w:r>
        <w:rPr>
          <w:rFonts w:hint="eastAsia" w:ascii="宋体" w:hAnsi="宋体" w:cs="宋体"/>
          <w:color w:val="auto"/>
          <w:sz w:val="36"/>
          <w:szCs w:val="36"/>
          <w:highlight w:val="none"/>
        </w:rPr>
        <w:t>第八章  政府采购合同</w:t>
      </w:r>
      <w:bookmarkEnd w:id="199"/>
      <w:bookmarkEnd w:id="200"/>
      <w:r>
        <w:rPr>
          <w:rFonts w:hint="eastAsia" w:ascii="宋体" w:hAnsi="宋体" w:cs="宋体"/>
          <w:color w:val="auto"/>
          <w:sz w:val="36"/>
          <w:szCs w:val="36"/>
          <w:highlight w:val="none"/>
        </w:rPr>
        <w:t>（草案）</w:t>
      </w:r>
    </w:p>
    <w:p>
      <w:pPr>
        <w:spacing w:line="400" w:lineRule="exact"/>
        <w:rPr>
          <w:rFonts w:ascii="宋体" w:hAnsi="宋体" w:cs="宋体"/>
          <w:color w:val="auto"/>
          <w:highlight w:val="none"/>
        </w:rPr>
      </w:pPr>
    </w:p>
    <w:bookmarkEnd w:id="183"/>
    <w:p>
      <w:pPr>
        <w:spacing w:line="360" w:lineRule="auto"/>
        <w:ind w:firstLine="480" w:firstLineChars="200"/>
        <w:rPr>
          <w:rFonts w:ascii="宋体" w:hAnsi="宋体" w:cs="宋体"/>
          <w:color w:val="auto"/>
          <w:sz w:val="28"/>
          <w:szCs w:val="28"/>
          <w:highlight w:val="none"/>
        </w:rPr>
      </w:pPr>
      <w:r>
        <w:rPr>
          <w:rFonts w:hint="eastAsia" w:ascii="宋体" w:hAnsi="宋体" w:cs="宋体"/>
          <w:color w:val="auto"/>
          <w:sz w:val="24"/>
          <w:highlight w:val="none"/>
        </w:rPr>
        <w:br w:type="textWrapping"/>
      </w:r>
      <w:r>
        <w:rPr>
          <w:rFonts w:hint="eastAsia" w:ascii="宋体" w:hAnsi="宋体" w:cs="宋体"/>
          <w:color w:val="auto"/>
          <w:sz w:val="24"/>
          <w:highlight w:val="none"/>
        </w:rPr>
        <w:t>合同编号：</w:t>
      </w:r>
      <w:r>
        <w:rPr>
          <w:rFonts w:hint="eastAsia" w:ascii="宋体" w:hAnsi="宋体" w:cs="宋体"/>
          <w:color w:val="auto"/>
          <w:sz w:val="28"/>
          <w:szCs w:val="28"/>
          <w:highlight w:val="none"/>
        </w:rPr>
        <w:t>XXXX。</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签订地点：XXXX。</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签订时间：XXXX年XX月XX日。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采购人（甲方）：</w:t>
      </w:r>
      <w:r>
        <w:rPr>
          <w:rFonts w:hint="eastAsia" w:ascii="宋体" w:hAnsi="宋体" w:cs="宋体"/>
          <w:color w:val="auto"/>
          <w:sz w:val="24"/>
          <w:highlight w:val="none"/>
          <w:u w:val="singl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供应商（乙方）：</w:t>
      </w:r>
      <w:r>
        <w:rPr>
          <w:rFonts w:hint="eastAsia" w:ascii="宋体" w:hAnsi="宋体" w:cs="宋体"/>
          <w:color w:val="auto"/>
          <w:sz w:val="24"/>
          <w:highlight w:val="none"/>
          <w:u w:val="single"/>
        </w:rPr>
        <w:t xml:space="preserve">                              </w:t>
      </w:r>
      <w:r>
        <w:rPr>
          <w:rFonts w:hint="eastAsia" w:ascii="宋体" w:hAnsi="宋体" w:cs="宋体"/>
          <w:color w:val="auto"/>
          <w:highlight w:val="none"/>
        </w:rPr>
        <w:t xml:space="preserve">                                       </w:t>
      </w:r>
    </w:p>
    <w:p>
      <w:pPr>
        <w:pStyle w:val="63"/>
        <w:ind w:firstLine="480"/>
        <w:rPr>
          <w:rFonts w:ascii="宋体" w:hAnsi="宋体"/>
          <w:color w:val="auto"/>
          <w:highlight w:val="none"/>
        </w:rPr>
      </w:pPr>
      <w:r>
        <w:rPr>
          <w:rFonts w:hint="eastAsia" w:ascii="宋体" w:hAnsi="宋体"/>
          <w:color w:val="auto"/>
          <w:highlight w:val="none"/>
        </w:rPr>
        <w:t>根据《中华人民共和国政府采购法》、《中华人民共和国合同法》及</w:t>
      </w:r>
      <w:r>
        <w:rPr>
          <w:rFonts w:hint="eastAsia" w:ascii="宋体" w:hAnsi="宋体"/>
          <w:color w:val="auto"/>
          <w:szCs w:val="21"/>
          <w:highlight w:val="none"/>
        </w:rPr>
        <w:t>XX</w:t>
      </w:r>
      <w:r>
        <w:rPr>
          <w:rFonts w:hint="eastAsia" w:ascii="宋体" w:hAnsi="宋体"/>
          <w:color w:val="auto"/>
          <w:highlight w:val="none"/>
        </w:rPr>
        <w:t>公司</w:t>
      </w:r>
      <w:r>
        <w:rPr>
          <w:rFonts w:hint="eastAsia" w:ascii="宋体" w:hAnsi="宋体"/>
          <w:color w:val="auto"/>
          <w:highlight w:val="none"/>
          <w:u w:val="single"/>
        </w:rPr>
        <w:t xml:space="preserve">         </w:t>
      </w:r>
      <w:r>
        <w:rPr>
          <w:rFonts w:hint="eastAsia" w:ascii="宋体" w:hAnsi="宋体"/>
          <w:color w:val="auto"/>
          <w:highlight w:val="none"/>
        </w:rPr>
        <w:t>采购项目（项目编号：</w:t>
      </w:r>
      <w:r>
        <w:rPr>
          <w:rFonts w:hint="eastAsia" w:ascii="宋体" w:hAnsi="宋体"/>
          <w:color w:val="auto"/>
          <w:szCs w:val="21"/>
          <w:highlight w:val="none"/>
        </w:rPr>
        <w:t>XX</w:t>
      </w:r>
      <w:r>
        <w:rPr>
          <w:rFonts w:hint="eastAsia" w:ascii="宋体" w:hAnsi="宋体"/>
          <w:color w:val="auto"/>
          <w:highlight w:val="none"/>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pStyle w:val="4"/>
        <w:spacing w:line="400" w:lineRule="exact"/>
        <w:ind w:firstLine="482" w:firstLineChars="200"/>
        <w:rPr>
          <w:rFonts w:ascii="宋体" w:hAnsi="宋体" w:eastAsia="宋体" w:cs="宋体"/>
          <w:color w:val="auto"/>
          <w:sz w:val="24"/>
          <w:szCs w:val="24"/>
          <w:highlight w:val="none"/>
        </w:rPr>
      </w:pPr>
      <w:bookmarkStart w:id="207" w:name="_Toc217446107"/>
      <w:r>
        <w:rPr>
          <w:rFonts w:hint="eastAsia" w:ascii="宋体" w:hAnsi="宋体" w:eastAsia="宋体" w:cs="宋体"/>
          <w:color w:val="auto"/>
          <w:sz w:val="24"/>
          <w:szCs w:val="24"/>
          <w:highlight w:val="none"/>
        </w:rPr>
        <w:t>一、合同货物</w:t>
      </w:r>
      <w:bookmarkEnd w:id="207"/>
    </w:p>
    <w:tbl>
      <w:tblPr>
        <w:tblStyle w:val="33"/>
        <w:tblW w:w="0" w:type="auto"/>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1050"/>
        <w:gridCol w:w="720"/>
        <w:gridCol w:w="900"/>
        <w:gridCol w:w="1080"/>
        <w:gridCol w:w="1185"/>
        <w:gridCol w:w="126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货物品名</w:t>
            </w:r>
          </w:p>
        </w:tc>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规格</w:t>
            </w:r>
          </w:p>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型号</w:t>
            </w: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 w:val="24"/>
                <w:highlight w:val="none"/>
              </w:rPr>
            </w:pPr>
            <w:r>
              <w:rPr>
                <w:rFonts w:hint="eastAsia" w:ascii="宋体" w:hAnsi="宋体" w:cs="宋体"/>
                <w:color w:val="auto"/>
                <w:sz w:val="24"/>
                <w:highlight w:val="none"/>
              </w:rPr>
              <w:t>单位</w:t>
            </w: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20" w:firstLineChars="50"/>
              <w:rPr>
                <w:rFonts w:ascii="宋体" w:hAnsi="宋体" w:cs="宋体"/>
                <w:color w:val="auto"/>
                <w:sz w:val="24"/>
                <w:highlight w:val="none"/>
              </w:rPr>
            </w:pPr>
            <w:r>
              <w:rPr>
                <w:rFonts w:hint="eastAsia" w:ascii="宋体" w:hAnsi="宋体" w:cs="宋体"/>
                <w:color w:val="auto"/>
                <w:sz w:val="24"/>
                <w:highlight w:val="none"/>
              </w:rPr>
              <w:t>数量</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20" w:firstLineChars="50"/>
              <w:jc w:val="center"/>
              <w:rPr>
                <w:rFonts w:ascii="宋体" w:hAnsi="宋体" w:cs="宋体"/>
                <w:color w:val="auto"/>
                <w:sz w:val="24"/>
                <w:highlight w:val="none"/>
              </w:rPr>
            </w:pPr>
            <w:r>
              <w:rPr>
                <w:rFonts w:hint="eastAsia" w:ascii="宋体" w:hAnsi="宋体" w:cs="宋体"/>
                <w:color w:val="auto"/>
                <w:sz w:val="24"/>
                <w:highlight w:val="none"/>
              </w:rPr>
              <w:t>单价</w:t>
            </w:r>
          </w:p>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（万元）</w:t>
            </w:r>
          </w:p>
        </w:tc>
        <w:tc>
          <w:tcPr>
            <w:tcW w:w="118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总价</w:t>
            </w:r>
          </w:p>
          <w:p>
            <w:pPr>
              <w:spacing w:line="400" w:lineRule="exact"/>
              <w:rPr>
                <w:rFonts w:ascii="宋体" w:hAnsi="宋体" w:cs="宋体"/>
                <w:color w:val="auto"/>
                <w:sz w:val="24"/>
                <w:highlight w:val="none"/>
              </w:rPr>
            </w:pPr>
            <w:r>
              <w:rPr>
                <w:rFonts w:hint="eastAsia" w:ascii="宋体" w:hAnsi="宋体" w:cs="宋体"/>
                <w:color w:val="auto"/>
                <w:sz w:val="24"/>
                <w:highlight w:val="none"/>
              </w:rPr>
              <w:t>（万元）</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随机</w:t>
            </w:r>
          </w:p>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配件</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20" w:firstLineChars="50"/>
              <w:rPr>
                <w:rFonts w:ascii="宋体" w:hAnsi="宋体" w:cs="宋体"/>
                <w:color w:val="auto"/>
                <w:sz w:val="24"/>
                <w:highlight w:val="none"/>
              </w:rPr>
            </w:pPr>
            <w:r>
              <w:rPr>
                <w:rFonts w:hint="eastAsia" w:ascii="宋体" w:hAnsi="宋体" w:cs="宋体"/>
                <w:color w:val="auto"/>
                <w:sz w:val="24"/>
                <w:highlight w:val="none"/>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 </w:t>
            </w:r>
          </w:p>
        </w:tc>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 </w:t>
            </w: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 </w:t>
            </w: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 </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 </w:t>
            </w:r>
          </w:p>
        </w:tc>
        <w:tc>
          <w:tcPr>
            <w:tcW w:w="11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 </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 </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 </w:t>
            </w:r>
          </w:p>
        </w:tc>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 </w:t>
            </w: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 </w:t>
            </w: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 </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 </w:t>
            </w:r>
          </w:p>
        </w:tc>
        <w:tc>
          <w:tcPr>
            <w:tcW w:w="11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 </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 </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 </w:t>
            </w:r>
          </w:p>
        </w:tc>
      </w:tr>
    </w:tbl>
    <w:p>
      <w:pPr>
        <w:pStyle w:val="4"/>
        <w:spacing w:line="400" w:lineRule="exact"/>
        <w:ind w:firstLine="482" w:firstLineChars="200"/>
        <w:rPr>
          <w:rFonts w:ascii="宋体" w:hAnsi="宋体" w:eastAsia="宋体" w:cs="宋体"/>
          <w:color w:val="auto"/>
          <w:sz w:val="24"/>
          <w:szCs w:val="24"/>
          <w:highlight w:val="none"/>
        </w:rPr>
      </w:pPr>
      <w:bookmarkStart w:id="208" w:name="_Toc217446108"/>
      <w:r>
        <w:rPr>
          <w:rFonts w:hint="eastAsia" w:ascii="宋体" w:hAnsi="宋体" w:eastAsia="宋体" w:cs="宋体"/>
          <w:color w:val="auto"/>
          <w:sz w:val="24"/>
          <w:szCs w:val="24"/>
          <w:highlight w:val="none"/>
        </w:rPr>
        <w:t>二、合同总价</w:t>
      </w:r>
      <w:bookmarkEnd w:id="208"/>
    </w:p>
    <w:p>
      <w:pPr>
        <w:pStyle w:val="10"/>
        <w:spacing w:line="40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合同总价为人民币大写：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元，即RMB￥</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pStyle w:val="4"/>
        <w:spacing w:line="400" w:lineRule="exact"/>
        <w:ind w:firstLine="482" w:firstLineChars="200"/>
        <w:rPr>
          <w:rFonts w:ascii="宋体" w:hAnsi="宋体" w:eastAsia="宋体" w:cs="宋体"/>
          <w:color w:val="auto"/>
          <w:sz w:val="24"/>
          <w:szCs w:val="24"/>
          <w:highlight w:val="none"/>
        </w:rPr>
      </w:pPr>
      <w:bookmarkStart w:id="209" w:name="_Toc217446109"/>
      <w:r>
        <w:rPr>
          <w:rFonts w:hint="eastAsia" w:ascii="宋体" w:hAnsi="宋体" w:eastAsia="宋体" w:cs="宋体"/>
          <w:color w:val="auto"/>
          <w:sz w:val="24"/>
          <w:szCs w:val="24"/>
          <w:highlight w:val="none"/>
        </w:rPr>
        <w:t>三、质量要求</w:t>
      </w:r>
      <w:bookmarkEnd w:id="209"/>
    </w:p>
    <w:p>
      <w:pPr>
        <w:pStyle w:val="63"/>
        <w:ind w:firstLine="480"/>
        <w:rPr>
          <w:rFonts w:ascii="宋体" w:hAnsi="宋体"/>
          <w:color w:val="auto"/>
          <w:highlight w:val="none"/>
        </w:rPr>
      </w:pPr>
      <w:r>
        <w:rPr>
          <w:rFonts w:hint="eastAsia" w:ascii="宋体" w:hAnsi="宋体"/>
          <w:color w:val="auto"/>
          <w:highlight w:val="none"/>
        </w:rPr>
        <w:t>1、乙方须提供全新的货物（含零部件、配件等），表面无划伤、无碰撞痕迹，且权属清楚，不得侵害他人的知识产权。</w:t>
      </w:r>
    </w:p>
    <w:p>
      <w:pPr>
        <w:pStyle w:val="63"/>
        <w:ind w:firstLine="480"/>
        <w:rPr>
          <w:rFonts w:ascii="宋体" w:hAnsi="宋体"/>
          <w:color w:val="auto"/>
          <w:highlight w:val="none"/>
        </w:rPr>
      </w:pPr>
      <w:r>
        <w:rPr>
          <w:rFonts w:hint="eastAsia" w:ascii="宋体" w:hAnsi="宋体"/>
          <w:color w:val="auto"/>
          <w:highlight w:val="none"/>
        </w:rPr>
        <w:t>2、货物必须符合或优于国家（行业）</w:t>
      </w:r>
      <w:r>
        <w:rPr>
          <w:rFonts w:hint="eastAsia" w:ascii="宋体" w:hAnsi="宋体"/>
          <w:color w:val="auto"/>
          <w:highlight w:val="none"/>
          <w:u w:val="single"/>
        </w:rPr>
        <w:t xml:space="preserve">          </w:t>
      </w:r>
      <w:r>
        <w:rPr>
          <w:rFonts w:hint="eastAsia" w:ascii="宋体" w:hAnsi="宋体"/>
          <w:color w:val="auto"/>
          <w:highlight w:val="none"/>
        </w:rPr>
        <w:t>标准，以及本项目招标文件的质量要求和技术指标与出厂标准。</w:t>
      </w:r>
    </w:p>
    <w:p>
      <w:pPr>
        <w:pStyle w:val="63"/>
        <w:ind w:firstLine="480"/>
        <w:rPr>
          <w:rFonts w:ascii="宋体" w:hAnsi="宋体"/>
          <w:color w:val="auto"/>
          <w:highlight w:val="none"/>
        </w:rPr>
      </w:pPr>
      <w:r>
        <w:rPr>
          <w:rFonts w:hint="eastAsia" w:ascii="宋体" w:hAnsi="宋体"/>
          <w:color w:val="auto"/>
          <w:highlight w:val="none"/>
        </w:rPr>
        <w:t>3、乙方须在本合同签订之日起</w:t>
      </w:r>
      <w:r>
        <w:rPr>
          <w:rFonts w:hint="eastAsia" w:ascii="宋体" w:hAnsi="宋体"/>
          <w:color w:val="auto"/>
          <w:highlight w:val="none"/>
          <w:u w:val="single"/>
        </w:rPr>
        <w:t xml:space="preserve">   </w:t>
      </w:r>
      <w:r>
        <w:rPr>
          <w:rFonts w:hint="eastAsia" w:ascii="宋体" w:hAnsi="宋体"/>
          <w:color w:val="auto"/>
          <w:highlight w:val="none"/>
        </w:rPr>
        <w:t>日内送交货物给甲方，每台货物上均应有产品质量检验合格标志。</w:t>
      </w:r>
    </w:p>
    <w:p>
      <w:pPr>
        <w:pStyle w:val="63"/>
        <w:ind w:firstLine="480"/>
        <w:rPr>
          <w:rFonts w:ascii="宋体" w:hAnsi="宋体"/>
          <w:color w:val="auto"/>
          <w:highlight w:val="none"/>
        </w:rPr>
      </w:pPr>
      <w:r>
        <w:rPr>
          <w:rFonts w:hint="eastAsia" w:ascii="宋体" w:hAnsi="宋体"/>
          <w:color w:val="auto"/>
          <w:highlight w:val="none"/>
        </w:rPr>
        <w:t>4、货物制造质量出现问题，乙方应负责三包（包修、包换、包退），费用由乙方负担，甲方有权到乙方生产场地检查货物质量和生产进度。</w:t>
      </w:r>
    </w:p>
    <w:p>
      <w:pPr>
        <w:pStyle w:val="63"/>
        <w:ind w:firstLine="480"/>
        <w:rPr>
          <w:rFonts w:ascii="宋体" w:hAnsi="宋体"/>
          <w:color w:val="auto"/>
          <w:highlight w:val="none"/>
        </w:rPr>
      </w:pPr>
      <w:r>
        <w:rPr>
          <w:rFonts w:hint="eastAsia" w:ascii="宋体" w:hAnsi="宋体"/>
          <w:color w:val="auto"/>
          <w:highlight w:val="none"/>
        </w:rPr>
        <w:t>5、货到现场后由于甲方保管不当造成的质量问题，乙方亦应负责修理，但费用由甲方负担。</w:t>
      </w:r>
    </w:p>
    <w:p>
      <w:pPr>
        <w:pStyle w:val="4"/>
        <w:spacing w:line="400" w:lineRule="exact"/>
        <w:ind w:firstLine="482" w:firstLineChars="200"/>
        <w:rPr>
          <w:rFonts w:ascii="宋体" w:hAnsi="宋体" w:eastAsia="宋体" w:cs="宋体"/>
          <w:color w:val="auto"/>
          <w:sz w:val="24"/>
          <w:szCs w:val="24"/>
          <w:highlight w:val="none"/>
        </w:rPr>
      </w:pPr>
      <w:bookmarkStart w:id="210" w:name="_Toc217446110"/>
      <w:r>
        <w:rPr>
          <w:rFonts w:hint="eastAsia" w:ascii="宋体" w:hAnsi="宋体" w:eastAsia="宋体" w:cs="宋体"/>
          <w:color w:val="auto"/>
          <w:sz w:val="24"/>
          <w:szCs w:val="24"/>
          <w:highlight w:val="none"/>
        </w:rPr>
        <w:t>四、交货及验收</w:t>
      </w:r>
      <w:bookmarkEnd w:id="210"/>
    </w:p>
    <w:p>
      <w:pPr>
        <w:pStyle w:val="63"/>
        <w:ind w:firstLine="480"/>
        <w:rPr>
          <w:rFonts w:ascii="宋体" w:hAnsi="宋体"/>
          <w:color w:val="auto"/>
          <w:highlight w:val="none"/>
        </w:rPr>
      </w:pPr>
      <w:r>
        <w:rPr>
          <w:rFonts w:hint="eastAsia" w:ascii="宋体" w:hAnsi="宋体"/>
          <w:color w:val="auto"/>
          <w:highlight w:val="none"/>
        </w:rPr>
        <w:t>1、乙方交货期限为合同签订生效后的</w:t>
      </w:r>
      <w:r>
        <w:rPr>
          <w:rFonts w:hint="eastAsia" w:ascii="宋体" w:hAnsi="宋体"/>
          <w:color w:val="auto"/>
          <w:szCs w:val="21"/>
          <w:highlight w:val="none"/>
        </w:rPr>
        <w:t>XX</w:t>
      </w:r>
      <w:r>
        <w:rPr>
          <w:rFonts w:hint="eastAsia" w:ascii="宋体" w:hAnsi="宋体"/>
          <w:color w:val="auto"/>
          <w:highlight w:val="none"/>
        </w:rPr>
        <w:t>日内，在合同签订生效之日起</w:t>
      </w:r>
      <w:r>
        <w:rPr>
          <w:rFonts w:hint="eastAsia" w:ascii="宋体" w:hAnsi="宋体"/>
          <w:color w:val="auto"/>
          <w:szCs w:val="21"/>
          <w:highlight w:val="none"/>
        </w:rPr>
        <w:t>XX</w:t>
      </w:r>
      <w:r>
        <w:rPr>
          <w:rFonts w:hint="eastAsia" w:ascii="宋体" w:hAnsi="宋体"/>
          <w:color w:val="auto"/>
          <w:highlight w:val="none"/>
        </w:rPr>
        <w:t>天内交货到甲方指定地点，随即在</w:t>
      </w:r>
      <w:r>
        <w:rPr>
          <w:rFonts w:hint="eastAsia" w:ascii="宋体" w:hAnsi="宋体"/>
          <w:color w:val="auto"/>
          <w:szCs w:val="21"/>
          <w:highlight w:val="none"/>
        </w:rPr>
        <w:t>XX</w:t>
      </w:r>
      <w:r>
        <w:rPr>
          <w:rFonts w:hint="eastAsia" w:ascii="宋体" w:hAnsi="宋体"/>
          <w:color w:val="auto"/>
          <w:highlight w:val="none"/>
        </w:rPr>
        <w:t>日内全部完成安装调试验收合格交付使用，并且最迟应在</w:t>
      </w:r>
      <w:r>
        <w:rPr>
          <w:rFonts w:hint="eastAsia" w:ascii="宋体" w:hAnsi="宋体"/>
          <w:color w:val="auto"/>
          <w:szCs w:val="21"/>
          <w:highlight w:val="none"/>
        </w:rPr>
        <w:t>XX</w:t>
      </w:r>
      <w:r>
        <w:rPr>
          <w:rFonts w:hint="eastAsia" w:ascii="宋体" w:hAnsi="宋体"/>
          <w:color w:val="auto"/>
          <w:highlight w:val="none"/>
        </w:rPr>
        <w:t>年</w:t>
      </w:r>
      <w:r>
        <w:rPr>
          <w:rFonts w:hint="eastAsia" w:ascii="宋体" w:hAnsi="宋体"/>
          <w:color w:val="auto"/>
          <w:szCs w:val="21"/>
          <w:highlight w:val="none"/>
        </w:rPr>
        <w:t>XX</w:t>
      </w:r>
      <w:r>
        <w:rPr>
          <w:rFonts w:hint="eastAsia" w:ascii="宋体" w:hAnsi="宋体"/>
          <w:color w:val="auto"/>
          <w:highlight w:val="none"/>
        </w:rPr>
        <w:t>月</w:t>
      </w:r>
      <w:r>
        <w:rPr>
          <w:rFonts w:hint="eastAsia" w:ascii="宋体" w:hAnsi="宋体"/>
          <w:color w:val="auto"/>
          <w:szCs w:val="21"/>
          <w:highlight w:val="none"/>
        </w:rPr>
        <w:t>XX</w:t>
      </w:r>
      <w:r>
        <w:rPr>
          <w:rFonts w:hint="eastAsia" w:ascii="宋体" w:hAnsi="宋体"/>
          <w:color w:val="auto"/>
          <w:highlight w:val="none"/>
        </w:rPr>
        <w:t>日前全部完成安装调试验收合格交付使用(如由于采购人的原因造成合同延迟签订或验收的，时间顺延)。交货验收时须提供产品质检部门从同类产品中抽样检查合格的检测报告。</w:t>
      </w:r>
    </w:p>
    <w:p>
      <w:pPr>
        <w:pStyle w:val="63"/>
        <w:ind w:firstLine="480"/>
        <w:rPr>
          <w:rFonts w:ascii="宋体" w:hAnsi="宋体"/>
          <w:color w:val="auto"/>
          <w:highlight w:val="none"/>
        </w:rPr>
      </w:pPr>
      <w:r>
        <w:rPr>
          <w:rFonts w:hint="eastAsia" w:ascii="宋体" w:hAnsi="宋体"/>
          <w:color w:val="auto"/>
          <w:highlight w:val="none"/>
        </w:rPr>
        <w:t>2、验收由甲方组织，乙方配合进行：</w:t>
      </w:r>
    </w:p>
    <w:p>
      <w:pPr>
        <w:pStyle w:val="63"/>
        <w:ind w:firstLine="480"/>
        <w:rPr>
          <w:rFonts w:ascii="宋体" w:hAnsi="宋体"/>
          <w:color w:val="auto"/>
          <w:highlight w:val="none"/>
        </w:rPr>
      </w:pPr>
      <w:r>
        <w:rPr>
          <w:rFonts w:hint="eastAsia" w:ascii="宋体" w:hAnsi="宋体"/>
          <w:color w:val="auto"/>
          <w:highlight w:val="none"/>
        </w:rPr>
        <w:t>(1) 货物在乙方通知安装调试完毕后</w:t>
      </w:r>
      <w:r>
        <w:rPr>
          <w:rFonts w:hint="eastAsia" w:ascii="宋体" w:hAnsi="宋体"/>
          <w:color w:val="auto"/>
          <w:highlight w:val="none"/>
          <w:u w:val="single"/>
        </w:rPr>
        <w:t xml:space="preserve">    </w:t>
      </w:r>
      <w:r>
        <w:rPr>
          <w:rFonts w:hint="eastAsia" w:ascii="宋体" w:hAnsi="宋体"/>
          <w:color w:val="auto"/>
          <w:highlight w:val="none"/>
        </w:rPr>
        <w:t>日内初步验收。初步验收合格后，进入</w:t>
      </w:r>
      <w:r>
        <w:rPr>
          <w:rFonts w:hint="eastAsia" w:ascii="宋体" w:hAnsi="宋体"/>
          <w:color w:val="auto"/>
          <w:highlight w:val="none"/>
          <w:u w:val="single"/>
        </w:rPr>
        <w:t xml:space="preserve">    </w:t>
      </w:r>
      <w:r>
        <w:rPr>
          <w:rFonts w:hint="eastAsia" w:ascii="宋体" w:hAnsi="宋体"/>
          <w:color w:val="auto"/>
          <w:highlight w:val="none"/>
        </w:rPr>
        <w:t>试用期；试用期间发生重大质量问题，修复后试用相应顺延；试用期结束后</w:t>
      </w:r>
      <w:r>
        <w:rPr>
          <w:rFonts w:hint="eastAsia" w:ascii="宋体" w:hAnsi="宋体"/>
          <w:color w:val="auto"/>
          <w:highlight w:val="none"/>
          <w:u w:val="single"/>
        </w:rPr>
        <w:t xml:space="preserve">    </w:t>
      </w:r>
      <w:r>
        <w:rPr>
          <w:rFonts w:hint="eastAsia" w:ascii="宋体" w:hAnsi="宋体"/>
          <w:color w:val="auto"/>
          <w:highlight w:val="none"/>
        </w:rPr>
        <w:t>日内完成最终验收；</w:t>
      </w:r>
    </w:p>
    <w:p>
      <w:pPr>
        <w:pStyle w:val="63"/>
        <w:ind w:firstLine="480"/>
        <w:rPr>
          <w:rFonts w:ascii="宋体" w:hAnsi="宋体"/>
          <w:color w:val="auto"/>
          <w:highlight w:val="none"/>
        </w:rPr>
      </w:pPr>
      <w:r>
        <w:rPr>
          <w:rFonts w:hint="eastAsia" w:ascii="宋体" w:hAnsi="宋体"/>
          <w:color w:val="auto"/>
          <w:highlight w:val="none"/>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pStyle w:val="63"/>
        <w:ind w:firstLine="480"/>
        <w:rPr>
          <w:rFonts w:ascii="宋体" w:hAnsi="宋体"/>
          <w:color w:val="auto"/>
          <w:highlight w:val="none"/>
        </w:rPr>
      </w:pPr>
      <w:r>
        <w:rPr>
          <w:rFonts w:hint="eastAsia" w:ascii="宋体" w:hAnsi="宋体"/>
          <w:color w:val="auto"/>
          <w:highlight w:val="none"/>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63"/>
        <w:ind w:firstLine="480"/>
        <w:rPr>
          <w:rFonts w:ascii="宋体" w:hAnsi="宋体"/>
          <w:color w:val="auto"/>
          <w:highlight w:val="none"/>
        </w:rPr>
      </w:pPr>
      <w:r>
        <w:rPr>
          <w:rFonts w:hint="eastAsia" w:ascii="宋体" w:hAnsi="宋体"/>
          <w:color w:val="auto"/>
          <w:highlight w:val="none"/>
        </w:rPr>
        <w:t>(4) 如质量验收合格，双方签署质量验收报告。</w:t>
      </w:r>
    </w:p>
    <w:p>
      <w:pPr>
        <w:pStyle w:val="63"/>
        <w:ind w:firstLine="480"/>
        <w:rPr>
          <w:rFonts w:ascii="宋体" w:hAnsi="宋体"/>
          <w:color w:val="auto"/>
          <w:highlight w:val="none"/>
        </w:rPr>
      </w:pPr>
      <w:r>
        <w:rPr>
          <w:rFonts w:hint="eastAsia" w:ascii="宋体" w:hAnsi="宋体"/>
          <w:color w:val="auto"/>
          <w:highlight w:val="none"/>
        </w:rPr>
        <w:t>3、货物安装完成后</w:t>
      </w:r>
      <w:r>
        <w:rPr>
          <w:rFonts w:hint="eastAsia" w:ascii="宋体" w:hAnsi="宋体"/>
          <w:color w:val="auto"/>
          <w:highlight w:val="none"/>
          <w:u w:val="single"/>
        </w:rPr>
        <w:t xml:space="preserve">     </w:t>
      </w:r>
      <w:r>
        <w:rPr>
          <w:rFonts w:hint="eastAsia" w:ascii="宋体" w:hAnsi="宋体"/>
          <w:color w:val="auto"/>
          <w:highlight w:val="none"/>
        </w:rPr>
        <w:t>日内，甲方无故不进行验收工作并已使用货物的，视同已安装调试完成并验收合格。</w:t>
      </w:r>
    </w:p>
    <w:p>
      <w:pPr>
        <w:pStyle w:val="63"/>
        <w:ind w:firstLine="480"/>
        <w:rPr>
          <w:rFonts w:ascii="宋体" w:hAnsi="宋体"/>
          <w:color w:val="auto"/>
          <w:highlight w:val="none"/>
        </w:rPr>
      </w:pPr>
      <w:r>
        <w:rPr>
          <w:rFonts w:hint="eastAsia" w:ascii="宋体" w:hAnsi="宋体"/>
          <w:color w:val="auto"/>
          <w:highlight w:val="none"/>
        </w:rPr>
        <w:t>4、乙方应将所提供货物的装箱清单、配件、随机工具、用户使用手册、原厂保修卡等资料交付给甲方；乙方不能完整交付货物及本款规定的单证和工具的，必须负责补齐，否则视为未按合同约定交货。</w:t>
      </w:r>
    </w:p>
    <w:p>
      <w:pPr>
        <w:pStyle w:val="63"/>
        <w:ind w:firstLine="480"/>
        <w:rPr>
          <w:rFonts w:ascii="宋体" w:hAnsi="宋体"/>
          <w:color w:val="auto"/>
          <w:highlight w:val="none"/>
        </w:rPr>
      </w:pPr>
      <w:r>
        <w:rPr>
          <w:rFonts w:hint="eastAsia" w:ascii="宋体" w:hAnsi="宋体"/>
          <w:color w:val="auto"/>
          <w:highlight w:val="none"/>
        </w:rPr>
        <w:t>5、如货物经乙方</w:t>
      </w:r>
      <w:r>
        <w:rPr>
          <w:rFonts w:hint="eastAsia" w:ascii="宋体" w:hAnsi="宋体"/>
          <w:color w:val="auto"/>
          <w:highlight w:val="none"/>
          <w:u w:val="single"/>
        </w:rPr>
        <w:t xml:space="preserve">   </w:t>
      </w:r>
      <w:r>
        <w:rPr>
          <w:rFonts w:hint="eastAsia" w:ascii="宋体" w:hAnsi="宋体"/>
          <w:color w:val="auto"/>
          <w:highlight w:val="none"/>
        </w:rPr>
        <w:t>次维修仍不能达到合同约定的质量标准，甲方有权退货，并视作乙方不能交付货物而须支付违约赔偿金给甲方，甲方还可依法追究乙方的违约责任。 </w:t>
      </w:r>
    </w:p>
    <w:p>
      <w:pPr>
        <w:pStyle w:val="63"/>
        <w:ind w:firstLine="480"/>
        <w:rPr>
          <w:rFonts w:ascii="宋体" w:hAnsi="宋体"/>
          <w:color w:val="auto"/>
          <w:highlight w:val="none"/>
        </w:rPr>
      </w:pPr>
      <w:r>
        <w:rPr>
          <w:rFonts w:hint="eastAsia" w:ascii="宋体" w:hAnsi="宋体"/>
          <w:color w:val="auto"/>
          <w:highlight w:val="none"/>
        </w:rPr>
        <w:t>6、其他未尽事宜应严格按照《四川省财政厅关于印发〈四川省政府采购项目需求论证和履约验收管理办法〉的通知》（川财采〔2015〕32号）的要求进行。</w:t>
      </w:r>
    </w:p>
    <w:p>
      <w:pPr>
        <w:pStyle w:val="4"/>
        <w:spacing w:line="400" w:lineRule="exact"/>
        <w:ind w:firstLine="482" w:firstLineChars="200"/>
        <w:rPr>
          <w:rFonts w:ascii="宋体" w:hAnsi="宋体" w:eastAsia="宋体" w:cs="宋体"/>
          <w:color w:val="auto"/>
          <w:sz w:val="24"/>
          <w:szCs w:val="24"/>
          <w:highlight w:val="none"/>
        </w:rPr>
      </w:pPr>
      <w:bookmarkStart w:id="211" w:name="_Toc217446111"/>
      <w:r>
        <w:rPr>
          <w:rFonts w:hint="eastAsia" w:ascii="宋体" w:hAnsi="宋体" w:eastAsia="宋体" w:cs="宋体"/>
          <w:color w:val="auto"/>
          <w:sz w:val="24"/>
          <w:szCs w:val="24"/>
          <w:highlight w:val="none"/>
        </w:rPr>
        <w:t>五、付款方式</w:t>
      </w:r>
      <w:bookmarkEnd w:id="211"/>
    </w:p>
    <w:p>
      <w:pPr>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1、甲方在本合同签订生效之日起接到乙方通知和票据凭证资料以及乙方交给甲方的合同履约保证金（按合同总价的百分之</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计算款额¥</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元，人民币大写：</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元整）后的</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日内支付合同金额百分之</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的价款；</w:t>
      </w:r>
    </w:p>
    <w:p>
      <w:pPr>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2、全部货物安装调试完毕并验收合格之日起，甲方接到乙方通知与票据凭证资料以后的</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日内，提交支付凭证资料给</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财政国库支付执行机构办理财政国库支付手续，并由其向乙方核拨合同总价的百分之</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 xml:space="preserve"> 计算款额¥</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元，人民币大写：</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元整；</w:t>
      </w:r>
    </w:p>
    <w:p>
      <w:pPr>
        <w:pStyle w:val="63"/>
        <w:ind w:firstLine="480"/>
        <w:rPr>
          <w:rFonts w:ascii="宋体" w:hAnsi="宋体"/>
          <w:color w:val="auto"/>
          <w:highlight w:val="none"/>
        </w:rPr>
      </w:pPr>
      <w:r>
        <w:rPr>
          <w:rFonts w:hint="eastAsia" w:ascii="宋体" w:hAnsi="宋体"/>
          <w:color w:val="auto"/>
          <w:highlight w:val="none"/>
        </w:rPr>
        <w:t>3、合同履约保证金：在货物验收合格后，采购代理机构接到乙方通知，以及由甲方确认本合同货物质量与服务等约定事项已经履行完毕的正式书面文件后的</w:t>
      </w:r>
      <w:r>
        <w:rPr>
          <w:rFonts w:hint="eastAsia" w:ascii="宋体" w:hAnsi="宋体"/>
          <w:color w:val="auto"/>
          <w:highlight w:val="none"/>
          <w:u w:val="single"/>
        </w:rPr>
        <w:t xml:space="preserve">     </w:t>
      </w:r>
      <w:r>
        <w:rPr>
          <w:rFonts w:hint="eastAsia" w:ascii="宋体" w:hAnsi="宋体"/>
          <w:color w:val="auto"/>
          <w:highlight w:val="none"/>
        </w:rPr>
        <w:t>日内由其向乙方退付履约保证金￥</w:t>
      </w:r>
      <w:r>
        <w:rPr>
          <w:rFonts w:hint="eastAsia" w:ascii="宋体" w:hAnsi="宋体"/>
          <w:color w:val="auto"/>
          <w:highlight w:val="none"/>
          <w:u w:val="single"/>
        </w:rPr>
        <w:t xml:space="preserve">      </w:t>
      </w:r>
      <w:r>
        <w:rPr>
          <w:rFonts w:hint="eastAsia" w:ascii="宋体" w:hAnsi="宋体"/>
          <w:color w:val="auto"/>
          <w:highlight w:val="none"/>
        </w:rPr>
        <w:t>元， 人民币大写：</w:t>
      </w:r>
      <w:r>
        <w:rPr>
          <w:rFonts w:hint="eastAsia" w:ascii="宋体" w:hAnsi="宋体"/>
          <w:color w:val="auto"/>
          <w:highlight w:val="none"/>
          <w:u w:val="single"/>
        </w:rPr>
        <w:t xml:space="preserve">              </w:t>
      </w:r>
      <w:r>
        <w:rPr>
          <w:rFonts w:hint="eastAsia" w:ascii="宋体" w:hAnsi="宋体"/>
          <w:color w:val="auto"/>
          <w:highlight w:val="none"/>
        </w:rPr>
        <w:t>元整；</w:t>
      </w:r>
    </w:p>
    <w:p>
      <w:pPr>
        <w:pStyle w:val="63"/>
        <w:ind w:firstLine="480"/>
        <w:rPr>
          <w:rFonts w:ascii="宋体" w:hAnsi="宋体"/>
          <w:color w:val="auto"/>
          <w:highlight w:val="none"/>
        </w:rPr>
      </w:pPr>
      <w:r>
        <w:rPr>
          <w:rFonts w:hint="eastAsia" w:ascii="宋体" w:hAnsi="宋体"/>
          <w:color w:val="auto"/>
          <w:highlight w:val="none"/>
        </w:rPr>
        <w:t>4、乙方须向甲方出具合法有效完整的完税发票及凭证资料进行支付结算。</w:t>
      </w:r>
    </w:p>
    <w:p>
      <w:pPr>
        <w:pStyle w:val="4"/>
        <w:spacing w:line="400" w:lineRule="exact"/>
        <w:ind w:firstLine="482" w:firstLineChars="200"/>
        <w:rPr>
          <w:rFonts w:ascii="宋体" w:hAnsi="宋体" w:eastAsia="宋体" w:cs="宋体"/>
          <w:color w:val="auto"/>
          <w:sz w:val="24"/>
          <w:szCs w:val="24"/>
          <w:highlight w:val="none"/>
        </w:rPr>
      </w:pPr>
      <w:bookmarkStart w:id="212" w:name="_Toc217446112"/>
      <w:r>
        <w:rPr>
          <w:rFonts w:hint="eastAsia" w:ascii="宋体" w:hAnsi="宋体" w:eastAsia="宋体" w:cs="宋体"/>
          <w:color w:val="auto"/>
          <w:sz w:val="24"/>
          <w:szCs w:val="24"/>
          <w:highlight w:val="none"/>
        </w:rPr>
        <w:t>六、售后服务</w:t>
      </w:r>
      <w:bookmarkEnd w:id="212"/>
    </w:p>
    <w:p>
      <w:pPr>
        <w:pStyle w:val="63"/>
        <w:ind w:firstLine="480"/>
        <w:rPr>
          <w:rFonts w:ascii="宋体" w:hAnsi="宋体"/>
          <w:color w:val="auto"/>
          <w:highlight w:val="none"/>
        </w:rPr>
      </w:pPr>
      <w:r>
        <w:rPr>
          <w:rFonts w:hint="eastAsia" w:ascii="宋体" w:hAnsi="宋体"/>
          <w:color w:val="auto"/>
          <w:highlight w:val="none"/>
        </w:rPr>
        <w:t>1、质保期为验收合格后</w:t>
      </w:r>
      <w:r>
        <w:rPr>
          <w:rFonts w:hint="eastAsia" w:ascii="宋体" w:hAnsi="宋体"/>
          <w:color w:val="auto"/>
          <w:szCs w:val="21"/>
          <w:highlight w:val="none"/>
        </w:rPr>
        <w:t>XX</w:t>
      </w:r>
      <w:r>
        <w:rPr>
          <w:rFonts w:hint="eastAsia" w:ascii="宋体" w:hAnsi="宋体"/>
          <w:color w:val="auto"/>
          <w:highlight w:val="none"/>
        </w:rPr>
        <w:t>年，质保期内出现质量问题，乙方在接到通知后</w:t>
      </w:r>
      <w:r>
        <w:rPr>
          <w:rFonts w:hint="eastAsia" w:ascii="宋体" w:hAnsi="宋体"/>
          <w:color w:val="auto"/>
          <w:highlight w:val="none"/>
          <w:u w:val="single"/>
        </w:rPr>
        <w:t xml:space="preserve">   </w:t>
      </w:r>
      <w:r>
        <w:rPr>
          <w:rFonts w:hint="eastAsia" w:ascii="宋体" w:hAnsi="宋体"/>
          <w:color w:val="auto"/>
          <w:highlight w:val="none"/>
        </w:rPr>
        <w:t>小时内响应到场，</w:t>
      </w:r>
      <w:r>
        <w:rPr>
          <w:rFonts w:hint="eastAsia" w:ascii="宋体" w:hAnsi="宋体"/>
          <w:color w:val="auto"/>
          <w:highlight w:val="none"/>
          <w:u w:val="single"/>
        </w:rPr>
        <w:t xml:space="preserve">    </w:t>
      </w:r>
      <w:r>
        <w:rPr>
          <w:rFonts w:hint="eastAsia" w:ascii="宋体" w:hAnsi="宋体"/>
          <w:color w:val="auto"/>
          <w:highlight w:val="none"/>
        </w:rPr>
        <w:t>小时内完成维修或更换，并承担修理调换的费用；如货物经乙方</w:t>
      </w:r>
      <w:r>
        <w:rPr>
          <w:rFonts w:hint="eastAsia" w:ascii="宋体" w:hAnsi="宋体"/>
          <w:color w:val="auto"/>
          <w:highlight w:val="none"/>
          <w:u w:val="single"/>
        </w:rPr>
        <w:t xml:space="preserve">   </w:t>
      </w:r>
      <w:r>
        <w:rPr>
          <w:rFonts w:hint="eastAsia" w:ascii="宋体" w:hAnsi="宋体"/>
          <w:color w:val="auto"/>
          <w:highlight w:val="none"/>
        </w:rPr>
        <w:t>次维修仍不能达到本合同约定的质量标准，视作乙方未能按时交货，甲方有权退货并追究乙方的违约责任。货到现场后由于甲方保管不当造成的问题，乙方亦应负责修复，但费用由甲方负担。</w:t>
      </w:r>
    </w:p>
    <w:p>
      <w:pPr>
        <w:pStyle w:val="63"/>
        <w:ind w:firstLine="480"/>
        <w:rPr>
          <w:rFonts w:ascii="宋体" w:hAnsi="宋体"/>
          <w:color w:val="auto"/>
          <w:highlight w:val="none"/>
        </w:rPr>
      </w:pPr>
      <w:r>
        <w:rPr>
          <w:rFonts w:hint="eastAsia" w:ascii="宋体" w:hAnsi="宋体"/>
          <w:color w:val="auto"/>
          <w:highlight w:val="none"/>
        </w:rPr>
        <w:t>2、乙方须指派专人负责与甲方联系售后服务事宜。 </w:t>
      </w:r>
    </w:p>
    <w:p>
      <w:pPr>
        <w:pStyle w:val="4"/>
        <w:spacing w:line="400" w:lineRule="exact"/>
        <w:ind w:firstLine="482" w:firstLineChars="200"/>
        <w:rPr>
          <w:rFonts w:ascii="宋体" w:hAnsi="宋体" w:eastAsia="宋体" w:cs="宋体"/>
          <w:color w:val="auto"/>
          <w:sz w:val="24"/>
          <w:szCs w:val="24"/>
          <w:highlight w:val="none"/>
        </w:rPr>
      </w:pPr>
      <w:bookmarkStart w:id="213" w:name="_Toc217446113"/>
      <w:r>
        <w:rPr>
          <w:rFonts w:hint="eastAsia" w:ascii="宋体" w:hAnsi="宋体" w:eastAsia="宋体" w:cs="宋体"/>
          <w:color w:val="auto"/>
          <w:sz w:val="24"/>
          <w:szCs w:val="24"/>
          <w:highlight w:val="none"/>
        </w:rPr>
        <w:t>七、违约责任</w:t>
      </w:r>
      <w:bookmarkEnd w:id="213"/>
    </w:p>
    <w:p>
      <w:pPr>
        <w:pStyle w:val="63"/>
        <w:ind w:firstLine="480"/>
        <w:rPr>
          <w:rFonts w:ascii="宋体" w:hAnsi="宋体"/>
          <w:color w:val="auto"/>
          <w:highlight w:val="none"/>
        </w:rPr>
      </w:pPr>
      <w:r>
        <w:rPr>
          <w:rFonts w:hint="eastAsia" w:ascii="宋体" w:hAnsi="宋体"/>
          <w:color w:val="auto"/>
          <w:highlight w:val="none"/>
        </w:rPr>
        <w:t>1、甲方违约责任</w:t>
      </w:r>
    </w:p>
    <w:p>
      <w:pPr>
        <w:pStyle w:val="63"/>
        <w:ind w:firstLine="480"/>
        <w:rPr>
          <w:rFonts w:ascii="宋体" w:hAnsi="宋体"/>
          <w:color w:val="auto"/>
          <w:highlight w:val="none"/>
        </w:rPr>
      </w:pPr>
      <w:r>
        <w:rPr>
          <w:rFonts w:hint="eastAsia" w:ascii="宋体" w:hAnsi="宋体"/>
          <w:color w:val="auto"/>
          <w:highlight w:val="none"/>
        </w:rPr>
        <w:t>（1） 甲方无正当理由拒收货物的，甲方应偿付合同总价百分之</w:t>
      </w:r>
      <w:r>
        <w:rPr>
          <w:rFonts w:hint="eastAsia" w:ascii="宋体" w:hAnsi="宋体"/>
          <w:color w:val="auto"/>
          <w:highlight w:val="none"/>
          <w:u w:val="single"/>
        </w:rPr>
        <w:t xml:space="preserve">  </w:t>
      </w:r>
      <w:r>
        <w:rPr>
          <w:rFonts w:hint="eastAsia" w:ascii="宋体" w:hAnsi="宋体"/>
          <w:color w:val="auto"/>
          <w:highlight w:val="none"/>
        </w:rPr>
        <w:t>的违约金；</w:t>
      </w:r>
    </w:p>
    <w:p>
      <w:pPr>
        <w:pStyle w:val="63"/>
        <w:ind w:firstLine="480"/>
        <w:rPr>
          <w:rFonts w:ascii="宋体" w:hAnsi="宋体"/>
          <w:color w:val="auto"/>
          <w:highlight w:val="none"/>
        </w:rPr>
      </w:pPr>
      <w:r>
        <w:rPr>
          <w:rFonts w:hint="eastAsia" w:ascii="宋体" w:hAnsi="宋体"/>
          <w:color w:val="auto"/>
          <w:highlight w:val="none"/>
        </w:rPr>
        <w:t>（2） 甲方逾期支付货款的，除应及时付足货款外，应向乙方偿付欠款总额万分之</w:t>
      </w:r>
      <w:r>
        <w:rPr>
          <w:rFonts w:hint="eastAsia" w:ascii="宋体" w:hAnsi="宋体"/>
          <w:color w:val="auto"/>
          <w:highlight w:val="none"/>
          <w:u w:val="single"/>
        </w:rPr>
        <w:t xml:space="preserve">  </w:t>
      </w:r>
      <w:r>
        <w:rPr>
          <w:rFonts w:hint="eastAsia" w:ascii="宋体" w:hAnsi="宋体"/>
          <w:color w:val="auto"/>
          <w:highlight w:val="none"/>
        </w:rPr>
        <w:t xml:space="preserve"> /天的违约金；逾期付款超过</w:t>
      </w:r>
      <w:r>
        <w:rPr>
          <w:rFonts w:hint="eastAsia" w:ascii="宋体" w:hAnsi="宋体"/>
          <w:color w:val="auto"/>
          <w:highlight w:val="none"/>
          <w:u w:val="single"/>
        </w:rPr>
        <w:t xml:space="preserve">  </w:t>
      </w:r>
      <w:r>
        <w:rPr>
          <w:rFonts w:hint="eastAsia" w:ascii="宋体" w:hAnsi="宋体"/>
          <w:color w:val="auto"/>
          <w:highlight w:val="none"/>
        </w:rPr>
        <w:t>天的，乙方有权终止合同；</w:t>
      </w:r>
    </w:p>
    <w:p>
      <w:pPr>
        <w:pStyle w:val="63"/>
        <w:ind w:firstLine="480"/>
        <w:rPr>
          <w:rFonts w:ascii="宋体" w:hAnsi="宋体"/>
          <w:color w:val="auto"/>
          <w:highlight w:val="none"/>
        </w:rPr>
      </w:pPr>
      <w:r>
        <w:rPr>
          <w:rFonts w:hint="eastAsia" w:ascii="宋体" w:hAnsi="宋体"/>
          <w:color w:val="auto"/>
          <w:highlight w:val="none"/>
        </w:rPr>
        <w:t>（3） 甲方偿付的违约金不足以弥补乙方损失的，还应按乙方损失尚未弥补的部分，支付赔偿金给乙方。</w:t>
      </w:r>
    </w:p>
    <w:p>
      <w:pPr>
        <w:pStyle w:val="63"/>
        <w:ind w:firstLine="480"/>
        <w:rPr>
          <w:rFonts w:ascii="宋体" w:hAnsi="宋体"/>
          <w:color w:val="auto"/>
          <w:highlight w:val="none"/>
        </w:rPr>
      </w:pPr>
      <w:r>
        <w:rPr>
          <w:rFonts w:hint="eastAsia" w:ascii="宋体" w:hAnsi="宋体"/>
          <w:color w:val="auto"/>
          <w:highlight w:val="none"/>
        </w:rPr>
        <w:t>2、乙方违约责任</w:t>
      </w:r>
    </w:p>
    <w:p>
      <w:pPr>
        <w:pStyle w:val="63"/>
        <w:ind w:firstLine="480"/>
        <w:rPr>
          <w:rFonts w:ascii="宋体" w:hAnsi="宋体"/>
          <w:color w:val="auto"/>
          <w:highlight w:val="none"/>
        </w:rPr>
      </w:pPr>
      <w:r>
        <w:rPr>
          <w:rFonts w:hint="eastAsia" w:ascii="宋体" w:hAnsi="宋体"/>
          <w:color w:val="auto"/>
          <w:highlight w:val="none"/>
        </w:rPr>
        <w:t>（1）乙方交付的货物质量不符合合同规定的，乙方应向甲方支付合同总价的百分之</w:t>
      </w:r>
      <w:r>
        <w:rPr>
          <w:rFonts w:hint="eastAsia" w:ascii="宋体" w:hAnsi="宋体"/>
          <w:color w:val="auto"/>
          <w:highlight w:val="none"/>
          <w:u w:val="single"/>
        </w:rPr>
        <w:t xml:space="preserve">  </w:t>
      </w:r>
      <w:r>
        <w:rPr>
          <w:rFonts w:hint="eastAsia" w:ascii="宋体" w:hAnsi="宋体"/>
          <w:color w:val="auto"/>
          <w:highlight w:val="none"/>
        </w:rPr>
        <w:t>的违约金，并须在合同规定的交货时间内更换合格的货物给甲方，否则，视作乙方不能交付货物而违约，按本条本款下述第“（2）”项规定由乙方偿付违约赔偿金给甲方。</w:t>
      </w:r>
    </w:p>
    <w:p>
      <w:pPr>
        <w:pStyle w:val="63"/>
        <w:ind w:firstLine="480"/>
        <w:rPr>
          <w:rFonts w:ascii="宋体" w:hAnsi="宋体"/>
          <w:color w:val="auto"/>
          <w:highlight w:val="none"/>
        </w:rPr>
      </w:pPr>
      <w:r>
        <w:rPr>
          <w:rFonts w:hint="eastAsia" w:ascii="宋体" w:hAnsi="宋体"/>
          <w:color w:val="auto"/>
          <w:highlight w:val="none"/>
        </w:rPr>
        <w:t>（2）乙方不能交付货物或逾期交付货物而违约的，除应及时交足货物外，应向甲方偿付逾期交货部分货款总额的万分之</w:t>
      </w:r>
      <w:r>
        <w:rPr>
          <w:rFonts w:hint="eastAsia" w:ascii="宋体" w:hAnsi="宋体"/>
          <w:color w:val="auto"/>
          <w:highlight w:val="none"/>
          <w:u w:val="single"/>
        </w:rPr>
        <w:t xml:space="preserve">  </w:t>
      </w:r>
      <w:r>
        <w:rPr>
          <w:rFonts w:hint="eastAsia" w:ascii="宋体" w:hAnsi="宋体"/>
          <w:color w:val="auto"/>
          <w:highlight w:val="none"/>
        </w:rPr>
        <w:t xml:space="preserve"> /天的违约金；逾期交货超过</w:t>
      </w:r>
      <w:r>
        <w:rPr>
          <w:rFonts w:hint="eastAsia" w:ascii="宋体" w:hAnsi="宋体"/>
          <w:color w:val="auto"/>
          <w:szCs w:val="21"/>
          <w:highlight w:val="none"/>
        </w:rPr>
        <w:t>XX</w:t>
      </w:r>
      <w:r>
        <w:rPr>
          <w:rFonts w:hint="eastAsia" w:ascii="宋体" w:hAnsi="宋体"/>
          <w:color w:val="auto"/>
          <w:highlight w:val="none"/>
        </w:rPr>
        <w:t>天，甲方有权终止合同，乙方则应按合同总价的百分之</w:t>
      </w:r>
      <w:r>
        <w:rPr>
          <w:rFonts w:hint="eastAsia" w:ascii="宋体" w:hAnsi="宋体"/>
          <w:color w:val="auto"/>
          <w:highlight w:val="none"/>
          <w:u w:val="single"/>
        </w:rPr>
        <w:t xml:space="preserve">  </w:t>
      </w:r>
      <w:r>
        <w:rPr>
          <w:rFonts w:hint="eastAsia" w:ascii="宋体" w:hAnsi="宋体"/>
          <w:color w:val="auto"/>
          <w:highlight w:val="none"/>
        </w:rPr>
        <w:t>的款额向甲方偿付赔偿金，并须全额退还甲方已经付给乙方的货款及其利息。</w:t>
      </w:r>
    </w:p>
    <w:p>
      <w:pPr>
        <w:pStyle w:val="63"/>
        <w:ind w:firstLine="480"/>
        <w:rPr>
          <w:rFonts w:ascii="宋体" w:hAnsi="宋体"/>
          <w:color w:val="auto"/>
          <w:highlight w:val="none"/>
        </w:rPr>
      </w:pPr>
      <w:r>
        <w:rPr>
          <w:rFonts w:hint="eastAsia" w:ascii="宋体" w:hAnsi="宋体"/>
          <w:color w:val="auto"/>
          <w:highlight w:val="none"/>
        </w:rPr>
        <w:t>（3）乙方货物经甲方送交具有法定资格条件的质量技术监督机构检测后，如检测结果认定货物质量不符合本合同规定标准的，则视为乙方没有按时交货而违约，乙方须在</w:t>
      </w:r>
      <w:r>
        <w:rPr>
          <w:rFonts w:hint="eastAsia" w:ascii="宋体" w:hAnsi="宋体"/>
          <w:color w:val="auto"/>
          <w:highlight w:val="none"/>
          <w:u w:val="single"/>
        </w:rPr>
        <w:t xml:space="preserve">   </w:t>
      </w:r>
      <w:r>
        <w:rPr>
          <w:rFonts w:hint="eastAsia" w:ascii="宋体" w:hAnsi="宋体"/>
          <w:color w:val="auto"/>
          <w:highlight w:val="none"/>
        </w:rPr>
        <w:t>天内无条件更换合格的货物，如逾期不能更换合格的货物，甲方有权终止本合同，乙方应另付合同总价的百分之</w:t>
      </w:r>
      <w:r>
        <w:rPr>
          <w:rFonts w:hint="eastAsia" w:ascii="宋体" w:hAnsi="宋体"/>
          <w:color w:val="auto"/>
          <w:highlight w:val="none"/>
          <w:u w:val="single"/>
        </w:rPr>
        <w:t xml:space="preserve">   </w:t>
      </w:r>
      <w:r>
        <w:rPr>
          <w:rFonts w:hint="eastAsia" w:ascii="宋体" w:hAnsi="宋体"/>
          <w:color w:val="auto"/>
          <w:highlight w:val="none"/>
        </w:rPr>
        <w:t>的赔偿金给甲方。</w:t>
      </w:r>
    </w:p>
    <w:p>
      <w:pPr>
        <w:pStyle w:val="63"/>
        <w:ind w:firstLine="480"/>
        <w:rPr>
          <w:rFonts w:ascii="宋体" w:hAnsi="宋体"/>
          <w:color w:val="auto"/>
          <w:highlight w:val="none"/>
        </w:rPr>
      </w:pPr>
      <w:r>
        <w:rPr>
          <w:rFonts w:hint="eastAsia" w:ascii="宋体" w:hAnsi="宋体"/>
          <w:color w:val="auto"/>
          <w:highlight w:val="none"/>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hint="eastAsia" w:ascii="宋体" w:hAnsi="宋体"/>
          <w:color w:val="auto"/>
          <w:highlight w:val="none"/>
          <w:u w:val="single"/>
        </w:rPr>
        <w:t xml:space="preserve">   </w:t>
      </w:r>
      <w:r>
        <w:rPr>
          <w:rFonts w:hint="eastAsia" w:ascii="宋体" w:hAnsi="宋体"/>
          <w:color w:val="auto"/>
          <w:highlight w:val="none"/>
        </w:rPr>
        <w:t>向甲方支付违约金并赔偿因此给甲方造成的一切损失。</w:t>
      </w:r>
    </w:p>
    <w:p>
      <w:pPr>
        <w:pStyle w:val="63"/>
        <w:ind w:firstLine="480"/>
        <w:rPr>
          <w:rFonts w:ascii="宋体" w:hAnsi="宋体"/>
          <w:color w:val="auto"/>
          <w:highlight w:val="none"/>
        </w:rPr>
      </w:pPr>
      <w:r>
        <w:rPr>
          <w:rFonts w:hint="eastAsia" w:ascii="宋体" w:hAnsi="宋体"/>
          <w:color w:val="auto"/>
          <w:highlight w:val="none"/>
        </w:rPr>
        <w:t>（5）乙方偿付的违约金不足以弥补甲方损失的，还应按甲方损失尚未弥补的部分，支付赔偿金给甲方。</w:t>
      </w:r>
    </w:p>
    <w:p>
      <w:pPr>
        <w:pStyle w:val="4"/>
        <w:spacing w:line="400" w:lineRule="exact"/>
        <w:ind w:firstLine="482" w:firstLineChars="200"/>
        <w:rPr>
          <w:rFonts w:ascii="宋体" w:hAnsi="宋体" w:eastAsia="宋体" w:cs="宋体"/>
          <w:color w:val="auto"/>
          <w:sz w:val="24"/>
          <w:szCs w:val="24"/>
          <w:highlight w:val="none"/>
        </w:rPr>
      </w:pPr>
      <w:bookmarkStart w:id="214" w:name="_Toc217446114"/>
      <w:r>
        <w:rPr>
          <w:rFonts w:hint="eastAsia" w:ascii="宋体" w:hAnsi="宋体" w:eastAsia="宋体" w:cs="宋体"/>
          <w:color w:val="auto"/>
          <w:sz w:val="24"/>
          <w:szCs w:val="24"/>
          <w:highlight w:val="none"/>
        </w:rPr>
        <w:t>八、争议解决办法</w:t>
      </w:r>
      <w:bookmarkEnd w:id="214"/>
    </w:p>
    <w:p>
      <w:pPr>
        <w:pStyle w:val="63"/>
        <w:ind w:firstLine="480"/>
        <w:rPr>
          <w:rFonts w:ascii="宋体" w:hAnsi="宋体"/>
          <w:color w:val="auto"/>
          <w:highlight w:val="none"/>
        </w:rPr>
      </w:pPr>
      <w:r>
        <w:rPr>
          <w:rFonts w:hint="eastAsia" w:ascii="宋体" w:hAnsi="宋体"/>
          <w:color w:val="auto"/>
          <w:highlight w:val="none"/>
        </w:rPr>
        <w:t>1、因货物的质量问题发生争议，由质量技术监督部门或其指定的质量鉴定机构进行质量鉴定。货物符合标准的，鉴定费由甲方承担；货物不符合质量标准的，鉴定费由乙方承担。</w:t>
      </w:r>
    </w:p>
    <w:p>
      <w:pPr>
        <w:pStyle w:val="63"/>
        <w:ind w:firstLine="480"/>
        <w:rPr>
          <w:rFonts w:ascii="宋体" w:hAnsi="宋体"/>
          <w:color w:val="auto"/>
          <w:highlight w:val="none"/>
        </w:rPr>
      </w:pPr>
      <w:r>
        <w:rPr>
          <w:rFonts w:hint="eastAsia" w:ascii="宋体" w:hAnsi="宋体"/>
          <w:color w:val="auto"/>
          <w:highlight w:val="none"/>
        </w:rPr>
        <w:t>2、合同履行期间,若双方发生争议，可协商或由有关部门调解解决，协商或调解不成的，由当事人依法维护其合法权益。</w:t>
      </w:r>
    </w:p>
    <w:p>
      <w:pPr>
        <w:pStyle w:val="4"/>
        <w:spacing w:line="400" w:lineRule="exact"/>
        <w:ind w:firstLine="482" w:firstLineChars="200"/>
        <w:rPr>
          <w:rFonts w:ascii="宋体" w:hAnsi="宋体" w:eastAsia="宋体" w:cs="宋体"/>
          <w:color w:val="auto"/>
          <w:sz w:val="24"/>
          <w:szCs w:val="24"/>
          <w:highlight w:val="none"/>
        </w:rPr>
      </w:pPr>
      <w:bookmarkStart w:id="215" w:name="_Toc217446115"/>
      <w:r>
        <w:rPr>
          <w:rFonts w:hint="eastAsia" w:ascii="宋体" w:hAnsi="宋体" w:eastAsia="宋体" w:cs="宋体"/>
          <w:color w:val="auto"/>
          <w:sz w:val="24"/>
          <w:szCs w:val="24"/>
          <w:highlight w:val="none"/>
        </w:rPr>
        <w:t>九、其他</w:t>
      </w:r>
      <w:bookmarkEnd w:id="215"/>
    </w:p>
    <w:p>
      <w:pPr>
        <w:pStyle w:val="63"/>
        <w:ind w:firstLine="480"/>
        <w:rPr>
          <w:rFonts w:ascii="宋体" w:hAnsi="宋体"/>
          <w:color w:val="auto"/>
          <w:highlight w:val="none"/>
        </w:rPr>
      </w:pPr>
      <w:r>
        <w:rPr>
          <w:rFonts w:hint="eastAsia" w:ascii="宋体" w:hAnsi="宋体"/>
          <w:color w:val="auto"/>
          <w:highlight w:val="none"/>
        </w:rPr>
        <w:t>1、如有未尽事宜，由双方依法订立补充合同。</w:t>
      </w:r>
    </w:p>
    <w:p>
      <w:pPr>
        <w:pStyle w:val="63"/>
        <w:ind w:firstLine="480"/>
        <w:rPr>
          <w:rFonts w:ascii="宋体" w:hAnsi="宋体"/>
          <w:color w:val="auto"/>
          <w:highlight w:val="none"/>
        </w:rPr>
      </w:pPr>
      <w:r>
        <w:rPr>
          <w:rFonts w:hint="eastAsia" w:ascii="宋体" w:hAnsi="宋体"/>
          <w:color w:val="auto"/>
          <w:highlight w:val="none"/>
        </w:rPr>
        <w:t>2、本合同一式六份，自双方签章之日起生效。甲方三份，乙方、政府采购管理部门、采购代理机构各一份。</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甲方：   （盖章）   </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乙方：   （盖章）</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法定代表人（授权代表）：            法定代表人（授权代表）：</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地    址：                         地    址：</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开户银行：                         开户银行：</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账号：                             账号：</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电    话：                         电    话：</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传    真：                         传    真：</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签约日期：XX年XX月XX日 </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签约日期：XX年XX月XX日</w:t>
      </w:r>
    </w:p>
    <w:p>
      <w:pPr>
        <w:spacing w:line="360" w:lineRule="auto"/>
        <w:rPr>
          <w:rFonts w:ascii="宋体" w:hAnsi="宋体" w:cs="宋体"/>
          <w:color w:val="auto"/>
          <w:sz w:val="24"/>
          <w:highlight w:val="none"/>
        </w:rPr>
      </w:pPr>
    </w:p>
    <w:p>
      <w:pPr>
        <w:spacing w:line="360" w:lineRule="auto"/>
        <w:ind w:firstLine="480" w:firstLineChars="200"/>
        <w:jc w:val="left"/>
        <w:rPr>
          <w:rFonts w:ascii="宋体" w:hAnsi="宋体" w:cs="宋体"/>
          <w:color w:val="auto"/>
          <w:highlight w:val="none"/>
        </w:rPr>
      </w:pPr>
      <w:r>
        <w:rPr>
          <w:rFonts w:hint="eastAsia" w:ascii="宋体" w:hAnsi="宋体" w:cs="宋体"/>
          <w:color w:val="auto"/>
          <w:sz w:val="24"/>
          <w:highlight w:val="none"/>
        </w:rPr>
        <w:br w:type="textWrapping"/>
      </w:r>
    </w:p>
    <w:p>
      <w:pPr>
        <w:spacing w:line="360" w:lineRule="auto"/>
        <w:rPr>
          <w:rFonts w:ascii="宋体" w:hAnsi="宋体" w:cs="宋体"/>
          <w:color w:val="auto"/>
          <w:sz w:val="24"/>
          <w:highlight w:val="none"/>
        </w:rPr>
      </w:pPr>
    </w:p>
    <w:sectPr>
      <w:pgSz w:w="11905" w:h="16838"/>
      <w:pgMar w:top="1440" w:right="1474" w:bottom="1440" w:left="1474" w:header="851" w:footer="992" w:gutter="0"/>
      <w:cols w:space="720" w:num="1"/>
      <w:docGrid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Eʩ">
    <w:altName w:val="微软雅黑"/>
    <w:panose1 w:val="00000000000000000000"/>
    <w:charset w:val="00"/>
    <w:family w:val="auto"/>
    <w:pitch w:val="default"/>
    <w:sig w:usb0="00000000" w:usb1="00000000" w:usb2="00000000" w:usb3="00000000" w:csb0="00040001" w:csb1="00000000"/>
  </w:font>
  <w:font w:name="CIDFont + F2">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IDFont + F1">
    <w:altName w:val="Segoe Print"/>
    <w:panose1 w:val="00000000000000000000"/>
    <w:charset w:val="00"/>
    <w:family w:val="auto"/>
    <w:pitch w:val="default"/>
    <w:sig w:usb0="00000000" w:usb1="00000000" w:usb2="00000000" w:usb3="00000000" w:csb0="00040001" w:csb1="00000000"/>
  </w:font>
  <w:font w:name="方正仿宋">
    <w:altName w:val="仿宋"/>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after="0" w:line="240" w:lineRule="auto"/>
      <w:rPr>
        <w:rFonts w:eastAsia="方正仿宋"/>
        <w:b/>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rPr>
                              <w:rFonts w:hint="eastAsia"/>
                            </w:rPr>
                            <w:t>1</w:t>
                          </w:r>
                        </w:p>
                      </w:txbxContent>
                    </wps:txbx>
                    <wps:bodyPr wrap="none" lIns="0" tIns="0" rIns="0" bIns="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W1lhN8QBAACQAwAADgAAAAAAAAABACAAAAAeAQAAZHJzL2Uyb0RvYy54bWxQ&#10;SwUGAAAAAAYABgBZAQAAVAUAAAAA&#10;">
              <v:fill on="f" focussize="0,0"/>
              <v:stroke on="f"/>
              <v:imagedata o:title=""/>
              <o:lock v:ext="edit" aspectratio="f"/>
              <v:textbox inset="0mm,0mm,0mm,0mm" style="mso-fit-shape-to-text:t;">
                <w:txbxContent>
                  <w:p>
                    <w:pPr>
                      <w:pStyle w:val="21"/>
                    </w:pPr>
                    <w:r>
                      <w:rPr>
                        <w:rFonts w:hint="eastAsia"/>
                      </w:rPr>
                      <w:t>1</w:t>
                    </w:r>
                  </w:p>
                </w:txbxContent>
              </v:textbox>
            </v:shape>
          </w:pict>
        </mc:Fallback>
      </mc:AlternateContent>
    </w:r>
    <w:r>
      <w:rPr>
        <w:rFonts w:hint="eastAsia" w:eastAsia="方正仿宋"/>
        <w:b/>
      </w:rPr>
      <w:t>业务咨询：028-86958918    投诉建议：028-61195711</w:t>
    </w:r>
  </w:p>
  <w:p>
    <w:pPr>
      <w:pStyle w:val="21"/>
      <w:spacing w:after="0" w:line="240" w:lineRule="auto"/>
      <w:rPr>
        <w:rFonts w:eastAsia="方正仿宋"/>
        <w:b/>
      </w:rPr>
    </w:pPr>
    <w:r>
      <w:rPr>
        <w:rFonts w:hint="eastAsia" w:eastAsia="方正仿宋"/>
        <w:b/>
      </w:rPr>
      <w:t>地址：四川省成都市武侯区武科东四路18号联邦财富中心1-2-1005（C）</w:t>
    </w:r>
  </w:p>
  <w:p>
    <w:pPr>
      <w:pStyle w:val="2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after="0" w:line="240" w:lineRule="auto"/>
      <w:rPr>
        <w:rFonts w:eastAsia="方正仿宋"/>
        <w:b/>
      </w:rPr>
    </w:pPr>
    <w:r>
      <w:rPr>
        <w:rFonts w:hint="eastAsia" w:eastAsia="方正仿宋"/>
        <w:b/>
      </w:rPr>
      <w:t>业务咨询：028-86958918                                                       投诉建议：028-61195711</w:t>
    </w:r>
  </w:p>
  <w:p>
    <w:pPr>
      <w:pStyle w:val="21"/>
      <w:spacing w:after="0" w:line="240" w:lineRule="auto"/>
      <w:rPr>
        <w:rFonts w:eastAsia="方正仿宋"/>
      </w:rPr>
    </w:pPr>
    <w:r>
      <w:rPr>
        <w:rFonts w:hint="eastAsia" w:eastAsia="方正仿宋"/>
        <w:b/>
      </w:rPr>
      <w:t>地址：四川省成都市武侯区武科东四路18号联邦财富中心1-2-1005（C）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after="0" w:line="240" w:lineRule="auto"/>
      <w:rPr>
        <w:rFonts w:eastAsia="方正仿宋"/>
        <w:b/>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wps:txbx>
                    <wps:bodyPr wrap="none" lIns="0" tIns="0" rIns="0" bIns="0">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BvH2NwwEAAI4DAAAOAAAAAAAAAAEAIAAAAB4BAABkcnMvZTJvRG9jLnhtbFBL&#10;BQYAAAAABgAGAFkBAABTBQAAAAA=&#10;">
              <v:fill on="f" focussize="0,0"/>
              <v:stroke on="f"/>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rPr>
                              <w:rFonts w:hint="eastAsia"/>
                            </w:rPr>
                            <w:t>1</w:t>
                          </w:r>
                        </w:p>
                      </w:txbxContent>
                    </wps:txbx>
                    <wps:bodyPr wrap="none" lIns="0" tIns="0" rIns="0" bIns="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s2zJosQBAACQAwAADgAAAAAAAAABACAAAAAeAQAAZHJzL2Uyb0RvYy54bWxQ&#10;SwUGAAAAAAYABgBZAQAAVAUAAAAA&#10;">
              <v:fill on="f" focussize="0,0"/>
              <v:stroke on="f"/>
              <v:imagedata o:title=""/>
              <o:lock v:ext="edit" aspectratio="f"/>
              <v:textbox inset="0mm,0mm,0mm,0mm" style="mso-fit-shape-to-text:t;">
                <w:txbxContent>
                  <w:p>
                    <w:pPr>
                      <w:pStyle w:val="21"/>
                    </w:pPr>
                    <w:r>
                      <w:rPr>
                        <w:rFonts w:hint="eastAsia"/>
                      </w:rPr>
                      <w:t>1</w:t>
                    </w:r>
                  </w:p>
                </w:txbxContent>
              </v:textbox>
            </v:shape>
          </w:pict>
        </mc:Fallback>
      </mc:AlternateContent>
    </w:r>
    <w:r>
      <w:rPr>
        <w:rFonts w:hint="eastAsia" w:eastAsia="方正仿宋"/>
        <w:b/>
      </w:rPr>
      <w:t>业务咨询：028-86958918    投诉建议：028-61195711</w:t>
    </w:r>
  </w:p>
  <w:p>
    <w:pPr>
      <w:pStyle w:val="21"/>
      <w:spacing w:after="0" w:line="240" w:lineRule="auto"/>
      <w:rPr>
        <w:rFonts w:eastAsia="方正仿宋"/>
        <w:b/>
      </w:rPr>
    </w:pPr>
    <w:r>
      <w:rPr>
        <w:rFonts w:hint="eastAsia" w:eastAsia="方正仿宋"/>
        <w:b/>
      </w:rPr>
      <w:t>地址：四川省成都市武侯区武科东四路18号联邦财富中心1-2-1005（C）</w:t>
    </w:r>
  </w:p>
  <w:p>
    <w:pPr>
      <w:pStyle w:val="21"/>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after="0" w:line="240" w:lineRule="auto"/>
      <w:rPr>
        <w:rFonts w:eastAsia="方正仿宋"/>
        <w:b/>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文本框 3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ng9C5wwEAAI4DAAAOAAAAAAAAAAEAIAAAAB4BAABkcnMvZTJvRG9jLnhtbFBL&#10;BQYAAAAABgAGAFkBAABTBQAAAAA=&#10;">
              <v:fill on="f" focussize="0,0"/>
              <v:stroke on="f"/>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w:rPr>
        <w:rFonts w:hint="eastAsia" w:eastAsia="方正仿宋"/>
        <w:b/>
      </w:rPr>
      <w:t>业务咨询：028-86958918                                                       投诉建议：028-61195711</w:t>
    </w:r>
  </w:p>
  <w:p>
    <w:pPr>
      <w:pStyle w:val="21"/>
      <w:spacing w:after="0" w:line="240" w:lineRule="auto"/>
      <w:rPr>
        <w:rFonts w:eastAsia="方正仿宋"/>
      </w:rPr>
    </w:pPr>
    <w:r>
      <w:rPr>
        <w:rFonts w:hint="eastAsia" w:eastAsia="方正仿宋"/>
        <w:b/>
      </w:rPr>
      <w:t>地址：四川省成都市武侯区武科东四路18号联邦财富中心1-2-1005（C）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文本框 3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e/Si0wwEAAI4DAAAOAAAAAAAAAAEAIAAAAB4BAABkcnMvZTJvRG9jLnhtbFBL&#10;BQYAAAAABgAGAFkBAABTBQAAAAA=&#10;">
              <v:fill on="f" focussize="0,0"/>
              <v:stroke on="f"/>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a:spAutoFit/>
                    </wps:bodyPr>
                  </wps:wsp>
                </a:graphicData>
              </a:graphic>
            </wp:anchor>
          </w:drawing>
        </mc:Choice>
        <mc:Fallback>
          <w:pict>
            <v:shape id="文本框 3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R3jpFwwEAAI4DAAAOAAAAAAAAAAEAIAAAAB4BAABkcnMvZTJvRG9jLnhtbFBL&#10;BQYAAAAABgAGAFkBAABTBQAAAAA=&#10;">
              <v:fill on="f" focussize="0,0"/>
              <v:stroke on="f"/>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a:spAutoFit/>
                    </wps:bodyPr>
                  </wps:wsp>
                </a:graphicData>
              </a:graphic>
            </wp:anchor>
          </w:drawing>
        </mc:Choice>
        <mc:Fallback>
          <w:pict>
            <v:shape id="文本框 38"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lRZy6wwEAAI4DAAAOAAAAAAAAAAEAIAAAAB4BAABkcnMvZTJvRG9jLnhtbFBL&#10;BQYAAAAABgAGAFkBAABTBQAAAAA=&#10;">
              <v:fill on="f" focussize="0,0"/>
              <v:stroke on="f"/>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6300" w:hanging="6300" w:hangingChars="350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wrap="none" lIns="0" tIns="0" rIns="0" bIns="0">
                      <a:spAutoFit/>
                    </wps:bodyPr>
                  </wps:wsp>
                </a:graphicData>
              </a:graphic>
            </wp:anchor>
          </w:drawing>
        </mc:Choice>
        <mc:Fallback>
          <w:pict>
            <v:shape id="文本框 39"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EQ+3sIBAACOAwAADgAAAGRycy9lMm9Eb2MueG1srVPNjtMwEL4j8Q6W&#10;79TZI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UBy74xYHfv754/zrz/n3d/L6&#10;bdanD1Bj2m3AxDS89wNuzewHdGbag4o2f5EQwTiqe7qoK4dERH60Wq5WFYYExuYL4rP75yFC+iC9&#10;JdloaMTxFVX58ROkMXVOydWcv9HGlBEa958DMbOH5d7HHrOVht0wEdr59oR8epx8Qx0uOiXmo0Nh&#10;85LMRpyN3WTkGhDeHRIWLv1k1BFqKoZjKoymlcp78O+9ZN3/Rp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BEPt7CAQAAjgMAAA4AAAAAAAAAAQAgAAAAHgEAAGRycy9lMm9Eb2MueG1sUEsF&#10;BgAAAAAGAAYAWQEAAFIFAAAAAA==&#10;">
              <v:fill on="f" focussize="0,0"/>
              <v:stroke on="f"/>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tabs>
        <w:tab w:val="left" w:pos="1190"/>
      </w:tabs>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jc w:val="both"/>
    </w:pPr>
    <w:r>
      <w:rPr>
        <w:rFonts w:hint="eastAsia" w:ascii="宋体" w:hAnsi="宋体" w:cs="宋体"/>
        <w:color w:val="000000"/>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0A4A5B"/>
    <w:multiLevelType w:val="singleLevel"/>
    <w:tmpl w:val="9D0A4A5B"/>
    <w:lvl w:ilvl="0" w:tentative="0">
      <w:start w:val="4"/>
      <w:numFmt w:val="chineseCounting"/>
      <w:suff w:val="nothing"/>
      <w:lvlText w:val="%1、"/>
      <w:lvlJc w:val="left"/>
      <w:rPr>
        <w:rFonts w:hint="eastAsia"/>
      </w:rPr>
    </w:lvl>
  </w:abstractNum>
  <w:abstractNum w:abstractNumId="1">
    <w:nsid w:val="587D89C6"/>
    <w:multiLevelType w:val="singleLevel"/>
    <w:tmpl w:val="587D89C6"/>
    <w:lvl w:ilvl="0" w:tentative="0">
      <w:start w:val="1"/>
      <w:numFmt w:val="decimal"/>
      <w:suff w:val="nothing"/>
      <w:lvlText w:val="%1、"/>
      <w:lvlJc w:val="left"/>
    </w:lvl>
  </w:abstractNum>
  <w:abstractNum w:abstractNumId="2">
    <w:nsid w:val="58807131"/>
    <w:multiLevelType w:val="singleLevel"/>
    <w:tmpl w:val="58807131"/>
    <w:lvl w:ilvl="0" w:tentative="0">
      <w:start w:val="1"/>
      <w:numFmt w:val="decimal"/>
      <w:suff w:val="nothing"/>
      <w:lvlText w:val="%1、"/>
      <w:lvlJc w:val="left"/>
    </w:lvl>
  </w:abstractNum>
  <w:abstractNum w:abstractNumId="3">
    <w:nsid w:val="58EC9FF9"/>
    <w:multiLevelType w:val="singleLevel"/>
    <w:tmpl w:val="58EC9FF9"/>
    <w:lvl w:ilvl="0" w:tentative="0">
      <w:start w:val="2"/>
      <w:numFmt w:val="decimal"/>
      <w:suff w:val="nothing"/>
      <w:lvlText w:val="%1、"/>
      <w:lvlJc w:val="left"/>
    </w:lvl>
  </w:abstractNum>
  <w:abstractNum w:abstractNumId="4">
    <w:nsid w:val="59C07086"/>
    <w:multiLevelType w:val="multilevel"/>
    <w:tmpl w:val="59C07086"/>
    <w:lvl w:ilvl="0" w:tentative="0">
      <w:start w:val="1"/>
      <w:numFmt w:val="decimal"/>
      <w:suff w:val="nothing"/>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dit="readOnly" w:enforcement="0"/>
  <w:defaultTabStop w:val="420"/>
  <w:evenAndOddHeaders w:val="1"/>
  <w:drawingGridHorizontalSpacing w:val="210"/>
  <w:drawingGridVerticalSpacing w:val="-794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E81"/>
    <w:rsid w:val="00007AD8"/>
    <w:rsid w:val="00016DF6"/>
    <w:rsid w:val="00017150"/>
    <w:rsid w:val="00022E18"/>
    <w:rsid w:val="00026152"/>
    <w:rsid w:val="00031B04"/>
    <w:rsid w:val="00036751"/>
    <w:rsid w:val="00036D17"/>
    <w:rsid w:val="00036EEF"/>
    <w:rsid w:val="0004208F"/>
    <w:rsid w:val="00060BF7"/>
    <w:rsid w:val="000625D4"/>
    <w:rsid w:val="00062AA7"/>
    <w:rsid w:val="00063B2E"/>
    <w:rsid w:val="000705EB"/>
    <w:rsid w:val="00072E9C"/>
    <w:rsid w:val="00075C5E"/>
    <w:rsid w:val="000760E2"/>
    <w:rsid w:val="00090B42"/>
    <w:rsid w:val="000912B1"/>
    <w:rsid w:val="00091BAB"/>
    <w:rsid w:val="00093327"/>
    <w:rsid w:val="000934AD"/>
    <w:rsid w:val="00095107"/>
    <w:rsid w:val="000965E1"/>
    <w:rsid w:val="000A133D"/>
    <w:rsid w:val="000A1509"/>
    <w:rsid w:val="000A246A"/>
    <w:rsid w:val="000A2A8E"/>
    <w:rsid w:val="000A3056"/>
    <w:rsid w:val="000A3DA2"/>
    <w:rsid w:val="000A70F2"/>
    <w:rsid w:val="000B2499"/>
    <w:rsid w:val="000B36E8"/>
    <w:rsid w:val="000B4220"/>
    <w:rsid w:val="000C297C"/>
    <w:rsid w:val="000C64E9"/>
    <w:rsid w:val="000C6FE5"/>
    <w:rsid w:val="000D22E0"/>
    <w:rsid w:val="000D2B0E"/>
    <w:rsid w:val="000D5B03"/>
    <w:rsid w:val="000D717B"/>
    <w:rsid w:val="000D7649"/>
    <w:rsid w:val="000F363F"/>
    <w:rsid w:val="000F7505"/>
    <w:rsid w:val="001040AB"/>
    <w:rsid w:val="001068FD"/>
    <w:rsid w:val="00114138"/>
    <w:rsid w:val="0011592E"/>
    <w:rsid w:val="001169EC"/>
    <w:rsid w:val="001300AD"/>
    <w:rsid w:val="001324D0"/>
    <w:rsid w:val="0014031B"/>
    <w:rsid w:val="001406AF"/>
    <w:rsid w:val="00142926"/>
    <w:rsid w:val="00146F4B"/>
    <w:rsid w:val="001471B2"/>
    <w:rsid w:val="00151BF2"/>
    <w:rsid w:val="001635E5"/>
    <w:rsid w:val="00171EB2"/>
    <w:rsid w:val="00172A27"/>
    <w:rsid w:val="0017346E"/>
    <w:rsid w:val="0017673A"/>
    <w:rsid w:val="00177C67"/>
    <w:rsid w:val="00181D0E"/>
    <w:rsid w:val="00190666"/>
    <w:rsid w:val="0019289D"/>
    <w:rsid w:val="00192AE7"/>
    <w:rsid w:val="00194C80"/>
    <w:rsid w:val="00194D30"/>
    <w:rsid w:val="00194FCB"/>
    <w:rsid w:val="00197444"/>
    <w:rsid w:val="0019755D"/>
    <w:rsid w:val="001A34F3"/>
    <w:rsid w:val="001A6131"/>
    <w:rsid w:val="001B171B"/>
    <w:rsid w:val="001B1735"/>
    <w:rsid w:val="001B3EC5"/>
    <w:rsid w:val="001B6CE3"/>
    <w:rsid w:val="001C03A0"/>
    <w:rsid w:val="001C4A73"/>
    <w:rsid w:val="001C6129"/>
    <w:rsid w:val="001C6ECA"/>
    <w:rsid w:val="001D4748"/>
    <w:rsid w:val="001D4C75"/>
    <w:rsid w:val="001E69D8"/>
    <w:rsid w:val="001E7DDD"/>
    <w:rsid w:val="001F16B7"/>
    <w:rsid w:val="001F1BA6"/>
    <w:rsid w:val="001F7393"/>
    <w:rsid w:val="001F76E7"/>
    <w:rsid w:val="0020039F"/>
    <w:rsid w:val="00202A19"/>
    <w:rsid w:val="00203A74"/>
    <w:rsid w:val="0020598C"/>
    <w:rsid w:val="002120E1"/>
    <w:rsid w:val="002129B6"/>
    <w:rsid w:val="00213269"/>
    <w:rsid w:val="0021461E"/>
    <w:rsid w:val="00216109"/>
    <w:rsid w:val="00217312"/>
    <w:rsid w:val="0022001E"/>
    <w:rsid w:val="00227396"/>
    <w:rsid w:val="002345F1"/>
    <w:rsid w:val="00234CA2"/>
    <w:rsid w:val="0023577B"/>
    <w:rsid w:val="00237A7C"/>
    <w:rsid w:val="00261999"/>
    <w:rsid w:val="002636ED"/>
    <w:rsid w:val="0026479C"/>
    <w:rsid w:val="00266675"/>
    <w:rsid w:val="002703ED"/>
    <w:rsid w:val="00276E6C"/>
    <w:rsid w:val="002967CE"/>
    <w:rsid w:val="00297306"/>
    <w:rsid w:val="00297E79"/>
    <w:rsid w:val="002A3283"/>
    <w:rsid w:val="002A42CB"/>
    <w:rsid w:val="002B0731"/>
    <w:rsid w:val="002B1E39"/>
    <w:rsid w:val="002B2897"/>
    <w:rsid w:val="002B3F90"/>
    <w:rsid w:val="002B734E"/>
    <w:rsid w:val="002C195F"/>
    <w:rsid w:val="002C3D95"/>
    <w:rsid w:val="002C4334"/>
    <w:rsid w:val="002D042C"/>
    <w:rsid w:val="002D4ECA"/>
    <w:rsid w:val="002E001F"/>
    <w:rsid w:val="002E1BC2"/>
    <w:rsid w:val="002E328B"/>
    <w:rsid w:val="002E4062"/>
    <w:rsid w:val="002F2798"/>
    <w:rsid w:val="00301A28"/>
    <w:rsid w:val="003070DB"/>
    <w:rsid w:val="003073D8"/>
    <w:rsid w:val="00307829"/>
    <w:rsid w:val="00313703"/>
    <w:rsid w:val="00313DC0"/>
    <w:rsid w:val="00314A71"/>
    <w:rsid w:val="00316EB4"/>
    <w:rsid w:val="003226A5"/>
    <w:rsid w:val="0032327E"/>
    <w:rsid w:val="003236C6"/>
    <w:rsid w:val="003300C6"/>
    <w:rsid w:val="003300EE"/>
    <w:rsid w:val="00330FC4"/>
    <w:rsid w:val="00331608"/>
    <w:rsid w:val="003354C8"/>
    <w:rsid w:val="00336716"/>
    <w:rsid w:val="00346B52"/>
    <w:rsid w:val="00347D55"/>
    <w:rsid w:val="003503B7"/>
    <w:rsid w:val="00351DDE"/>
    <w:rsid w:val="00354F55"/>
    <w:rsid w:val="00360B05"/>
    <w:rsid w:val="00362342"/>
    <w:rsid w:val="00363398"/>
    <w:rsid w:val="0036414E"/>
    <w:rsid w:val="003651A1"/>
    <w:rsid w:val="00367B8E"/>
    <w:rsid w:val="00370B3A"/>
    <w:rsid w:val="003733EE"/>
    <w:rsid w:val="003738E0"/>
    <w:rsid w:val="00374339"/>
    <w:rsid w:val="00374A00"/>
    <w:rsid w:val="003759E8"/>
    <w:rsid w:val="00376884"/>
    <w:rsid w:val="00394D48"/>
    <w:rsid w:val="00397B80"/>
    <w:rsid w:val="00397CB0"/>
    <w:rsid w:val="003A071A"/>
    <w:rsid w:val="003A079A"/>
    <w:rsid w:val="003A32A6"/>
    <w:rsid w:val="003A6A7E"/>
    <w:rsid w:val="003B3C8F"/>
    <w:rsid w:val="003B4CC0"/>
    <w:rsid w:val="003C6641"/>
    <w:rsid w:val="003D09DE"/>
    <w:rsid w:val="003D2186"/>
    <w:rsid w:val="003D3C37"/>
    <w:rsid w:val="003E03F4"/>
    <w:rsid w:val="003E15DF"/>
    <w:rsid w:val="003E1ABC"/>
    <w:rsid w:val="003E2FE1"/>
    <w:rsid w:val="003F4966"/>
    <w:rsid w:val="00414E18"/>
    <w:rsid w:val="00415F60"/>
    <w:rsid w:val="00416ED9"/>
    <w:rsid w:val="00431D6C"/>
    <w:rsid w:val="00434342"/>
    <w:rsid w:val="00437902"/>
    <w:rsid w:val="00445E84"/>
    <w:rsid w:val="004476A3"/>
    <w:rsid w:val="00447BA7"/>
    <w:rsid w:val="00450051"/>
    <w:rsid w:val="0045177D"/>
    <w:rsid w:val="004557B0"/>
    <w:rsid w:val="004559DA"/>
    <w:rsid w:val="00460537"/>
    <w:rsid w:val="0046292E"/>
    <w:rsid w:val="0046576B"/>
    <w:rsid w:val="0047571F"/>
    <w:rsid w:val="00481E74"/>
    <w:rsid w:val="00482AB7"/>
    <w:rsid w:val="004836E9"/>
    <w:rsid w:val="00485B22"/>
    <w:rsid w:val="0048685F"/>
    <w:rsid w:val="00494396"/>
    <w:rsid w:val="004A0508"/>
    <w:rsid w:val="004A30DB"/>
    <w:rsid w:val="004B0037"/>
    <w:rsid w:val="004B30A1"/>
    <w:rsid w:val="004B4A5A"/>
    <w:rsid w:val="004C42FC"/>
    <w:rsid w:val="004D1262"/>
    <w:rsid w:val="004D1906"/>
    <w:rsid w:val="004D3115"/>
    <w:rsid w:val="004D491F"/>
    <w:rsid w:val="004D5675"/>
    <w:rsid w:val="004E26F0"/>
    <w:rsid w:val="004E4B68"/>
    <w:rsid w:val="004E4E93"/>
    <w:rsid w:val="004F037A"/>
    <w:rsid w:val="004F5CFF"/>
    <w:rsid w:val="00503DB5"/>
    <w:rsid w:val="00505DD8"/>
    <w:rsid w:val="00506C10"/>
    <w:rsid w:val="00507FA7"/>
    <w:rsid w:val="00512424"/>
    <w:rsid w:val="00515E57"/>
    <w:rsid w:val="00516CD7"/>
    <w:rsid w:val="005212C2"/>
    <w:rsid w:val="0052133F"/>
    <w:rsid w:val="00521906"/>
    <w:rsid w:val="00522C34"/>
    <w:rsid w:val="00534D59"/>
    <w:rsid w:val="00535A0F"/>
    <w:rsid w:val="00536B6B"/>
    <w:rsid w:val="0053715A"/>
    <w:rsid w:val="00542838"/>
    <w:rsid w:val="00550AED"/>
    <w:rsid w:val="00551D4E"/>
    <w:rsid w:val="00553CAF"/>
    <w:rsid w:val="005551AD"/>
    <w:rsid w:val="00556240"/>
    <w:rsid w:val="00561BDA"/>
    <w:rsid w:val="00562C92"/>
    <w:rsid w:val="005717CE"/>
    <w:rsid w:val="0057230F"/>
    <w:rsid w:val="005724DC"/>
    <w:rsid w:val="00572826"/>
    <w:rsid w:val="00575FAE"/>
    <w:rsid w:val="00576A9F"/>
    <w:rsid w:val="00580755"/>
    <w:rsid w:val="00583F6C"/>
    <w:rsid w:val="00584A71"/>
    <w:rsid w:val="005853F1"/>
    <w:rsid w:val="00586BFF"/>
    <w:rsid w:val="005928EB"/>
    <w:rsid w:val="0059308F"/>
    <w:rsid w:val="005962C4"/>
    <w:rsid w:val="005A3B30"/>
    <w:rsid w:val="005A5D20"/>
    <w:rsid w:val="005A6B70"/>
    <w:rsid w:val="005B0162"/>
    <w:rsid w:val="005B2A38"/>
    <w:rsid w:val="005B383D"/>
    <w:rsid w:val="005C0469"/>
    <w:rsid w:val="005C0619"/>
    <w:rsid w:val="005C5F85"/>
    <w:rsid w:val="005C7DD5"/>
    <w:rsid w:val="005D07BF"/>
    <w:rsid w:val="005D2D57"/>
    <w:rsid w:val="005D3A0A"/>
    <w:rsid w:val="005D7308"/>
    <w:rsid w:val="005E112B"/>
    <w:rsid w:val="005E25EC"/>
    <w:rsid w:val="005E6359"/>
    <w:rsid w:val="005E709D"/>
    <w:rsid w:val="005E7A54"/>
    <w:rsid w:val="005F7EC2"/>
    <w:rsid w:val="00612300"/>
    <w:rsid w:val="00614A60"/>
    <w:rsid w:val="00614DC0"/>
    <w:rsid w:val="00615095"/>
    <w:rsid w:val="00615BEE"/>
    <w:rsid w:val="006163D9"/>
    <w:rsid w:val="00621550"/>
    <w:rsid w:val="006243C6"/>
    <w:rsid w:val="00627859"/>
    <w:rsid w:val="006310EB"/>
    <w:rsid w:val="00632B8B"/>
    <w:rsid w:val="00634B10"/>
    <w:rsid w:val="006363E3"/>
    <w:rsid w:val="00636410"/>
    <w:rsid w:val="00640A83"/>
    <w:rsid w:val="00661545"/>
    <w:rsid w:val="00672C40"/>
    <w:rsid w:val="00677595"/>
    <w:rsid w:val="00680D58"/>
    <w:rsid w:val="0068412C"/>
    <w:rsid w:val="00685341"/>
    <w:rsid w:val="006853DD"/>
    <w:rsid w:val="00690CCA"/>
    <w:rsid w:val="00693C6B"/>
    <w:rsid w:val="00696FA3"/>
    <w:rsid w:val="00697C2D"/>
    <w:rsid w:val="00697E69"/>
    <w:rsid w:val="006A2753"/>
    <w:rsid w:val="006A4F7D"/>
    <w:rsid w:val="006B1BDD"/>
    <w:rsid w:val="006B24F0"/>
    <w:rsid w:val="006B4813"/>
    <w:rsid w:val="006C20DB"/>
    <w:rsid w:val="006C34CB"/>
    <w:rsid w:val="006C5A79"/>
    <w:rsid w:val="006D76E4"/>
    <w:rsid w:val="006E2549"/>
    <w:rsid w:val="006E4C50"/>
    <w:rsid w:val="006E63B6"/>
    <w:rsid w:val="006E6822"/>
    <w:rsid w:val="006F1ACB"/>
    <w:rsid w:val="006F2FC8"/>
    <w:rsid w:val="006F52E3"/>
    <w:rsid w:val="006F6F3F"/>
    <w:rsid w:val="007014F1"/>
    <w:rsid w:val="00702C80"/>
    <w:rsid w:val="00702FC0"/>
    <w:rsid w:val="00704D34"/>
    <w:rsid w:val="00706260"/>
    <w:rsid w:val="0070720E"/>
    <w:rsid w:val="00707412"/>
    <w:rsid w:val="0070786A"/>
    <w:rsid w:val="00707A38"/>
    <w:rsid w:val="00712976"/>
    <w:rsid w:val="007164CD"/>
    <w:rsid w:val="007171DF"/>
    <w:rsid w:val="00721BDE"/>
    <w:rsid w:val="00727510"/>
    <w:rsid w:val="00731235"/>
    <w:rsid w:val="00732B25"/>
    <w:rsid w:val="007343BC"/>
    <w:rsid w:val="00737C32"/>
    <w:rsid w:val="00740837"/>
    <w:rsid w:val="0075240E"/>
    <w:rsid w:val="00756209"/>
    <w:rsid w:val="00757C61"/>
    <w:rsid w:val="00760C67"/>
    <w:rsid w:val="00771E82"/>
    <w:rsid w:val="00775E7A"/>
    <w:rsid w:val="00776BF1"/>
    <w:rsid w:val="0078341B"/>
    <w:rsid w:val="007935F3"/>
    <w:rsid w:val="0079593C"/>
    <w:rsid w:val="007A18B5"/>
    <w:rsid w:val="007A449D"/>
    <w:rsid w:val="007A683D"/>
    <w:rsid w:val="007A6B50"/>
    <w:rsid w:val="007A6B90"/>
    <w:rsid w:val="007B008A"/>
    <w:rsid w:val="007B6747"/>
    <w:rsid w:val="007D0FB9"/>
    <w:rsid w:val="007D1567"/>
    <w:rsid w:val="007D7C0B"/>
    <w:rsid w:val="007E2E12"/>
    <w:rsid w:val="007E472E"/>
    <w:rsid w:val="007E61D1"/>
    <w:rsid w:val="007F2892"/>
    <w:rsid w:val="007F4A47"/>
    <w:rsid w:val="007F4B05"/>
    <w:rsid w:val="007F4F82"/>
    <w:rsid w:val="007F5172"/>
    <w:rsid w:val="00800558"/>
    <w:rsid w:val="00806D28"/>
    <w:rsid w:val="00807ADB"/>
    <w:rsid w:val="008120D6"/>
    <w:rsid w:val="00813637"/>
    <w:rsid w:val="00814FCC"/>
    <w:rsid w:val="00817496"/>
    <w:rsid w:val="00817AAE"/>
    <w:rsid w:val="008244D1"/>
    <w:rsid w:val="00824A1E"/>
    <w:rsid w:val="00825333"/>
    <w:rsid w:val="00827C45"/>
    <w:rsid w:val="00827C4C"/>
    <w:rsid w:val="00827FA3"/>
    <w:rsid w:val="00830EB8"/>
    <w:rsid w:val="00835F45"/>
    <w:rsid w:val="0084076D"/>
    <w:rsid w:val="00840853"/>
    <w:rsid w:val="0084215B"/>
    <w:rsid w:val="00842B97"/>
    <w:rsid w:val="00845DDD"/>
    <w:rsid w:val="00852BD7"/>
    <w:rsid w:val="00855FB8"/>
    <w:rsid w:val="00863FD7"/>
    <w:rsid w:val="0087373B"/>
    <w:rsid w:val="00873D5F"/>
    <w:rsid w:val="00876DBD"/>
    <w:rsid w:val="0088474B"/>
    <w:rsid w:val="0088578D"/>
    <w:rsid w:val="00886019"/>
    <w:rsid w:val="0089237C"/>
    <w:rsid w:val="00893DAE"/>
    <w:rsid w:val="008970F1"/>
    <w:rsid w:val="008A2AF9"/>
    <w:rsid w:val="008A3EB0"/>
    <w:rsid w:val="008B1E46"/>
    <w:rsid w:val="008B5C9C"/>
    <w:rsid w:val="008D3BD8"/>
    <w:rsid w:val="008D68F9"/>
    <w:rsid w:val="008E349C"/>
    <w:rsid w:val="008E489D"/>
    <w:rsid w:val="008E5771"/>
    <w:rsid w:val="008F109B"/>
    <w:rsid w:val="008F1DDF"/>
    <w:rsid w:val="008F69DC"/>
    <w:rsid w:val="009035AC"/>
    <w:rsid w:val="00904A04"/>
    <w:rsid w:val="009056DE"/>
    <w:rsid w:val="00905E06"/>
    <w:rsid w:val="009069BA"/>
    <w:rsid w:val="00906E67"/>
    <w:rsid w:val="00906EFC"/>
    <w:rsid w:val="00907E27"/>
    <w:rsid w:val="00911B93"/>
    <w:rsid w:val="00912412"/>
    <w:rsid w:val="00912979"/>
    <w:rsid w:val="00913E3F"/>
    <w:rsid w:val="009164B3"/>
    <w:rsid w:val="009168D9"/>
    <w:rsid w:val="00916F97"/>
    <w:rsid w:val="00921587"/>
    <w:rsid w:val="009251C5"/>
    <w:rsid w:val="009255E4"/>
    <w:rsid w:val="009257B9"/>
    <w:rsid w:val="00933580"/>
    <w:rsid w:val="00935D90"/>
    <w:rsid w:val="0094114F"/>
    <w:rsid w:val="00944128"/>
    <w:rsid w:val="00947BCD"/>
    <w:rsid w:val="009533B5"/>
    <w:rsid w:val="00953456"/>
    <w:rsid w:val="009612DF"/>
    <w:rsid w:val="00964307"/>
    <w:rsid w:val="00964C19"/>
    <w:rsid w:val="00965B2F"/>
    <w:rsid w:val="009662BC"/>
    <w:rsid w:val="009667DB"/>
    <w:rsid w:val="009676AA"/>
    <w:rsid w:val="009777EC"/>
    <w:rsid w:val="00990D83"/>
    <w:rsid w:val="00992DFA"/>
    <w:rsid w:val="0099546F"/>
    <w:rsid w:val="00996F31"/>
    <w:rsid w:val="009979FD"/>
    <w:rsid w:val="009A0B08"/>
    <w:rsid w:val="009A3E04"/>
    <w:rsid w:val="009B1577"/>
    <w:rsid w:val="009B3F19"/>
    <w:rsid w:val="009B6D5B"/>
    <w:rsid w:val="009B7BA3"/>
    <w:rsid w:val="009C23E6"/>
    <w:rsid w:val="009C613A"/>
    <w:rsid w:val="009C7420"/>
    <w:rsid w:val="009D4088"/>
    <w:rsid w:val="009D5489"/>
    <w:rsid w:val="009D60C2"/>
    <w:rsid w:val="009E66AF"/>
    <w:rsid w:val="009F0956"/>
    <w:rsid w:val="009F0D87"/>
    <w:rsid w:val="009F20CB"/>
    <w:rsid w:val="009F4AFF"/>
    <w:rsid w:val="009F72AD"/>
    <w:rsid w:val="00A01D50"/>
    <w:rsid w:val="00A02ADE"/>
    <w:rsid w:val="00A0428C"/>
    <w:rsid w:val="00A12EDC"/>
    <w:rsid w:val="00A13781"/>
    <w:rsid w:val="00A20D61"/>
    <w:rsid w:val="00A214F2"/>
    <w:rsid w:val="00A23584"/>
    <w:rsid w:val="00A30A91"/>
    <w:rsid w:val="00A34123"/>
    <w:rsid w:val="00A40AE5"/>
    <w:rsid w:val="00A41976"/>
    <w:rsid w:val="00A42DA7"/>
    <w:rsid w:val="00A43E09"/>
    <w:rsid w:val="00A44B42"/>
    <w:rsid w:val="00A44C13"/>
    <w:rsid w:val="00A51E44"/>
    <w:rsid w:val="00A53201"/>
    <w:rsid w:val="00A55B4C"/>
    <w:rsid w:val="00A57FAB"/>
    <w:rsid w:val="00A61AC1"/>
    <w:rsid w:val="00A62DC1"/>
    <w:rsid w:val="00A63261"/>
    <w:rsid w:val="00A632E6"/>
    <w:rsid w:val="00A64A7B"/>
    <w:rsid w:val="00A66FE3"/>
    <w:rsid w:val="00A73275"/>
    <w:rsid w:val="00A73AA3"/>
    <w:rsid w:val="00A73C7A"/>
    <w:rsid w:val="00A75066"/>
    <w:rsid w:val="00A77BAE"/>
    <w:rsid w:val="00A82D03"/>
    <w:rsid w:val="00A846E6"/>
    <w:rsid w:val="00A95415"/>
    <w:rsid w:val="00AA1C81"/>
    <w:rsid w:val="00AA3393"/>
    <w:rsid w:val="00AB0302"/>
    <w:rsid w:val="00AB40B8"/>
    <w:rsid w:val="00AB4DF1"/>
    <w:rsid w:val="00AB7BF3"/>
    <w:rsid w:val="00AC3E85"/>
    <w:rsid w:val="00AC5321"/>
    <w:rsid w:val="00AC6736"/>
    <w:rsid w:val="00AD0386"/>
    <w:rsid w:val="00AD0A60"/>
    <w:rsid w:val="00AD40EC"/>
    <w:rsid w:val="00AD76EC"/>
    <w:rsid w:val="00AE3136"/>
    <w:rsid w:val="00AE5163"/>
    <w:rsid w:val="00AE55DC"/>
    <w:rsid w:val="00AF15D1"/>
    <w:rsid w:val="00AF220B"/>
    <w:rsid w:val="00AF5D9A"/>
    <w:rsid w:val="00AF5EB2"/>
    <w:rsid w:val="00AF71D5"/>
    <w:rsid w:val="00B122D1"/>
    <w:rsid w:val="00B2007F"/>
    <w:rsid w:val="00B238C8"/>
    <w:rsid w:val="00B243DE"/>
    <w:rsid w:val="00B253EC"/>
    <w:rsid w:val="00B27E55"/>
    <w:rsid w:val="00B354C2"/>
    <w:rsid w:val="00B403EC"/>
    <w:rsid w:val="00B40FD2"/>
    <w:rsid w:val="00B50895"/>
    <w:rsid w:val="00B50900"/>
    <w:rsid w:val="00B50E3A"/>
    <w:rsid w:val="00B5278E"/>
    <w:rsid w:val="00B52A1D"/>
    <w:rsid w:val="00B54097"/>
    <w:rsid w:val="00B57B8A"/>
    <w:rsid w:val="00B67AD7"/>
    <w:rsid w:val="00B76F0A"/>
    <w:rsid w:val="00B80536"/>
    <w:rsid w:val="00B81FB4"/>
    <w:rsid w:val="00B8457B"/>
    <w:rsid w:val="00B849AD"/>
    <w:rsid w:val="00B87940"/>
    <w:rsid w:val="00B919BB"/>
    <w:rsid w:val="00B95CA4"/>
    <w:rsid w:val="00B95CB7"/>
    <w:rsid w:val="00B95F58"/>
    <w:rsid w:val="00B97136"/>
    <w:rsid w:val="00B9715A"/>
    <w:rsid w:val="00BA157F"/>
    <w:rsid w:val="00BA3C31"/>
    <w:rsid w:val="00BA56EA"/>
    <w:rsid w:val="00BA5A1E"/>
    <w:rsid w:val="00BA6484"/>
    <w:rsid w:val="00BA6D4C"/>
    <w:rsid w:val="00BA7FD5"/>
    <w:rsid w:val="00BB165D"/>
    <w:rsid w:val="00BB3849"/>
    <w:rsid w:val="00BB5969"/>
    <w:rsid w:val="00BC1700"/>
    <w:rsid w:val="00BC5BF2"/>
    <w:rsid w:val="00BC5FFF"/>
    <w:rsid w:val="00BD1005"/>
    <w:rsid w:val="00BD577F"/>
    <w:rsid w:val="00BE6518"/>
    <w:rsid w:val="00BE71D3"/>
    <w:rsid w:val="00C01ECC"/>
    <w:rsid w:val="00C027CC"/>
    <w:rsid w:val="00C0428D"/>
    <w:rsid w:val="00C049EB"/>
    <w:rsid w:val="00C06829"/>
    <w:rsid w:val="00C076EC"/>
    <w:rsid w:val="00C100AD"/>
    <w:rsid w:val="00C124C9"/>
    <w:rsid w:val="00C12F19"/>
    <w:rsid w:val="00C16C1B"/>
    <w:rsid w:val="00C177A5"/>
    <w:rsid w:val="00C21D6F"/>
    <w:rsid w:val="00C22B09"/>
    <w:rsid w:val="00C2388F"/>
    <w:rsid w:val="00C251CE"/>
    <w:rsid w:val="00C255F0"/>
    <w:rsid w:val="00C351E4"/>
    <w:rsid w:val="00C35DF4"/>
    <w:rsid w:val="00C36C73"/>
    <w:rsid w:val="00C421B6"/>
    <w:rsid w:val="00C5022C"/>
    <w:rsid w:val="00C508C1"/>
    <w:rsid w:val="00C54028"/>
    <w:rsid w:val="00C54267"/>
    <w:rsid w:val="00C573F3"/>
    <w:rsid w:val="00C63A38"/>
    <w:rsid w:val="00C71858"/>
    <w:rsid w:val="00C72D09"/>
    <w:rsid w:val="00C75F06"/>
    <w:rsid w:val="00C8585D"/>
    <w:rsid w:val="00C85F4E"/>
    <w:rsid w:val="00C865EB"/>
    <w:rsid w:val="00C955E0"/>
    <w:rsid w:val="00CA0C1A"/>
    <w:rsid w:val="00CA67F2"/>
    <w:rsid w:val="00CA78AF"/>
    <w:rsid w:val="00CB1E84"/>
    <w:rsid w:val="00CB1FBF"/>
    <w:rsid w:val="00CB41D2"/>
    <w:rsid w:val="00CB48DC"/>
    <w:rsid w:val="00CC5F99"/>
    <w:rsid w:val="00CD23C8"/>
    <w:rsid w:val="00CD53E4"/>
    <w:rsid w:val="00CE1B22"/>
    <w:rsid w:val="00CE4310"/>
    <w:rsid w:val="00CE4D93"/>
    <w:rsid w:val="00CF0296"/>
    <w:rsid w:val="00CF14CB"/>
    <w:rsid w:val="00CF1560"/>
    <w:rsid w:val="00CF27A1"/>
    <w:rsid w:val="00CF3CD2"/>
    <w:rsid w:val="00D000EC"/>
    <w:rsid w:val="00D01A9B"/>
    <w:rsid w:val="00D05321"/>
    <w:rsid w:val="00D06F43"/>
    <w:rsid w:val="00D102D1"/>
    <w:rsid w:val="00D13549"/>
    <w:rsid w:val="00D161C7"/>
    <w:rsid w:val="00D209AB"/>
    <w:rsid w:val="00D2353A"/>
    <w:rsid w:val="00D2666D"/>
    <w:rsid w:val="00D26877"/>
    <w:rsid w:val="00D27F60"/>
    <w:rsid w:val="00D316C7"/>
    <w:rsid w:val="00D3319D"/>
    <w:rsid w:val="00D35E79"/>
    <w:rsid w:val="00D42338"/>
    <w:rsid w:val="00D42F50"/>
    <w:rsid w:val="00D453B3"/>
    <w:rsid w:val="00D457E7"/>
    <w:rsid w:val="00D52173"/>
    <w:rsid w:val="00D53546"/>
    <w:rsid w:val="00D614F0"/>
    <w:rsid w:val="00D61F65"/>
    <w:rsid w:val="00D67157"/>
    <w:rsid w:val="00D7091B"/>
    <w:rsid w:val="00D73B4C"/>
    <w:rsid w:val="00D7441E"/>
    <w:rsid w:val="00D773C7"/>
    <w:rsid w:val="00D805D4"/>
    <w:rsid w:val="00D868C4"/>
    <w:rsid w:val="00D90F59"/>
    <w:rsid w:val="00D9143C"/>
    <w:rsid w:val="00D928EB"/>
    <w:rsid w:val="00DA1E5D"/>
    <w:rsid w:val="00DA4A29"/>
    <w:rsid w:val="00DA51BA"/>
    <w:rsid w:val="00DA6C14"/>
    <w:rsid w:val="00DC09C7"/>
    <w:rsid w:val="00DC103C"/>
    <w:rsid w:val="00DC1A76"/>
    <w:rsid w:val="00DC57D7"/>
    <w:rsid w:val="00DD15DA"/>
    <w:rsid w:val="00DD1DBE"/>
    <w:rsid w:val="00DD4C4F"/>
    <w:rsid w:val="00DD5BDA"/>
    <w:rsid w:val="00DE25B3"/>
    <w:rsid w:val="00DE3B1C"/>
    <w:rsid w:val="00DE40E4"/>
    <w:rsid w:val="00DE44FF"/>
    <w:rsid w:val="00DE4D28"/>
    <w:rsid w:val="00DF22C7"/>
    <w:rsid w:val="00E01326"/>
    <w:rsid w:val="00E01F8E"/>
    <w:rsid w:val="00E04E6B"/>
    <w:rsid w:val="00E14F06"/>
    <w:rsid w:val="00E17D3C"/>
    <w:rsid w:val="00E21EEB"/>
    <w:rsid w:val="00E24681"/>
    <w:rsid w:val="00E275F6"/>
    <w:rsid w:val="00E310A1"/>
    <w:rsid w:val="00E340AB"/>
    <w:rsid w:val="00E35AE6"/>
    <w:rsid w:val="00E36B20"/>
    <w:rsid w:val="00E36E25"/>
    <w:rsid w:val="00E3759D"/>
    <w:rsid w:val="00E46283"/>
    <w:rsid w:val="00E47B16"/>
    <w:rsid w:val="00E51527"/>
    <w:rsid w:val="00E51D6C"/>
    <w:rsid w:val="00E55CA7"/>
    <w:rsid w:val="00E55E19"/>
    <w:rsid w:val="00E61C9F"/>
    <w:rsid w:val="00E62188"/>
    <w:rsid w:val="00E64F68"/>
    <w:rsid w:val="00E67189"/>
    <w:rsid w:val="00E7037D"/>
    <w:rsid w:val="00E716D6"/>
    <w:rsid w:val="00E71735"/>
    <w:rsid w:val="00E75990"/>
    <w:rsid w:val="00E77958"/>
    <w:rsid w:val="00E81B9F"/>
    <w:rsid w:val="00E837A1"/>
    <w:rsid w:val="00E83889"/>
    <w:rsid w:val="00E83AF9"/>
    <w:rsid w:val="00E85162"/>
    <w:rsid w:val="00E8533C"/>
    <w:rsid w:val="00E863AF"/>
    <w:rsid w:val="00E868B6"/>
    <w:rsid w:val="00E86ED2"/>
    <w:rsid w:val="00E90175"/>
    <w:rsid w:val="00E902A4"/>
    <w:rsid w:val="00E902A6"/>
    <w:rsid w:val="00EA1D02"/>
    <w:rsid w:val="00EB54DE"/>
    <w:rsid w:val="00EB6A49"/>
    <w:rsid w:val="00EC166C"/>
    <w:rsid w:val="00EC4AC3"/>
    <w:rsid w:val="00EC76C3"/>
    <w:rsid w:val="00EC7CA0"/>
    <w:rsid w:val="00ED24E1"/>
    <w:rsid w:val="00ED2CAD"/>
    <w:rsid w:val="00ED46D0"/>
    <w:rsid w:val="00ED4D98"/>
    <w:rsid w:val="00ED661A"/>
    <w:rsid w:val="00F065FB"/>
    <w:rsid w:val="00F148EA"/>
    <w:rsid w:val="00F23AE8"/>
    <w:rsid w:val="00F24508"/>
    <w:rsid w:val="00F269E0"/>
    <w:rsid w:val="00F26FBC"/>
    <w:rsid w:val="00F308BA"/>
    <w:rsid w:val="00F32C53"/>
    <w:rsid w:val="00F35FB1"/>
    <w:rsid w:val="00F373BE"/>
    <w:rsid w:val="00F37BFA"/>
    <w:rsid w:val="00F42037"/>
    <w:rsid w:val="00F43258"/>
    <w:rsid w:val="00F43C59"/>
    <w:rsid w:val="00F442DF"/>
    <w:rsid w:val="00F479E6"/>
    <w:rsid w:val="00F55083"/>
    <w:rsid w:val="00F57C99"/>
    <w:rsid w:val="00F63291"/>
    <w:rsid w:val="00F6393F"/>
    <w:rsid w:val="00F67E3B"/>
    <w:rsid w:val="00F75689"/>
    <w:rsid w:val="00F76C36"/>
    <w:rsid w:val="00F77320"/>
    <w:rsid w:val="00F81882"/>
    <w:rsid w:val="00F86BF0"/>
    <w:rsid w:val="00F876B1"/>
    <w:rsid w:val="00F93F50"/>
    <w:rsid w:val="00F94479"/>
    <w:rsid w:val="00F95A37"/>
    <w:rsid w:val="00F95AC4"/>
    <w:rsid w:val="00F9604B"/>
    <w:rsid w:val="00FA167B"/>
    <w:rsid w:val="00FA3199"/>
    <w:rsid w:val="00FA3562"/>
    <w:rsid w:val="00FA4264"/>
    <w:rsid w:val="00FA6D82"/>
    <w:rsid w:val="00FB0145"/>
    <w:rsid w:val="00FB01D1"/>
    <w:rsid w:val="00FB1B06"/>
    <w:rsid w:val="00FB1D0A"/>
    <w:rsid w:val="00FB6C34"/>
    <w:rsid w:val="00FB7E82"/>
    <w:rsid w:val="00FC1AB5"/>
    <w:rsid w:val="00FC5AC5"/>
    <w:rsid w:val="00FC6E32"/>
    <w:rsid w:val="00FD14A7"/>
    <w:rsid w:val="00FE0947"/>
    <w:rsid w:val="00FE31E8"/>
    <w:rsid w:val="00FE45BA"/>
    <w:rsid w:val="00FE5A31"/>
    <w:rsid w:val="00FE6AA7"/>
    <w:rsid w:val="00FE6B0B"/>
    <w:rsid w:val="00FF1086"/>
    <w:rsid w:val="00FF1FF8"/>
    <w:rsid w:val="00FF5BBD"/>
    <w:rsid w:val="00FF658A"/>
    <w:rsid w:val="00FF7B67"/>
    <w:rsid w:val="01013085"/>
    <w:rsid w:val="01026CEE"/>
    <w:rsid w:val="010C48E6"/>
    <w:rsid w:val="01134992"/>
    <w:rsid w:val="0122639E"/>
    <w:rsid w:val="01330567"/>
    <w:rsid w:val="01370921"/>
    <w:rsid w:val="01385B54"/>
    <w:rsid w:val="01415CE4"/>
    <w:rsid w:val="0146260F"/>
    <w:rsid w:val="0157552E"/>
    <w:rsid w:val="016B3CA6"/>
    <w:rsid w:val="016B519F"/>
    <w:rsid w:val="017C2E0A"/>
    <w:rsid w:val="017C6642"/>
    <w:rsid w:val="01873793"/>
    <w:rsid w:val="019413EA"/>
    <w:rsid w:val="01AD30D5"/>
    <w:rsid w:val="01B804CF"/>
    <w:rsid w:val="01BC06F5"/>
    <w:rsid w:val="01CD7511"/>
    <w:rsid w:val="01EB3965"/>
    <w:rsid w:val="01F278AF"/>
    <w:rsid w:val="01F549B1"/>
    <w:rsid w:val="02023B35"/>
    <w:rsid w:val="02273EA6"/>
    <w:rsid w:val="022E5752"/>
    <w:rsid w:val="022E6D4C"/>
    <w:rsid w:val="02317836"/>
    <w:rsid w:val="02384328"/>
    <w:rsid w:val="023870D5"/>
    <w:rsid w:val="02430B2B"/>
    <w:rsid w:val="02AF25A3"/>
    <w:rsid w:val="02CB010E"/>
    <w:rsid w:val="02D74AE2"/>
    <w:rsid w:val="02DD5E1B"/>
    <w:rsid w:val="02E836CB"/>
    <w:rsid w:val="02ED536D"/>
    <w:rsid w:val="03067851"/>
    <w:rsid w:val="030B2F48"/>
    <w:rsid w:val="031D3329"/>
    <w:rsid w:val="032439EB"/>
    <w:rsid w:val="03386882"/>
    <w:rsid w:val="03453DBA"/>
    <w:rsid w:val="035201BC"/>
    <w:rsid w:val="035C771E"/>
    <w:rsid w:val="038C23AD"/>
    <w:rsid w:val="038E1CF6"/>
    <w:rsid w:val="03905EF7"/>
    <w:rsid w:val="039256A0"/>
    <w:rsid w:val="0397266F"/>
    <w:rsid w:val="03A23D2F"/>
    <w:rsid w:val="03B91B3C"/>
    <w:rsid w:val="03C54AC3"/>
    <w:rsid w:val="03C93DE4"/>
    <w:rsid w:val="03CA7E34"/>
    <w:rsid w:val="03CF276F"/>
    <w:rsid w:val="03D63045"/>
    <w:rsid w:val="03ED6221"/>
    <w:rsid w:val="03F80D32"/>
    <w:rsid w:val="03FE7515"/>
    <w:rsid w:val="04025F44"/>
    <w:rsid w:val="04034241"/>
    <w:rsid w:val="04104985"/>
    <w:rsid w:val="042824FE"/>
    <w:rsid w:val="044B10C4"/>
    <w:rsid w:val="044E155E"/>
    <w:rsid w:val="04570914"/>
    <w:rsid w:val="045C0CEE"/>
    <w:rsid w:val="045E4EDD"/>
    <w:rsid w:val="047D5E4D"/>
    <w:rsid w:val="048513AA"/>
    <w:rsid w:val="04987E1C"/>
    <w:rsid w:val="04A72269"/>
    <w:rsid w:val="04A92344"/>
    <w:rsid w:val="04B36BC5"/>
    <w:rsid w:val="04C06869"/>
    <w:rsid w:val="04CA1B10"/>
    <w:rsid w:val="04CA7893"/>
    <w:rsid w:val="04CD77D3"/>
    <w:rsid w:val="04CF60EB"/>
    <w:rsid w:val="04D83193"/>
    <w:rsid w:val="04D83B1F"/>
    <w:rsid w:val="04E21633"/>
    <w:rsid w:val="05052E25"/>
    <w:rsid w:val="05063A78"/>
    <w:rsid w:val="050A22FA"/>
    <w:rsid w:val="051670C4"/>
    <w:rsid w:val="05382A14"/>
    <w:rsid w:val="053E2B59"/>
    <w:rsid w:val="05411AD3"/>
    <w:rsid w:val="05502FA3"/>
    <w:rsid w:val="056E2C91"/>
    <w:rsid w:val="05725509"/>
    <w:rsid w:val="05783E88"/>
    <w:rsid w:val="057A3C32"/>
    <w:rsid w:val="058034C6"/>
    <w:rsid w:val="058412E9"/>
    <w:rsid w:val="05A6082B"/>
    <w:rsid w:val="05AB4904"/>
    <w:rsid w:val="05AF381B"/>
    <w:rsid w:val="05C16AF2"/>
    <w:rsid w:val="05CB75E9"/>
    <w:rsid w:val="05DC2BBB"/>
    <w:rsid w:val="05E46D58"/>
    <w:rsid w:val="05F6450D"/>
    <w:rsid w:val="05FC663F"/>
    <w:rsid w:val="06141A6B"/>
    <w:rsid w:val="061E5CE3"/>
    <w:rsid w:val="062126EF"/>
    <w:rsid w:val="062D26E7"/>
    <w:rsid w:val="064D5DB2"/>
    <w:rsid w:val="06516152"/>
    <w:rsid w:val="065338D6"/>
    <w:rsid w:val="0662250D"/>
    <w:rsid w:val="06640854"/>
    <w:rsid w:val="066E30A6"/>
    <w:rsid w:val="066F2F33"/>
    <w:rsid w:val="06706677"/>
    <w:rsid w:val="06787103"/>
    <w:rsid w:val="069756C9"/>
    <w:rsid w:val="06C82859"/>
    <w:rsid w:val="06C877A7"/>
    <w:rsid w:val="06D465BF"/>
    <w:rsid w:val="06DB68AF"/>
    <w:rsid w:val="06E028A2"/>
    <w:rsid w:val="06E52D3A"/>
    <w:rsid w:val="06E77423"/>
    <w:rsid w:val="06EA41D2"/>
    <w:rsid w:val="06F663E6"/>
    <w:rsid w:val="06F82B78"/>
    <w:rsid w:val="06FC5E27"/>
    <w:rsid w:val="070278E8"/>
    <w:rsid w:val="07047E71"/>
    <w:rsid w:val="07075B45"/>
    <w:rsid w:val="072A0B34"/>
    <w:rsid w:val="072E42E3"/>
    <w:rsid w:val="073825BE"/>
    <w:rsid w:val="073E0688"/>
    <w:rsid w:val="074E3A40"/>
    <w:rsid w:val="0752235A"/>
    <w:rsid w:val="07526140"/>
    <w:rsid w:val="075A293D"/>
    <w:rsid w:val="0765294B"/>
    <w:rsid w:val="076C3C4A"/>
    <w:rsid w:val="07715CD8"/>
    <w:rsid w:val="077544AB"/>
    <w:rsid w:val="0781084D"/>
    <w:rsid w:val="0785026F"/>
    <w:rsid w:val="078F2ADC"/>
    <w:rsid w:val="0791298C"/>
    <w:rsid w:val="079A32CD"/>
    <w:rsid w:val="079E4C07"/>
    <w:rsid w:val="07B23C75"/>
    <w:rsid w:val="07BC438E"/>
    <w:rsid w:val="07CC2FE1"/>
    <w:rsid w:val="07D3402A"/>
    <w:rsid w:val="07D729CE"/>
    <w:rsid w:val="07DB3765"/>
    <w:rsid w:val="07DE0DB6"/>
    <w:rsid w:val="07EB2D41"/>
    <w:rsid w:val="07EB67E4"/>
    <w:rsid w:val="08050839"/>
    <w:rsid w:val="08097AE0"/>
    <w:rsid w:val="081324F5"/>
    <w:rsid w:val="0814516B"/>
    <w:rsid w:val="081757A0"/>
    <w:rsid w:val="08187EF8"/>
    <w:rsid w:val="081C5996"/>
    <w:rsid w:val="0826455E"/>
    <w:rsid w:val="08404482"/>
    <w:rsid w:val="084423AA"/>
    <w:rsid w:val="0862065A"/>
    <w:rsid w:val="087F2248"/>
    <w:rsid w:val="08B40626"/>
    <w:rsid w:val="08B8786B"/>
    <w:rsid w:val="08BD1035"/>
    <w:rsid w:val="08CB6C96"/>
    <w:rsid w:val="08DB24E9"/>
    <w:rsid w:val="08E62770"/>
    <w:rsid w:val="08F050E1"/>
    <w:rsid w:val="08F2607C"/>
    <w:rsid w:val="08F75D11"/>
    <w:rsid w:val="090B4E48"/>
    <w:rsid w:val="091073AF"/>
    <w:rsid w:val="0919238D"/>
    <w:rsid w:val="092905AD"/>
    <w:rsid w:val="092F5CE6"/>
    <w:rsid w:val="093A1887"/>
    <w:rsid w:val="09483611"/>
    <w:rsid w:val="095B610A"/>
    <w:rsid w:val="0963253F"/>
    <w:rsid w:val="0968446C"/>
    <w:rsid w:val="096A0F44"/>
    <w:rsid w:val="096A16B9"/>
    <w:rsid w:val="09782052"/>
    <w:rsid w:val="098133CF"/>
    <w:rsid w:val="09814D2D"/>
    <w:rsid w:val="09880AD8"/>
    <w:rsid w:val="098C4C6A"/>
    <w:rsid w:val="09913808"/>
    <w:rsid w:val="099A627C"/>
    <w:rsid w:val="09BF187C"/>
    <w:rsid w:val="09ED0B00"/>
    <w:rsid w:val="09F20D4E"/>
    <w:rsid w:val="09F85994"/>
    <w:rsid w:val="09FF1592"/>
    <w:rsid w:val="0A091666"/>
    <w:rsid w:val="0A0B309F"/>
    <w:rsid w:val="0A1C381B"/>
    <w:rsid w:val="0A3E0969"/>
    <w:rsid w:val="0A3F3442"/>
    <w:rsid w:val="0A4D182C"/>
    <w:rsid w:val="0A4D328C"/>
    <w:rsid w:val="0A57126F"/>
    <w:rsid w:val="0A5A0D29"/>
    <w:rsid w:val="0A655CAC"/>
    <w:rsid w:val="0A66165C"/>
    <w:rsid w:val="0A6A11A3"/>
    <w:rsid w:val="0A6F411F"/>
    <w:rsid w:val="0A7411D0"/>
    <w:rsid w:val="0A775787"/>
    <w:rsid w:val="0A791F63"/>
    <w:rsid w:val="0A7D423B"/>
    <w:rsid w:val="0AA5328F"/>
    <w:rsid w:val="0AAD11BF"/>
    <w:rsid w:val="0AD66BE1"/>
    <w:rsid w:val="0AE05766"/>
    <w:rsid w:val="0AF91DE5"/>
    <w:rsid w:val="0B0E150E"/>
    <w:rsid w:val="0B134589"/>
    <w:rsid w:val="0B2B0345"/>
    <w:rsid w:val="0B444A47"/>
    <w:rsid w:val="0B4B5A62"/>
    <w:rsid w:val="0B54088C"/>
    <w:rsid w:val="0B650FEE"/>
    <w:rsid w:val="0B7B6DAD"/>
    <w:rsid w:val="0B7E48FD"/>
    <w:rsid w:val="0B802E51"/>
    <w:rsid w:val="0B964C0D"/>
    <w:rsid w:val="0B9902AB"/>
    <w:rsid w:val="0BB24BF5"/>
    <w:rsid w:val="0BC25087"/>
    <w:rsid w:val="0BD16D1B"/>
    <w:rsid w:val="0BDC583F"/>
    <w:rsid w:val="0BFB0153"/>
    <w:rsid w:val="0BFE0C63"/>
    <w:rsid w:val="0C102AD4"/>
    <w:rsid w:val="0C103A4C"/>
    <w:rsid w:val="0C1E6C1A"/>
    <w:rsid w:val="0C397235"/>
    <w:rsid w:val="0C5E7C0C"/>
    <w:rsid w:val="0C7D01B8"/>
    <w:rsid w:val="0C8675B4"/>
    <w:rsid w:val="0C8F3B61"/>
    <w:rsid w:val="0C934D50"/>
    <w:rsid w:val="0CA00E3D"/>
    <w:rsid w:val="0CA62292"/>
    <w:rsid w:val="0CA63802"/>
    <w:rsid w:val="0CAA4EE5"/>
    <w:rsid w:val="0CB127FE"/>
    <w:rsid w:val="0CB7728C"/>
    <w:rsid w:val="0CC63BDB"/>
    <w:rsid w:val="0CEE7E04"/>
    <w:rsid w:val="0CF13C09"/>
    <w:rsid w:val="0CFC2EE8"/>
    <w:rsid w:val="0D00116A"/>
    <w:rsid w:val="0D0274C2"/>
    <w:rsid w:val="0D2B6ABF"/>
    <w:rsid w:val="0D306576"/>
    <w:rsid w:val="0D3A3EAC"/>
    <w:rsid w:val="0D41215D"/>
    <w:rsid w:val="0D417D41"/>
    <w:rsid w:val="0D433AA0"/>
    <w:rsid w:val="0D465768"/>
    <w:rsid w:val="0D612593"/>
    <w:rsid w:val="0D6B3B83"/>
    <w:rsid w:val="0D7C1068"/>
    <w:rsid w:val="0D7F4C47"/>
    <w:rsid w:val="0D915921"/>
    <w:rsid w:val="0D981B47"/>
    <w:rsid w:val="0D986634"/>
    <w:rsid w:val="0DA1235F"/>
    <w:rsid w:val="0DA15EF5"/>
    <w:rsid w:val="0DDD13BC"/>
    <w:rsid w:val="0DF765F0"/>
    <w:rsid w:val="0E0F1D7E"/>
    <w:rsid w:val="0E1460B1"/>
    <w:rsid w:val="0E1C2C30"/>
    <w:rsid w:val="0E2B000D"/>
    <w:rsid w:val="0E2C60D4"/>
    <w:rsid w:val="0E2F068D"/>
    <w:rsid w:val="0E324232"/>
    <w:rsid w:val="0E4908E1"/>
    <w:rsid w:val="0E4C140A"/>
    <w:rsid w:val="0E4F090C"/>
    <w:rsid w:val="0E507C9E"/>
    <w:rsid w:val="0E5215C6"/>
    <w:rsid w:val="0E545AFA"/>
    <w:rsid w:val="0E5B6961"/>
    <w:rsid w:val="0E7817F2"/>
    <w:rsid w:val="0E902B91"/>
    <w:rsid w:val="0EAB56FA"/>
    <w:rsid w:val="0EBC29C0"/>
    <w:rsid w:val="0EC068FA"/>
    <w:rsid w:val="0EDF1628"/>
    <w:rsid w:val="0EF60127"/>
    <w:rsid w:val="0EFB7B43"/>
    <w:rsid w:val="0F115B22"/>
    <w:rsid w:val="0F1C20D8"/>
    <w:rsid w:val="0F1C7DE8"/>
    <w:rsid w:val="0F1D36AB"/>
    <w:rsid w:val="0F2C2940"/>
    <w:rsid w:val="0F371627"/>
    <w:rsid w:val="0F4628FA"/>
    <w:rsid w:val="0F522FC4"/>
    <w:rsid w:val="0F545F72"/>
    <w:rsid w:val="0F594D76"/>
    <w:rsid w:val="0F815D2D"/>
    <w:rsid w:val="0F827701"/>
    <w:rsid w:val="0F83442B"/>
    <w:rsid w:val="0F904D67"/>
    <w:rsid w:val="0F9B2B5E"/>
    <w:rsid w:val="0F9D677E"/>
    <w:rsid w:val="0FA53B17"/>
    <w:rsid w:val="0FA545FD"/>
    <w:rsid w:val="0FA64AC6"/>
    <w:rsid w:val="0FB33140"/>
    <w:rsid w:val="0FB34829"/>
    <w:rsid w:val="0FB52900"/>
    <w:rsid w:val="0FD13773"/>
    <w:rsid w:val="0FD169F5"/>
    <w:rsid w:val="0FE5365D"/>
    <w:rsid w:val="0FEC03C2"/>
    <w:rsid w:val="0FF24AF1"/>
    <w:rsid w:val="0FF95DE7"/>
    <w:rsid w:val="100E5CEF"/>
    <w:rsid w:val="1014423A"/>
    <w:rsid w:val="101B493E"/>
    <w:rsid w:val="10222256"/>
    <w:rsid w:val="102260FD"/>
    <w:rsid w:val="10297136"/>
    <w:rsid w:val="10412940"/>
    <w:rsid w:val="104D181A"/>
    <w:rsid w:val="105B1875"/>
    <w:rsid w:val="105B51DC"/>
    <w:rsid w:val="107441B9"/>
    <w:rsid w:val="10790AA9"/>
    <w:rsid w:val="10B02E63"/>
    <w:rsid w:val="10C14D02"/>
    <w:rsid w:val="10C71650"/>
    <w:rsid w:val="10CD0D85"/>
    <w:rsid w:val="10CD43F4"/>
    <w:rsid w:val="10D908CB"/>
    <w:rsid w:val="10E21E6E"/>
    <w:rsid w:val="10EB651F"/>
    <w:rsid w:val="10ED26B5"/>
    <w:rsid w:val="10F3655C"/>
    <w:rsid w:val="10FF4530"/>
    <w:rsid w:val="11073CF2"/>
    <w:rsid w:val="1111423D"/>
    <w:rsid w:val="111A460A"/>
    <w:rsid w:val="112D4477"/>
    <w:rsid w:val="112F4AE9"/>
    <w:rsid w:val="11337487"/>
    <w:rsid w:val="113623C9"/>
    <w:rsid w:val="113908EF"/>
    <w:rsid w:val="113B7916"/>
    <w:rsid w:val="11455762"/>
    <w:rsid w:val="11487867"/>
    <w:rsid w:val="11494B01"/>
    <w:rsid w:val="115B249A"/>
    <w:rsid w:val="11683F1A"/>
    <w:rsid w:val="11790FE8"/>
    <w:rsid w:val="117F4415"/>
    <w:rsid w:val="11821790"/>
    <w:rsid w:val="119A6D69"/>
    <w:rsid w:val="119B2124"/>
    <w:rsid w:val="11A11E0E"/>
    <w:rsid w:val="11A35B8C"/>
    <w:rsid w:val="11A73FB9"/>
    <w:rsid w:val="11A96BAA"/>
    <w:rsid w:val="11AC2E0C"/>
    <w:rsid w:val="11B84AC7"/>
    <w:rsid w:val="11C22947"/>
    <w:rsid w:val="11C3652A"/>
    <w:rsid w:val="11C96F3F"/>
    <w:rsid w:val="11D00368"/>
    <w:rsid w:val="12015A61"/>
    <w:rsid w:val="12050FC3"/>
    <w:rsid w:val="120A13A9"/>
    <w:rsid w:val="12245DD7"/>
    <w:rsid w:val="124F7D43"/>
    <w:rsid w:val="1252593D"/>
    <w:rsid w:val="125743F7"/>
    <w:rsid w:val="125B3675"/>
    <w:rsid w:val="125C7835"/>
    <w:rsid w:val="126126C8"/>
    <w:rsid w:val="12715567"/>
    <w:rsid w:val="12723897"/>
    <w:rsid w:val="1288242B"/>
    <w:rsid w:val="128F73C9"/>
    <w:rsid w:val="12A0584F"/>
    <w:rsid w:val="12A648D6"/>
    <w:rsid w:val="12AA2431"/>
    <w:rsid w:val="12AC31A8"/>
    <w:rsid w:val="12B040DE"/>
    <w:rsid w:val="12C53768"/>
    <w:rsid w:val="12CB7608"/>
    <w:rsid w:val="12D15F04"/>
    <w:rsid w:val="12D44A5C"/>
    <w:rsid w:val="12DB20B4"/>
    <w:rsid w:val="12F267C0"/>
    <w:rsid w:val="12F3007B"/>
    <w:rsid w:val="12FB1F8A"/>
    <w:rsid w:val="1308440F"/>
    <w:rsid w:val="13161F60"/>
    <w:rsid w:val="131715E5"/>
    <w:rsid w:val="13286697"/>
    <w:rsid w:val="132D0709"/>
    <w:rsid w:val="13352658"/>
    <w:rsid w:val="133B1B6C"/>
    <w:rsid w:val="133B500E"/>
    <w:rsid w:val="13404493"/>
    <w:rsid w:val="135607B7"/>
    <w:rsid w:val="135A3959"/>
    <w:rsid w:val="13853355"/>
    <w:rsid w:val="13B6593C"/>
    <w:rsid w:val="13B77017"/>
    <w:rsid w:val="13BB5EEE"/>
    <w:rsid w:val="13BF5EDE"/>
    <w:rsid w:val="13C603D2"/>
    <w:rsid w:val="13D71802"/>
    <w:rsid w:val="13E525DD"/>
    <w:rsid w:val="13E612F8"/>
    <w:rsid w:val="13E96176"/>
    <w:rsid w:val="14023CFB"/>
    <w:rsid w:val="140A7E5A"/>
    <w:rsid w:val="1411229F"/>
    <w:rsid w:val="142B45E1"/>
    <w:rsid w:val="14537884"/>
    <w:rsid w:val="14593BBF"/>
    <w:rsid w:val="146E5817"/>
    <w:rsid w:val="1479313F"/>
    <w:rsid w:val="147D32CD"/>
    <w:rsid w:val="147D5E67"/>
    <w:rsid w:val="148C0DAF"/>
    <w:rsid w:val="14AC25A8"/>
    <w:rsid w:val="14B538EB"/>
    <w:rsid w:val="14B75A39"/>
    <w:rsid w:val="14C20518"/>
    <w:rsid w:val="14C77579"/>
    <w:rsid w:val="14CF5D8A"/>
    <w:rsid w:val="14D56C28"/>
    <w:rsid w:val="14DA3035"/>
    <w:rsid w:val="14F144BE"/>
    <w:rsid w:val="15007D9F"/>
    <w:rsid w:val="15042567"/>
    <w:rsid w:val="151C338A"/>
    <w:rsid w:val="15355300"/>
    <w:rsid w:val="154B2DAB"/>
    <w:rsid w:val="15531CFF"/>
    <w:rsid w:val="155533E8"/>
    <w:rsid w:val="155A1D05"/>
    <w:rsid w:val="1565002B"/>
    <w:rsid w:val="157C5E2B"/>
    <w:rsid w:val="157E6F53"/>
    <w:rsid w:val="15917A76"/>
    <w:rsid w:val="159F60F2"/>
    <w:rsid w:val="15A92F81"/>
    <w:rsid w:val="15CF20FE"/>
    <w:rsid w:val="15D263B4"/>
    <w:rsid w:val="15DC6D73"/>
    <w:rsid w:val="15E45DCF"/>
    <w:rsid w:val="15F3229E"/>
    <w:rsid w:val="161130AA"/>
    <w:rsid w:val="16126AFB"/>
    <w:rsid w:val="161F5115"/>
    <w:rsid w:val="16220221"/>
    <w:rsid w:val="16364E1F"/>
    <w:rsid w:val="164973BC"/>
    <w:rsid w:val="164F3F78"/>
    <w:rsid w:val="16661575"/>
    <w:rsid w:val="16692B56"/>
    <w:rsid w:val="1677408E"/>
    <w:rsid w:val="16861ABD"/>
    <w:rsid w:val="168C708B"/>
    <w:rsid w:val="16A73A2B"/>
    <w:rsid w:val="16AD3CD4"/>
    <w:rsid w:val="16B62A33"/>
    <w:rsid w:val="16C00EBC"/>
    <w:rsid w:val="16C612DB"/>
    <w:rsid w:val="16D229E9"/>
    <w:rsid w:val="16DE249F"/>
    <w:rsid w:val="16DF18EC"/>
    <w:rsid w:val="16E565F3"/>
    <w:rsid w:val="17166217"/>
    <w:rsid w:val="17224DE8"/>
    <w:rsid w:val="1737783E"/>
    <w:rsid w:val="173D66F2"/>
    <w:rsid w:val="173D683E"/>
    <w:rsid w:val="17430389"/>
    <w:rsid w:val="174A18A6"/>
    <w:rsid w:val="175C0959"/>
    <w:rsid w:val="17623010"/>
    <w:rsid w:val="176612DF"/>
    <w:rsid w:val="176C2709"/>
    <w:rsid w:val="176F52A6"/>
    <w:rsid w:val="1776117C"/>
    <w:rsid w:val="177941D0"/>
    <w:rsid w:val="179C6D8C"/>
    <w:rsid w:val="17A45E7B"/>
    <w:rsid w:val="17A75D68"/>
    <w:rsid w:val="17B10847"/>
    <w:rsid w:val="17BD2EB0"/>
    <w:rsid w:val="17C27A28"/>
    <w:rsid w:val="17DC532F"/>
    <w:rsid w:val="17EE366C"/>
    <w:rsid w:val="17EF566D"/>
    <w:rsid w:val="17F71F9A"/>
    <w:rsid w:val="17F814B2"/>
    <w:rsid w:val="17FB2B1F"/>
    <w:rsid w:val="180012E1"/>
    <w:rsid w:val="18001599"/>
    <w:rsid w:val="1807539F"/>
    <w:rsid w:val="18082AA7"/>
    <w:rsid w:val="181D645E"/>
    <w:rsid w:val="182401EF"/>
    <w:rsid w:val="18262330"/>
    <w:rsid w:val="183C5C3C"/>
    <w:rsid w:val="184109D1"/>
    <w:rsid w:val="18436941"/>
    <w:rsid w:val="1844049E"/>
    <w:rsid w:val="18541FAF"/>
    <w:rsid w:val="186A6439"/>
    <w:rsid w:val="18800267"/>
    <w:rsid w:val="18947D08"/>
    <w:rsid w:val="1897629C"/>
    <w:rsid w:val="189A7F08"/>
    <w:rsid w:val="18BC2182"/>
    <w:rsid w:val="18D0130A"/>
    <w:rsid w:val="18F23922"/>
    <w:rsid w:val="18F459AE"/>
    <w:rsid w:val="18F50FFE"/>
    <w:rsid w:val="190C2050"/>
    <w:rsid w:val="19201D08"/>
    <w:rsid w:val="19234E06"/>
    <w:rsid w:val="192813B2"/>
    <w:rsid w:val="19355020"/>
    <w:rsid w:val="19395F73"/>
    <w:rsid w:val="19486C08"/>
    <w:rsid w:val="194A4017"/>
    <w:rsid w:val="195E3790"/>
    <w:rsid w:val="19687C64"/>
    <w:rsid w:val="19731B79"/>
    <w:rsid w:val="1976490B"/>
    <w:rsid w:val="198122A9"/>
    <w:rsid w:val="19831904"/>
    <w:rsid w:val="19A1592C"/>
    <w:rsid w:val="19A95C4E"/>
    <w:rsid w:val="19B812D7"/>
    <w:rsid w:val="19BF3E2F"/>
    <w:rsid w:val="19CA3738"/>
    <w:rsid w:val="19CA4CA2"/>
    <w:rsid w:val="19DD5149"/>
    <w:rsid w:val="19E94079"/>
    <w:rsid w:val="19E942A1"/>
    <w:rsid w:val="1A020D22"/>
    <w:rsid w:val="1A024AC4"/>
    <w:rsid w:val="1A1B258C"/>
    <w:rsid w:val="1A1E3558"/>
    <w:rsid w:val="1A2151FC"/>
    <w:rsid w:val="1A2674F5"/>
    <w:rsid w:val="1A2F6301"/>
    <w:rsid w:val="1A4341F7"/>
    <w:rsid w:val="1A5A5BCB"/>
    <w:rsid w:val="1A731718"/>
    <w:rsid w:val="1A7604BD"/>
    <w:rsid w:val="1A8C353C"/>
    <w:rsid w:val="1A913911"/>
    <w:rsid w:val="1AA479FF"/>
    <w:rsid w:val="1AA57B5F"/>
    <w:rsid w:val="1AAF1051"/>
    <w:rsid w:val="1AB56528"/>
    <w:rsid w:val="1AB73C65"/>
    <w:rsid w:val="1AC70353"/>
    <w:rsid w:val="1ACB1620"/>
    <w:rsid w:val="1ADA0A43"/>
    <w:rsid w:val="1AE76CB6"/>
    <w:rsid w:val="1AEB134A"/>
    <w:rsid w:val="1AEF5C58"/>
    <w:rsid w:val="1AF76F0C"/>
    <w:rsid w:val="1B06175A"/>
    <w:rsid w:val="1B0E40E6"/>
    <w:rsid w:val="1B1B7ED4"/>
    <w:rsid w:val="1B260840"/>
    <w:rsid w:val="1B2B28DA"/>
    <w:rsid w:val="1B383CC3"/>
    <w:rsid w:val="1B4158E0"/>
    <w:rsid w:val="1B463433"/>
    <w:rsid w:val="1B777ADF"/>
    <w:rsid w:val="1B8E24F5"/>
    <w:rsid w:val="1B9B52F9"/>
    <w:rsid w:val="1BA9113A"/>
    <w:rsid w:val="1BB32BCC"/>
    <w:rsid w:val="1BBA6850"/>
    <w:rsid w:val="1BD16D77"/>
    <w:rsid w:val="1BD87930"/>
    <w:rsid w:val="1BE104A6"/>
    <w:rsid w:val="1BE22126"/>
    <w:rsid w:val="1BE31524"/>
    <w:rsid w:val="1BE45389"/>
    <w:rsid w:val="1BE761D2"/>
    <w:rsid w:val="1BE868FD"/>
    <w:rsid w:val="1BF34E6F"/>
    <w:rsid w:val="1C021033"/>
    <w:rsid w:val="1C04741A"/>
    <w:rsid w:val="1C094D0D"/>
    <w:rsid w:val="1C0A6B40"/>
    <w:rsid w:val="1C2407D2"/>
    <w:rsid w:val="1C281B46"/>
    <w:rsid w:val="1C296458"/>
    <w:rsid w:val="1C333372"/>
    <w:rsid w:val="1C392717"/>
    <w:rsid w:val="1C444D19"/>
    <w:rsid w:val="1C532361"/>
    <w:rsid w:val="1C856DBA"/>
    <w:rsid w:val="1C877857"/>
    <w:rsid w:val="1C8A01B1"/>
    <w:rsid w:val="1C8E7C6B"/>
    <w:rsid w:val="1C9A2A3A"/>
    <w:rsid w:val="1CA405D1"/>
    <w:rsid w:val="1CAA7BB7"/>
    <w:rsid w:val="1CAF2CFC"/>
    <w:rsid w:val="1CB15596"/>
    <w:rsid w:val="1CB40B32"/>
    <w:rsid w:val="1CBA1656"/>
    <w:rsid w:val="1CBF0D38"/>
    <w:rsid w:val="1CC832FF"/>
    <w:rsid w:val="1CC938FB"/>
    <w:rsid w:val="1CD30123"/>
    <w:rsid w:val="1CDF69BA"/>
    <w:rsid w:val="1CE23879"/>
    <w:rsid w:val="1CEA4F60"/>
    <w:rsid w:val="1CEC4218"/>
    <w:rsid w:val="1D04675B"/>
    <w:rsid w:val="1D0E16EF"/>
    <w:rsid w:val="1D185C1D"/>
    <w:rsid w:val="1D2E5255"/>
    <w:rsid w:val="1D314742"/>
    <w:rsid w:val="1D350954"/>
    <w:rsid w:val="1D3F2B5D"/>
    <w:rsid w:val="1D4970FF"/>
    <w:rsid w:val="1D604C74"/>
    <w:rsid w:val="1D6310A3"/>
    <w:rsid w:val="1D651AAE"/>
    <w:rsid w:val="1D8B33E7"/>
    <w:rsid w:val="1D9B47A8"/>
    <w:rsid w:val="1DAF27FB"/>
    <w:rsid w:val="1DB50E09"/>
    <w:rsid w:val="1DB73C31"/>
    <w:rsid w:val="1DE06BF3"/>
    <w:rsid w:val="1DE60F60"/>
    <w:rsid w:val="1DEC28C0"/>
    <w:rsid w:val="1DEC3758"/>
    <w:rsid w:val="1DF12E89"/>
    <w:rsid w:val="1DF40560"/>
    <w:rsid w:val="1E010EBE"/>
    <w:rsid w:val="1E0F305B"/>
    <w:rsid w:val="1E150677"/>
    <w:rsid w:val="1E1F519C"/>
    <w:rsid w:val="1E24278C"/>
    <w:rsid w:val="1E281BF4"/>
    <w:rsid w:val="1E307644"/>
    <w:rsid w:val="1E32267F"/>
    <w:rsid w:val="1E330840"/>
    <w:rsid w:val="1E376483"/>
    <w:rsid w:val="1E3777D5"/>
    <w:rsid w:val="1E4E1768"/>
    <w:rsid w:val="1E5006DD"/>
    <w:rsid w:val="1E5F2A51"/>
    <w:rsid w:val="1E626810"/>
    <w:rsid w:val="1E731D60"/>
    <w:rsid w:val="1E7A1FFD"/>
    <w:rsid w:val="1E7C1444"/>
    <w:rsid w:val="1E7E4C01"/>
    <w:rsid w:val="1E8E0A05"/>
    <w:rsid w:val="1E8F538F"/>
    <w:rsid w:val="1E953E48"/>
    <w:rsid w:val="1E980A5A"/>
    <w:rsid w:val="1E9A5ADB"/>
    <w:rsid w:val="1E9F7740"/>
    <w:rsid w:val="1EA125B0"/>
    <w:rsid w:val="1EA857ED"/>
    <w:rsid w:val="1EAE367B"/>
    <w:rsid w:val="1EB34DE5"/>
    <w:rsid w:val="1EBB3128"/>
    <w:rsid w:val="1ED85B53"/>
    <w:rsid w:val="1EE44777"/>
    <w:rsid w:val="1EEE5054"/>
    <w:rsid w:val="1EEF4AE1"/>
    <w:rsid w:val="1EF25607"/>
    <w:rsid w:val="1EFF2A7A"/>
    <w:rsid w:val="1F0C05FD"/>
    <w:rsid w:val="1F103597"/>
    <w:rsid w:val="1F196C73"/>
    <w:rsid w:val="1F1A4506"/>
    <w:rsid w:val="1F291714"/>
    <w:rsid w:val="1F36091A"/>
    <w:rsid w:val="1F3A1F0D"/>
    <w:rsid w:val="1F3E349D"/>
    <w:rsid w:val="1F401E05"/>
    <w:rsid w:val="1F4421CA"/>
    <w:rsid w:val="1F515A41"/>
    <w:rsid w:val="1F5E3F04"/>
    <w:rsid w:val="1F5F2472"/>
    <w:rsid w:val="1F6C5517"/>
    <w:rsid w:val="1F7A3A08"/>
    <w:rsid w:val="1F7B5D54"/>
    <w:rsid w:val="1F8331BE"/>
    <w:rsid w:val="1F9425B4"/>
    <w:rsid w:val="1FA74168"/>
    <w:rsid w:val="1FB500D3"/>
    <w:rsid w:val="1FB853F8"/>
    <w:rsid w:val="1FC42F9A"/>
    <w:rsid w:val="1FEB460A"/>
    <w:rsid w:val="200D398E"/>
    <w:rsid w:val="203E7975"/>
    <w:rsid w:val="20436973"/>
    <w:rsid w:val="20474080"/>
    <w:rsid w:val="20520A4C"/>
    <w:rsid w:val="20720CA7"/>
    <w:rsid w:val="207C482E"/>
    <w:rsid w:val="2088142C"/>
    <w:rsid w:val="208824FA"/>
    <w:rsid w:val="208A1F8E"/>
    <w:rsid w:val="208E2D86"/>
    <w:rsid w:val="208E51B8"/>
    <w:rsid w:val="20A41BDD"/>
    <w:rsid w:val="20A83B55"/>
    <w:rsid w:val="20AC0DD3"/>
    <w:rsid w:val="20BC7CD5"/>
    <w:rsid w:val="20C211B8"/>
    <w:rsid w:val="20CD18BA"/>
    <w:rsid w:val="20D7748C"/>
    <w:rsid w:val="20E84590"/>
    <w:rsid w:val="20F249D0"/>
    <w:rsid w:val="211D6271"/>
    <w:rsid w:val="211F288A"/>
    <w:rsid w:val="21354379"/>
    <w:rsid w:val="2138294E"/>
    <w:rsid w:val="213D4DAF"/>
    <w:rsid w:val="21432F64"/>
    <w:rsid w:val="21463D25"/>
    <w:rsid w:val="21467999"/>
    <w:rsid w:val="21482424"/>
    <w:rsid w:val="214E6E98"/>
    <w:rsid w:val="21567657"/>
    <w:rsid w:val="21692D4D"/>
    <w:rsid w:val="217116BD"/>
    <w:rsid w:val="2178685E"/>
    <w:rsid w:val="21795E7F"/>
    <w:rsid w:val="217A6864"/>
    <w:rsid w:val="218006FA"/>
    <w:rsid w:val="21906116"/>
    <w:rsid w:val="21940836"/>
    <w:rsid w:val="219C5CDE"/>
    <w:rsid w:val="21A9259A"/>
    <w:rsid w:val="21BE341D"/>
    <w:rsid w:val="21BE4157"/>
    <w:rsid w:val="21C1584C"/>
    <w:rsid w:val="21D218F6"/>
    <w:rsid w:val="21EE38EF"/>
    <w:rsid w:val="21F22679"/>
    <w:rsid w:val="22064F2D"/>
    <w:rsid w:val="22143D47"/>
    <w:rsid w:val="221F4D5A"/>
    <w:rsid w:val="222213C4"/>
    <w:rsid w:val="22357309"/>
    <w:rsid w:val="223B48E1"/>
    <w:rsid w:val="2248172E"/>
    <w:rsid w:val="224A72AF"/>
    <w:rsid w:val="224F57E1"/>
    <w:rsid w:val="22547760"/>
    <w:rsid w:val="22574686"/>
    <w:rsid w:val="226558BF"/>
    <w:rsid w:val="226F17D0"/>
    <w:rsid w:val="22723839"/>
    <w:rsid w:val="22783AD6"/>
    <w:rsid w:val="229C513B"/>
    <w:rsid w:val="22CA0A09"/>
    <w:rsid w:val="22DC6F33"/>
    <w:rsid w:val="22E0364C"/>
    <w:rsid w:val="2302114E"/>
    <w:rsid w:val="230B6C59"/>
    <w:rsid w:val="230D3280"/>
    <w:rsid w:val="23105A21"/>
    <w:rsid w:val="23260C4A"/>
    <w:rsid w:val="23330404"/>
    <w:rsid w:val="2333418D"/>
    <w:rsid w:val="233F1075"/>
    <w:rsid w:val="23445AED"/>
    <w:rsid w:val="23452920"/>
    <w:rsid w:val="23707C9C"/>
    <w:rsid w:val="23730A57"/>
    <w:rsid w:val="2388769D"/>
    <w:rsid w:val="23AE4CDB"/>
    <w:rsid w:val="23B02D02"/>
    <w:rsid w:val="23B137C0"/>
    <w:rsid w:val="23C45C56"/>
    <w:rsid w:val="23C468AB"/>
    <w:rsid w:val="23C823BC"/>
    <w:rsid w:val="23DE4234"/>
    <w:rsid w:val="23E96CAA"/>
    <w:rsid w:val="23FE0374"/>
    <w:rsid w:val="23FF7858"/>
    <w:rsid w:val="24003DF0"/>
    <w:rsid w:val="240054CF"/>
    <w:rsid w:val="24057464"/>
    <w:rsid w:val="240A249B"/>
    <w:rsid w:val="241246D1"/>
    <w:rsid w:val="2412783F"/>
    <w:rsid w:val="24193ECA"/>
    <w:rsid w:val="241C510E"/>
    <w:rsid w:val="241E6BE3"/>
    <w:rsid w:val="242F0283"/>
    <w:rsid w:val="2434325F"/>
    <w:rsid w:val="24391D0C"/>
    <w:rsid w:val="244A75AE"/>
    <w:rsid w:val="245942CA"/>
    <w:rsid w:val="245E1F41"/>
    <w:rsid w:val="2463183F"/>
    <w:rsid w:val="24753095"/>
    <w:rsid w:val="247D2C7A"/>
    <w:rsid w:val="247F2A23"/>
    <w:rsid w:val="24A01927"/>
    <w:rsid w:val="24A42D4D"/>
    <w:rsid w:val="24A80E62"/>
    <w:rsid w:val="24AC50AF"/>
    <w:rsid w:val="24AD018D"/>
    <w:rsid w:val="24C001F5"/>
    <w:rsid w:val="24CA25C6"/>
    <w:rsid w:val="24D34D10"/>
    <w:rsid w:val="24D453A9"/>
    <w:rsid w:val="24D65DC2"/>
    <w:rsid w:val="24E02B05"/>
    <w:rsid w:val="24E943B4"/>
    <w:rsid w:val="24F46692"/>
    <w:rsid w:val="25101B5F"/>
    <w:rsid w:val="25207AC8"/>
    <w:rsid w:val="252A626F"/>
    <w:rsid w:val="25421E38"/>
    <w:rsid w:val="25522A88"/>
    <w:rsid w:val="25851718"/>
    <w:rsid w:val="258B732C"/>
    <w:rsid w:val="25926AAB"/>
    <w:rsid w:val="25A2768D"/>
    <w:rsid w:val="25A6538E"/>
    <w:rsid w:val="25CB05EE"/>
    <w:rsid w:val="25CE6460"/>
    <w:rsid w:val="25D57113"/>
    <w:rsid w:val="25D71521"/>
    <w:rsid w:val="25D95A4A"/>
    <w:rsid w:val="25F80423"/>
    <w:rsid w:val="260823F1"/>
    <w:rsid w:val="261654C8"/>
    <w:rsid w:val="261D44FE"/>
    <w:rsid w:val="263932A5"/>
    <w:rsid w:val="263F298B"/>
    <w:rsid w:val="264B7D93"/>
    <w:rsid w:val="26810675"/>
    <w:rsid w:val="269A221E"/>
    <w:rsid w:val="269E3372"/>
    <w:rsid w:val="26AC7007"/>
    <w:rsid w:val="26AE7648"/>
    <w:rsid w:val="26AF06E7"/>
    <w:rsid w:val="26B0450A"/>
    <w:rsid w:val="26B55799"/>
    <w:rsid w:val="26B614C0"/>
    <w:rsid w:val="26C77F97"/>
    <w:rsid w:val="26D03CBF"/>
    <w:rsid w:val="26D60601"/>
    <w:rsid w:val="26DE03AD"/>
    <w:rsid w:val="26E51EF5"/>
    <w:rsid w:val="26F066B5"/>
    <w:rsid w:val="26F15C9F"/>
    <w:rsid w:val="26FE01DA"/>
    <w:rsid w:val="26FE5FDD"/>
    <w:rsid w:val="270014A5"/>
    <w:rsid w:val="27154A27"/>
    <w:rsid w:val="272B72F0"/>
    <w:rsid w:val="27314232"/>
    <w:rsid w:val="274517CB"/>
    <w:rsid w:val="27501310"/>
    <w:rsid w:val="275D3ADC"/>
    <w:rsid w:val="275E50CD"/>
    <w:rsid w:val="27620A0D"/>
    <w:rsid w:val="27795260"/>
    <w:rsid w:val="2783700B"/>
    <w:rsid w:val="27863B4D"/>
    <w:rsid w:val="27873766"/>
    <w:rsid w:val="278A5AB1"/>
    <w:rsid w:val="27A43BD0"/>
    <w:rsid w:val="27A8142B"/>
    <w:rsid w:val="27AD49FE"/>
    <w:rsid w:val="27B21B55"/>
    <w:rsid w:val="27CF20B9"/>
    <w:rsid w:val="27D917EC"/>
    <w:rsid w:val="27E64ED8"/>
    <w:rsid w:val="2801126F"/>
    <w:rsid w:val="28012834"/>
    <w:rsid w:val="28017784"/>
    <w:rsid w:val="281037EF"/>
    <w:rsid w:val="281D28CF"/>
    <w:rsid w:val="2829706B"/>
    <w:rsid w:val="28391FBB"/>
    <w:rsid w:val="28396E5C"/>
    <w:rsid w:val="28412590"/>
    <w:rsid w:val="28462817"/>
    <w:rsid w:val="28466A33"/>
    <w:rsid w:val="284D7D94"/>
    <w:rsid w:val="284E7F3C"/>
    <w:rsid w:val="285F1178"/>
    <w:rsid w:val="2878663A"/>
    <w:rsid w:val="287F157E"/>
    <w:rsid w:val="2895395F"/>
    <w:rsid w:val="28986E3A"/>
    <w:rsid w:val="28C64794"/>
    <w:rsid w:val="28D41922"/>
    <w:rsid w:val="28D96423"/>
    <w:rsid w:val="28DB06BE"/>
    <w:rsid w:val="28DD78F7"/>
    <w:rsid w:val="28F05B1C"/>
    <w:rsid w:val="28F956F4"/>
    <w:rsid w:val="29062564"/>
    <w:rsid w:val="29142D75"/>
    <w:rsid w:val="29273F50"/>
    <w:rsid w:val="29422D70"/>
    <w:rsid w:val="2942491D"/>
    <w:rsid w:val="296B5029"/>
    <w:rsid w:val="297E5D09"/>
    <w:rsid w:val="29846EE4"/>
    <w:rsid w:val="298C577B"/>
    <w:rsid w:val="29982B38"/>
    <w:rsid w:val="29A54815"/>
    <w:rsid w:val="29A64DD8"/>
    <w:rsid w:val="29AA5BF6"/>
    <w:rsid w:val="29B716DE"/>
    <w:rsid w:val="29B95F40"/>
    <w:rsid w:val="29C20015"/>
    <w:rsid w:val="29CC726F"/>
    <w:rsid w:val="29D5537D"/>
    <w:rsid w:val="29D65A2D"/>
    <w:rsid w:val="29F65440"/>
    <w:rsid w:val="2A051FDF"/>
    <w:rsid w:val="2A157B45"/>
    <w:rsid w:val="2A1B685D"/>
    <w:rsid w:val="2A1C363C"/>
    <w:rsid w:val="2A247D3C"/>
    <w:rsid w:val="2A3C0B5C"/>
    <w:rsid w:val="2A482CCF"/>
    <w:rsid w:val="2A5B56DE"/>
    <w:rsid w:val="2A5B70D8"/>
    <w:rsid w:val="2A6445B7"/>
    <w:rsid w:val="2A742DAD"/>
    <w:rsid w:val="2A931233"/>
    <w:rsid w:val="2AA142F5"/>
    <w:rsid w:val="2AAB1CED"/>
    <w:rsid w:val="2AC65C5B"/>
    <w:rsid w:val="2ACB136F"/>
    <w:rsid w:val="2ACB2B8B"/>
    <w:rsid w:val="2ACF52EE"/>
    <w:rsid w:val="2AD02892"/>
    <w:rsid w:val="2AD42A06"/>
    <w:rsid w:val="2AE03A3A"/>
    <w:rsid w:val="2AE20364"/>
    <w:rsid w:val="2AE240B6"/>
    <w:rsid w:val="2AE56B04"/>
    <w:rsid w:val="2AED414D"/>
    <w:rsid w:val="2B060360"/>
    <w:rsid w:val="2B0C7D5E"/>
    <w:rsid w:val="2B1349B1"/>
    <w:rsid w:val="2B2A50C0"/>
    <w:rsid w:val="2B2D14E8"/>
    <w:rsid w:val="2B5A2546"/>
    <w:rsid w:val="2B5B36D4"/>
    <w:rsid w:val="2B7A199A"/>
    <w:rsid w:val="2B7B6AD6"/>
    <w:rsid w:val="2B812B85"/>
    <w:rsid w:val="2B947D89"/>
    <w:rsid w:val="2BA735A5"/>
    <w:rsid w:val="2BA91A33"/>
    <w:rsid w:val="2BAA76F4"/>
    <w:rsid w:val="2BAC1F9C"/>
    <w:rsid w:val="2BAD2182"/>
    <w:rsid w:val="2BAD2E37"/>
    <w:rsid w:val="2BB97180"/>
    <w:rsid w:val="2BBE29CF"/>
    <w:rsid w:val="2BE143D6"/>
    <w:rsid w:val="2BE85D2A"/>
    <w:rsid w:val="2BF40686"/>
    <w:rsid w:val="2BFF396A"/>
    <w:rsid w:val="2C0D5679"/>
    <w:rsid w:val="2C222BBA"/>
    <w:rsid w:val="2C2706AD"/>
    <w:rsid w:val="2C270882"/>
    <w:rsid w:val="2C313011"/>
    <w:rsid w:val="2C3768AE"/>
    <w:rsid w:val="2C386A6F"/>
    <w:rsid w:val="2C3B553D"/>
    <w:rsid w:val="2C3F4676"/>
    <w:rsid w:val="2C421AAE"/>
    <w:rsid w:val="2C5113E8"/>
    <w:rsid w:val="2C5300D5"/>
    <w:rsid w:val="2C5C3FAD"/>
    <w:rsid w:val="2C68648C"/>
    <w:rsid w:val="2C74368C"/>
    <w:rsid w:val="2C787161"/>
    <w:rsid w:val="2C7A1FA2"/>
    <w:rsid w:val="2C90454D"/>
    <w:rsid w:val="2C9433A4"/>
    <w:rsid w:val="2C9449DA"/>
    <w:rsid w:val="2C967056"/>
    <w:rsid w:val="2C996BCA"/>
    <w:rsid w:val="2C9F5CFD"/>
    <w:rsid w:val="2CA0213A"/>
    <w:rsid w:val="2CAF13D4"/>
    <w:rsid w:val="2CB4139C"/>
    <w:rsid w:val="2CBA4287"/>
    <w:rsid w:val="2CBB701C"/>
    <w:rsid w:val="2CBF734F"/>
    <w:rsid w:val="2CCD2E91"/>
    <w:rsid w:val="2CD30739"/>
    <w:rsid w:val="2CDB40E9"/>
    <w:rsid w:val="2D075F78"/>
    <w:rsid w:val="2D135D54"/>
    <w:rsid w:val="2D1405FA"/>
    <w:rsid w:val="2D1C0BCC"/>
    <w:rsid w:val="2D242BEB"/>
    <w:rsid w:val="2D2864D4"/>
    <w:rsid w:val="2D48595B"/>
    <w:rsid w:val="2D61222D"/>
    <w:rsid w:val="2D6405B3"/>
    <w:rsid w:val="2D79651E"/>
    <w:rsid w:val="2D892141"/>
    <w:rsid w:val="2D940FD5"/>
    <w:rsid w:val="2D971852"/>
    <w:rsid w:val="2D9C7120"/>
    <w:rsid w:val="2DA06BAD"/>
    <w:rsid w:val="2DAA40C0"/>
    <w:rsid w:val="2DAF32D6"/>
    <w:rsid w:val="2DD30493"/>
    <w:rsid w:val="2DD32383"/>
    <w:rsid w:val="2DE04723"/>
    <w:rsid w:val="2DE50909"/>
    <w:rsid w:val="2DF71E8F"/>
    <w:rsid w:val="2E3B6D24"/>
    <w:rsid w:val="2E413C6F"/>
    <w:rsid w:val="2E446B65"/>
    <w:rsid w:val="2E70660F"/>
    <w:rsid w:val="2E7B301F"/>
    <w:rsid w:val="2E7F7B08"/>
    <w:rsid w:val="2E917FC7"/>
    <w:rsid w:val="2E9645DE"/>
    <w:rsid w:val="2EA0753C"/>
    <w:rsid w:val="2EA3576A"/>
    <w:rsid w:val="2EB1759E"/>
    <w:rsid w:val="2EBB6D73"/>
    <w:rsid w:val="2EC203D7"/>
    <w:rsid w:val="2EC41CCC"/>
    <w:rsid w:val="2EC50EC9"/>
    <w:rsid w:val="2EDE7F03"/>
    <w:rsid w:val="2EE72320"/>
    <w:rsid w:val="2EE8455C"/>
    <w:rsid w:val="2EEF03F2"/>
    <w:rsid w:val="2EF019F1"/>
    <w:rsid w:val="2F024BFA"/>
    <w:rsid w:val="2F055F80"/>
    <w:rsid w:val="2F2F7232"/>
    <w:rsid w:val="2F30338E"/>
    <w:rsid w:val="2F4B0F2A"/>
    <w:rsid w:val="2F5E400F"/>
    <w:rsid w:val="2F764145"/>
    <w:rsid w:val="2F8350AC"/>
    <w:rsid w:val="2F8A7D5B"/>
    <w:rsid w:val="2F8C5859"/>
    <w:rsid w:val="2F984435"/>
    <w:rsid w:val="2FA75E37"/>
    <w:rsid w:val="2FB2792D"/>
    <w:rsid w:val="2FBD02EA"/>
    <w:rsid w:val="2FC414F3"/>
    <w:rsid w:val="2FD36A63"/>
    <w:rsid w:val="2FE60929"/>
    <w:rsid w:val="2FE97B40"/>
    <w:rsid w:val="2FF058D0"/>
    <w:rsid w:val="2FF26866"/>
    <w:rsid w:val="2FF6170A"/>
    <w:rsid w:val="2FF851E8"/>
    <w:rsid w:val="2FFA1C7E"/>
    <w:rsid w:val="30012B50"/>
    <w:rsid w:val="301771A1"/>
    <w:rsid w:val="301B3C70"/>
    <w:rsid w:val="30290BC6"/>
    <w:rsid w:val="302E4809"/>
    <w:rsid w:val="303E6CFF"/>
    <w:rsid w:val="30451584"/>
    <w:rsid w:val="307416F9"/>
    <w:rsid w:val="307E3270"/>
    <w:rsid w:val="30803E4C"/>
    <w:rsid w:val="309453D0"/>
    <w:rsid w:val="30B04CE0"/>
    <w:rsid w:val="30B05BC8"/>
    <w:rsid w:val="30B93530"/>
    <w:rsid w:val="30CD219E"/>
    <w:rsid w:val="30D70117"/>
    <w:rsid w:val="30DC79DB"/>
    <w:rsid w:val="30E42F09"/>
    <w:rsid w:val="30E83E0B"/>
    <w:rsid w:val="30ED19A4"/>
    <w:rsid w:val="30F23A38"/>
    <w:rsid w:val="3109342A"/>
    <w:rsid w:val="31150223"/>
    <w:rsid w:val="31274B61"/>
    <w:rsid w:val="313C1DEF"/>
    <w:rsid w:val="313D08E8"/>
    <w:rsid w:val="313F6FA8"/>
    <w:rsid w:val="31422A25"/>
    <w:rsid w:val="31466DD6"/>
    <w:rsid w:val="314B29C9"/>
    <w:rsid w:val="315870F0"/>
    <w:rsid w:val="316B6875"/>
    <w:rsid w:val="31782AB6"/>
    <w:rsid w:val="317C1A0C"/>
    <w:rsid w:val="31853BF2"/>
    <w:rsid w:val="318F6B49"/>
    <w:rsid w:val="31922776"/>
    <w:rsid w:val="319367A7"/>
    <w:rsid w:val="31987D79"/>
    <w:rsid w:val="31B441AF"/>
    <w:rsid w:val="31BC4955"/>
    <w:rsid w:val="31BD13E1"/>
    <w:rsid w:val="31DB567B"/>
    <w:rsid w:val="31E03F3B"/>
    <w:rsid w:val="31FF200C"/>
    <w:rsid w:val="32035372"/>
    <w:rsid w:val="32153829"/>
    <w:rsid w:val="32161B9F"/>
    <w:rsid w:val="321F0BAD"/>
    <w:rsid w:val="32203DC9"/>
    <w:rsid w:val="322C0719"/>
    <w:rsid w:val="32417B4E"/>
    <w:rsid w:val="32577650"/>
    <w:rsid w:val="32696532"/>
    <w:rsid w:val="326E19A7"/>
    <w:rsid w:val="32877BD6"/>
    <w:rsid w:val="3291167C"/>
    <w:rsid w:val="32A81084"/>
    <w:rsid w:val="32A973A5"/>
    <w:rsid w:val="32AB7B8B"/>
    <w:rsid w:val="32AD5EDE"/>
    <w:rsid w:val="32CA5C1A"/>
    <w:rsid w:val="32D11E24"/>
    <w:rsid w:val="32D67EF0"/>
    <w:rsid w:val="32D70991"/>
    <w:rsid w:val="32E23E37"/>
    <w:rsid w:val="32F928CF"/>
    <w:rsid w:val="32FC61EC"/>
    <w:rsid w:val="330F262B"/>
    <w:rsid w:val="330F7683"/>
    <w:rsid w:val="33137D8C"/>
    <w:rsid w:val="33143062"/>
    <w:rsid w:val="33163DDD"/>
    <w:rsid w:val="33324498"/>
    <w:rsid w:val="334065FE"/>
    <w:rsid w:val="3375365E"/>
    <w:rsid w:val="33776CED"/>
    <w:rsid w:val="339E5DC3"/>
    <w:rsid w:val="33B2679E"/>
    <w:rsid w:val="33B96F0B"/>
    <w:rsid w:val="33BE38D0"/>
    <w:rsid w:val="33DB06CE"/>
    <w:rsid w:val="33DC14FA"/>
    <w:rsid w:val="33E72930"/>
    <w:rsid w:val="34343043"/>
    <w:rsid w:val="343C0FEA"/>
    <w:rsid w:val="344F2616"/>
    <w:rsid w:val="34523A37"/>
    <w:rsid w:val="345A55DE"/>
    <w:rsid w:val="345D40FE"/>
    <w:rsid w:val="3463388A"/>
    <w:rsid w:val="346D041B"/>
    <w:rsid w:val="34753568"/>
    <w:rsid w:val="347F1A56"/>
    <w:rsid w:val="34827529"/>
    <w:rsid w:val="3483072E"/>
    <w:rsid w:val="348366C0"/>
    <w:rsid w:val="34863703"/>
    <w:rsid w:val="34936990"/>
    <w:rsid w:val="34AC1858"/>
    <w:rsid w:val="34AE31BF"/>
    <w:rsid w:val="34B70BE2"/>
    <w:rsid w:val="34B845A0"/>
    <w:rsid w:val="34C11CB8"/>
    <w:rsid w:val="34D822BA"/>
    <w:rsid w:val="34D915C0"/>
    <w:rsid w:val="34E53DD0"/>
    <w:rsid w:val="34F34C56"/>
    <w:rsid w:val="34F72FF9"/>
    <w:rsid w:val="3512139F"/>
    <w:rsid w:val="35190368"/>
    <w:rsid w:val="351B3C96"/>
    <w:rsid w:val="352743D0"/>
    <w:rsid w:val="35465E39"/>
    <w:rsid w:val="35481FCA"/>
    <w:rsid w:val="355173B6"/>
    <w:rsid w:val="35680A80"/>
    <w:rsid w:val="35781AD4"/>
    <w:rsid w:val="357A5788"/>
    <w:rsid w:val="357B08E5"/>
    <w:rsid w:val="357D4461"/>
    <w:rsid w:val="357F0E9E"/>
    <w:rsid w:val="35836E7E"/>
    <w:rsid w:val="358A5B7F"/>
    <w:rsid w:val="35901FCA"/>
    <w:rsid w:val="35945B38"/>
    <w:rsid w:val="35AA5D05"/>
    <w:rsid w:val="35AC33F0"/>
    <w:rsid w:val="35BA3578"/>
    <w:rsid w:val="35C61AA4"/>
    <w:rsid w:val="35C820C9"/>
    <w:rsid w:val="35CF4D55"/>
    <w:rsid w:val="35D07833"/>
    <w:rsid w:val="35D44633"/>
    <w:rsid w:val="35F55C67"/>
    <w:rsid w:val="360308BC"/>
    <w:rsid w:val="36121C74"/>
    <w:rsid w:val="36147632"/>
    <w:rsid w:val="363A3E18"/>
    <w:rsid w:val="363D0458"/>
    <w:rsid w:val="36403E9E"/>
    <w:rsid w:val="364E6732"/>
    <w:rsid w:val="365202F1"/>
    <w:rsid w:val="36530971"/>
    <w:rsid w:val="36561BAE"/>
    <w:rsid w:val="36610C56"/>
    <w:rsid w:val="366B24CA"/>
    <w:rsid w:val="36AA32DA"/>
    <w:rsid w:val="36AC1A8F"/>
    <w:rsid w:val="36B05D97"/>
    <w:rsid w:val="36C83099"/>
    <w:rsid w:val="36D13F37"/>
    <w:rsid w:val="36D32994"/>
    <w:rsid w:val="36FC5304"/>
    <w:rsid w:val="37015D0F"/>
    <w:rsid w:val="370713C0"/>
    <w:rsid w:val="370A390E"/>
    <w:rsid w:val="37133678"/>
    <w:rsid w:val="371E1053"/>
    <w:rsid w:val="37245EA8"/>
    <w:rsid w:val="37273D38"/>
    <w:rsid w:val="372D05EA"/>
    <w:rsid w:val="37344667"/>
    <w:rsid w:val="373A7BA8"/>
    <w:rsid w:val="376916D4"/>
    <w:rsid w:val="376E6E4C"/>
    <w:rsid w:val="37812A3F"/>
    <w:rsid w:val="37885CAD"/>
    <w:rsid w:val="37A14E57"/>
    <w:rsid w:val="37CA515A"/>
    <w:rsid w:val="37CE06FA"/>
    <w:rsid w:val="37D64BEB"/>
    <w:rsid w:val="37E961E3"/>
    <w:rsid w:val="37EB56A4"/>
    <w:rsid w:val="37FB1D59"/>
    <w:rsid w:val="37FE287E"/>
    <w:rsid w:val="3801170A"/>
    <w:rsid w:val="3805601E"/>
    <w:rsid w:val="38080105"/>
    <w:rsid w:val="38095396"/>
    <w:rsid w:val="38182FE6"/>
    <w:rsid w:val="38221433"/>
    <w:rsid w:val="382232A2"/>
    <w:rsid w:val="38223BD2"/>
    <w:rsid w:val="3837347B"/>
    <w:rsid w:val="384B346D"/>
    <w:rsid w:val="384F7912"/>
    <w:rsid w:val="385666E5"/>
    <w:rsid w:val="386045E6"/>
    <w:rsid w:val="38646A8C"/>
    <w:rsid w:val="38693F3A"/>
    <w:rsid w:val="386B01E7"/>
    <w:rsid w:val="386C2500"/>
    <w:rsid w:val="388010D4"/>
    <w:rsid w:val="38B463B7"/>
    <w:rsid w:val="38B66C0E"/>
    <w:rsid w:val="38B71B7A"/>
    <w:rsid w:val="38CE1185"/>
    <w:rsid w:val="38D66C88"/>
    <w:rsid w:val="38DB70E7"/>
    <w:rsid w:val="38DE4131"/>
    <w:rsid w:val="38DE42C4"/>
    <w:rsid w:val="38EF3403"/>
    <w:rsid w:val="38F72871"/>
    <w:rsid w:val="38FA0F2F"/>
    <w:rsid w:val="38FC1CDD"/>
    <w:rsid w:val="39432F1D"/>
    <w:rsid w:val="394D4072"/>
    <w:rsid w:val="3959599F"/>
    <w:rsid w:val="39646F5D"/>
    <w:rsid w:val="39653F24"/>
    <w:rsid w:val="396B548A"/>
    <w:rsid w:val="396D7A4B"/>
    <w:rsid w:val="39846D37"/>
    <w:rsid w:val="399979C8"/>
    <w:rsid w:val="399D1F7D"/>
    <w:rsid w:val="39A645A8"/>
    <w:rsid w:val="39A66F79"/>
    <w:rsid w:val="39B35135"/>
    <w:rsid w:val="39C3536C"/>
    <w:rsid w:val="39D446E4"/>
    <w:rsid w:val="39D4492F"/>
    <w:rsid w:val="3A0E44A8"/>
    <w:rsid w:val="3A1E5444"/>
    <w:rsid w:val="3A58496D"/>
    <w:rsid w:val="3A6108F5"/>
    <w:rsid w:val="3A625DDC"/>
    <w:rsid w:val="3A666D62"/>
    <w:rsid w:val="3A6C1B8E"/>
    <w:rsid w:val="3A6F6E97"/>
    <w:rsid w:val="3A6F7C8C"/>
    <w:rsid w:val="3A740E70"/>
    <w:rsid w:val="3A917826"/>
    <w:rsid w:val="3A993081"/>
    <w:rsid w:val="3A9E4A11"/>
    <w:rsid w:val="3AA47B52"/>
    <w:rsid w:val="3AA74A54"/>
    <w:rsid w:val="3AB36C2E"/>
    <w:rsid w:val="3AB6023E"/>
    <w:rsid w:val="3AC06832"/>
    <w:rsid w:val="3AC85739"/>
    <w:rsid w:val="3AD16F1E"/>
    <w:rsid w:val="3ADE7934"/>
    <w:rsid w:val="3AE5607D"/>
    <w:rsid w:val="3AED0784"/>
    <w:rsid w:val="3B0C1937"/>
    <w:rsid w:val="3B1416BA"/>
    <w:rsid w:val="3B192EFF"/>
    <w:rsid w:val="3B1F0B28"/>
    <w:rsid w:val="3B2F2EC8"/>
    <w:rsid w:val="3B3171F9"/>
    <w:rsid w:val="3B4B1E3B"/>
    <w:rsid w:val="3B4D7937"/>
    <w:rsid w:val="3B507756"/>
    <w:rsid w:val="3B5356F2"/>
    <w:rsid w:val="3B5B163C"/>
    <w:rsid w:val="3B6E00E7"/>
    <w:rsid w:val="3B840F75"/>
    <w:rsid w:val="3BB42F1B"/>
    <w:rsid w:val="3BC141CC"/>
    <w:rsid w:val="3BCB385D"/>
    <w:rsid w:val="3BCE25E6"/>
    <w:rsid w:val="3BD2206E"/>
    <w:rsid w:val="3BD710E2"/>
    <w:rsid w:val="3BDE70EF"/>
    <w:rsid w:val="3BF001F9"/>
    <w:rsid w:val="3BF409E6"/>
    <w:rsid w:val="3BFA6F2F"/>
    <w:rsid w:val="3BFE6A66"/>
    <w:rsid w:val="3C1B106D"/>
    <w:rsid w:val="3C242777"/>
    <w:rsid w:val="3C265604"/>
    <w:rsid w:val="3C425EA1"/>
    <w:rsid w:val="3C4D6552"/>
    <w:rsid w:val="3C591714"/>
    <w:rsid w:val="3C5B3EB5"/>
    <w:rsid w:val="3C687DAA"/>
    <w:rsid w:val="3C690D2F"/>
    <w:rsid w:val="3C6C1F58"/>
    <w:rsid w:val="3C8429F6"/>
    <w:rsid w:val="3C8E0214"/>
    <w:rsid w:val="3CA34BF4"/>
    <w:rsid w:val="3CA522AE"/>
    <w:rsid w:val="3CAC1951"/>
    <w:rsid w:val="3CB01EA8"/>
    <w:rsid w:val="3CB26455"/>
    <w:rsid w:val="3CC1134E"/>
    <w:rsid w:val="3CE17722"/>
    <w:rsid w:val="3CE813D9"/>
    <w:rsid w:val="3CEA2ACF"/>
    <w:rsid w:val="3CF17CB4"/>
    <w:rsid w:val="3CF379F4"/>
    <w:rsid w:val="3CF53B4D"/>
    <w:rsid w:val="3D0C77C5"/>
    <w:rsid w:val="3D1364CE"/>
    <w:rsid w:val="3D1E1E81"/>
    <w:rsid w:val="3D221BDD"/>
    <w:rsid w:val="3D292B8E"/>
    <w:rsid w:val="3D3777C3"/>
    <w:rsid w:val="3D48523F"/>
    <w:rsid w:val="3D5916C4"/>
    <w:rsid w:val="3D5A7D44"/>
    <w:rsid w:val="3D5C08F2"/>
    <w:rsid w:val="3D667C36"/>
    <w:rsid w:val="3D751828"/>
    <w:rsid w:val="3D7B044B"/>
    <w:rsid w:val="3D8072A0"/>
    <w:rsid w:val="3D883975"/>
    <w:rsid w:val="3D8846EB"/>
    <w:rsid w:val="3D8B06B4"/>
    <w:rsid w:val="3DB6641F"/>
    <w:rsid w:val="3DC46A40"/>
    <w:rsid w:val="3DD70059"/>
    <w:rsid w:val="3DDB2EF4"/>
    <w:rsid w:val="3DE86D04"/>
    <w:rsid w:val="3DF46EDF"/>
    <w:rsid w:val="3E240644"/>
    <w:rsid w:val="3E29153A"/>
    <w:rsid w:val="3E2C136C"/>
    <w:rsid w:val="3E31466F"/>
    <w:rsid w:val="3E5C36DE"/>
    <w:rsid w:val="3E665F21"/>
    <w:rsid w:val="3E6E40BE"/>
    <w:rsid w:val="3E712FE9"/>
    <w:rsid w:val="3E736562"/>
    <w:rsid w:val="3E75370D"/>
    <w:rsid w:val="3E903D5C"/>
    <w:rsid w:val="3E9660C3"/>
    <w:rsid w:val="3ECA487D"/>
    <w:rsid w:val="3ECB1596"/>
    <w:rsid w:val="3ECD3048"/>
    <w:rsid w:val="3EF929AF"/>
    <w:rsid w:val="3F024C7A"/>
    <w:rsid w:val="3F091AD3"/>
    <w:rsid w:val="3F0A45E0"/>
    <w:rsid w:val="3F0C3DC1"/>
    <w:rsid w:val="3F190FF7"/>
    <w:rsid w:val="3F235E9D"/>
    <w:rsid w:val="3F2F25F2"/>
    <w:rsid w:val="3F3618F0"/>
    <w:rsid w:val="3F397C15"/>
    <w:rsid w:val="3F3F3D0D"/>
    <w:rsid w:val="3F424756"/>
    <w:rsid w:val="3F6462AC"/>
    <w:rsid w:val="3F707F14"/>
    <w:rsid w:val="3F7943CC"/>
    <w:rsid w:val="3F8653B7"/>
    <w:rsid w:val="3F8A1A1D"/>
    <w:rsid w:val="3F8D1F08"/>
    <w:rsid w:val="3F8E0861"/>
    <w:rsid w:val="3F8E7506"/>
    <w:rsid w:val="3F8E7D43"/>
    <w:rsid w:val="3F960481"/>
    <w:rsid w:val="3F9A6E78"/>
    <w:rsid w:val="3FA06B88"/>
    <w:rsid w:val="3FA1773A"/>
    <w:rsid w:val="3FB143B4"/>
    <w:rsid w:val="3FB24A8D"/>
    <w:rsid w:val="3FC05EA5"/>
    <w:rsid w:val="3FC14E74"/>
    <w:rsid w:val="3FD6022A"/>
    <w:rsid w:val="3FD64838"/>
    <w:rsid w:val="3FDB1D73"/>
    <w:rsid w:val="3FE04ECA"/>
    <w:rsid w:val="3FE7352E"/>
    <w:rsid w:val="3FEE6AFC"/>
    <w:rsid w:val="3FF27CF4"/>
    <w:rsid w:val="3FF6756F"/>
    <w:rsid w:val="400240CD"/>
    <w:rsid w:val="400F11F7"/>
    <w:rsid w:val="401E60CB"/>
    <w:rsid w:val="40275E65"/>
    <w:rsid w:val="403B63DA"/>
    <w:rsid w:val="4045044D"/>
    <w:rsid w:val="40457192"/>
    <w:rsid w:val="404A6865"/>
    <w:rsid w:val="404C376E"/>
    <w:rsid w:val="4067571A"/>
    <w:rsid w:val="406903B5"/>
    <w:rsid w:val="406C14B4"/>
    <w:rsid w:val="406D791B"/>
    <w:rsid w:val="40731D0B"/>
    <w:rsid w:val="40782CA9"/>
    <w:rsid w:val="40852590"/>
    <w:rsid w:val="4094330D"/>
    <w:rsid w:val="409F1835"/>
    <w:rsid w:val="40A129A5"/>
    <w:rsid w:val="40A77015"/>
    <w:rsid w:val="40A82EAB"/>
    <w:rsid w:val="40B5140E"/>
    <w:rsid w:val="40BC008B"/>
    <w:rsid w:val="40BD25B1"/>
    <w:rsid w:val="40C92D87"/>
    <w:rsid w:val="40E365A1"/>
    <w:rsid w:val="40E50045"/>
    <w:rsid w:val="40EA4E36"/>
    <w:rsid w:val="40F76E62"/>
    <w:rsid w:val="40FD552D"/>
    <w:rsid w:val="40FE3EFE"/>
    <w:rsid w:val="41067054"/>
    <w:rsid w:val="41117860"/>
    <w:rsid w:val="411905DA"/>
    <w:rsid w:val="412B44BC"/>
    <w:rsid w:val="412D492D"/>
    <w:rsid w:val="413367ED"/>
    <w:rsid w:val="413A1DED"/>
    <w:rsid w:val="41437D2F"/>
    <w:rsid w:val="414C54D3"/>
    <w:rsid w:val="41540A99"/>
    <w:rsid w:val="417C3E8B"/>
    <w:rsid w:val="4190739B"/>
    <w:rsid w:val="41A3372E"/>
    <w:rsid w:val="41BC1F10"/>
    <w:rsid w:val="41BC6354"/>
    <w:rsid w:val="41C61DAF"/>
    <w:rsid w:val="41CC13ED"/>
    <w:rsid w:val="41DB4806"/>
    <w:rsid w:val="41E712BA"/>
    <w:rsid w:val="41EC3377"/>
    <w:rsid w:val="41F054AA"/>
    <w:rsid w:val="41F271C5"/>
    <w:rsid w:val="41FD7C70"/>
    <w:rsid w:val="4205216F"/>
    <w:rsid w:val="420A792C"/>
    <w:rsid w:val="42151B54"/>
    <w:rsid w:val="42192D94"/>
    <w:rsid w:val="421D365B"/>
    <w:rsid w:val="42252A4D"/>
    <w:rsid w:val="422D4402"/>
    <w:rsid w:val="42371B75"/>
    <w:rsid w:val="42383770"/>
    <w:rsid w:val="423C2A64"/>
    <w:rsid w:val="423E154C"/>
    <w:rsid w:val="424748BB"/>
    <w:rsid w:val="424B3AFB"/>
    <w:rsid w:val="424E3661"/>
    <w:rsid w:val="424E7ACB"/>
    <w:rsid w:val="425365D4"/>
    <w:rsid w:val="42617D31"/>
    <w:rsid w:val="42690BA6"/>
    <w:rsid w:val="427563D2"/>
    <w:rsid w:val="428D5AED"/>
    <w:rsid w:val="42AC6CA7"/>
    <w:rsid w:val="42AD1D83"/>
    <w:rsid w:val="42CE72D8"/>
    <w:rsid w:val="42E250CC"/>
    <w:rsid w:val="42E42766"/>
    <w:rsid w:val="431D50CD"/>
    <w:rsid w:val="432150C7"/>
    <w:rsid w:val="432637C1"/>
    <w:rsid w:val="43332397"/>
    <w:rsid w:val="433E00E5"/>
    <w:rsid w:val="4342238A"/>
    <w:rsid w:val="434E1A54"/>
    <w:rsid w:val="43510DE6"/>
    <w:rsid w:val="435A45D7"/>
    <w:rsid w:val="436534DA"/>
    <w:rsid w:val="4367560C"/>
    <w:rsid w:val="43765341"/>
    <w:rsid w:val="437C7AF3"/>
    <w:rsid w:val="437D74F7"/>
    <w:rsid w:val="43881A6F"/>
    <w:rsid w:val="43944280"/>
    <w:rsid w:val="43967B2D"/>
    <w:rsid w:val="43972560"/>
    <w:rsid w:val="43A146C4"/>
    <w:rsid w:val="43BA4725"/>
    <w:rsid w:val="43BD74AE"/>
    <w:rsid w:val="43C40826"/>
    <w:rsid w:val="440402C0"/>
    <w:rsid w:val="440B74D7"/>
    <w:rsid w:val="44144F96"/>
    <w:rsid w:val="44243E48"/>
    <w:rsid w:val="4426029F"/>
    <w:rsid w:val="443049A4"/>
    <w:rsid w:val="4435190D"/>
    <w:rsid w:val="444006F0"/>
    <w:rsid w:val="4449763C"/>
    <w:rsid w:val="4466523D"/>
    <w:rsid w:val="449C2209"/>
    <w:rsid w:val="449E0B3D"/>
    <w:rsid w:val="44A15B22"/>
    <w:rsid w:val="44AB5380"/>
    <w:rsid w:val="44AD44E7"/>
    <w:rsid w:val="44C21393"/>
    <w:rsid w:val="44E311EC"/>
    <w:rsid w:val="44E97B1A"/>
    <w:rsid w:val="44FA2F7D"/>
    <w:rsid w:val="451C1B30"/>
    <w:rsid w:val="45247151"/>
    <w:rsid w:val="452A0B65"/>
    <w:rsid w:val="45307882"/>
    <w:rsid w:val="4541764E"/>
    <w:rsid w:val="45445522"/>
    <w:rsid w:val="45517DBD"/>
    <w:rsid w:val="455D136A"/>
    <w:rsid w:val="455D2ED5"/>
    <w:rsid w:val="45625743"/>
    <w:rsid w:val="456C27E8"/>
    <w:rsid w:val="45831004"/>
    <w:rsid w:val="45853908"/>
    <w:rsid w:val="459709E9"/>
    <w:rsid w:val="45A04E1C"/>
    <w:rsid w:val="45A32CF0"/>
    <w:rsid w:val="45AA2A4C"/>
    <w:rsid w:val="45C004C1"/>
    <w:rsid w:val="45C40157"/>
    <w:rsid w:val="45C906E8"/>
    <w:rsid w:val="45CC7492"/>
    <w:rsid w:val="45E36B41"/>
    <w:rsid w:val="45E60474"/>
    <w:rsid w:val="45EF017B"/>
    <w:rsid w:val="45EF114F"/>
    <w:rsid w:val="45F90666"/>
    <w:rsid w:val="45FA6589"/>
    <w:rsid w:val="4607164D"/>
    <w:rsid w:val="46114F10"/>
    <w:rsid w:val="461A6769"/>
    <w:rsid w:val="461B41AD"/>
    <w:rsid w:val="46265848"/>
    <w:rsid w:val="4629239A"/>
    <w:rsid w:val="4634391B"/>
    <w:rsid w:val="46425126"/>
    <w:rsid w:val="4645223D"/>
    <w:rsid w:val="464636AA"/>
    <w:rsid w:val="46531A74"/>
    <w:rsid w:val="4657345C"/>
    <w:rsid w:val="465F13BF"/>
    <w:rsid w:val="466E1F24"/>
    <w:rsid w:val="46790382"/>
    <w:rsid w:val="46886E13"/>
    <w:rsid w:val="469E56A2"/>
    <w:rsid w:val="46A91E23"/>
    <w:rsid w:val="46AA2C2E"/>
    <w:rsid w:val="46AF0EAA"/>
    <w:rsid w:val="46AF3F90"/>
    <w:rsid w:val="46C1077C"/>
    <w:rsid w:val="46CE0949"/>
    <w:rsid w:val="46D252DD"/>
    <w:rsid w:val="470F5E78"/>
    <w:rsid w:val="47165F77"/>
    <w:rsid w:val="471D3A77"/>
    <w:rsid w:val="473668DE"/>
    <w:rsid w:val="475C0DD0"/>
    <w:rsid w:val="47617A24"/>
    <w:rsid w:val="476756F9"/>
    <w:rsid w:val="476D7AC9"/>
    <w:rsid w:val="47721F65"/>
    <w:rsid w:val="47756B56"/>
    <w:rsid w:val="478F3EA7"/>
    <w:rsid w:val="47A03D75"/>
    <w:rsid w:val="47AD3726"/>
    <w:rsid w:val="47AD3F78"/>
    <w:rsid w:val="47AE7E5F"/>
    <w:rsid w:val="47B36BA2"/>
    <w:rsid w:val="47B91C73"/>
    <w:rsid w:val="47C95536"/>
    <w:rsid w:val="47DB7383"/>
    <w:rsid w:val="47E06033"/>
    <w:rsid w:val="47ED4953"/>
    <w:rsid w:val="47F25461"/>
    <w:rsid w:val="481222FA"/>
    <w:rsid w:val="482A1947"/>
    <w:rsid w:val="482A4D35"/>
    <w:rsid w:val="482B5C12"/>
    <w:rsid w:val="483428C5"/>
    <w:rsid w:val="483D6CA0"/>
    <w:rsid w:val="483F7648"/>
    <w:rsid w:val="485D2A1D"/>
    <w:rsid w:val="48747A54"/>
    <w:rsid w:val="48785B3B"/>
    <w:rsid w:val="4881044E"/>
    <w:rsid w:val="488F0127"/>
    <w:rsid w:val="4896596E"/>
    <w:rsid w:val="48A06535"/>
    <w:rsid w:val="48A47848"/>
    <w:rsid w:val="48B83807"/>
    <w:rsid w:val="48B86EAD"/>
    <w:rsid w:val="48BF22C3"/>
    <w:rsid w:val="48C2533A"/>
    <w:rsid w:val="48DE4623"/>
    <w:rsid w:val="48F0098A"/>
    <w:rsid w:val="48F63C0D"/>
    <w:rsid w:val="48F753BD"/>
    <w:rsid w:val="48FF1255"/>
    <w:rsid w:val="49082337"/>
    <w:rsid w:val="492C3528"/>
    <w:rsid w:val="494E2C1D"/>
    <w:rsid w:val="4965404C"/>
    <w:rsid w:val="49A11EA2"/>
    <w:rsid w:val="49AA58A9"/>
    <w:rsid w:val="49B434AB"/>
    <w:rsid w:val="49B44A63"/>
    <w:rsid w:val="49B4651F"/>
    <w:rsid w:val="49B661CC"/>
    <w:rsid w:val="49B75858"/>
    <w:rsid w:val="49BB2538"/>
    <w:rsid w:val="49BE0360"/>
    <w:rsid w:val="49BE45BC"/>
    <w:rsid w:val="49C523D7"/>
    <w:rsid w:val="49D066E0"/>
    <w:rsid w:val="49D639C4"/>
    <w:rsid w:val="49E329B9"/>
    <w:rsid w:val="49E43F03"/>
    <w:rsid w:val="49E57D00"/>
    <w:rsid w:val="49EB3E39"/>
    <w:rsid w:val="49EF1540"/>
    <w:rsid w:val="4A035301"/>
    <w:rsid w:val="4A036078"/>
    <w:rsid w:val="4A2730EC"/>
    <w:rsid w:val="4A2A2ADE"/>
    <w:rsid w:val="4A306E6B"/>
    <w:rsid w:val="4A41283A"/>
    <w:rsid w:val="4A421E4F"/>
    <w:rsid w:val="4A597B81"/>
    <w:rsid w:val="4A9C1DE8"/>
    <w:rsid w:val="4A9C7443"/>
    <w:rsid w:val="4AA63B10"/>
    <w:rsid w:val="4AA660AE"/>
    <w:rsid w:val="4AB85651"/>
    <w:rsid w:val="4ADC3768"/>
    <w:rsid w:val="4ADE6F9E"/>
    <w:rsid w:val="4AE5158A"/>
    <w:rsid w:val="4AED1B3A"/>
    <w:rsid w:val="4AFE364B"/>
    <w:rsid w:val="4B0258D9"/>
    <w:rsid w:val="4B081EFF"/>
    <w:rsid w:val="4B116A06"/>
    <w:rsid w:val="4B206543"/>
    <w:rsid w:val="4B2B3F00"/>
    <w:rsid w:val="4B3C69C8"/>
    <w:rsid w:val="4B3D000E"/>
    <w:rsid w:val="4B3D539F"/>
    <w:rsid w:val="4B4B1AF7"/>
    <w:rsid w:val="4B4B6C97"/>
    <w:rsid w:val="4B5A0AE6"/>
    <w:rsid w:val="4B5D616A"/>
    <w:rsid w:val="4B633A19"/>
    <w:rsid w:val="4B6407F8"/>
    <w:rsid w:val="4B653FF7"/>
    <w:rsid w:val="4BAE0D59"/>
    <w:rsid w:val="4BBC0D26"/>
    <w:rsid w:val="4BBF212E"/>
    <w:rsid w:val="4BC116CC"/>
    <w:rsid w:val="4BDB0205"/>
    <w:rsid w:val="4BE81E33"/>
    <w:rsid w:val="4BED6294"/>
    <w:rsid w:val="4BF663E3"/>
    <w:rsid w:val="4C000234"/>
    <w:rsid w:val="4C102284"/>
    <w:rsid w:val="4C1952AE"/>
    <w:rsid w:val="4C1A2A29"/>
    <w:rsid w:val="4C1D360D"/>
    <w:rsid w:val="4C3339CD"/>
    <w:rsid w:val="4C3B278B"/>
    <w:rsid w:val="4C3F421C"/>
    <w:rsid w:val="4C4467D9"/>
    <w:rsid w:val="4C4728CE"/>
    <w:rsid w:val="4C7F384D"/>
    <w:rsid w:val="4C88440E"/>
    <w:rsid w:val="4C985F14"/>
    <w:rsid w:val="4C9D6109"/>
    <w:rsid w:val="4CA04AFD"/>
    <w:rsid w:val="4CA31FFF"/>
    <w:rsid w:val="4CBD62CC"/>
    <w:rsid w:val="4CCA56B5"/>
    <w:rsid w:val="4CCE4798"/>
    <w:rsid w:val="4CDD4E01"/>
    <w:rsid w:val="4CE55070"/>
    <w:rsid w:val="4CE6400E"/>
    <w:rsid w:val="4CF906E8"/>
    <w:rsid w:val="4CF954CC"/>
    <w:rsid w:val="4D08178D"/>
    <w:rsid w:val="4D106AE6"/>
    <w:rsid w:val="4D110E1D"/>
    <w:rsid w:val="4D1A0B3D"/>
    <w:rsid w:val="4D1B1A0D"/>
    <w:rsid w:val="4D217EC8"/>
    <w:rsid w:val="4D307308"/>
    <w:rsid w:val="4D336E15"/>
    <w:rsid w:val="4D360D42"/>
    <w:rsid w:val="4D52003F"/>
    <w:rsid w:val="4D5648EE"/>
    <w:rsid w:val="4D5670A7"/>
    <w:rsid w:val="4D57752D"/>
    <w:rsid w:val="4D5D1F52"/>
    <w:rsid w:val="4D6D3D6D"/>
    <w:rsid w:val="4DBC63C0"/>
    <w:rsid w:val="4DDB3C76"/>
    <w:rsid w:val="4DE07446"/>
    <w:rsid w:val="4DE91412"/>
    <w:rsid w:val="4DEE6E7A"/>
    <w:rsid w:val="4E010C97"/>
    <w:rsid w:val="4E0F0887"/>
    <w:rsid w:val="4E146F62"/>
    <w:rsid w:val="4E1E2B7C"/>
    <w:rsid w:val="4E3932FE"/>
    <w:rsid w:val="4E3951B3"/>
    <w:rsid w:val="4E424447"/>
    <w:rsid w:val="4E540763"/>
    <w:rsid w:val="4E5A15EC"/>
    <w:rsid w:val="4E6052BC"/>
    <w:rsid w:val="4E606AD6"/>
    <w:rsid w:val="4E61341B"/>
    <w:rsid w:val="4E6231C0"/>
    <w:rsid w:val="4E675C92"/>
    <w:rsid w:val="4E6E4246"/>
    <w:rsid w:val="4E6F1897"/>
    <w:rsid w:val="4E72442D"/>
    <w:rsid w:val="4E733CEF"/>
    <w:rsid w:val="4E7F784A"/>
    <w:rsid w:val="4E922E36"/>
    <w:rsid w:val="4E966FB4"/>
    <w:rsid w:val="4E9C709C"/>
    <w:rsid w:val="4EAC5018"/>
    <w:rsid w:val="4EB0364A"/>
    <w:rsid w:val="4EB300D7"/>
    <w:rsid w:val="4EB75AA0"/>
    <w:rsid w:val="4EC7799A"/>
    <w:rsid w:val="4ECC0F89"/>
    <w:rsid w:val="4EEA50A8"/>
    <w:rsid w:val="4EEB64B9"/>
    <w:rsid w:val="4EEE7A40"/>
    <w:rsid w:val="4EFE690E"/>
    <w:rsid w:val="4F092D97"/>
    <w:rsid w:val="4F252E6F"/>
    <w:rsid w:val="4F3C67B4"/>
    <w:rsid w:val="4F4F0577"/>
    <w:rsid w:val="4F575402"/>
    <w:rsid w:val="4F5D7111"/>
    <w:rsid w:val="4F6439EA"/>
    <w:rsid w:val="4F704588"/>
    <w:rsid w:val="4F732434"/>
    <w:rsid w:val="4F7D707B"/>
    <w:rsid w:val="4F8E36B5"/>
    <w:rsid w:val="4FA45F82"/>
    <w:rsid w:val="4FB31915"/>
    <w:rsid w:val="4FBE2F4A"/>
    <w:rsid w:val="4FC02274"/>
    <w:rsid w:val="4FC20AA7"/>
    <w:rsid w:val="4FC32C8F"/>
    <w:rsid w:val="4FD02D57"/>
    <w:rsid w:val="4FD47EE1"/>
    <w:rsid w:val="4FD55148"/>
    <w:rsid w:val="4FE22064"/>
    <w:rsid w:val="4FE74552"/>
    <w:rsid w:val="4FE80B78"/>
    <w:rsid w:val="4FF026F6"/>
    <w:rsid w:val="4FF26394"/>
    <w:rsid w:val="5001585B"/>
    <w:rsid w:val="500A13EB"/>
    <w:rsid w:val="50357810"/>
    <w:rsid w:val="503D7C8E"/>
    <w:rsid w:val="503E3FB8"/>
    <w:rsid w:val="50406DFD"/>
    <w:rsid w:val="50435C3E"/>
    <w:rsid w:val="50440753"/>
    <w:rsid w:val="50487AE4"/>
    <w:rsid w:val="505F1EFD"/>
    <w:rsid w:val="50806437"/>
    <w:rsid w:val="509538FF"/>
    <w:rsid w:val="509B0283"/>
    <w:rsid w:val="50AB3E8C"/>
    <w:rsid w:val="50B22C9E"/>
    <w:rsid w:val="50B37962"/>
    <w:rsid w:val="50B70587"/>
    <w:rsid w:val="50C57D2E"/>
    <w:rsid w:val="50CF66BE"/>
    <w:rsid w:val="50DA069B"/>
    <w:rsid w:val="50EE2B40"/>
    <w:rsid w:val="50F2027E"/>
    <w:rsid w:val="50FE7A2A"/>
    <w:rsid w:val="5106388B"/>
    <w:rsid w:val="5106664E"/>
    <w:rsid w:val="51146BDF"/>
    <w:rsid w:val="51171E53"/>
    <w:rsid w:val="511B29C3"/>
    <w:rsid w:val="511E5918"/>
    <w:rsid w:val="513D1102"/>
    <w:rsid w:val="513D4202"/>
    <w:rsid w:val="513F6C20"/>
    <w:rsid w:val="51400C97"/>
    <w:rsid w:val="514C75AC"/>
    <w:rsid w:val="516D502A"/>
    <w:rsid w:val="5184465B"/>
    <w:rsid w:val="519A03E7"/>
    <w:rsid w:val="51A662A9"/>
    <w:rsid w:val="51A84B86"/>
    <w:rsid w:val="51AC264F"/>
    <w:rsid w:val="51AD2F5D"/>
    <w:rsid w:val="51AF23DD"/>
    <w:rsid w:val="51C30F78"/>
    <w:rsid w:val="51CC4912"/>
    <w:rsid w:val="51E648F7"/>
    <w:rsid w:val="51F46A11"/>
    <w:rsid w:val="51F75C8F"/>
    <w:rsid w:val="51FA7F99"/>
    <w:rsid w:val="520B4626"/>
    <w:rsid w:val="521024B8"/>
    <w:rsid w:val="521305F8"/>
    <w:rsid w:val="523978C1"/>
    <w:rsid w:val="524063FC"/>
    <w:rsid w:val="5248283D"/>
    <w:rsid w:val="524B4105"/>
    <w:rsid w:val="524D25C2"/>
    <w:rsid w:val="52704611"/>
    <w:rsid w:val="52755A25"/>
    <w:rsid w:val="527A5D52"/>
    <w:rsid w:val="527B4A16"/>
    <w:rsid w:val="5285369E"/>
    <w:rsid w:val="528558D7"/>
    <w:rsid w:val="52995B79"/>
    <w:rsid w:val="52A2118F"/>
    <w:rsid w:val="52AA36BD"/>
    <w:rsid w:val="52AC1E73"/>
    <w:rsid w:val="52B4386A"/>
    <w:rsid w:val="52B50348"/>
    <w:rsid w:val="52C77C3F"/>
    <w:rsid w:val="52D01026"/>
    <w:rsid w:val="52DD0A68"/>
    <w:rsid w:val="52E315A9"/>
    <w:rsid w:val="52E35EDB"/>
    <w:rsid w:val="52EC7E76"/>
    <w:rsid w:val="532F58B4"/>
    <w:rsid w:val="533376ED"/>
    <w:rsid w:val="5345588D"/>
    <w:rsid w:val="5353008A"/>
    <w:rsid w:val="53645582"/>
    <w:rsid w:val="53733074"/>
    <w:rsid w:val="53873A8B"/>
    <w:rsid w:val="53A6567A"/>
    <w:rsid w:val="53A715A8"/>
    <w:rsid w:val="53B034DF"/>
    <w:rsid w:val="53B415F6"/>
    <w:rsid w:val="53B94A9E"/>
    <w:rsid w:val="53BD782E"/>
    <w:rsid w:val="53D31790"/>
    <w:rsid w:val="53E27FD2"/>
    <w:rsid w:val="53F26A70"/>
    <w:rsid w:val="53FE1061"/>
    <w:rsid w:val="5448025A"/>
    <w:rsid w:val="54590F8C"/>
    <w:rsid w:val="545955A0"/>
    <w:rsid w:val="546B02A8"/>
    <w:rsid w:val="54747189"/>
    <w:rsid w:val="54A02F80"/>
    <w:rsid w:val="54AF26F6"/>
    <w:rsid w:val="54B12719"/>
    <w:rsid w:val="54B9788B"/>
    <w:rsid w:val="54BD3E8D"/>
    <w:rsid w:val="54CD5166"/>
    <w:rsid w:val="54CE5B21"/>
    <w:rsid w:val="54D34CCA"/>
    <w:rsid w:val="54DE0F4F"/>
    <w:rsid w:val="54E53259"/>
    <w:rsid w:val="54E97D97"/>
    <w:rsid w:val="54EC38D5"/>
    <w:rsid w:val="54F0514B"/>
    <w:rsid w:val="54F25FA5"/>
    <w:rsid w:val="54F565BD"/>
    <w:rsid w:val="55140ECC"/>
    <w:rsid w:val="55162FFA"/>
    <w:rsid w:val="5518142E"/>
    <w:rsid w:val="55300B07"/>
    <w:rsid w:val="554173CA"/>
    <w:rsid w:val="554736F3"/>
    <w:rsid w:val="55486428"/>
    <w:rsid w:val="55674FE1"/>
    <w:rsid w:val="55984078"/>
    <w:rsid w:val="559E17FC"/>
    <w:rsid w:val="55B769EE"/>
    <w:rsid w:val="55B818D5"/>
    <w:rsid w:val="55BA62DD"/>
    <w:rsid w:val="55BF217D"/>
    <w:rsid w:val="55C11051"/>
    <w:rsid w:val="55C50CC5"/>
    <w:rsid w:val="55E4217B"/>
    <w:rsid w:val="55EE10FA"/>
    <w:rsid w:val="560B1770"/>
    <w:rsid w:val="560C6887"/>
    <w:rsid w:val="56173D08"/>
    <w:rsid w:val="56297E35"/>
    <w:rsid w:val="562F0882"/>
    <w:rsid w:val="5631512E"/>
    <w:rsid w:val="563B36B3"/>
    <w:rsid w:val="563D07A6"/>
    <w:rsid w:val="56451A85"/>
    <w:rsid w:val="564A65AB"/>
    <w:rsid w:val="56626E88"/>
    <w:rsid w:val="566819BD"/>
    <w:rsid w:val="566D578D"/>
    <w:rsid w:val="56713329"/>
    <w:rsid w:val="56742BB1"/>
    <w:rsid w:val="56817482"/>
    <w:rsid w:val="568527A9"/>
    <w:rsid w:val="56920834"/>
    <w:rsid w:val="56962826"/>
    <w:rsid w:val="56AB00A2"/>
    <w:rsid w:val="56AB16E5"/>
    <w:rsid w:val="56B37CED"/>
    <w:rsid w:val="56B834EF"/>
    <w:rsid w:val="56C221C9"/>
    <w:rsid w:val="56C55530"/>
    <w:rsid w:val="56C636FA"/>
    <w:rsid w:val="56C94BF9"/>
    <w:rsid w:val="56D05861"/>
    <w:rsid w:val="56D45CA9"/>
    <w:rsid w:val="56F4533A"/>
    <w:rsid w:val="56FA03C7"/>
    <w:rsid w:val="56FB4DE2"/>
    <w:rsid w:val="570842DA"/>
    <w:rsid w:val="57085DC2"/>
    <w:rsid w:val="570C40BB"/>
    <w:rsid w:val="57192219"/>
    <w:rsid w:val="571D01F5"/>
    <w:rsid w:val="573E3856"/>
    <w:rsid w:val="574A063A"/>
    <w:rsid w:val="574B4E67"/>
    <w:rsid w:val="575B0D0F"/>
    <w:rsid w:val="57787D9B"/>
    <w:rsid w:val="577C1E80"/>
    <w:rsid w:val="578022C5"/>
    <w:rsid w:val="57845D4F"/>
    <w:rsid w:val="57893997"/>
    <w:rsid w:val="579E6879"/>
    <w:rsid w:val="57A81958"/>
    <w:rsid w:val="57AA2B4F"/>
    <w:rsid w:val="57AA433D"/>
    <w:rsid w:val="57D10C5C"/>
    <w:rsid w:val="57D54703"/>
    <w:rsid w:val="57E37C8C"/>
    <w:rsid w:val="57EF7082"/>
    <w:rsid w:val="57F968CB"/>
    <w:rsid w:val="580216F7"/>
    <w:rsid w:val="58047410"/>
    <w:rsid w:val="58217F2D"/>
    <w:rsid w:val="5835489E"/>
    <w:rsid w:val="585D727E"/>
    <w:rsid w:val="586A35E7"/>
    <w:rsid w:val="586F2102"/>
    <w:rsid w:val="5889717D"/>
    <w:rsid w:val="588C0AAD"/>
    <w:rsid w:val="58904C22"/>
    <w:rsid w:val="589301A3"/>
    <w:rsid w:val="58AA3B72"/>
    <w:rsid w:val="58AC0730"/>
    <w:rsid w:val="58AD6992"/>
    <w:rsid w:val="58BF43B3"/>
    <w:rsid w:val="58D257BC"/>
    <w:rsid w:val="58DB13F7"/>
    <w:rsid w:val="58EB6BD7"/>
    <w:rsid w:val="58F05AD9"/>
    <w:rsid w:val="58F34C8B"/>
    <w:rsid w:val="590038C7"/>
    <w:rsid w:val="59036554"/>
    <w:rsid w:val="590B2F9F"/>
    <w:rsid w:val="59141D1D"/>
    <w:rsid w:val="59154B4B"/>
    <w:rsid w:val="59200143"/>
    <w:rsid w:val="59384F27"/>
    <w:rsid w:val="595B15F3"/>
    <w:rsid w:val="595E7351"/>
    <w:rsid w:val="595F46D9"/>
    <w:rsid w:val="596D5071"/>
    <w:rsid w:val="597309DE"/>
    <w:rsid w:val="599165E0"/>
    <w:rsid w:val="59BB0BFB"/>
    <w:rsid w:val="59C41DE5"/>
    <w:rsid w:val="59CC6DAC"/>
    <w:rsid w:val="59D271D8"/>
    <w:rsid w:val="59D27AD4"/>
    <w:rsid w:val="59D36EA0"/>
    <w:rsid w:val="59D815DB"/>
    <w:rsid w:val="59F765FA"/>
    <w:rsid w:val="5A030DFF"/>
    <w:rsid w:val="5A34205F"/>
    <w:rsid w:val="5A460D6D"/>
    <w:rsid w:val="5A5639B2"/>
    <w:rsid w:val="5A620185"/>
    <w:rsid w:val="5A665A46"/>
    <w:rsid w:val="5A6A7149"/>
    <w:rsid w:val="5A7522DA"/>
    <w:rsid w:val="5A770CF9"/>
    <w:rsid w:val="5A7A02EF"/>
    <w:rsid w:val="5A812E59"/>
    <w:rsid w:val="5A866A24"/>
    <w:rsid w:val="5A892020"/>
    <w:rsid w:val="5A964728"/>
    <w:rsid w:val="5A995DAB"/>
    <w:rsid w:val="5A9A6055"/>
    <w:rsid w:val="5AA30212"/>
    <w:rsid w:val="5ABA7460"/>
    <w:rsid w:val="5ABF79E5"/>
    <w:rsid w:val="5ACD39D7"/>
    <w:rsid w:val="5ADF4097"/>
    <w:rsid w:val="5AE46F3E"/>
    <w:rsid w:val="5AF56C79"/>
    <w:rsid w:val="5AF779F8"/>
    <w:rsid w:val="5AFE5AC3"/>
    <w:rsid w:val="5B0C6565"/>
    <w:rsid w:val="5B0F34D8"/>
    <w:rsid w:val="5B205BDA"/>
    <w:rsid w:val="5B2A5542"/>
    <w:rsid w:val="5B350752"/>
    <w:rsid w:val="5B3B133C"/>
    <w:rsid w:val="5B3D254F"/>
    <w:rsid w:val="5B411674"/>
    <w:rsid w:val="5B456019"/>
    <w:rsid w:val="5B4704FB"/>
    <w:rsid w:val="5B5C31EC"/>
    <w:rsid w:val="5B633BA5"/>
    <w:rsid w:val="5B8253D3"/>
    <w:rsid w:val="5B84294A"/>
    <w:rsid w:val="5B887C65"/>
    <w:rsid w:val="5B8D332B"/>
    <w:rsid w:val="5B93778C"/>
    <w:rsid w:val="5B9C24F1"/>
    <w:rsid w:val="5B9E50D3"/>
    <w:rsid w:val="5BB31BB3"/>
    <w:rsid w:val="5BB46CAC"/>
    <w:rsid w:val="5BBA77E4"/>
    <w:rsid w:val="5BC41E3D"/>
    <w:rsid w:val="5BC6559D"/>
    <w:rsid w:val="5BEB64AE"/>
    <w:rsid w:val="5BED38B8"/>
    <w:rsid w:val="5BF73203"/>
    <w:rsid w:val="5C105F94"/>
    <w:rsid w:val="5C251D7A"/>
    <w:rsid w:val="5C274120"/>
    <w:rsid w:val="5C300AD5"/>
    <w:rsid w:val="5C3233B1"/>
    <w:rsid w:val="5C356E35"/>
    <w:rsid w:val="5C420189"/>
    <w:rsid w:val="5C480496"/>
    <w:rsid w:val="5C4B7271"/>
    <w:rsid w:val="5C50739B"/>
    <w:rsid w:val="5C5B4F61"/>
    <w:rsid w:val="5C6B5283"/>
    <w:rsid w:val="5C73209D"/>
    <w:rsid w:val="5C8C5EE1"/>
    <w:rsid w:val="5C8E03B2"/>
    <w:rsid w:val="5C931EE8"/>
    <w:rsid w:val="5C964CD3"/>
    <w:rsid w:val="5CAA5077"/>
    <w:rsid w:val="5CBF064C"/>
    <w:rsid w:val="5CD2706B"/>
    <w:rsid w:val="5CFA1CEF"/>
    <w:rsid w:val="5D043F94"/>
    <w:rsid w:val="5D0C6787"/>
    <w:rsid w:val="5D1E115B"/>
    <w:rsid w:val="5D203B82"/>
    <w:rsid w:val="5D227CF0"/>
    <w:rsid w:val="5D253CC9"/>
    <w:rsid w:val="5D261D9B"/>
    <w:rsid w:val="5D2C49EA"/>
    <w:rsid w:val="5D2D5BE0"/>
    <w:rsid w:val="5D302920"/>
    <w:rsid w:val="5D371418"/>
    <w:rsid w:val="5D397E02"/>
    <w:rsid w:val="5D487EDE"/>
    <w:rsid w:val="5D5C1274"/>
    <w:rsid w:val="5D621002"/>
    <w:rsid w:val="5D851321"/>
    <w:rsid w:val="5D8D4BFD"/>
    <w:rsid w:val="5DA42DB3"/>
    <w:rsid w:val="5DAA7EBB"/>
    <w:rsid w:val="5DB04190"/>
    <w:rsid w:val="5DB147B0"/>
    <w:rsid w:val="5DB5472D"/>
    <w:rsid w:val="5DB63D20"/>
    <w:rsid w:val="5DB73653"/>
    <w:rsid w:val="5DB82CD9"/>
    <w:rsid w:val="5DB932D4"/>
    <w:rsid w:val="5DD91F9D"/>
    <w:rsid w:val="5DE44F8E"/>
    <w:rsid w:val="5E045938"/>
    <w:rsid w:val="5E096B80"/>
    <w:rsid w:val="5E124AF1"/>
    <w:rsid w:val="5E1F374F"/>
    <w:rsid w:val="5E207926"/>
    <w:rsid w:val="5E2F576D"/>
    <w:rsid w:val="5E4029A9"/>
    <w:rsid w:val="5E4274C8"/>
    <w:rsid w:val="5E4B702F"/>
    <w:rsid w:val="5E512996"/>
    <w:rsid w:val="5E592FD5"/>
    <w:rsid w:val="5E5D519E"/>
    <w:rsid w:val="5E6272E7"/>
    <w:rsid w:val="5E7553EA"/>
    <w:rsid w:val="5E7677AE"/>
    <w:rsid w:val="5E776FFA"/>
    <w:rsid w:val="5E7E00CA"/>
    <w:rsid w:val="5E87183D"/>
    <w:rsid w:val="5EAE4F00"/>
    <w:rsid w:val="5EAF603F"/>
    <w:rsid w:val="5EB21F1C"/>
    <w:rsid w:val="5EB83385"/>
    <w:rsid w:val="5EC82C37"/>
    <w:rsid w:val="5EF210D2"/>
    <w:rsid w:val="5EF431CA"/>
    <w:rsid w:val="5F042BD4"/>
    <w:rsid w:val="5F062579"/>
    <w:rsid w:val="5F0938A4"/>
    <w:rsid w:val="5F096B3C"/>
    <w:rsid w:val="5F10125D"/>
    <w:rsid w:val="5F230F76"/>
    <w:rsid w:val="5F2447E2"/>
    <w:rsid w:val="5F2E61C1"/>
    <w:rsid w:val="5F34292C"/>
    <w:rsid w:val="5F560C58"/>
    <w:rsid w:val="5F5E60F4"/>
    <w:rsid w:val="5F737748"/>
    <w:rsid w:val="5F8748CF"/>
    <w:rsid w:val="5FB160B4"/>
    <w:rsid w:val="5FB76C5B"/>
    <w:rsid w:val="5FCB3796"/>
    <w:rsid w:val="5FD06102"/>
    <w:rsid w:val="5FD459E5"/>
    <w:rsid w:val="5FEA708D"/>
    <w:rsid w:val="5FF2381F"/>
    <w:rsid w:val="600C3016"/>
    <w:rsid w:val="600F523D"/>
    <w:rsid w:val="601463F3"/>
    <w:rsid w:val="601A13C0"/>
    <w:rsid w:val="602A170A"/>
    <w:rsid w:val="60326243"/>
    <w:rsid w:val="60343173"/>
    <w:rsid w:val="60437933"/>
    <w:rsid w:val="605A28BD"/>
    <w:rsid w:val="605A3719"/>
    <w:rsid w:val="605D4EBF"/>
    <w:rsid w:val="60687751"/>
    <w:rsid w:val="6073352C"/>
    <w:rsid w:val="60752AF5"/>
    <w:rsid w:val="60755F9A"/>
    <w:rsid w:val="608347E2"/>
    <w:rsid w:val="60872428"/>
    <w:rsid w:val="609A596D"/>
    <w:rsid w:val="60A24164"/>
    <w:rsid w:val="60BE2982"/>
    <w:rsid w:val="60C4634D"/>
    <w:rsid w:val="60D23441"/>
    <w:rsid w:val="60D54BF1"/>
    <w:rsid w:val="60E020A8"/>
    <w:rsid w:val="60F278B2"/>
    <w:rsid w:val="610B183C"/>
    <w:rsid w:val="611F5F5D"/>
    <w:rsid w:val="61217776"/>
    <w:rsid w:val="61222AF3"/>
    <w:rsid w:val="612D009F"/>
    <w:rsid w:val="61321621"/>
    <w:rsid w:val="61384C0F"/>
    <w:rsid w:val="613E220A"/>
    <w:rsid w:val="614312D1"/>
    <w:rsid w:val="615E12B6"/>
    <w:rsid w:val="61613AC5"/>
    <w:rsid w:val="61AC1020"/>
    <w:rsid w:val="61AD34D8"/>
    <w:rsid w:val="61BE3D99"/>
    <w:rsid w:val="61C47FEB"/>
    <w:rsid w:val="61D137D8"/>
    <w:rsid w:val="61D20605"/>
    <w:rsid w:val="61D640C8"/>
    <w:rsid w:val="61DE3E33"/>
    <w:rsid w:val="61E32471"/>
    <w:rsid w:val="61E35D90"/>
    <w:rsid w:val="61EA31BE"/>
    <w:rsid w:val="61F822DD"/>
    <w:rsid w:val="61F95111"/>
    <w:rsid w:val="61FB6AD0"/>
    <w:rsid w:val="61FE247D"/>
    <w:rsid w:val="62137C8D"/>
    <w:rsid w:val="621D5FD0"/>
    <w:rsid w:val="62341344"/>
    <w:rsid w:val="623914B9"/>
    <w:rsid w:val="62401F4A"/>
    <w:rsid w:val="62412998"/>
    <w:rsid w:val="624C44A9"/>
    <w:rsid w:val="625351F3"/>
    <w:rsid w:val="62553A9B"/>
    <w:rsid w:val="62675F2B"/>
    <w:rsid w:val="626B0910"/>
    <w:rsid w:val="626B1506"/>
    <w:rsid w:val="628643F9"/>
    <w:rsid w:val="62A32FEF"/>
    <w:rsid w:val="62A542A4"/>
    <w:rsid w:val="62A954D2"/>
    <w:rsid w:val="62AE3528"/>
    <w:rsid w:val="62B35B62"/>
    <w:rsid w:val="62C727F3"/>
    <w:rsid w:val="62CB25A5"/>
    <w:rsid w:val="62D91687"/>
    <w:rsid w:val="62E04105"/>
    <w:rsid w:val="62E7195B"/>
    <w:rsid w:val="62F4295B"/>
    <w:rsid w:val="630A22CD"/>
    <w:rsid w:val="630E7025"/>
    <w:rsid w:val="631655D1"/>
    <w:rsid w:val="631B6276"/>
    <w:rsid w:val="633476CC"/>
    <w:rsid w:val="63450509"/>
    <w:rsid w:val="634E2831"/>
    <w:rsid w:val="635416C9"/>
    <w:rsid w:val="63581D81"/>
    <w:rsid w:val="63686224"/>
    <w:rsid w:val="637F4492"/>
    <w:rsid w:val="6394647C"/>
    <w:rsid w:val="6396427A"/>
    <w:rsid w:val="639A417A"/>
    <w:rsid w:val="63AA0E0D"/>
    <w:rsid w:val="63D66D3A"/>
    <w:rsid w:val="63E447DD"/>
    <w:rsid w:val="63E9760A"/>
    <w:rsid w:val="640E572E"/>
    <w:rsid w:val="642205FF"/>
    <w:rsid w:val="64224828"/>
    <w:rsid w:val="6433771F"/>
    <w:rsid w:val="6445786C"/>
    <w:rsid w:val="644A0CA4"/>
    <w:rsid w:val="645128D2"/>
    <w:rsid w:val="64517080"/>
    <w:rsid w:val="645341AD"/>
    <w:rsid w:val="645E250C"/>
    <w:rsid w:val="64645A1A"/>
    <w:rsid w:val="64684CE2"/>
    <w:rsid w:val="647154E5"/>
    <w:rsid w:val="647B3297"/>
    <w:rsid w:val="647D0F82"/>
    <w:rsid w:val="647D1E76"/>
    <w:rsid w:val="648E4718"/>
    <w:rsid w:val="64957EAC"/>
    <w:rsid w:val="649642AA"/>
    <w:rsid w:val="64973D71"/>
    <w:rsid w:val="64990A35"/>
    <w:rsid w:val="64A24B0C"/>
    <w:rsid w:val="64AD1962"/>
    <w:rsid w:val="64AD3CBD"/>
    <w:rsid w:val="64B63665"/>
    <w:rsid w:val="64B862CD"/>
    <w:rsid w:val="64BD31F5"/>
    <w:rsid w:val="64C14E71"/>
    <w:rsid w:val="64EF6713"/>
    <w:rsid w:val="64F26961"/>
    <w:rsid w:val="64FB07AF"/>
    <w:rsid w:val="64FD1EC0"/>
    <w:rsid w:val="65034587"/>
    <w:rsid w:val="650F6A18"/>
    <w:rsid w:val="65377560"/>
    <w:rsid w:val="65494C59"/>
    <w:rsid w:val="65494E43"/>
    <w:rsid w:val="65674C07"/>
    <w:rsid w:val="6582305E"/>
    <w:rsid w:val="65850CF1"/>
    <w:rsid w:val="658E21E1"/>
    <w:rsid w:val="658E6829"/>
    <w:rsid w:val="65985849"/>
    <w:rsid w:val="659F5416"/>
    <w:rsid w:val="65A652A3"/>
    <w:rsid w:val="65AE6F2E"/>
    <w:rsid w:val="65C02314"/>
    <w:rsid w:val="65C821A1"/>
    <w:rsid w:val="65CE106D"/>
    <w:rsid w:val="65D106CD"/>
    <w:rsid w:val="65DC7EDF"/>
    <w:rsid w:val="65DF311C"/>
    <w:rsid w:val="65FA5B9B"/>
    <w:rsid w:val="65FD2AF0"/>
    <w:rsid w:val="6604486E"/>
    <w:rsid w:val="662130BD"/>
    <w:rsid w:val="66415810"/>
    <w:rsid w:val="66481A85"/>
    <w:rsid w:val="664B0459"/>
    <w:rsid w:val="66514EE9"/>
    <w:rsid w:val="66645237"/>
    <w:rsid w:val="66687040"/>
    <w:rsid w:val="666D33B9"/>
    <w:rsid w:val="6673778C"/>
    <w:rsid w:val="667D7DCA"/>
    <w:rsid w:val="668B68DE"/>
    <w:rsid w:val="668D2C7B"/>
    <w:rsid w:val="668F3704"/>
    <w:rsid w:val="669468B3"/>
    <w:rsid w:val="669701A7"/>
    <w:rsid w:val="66A81CB0"/>
    <w:rsid w:val="66BB72D1"/>
    <w:rsid w:val="66D024B8"/>
    <w:rsid w:val="66D12A14"/>
    <w:rsid w:val="66E45C68"/>
    <w:rsid w:val="66EF7263"/>
    <w:rsid w:val="67000E4F"/>
    <w:rsid w:val="671D108D"/>
    <w:rsid w:val="672B14CD"/>
    <w:rsid w:val="673C3BCB"/>
    <w:rsid w:val="67495819"/>
    <w:rsid w:val="67530BDB"/>
    <w:rsid w:val="67557264"/>
    <w:rsid w:val="675D08B2"/>
    <w:rsid w:val="67633500"/>
    <w:rsid w:val="676F1BE3"/>
    <w:rsid w:val="6778118D"/>
    <w:rsid w:val="6785591F"/>
    <w:rsid w:val="678647A2"/>
    <w:rsid w:val="67874FCA"/>
    <w:rsid w:val="67894173"/>
    <w:rsid w:val="6796691B"/>
    <w:rsid w:val="67A53B58"/>
    <w:rsid w:val="67AB459D"/>
    <w:rsid w:val="67AC14B0"/>
    <w:rsid w:val="67CC6AA3"/>
    <w:rsid w:val="67D34025"/>
    <w:rsid w:val="67D5777B"/>
    <w:rsid w:val="67E14316"/>
    <w:rsid w:val="67EC695F"/>
    <w:rsid w:val="67F26B76"/>
    <w:rsid w:val="67F86FEB"/>
    <w:rsid w:val="681000C3"/>
    <w:rsid w:val="68194AEB"/>
    <w:rsid w:val="681D2823"/>
    <w:rsid w:val="682C54CF"/>
    <w:rsid w:val="682F75EC"/>
    <w:rsid w:val="68335938"/>
    <w:rsid w:val="684A0ED5"/>
    <w:rsid w:val="68517281"/>
    <w:rsid w:val="68567627"/>
    <w:rsid w:val="68612FCD"/>
    <w:rsid w:val="6869021B"/>
    <w:rsid w:val="689658DF"/>
    <w:rsid w:val="68B1635C"/>
    <w:rsid w:val="68BC357B"/>
    <w:rsid w:val="68C65B73"/>
    <w:rsid w:val="68C82166"/>
    <w:rsid w:val="68C961D1"/>
    <w:rsid w:val="68D25D8C"/>
    <w:rsid w:val="68D733A2"/>
    <w:rsid w:val="68DB5FE0"/>
    <w:rsid w:val="68E12804"/>
    <w:rsid w:val="68F63212"/>
    <w:rsid w:val="68FD0BFF"/>
    <w:rsid w:val="6900291C"/>
    <w:rsid w:val="6904517F"/>
    <w:rsid w:val="691040E8"/>
    <w:rsid w:val="691B34C5"/>
    <w:rsid w:val="69247457"/>
    <w:rsid w:val="692F5104"/>
    <w:rsid w:val="69307E26"/>
    <w:rsid w:val="69481337"/>
    <w:rsid w:val="69770DB3"/>
    <w:rsid w:val="697960CD"/>
    <w:rsid w:val="698A2325"/>
    <w:rsid w:val="698A4060"/>
    <w:rsid w:val="699339F3"/>
    <w:rsid w:val="69DF312D"/>
    <w:rsid w:val="69E14866"/>
    <w:rsid w:val="69EE2F6F"/>
    <w:rsid w:val="6A046A42"/>
    <w:rsid w:val="6A093453"/>
    <w:rsid w:val="6A1319A6"/>
    <w:rsid w:val="6A2219D0"/>
    <w:rsid w:val="6A237F84"/>
    <w:rsid w:val="6A2C71E7"/>
    <w:rsid w:val="6A301EF2"/>
    <w:rsid w:val="6A30573D"/>
    <w:rsid w:val="6A367931"/>
    <w:rsid w:val="6A3B5037"/>
    <w:rsid w:val="6A5C1D8E"/>
    <w:rsid w:val="6A7149AE"/>
    <w:rsid w:val="6A734E26"/>
    <w:rsid w:val="6A7A4E81"/>
    <w:rsid w:val="6A825507"/>
    <w:rsid w:val="6A8E73EE"/>
    <w:rsid w:val="6A8F4B93"/>
    <w:rsid w:val="6AB31892"/>
    <w:rsid w:val="6ABC1881"/>
    <w:rsid w:val="6AC716C5"/>
    <w:rsid w:val="6AD01EB5"/>
    <w:rsid w:val="6AD0510C"/>
    <w:rsid w:val="6AD440B1"/>
    <w:rsid w:val="6ADB252D"/>
    <w:rsid w:val="6AF17F04"/>
    <w:rsid w:val="6B0236F7"/>
    <w:rsid w:val="6B1E0F16"/>
    <w:rsid w:val="6B2467A4"/>
    <w:rsid w:val="6B3A16D3"/>
    <w:rsid w:val="6B4E6A71"/>
    <w:rsid w:val="6B7867DE"/>
    <w:rsid w:val="6B7E5E22"/>
    <w:rsid w:val="6B8628CB"/>
    <w:rsid w:val="6B876779"/>
    <w:rsid w:val="6B9B17A8"/>
    <w:rsid w:val="6B9F6ED0"/>
    <w:rsid w:val="6BA10731"/>
    <w:rsid w:val="6BA90006"/>
    <w:rsid w:val="6BA94D9D"/>
    <w:rsid w:val="6BB67CF9"/>
    <w:rsid w:val="6BBF5B32"/>
    <w:rsid w:val="6BC86E46"/>
    <w:rsid w:val="6BE92DEA"/>
    <w:rsid w:val="6BF06452"/>
    <w:rsid w:val="6BF65381"/>
    <w:rsid w:val="6BF85E65"/>
    <w:rsid w:val="6BFC2B07"/>
    <w:rsid w:val="6C00234C"/>
    <w:rsid w:val="6C106D83"/>
    <w:rsid w:val="6C161E18"/>
    <w:rsid w:val="6C331839"/>
    <w:rsid w:val="6C4B6295"/>
    <w:rsid w:val="6C51610B"/>
    <w:rsid w:val="6C5551D5"/>
    <w:rsid w:val="6C563D88"/>
    <w:rsid w:val="6C6A3DF2"/>
    <w:rsid w:val="6C720DEF"/>
    <w:rsid w:val="6C8E4A94"/>
    <w:rsid w:val="6C91507E"/>
    <w:rsid w:val="6C997F1E"/>
    <w:rsid w:val="6CA11ACF"/>
    <w:rsid w:val="6CA365EA"/>
    <w:rsid w:val="6CBB08C6"/>
    <w:rsid w:val="6CBF1789"/>
    <w:rsid w:val="6CD27393"/>
    <w:rsid w:val="6CE40597"/>
    <w:rsid w:val="6CE9088A"/>
    <w:rsid w:val="6CEC4F2B"/>
    <w:rsid w:val="6CF66267"/>
    <w:rsid w:val="6CFD354C"/>
    <w:rsid w:val="6D0B6791"/>
    <w:rsid w:val="6D22549E"/>
    <w:rsid w:val="6D2279A7"/>
    <w:rsid w:val="6D25479D"/>
    <w:rsid w:val="6D2A351D"/>
    <w:rsid w:val="6D2C5AA6"/>
    <w:rsid w:val="6D503FA9"/>
    <w:rsid w:val="6D7746F0"/>
    <w:rsid w:val="6D7B1881"/>
    <w:rsid w:val="6D81251C"/>
    <w:rsid w:val="6D821E35"/>
    <w:rsid w:val="6D9075A3"/>
    <w:rsid w:val="6D9A0E58"/>
    <w:rsid w:val="6DA33374"/>
    <w:rsid w:val="6DBF37F8"/>
    <w:rsid w:val="6DD0119D"/>
    <w:rsid w:val="6DEF44E6"/>
    <w:rsid w:val="6E076D09"/>
    <w:rsid w:val="6E085603"/>
    <w:rsid w:val="6E0E7A5D"/>
    <w:rsid w:val="6E123949"/>
    <w:rsid w:val="6E201552"/>
    <w:rsid w:val="6E240FF5"/>
    <w:rsid w:val="6E282D89"/>
    <w:rsid w:val="6E30282C"/>
    <w:rsid w:val="6E3431D3"/>
    <w:rsid w:val="6E435EF6"/>
    <w:rsid w:val="6E444228"/>
    <w:rsid w:val="6E507D56"/>
    <w:rsid w:val="6E5716EC"/>
    <w:rsid w:val="6E5D2FD3"/>
    <w:rsid w:val="6E6A318F"/>
    <w:rsid w:val="6E71190D"/>
    <w:rsid w:val="6E74169D"/>
    <w:rsid w:val="6E813FBC"/>
    <w:rsid w:val="6E815E20"/>
    <w:rsid w:val="6E846FC2"/>
    <w:rsid w:val="6E8624B3"/>
    <w:rsid w:val="6E873956"/>
    <w:rsid w:val="6E8C7D32"/>
    <w:rsid w:val="6E8E51D4"/>
    <w:rsid w:val="6E99625F"/>
    <w:rsid w:val="6E9D71F7"/>
    <w:rsid w:val="6EA01FB4"/>
    <w:rsid w:val="6EC35D97"/>
    <w:rsid w:val="6EC6118B"/>
    <w:rsid w:val="6EE80A35"/>
    <w:rsid w:val="6EEB5A7B"/>
    <w:rsid w:val="6F0A0282"/>
    <w:rsid w:val="6F0B0584"/>
    <w:rsid w:val="6F257D6B"/>
    <w:rsid w:val="6F2F1E28"/>
    <w:rsid w:val="6F312092"/>
    <w:rsid w:val="6F522BD7"/>
    <w:rsid w:val="6F5537CA"/>
    <w:rsid w:val="6F632640"/>
    <w:rsid w:val="6F6E6C68"/>
    <w:rsid w:val="6F776B63"/>
    <w:rsid w:val="6F7A1C54"/>
    <w:rsid w:val="6F7A466C"/>
    <w:rsid w:val="6F80592D"/>
    <w:rsid w:val="6F827E1F"/>
    <w:rsid w:val="6F8C63EC"/>
    <w:rsid w:val="6F9C10D6"/>
    <w:rsid w:val="6FA0079A"/>
    <w:rsid w:val="6FA41A9E"/>
    <w:rsid w:val="6FAF6A61"/>
    <w:rsid w:val="6FBB4C43"/>
    <w:rsid w:val="6FBD44A9"/>
    <w:rsid w:val="6FBE33DD"/>
    <w:rsid w:val="6FCF2E2C"/>
    <w:rsid w:val="6FF77CA8"/>
    <w:rsid w:val="700131E0"/>
    <w:rsid w:val="70210CA6"/>
    <w:rsid w:val="702A379F"/>
    <w:rsid w:val="703C1F2E"/>
    <w:rsid w:val="703E2540"/>
    <w:rsid w:val="70404C36"/>
    <w:rsid w:val="704C288C"/>
    <w:rsid w:val="705944D6"/>
    <w:rsid w:val="70676F35"/>
    <w:rsid w:val="70695629"/>
    <w:rsid w:val="7080748C"/>
    <w:rsid w:val="708D60E1"/>
    <w:rsid w:val="70925CFA"/>
    <w:rsid w:val="7098652B"/>
    <w:rsid w:val="709C790E"/>
    <w:rsid w:val="70AE1C59"/>
    <w:rsid w:val="70EF496F"/>
    <w:rsid w:val="70F9562A"/>
    <w:rsid w:val="71041259"/>
    <w:rsid w:val="71080563"/>
    <w:rsid w:val="710D7A61"/>
    <w:rsid w:val="71274D73"/>
    <w:rsid w:val="7144796E"/>
    <w:rsid w:val="71503C8F"/>
    <w:rsid w:val="715218D2"/>
    <w:rsid w:val="716375EE"/>
    <w:rsid w:val="716E24BD"/>
    <w:rsid w:val="717F0491"/>
    <w:rsid w:val="7187629B"/>
    <w:rsid w:val="71944FF1"/>
    <w:rsid w:val="71A949BF"/>
    <w:rsid w:val="71B20ECB"/>
    <w:rsid w:val="71BF036E"/>
    <w:rsid w:val="71C16B20"/>
    <w:rsid w:val="71C9438B"/>
    <w:rsid w:val="71CE1483"/>
    <w:rsid w:val="71D461C9"/>
    <w:rsid w:val="71EB232F"/>
    <w:rsid w:val="71EC4DF8"/>
    <w:rsid w:val="71EE4CD4"/>
    <w:rsid w:val="71F22395"/>
    <w:rsid w:val="720543F2"/>
    <w:rsid w:val="72096C20"/>
    <w:rsid w:val="72270962"/>
    <w:rsid w:val="72346B69"/>
    <w:rsid w:val="72424D68"/>
    <w:rsid w:val="72542A7C"/>
    <w:rsid w:val="7255349C"/>
    <w:rsid w:val="72B839A0"/>
    <w:rsid w:val="72CD073C"/>
    <w:rsid w:val="72D73A48"/>
    <w:rsid w:val="72DE3766"/>
    <w:rsid w:val="72E03AF4"/>
    <w:rsid w:val="72FE7B43"/>
    <w:rsid w:val="730312E7"/>
    <w:rsid w:val="731513D9"/>
    <w:rsid w:val="73203C07"/>
    <w:rsid w:val="73235C97"/>
    <w:rsid w:val="732D524C"/>
    <w:rsid w:val="732F3A9D"/>
    <w:rsid w:val="73300CCE"/>
    <w:rsid w:val="73310943"/>
    <w:rsid w:val="73500390"/>
    <w:rsid w:val="73520EE2"/>
    <w:rsid w:val="735C255F"/>
    <w:rsid w:val="7362558B"/>
    <w:rsid w:val="736A02C1"/>
    <w:rsid w:val="736E713E"/>
    <w:rsid w:val="73821076"/>
    <w:rsid w:val="7398397D"/>
    <w:rsid w:val="739F61B7"/>
    <w:rsid w:val="73A11B75"/>
    <w:rsid w:val="73A50D9F"/>
    <w:rsid w:val="73AA2969"/>
    <w:rsid w:val="73B22405"/>
    <w:rsid w:val="73C65AB7"/>
    <w:rsid w:val="73CA63F1"/>
    <w:rsid w:val="73CF1F2D"/>
    <w:rsid w:val="73D968DB"/>
    <w:rsid w:val="73E64F8D"/>
    <w:rsid w:val="73E907E3"/>
    <w:rsid w:val="73F614F7"/>
    <w:rsid w:val="73FC1BEE"/>
    <w:rsid w:val="74280B19"/>
    <w:rsid w:val="74290747"/>
    <w:rsid w:val="742E3BE8"/>
    <w:rsid w:val="742E3CF2"/>
    <w:rsid w:val="74303B4F"/>
    <w:rsid w:val="743379FF"/>
    <w:rsid w:val="7437013E"/>
    <w:rsid w:val="743F226B"/>
    <w:rsid w:val="74585DF2"/>
    <w:rsid w:val="745D697F"/>
    <w:rsid w:val="7461509A"/>
    <w:rsid w:val="74621DBA"/>
    <w:rsid w:val="747A35AC"/>
    <w:rsid w:val="74822716"/>
    <w:rsid w:val="748269EE"/>
    <w:rsid w:val="74951B93"/>
    <w:rsid w:val="74A77D79"/>
    <w:rsid w:val="74B1659A"/>
    <w:rsid w:val="74B60DD8"/>
    <w:rsid w:val="74BB2C8C"/>
    <w:rsid w:val="74BF5431"/>
    <w:rsid w:val="74D9493F"/>
    <w:rsid w:val="74E875DD"/>
    <w:rsid w:val="74EE2280"/>
    <w:rsid w:val="74F07870"/>
    <w:rsid w:val="74F348CB"/>
    <w:rsid w:val="74FB0341"/>
    <w:rsid w:val="750D3D28"/>
    <w:rsid w:val="751B08F6"/>
    <w:rsid w:val="752E5761"/>
    <w:rsid w:val="752F50A9"/>
    <w:rsid w:val="753809DC"/>
    <w:rsid w:val="753F3004"/>
    <w:rsid w:val="754D6C74"/>
    <w:rsid w:val="754F17F6"/>
    <w:rsid w:val="75586658"/>
    <w:rsid w:val="756176A1"/>
    <w:rsid w:val="756225DF"/>
    <w:rsid w:val="757A2688"/>
    <w:rsid w:val="758344CF"/>
    <w:rsid w:val="75882CC7"/>
    <w:rsid w:val="7591718D"/>
    <w:rsid w:val="759221A0"/>
    <w:rsid w:val="759263B5"/>
    <w:rsid w:val="75947512"/>
    <w:rsid w:val="75A53054"/>
    <w:rsid w:val="75AB24C3"/>
    <w:rsid w:val="75B22EEF"/>
    <w:rsid w:val="75C5459B"/>
    <w:rsid w:val="75D151F9"/>
    <w:rsid w:val="75E55BDE"/>
    <w:rsid w:val="75FC60C5"/>
    <w:rsid w:val="76205CF2"/>
    <w:rsid w:val="7621620E"/>
    <w:rsid w:val="76290345"/>
    <w:rsid w:val="762A17F6"/>
    <w:rsid w:val="7646755F"/>
    <w:rsid w:val="764D4936"/>
    <w:rsid w:val="76552DD9"/>
    <w:rsid w:val="765866EF"/>
    <w:rsid w:val="76632B67"/>
    <w:rsid w:val="766429FA"/>
    <w:rsid w:val="76690F46"/>
    <w:rsid w:val="767B7C4E"/>
    <w:rsid w:val="767F407C"/>
    <w:rsid w:val="768128CA"/>
    <w:rsid w:val="76856568"/>
    <w:rsid w:val="76874A07"/>
    <w:rsid w:val="769A33A3"/>
    <w:rsid w:val="769B5A9A"/>
    <w:rsid w:val="76C73420"/>
    <w:rsid w:val="76CE58B1"/>
    <w:rsid w:val="76D45B66"/>
    <w:rsid w:val="76DB75E4"/>
    <w:rsid w:val="76E9071F"/>
    <w:rsid w:val="76ED0192"/>
    <w:rsid w:val="76FE2417"/>
    <w:rsid w:val="77044BD8"/>
    <w:rsid w:val="771A07C2"/>
    <w:rsid w:val="771E653D"/>
    <w:rsid w:val="77204751"/>
    <w:rsid w:val="77222009"/>
    <w:rsid w:val="77283052"/>
    <w:rsid w:val="773C057B"/>
    <w:rsid w:val="77412D97"/>
    <w:rsid w:val="774C0824"/>
    <w:rsid w:val="77612D58"/>
    <w:rsid w:val="7761645E"/>
    <w:rsid w:val="7763578D"/>
    <w:rsid w:val="777D278E"/>
    <w:rsid w:val="77805FB2"/>
    <w:rsid w:val="77AC127E"/>
    <w:rsid w:val="77B52BFD"/>
    <w:rsid w:val="77B569D0"/>
    <w:rsid w:val="77D564DF"/>
    <w:rsid w:val="77DE2110"/>
    <w:rsid w:val="77E737DA"/>
    <w:rsid w:val="77ED5420"/>
    <w:rsid w:val="77EE34EF"/>
    <w:rsid w:val="77F846C8"/>
    <w:rsid w:val="78060E54"/>
    <w:rsid w:val="78116E6B"/>
    <w:rsid w:val="781F2DF3"/>
    <w:rsid w:val="7823174E"/>
    <w:rsid w:val="783653B8"/>
    <w:rsid w:val="783B7C44"/>
    <w:rsid w:val="78436A2D"/>
    <w:rsid w:val="78465C36"/>
    <w:rsid w:val="784A424F"/>
    <w:rsid w:val="78535DC9"/>
    <w:rsid w:val="785F6689"/>
    <w:rsid w:val="78850450"/>
    <w:rsid w:val="788E700F"/>
    <w:rsid w:val="78922652"/>
    <w:rsid w:val="78A40007"/>
    <w:rsid w:val="78A979EC"/>
    <w:rsid w:val="78DB4937"/>
    <w:rsid w:val="78DD7963"/>
    <w:rsid w:val="78F800AB"/>
    <w:rsid w:val="78FF7792"/>
    <w:rsid w:val="79174ED4"/>
    <w:rsid w:val="791A6989"/>
    <w:rsid w:val="79265011"/>
    <w:rsid w:val="79285D65"/>
    <w:rsid w:val="7929610B"/>
    <w:rsid w:val="792B3C69"/>
    <w:rsid w:val="792C050F"/>
    <w:rsid w:val="793C64D0"/>
    <w:rsid w:val="794006DB"/>
    <w:rsid w:val="79460EC0"/>
    <w:rsid w:val="79560108"/>
    <w:rsid w:val="79571FA8"/>
    <w:rsid w:val="79576E0C"/>
    <w:rsid w:val="79630A81"/>
    <w:rsid w:val="797508A8"/>
    <w:rsid w:val="79756FD0"/>
    <w:rsid w:val="799B5607"/>
    <w:rsid w:val="79C15379"/>
    <w:rsid w:val="79C56286"/>
    <w:rsid w:val="79C64173"/>
    <w:rsid w:val="79D213D2"/>
    <w:rsid w:val="79D85CE8"/>
    <w:rsid w:val="79E96887"/>
    <w:rsid w:val="7A05031E"/>
    <w:rsid w:val="7A0F4FFD"/>
    <w:rsid w:val="7A1E0BB7"/>
    <w:rsid w:val="7A2C576C"/>
    <w:rsid w:val="7A322C02"/>
    <w:rsid w:val="7A4C4072"/>
    <w:rsid w:val="7A563EFA"/>
    <w:rsid w:val="7A85154F"/>
    <w:rsid w:val="7A8E2140"/>
    <w:rsid w:val="7A8E6B8F"/>
    <w:rsid w:val="7AA10C9F"/>
    <w:rsid w:val="7AA92134"/>
    <w:rsid w:val="7AB21C28"/>
    <w:rsid w:val="7ABC2D63"/>
    <w:rsid w:val="7AC961C4"/>
    <w:rsid w:val="7ADA2064"/>
    <w:rsid w:val="7ADF4A3D"/>
    <w:rsid w:val="7AE25E8A"/>
    <w:rsid w:val="7AEC5A8F"/>
    <w:rsid w:val="7AF30FE9"/>
    <w:rsid w:val="7AF65F04"/>
    <w:rsid w:val="7B040E1B"/>
    <w:rsid w:val="7B052BD7"/>
    <w:rsid w:val="7B072853"/>
    <w:rsid w:val="7B2531EE"/>
    <w:rsid w:val="7B284CDE"/>
    <w:rsid w:val="7B2C2F0F"/>
    <w:rsid w:val="7B321EC2"/>
    <w:rsid w:val="7B324B68"/>
    <w:rsid w:val="7B3B0EEA"/>
    <w:rsid w:val="7B4013EA"/>
    <w:rsid w:val="7B4D3C2E"/>
    <w:rsid w:val="7B5B2FAF"/>
    <w:rsid w:val="7B5E23C6"/>
    <w:rsid w:val="7B5E34B6"/>
    <w:rsid w:val="7B65213D"/>
    <w:rsid w:val="7B7264ED"/>
    <w:rsid w:val="7B7B256C"/>
    <w:rsid w:val="7B846C60"/>
    <w:rsid w:val="7B947F8E"/>
    <w:rsid w:val="7B973A32"/>
    <w:rsid w:val="7BA10F88"/>
    <w:rsid w:val="7BA821C3"/>
    <w:rsid w:val="7BB93CE9"/>
    <w:rsid w:val="7BB96BA2"/>
    <w:rsid w:val="7BC44F00"/>
    <w:rsid w:val="7BCC655D"/>
    <w:rsid w:val="7BDD6A96"/>
    <w:rsid w:val="7BF64461"/>
    <w:rsid w:val="7BFE1E4D"/>
    <w:rsid w:val="7C011231"/>
    <w:rsid w:val="7C0E5F0D"/>
    <w:rsid w:val="7C116D89"/>
    <w:rsid w:val="7C252691"/>
    <w:rsid w:val="7C305903"/>
    <w:rsid w:val="7C370485"/>
    <w:rsid w:val="7C4E29AD"/>
    <w:rsid w:val="7C4F0911"/>
    <w:rsid w:val="7C56418C"/>
    <w:rsid w:val="7C5A248A"/>
    <w:rsid w:val="7C5B241C"/>
    <w:rsid w:val="7C731B11"/>
    <w:rsid w:val="7C731C66"/>
    <w:rsid w:val="7C8E7B77"/>
    <w:rsid w:val="7C9B0739"/>
    <w:rsid w:val="7CA44252"/>
    <w:rsid w:val="7CA81DA2"/>
    <w:rsid w:val="7CD47AA9"/>
    <w:rsid w:val="7CD62259"/>
    <w:rsid w:val="7CD62279"/>
    <w:rsid w:val="7CF44696"/>
    <w:rsid w:val="7CF76563"/>
    <w:rsid w:val="7D007860"/>
    <w:rsid w:val="7D04563B"/>
    <w:rsid w:val="7D051115"/>
    <w:rsid w:val="7D0A470F"/>
    <w:rsid w:val="7D1768FC"/>
    <w:rsid w:val="7D1C3658"/>
    <w:rsid w:val="7D2737C1"/>
    <w:rsid w:val="7D2F2A23"/>
    <w:rsid w:val="7D450A05"/>
    <w:rsid w:val="7D507DB8"/>
    <w:rsid w:val="7D5A5A00"/>
    <w:rsid w:val="7D653CAF"/>
    <w:rsid w:val="7D851240"/>
    <w:rsid w:val="7D8709CC"/>
    <w:rsid w:val="7D8E623A"/>
    <w:rsid w:val="7D9A7192"/>
    <w:rsid w:val="7DA40457"/>
    <w:rsid w:val="7DB479EE"/>
    <w:rsid w:val="7DB85F09"/>
    <w:rsid w:val="7DCB16BB"/>
    <w:rsid w:val="7DCD6635"/>
    <w:rsid w:val="7DCF7201"/>
    <w:rsid w:val="7DE0197B"/>
    <w:rsid w:val="7DE326A2"/>
    <w:rsid w:val="7DFE58EF"/>
    <w:rsid w:val="7DFF22F2"/>
    <w:rsid w:val="7E0072DF"/>
    <w:rsid w:val="7E1005C0"/>
    <w:rsid w:val="7E107B80"/>
    <w:rsid w:val="7E2F4E73"/>
    <w:rsid w:val="7E34550A"/>
    <w:rsid w:val="7E450024"/>
    <w:rsid w:val="7E461AAE"/>
    <w:rsid w:val="7E494DCC"/>
    <w:rsid w:val="7E4F60A8"/>
    <w:rsid w:val="7E872A65"/>
    <w:rsid w:val="7E8C0755"/>
    <w:rsid w:val="7E906B2B"/>
    <w:rsid w:val="7E942ECD"/>
    <w:rsid w:val="7E964469"/>
    <w:rsid w:val="7E9C1324"/>
    <w:rsid w:val="7EAB3BDA"/>
    <w:rsid w:val="7EAC4F63"/>
    <w:rsid w:val="7EE36967"/>
    <w:rsid w:val="7EE66BC7"/>
    <w:rsid w:val="7EEB0DDA"/>
    <w:rsid w:val="7EFE08AC"/>
    <w:rsid w:val="7F014F09"/>
    <w:rsid w:val="7F10512C"/>
    <w:rsid w:val="7F1321A2"/>
    <w:rsid w:val="7F1F5202"/>
    <w:rsid w:val="7F2A157F"/>
    <w:rsid w:val="7F312A5E"/>
    <w:rsid w:val="7F4108E0"/>
    <w:rsid w:val="7F471BF6"/>
    <w:rsid w:val="7F5305E7"/>
    <w:rsid w:val="7F5F37F1"/>
    <w:rsid w:val="7F620E44"/>
    <w:rsid w:val="7F6C5370"/>
    <w:rsid w:val="7F7372DB"/>
    <w:rsid w:val="7F77560A"/>
    <w:rsid w:val="7F9663C3"/>
    <w:rsid w:val="7FA345E5"/>
    <w:rsid w:val="7FB74444"/>
    <w:rsid w:val="7FBE0FFC"/>
    <w:rsid w:val="7FDD119E"/>
    <w:rsid w:val="7FE5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qFormat="1" w:unhideWhenUsed="0" w:uiPriority="0"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3">
    <w:name w:val="heading 1"/>
    <w:basedOn w:val="1"/>
    <w:next w:val="1"/>
    <w:link w:val="40"/>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41"/>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42"/>
    <w:qFormat/>
    <w:uiPriority w:val="0"/>
    <w:pPr>
      <w:keepNext/>
      <w:keepLines/>
      <w:spacing w:before="280" w:after="290" w:line="376" w:lineRule="auto"/>
      <w:outlineLvl w:val="3"/>
    </w:pPr>
    <w:rPr>
      <w:rFonts w:ascii="Calibri Light" w:hAnsi="Calibri Light"/>
      <w:b/>
      <w:bCs/>
      <w:sz w:val="28"/>
      <w:szCs w:val="28"/>
    </w:rPr>
  </w:style>
  <w:style w:type="paragraph" w:styleId="7">
    <w:name w:val="heading 6"/>
    <w:basedOn w:val="1"/>
    <w:next w:val="1"/>
    <w:qFormat/>
    <w:uiPriority w:val="1"/>
    <w:pPr>
      <w:ind w:left="1153"/>
      <w:outlineLvl w:val="5"/>
    </w:pPr>
    <w:rPr>
      <w:b/>
      <w:bCs/>
      <w:sz w:val="24"/>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rPr>
      <w:rFonts w:ascii="Times New Roman" w:hAnsi="Times New Roman" w:eastAsia="宋体" w:cs="Times New Roman"/>
      <w:szCs w:val="24"/>
    </w:rPr>
  </w:style>
  <w:style w:type="paragraph" w:styleId="8">
    <w:name w:val="toc 7"/>
    <w:basedOn w:val="1"/>
    <w:next w:val="1"/>
    <w:qFormat/>
    <w:uiPriority w:val="0"/>
    <w:pPr>
      <w:ind w:left="2520" w:leftChars="1200"/>
    </w:pPr>
  </w:style>
  <w:style w:type="paragraph" w:styleId="9">
    <w:name w:val="index 8"/>
    <w:basedOn w:val="1"/>
    <w:next w:val="1"/>
    <w:qFormat/>
    <w:uiPriority w:val="0"/>
    <w:pPr>
      <w:spacing w:line="276" w:lineRule="auto"/>
      <w:jc w:val="left"/>
    </w:pPr>
    <w:rPr>
      <w:rFonts w:ascii="宋体" w:hAnsi="宋体"/>
      <w:color w:val="FF0000"/>
      <w:szCs w:val="21"/>
    </w:rPr>
  </w:style>
  <w:style w:type="paragraph" w:styleId="10">
    <w:name w:val="Normal Indent"/>
    <w:basedOn w:val="1"/>
    <w:qFormat/>
    <w:uiPriority w:val="0"/>
    <w:pPr>
      <w:ind w:firstLine="200" w:firstLineChars="200"/>
    </w:pPr>
  </w:style>
  <w:style w:type="paragraph" w:styleId="11">
    <w:name w:val="Document Map"/>
    <w:basedOn w:val="1"/>
    <w:link w:val="43"/>
    <w:qFormat/>
    <w:uiPriority w:val="0"/>
    <w:rPr>
      <w:rFonts w:ascii="宋体"/>
      <w:sz w:val="18"/>
      <w:szCs w:val="18"/>
    </w:rPr>
  </w:style>
  <w:style w:type="paragraph" w:styleId="12">
    <w:name w:val="annotation text"/>
    <w:basedOn w:val="1"/>
    <w:link w:val="44"/>
    <w:qFormat/>
    <w:uiPriority w:val="0"/>
    <w:pPr>
      <w:jc w:val="left"/>
    </w:pPr>
  </w:style>
  <w:style w:type="paragraph" w:styleId="13">
    <w:name w:val="Body Text"/>
    <w:basedOn w:val="1"/>
    <w:next w:val="1"/>
    <w:qFormat/>
    <w:uiPriority w:val="0"/>
    <w:pPr>
      <w:spacing w:after="120"/>
    </w:pPr>
    <w:rPr>
      <w:rFonts w:ascii="Times New Roman" w:hAnsi="Times New Roman"/>
    </w:rPr>
  </w:style>
  <w:style w:type="paragraph" w:styleId="14">
    <w:name w:val="Body Text Indent"/>
    <w:basedOn w:val="1"/>
    <w:qFormat/>
    <w:uiPriority w:val="0"/>
    <w:pPr>
      <w:ind w:firstLine="630"/>
    </w:pPr>
    <w:rPr>
      <w:sz w:val="32"/>
      <w:szCs w:val="20"/>
    </w:rPr>
  </w:style>
  <w:style w:type="paragraph" w:styleId="15">
    <w:name w:val="toc 5"/>
    <w:basedOn w:val="1"/>
    <w:next w:val="1"/>
    <w:qFormat/>
    <w:uiPriority w:val="0"/>
    <w:pPr>
      <w:ind w:left="1680" w:leftChars="800"/>
    </w:pPr>
  </w:style>
  <w:style w:type="paragraph" w:styleId="16">
    <w:name w:val="toc 3"/>
    <w:basedOn w:val="1"/>
    <w:next w:val="1"/>
    <w:qFormat/>
    <w:uiPriority w:val="0"/>
    <w:pPr>
      <w:ind w:left="840" w:leftChars="400"/>
    </w:pPr>
  </w:style>
  <w:style w:type="paragraph" w:styleId="17">
    <w:name w:val="Plain Text"/>
    <w:basedOn w:val="1"/>
    <w:qFormat/>
    <w:uiPriority w:val="0"/>
    <w:rPr>
      <w:rFonts w:hAnsi="Courier New"/>
      <w:szCs w:val="20"/>
    </w:rPr>
  </w:style>
  <w:style w:type="paragraph" w:styleId="18">
    <w:name w:val="toc 8"/>
    <w:basedOn w:val="1"/>
    <w:next w:val="1"/>
    <w:qFormat/>
    <w:uiPriority w:val="0"/>
    <w:pPr>
      <w:ind w:left="2940" w:leftChars="1400"/>
    </w:pPr>
  </w:style>
  <w:style w:type="paragraph" w:styleId="19">
    <w:name w:val="Date"/>
    <w:basedOn w:val="1"/>
    <w:next w:val="1"/>
    <w:link w:val="67"/>
    <w:qFormat/>
    <w:uiPriority w:val="0"/>
    <w:pPr>
      <w:ind w:left="100" w:leftChars="2500"/>
    </w:pPr>
  </w:style>
  <w:style w:type="paragraph" w:styleId="20">
    <w:name w:val="Balloon Text"/>
    <w:basedOn w:val="1"/>
    <w:link w:val="45"/>
    <w:qFormat/>
    <w:uiPriority w:val="0"/>
    <w:rPr>
      <w:sz w:val="18"/>
      <w:szCs w:val="18"/>
    </w:rPr>
  </w:style>
  <w:style w:type="paragraph" w:styleId="21">
    <w:name w:val="footer"/>
    <w:basedOn w:val="1"/>
    <w:qFormat/>
    <w:uiPriority w:val="0"/>
    <w:pPr>
      <w:tabs>
        <w:tab w:val="center" w:pos="4153"/>
        <w:tab w:val="right" w:pos="8306"/>
      </w:tabs>
      <w:snapToGrid w:val="0"/>
      <w:jc w:val="left"/>
    </w:pPr>
    <w:rPr>
      <w:sz w:val="18"/>
      <w:szCs w:val="20"/>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23">
    <w:name w:val="toc 1"/>
    <w:basedOn w:val="1"/>
    <w:next w:val="1"/>
    <w:qFormat/>
    <w:uiPriority w:val="39"/>
  </w:style>
  <w:style w:type="paragraph" w:styleId="24">
    <w:name w:val="toc 4"/>
    <w:basedOn w:val="1"/>
    <w:next w:val="1"/>
    <w:qFormat/>
    <w:uiPriority w:val="0"/>
    <w:pPr>
      <w:ind w:left="1260" w:leftChars="600"/>
    </w:pPr>
  </w:style>
  <w:style w:type="paragraph" w:styleId="25">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26">
    <w:name w:val="footnote text"/>
    <w:basedOn w:val="1"/>
    <w:unhideWhenUsed/>
    <w:qFormat/>
    <w:uiPriority w:val="0"/>
    <w:pPr>
      <w:snapToGrid w:val="0"/>
      <w:spacing w:line="360" w:lineRule="auto"/>
      <w:ind w:firstLine="200" w:firstLineChars="200"/>
      <w:jc w:val="left"/>
    </w:pPr>
    <w:rPr>
      <w:rFonts w:ascii="宋体" w:hAnsi="Times New Roman"/>
      <w:sz w:val="18"/>
      <w:szCs w:val="18"/>
    </w:rPr>
  </w:style>
  <w:style w:type="paragraph" w:styleId="27">
    <w:name w:val="toc 6"/>
    <w:basedOn w:val="1"/>
    <w:next w:val="1"/>
    <w:qFormat/>
    <w:uiPriority w:val="0"/>
    <w:pPr>
      <w:ind w:left="2100" w:leftChars="1000"/>
    </w:pPr>
  </w:style>
  <w:style w:type="paragraph" w:styleId="28">
    <w:name w:val="toc 2"/>
    <w:basedOn w:val="1"/>
    <w:next w:val="1"/>
    <w:qFormat/>
    <w:uiPriority w:val="0"/>
    <w:pPr>
      <w:ind w:left="420" w:leftChars="200"/>
    </w:pPr>
  </w:style>
  <w:style w:type="paragraph" w:styleId="29">
    <w:name w:val="toc 9"/>
    <w:basedOn w:val="1"/>
    <w:next w:val="1"/>
    <w:qFormat/>
    <w:uiPriority w:val="0"/>
    <w:pPr>
      <w:ind w:left="3360" w:leftChars="1600"/>
    </w:pPr>
  </w:style>
  <w:style w:type="paragraph" w:styleId="30">
    <w:name w:val="Normal (Web)"/>
    <w:basedOn w:val="1"/>
    <w:qFormat/>
    <w:uiPriority w:val="0"/>
    <w:pPr>
      <w:widowControl/>
      <w:spacing w:before="100" w:beforeAutospacing="1" w:after="100" w:afterAutospacing="1"/>
      <w:jc w:val="left"/>
    </w:pPr>
    <w:rPr>
      <w:rFonts w:ascii="宋体"/>
      <w:kern w:val="0"/>
      <w:sz w:val="18"/>
      <w:szCs w:val="18"/>
    </w:rPr>
  </w:style>
  <w:style w:type="paragraph" w:styleId="31">
    <w:name w:val="annotation subject"/>
    <w:basedOn w:val="12"/>
    <w:next w:val="12"/>
    <w:link w:val="46"/>
    <w:qFormat/>
    <w:uiPriority w:val="0"/>
    <w:rPr>
      <w:b/>
      <w:bCs/>
    </w:rPr>
  </w:style>
  <w:style w:type="paragraph" w:styleId="32">
    <w:name w:val="Body Text First Indent"/>
    <w:basedOn w:val="13"/>
    <w:qFormat/>
    <w:uiPriority w:val="0"/>
    <w:pPr>
      <w:ind w:firstLine="420" w:firstLineChars="100"/>
    </w:pPr>
  </w:style>
  <w:style w:type="table" w:styleId="34">
    <w:name w:val="Table Grid"/>
    <w:basedOn w:val="33"/>
    <w:qFormat/>
    <w:uiPriority w:val="59"/>
    <w:pPr>
      <w:widowControl w:val="0"/>
      <w:jc w:val="both"/>
    </w:pPr>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page number"/>
    <w:qFormat/>
    <w:uiPriority w:val="0"/>
  </w:style>
  <w:style w:type="character" w:styleId="37">
    <w:name w:val="FollowedHyperlink"/>
    <w:unhideWhenUsed/>
    <w:qFormat/>
    <w:uiPriority w:val="0"/>
    <w:rPr>
      <w:color w:val="954F72"/>
      <w:u w:val="single"/>
    </w:rPr>
  </w:style>
  <w:style w:type="character" w:styleId="38">
    <w:name w:val="Hyperlink"/>
    <w:unhideWhenUsed/>
    <w:qFormat/>
    <w:uiPriority w:val="99"/>
    <w:rPr>
      <w:color w:val="0563C1"/>
      <w:u w:val="single"/>
    </w:rPr>
  </w:style>
  <w:style w:type="character" w:styleId="39">
    <w:name w:val="annotation reference"/>
    <w:qFormat/>
    <w:uiPriority w:val="0"/>
    <w:rPr>
      <w:sz w:val="21"/>
      <w:szCs w:val="21"/>
    </w:rPr>
  </w:style>
  <w:style w:type="character" w:customStyle="1" w:styleId="40">
    <w:name w:val="标题 1 字符"/>
    <w:link w:val="3"/>
    <w:qFormat/>
    <w:uiPriority w:val="0"/>
    <w:rPr>
      <w:b/>
      <w:bCs/>
      <w:kern w:val="44"/>
      <w:sz w:val="44"/>
      <w:szCs w:val="44"/>
    </w:rPr>
  </w:style>
  <w:style w:type="character" w:customStyle="1" w:styleId="41">
    <w:name w:val="标题 3 字符"/>
    <w:link w:val="5"/>
    <w:qFormat/>
    <w:uiPriority w:val="0"/>
    <w:rPr>
      <w:b/>
      <w:bCs/>
      <w:sz w:val="32"/>
      <w:szCs w:val="32"/>
    </w:rPr>
  </w:style>
  <w:style w:type="character" w:customStyle="1" w:styleId="42">
    <w:name w:val="标题 4 字符"/>
    <w:link w:val="6"/>
    <w:semiHidden/>
    <w:qFormat/>
    <w:uiPriority w:val="0"/>
    <w:rPr>
      <w:rFonts w:ascii="Calibri Light" w:hAnsi="Calibri Light" w:eastAsia="宋体" w:cs="Times New Roman"/>
      <w:b/>
      <w:bCs/>
      <w:kern w:val="2"/>
      <w:sz w:val="28"/>
      <w:szCs w:val="28"/>
    </w:rPr>
  </w:style>
  <w:style w:type="character" w:customStyle="1" w:styleId="43">
    <w:name w:val="文档结构图 字符"/>
    <w:link w:val="11"/>
    <w:qFormat/>
    <w:uiPriority w:val="0"/>
    <w:rPr>
      <w:rFonts w:ascii="宋体"/>
      <w:kern w:val="2"/>
      <w:sz w:val="18"/>
      <w:szCs w:val="18"/>
    </w:rPr>
  </w:style>
  <w:style w:type="character" w:customStyle="1" w:styleId="44">
    <w:name w:val="批注文字 字符"/>
    <w:link w:val="12"/>
    <w:qFormat/>
    <w:uiPriority w:val="0"/>
    <w:rPr>
      <w:kern w:val="2"/>
      <w:sz w:val="21"/>
      <w:szCs w:val="24"/>
    </w:rPr>
  </w:style>
  <w:style w:type="character" w:customStyle="1" w:styleId="45">
    <w:name w:val="批注框文本 字符"/>
    <w:link w:val="20"/>
    <w:qFormat/>
    <w:uiPriority w:val="0"/>
    <w:rPr>
      <w:kern w:val="2"/>
      <w:sz w:val="18"/>
      <w:szCs w:val="18"/>
    </w:rPr>
  </w:style>
  <w:style w:type="character" w:customStyle="1" w:styleId="46">
    <w:name w:val="批注主题 字符"/>
    <w:link w:val="31"/>
    <w:qFormat/>
    <w:uiPriority w:val="0"/>
    <w:rPr>
      <w:b/>
      <w:bCs/>
      <w:kern w:val="2"/>
      <w:sz w:val="21"/>
      <w:szCs w:val="24"/>
    </w:rPr>
  </w:style>
  <w:style w:type="character" w:customStyle="1" w:styleId="47">
    <w:name w:val="font51"/>
    <w:qFormat/>
    <w:uiPriority w:val="0"/>
    <w:rPr>
      <w:rFonts w:ascii="微软雅黑" w:hAnsi="微软雅黑" w:eastAsia="微软雅黑" w:cs="微软雅黑"/>
      <w:color w:val="000000"/>
      <w:sz w:val="16"/>
      <w:szCs w:val="16"/>
      <w:u w:val="none"/>
    </w:rPr>
  </w:style>
  <w:style w:type="character" w:customStyle="1" w:styleId="48">
    <w:name w:val="font111"/>
    <w:qFormat/>
    <w:uiPriority w:val="0"/>
    <w:rPr>
      <w:rFonts w:hint="default" w:ascii="Eʩ" w:hAnsi="Eʩ" w:eastAsia="Eʩ" w:cs="Eʩ"/>
      <w:color w:val="000000"/>
      <w:sz w:val="21"/>
      <w:szCs w:val="21"/>
      <w:u w:val="single"/>
    </w:rPr>
  </w:style>
  <w:style w:type="character" w:customStyle="1" w:styleId="49">
    <w:name w:val="font91"/>
    <w:qFormat/>
    <w:uiPriority w:val="0"/>
    <w:rPr>
      <w:rFonts w:hint="eastAsia" w:ascii="宋体" w:hAnsi="宋体" w:eastAsia="宋体" w:cs="宋体"/>
      <w:color w:val="FF0000"/>
      <w:sz w:val="21"/>
      <w:szCs w:val="21"/>
      <w:u w:val="single"/>
    </w:rPr>
  </w:style>
  <w:style w:type="character" w:customStyle="1" w:styleId="50">
    <w:name w:val="fontstyle21"/>
    <w:basedOn w:val="35"/>
    <w:qFormat/>
    <w:uiPriority w:val="0"/>
    <w:rPr>
      <w:rFonts w:ascii="CIDFont + F2" w:hAnsi="CIDFont + F2" w:eastAsia="CIDFont + F2" w:cs="CIDFont + F2"/>
      <w:color w:val="000000"/>
      <w:sz w:val="22"/>
      <w:szCs w:val="22"/>
    </w:rPr>
  </w:style>
  <w:style w:type="character" w:customStyle="1" w:styleId="51">
    <w:name w:val="批注文字 Char1"/>
    <w:qFormat/>
    <w:uiPriority w:val="0"/>
    <w:rPr>
      <w:rFonts w:ascii="Times New Roman" w:hAnsi="Times New Roman" w:eastAsia="宋体" w:cs="Times New Roman"/>
      <w:szCs w:val="24"/>
    </w:rPr>
  </w:style>
  <w:style w:type="character" w:customStyle="1" w:styleId="52">
    <w:name w:val="font31"/>
    <w:qFormat/>
    <w:uiPriority w:val="0"/>
    <w:rPr>
      <w:rFonts w:hint="eastAsia" w:ascii="宋体" w:hAnsi="宋体" w:eastAsia="宋体" w:cs="宋体"/>
      <w:color w:val="000000"/>
      <w:sz w:val="21"/>
      <w:szCs w:val="21"/>
      <w:u w:val="none"/>
    </w:rPr>
  </w:style>
  <w:style w:type="character" w:customStyle="1" w:styleId="53">
    <w:name w:val="font101"/>
    <w:qFormat/>
    <w:uiPriority w:val="0"/>
    <w:rPr>
      <w:rFonts w:hint="eastAsia" w:ascii="宋体" w:hAnsi="宋体" w:eastAsia="宋体" w:cs="宋体"/>
      <w:color w:val="000000"/>
      <w:sz w:val="21"/>
      <w:szCs w:val="21"/>
      <w:u w:val="single"/>
    </w:rPr>
  </w:style>
  <w:style w:type="character" w:customStyle="1" w:styleId="54">
    <w:name w:val="fontstyle01"/>
    <w:basedOn w:val="35"/>
    <w:qFormat/>
    <w:uiPriority w:val="0"/>
    <w:rPr>
      <w:rFonts w:ascii="CIDFont + F1" w:hAnsi="CIDFont + F1" w:eastAsia="CIDFont + F1" w:cs="CIDFont + F1"/>
      <w:color w:val="000000"/>
      <w:sz w:val="22"/>
      <w:szCs w:val="22"/>
    </w:rPr>
  </w:style>
  <w:style w:type="paragraph" w:customStyle="1" w:styleId="55">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56">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57">
    <w:name w:val="正文1"/>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58">
    <w:name w:val="_Style 55"/>
    <w:semiHidden/>
    <w:qFormat/>
    <w:uiPriority w:val="99"/>
    <w:rPr>
      <w:rFonts w:ascii="Calibri" w:hAnsi="Calibri" w:eastAsia="宋体" w:cs="Times New Roman"/>
      <w:kern w:val="2"/>
      <w:sz w:val="21"/>
      <w:szCs w:val="24"/>
      <w:lang w:val="en-US" w:eastAsia="zh-CN" w:bidi="ar-SA"/>
    </w:rPr>
  </w:style>
  <w:style w:type="paragraph" w:customStyle="1" w:styleId="59">
    <w:name w:val="Salutation1"/>
    <w:basedOn w:val="1"/>
    <w:next w:val="1"/>
    <w:qFormat/>
    <w:uiPriority w:val="0"/>
  </w:style>
  <w:style w:type="paragraph" w:styleId="60">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1">
    <w:name w:val="！正文"/>
    <w:basedOn w:val="1"/>
    <w:qFormat/>
    <w:uiPriority w:val="0"/>
    <w:rPr>
      <w:rFonts w:cs="宋体"/>
      <w:szCs w:val="28"/>
    </w:rPr>
  </w:style>
  <w:style w:type="paragraph" w:customStyle="1" w:styleId="62">
    <w:name w:val="列出段落3"/>
    <w:qFormat/>
    <w:uiPriority w:val="0"/>
    <w:pPr>
      <w:widowControl w:val="0"/>
      <w:ind w:firstLine="420" w:firstLineChars="200"/>
      <w:jc w:val="both"/>
    </w:pPr>
    <w:rPr>
      <w:rFonts w:ascii="Times New Roman" w:hAnsi="Times New Roman" w:eastAsia="宋体" w:cs="Times New Roman"/>
      <w:kern w:val="2"/>
      <w:sz w:val="21"/>
      <w:szCs w:val="21"/>
      <w:lang w:val="en-US" w:eastAsia="zh-CN" w:bidi="ar-SA"/>
    </w:rPr>
  </w:style>
  <w:style w:type="paragraph" w:customStyle="1" w:styleId="63">
    <w:name w:val="样式 首行缩进:  2 字符"/>
    <w:basedOn w:val="1"/>
    <w:qFormat/>
    <w:uiPriority w:val="0"/>
    <w:pPr>
      <w:spacing w:line="400" w:lineRule="exact"/>
      <w:ind w:firstLine="200" w:firstLineChars="200"/>
    </w:pPr>
    <w:rPr>
      <w:rFonts w:cs="宋体"/>
      <w:sz w:val="24"/>
    </w:rPr>
  </w:style>
  <w:style w:type="paragraph" w:customStyle="1" w:styleId="64">
    <w:name w:val="修订1"/>
    <w:unhideWhenUsed/>
    <w:qFormat/>
    <w:uiPriority w:val="99"/>
    <w:rPr>
      <w:rFonts w:ascii="Calibri" w:hAnsi="Calibri" w:eastAsia="宋体" w:cs="Times New Roman"/>
      <w:kern w:val="2"/>
      <w:sz w:val="21"/>
      <w:szCs w:val="24"/>
      <w:lang w:val="en-US" w:eastAsia="zh-CN" w:bidi="ar-SA"/>
    </w:rPr>
  </w:style>
  <w:style w:type="paragraph" w:customStyle="1" w:styleId="65">
    <w:name w:val="正文首行缩进两字符"/>
    <w:basedOn w:val="1"/>
    <w:qFormat/>
    <w:uiPriority w:val="0"/>
    <w:pPr>
      <w:spacing w:line="360" w:lineRule="auto"/>
      <w:ind w:firstLine="200" w:firstLineChars="200"/>
    </w:pPr>
  </w:style>
  <w:style w:type="paragraph" w:styleId="66">
    <w:name w:val="List Paragraph"/>
    <w:basedOn w:val="1"/>
    <w:qFormat/>
    <w:uiPriority w:val="34"/>
    <w:pPr>
      <w:ind w:firstLine="420" w:firstLineChars="200"/>
    </w:pPr>
  </w:style>
  <w:style w:type="character" w:customStyle="1" w:styleId="67">
    <w:name w:val="日期 字符"/>
    <w:basedOn w:val="35"/>
    <w:link w:val="19"/>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83</Pages>
  <Words>7331</Words>
  <Characters>41792</Characters>
  <Lines>348</Lines>
  <Paragraphs>98</Paragraphs>
  <TotalTime>0</TotalTime>
  <ScaleCrop>false</ScaleCrop>
  <LinksUpToDate>false</LinksUpToDate>
  <CharactersWithSpaces>49025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2021-03-28T12:08:00Z</dcterms:created>
  <dc:creator>s</dc:creator>
  <cp:lastModifiedBy>JX</cp:lastModifiedBy>
  <cp:lastPrinted>2021-04-26T01:09:00Z</cp:lastPrinted>
  <dcterms:modified xsi:type="dcterms:W3CDTF">2021-05-19T08:33:59Z</dcterms:modified>
  <dc:title>招标编号：xxxx [xxxx] xx号</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FC9C7ADF027E4F3E9C298FD0959E4B20</vt:lpwstr>
  </property>
</Properties>
</file>