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auto"/>
          <w:sz w:val="28"/>
          <w:szCs w:val="28"/>
          <w:highlight w:val="none"/>
        </w:rPr>
      </w:pPr>
      <w:r>
        <w:rPr>
          <w:rFonts w:hint="eastAsia" w:ascii="宋体" w:hAnsi="宋体" w:cs="宋体"/>
          <w:color w:val="auto"/>
          <w:sz w:val="28"/>
          <w:szCs w:val="28"/>
          <w:highlight w:val="none"/>
        </w:rPr>
        <w:t>采购项目编号：510101202100219</w:t>
      </w:r>
    </w:p>
    <w:p>
      <w:pPr>
        <w:tabs>
          <w:tab w:val="left" w:pos="2505"/>
          <w:tab w:val="center" w:pos="4204"/>
        </w:tabs>
        <w:jc w:val="center"/>
        <w:rPr>
          <w:rFonts w:ascii="宋体" w:hAnsi="宋体" w:cs="宋体"/>
          <w:color w:val="auto"/>
          <w:sz w:val="52"/>
          <w:szCs w:val="52"/>
          <w:highlight w:val="none"/>
        </w:rPr>
      </w:pPr>
      <w:r>
        <w:rPr>
          <w:rFonts w:hint="eastAsia" w:ascii="宋体" w:hAnsi="宋体" w:cs="宋体"/>
          <w:color w:val="auto"/>
          <w:sz w:val="48"/>
          <w:szCs w:val="48"/>
          <w:highlight w:val="none"/>
        </w:rPr>
        <w:t>2021年臭氧雷达车改造为颗粒物激光雷达及VOCs走航监测车项目</w:t>
      </w:r>
    </w:p>
    <w:p>
      <w:pPr>
        <w:pStyle w:val="2"/>
        <w:rPr>
          <w:rFonts w:ascii="宋体" w:hAnsi="宋体" w:cs="宋体"/>
          <w:color w:val="auto"/>
          <w:highlight w:val="none"/>
        </w:rPr>
      </w:pPr>
    </w:p>
    <w:p>
      <w:pPr>
        <w:tabs>
          <w:tab w:val="left" w:pos="2505"/>
          <w:tab w:val="center" w:pos="4204"/>
        </w:tabs>
        <w:jc w:val="center"/>
        <w:rPr>
          <w:rFonts w:ascii="宋体" w:hAnsi="宋体" w:cs="宋体"/>
          <w:color w:val="auto"/>
          <w:sz w:val="72"/>
          <w:szCs w:val="72"/>
          <w:highlight w:val="none"/>
        </w:rPr>
      </w:pPr>
      <w:r>
        <w:rPr>
          <w:rFonts w:hint="eastAsia" w:ascii="宋体" w:hAnsi="宋体" w:cs="宋体"/>
          <w:color w:val="auto"/>
          <w:sz w:val="72"/>
          <w:szCs w:val="72"/>
          <w:highlight w:val="none"/>
        </w:rPr>
        <w:t>招</w:t>
      </w:r>
    </w:p>
    <w:p>
      <w:pPr>
        <w:jc w:val="center"/>
        <w:rPr>
          <w:rFonts w:ascii="宋体" w:hAnsi="宋体" w:cs="宋体"/>
          <w:color w:val="auto"/>
          <w:sz w:val="72"/>
          <w:szCs w:val="72"/>
          <w:highlight w:val="none"/>
        </w:rPr>
      </w:pPr>
      <w:r>
        <w:rPr>
          <w:rFonts w:hint="eastAsia" w:ascii="宋体" w:hAnsi="宋体" w:cs="宋体"/>
          <w:color w:val="auto"/>
          <w:sz w:val="72"/>
          <w:szCs w:val="72"/>
          <w:highlight w:val="none"/>
        </w:rPr>
        <w:t>标</w:t>
      </w:r>
    </w:p>
    <w:p>
      <w:pPr>
        <w:jc w:val="center"/>
        <w:rPr>
          <w:rFonts w:ascii="宋体" w:hAnsi="宋体" w:cs="宋体"/>
          <w:color w:val="auto"/>
          <w:sz w:val="72"/>
          <w:szCs w:val="72"/>
          <w:highlight w:val="none"/>
        </w:rPr>
      </w:pPr>
      <w:r>
        <w:rPr>
          <w:rFonts w:hint="eastAsia" w:ascii="宋体" w:hAnsi="宋体" w:cs="宋体"/>
          <w:color w:val="auto"/>
          <w:sz w:val="72"/>
          <w:szCs w:val="72"/>
          <w:highlight w:val="none"/>
        </w:rPr>
        <w:t>文</w:t>
      </w:r>
    </w:p>
    <w:p>
      <w:pPr>
        <w:jc w:val="center"/>
        <w:rPr>
          <w:rFonts w:ascii="宋体" w:hAnsi="宋体" w:cs="宋体"/>
          <w:color w:val="auto"/>
          <w:sz w:val="72"/>
          <w:szCs w:val="72"/>
          <w:highlight w:val="none"/>
        </w:rPr>
      </w:pPr>
      <w:r>
        <w:rPr>
          <w:rFonts w:hint="eastAsia" w:ascii="宋体" w:hAnsi="宋体" w:cs="宋体"/>
          <w:color w:val="auto"/>
          <w:sz w:val="72"/>
          <w:szCs w:val="72"/>
          <w:highlight w:val="none"/>
        </w:rPr>
        <w:t>件</w:t>
      </w:r>
    </w:p>
    <w:p>
      <w:pPr>
        <w:spacing w:line="360" w:lineRule="auto"/>
        <w:jc w:val="center"/>
        <w:rPr>
          <w:rFonts w:ascii="宋体" w:hAnsi="宋体" w:cs="宋体"/>
          <w:color w:val="auto"/>
          <w:sz w:val="32"/>
          <w:szCs w:val="32"/>
          <w:highlight w:val="none"/>
        </w:rPr>
      </w:pPr>
    </w:p>
    <w:p>
      <w:pPr>
        <w:rPr>
          <w:rFonts w:ascii="宋体" w:hAnsi="宋体" w:cs="宋体"/>
          <w:color w:val="auto"/>
          <w:highlight w:val="none"/>
        </w:rPr>
      </w:pPr>
    </w:p>
    <w:p>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中国·成都</w:t>
      </w:r>
    </w:p>
    <w:p>
      <w:pPr>
        <w:spacing w:line="360" w:lineRule="auto"/>
        <w:jc w:val="center"/>
        <w:rPr>
          <w:rFonts w:ascii="宋体" w:hAnsi="宋体" w:cs="宋体"/>
          <w:color w:val="auto"/>
          <w:sz w:val="32"/>
          <w:szCs w:val="32"/>
          <w:highlight w:val="none"/>
        </w:rPr>
      </w:pPr>
      <w:bookmarkStart w:id="0" w:name="PO_代理公司_1"/>
      <w:r>
        <w:rPr>
          <w:rFonts w:hint="eastAsia" w:ascii="宋体" w:hAnsi="宋体" w:cs="宋体"/>
          <w:color w:val="auto"/>
          <w:sz w:val="32"/>
          <w:szCs w:val="32"/>
          <w:highlight w:val="none"/>
        </w:rPr>
        <w:t>采购人：成都市生态环境科研监测所</w:t>
      </w:r>
    </w:p>
    <w:bookmarkEnd w:id="0"/>
    <w:p>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 xml:space="preserve"> 采购代理机构：四川军贤工程项目管理有限公司</w:t>
      </w:r>
    </w:p>
    <w:p>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共同编制</w:t>
      </w:r>
    </w:p>
    <w:p>
      <w:pPr>
        <w:spacing w:line="360" w:lineRule="auto"/>
        <w:jc w:val="center"/>
        <w:rPr>
          <w:rFonts w:ascii="宋体" w:hAnsi="宋体" w:cs="宋体"/>
          <w:color w:val="auto"/>
          <w:sz w:val="32"/>
          <w:szCs w:val="32"/>
          <w:highlight w:val="none"/>
          <w:lang w:val="zh-CN"/>
        </w:rPr>
        <w:sectPr>
          <w:headerReference r:id="rId7" w:type="first"/>
          <w:footerReference r:id="rId10" w:type="first"/>
          <w:headerReference r:id="rId5" w:type="default"/>
          <w:footerReference r:id="rId8" w:type="default"/>
          <w:headerReference r:id="rId6" w:type="even"/>
          <w:footerReference r:id="rId9" w:type="even"/>
          <w:pgSz w:w="11907" w:h="16840"/>
          <w:pgMar w:top="1418" w:right="1701" w:bottom="1418" w:left="1701" w:header="851" w:footer="992" w:gutter="0"/>
          <w:pgNumType w:start="1"/>
          <w:cols w:space="720" w:num="1"/>
          <w:titlePg/>
          <w:docGrid w:linePitch="312" w:charSpace="0"/>
        </w:sectPr>
      </w:pPr>
      <w:bookmarkStart w:id="1" w:name="PO_年份小写_1"/>
      <w:r>
        <w:rPr>
          <w:rFonts w:hint="eastAsia" w:ascii="宋体" w:hAnsi="宋体" w:cs="宋体"/>
          <w:color w:val="auto"/>
          <w:sz w:val="32"/>
          <w:szCs w:val="32"/>
          <w:highlight w:val="none"/>
          <w:lang w:val="zh-CN"/>
        </w:rPr>
        <w:t>二O</w:t>
      </w:r>
      <w:bookmarkEnd w:id="1"/>
      <w:r>
        <w:rPr>
          <w:rFonts w:hint="eastAsia" w:ascii="宋体" w:hAnsi="宋体" w:cs="宋体"/>
          <w:color w:val="auto"/>
          <w:sz w:val="32"/>
          <w:szCs w:val="32"/>
          <w:highlight w:val="none"/>
          <w:lang w:val="zh-CN"/>
        </w:rPr>
        <w:t>二</w:t>
      </w:r>
      <w:r>
        <w:rPr>
          <w:rFonts w:hint="eastAsia" w:ascii="宋体" w:hAnsi="宋体" w:cs="宋体"/>
          <w:color w:val="auto"/>
          <w:sz w:val="32"/>
          <w:szCs w:val="32"/>
          <w:highlight w:val="none"/>
        </w:rPr>
        <w:t>一</w:t>
      </w:r>
      <w:r>
        <w:rPr>
          <w:rFonts w:hint="eastAsia" w:ascii="宋体" w:hAnsi="宋体" w:cs="宋体"/>
          <w:color w:val="auto"/>
          <w:sz w:val="32"/>
          <w:szCs w:val="32"/>
          <w:highlight w:val="none"/>
          <w:lang w:val="zh-CN"/>
        </w:rPr>
        <w:t>年</w:t>
      </w:r>
      <w:r>
        <w:rPr>
          <w:rFonts w:hint="eastAsia" w:ascii="宋体" w:hAnsi="宋体" w:cs="宋体"/>
          <w:color w:val="auto"/>
          <w:sz w:val="32"/>
          <w:szCs w:val="32"/>
          <w:highlight w:val="none"/>
        </w:rPr>
        <w:t>四</w:t>
      </w:r>
      <w:r>
        <w:rPr>
          <w:rFonts w:hint="eastAsia" w:ascii="宋体" w:hAnsi="宋体" w:cs="宋体"/>
          <w:color w:val="auto"/>
          <w:sz w:val="32"/>
          <w:szCs w:val="32"/>
          <w:highlight w:val="none"/>
          <w:lang w:val="zh-CN"/>
        </w:rPr>
        <w:t>月</w:t>
      </w:r>
    </w:p>
    <w:p>
      <w:pPr>
        <w:pStyle w:val="2"/>
        <w:jc w:val="center"/>
        <w:rPr>
          <w:rFonts w:ascii="宋体" w:hAnsi="宋体" w:cs="宋体"/>
          <w:color w:val="auto"/>
          <w:sz w:val="48"/>
          <w:szCs w:val="48"/>
          <w:highlight w:val="none"/>
        </w:rPr>
      </w:pPr>
      <w:r>
        <w:rPr>
          <w:rFonts w:hint="eastAsia" w:ascii="宋体" w:hAnsi="宋体" w:cs="宋体"/>
          <w:color w:val="auto"/>
          <w:sz w:val="48"/>
          <w:szCs w:val="48"/>
          <w:highlight w:val="none"/>
        </w:rPr>
        <w:t>目 录</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第一章  投标邀请……………………………………………………………2</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第二章  投标人须知…………………………………………………………5</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第三章  投标文件格式………………………………………………………24</w:t>
      </w:r>
    </w:p>
    <w:p>
      <w:pPr>
        <w:spacing w:line="360" w:lineRule="auto"/>
        <w:ind w:left="479" w:leftChars="228"/>
        <w:rPr>
          <w:rFonts w:ascii="宋体" w:hAnsi="宋体" w:cs="宋体"/>
          <w:b/>
          <w:color w:val="auto"/>
          <w:sz w:val="24"/>
          <w:highlight w:val="none"/>
        </w:rPr>
      </w:pPr>
      <w:r>
        <w:rPr>
          <w:rFonts w:hint="eastAsia" w:ascii="宋体" w:hAnsi="宋体" w:cs="宋体"/>
          <w:b/>
          <w:color w:val="auto"/>
          <w:sz w:val="24"/>
          <w:highlight w:val="none"/>
        </w:rPr>
        <w:t>第四章  投标人和投标产品的资格、资质性及其他类似效力要求………48</w:t>
      </w:r>
    </w:p>
    <w:p>
      <w:pPr>
        <w:spacing w:line="360" w:lineRule="auto"/>
        <w:ind w:left="479" w:leftChars="228"/>
        <w:rPr>
          <w:rFonts w:ascii="宋体" w:hAnsi="宋体" w:cs="宋体"/>
          <w:b/>
          <w:color w:val="auto"/>
          <w:sz w:val="24"/>
          <w:highlight w:val="none"/>
        </w:rPr>
      </w:pPr>
      <w:r>
        <w:rPr>
          <w:rFonts w:hint="eastAsia" w:ascii="宋体" w:hAnsi="宋体" w:cs="宋体"/>
          <w:b/>
          <w:color w:val="auto"/>
          <w:sz w:val="24"/>
          <w:highlight w:val="none"/>
        </w:rPr>
        <w:t>第五章  投标人应当提供的资格、资质性及其他类似效力要求的相关证明材料………………………………………………………………………………50</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第六章  招标项目技术、服务、商务及其他要求…………………………52</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第七章  评标办法……………………………………………………………72</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第八章  政府采购合同（草案）……………………………………………84</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tabs>
          <w:tab w:val="left" w:pos="315"/>
        </w:tabs>
        <w:jc w:val="left"/>
        <w:rPr>
          <w:rFonts w:ascii="宋体" w:hAnsi="宋体" w:cs="宋体"/>
          <w:color w:val="auto"/>
          <w:highlight w:val="none"/>
        </w:rPr>
        <w:sectPr>
          <w:footerReference r:id="rId13" w:type="first"/>
          <w:footerReference r:id="rId11" w:type="default"/>
          <w:footerReference r:id="rId12" w:type="even"/>
          <w:pgSz w:w="11907" w:h="16840"/>
          <w:pgMar w:top="1417" w:right="1701" w:bottom="1417" w:left="1701" w:header="851" w:footer="992" w:gutter="0"/>
          <w:pgNumType w:start="1"/>
          <w:cols w:space="720" w:num="1"/>
          <w:titlePg/>
          <w:docGrid w:linePitch="312" w:charSpace="0"/>
        </w:sectPr>
      </w:pPr>
      <w:r>
        <w:rPr>
          <w:rFonts w:hint="eastAsia" w:ascii="宋体" w:hAnsi="宋体" w:cs="宋体"/>
          <w:color w:val="auto"/>
          <w:highlight w:val="none"/>
        </w:rPr>
        <w:tab/>
      </w:r>
    </w:p>
    <w:p>
      <w:pPr>
        <w:pStyle w:val="3"/>
        <w:spacing w:line="240" w:lineRule="atLeast"/>
        <w:jc w:val="center"/>
        <w:rPr>
          <w:rFonts w:ascii="宋体" w:hAnsi="宋体" w:cs="宋体"/>
          <w:color w:val="auto"/>
          <w:sz w:val="36"/>
          <w:szCs w:val="36"/>
          <w:highlight w:val="none"/>
        </w:rPr>
      </w:pPr>
      <w:bookmarkStart w:id="2" w:name="_Hlt101843627"/>
      <w:bookmarkEnd w:id="2"/>
      <w:bookmarkStart w:id="3" w:name="_Hlt101233737"/>
      <w:bookmarkEnd w:id="3"/>
      <w:bookmarkStart w:id="4" w:name="_Toc24584"/>
      <w:bookmarkStart w:id="5" w:name="_Toc6066"/>
      <w:r>
        <w:rPr>
          <w:rFonts w:hint="eastAsia" w:ascii="宋体" w:hAnsi="宋体" w:cs="宋体"/>
          <w:color w:val="auto"/>
          <w:sz w:val="36"/>
          <w:szCs w:val="36"/>
          <w:highlight w:val="none"/>
        </w:rPr>
        <w:t>第一章  投标邀请</w:t>
      </w:r>
      <w:bookmarkEnd w:id="4"/>
      <w:bookmarkEnd w:id="5"/>
    </w:p>
    <w:p>
      <w:pPr>
        <w:tabs>
          <w:tab w:val="left" w:pos="7665"/>
        </w:tabs>
        <w:spacing w:line="400" w:lineRule="exact"/>
        <w:ind w:firstLine="600" w:firstLineChars="250"/>
        <w:rPr>
          <w:rFonts w:ascii="宋体" w:hAnsi="宋体" w:cs="宋体"/>
          <w:color w:val="auto"/>
          <w:sz w:val="24"/>
          <w:highlight w:val="none"/>
        </w:rPr>
      </w:pPr>
      <w:r>
        <w:rPr>
          <w:rFonts w:hint="eastAsia" w:ascii="宋体" w:hAnsi="宋体" w:cs="宋体"/>
          <w:color w:val="auto"/>
          <w:sz w:val="24"/>
          <w:highlight w:val="none"/>
          <w:u w:val="single"/>
        </w:rPr>
        <w:t>四川军贤工程项目管理有限公司</w:t>
      </w:r>
      <w:r>
        <w:rPr>
          <w:rFonts w:hint="eastAsia" w:ascii="宋体" w:hAnsi="宋体" w:cs="宋体"/>
          <w:color w:val="auto"/>
          <w:sz w:val="24"/>
          <w:highlight w:val="none"/>
        </w:rPr>
        <w:t>受</w:t>
      </w:r>
      <w:r>
        <w:rPr>
          <w:rFonts w:hint="eastAsia" w:ascii="宋体" w:hAnsi="宋体" w:cs="宋体"/>
          <w:color w:val="auto"/>
          <w:sz w:val="24"/>
          <w:highlight w:val="none"/>
          <w:u w:val="single"/>
        </w:rPr>
        <w:t>成都市生态环境科研监测所</w:t>
      </w:r>
      <w:r>
        <w:rPr>
          <w:rFonts w:hint="eastAsia" w:ascii="宋体" w:hAnsi="宋体" w:cs="宋体"/>
          <w:color w:val="auto"/>
          <w:sz w:val="24"/>
          <w:highlight w:val="none"/>
        </w:rPr>
        <w:t>委托，拟对</w:t>
      </w:r>
      <w:bookmarkStart w:id="6" w:name="PO_默认文件内容_4"/>
      <w:r>
        <w:rPr>
          <w:rFonts w:hint="eastAsia" w:ascii="宋体" w:hAnsi="宋体" w:cs="宋体"/>
          <w:color w:val="auto"/>
          <w:sz w:val="24"/>
          <w:highlight w:val="none"/>
          <w:u w:val="single"/>
        </w:rPr>
        <w:t>2021年臭氧雷达车改造为颗粒物激光雷达及VOCs走航监测车项目</w:t>
      </w:r>
      <w:r>
        <w:rPr>
          <w:rFonts w:hint="eastAsia" w:ascii="宋体" w:hAnsi="宋体" w:cs="宋体"/>
          <w:color w:val="auto"/>
          <w:sz w:val="24"/>
          <w:highlight w:val="none"/>
        </w:rPr>
        <w:t>进行国内公开招标，兹邀请符合本次招标要求的供应商参加投标。</w:t>
      </w:r>
      <w:bookmarkEnd w:id="6"/>
    </w:p>
    <w:p>
      <w:pPr>
        <w:spacing w:line="24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一、采购项目编号：510101202100219</w:t>
      </w:r>
    </w:p>
    <w:p>
      <w:pPr>
        <w:spacing w:line="240" w:lineRule="auto"/>
        <w:ind w:right="31" w:rightChars="15" w:firstLine="482" w:firstLineChars="200"/>
        <w:rPr>
          <w:rFonts w:ascii="宋体" w:hAnsi="宋体" w:cs="宋体"/>
          <w:b/>
          <w:color w:val="auto"/>
          <w:sz w:val="24"/>
          <w:szCs w:val="32"/>
          <w:highlight w:val="none"/>
        </w:rPr>
      </w:pPr>
      <w:r>
        <w:rPr>
          <w:rFonts w:hint="eastAsia" w:ascii="宋体" w:hAnsi="宋体" w:cs="宋体"/>
          <w:b/>
          <w:bCs/>
          <w:color w:val="auto"/>
          <w:sz w:val="24"/>
          <w:highlight w:val="none"/>
        </w:rPr>
        <w:t>二、</w:t>
      </w:r>
      <w:r>
        <w:rPr>
          <w:rFonts w:hint="eastAsia" w:ascii="宋体" w:hAnsi="宋体" w:cs="宋体"/>
          <w:b/>
          <w:color w:val="auto"/>
          <w:sz w:val="24"/>
          <w:highlight w:val="none"/>
        </w:rPr>
        <w:t>招标项目名称：</w:t>
      </w:r>
      <w:r>
        <w:rPr>
          <w:rFonts w:hint="eastAsia" w:ascii="宋体" w:hAnsi="宋体" w:cs="宋体"/>
          <w:bCs/>
          <w:color w:val="auto"/>
          <w:sz w:val="24"/>
          <w:szCs w:val="32"/>
          <w:highlight w:val="none"/>
        </w:rPr>
        <w:t>2021年臭氧雷达车改造为颗粒物激光雷达及VOCs走航监测车项目</w:t>
      </w:r>
      <w:r>
        <w:rPr>
          <w:rFonts w:hint="eastAsia" w:ascii="宋体" w:hAnsi="宋体" w:cs="宋体"/>
          <w:b/>
          <w:color w:val="auto"/>
          <w:sz w:val="24"/>
          <w:szCs w:val="32"/>
          <w:highlight w:val="none"/>
        </w:rPr>
        <w:t>。</w:t>
      </w:r>
    </w:p>
    <w:p>
      <w:pPr>
        <w:spacing w:line="240" w:lineRule="auto"/>
        <w:ind w:right="31" w:rightChars="15" w:firstLine="482" w:firstLineChars="200"/>
        <w:rPr>
          <w:rFonts w:ascii="宋体" w:hAnsi="宋体" w:cs="宋体"/>
          <w:b/>
          <w:bCs/>
          <w:color w:val="auto"/>
          <w:sz w:val="24"/>
          <w:highlight w:val="none"/>
        </w:rPr>
      </w:pPr>
      <w:r>
        <w:rPr>
          <w:rFonts w:hint="eastAsia" w:ascii="宋体" w:hAnsi="宋体" w:cs="宋体"/>
          <w:b/>
          <w:color w:val="auto"/>
          <w:sz w:val="24"/>
          <w:szCs w:val="28"/>
          <w:highlight w:val="none"/>
        </w:rPr>
        <w:t>三、资金来源：</w:t>
      </w:r>
      <w:bookmarkStart w:id="7" w:name="PO_资金性质_1"/>
      <w:r>
        <w:rPr>
          <w:rFonts w:hint="eastAsia" w:ascii="宋体" w:hAnsi="宋体" w:cs="宋体"/>
          <w:color w:val="auto"/>
          <w:sz w:val="24"/>
          <w:highlight w:val="none"/>
        </w:rPr>
        <w:t>财政资金</w:t>
      </w:r>
      <w:bookmarkEnd w:id="7"/>
      <w:r>
        <w:rPr>
          <w:rFonts w:hint="eastAsia" w:ascii="宋体" w:hAnsi="宋体" w:cs="宋体"/>
          <w:color w:val="auto"/>
          <w:sz w:val="24"/>
          <w:highlight w:val="none"/>
        </w:rPr>
        <w:t>。</w:t>
      </w:r>
    </w:p>
    <w:p>
      <w:pPr>
        <w:spacing w:line="24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四</w:t>
      </w:r>
      <w:r>
        <w:rPr>
          <w:rFonts w:hint="eastAsia" w:ascii="宋体" w:hAnsi="宋体" w:cs="宋体"/>
          <w:b/>
          <w:bCs/>
          <w:color w:val="auto"/>
          <w:sz w:val="24"/>
          <w:highlight w:val="none"/>
        </w:rPr>
        <w:t>、</w:t>
      </w:r>
      <w:r>
        <w:rPr>
          <w:rFonts w:hint="eastAsia" w:ascii="宋体" w:hAnsi="宋体" w:cs="宋体"/>
          <w:b/>
          <w:color w:val="auto"/>
          <w:sz w:val="24"/>
          <w:highlight w:val="none"/>
        </w:rPr>
        <w:t>招标项目简介：</w:t>
      </w:r>
    </w:p>
    <w:p>
      <w:pPr>
        <w:spacing w:after="120" w:afterLines="50" w:line="240" w:lineRule="auto"/>
        <w:ind w:firstLine="464" w:firstLineChars="200"/>
        <w:rPr>
          <w:rFonts w:ascii="宋体" w:hAnsi="宋体" w:cs="宋体"/>
          <w:color w:val="auto"/>
          <w:spacing w:val="-4"/>
          <w:sz w:val="24"/>
          <w:highlight w:val="none"/>
        </w:rPr>
      </w:pPr>
      <w:bookmarkStart w:id="8" w:name="PO_默认文件内容_3"/>
      <w:r>
        <w:rPr>
          <w:rFonts w:hint="eastAsia" w:ascii="宋体" w:hAnsi="宋体" w:cs="宋体"/>
          <w:color w:val="auto"/>
          <w:spacing w:val="-4"/>
          <w:sz w:val="24"/>
          <w:highlight w:val="none"/>
        </w:rPr>
        <w:t>成都市生态环境科研监测所拟采购1名供应商提供2021年臭氧雷达车改造为颗粒物激光雷达及VOCs走航监测车设备，本项目1个包。</w:t>
      </w:r>
    </w:p>
    <w:p>
      <w:pPr>
        <w:spacing w:after="120" w:afterLines="50" w:line="240" w:lineRule="auto"/>
        <w:ind w:firstLine="464" w:firstLineChars="200"/>
        <w:rPr>
          <w:rFonts w:ascii="宋体" w:hAnsi="宋体" w:cs="宋体"/>
          <w:color w:val="auto"/>
          <w:sz w:val="24"/>
          <w:szCs w:val="28"/>
          <w:highlight w:val="none"/>
        </w:rPr>
      </w:pPr>
      <w:r>
        <w:rPr>
          <w:rFonts w:hint="eastAsia" w:ascii="宋体" w:hAnsi="宋体" w:cs="宋体"/>
          <w:color w:val="auto"/>
          <w:spacing w:val="-4"/>
          <w:sz w:val="24"/>
          <w:highlight w:val="none"/>
        </w:rPr>
        <w:t>（</w:t>
      </w:r>
      <w:r>
        <w:rPr>
          <w:rFonts w:hint="eastAsia" w:ascii="宋体" w:hAnsi="宋体" w:cs="宋体"/>
          <w:color w:val="auto"/>
          <w:sz w:val="24"/>
          <w:szCs w:val="28"/>
          <w:highlight w:val="none"/>
        </w:rPr>
        <w:t>具体详见招标文件第六章）</w:t>
      </w:r>
      <w:bookmarkEnd w:id="8"/>
    </w:p>
    <w:p>
      <w:pPr>
        <w:spacing w:after="120" w:afterLines="50" w:line="24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五、供应商参加本次政府采购活动，应当在提交投标文件前具备下列条件：</w:t>
      </w:r>
    </w:p>
    <w:p>
      <w:pPr>
        <w:pStyle w:val="64"/>
        <w:spacing w:line="420" w:lineRule="exact"/>
        <w:ind w:firstLine="600" w:firstLineChars="250"/>
        <w:rPr>
          <w:rFonts w:ascii="宋体" w:hAnsi="宋体" w:cs="宋体"/>
          <w:color w:val="auto"/>
          <w:sz w:val="24"/>
          <w:highlight w:val="none"/>
        </w:rPr>
      </w:pPr>
      <w:bookmarkStart w:id="9" w:name="PO_供应商资格条件_1"/>
      <w:r>
        <w:rPr>
          <w:rFonts w:hint="eastAsia" w:ascii="宋体" w:hAnsi="宋体" w:cs="宋体"/>
          <w:color w:val="auto"/>
          <w:sz w:val="24"/>
          <w:highlight w:val="none"/>
        </w:rPr>
        <w:t>1、具有独立承担民事责任的能力；</w:t>
      </w:r>
    </w:p>
    <w:p>
      <w:pPr>
        <w:tabs>
          <w:tab w:val="left" w:pos="7665"/>
        </w:tabs>
        <w:spacing w:line="40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tabs>
          <w:tab w:val="left" w:pos="7665"/>
        </w:tabs>
        <w:spacing w:line="40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3、具有履行合同所必须的设备和专业技术能力；</w:t>
      </w:r>
    </w:p>
    <w:p>
      <w:pPr>
        <w:tabs>
          <w:tab w:val="left" w:pos="7665"/>
        </w:tabs>
        <w:spacing w:line="40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4、具有依法缴纳税收和社会保障资金的良好记录；</w:t>
      </w:r>
    </w:p>
    <w:p>
      <w:pPr>
        <w:tabs>
          <w:tab w:val="left" w:pos="7665"/>
        </w:tabs>
        <w:spacing w:line="40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5、参加本次政府采购活动前三年内，在经营活动中没有重大违法记录；</w:t>
      </w:r>
    </w:p>
    <w:p>
      <w:pPr>
        <w:pStyle w:val="64"/>
        <w:spacing w:line="42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6、符合法律、行政法规规定的其他条件；</w:t>
      </w:r>
    </w:p>
    <w:p>
      <w:pPr>
        <w:pStyle w:val="64"/>
        <w:spacing w:line="42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7、根据采购项目提出的特殊条件：无；</w:t>
      </w:r>
    </w:p>
    <w:p>
      <w:pPr>
        <w:pStyle w:val="64"/>
        <w:spacing w:line="42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8、本次政府采购活动不接受联合体的形式参加投标。</w:t>
      </w:r>
    </w:p>
    <w:bookmarkEnd w:id="9"/>
    <w:p>
      <w:pPr>
        <w:pStyle w:val="64"/>
        <w:spacing w:line="440" w:lineRule="exact"/>
        <w:ind w:firstLine="602" w:firstLineChars="250"/>
        <w:rPr>
          <w:rFonts w:ascii="宋体" w:hAnsi="宋体" w:cs="宋体"/>
          <w:b/>
          <w:color w:val="auto"/>
          <w:sz w:val="24"/>
          <w:highlight w:val="none"/>
        </w:rPr>
      </w:pPr>
      <w:r>
        <w:rPr>
          <w:rFonts w:hint="eastAsia" w:ascii="宋体" w:hAnsi="宋体" w:cs="宋体"/>
          <w:b/>
          <w:color w:val="auto"/>
          <w:sz w:val="24"/>
          <w:highlight w:val="none"/>
        </w:rPr>
        <w:t>六、禁止参加本次采购活动的供应商</w:t>
      </w:r>
    </w:p>
    <w:p>
      <w:pPr>
        <w:pStyle w:val="64"/>
        <w:spacing w:line="42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 2016 〕 125 号 ） 的 要 求 ， 采 购 代 理 机 构 将 通 过 “ 信用中国 ” 网 站（www.creditchina.gov.cn）、“中国政府采购网”网站（www.ccgp.gov.cn）等渠道查询供应商在开标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采购代理机构出具的信用记录结果网页截图即可，供应商无须提供）。非企业参与投标时由投标人在投标文件中自行提供承诺函，格式自拟。</w:t>
      </w:r>
    </w:p>
    <w:p>
      <w:pPr>
        <w:spacing w:after="50" w:line="24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七、招标文件获取时间、地点：</w:t>
      </w:r>
    </w:p>
    <w:p>
      <w:pPr>
        <w:spacing w:after="120" w:afterLines="50"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招标文件自2021年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日至</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日每天上午9:00-12:00，下午 13:00-17:00）（北京时间，法定节假日除外）在四川军贤工程项目管理有限公司（成都市双流区东升镇龙桥路 6 号宗申.赛纳维 132 栋 5 楼 502 室）获取。</w:t>
      </w:r>
      <w:bookmarkStart w:id="213" w:name="_GoBack"/>
      <w:bookmarkEnd w:id="213"/>
      <w:r>
        <w:rPr>
          <w:rFonts w:hint="eastAsia" w:ascii="宋体" w:hAnsi="宋体" w:cs="宋体"/>
          <w:color w:val="auto"/>
          <w:sz w:val="24"/>
          <w:highlight w:val="none"/>
        </w:rPr>
        <w:t>本项目采取现场、网络报名方式，供应商将报名需要的报名资料盖章后发送至3349692243@qq.com，然后电话通知我公司工作人员，以免获取文件不及时。联系人：雷先生；联系电话：028-86958918。】</w:t>
      </w:r>
    </w:p>
    <w:p>
      <w:pPr>
        <w:spacing w:after="120" w:afterLines="50"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本项目招标文件无偿获取（招标文件获取后不退, 招标资格不能转让）。</w:t>
      </w:r>
    </w:p>
    <w:p>
      <w:pPr>
        <w:spacing w:after="120" w:afterLines="50" w:line="42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现场方式获取招标文件的，供应商为法人或者其他组织的，只需提供单位介绍信、经办人身份证；供应商为自然人的，只需提供本人身份证；根据采购代理机构要求填写报名表后并将相应材料递交给采购代理机构留存（单位介绍信与经办人身份证复印件须加盖供应商公章）。网络报名方式获取招标文件的。将已填写的《报名表》原件、《介绍信》(附经办人身份证复印件)加盖供应商公章原件扫描发送至采购代理机构邮箱3349692243@qq.com。 相关资料发送后请电话联系代理机构登记备案（联系人：雷先生；联系电话：028-86958918），经代理机构确认报名资料无误后，将招标文件电子档发送至供应商指定邮箱并将纸质招标文件快递至供应商指定地址。</w:t>
      </w:r>
      <w:r>
        <w:rPr>
          <w:rFonts w:hint="eastAsia" w:ascii="宋体" w:hAnsi="宋体" w:cs="宋体"/>
          <w:b/>
          <w:bCs/>
          <w:color w:val="auto"/>
          <w:sz w:val="24"/>
          <w:highlight w:val="none"/>
        </w:rPr>
        <w:t>请网络报名方式报名的供应商在递交响应文件截止前将报名资料原件交至四川军贤工程项目管理有限公司前台报名处。</w:t>
      </w:r>
    </w:p>
    <w:p>
      <w:pPr>
        <w:spacing w:after="120" w:afterLines="50" w:line="420" w:lineRule="exact"/>
        <w:ind w:firstLine="482" w:firstLineChars="200"/>
        <w:rPr>
          <w:rFonts w:ascii="宋体" w:hAnsi="宋体" w:cs="宋体"/>
          <w:b/>
          <w:color w:val="auto"/>
          <w:sz w:val="24"/>
          <w:highlight w:val="none"/>
        </w:rPr>
      </w:pPr>
      <w:r>
        <w:rPr>
          <w:rFonts w:hint="eastAsia" w:ascii="宋体" w:hAnsi="宋体" w:cs="宋体"/>
          <w:b/>
          <w:color w:val="auto"/>
          <w:sz w:val="24"/>
          <w:szCs w:val="28"/>
          <w:highlight w:val="none"/>
        </w:rPr>
        <w:t>八、</w:t>
      </w:r>
      <w:r>
        <w:rPr>
          <w:rFonts w:hint="eastAsia" w:ascii="宋体" w:hAnsi="宋体" w:cs="宋体"/>
          <w:b/>
          <w:color w:val="auto"/>
          <w:sz w:val="24"/>
          <w:highlight w:val="none"/>
        </w:rPr>
        <w:t>投标截止时间和开标时间：</w:t>
      </w:r>
      <w:r>
        <w:rPr>
          <w:rFonts w:hint="eastAsia" w:ascii="宋体" w:hAnsi="宋体" w:cs="宋体"/>
          <w:color w:val="auto"/>
          <w:sz w:val="24"/>
          <w:highlight w:val="none"/>
        </w:rPr>
        <w:t>2021年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26</w:t>
      </w:r>
      <w:r>
        <w:rPr>
          <w:rFonts w:hint="eastAsia" w:ascii="宋体" w:hAnsi="宋体" w:cs="宋体"/>
          <w:color w:val="auto"/>
          <w:sz w:val="24"/>
          <w:highlight w:val="none"/>
        </w:rPr>
        <w:t>日1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0(北京时间)</w:t>
      </w:r>
      <w:r>
        <w:rPr>
          <w:rFonts w:hint="eastAsia" w:ascii="宋体" w:hAnsi="宋体" w:cs="宋体"/>
          <w:color w:val="auto"/>
          <w:sz w:val="24"/>
          <w:szCs w:val="28"/>
          <w:highlight w:val="none"/>
        </w:rPr>
        <w:t>。</w:t>
      </w:r>
    </w:p>
    <w:p>
      <w:pPr>
        <w:pStyle w:val="13"/>
        <w:spacing w:after="120" w:afterLines="50" w:line="240" w:lineRule="auto"/>
        <w:ind w:firstLine="480"/>
        <w:rPr>
          <w:rFonts w:ascii="宋体" w:hAnsi="宋体" w:cs="宋体"/>
          <w:color w:val="auto"/>
          <w:sz w:val="24"/>
          <w:szCs w:val="28"/>
          <w:highlight w:val="none"/>
        </w:rPr>
      </w:pPr>
      <w:bookmarkStart w:id="10" w:name="PO_默认文件内容_12"/>
      <w:r>
        <w:rPr>
          <w:rFonts w:hint="eastAsia" w:ascii="宋体" w:hAnsi="宋体" w:cs="宋体"/>
          <w:color w:val="auto"/>
          <w:sz w:val="24"/>
          <w:szCs w:val="28"/>
          <w:highlight w:val="none"/>
        </w:rPr>
        <w:t>投标文件必须在投标截止时间前送达开标地点。逾期送达或没有按招标文件要求密封包装的投标文件不予接收。</w:t>
      </w:r>
      <w:r>
        <w:rPr>
          <w:rFonts w:hint="eastAsia" w:ascii="宋体" w:hAnsi="宋体" w:cs="宋体"/>
          <w:b/>
          <w:bCs/>
          <w:color w:val="auto"/>
          <w:sz w:val="24"/>
          <w:szCs w:val="28"/>
          <w:highlight w:val="none"/>
        </w:rPr>
        <w:t>（投标文件应分别密封包装：资格性投标文件正本及副本一个包装，其他响应性投标文件正本及副本一个包装，开标一览表一个包装，电子文档一个包装）</w:t>
      </w:r>
      <w:r>
        <w:rPr>
          <w:rFonts w:hint="eastAsia" w:ascii="宋体" w:hAnsi="宋体" w:cs="宋体"/>
          <w:color w:val="auto"/>
          <w:sz w:val="24"/>
          <w:szCs w:val="28"/>
          <w:highlight w:val="none"/>
        </w:rPr>
        <w:t>。本次招标不接受邮寄的投标文件。</w:t>
      </w:r>
      <w:bookmarkEnd w:id="10"/>
      <w:r>
        <w:rPr>
          <w:rFonts w:hint="eastAsia" w:ascii="宋体" w:hAnsi="宋体" w:cs="宋体"/>
          <w:b/>
          <w:bCs/>
          <w:color w:val="auto"/>
          <w:sz w:val="24"/>
          <w:highlight w:val="none"/>
        </w:rPr>
        <w:t>（文件接收时间:2021年</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26</w:t>
      </w:r>
      <w:r>
        <w:rPr>
          <w:rFonts w:hint="eastAsia" w:ascii="宋体" w:hAnsi="宋体" w:cs="宋体"/>
          <w:b/>
          <w:bCs/>
          <w:color w:val="auto"/>
          <w:sz w:val="24"/>
          <w:highlight w:val="none"/>
        </w:rPr>
        <w:t>日</w:t>
      </w:r>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rPr>
        <w:t>0-2021年</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26</w:t>
      </w:r>
      <w:r>
        <w:rPr>
          <w:rFonts w:hint="eastAsia" w:ascii="宋体" w:hAnsi="宋体" w:cs="宋体"/>
          <w:b/>
          <w:bCs/>
          <w:color w:val="auto"/>
          <w:sz w:val="24"/>
          <w:highlight w:val="none"/>
        </w:rPr>
        <w:t>日1</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0）</w:t>
      </w:r>
    </w:p>
    <w:p>
      <w:pPr>
        <w:spacing w:after="50" w:line="240" w:lineRule="auto"/>
        <w:ind w:firstLine="489" w:firstLineChars="203"/>
        <w:rPr>
          <w:rFonts w:ascii="宋体" w:hAnsi="宋体" w:cs="宋体"/>
          <w:color w:val="auto"/>
          <w:sz w:val="24"/>
          <w:szCs w:val="28"/>
          <w:highlight w:val="none"/>
        </w:rPr>
      </w:pPr>
      <w:r>
        <w:rPr>
          <w:rFonts w:hint="eastAsia" w:ascii="宋体" w:hAnsi="宋体" w:cs="宋体"/>
          <w:b/>
          <w:color w:val="auto"/>
          <w:sz w:val="24"/>
          <w:szCs w:val="28"/>
          <w:highlight w:val="none"/>
        </w:rPr>
        <w:t>九、开标地点：</w:t>
      </w:r>
      <w:r>
        <w:rPr>
          <w:rFonts w:hint="eastAsia" w:ascii="宋体" w:hAnsi="宋体" w:cs="宋体"/>
          <w:color w:val="auto"/>
          <w:sz w:val="24"/>
          <w:szCs w:val="28"/>
          <w:highlight w:val="none"/>
        </w:rPr>
        <w:t>四川军贤工程项目管理有限公司（成都市双流区东升镇龙桥路 6 号宗申.赛纳维 132 栋 5 楼 502 室）。</w:t>
      </w:r>
    </w:p>
    <w:p>
      <w:pPr>
        <w:pStyle w:val="64"/>
        <w:spacing w:line="240" w:lineRule="auto"/>
        <w:ind w:firstLine="482"/>
        <w:rPr>
          <w:rFonts w:ascii="宋体" w:hAnsi="宋体" w:cs="宋体"/>
          <w:b/>
          <w:color w:val="auto"/>
          <w:sz w:val="24"/>
          <w:highlight w:val="none"/>
        </w:rPr>
      </w:pPr>
      <w:bookmarkStart w:id="11" w:name="PO_默认文件内容_13"/>
      <w:r>
        <w:rPr>
          <w:rFonts w:hint="eastAsia" w:ascii="宋体" w:hAnsi="宋体" w:cs="宋体"/>
          <w:b/>
          <w:color w:val="auto"/>
          <w:sz w:val="24"/>
          <w:highlight w:val="none"/>
        </w:rPr>
        <w:t>十、本投标邀请在四川政府采购网（www.ccgp-sichuan.gov.cn）上以公告形式发布。</w:t>
      </w:r>
      <w:bookmarkEnd w:id="11"/>
    </w:p>
    <w:p>
      <w:pPr>
        <w:pStyle w:val="64"/>
        <w:spacing w:line="240" w:lineRule="auto"/>
        <w:ind w:firstLine="482"/>
        <w:rPr>
          <w:rFonts w:ascii="宋体" w:hAnsi="宋体" w:cs="宋体"/>
          <w:b/>
          <w:color w:val="auto"/>
          <w:sz w:val="24"/>
          <w:highlight w:val="none"/>
        </w:rPr>
      </w:pPr>
      <w:r>
        <w:rPr>
          <w:rFonts w:hint="eastAsia" w:ascii="宋体" w:hAnsi="宋体" w:cs="宋体"/>
          <w:b/>
          <w:color w:val="auto"/>
          <w:sz w:val="24"/>
          <w:highlight w:val="none"/>
        </w:rPr>
        <w:t>十一、供应商信用融资：</w:t>
      </w:r>
    </w:p>
    <w:p>
      <w:pPr>
        <w:pStyle w:val="13"/>
        <w:spacing w:after="120" w:afterLines="50" w:line="240" w:lineRule="auto"/>
        <w:ind w:firstLine="480"/>
        <w:rPr>
          <w:rFonts w:ascii="宋体" w:hAnsi="宋体" w:cs="宋体"/>
          <w:b/>
          <w:color w:val="auto"/>
          <w:sz w:val="24"/>
          <w:highlight w:val="none"/>
        </w:rPr>
      </w:pPr>
      <w:r>
        <w:rPr>
          <w:rFonts w:hint="eastAsia" w:ascii="宋体" w:hAnsi="宋体" w:cs="宋体"/>
          <w:color w:val="auto"/>
          <w:sz w:val="24"/>
          <w:szCs w:val="28"/>
          <w:highlight w:val="none"/>
        </w:rPr>
        <w:t>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号）等有关规定，上述文件请在四川政府采购网查询。</w:t>
      </w:r>
    </w:p>
    <w:p>
      <w:pPr>
        <w:pStyle w:val="64"/>
        <w:spacing w:line="240" w:lineRule="auto"/>
        <w:ind w:firstLine="482"/>
        <w:rPr>
          <w:rFonts w:ascii="宋体" w:hAnsi="宋体" w:cs="宋体"/>
          <w:b/>
          <w:color w:val="auto"/>
          <w:sz w:val="24"/>
          <w:highlight w:val="none"/>
        </w:rPr>
      </w:pPr>
      <w:r>
        <w:rPr>
          <w:rFonts w:hint="eastAsia" w:ascii="宋体" w:hAnsi="宋体" w:cs="宋体"/>
          <w:b/>
          <w:color w:val="auto"/>
          <w:sz w:val="24"/>
          <w:highlight w:val="none"/>
        </w:rPr>
        <w:t>十二、联系方式</w:t>
      </w:r>
    </w:p>
    <w:p>
      <w:pPr>
        <w:pStyle w:val="64"/>
        <w:spacing w:line="240" w:lineRule="auto"/>
        <w:ind w:firstLine="480"/>
        <w:rPr>
          <w:rFonts w:ascii="宋体" w:hAnsi="宋体" w:cs="宋体"/>
          <w:b/>
          <w:bCs/>
          <w:color w:val="auto"/>
          <w:sz w:val="24"/>
          <w:highlight w:val="none"/>
        </w:rPr>
      </w:pPr>
      <w:r>
        <w:rPr>
          <w:rFonts w:hint="eastAsia" w:ascii="宋体" w:hAnsi="宋体" w:cs="宋体"/>
          <w:bCs/>
          <w:color w:val="auto"/>
          <w:sz w:val="24"/>
          <w:highlight w:val="none"/>
        </w:rPr>
        <w:t>采 购 人</w:t>
      </w:r>
      <w:r>
        <w:rPr>
          <w:rFonts w:hint="eastAsia" w:ascii="宋体" w:hAnsi="宋体" w:cs="宋体"/>
          <w:b/>
          <w:color w:val="auto"/>
          <w:sz w:val="24"/>
          <w:highlight w:val="none"/>
        </w:rPr>
        <w:t>：</w:t>
      </w:r>
      <w:r>
        <w:rPr>
          <w:rFonts w:hint="eastAsia" w:ascii="宋体" w:hAnsi="宋体" w:cs="宋体"/>
          <w:color w:val="auto"/>
          <w:sz w:val="24"/>
          <w:highlight w:val="none"/>
        </w:rPr>
        <w:t>成都市生态环境科研监测所</w:t>
      </w:r>
    </w:p>
    <w:p>
      <w:pPr>
        <w:pStyle w:val="64"/>
        <w:spacing w:line="240" w:lineRule="auto"/>
        <w:ind w:firstLine="480"/>
        <w:rPr>
          <w:rFonts w:ascii="宋体" w:hAnsi="宋体" w:cs="宋体"/>
          <w:color w:val="auto"/>
          <w:sz w:val="24"/>
          <w:highlight w:val="none"/>
        </w:rPr>
      </w:pPr>
      <w:r>
        <w:rPr>
          <w:rFonts w:hint="eastAsia" w:ascii="宋体" w:hAnsi="宋体" w:cs="宋体"/>
          <w:bCs/>
          <w:color w:val="auto"/>
          <w:sz w:val="24"/>
          <w:highlight w:val="none"/>
        </w:rPr>
        <w:t>地    址：</w:t>
      </w:r>
      <w:r>
        <w:rPr>
          <w:rFonts w:hint="eastAsia" w:ascii="宋体" w:hAnsi="宋体" w:cs="宋体"/>
          <w:color w:val="auto"/>
          <w:sz w:val="24"/>
          <w:highlight w:val="none"/>
        </w:rPr>
        <w:t>成都市锦江区海桐街69号</w:t>
      </w:r>
    </w:p>
    <w:p>
      <w:pPr>
        <w:pStyle w:val="64"/>
        <w:spacing w:line="240" w:lineRule="auto"/>
        <w:ind w:firstLine="480"/>
        <w:rPr>
          <w:rFonts w:hint="eastAsia" w:ascii="宋体" w:hAnsi="宋体" w:cs="宋体"/>
          <w:color w:val="auto"/>
          <w:sz w:val="24"/>
          <w:highlight w:val="none"/>
        </w:rPr>
      </w:pPr>
      <w:r>
        <w:rPr>
          <w:rFonts w:hint="eastAsia" w:ascii="宋体" w:hAnsi="宋体" w:cs="宋体"/>
          <w:color w:val="auto"/>
          <w:sz w:val="24"/>
          <w:highlight w:val="none"/>
        </w:rPr>
        <w:t>联 系 人： 李老师、冯老师</w:t>
      </w:r>
    </w:p>
    <w:p>
      <w:pPr>
        <w:pStyle w:val="64"/>
        <w:tabs>
          <w:tab w:val="left" w:pos="2505"/>
        </w:tabs>
        <w:spacing w:line="24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联系电话： </w:t>
      </w:r>
      <w:r>
        <w:rPr>
          <w:rFonts w:ascii="宋体" w:hAnsi="宋体" w:cs="宋体"/>
          <w:color w:val="auto"/>
          <w:sz w:val="24"/>
          <w:highlight w:val="none"/>
        </w:rPr>
        <w:t>028-68738205</w:t>
      </w:r>
      <w:r>
        <w:rPr>
          <w:rFonts w:hint="eastAsia" w:ascii="宋体" w:hAnsi="宋体" w:cs="宋体"/>
          <w:color w:val="auto"/>
          <w:sz w:val="24"/>
          <w:highlight w:val="none"/>
        </w:rPr>
        <w:t>、</w:t>
      </w:r>
      <w:r>
        <w:rPr>
          <w:rFonts w:ascii="宋体" w:hAnsi="宋体" w:cs="宋体"/>
          <w:color w:val="auto"/>
          <w:sz w:val="24"/>
          <w:highlight w:val="none"/>
        </w:rPr>
        <w:t>68738187</w:t>
      </w:r>
    </w:p>
    <w:p>
      <w:pPr>
        <w:pStyle w:val="64"/>
        <w:spacing w:line="240" w:lineRule="auto"/>
        <w:ind w:firstLine="480"/>
        <w:rPr>
          <w:rFonts w:ascii="宋体" w:hAnsi="宋体" w:cs="宋体"/>
          <w:color w:val="auto"/>
          <w:sz w:val="24"/>
          <w:highlight w:val="none"/>
        </w:rPr>
      </w:pPr>
      <w:r>
        <w:rPr>
          <w:rFonts w:hint="eastAsia" w:ascii="宋体" w:hAnsi="宋体" w:cs="宋体"/>
          <w:bCs/>
          <w:color w:val="auto"/>
          <w:sz w:val="24"/>
          <w:highlight w:val="none"/>
        </w:rPr>
        <w:t>采购代理机构：</w:t>
      </w:r>
      <w:r>
        <w:rPr>
          <w:rFonts w:hint="eastAsia" w:ascii="宋体" w:hAnsi="宋体" w:cs="宋体"/>
          <w:color w:val="auto"/>
          <w:sz w:val="24"/>
          <w:highlight w:val="none"/>
        </w:rPr>
        <w:t>四川军贤工程项目管理有限公司</w:t>
      </w:r>
    </w:p>
    <w:p>
      <w:pPr>
        <w:pStyle w:val="64"/>
        <w:spacing w:line="240" w:lineRule="auto"/>
        <w:ind w:firstLine="480"/>
        <w:rPr>
          <w:rFonts w:ascii="宋体" w:hAnsi="宋体" w:cs="宋体"/>
          <w:color w:val="auto"/>
          <w:szCs w:val="21"/>
          <w:highlight w:val="none"/>
        </w:rPr>
      </w:pPr>
      <w:r>
        <w:rPr>
          <w:rFonts w:hint="eastAsia" w:ascii="宋体" w:hAnsi="宋体" w:cs="宋体"/>
          <w:color w:val="auto"/>
          <w:sz w:val="24"/>
          <w:highlight w:val="none"/>
        </w:rPr>
        <w:t>地    址:</w:t>
      </w:r>
      <w:r>
        <w:rPr>
          <w:rFonts w:hint="eastAsia" w:ascii="宋体" w:hAnsi="宋体" w:cs="宋体"/>
          <w:bCs/>
          <w:color w:val="auto"/>
          <w:sz w:val="24"/>
          <w:highlight w:val="none"/>
        </w:rPr>
        <w:t>成都市双流区东升镇龙桥路 6 号宗申.赛纳维 132 栋 5 楼 502 室</w:t>
      </w:r>
    </w:p>
    <w:p>
      <w:pPr>
        <w:pStyle w:val="64"/>
        <w:spacing w:line="240" w:lineRule="auto"/>
        <w:ind w:firstLine="480"/>
        <w:rPr>
          <w:rFonts w:ascii="宋体" w:hAnsi="宋体" w:cs="宋体"/>
          <w:color w:val="auto"/>
          <w:sz w:val="24"/>
          <w:highlight w:val="none"/>
        </w:rPr>
      </w:pPr>
      <w:r>
        <w:rPr>
          <w:rFonts w:hint="eastAsia" w:ascii="宋体" w:hAnsi="宋体" w:cs="宋体"/>
          <w:color w:val="auto"/>
          <w:sz w:val="24"/>
          <w:highlight w:val="none"/>
        </w:rPr>
        <w:t>联 系 人：雷先生</w:t>
      </w:r>
    </w:p>
    <w:p>
      <w:pPr>
        <w:pStyle w:val="64"/>
        <w:spacing w:line="240" w:lineRule="auto"/>
        <w:ind w:firstLine="480"/>
        <w:rPr>
          <w:rFonts w:ascii="宋体" w:hAnsi="宋体" w:cs="宋体"/>
          <w:color w:val="auto"/>
          <w:highlight w:val="none"/>
        </w:rPr>
      </w:pPr>
      <w:r>
        <w:rPr>
          <w:rFonts w:hint="eastAsia" w:ascii="宋体" w:hAnsi="宋体" w:cs="宋体"/>
          <w:color w:val="auto"/>
          <w:sz w:val="24"/>
          <w:highlight w:val="none"/>
        </w:rPr>
        <w:t>联系电话：028-86958918</w:t>
      </w:r>
      <w:r>
        <w:rPr>
          <w:rFonts w:hint="eastAsia" w:ascii="宋体" w:hAnsi="宋体" w:cs="宋体"/>
          <w:color w:val="auto"/>
          <w:highlight w:val="none"/>
        </w:rPr>
        <w:tab/>
      </w:r>
    </w:p>
    <w:p>
      <w:pPr>
        <w:pStyle w:val="29"/>
        <w:spacing w:after="50" w:afterAutospacing="0" w:line="240" w:lineRule="auto"/>
        <w:rPr>
          <w:rFonts w:hAnsi="宋体" w:cs="宋体"/>
          <w:color w:val="auto"/>
          <w:sz w:val="36"/>
          <w:szCs w:val="36"/>
          <w:highlight w:val="none"/>
        </w:rPr>
        <w:sectPr>
          <w:footerReference r:id="rId15" w:type="default"/>
          <w:headerReference r:id="rId14" w:type="even"/>
          <w:footerReference r:id="rId16" w:type="even"/>
          <w:pgSz w:w="11907" w:h="16840"/>
          <w:pgMar w:top="1440" w:right="1474" w:bottom="1440" w:left="1474" w:header="851" w:footer="992" w:gutter="0"/>
          <w:cols w:space="720" w:num="1"/>
          <w:docGrid w:linePitch="312" w:charSpace="0"/>
        </w:sectPr>
      </w:pPr>
      <w:bookmarkStart w:id="12" w:name="_Toc12420"/>
      <w:bookmarkStart w:id="13" w:name="_Toc12497"/>
      <w:bookmarkStart w:id="14" w:name="_Toc213396945"/>
      <w:bookmarkStart w:id="15" w:name="_Toc213397009"/>
      <w:bookmarkStart w:id="16" w:name="_Toc213496267"/>
      <w:bookmarkStart w:id="17" w:name="_Toc217446031"/>
      <w:bookmarkStart w:id="18" w:name="_Toc213396759"/>
    </w:p>
    <w:p>
      <w:pPr>
        <w:pStyle w:val="3"/>
        <w:spacing w:line="24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第二章  投标人须知</w:t>
      </w:r>
      <w:bookmarkEnd w:id="12"/>
      <w:bookmarkEnd w:id="13"/>
    </w:p>
    <w:p>
      <w:pPr>
        <w:pStyle w:val="4"/>
        <w:spacing w:line="240" w:lineRule="auto"/>
        <w:jc w:val="center"/>
        <w:rPr>
          <w:rFonts w:ascii="宋体" w:hAnsi="宋体" w:eastAsia="宋体" w:cs="宋体"/>
          <w:color w:val="auto"/>
          <w:highlight w:val="none"/>
        </w:rPr>
      </w:pPr>
      <w:r>
        <w:rPr>
          <w:rFonts w:hint="eastAsia" w:ascii="宋体" w:hAnsi="宋体" w:eastAsia="宋体" w:cs="宋体"/>
          <w:color w:val="auto"/>
          <w:highlight w:val="none"/>
        </w:rPr>
        <w:t>一、投标人须知附表</w:t>
      </w:r>
    </w:p>
    <w:bookmarkEnd w:id="14"/>
    <w:bookmarkEnd w:id="15"/>
    <w:bookmarkEnd w:id="16"/>
    <w:bookmarkEnd w:id="17"/>
    <w:bookmarkEnd w:id="18"/>
    <w:tbl>
      <w:tblPr>
        <w:tblStyle w:val="32"/>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238"/>
        <w:gridCol w:w="6425"/>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3" w:hRule="atLeast"/>
          <w:tblHeader/>
          <w:jc w:val="center"/>
        </w:trPr>
        <w:tc>
          <w:tcPr>
            <w:tcW w:w="838" w:type="dxa"/>
            <w:vAlign w:val="center"/>
          </w:tcPr>
          <w:p>
            <w:pPr>
              <w:pStyle w:val="54"/>
              <w:ind w:left="9"/>
              <w:jc w:val="center"/>
              <w:rPr>
                <w:color w:val="auto"/>
                <w:kern w:val="2"/>
                <w:sz w:val="21"/>
                <w:szCs w:val="21"/>
                <w:highlight w:val="none"/>
              </w:rPr>
            </w:pPr>
            <w:r>
              <w:rPr>
                <w:rFonts w:hint="eastAsia"/>
                <w:color w:val="auto"/>
                <w:kern w:val="2"/>
                <w:sz w:val="21"/>
                <w:szCs w:val="21"/>
                <w:highlight w:val="none"/>
              </w:rPr>
              <w:t>序号</w:t>
            </w:r>
          </w:p>
        </w:tc>
        <w:tc>
          <w:tcPr>
            <w:tcW w:w="2238" w:type="dxa"/>
            <w:vAlign w:val="center"/>
          </w:tcPr>
          <w:p>
            <w:pPr>
              <w:pStyle w:val="54"/>
              <w:ind w:left="38"/>
              <w:jc w:val="center"/>
              <w:rPr>
                <w:color w:val="auto"/>
                <w:kern w:val="2"/>
                <w:sz w:val="21"/>
                <w:szCs w:val="21"/>
                <w:highlight w:val="none"/>
              </w:rPr>
            </w:pPr>
            <w:r>
              <w:rPr>
                <w:rFonts w:hint="eastAsia"/>
                <w:color w:val="auto"/>
                <w:kern w:val="2"/>
                <w:sz w:val="21"/>
                <w:szCs w:val="21"/>
                <w:highlight w:val="none"/>
              </w:rPr>
              <w:t>条款名称</w:t>
            </w:r>
          </w:p>
        </w:tc>
        <w:tc>
          <w:tcPr>
            <w:tcW w:w="6425" w:type="dxa"/>
            <w:vAlign w:val="center"/>
          </w:tcPr>
          <w:p>
            <w:pPr>
              <w:pStyle w:val="54"/>
              <w:jc w:val="center"/>
              <w:rPr>
                <w:color w:val="auto"/>
                <w:kern w:val="2"/>
                <w:sz w:val="21"/>
                <w:szCs w:val="21"/>
                <w:highlight w:val="none"/>
              </w:rPr>
            </w:pPr>
            <w:r>
              <w:rPr>
                <w:rFonts w:hint="eastAsia"/>
                <w:color w:val="auto"/>
                <w:kern w:val="2"/>
                <w:sz w:val="21"/>
                <w:szCs w:val="21"/>
                <w:highlight w:val="none"/>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7" w:hRule="atLeast"/>
          <w:jc w:val="center"/>
        </w:trPr>
        <w:tc>
          <w:tcPr>
            <w:tcW w:w="838" w:type="dxa"/>
            <w:vMerge w:val="restart"/>
            <w:vAlign w:val="center"/>
          </w:tcPr>
          <w:p>
            <w:pPr>
              <w:pStyle w:val="54"/>
              <w:ind w:right="230"/>
              <w:jc w:val="center"/>
              <w:rPr>
                <w:color w:val="auto"/>
                <w:kern w:val="2"/>
                <w:sz w:val="21"/>
                <w:szCs w:val="21"/>
                <w:highlight w:val="none"/>
              </w:rPr>
            </w:pPr>
            <w:r>
              <w:rPr>
                <w:rFonts w:hint="eastAsia"/>
                <w:color w:val="auto"/>
                <w:kern w:val="2"/>
                <w:sz w:val="21"/>
                <w:szCs w:val="21"/>
                <w:highlight w:val="none"/>
              </w:rPr>
              <w:t>1</w:t>
            </w:r>
          </w:p>
        </w:tc>
        <w:tc>
          <w:tcPr>
            <w:tcW w:w="2238" w:type="dxa"/>
            <w:tcBorders>
              <w:bottom w:val="single" w:color="auto" w:sz="4" w:space="0"/>
            </w:tcBorders>
            <w:vAlign w:val="center"/>
          </w:tcPr>
          <w:p>
            <w:pPr>
              <w:pStyle w:val="54"/>
              <w:ind w:left="38"/>
              <w:jc w:val="center"/>
              <w:rPr>
                <w:color w:val="auto"/>
                <w:kern w:val="2"/>
                <w:sz w:val="21"/>
                <w:szCs w:val="21"/>
                <w:highlight w:val="none"/>
              </w:rPr>
            </w:pPr>
            <w:r>
              <w:rPr>
                <w:rFonts w:hint="eastAsia"/>
                <w:color w:val="auto"/>
                <w:kern w:val="2"/>
                <w:sz w:val="21"/>
                <w:szCs w:val="21"/>
                <w:highlight w:val="none"/>
              </w:rPr>
              <w:t>采购预算</w:t>
            </w:r>
          </w:p>
          <w:p>
            <w:pPr>
              <w:pStyle w:val="54"/>
              <w:ind w:left="38"/>
              <w:jc w:val="center"/>
              <w:rPr>
                <w:color w:val="auto"/>
                <w:kern w:val="2"/>
                <w:sz w:val="21"/>
                <w:szCs w:val="21"/>
                <w:highlight w:val="none"/>
              </w:rPr>
            </w:pPr>
            <w:r>
              <w:rPr>
                <w:rFonts w:hint="eastAsia"/>
                <w:b/>
                <w:bCs/>
                <w:color w:val="auto"/>
                <w:sz w:val="21"/>
                <w:szCs w:val="21"/>
                <w:highlight w:val="none"/>
              </w:rPr>
              <w:t>（实质性要求）</w:t>
            </w:r>
          </w:p>
        </w:tc>
        <w:tc>
          <w:tcPr>
            <w:tcW w:w="6425" w:type="dxa"/>
            <w:tcBorders>
              <w:bottom w:val="single" w:color="auto" w:sz="4" w:space="0"/>
            </w:tcBorders>
          </w:tcPr>
          <w:p>
            <w:pPr>
              <w:widowControl/>
              <w:rPr>
                <w:rFonts w:ascii="宋体" w:hAnsi="宋体" w:cs="宋体"/>
                <w:color w:val="auto"/>
                <w:kern w:val="0"/>
                <w:szCs w:val="21"/>
                <w:highlight w:val="none"/>
              </w:rPr>
            </w:pPr>
            <w:bookmarkStart w:id="19" w:name="PO_预算分包信息_1"/>
            <w:r>
              <w:rPr>
                <w:rFonts w:hint="eastAsia" w:ascii="宋体" w:hAnsi="宋体" w:cs="宋体"/>
                <w:color w:val="auto"/>
                <w:kern w:val="0"/>
                <w:szCs w:val="21"/>
                <w:highlight w:val="none"/>
              </w:rPr>
              <w:t xml:space="preserve">采购预算：318万元。 </w:t>
            </w:r>
            <w:bookmarkEnd w:id="19"/>
          </w:p>
          <w:p>
            <w:pPr>
              <w:pStyle w:val="54"/>
              <w:jc w:val="both"/>
              <w:rPr>
                <w:color w:val="auto"/>
                <w:kern w:val="2"/>
                <w:sz w:val="21"/>
                <w:szCs w:val="21"/>
                <w:highlight w:val="none"/>
              </w:rPr>
            </w:pPr>
            <w:r>
              <w:rPr>
                <w:rFonts w:hint="eastAsia"/>
                <w:color w:val="auto"/>
                <w:sz w:val="21"/>
                <w:szCs w:val="21"/>
                <w:highlight w:val="none"/>
              </w:rPr>
              <w:t>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7" w:hRule="atLeast"/>
          <w:jc w:val="center"/>
        </w:trPr>
        <w:tc>
          <w:tcPr>
            <w:tcW w:w="838" w:type="dxa"/>
            <w:vMerge w:val="continue"/>
            <w:vAlign w:val="center"/>
          </w:tcPr>
          <w:p>
            <w:pPr>
              <w:rPr>
                <w:rFonts w:ascii="宋体" w:hAnsi="宋体" w:cs="宋体"/>
                <w:color w:val="auto"/>
                <w:szCs w:val="21"/>
                <w:highlight w:val="none"/>
              </w:rPr>
            </w:pPr>
          </w:p>
        </w:tc>
        <w:tc>
          <w:tcPr>
            <w:tcW w:w="2238" w:type="dxa"/>
            <w:tcBorders>
              <w:top w:val="single" w:color="auto" w:sz="4" w:space="0"/>
            </w:tcBorders>
            <w:vAlign w:val="center"/>
          </w:tcPr>
          <w:p>
            <w:pPr>
              <w:pStyle w:val="54"/>
              <w:jc w:val="center"/>
              <w:rPr>
                <w:color w:val="auto"/>
                <w:kern w:val="2"/>
                <w:sz w:val="21"/>
                <w:szCs w:val="21"/>
                <w:highlight w:val="none"/>
              </w:rPr>
            </w:pPr>
            <w:r>
              <w:rPr>
                <w:rFonts w:hint="eastAsia"/>
                <w:color w:val="auto"/>
                <w:kern w:val="2"/>
                <w:sz w:val="21"/>
                <w:szCs w:val="21"/>
                <w:highlight w:val="none"/>
              </w:rPr>
              <w:t>最高限价</w:t>
            </w:r>
          </w:p>
          <w:p>
            <w:pPr>
              <w:pStyle w:val="54"/>
              <w:jc w:val="center"/>
              <w:rPr>
                <w:color w:val="auto"/>
                <w:kern w:val="2"/>
                <w:sz w:val="21"/>
                <w:szCs w:val="21"/>
                <w:highlight w:val="none"/>
              </w:rPr>
            </w:pPr>
            <w:r>
              <w:rPr>
                <w:rFonts w:hint="eastAsia"/>
                <w:color w:val="auto"/>
                <w:sz w:val="21"/>
                <w:szCs w:val="21"/>
                <w:highlight w:val="none"/>
              </w:rPr>
              <w:t>（</w:t>
            </w:r>
            <w:r>
              <w:rPr>
                <w:rFonts w:hint="eastAsia"/>
                <w:b/>
                <w:bCs/>
                <w:color w:val="auto"/>
                <w:sz w:val="21"/>
                <w:szCs w:val="21"/>
                <w:highlight w:val="none"/>
              </w:rPr>
              <w:t>实质性要求）</w:t>
            </w:r>
          </w:p>
        </w:tc>
        <w:tc>
          <w:tcPr>
            <w:tcW w:w="6425" w:type="dxa"/>
            <w:tcBorders>
              <w:top w:val="single" w:color="auto" w:sz="4" w:space="0"/>
            </w:tcBorders>
          </w:tcPr>
          <w:p>
            <w:pPr>
              <w:pStyle w:val="54"/>
              <w:jc w:val="both"/>
              <w:rPr>
                <w:color w:val="auto"/>
                <w:szCs w:val="21"/>
                <w:highlight w:val="none"/>
              </w:rPr>
            </w:pPr>
            <w:r>
              <w:rPr>
                <w:rFonts w:hint="eastAsia"/>
                <w:color w:val="auto"/>
                <w:szCs w:val="21"/>
                <w:highlight w:val="none"/>
              </w:rPr>
              <w:t>最高限价：318万元,超过最高限价的报价,其投标文件按无效投标处理。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38" w:type="dxa"/>
            <w:vMerge w:val="continue"/>
            <w:vAlign w:val="center"/>
          </w:tcPr>
          <w:p>
            <w:pPr>
              <w:rPr>
                <w:rFonts w:ascii="宋体" w:hAnsi="宋体" w:cs="宋体"/>
                <w:color w:val="auto"/>
                <w:szCs w:val="21"/>
                <w:highlight w:val="none"/>
              </w:rPr>
            </w:pPr>
          </w:p>
        </w:tc>
        <w:tc>
          <w:tcPr>
            <w:tcW w:w="2238" w:type="dxa"/>
            <w:tcBorders>
              <w:top w:val="single" w:color="auto" w:sz="4" w:space="0"/>
            </w:tcBorders>
            <w:vAlign w:val="center"/>
          </w:tcPr>
          <w:p>
            <w:pPr>
              <w:pStyle w:val="54"/>
              <w:jc w:val="center"/>
              <w:rPr>
                <w:color w:val="auto"/>
                <w:sz w:val="21"/>
                <w:szCs w:val="21"/>
                <w:highlight w:val="none"/>
              </w:rPr>
            </w:pPr>
            <w:r>
              <w:rPr>
                <w:rFonts w:hint="eastAsia"/>
                <w:color w:val="auto"/>
                <w:sz w:val="21"/>
                <w:szCs w:val="21"/>
                <w:highlight w:val="none"/>
              </w:rPr>
              <w:t>是否专门面向中小企业（</w:t>
            </w:r>
            <w:r>
              <w:rPr>
                <w:rFonts w:hint="eastAsia"/>
                <w:b/>
                <w:bCs/>
                <w:color w:val="auto"/>
                <w:sz w:val="21"/>
                <w:szCs w:val="21"/>
                <w:highlight w:val="none"/>
              </w:rPr>
              <w:t>实质性要求）</w:t>
            </w:r>
          </w:p>
        </w:tc>
        <w:tc>
          <w:tcPr>
            <w:tcW w:w="6425" w:type="dxa"/>
            <w:tcBorders>
              <w:top w:val="single" w:color="auto" w:sz="4" w:space="0"/>
            </w:tcBorders>
          </w:tcPr>
          <w:p>
            <w:pPr>
              <w:pStyle w:val="54"/>
              <w:jc w:val="both"/>
              <w:rPr>
                <w:color w:val="auto"/>
                <w:sz w:val="21"/>
                <w:szCs w:val="21"/>
                <w:highlight w:val="none"/>
              </w:rPr>
            </w:pPr>
            <w:r>
              <w:rPr>
                <w:rFonts w:hint="eastAsia"/>
                <w:color w:val="auto"/>
                <w:sz w:val="21"/>
                <w:szCs w:val="21"/>
                <w:highlight w:val="none"/>
              </w:rPr>
              <w:t>本项目专门面向中小企业：是</w:t>
            </w:r>
            <w:r>
              <w:rPr>
                <w:rFonts w:hint="eastAsia"/>
                <w:color w:val="auto"/>
                <w:highlight w:val="none"/>
              </w:rPr>
              <w:t>□</w:t>
            </w:r>
            <w:r>
              <w:rPr>
                <w:rFonts w:hint="eastAsia"/>
                <w:color w:val="auto"/>
                <w:sz w:val="21"/>
                <w:szCs w:val="21"/>
                <w:highlight w:val="none"/>
              </w:rPr>
              <w:t xml:space="preserve"> 否</w:t>
            </w:r>
            <w:r>
              <w:rPr>
                <w:rFonts w:hint="eastAsia"/>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54"/>
              <w:ind w:right="230"/>
              <w:jc w:val="center"/>
              <w:rPr>
                <w:color w:val="auto"/>
                <w:kern w:val="2"/>
                <w:sz w:val="21"/>
                <w:szCs w:val="21"/>
                <w:highlight w:val="none"/>
              </w:rPr>
            </w:pPr>
            <w:r>
              <w:rPr>
                <w:rFonts w:hint="eastAsia"/>
                <w:color w:val="auto"/>
                <w:kern w:val="2"/>
                <w:sz w:val="21"/>
                <w:szCs w:val="21"/>
                <w:highlight w:val="none"/>
              </w:rPr>
              <w:t>2</w:t>
            </w:r>
          </w:p>
        </w:tc>
        <w:tc>
          <w:tcPr>
            <w:tcW w:w="2238" w:type="dxa"/>
            <w:vAlign w:val="center"/>
          </w:tcPr>
          <w:p>
            <w:pPr>
              <w:pStyle w:val="54"/>
              <w:ind w:left="38"/>
              <w:jc w:val="center"/>
              <w:rPr>
                <w:color w:val="auto"/>
                <w:kern w:val="2"/>
                <w:sz w:val="21"/>
                <w:szCs w:val="21"/>
                <w:highlight w:val="none"/>
              </w:rPr>
            </w:pPr>
            <w:r>
              <w:rPr>
                <w:rFonts w:hint="eastAsia"/>
                <w:color w:val="auto"/>
                <w:kern w:val="2"/>
                <w:sz w:val="21"/>
                <w:szCs w:val="21"/>
                <w:highlight w:val="none"/>
              </w:rPr>
              <w:t>低于成本价不正当</w:t>
            </w:r>
          </w:p>
          <w:p>
            <w:pPr>
              <w:pStyle w:val="54"/>
              <w:ind w:left="38"/>
              <w:jc w:val="center"/>
              <w:rPr>
                <w:color w:val="auto"/>
                <w:kern w:val="2"/>
                <w:sz w:val="21"/>
                <w:szCs w:val="21"/>
                <w:highlight w:val="none"/>
              </w:rPr>
            </w:pPr>
            <w:r>
              <w:rPr>
                <w:rFonts w:hint="eastAsia"/>
                <w:color w:val="auto"/>
                <w:kern w:val="2"/>
                <w:sz w:val="21"/>
                <w:szCs w:val="21"/>
                <w:highlight w:val="none"/>
              </w:rPr>
              <w:t>竞争预防措施</w:t>
            </w:r>
          </w:p>
          <w:p>
            <w:pPr>
              <w:pStyle w:val="54"/>
              <w:ind w:left="38"/>
              <w:jc w:val="center"/>
              <w:rPr>
                <w:color w:val="auto"/>
                <w:kern w:val="2"/>
                <w:sz w:val="21"/>
                <w:szCs w:val="21"/>
                <w:highlight w:val="none"/>
              </w:rPr>
            </w:pPr>
            <w:r>
              <w:rPr>
                <w:rFonts w:hint="eastAsia"/>
                <w:b/>
                <w:bCs/>
                <w:color w:val="auto"/>
                <w:sz w:val="21"/>
                <w:szCs w:val="21"/>
                <w:highlight w:val="none"/>
              </w:rPr>
              <w:t>（实质性要求）</w:t>
            </w:r>
          </w:p>
        </w:tc>
        <w:tc>
          <w:tcPr>
            <w:tcW w:w="6425" w:type="dxa"/>
            <w:vAlign w:val="center"/>
          </w:tcPr>
          <w:p>
            <w:pPr>
              <w:pStyle w:val="54"/>
              <w:jc w:val="both"/>
              <w:rPr>
                <w:color w:val="auto"/>
                <w:kern w:val="2"/>
                <w:sz w:val="21"/>
                <w:szCs w:val="21"/>
                <w:highlight w:val="none"/>
              </w:rPr>
            </w:pPr>
            <w:r>
              <w:rPr>
                <w:rFonts w:hint="eastAsia"/>
                <w:color w:val="auto"/>
                <w:sz w:val="21"/>
                <w:szCs w:val="21"/>
                <w:highlight w:val="none"/>
              </w:rPr>
              <w:t>评标委员会认为投标人的报价明显低于其他通过符合性审查投标 人的报价，有可能影响产品质量或者不能诚信履约的，应当要求 其在评标现场合理的时间内提供书面说明，必要时提交相关证明 材料。 投标人书面说明应当按照国家财务会计制度的规定要求，逐项就 供应商提供的货物、工程和服务的主营业务成本（应根据供应商 企业类型予以区别）、税金及附加、销售费用、管理费用、财务 费用等成本构成事项详细陈述。 投标人书面说明应当签字确认或者加盖公章，否则无效。书面说 明的签字确认，投标人为法人的，由其法定代表人或者代理人签 字确认；投标人为其他组织的，由其主要负责人或者代理人签字 确认；投标人为自然人的，由其本人或者代理人签字确认。 投标人提供书面说明后，评标委员会应当结合采购项目采购需求、 专业实际情况、供应商财务状况报告、与其他供应商比较情况等 就供应商书面说明进行审查评价。 投标人拒绝或者变相拒绝提供有效书面说明或者书面说明不能证 明其报价合理性的，评标委员会应当将其作为无效投标处理。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54"/>
              <w:ind w:right="230"/>
              <w:jc w:val="center"/>
              <w:rPr>
                <w:color w:val="auto"/>
                <w:kern w:val="2"/>
                <w:sz w:val="21"/>
                <w:szCs w:val="21"/>
                <w:highlight w:val="none"/>
              </w:rPr>
            </w:pPr>
            <w:r>
              <w:rPr>
                <w:rFonts w:hint="eastAsia"/>
                <w:color w:val="auto"/>
                <w:kern w:val="2"/>
                <w:sz w:val="21"/>
                <w:szCs w:val="21"/>
                <w:highlight w:val="none"/>
              </w:rPr>
              <w:t>3</w:t>
            </w:r>
          </w:p>
        </w:tc>
        <w:tc>
          <w:tcPr>
            <w:tcW w:w="2238" w:type="dxa"/>
            <w:vAlign w:val="center"/>
          </w:tcPr>
          <w:p>
            <w:pPr>
              <w:pStyle w:val="54"/>
              <w:ind w:left="38"/>
              <w:jc w:val="center"/>
              <w:rPr>
                <w:b/>
                <w:bCs/>
                <w:color w:val="auto"/>
                <w:sz w:val="21"/>
                <w:szCs w:val="21"/>
                <w:highlight w:val="none"/>
              </w:rPr>
            </w:pPr>
            <w:r>
              <w:rPr>
                <w:rFonts w:hint="eastAsia"/>
                <w:color w:val="auto"/>
                <w:sz w:val="21"/>
                <w:szCs w:val="21"/>
                <w:highlight w:val="none"/>
              </w:rPr>
              <w:t>进口产品</w:t>
            </w:r>
            <w:r>
              <w:rPr>
                <w:rFonts w:hint="eastAsia"/>
                <w:b/>
                <w:bCs/>
                <w:color w:val="auto"/>
                <w:sz w:val="21"/>
                <w:szCs w:val="21"/>
                <w:highlight w:val="none"/>
              </w:rPr>
              <w:t>（实质性要求）</w:t>
            </w:r>
          </w:p>
        </w:tc>
        <w:tc>
          <w:tcPr>
            <w:tcW w:w="6425" w:type="dxa"/>
            <w:vAlign w:val="center"/>
          </w:tcPr>
          <w:p>
            <w:pPr>
              <w:pStyle w:val="54"/>
              <w:jc w:val="both"/>
              <w:rPr>
                <w:color w:val="auto"/>
                <w:sz w:val="21"/>
                <w:szCs w:val="21"/>
                <w:highlight w:val="none"/>
              </w:rPr>
            </w:pPr>
            <w:r>
              <w:rPr>
                <w:rFonts w:hint="eastAsia"/>
                <w:color w:val="auto"/>
                <w:sz w:val="21"/>
                <w:szCs w:val="21"/>
                <w:highlight w:val="none"/>
              </w:rPr>
              <w:t>本项目不允许采购进口产品；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98" w:hRule="atLeast"/>
          <w:jc w:val="center"/>
        </w:trPr>
        <w:tc>
          <w:tcPr>
            <w:tcW w:w="838" w:type="dxa"/>
            <w:vAlign w:val="center"/>
          </w:tcPr>
          <w:p>
            <w:pPr>
              <w:pStyle w:val="54"/>
              <w:ind w:right="230"/>
              <w:jc w:val="center"/>
              <w:rPr>
                <w:color w:val="auto"/>
                <w:sz w:val="21"/>
                <w:szCs w:val="21"/>
                <w:highlight w:val="none"/>
                <w:lang w:val="zh-CN"/>
              </w:rPr>
            </w:pPr>
            <w:r>
              <w:rPr>
                <w:rFonts w:hint="eastAsia"/>
                <w:color w:val="auto"/>
                <w:sz w:val="21"/>
                <w:szCs w:val="21"/>
                <w:highlight w:val="none"/>
              </w:rPr>
              <w:t>4</w:t>
            </w:r>
          </w:p>
        </w:tc>
        <w:tc>
          <w:tcPr>
            <w:tcW w:w="2238" w:type="dxa"/>
            <w:vAlign w:val="center"/>
          </w:tcPr>
          <w:p>
            <w:pPr>
              <w:pStyle w:val="54"/>
              <w:spacing w:after="0"/>
              <w:jc w:val="center"/>
              <w:rPr>
                <w:color w:val="auto"/>
                <w:kern w:val="2"/>
                <w:sz w:val="21"/>
                <w:szCs w:val="21"/>
                <w:highlight w:val="none"/>
              </w:rPr>
            </w:pPr>
            <w:r>
              <w:rPr>
                <w:rFonts w:hint="eastAsia"/>
                <w:color w:val="auto"/>
                <w:kern w:val="2"/>
                <w:sz w:val="21"/>
                <w:szCs w:val="21"/>
                <w:highlight w:val="none"/>
              </w:rPr>
              <w:t>小微企业（监狱企业、残疾人福利性单位</w:t>
            </w:r>
            <w:r>
              <w:rPr>
                <w:rFonts w:hint="eastAsia"/>
                <w:color w:val="auto"/>
                <w:sz w:val="21"/>
                <w:szCs w:val="21"/>
                <w:highlight w:val="none"/>
              </w:rPr>
              <w:t>视同小微企业</w:t>
            </w:r>
            <w:r>
              <w:rPr>
                <w:rFonts w:hint="eastAsia"/>
                <w:color w:val="auto"/>
                <w:kern w:val="2"/>
                <w:sz w:val="21"/>
                <w:szCs w:val="21"/>
                <w:highlight w:val="none"/>
              </w:rPr>
              <w:t>）价格扣除和失信企业报价加成或者扣分</w:t>
            </w:r>
          </w:p>
          <w:p>
            <w:pPr>
              <w:pStyle w:val="54"/>
              <w:spacing w:after="0"/>
              <w:jc w:val="center"/>
              <w:rPr>
                <w:color w:val="auto"/>
                <w:kern w:val="2"/>
                <w:sz w:val="21"/>
                <w:szCs w:val="21"/>
                <w:highlight w:val="none"/>
              </w:rPr>
            </w:pPr>
          </w:p>
        </w:tc>
        <w:tc>
          <w:tcPr>
            <w:tcW w:w="6425" w:type="dxa"/>
            <w:vAlign w:val="center"/>
          </w:tcPr>
          <w:p>
            <w:pPr>
              <w:pStyle w:val="54"/>
              <w:spacing w:line="240" w:lineRule="auto"/>
              <w:jc w:val="both"/>
              <w:rPr>
                <w:color w:val="auto"/>
                <w:sz w:val="21"/>
                <w:szCs w:val="21"/>
                <w:highlight w:val="none"/>
              </w:rPr>
            </w:pPr>
            <w:r>
              <w:rPr>
                <w:rFonts w:hint="eastAsia"/>
                <w:color w:val="auto"/>
                <w:sz w:val="21"/>
                <w:szCs w:val="21"/>
                <w:highlight w:val="none"/>
              </w:rPr>
              <w:t>一、小微企业（监狱企业、残疾人福利性单位视同小微企业）价格扣除</w:t>
            </w:r>
          </w:p>
          <w:p>
            <w:pPr>
              <w:pStyle w:val="54"/>
              <w:spacing w:line="240" w:lineRule="auto"/>
              <w:jc w:val="both"/>
              <w:rPr>
                <w:color w:val="auto"/>
                <w:sz w:val="21"/>
                <w:szCs w:val="21"/>
                <w:highlight w:val="none"/>
              </w:rPr>
            </w:pPr>
            <w:r>
              <w:rPr>
                <w:rFonts w:hint="eastAsia"/>
                <w:color w:val="auto"/>
                <w:sz w:val="21"/>
                <w:szCs w:val="21"/>
                <w:highlight w:val="none"/>
              </w:rPr>
              <w:t>1.根据《政府采购促进中小企业发展管理办法》（财库〔2020〕46号）的规定，对于经主管预算单位统筹后未预留份额专门面向中小企业采购的采购项目，以及预留份额项目中的非预留部分采购包，对符合规定的小微企业报价给予10%的扣除，用扣除后的价格参加评审。</w:t>
            </w:r>
          </w:p>
          <w:p>
            <w:pPr>
              <w:pStyle w:val="54"/>
              <w:spacing w:line="240" w:lineRule="auto"/>
              <w:jc w:val="both"/>
              <w:rPr>
                <w:color w:val="auto"/>
                <w:sz w:val="21"/>
                <w:szCs w:val="21"/>
                <w:highlight w:val="none"/>
              </w:rPr>
            </w:pPr>
            <w:r>
              <w:rPr>
                <w:rFonts w:hint="eastAsia"/>
                <w:color w:val="auto"/>
                <w:sz w:val="21"/>
                <w:szCs w:val="21"/>
                <w:highlight w:val="none"/>
              </w:rPr>
              <w:t>2.参加政府采购活动的中小企业应当提供《中小企业声明函》原件。监狱企业应当提供《监狱企业证明》原件。残疾人福利性单位应当提供《残疾人福利性单位声明函》原件。</w:t>
            </w:r>
          </w:p>
          <w:p>
            <w:pPr>
              <w:pStyle w:val="54"/>
              <w:spacing w:line="240" w:lineRule="auto"/>
              <w:jc w:val="both"/>
              <w:rPr>
                <w:color w:val="auto"/>
                <w:sz w:val="21"/>
                <w:szCs w:val="21"/>
                <w:highlight w:val="none"/>
              </w:rPr>
            </w:pPr>
            <w:r>
              <w:rPr>
                <w:rFonts w:hint="eastAsia"/>
                <w:color w:val="auto"/>
                <w:sz w:val="21"/>
                <w:szCs w:val="21"/>
                <w:highlight w:val="none"/>
              </w:rPr>
              <w:t>3.本项目采购采购标的对应的中小企业划分标准所属行业为：</w:t>
            </w:r>
            <w:r>
              <w:rPr>
                <w:rFonts w:hint="eastAsia"/>
                <w:color w:val="auto"/>
                <w:sz w:val="21"/>
                <w:szCs w:val="21"/>
                <w:highlight w:val="none"/>
                <w:u w:val="single"/>
              </w:rPr>
              <w:t>工业</w:t>
            </w:r>
            <w:r>
              <w:rPr>
                <w:rFonts w:hint="eastAsia"/>
                <w:color w:val="auto"/>
                <w:sz w:val="21"/>
                <w:szCs w:val="21"/>
                <w:highlight w:val="none"/>
              </w:rPr>
              <w:t>。</w:t>
            </w:r>
          </w:p>
          <w:p>
            <w:pPr>
              <w:pStyle w:val="54"/>
              <w:spacing w:line="240" w:lineRule="auto"/>
              <w:jc w:val="both"/>
              <w:rPr>
                <w:color w:val="auto"/>
                <w:sz w:val="21"/>
                <w:szCs w:val="21"/>
                <w:highlight w:val="none"/>
              </w:rPr>
            </w:pPr>
            <w:r>
              <w:rPr>
                <w:rFonts w:hint="eastAsia"/>
                <w:color w:val="auto"/>
                <w:sz w:val="21"/>
                <w:szCs w:val="21"/>
                <w:highlight w:val="none"/>
              </w:rPr>
              <w:t>4.残疾人福利性单位属于小型、微型企业的，不重复享受政策。</w:t>
            </w:r>
          </w:p>
          <w:p>
            <w:pPr>
              <w:pStyle w:val="54"/>
              <w:spacing w:line="240" w:lineRule="auto"/>
              <w:jc w:val="both"/>
              <w:rPr>
                <w:color w:val="auto"/>
                <w:sz w:val="21"/>
                <w:szCs w:val="21"/>
                <w:highlight w:val="none"/>
              </w:rPr>
            </w:pPr>
            <w:r>
              <w:rPr>
                <w:rFonts w:hint="eastAsia"/>
                <w:color w:val="auto"/>
                <w:sz w:val="21"/>
                <w:szCs w:val="21"/>
                <w:highlight w:val="none"/>
              </w:rPr>
              <w:t>二、失信企业报价加成或者扣分</w:t>
            </w:r>
          </w:p>
          <w:p>
            <w:pPr>
              <w:pStyle w:val="54"/>
              <w:spacing w:line="240" w:lineRule="auto"/>
              <w:jc w:val="both"/>
              <w:rPr>
                <w:color w:val="auto"/>
                <w:sz w:val="21"/>
                <w:szCs w:val="21"/>
                <w:highlight w:val="none"/>
              </w:rPr>
            </w:pPr>
            <w:r>
              <w:rPr>
                <w:rFonts w:hint="eastAsia"/>
                <w:color w:val="auto"/>
                <w:sz w:val="21"/>
                <w:szCs w:val="21"/>
                <w:highlight w:val="none"/>
              </w:rPr>
              <w:t>1.对记入诚信档案且在有效期内的失信供应商，在参加政府采购活动中直接从总分中扣除 5 分/次，供应商失信行为惩戒实行无限制累加制，直到总分 100 分扣完为止。</w:t>
            </w:r>
          </w:p>
          <w:p>
            <w:pPr>
              <w:pStyle w:val="54"/>
              <w:spacing w:line="240" w:lineRule="auto"/>
              <w:jc w:val="both"/>
              <w:rPr>
                <w:color w:val="auto"/>
                <w:sz w:val="21"/>
                <w:szCs w:val="21"/>
                <w:highlight w:val="none"/>
                <w:lang w:val="zh-CN"/>
              </w:rPr>
            </w:pPr>
            <w:r>
              <w:rPr>
                <w:rFonts w:hint="eastAsia"/>
                <w:b/>
                <w:bCs/>
                <w:color w:val="auto"/>
                <w:sz w:val="21"/>
                <w:szCs w:val="21"/>
                <w:highlight w:val="none"/>
              </w:rPr>
              <w:t>2.供应商参加政府采购活动时，应当就自己的诚信情况在响应文件中进行承诺。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8" w:hRule="atLeast"/>
          <w:jc w:val="center"/>
        </w:trPr>
        <w:tc>
          <w:tcPr>
            <w:tcW w:w="838" w:type="dxa"/>
            <w:vAlign w:val="center"/>
          </w:tcPr>
          <w:p>
            <w:pPr>
              <w:pStyle w:val="54"/>
              <w:ind w:right="230"/>
              <w:jc w:val="center"/>
              <w:rPr>
                <w:color w:val="auto"/>
                <w:sz w:val="21"/>
                <w:szCs w:val="21"/>
                <w:highlight w:val="none"/>
              </w:rPr>
            </w:pPr>
            <w:r>
              <w:rPr>
                <w:rFonts w:hint="eastAsia"/>
                <w:color w:val="auto"/>
                <w:sz w:val="21"/>
                <w:szCs w:val="21"/>
                <w:highlight w:val="none"/>
              </w:rPr>
              <w:t>5</w:t>
            </w:r>
          </w:p>
        </w:tc>
        <w:tc>
          <w:tcPr>
            <w:tcW w:w="2238" w:type="dxa"/>
            <w:vAlign w:val="center"/>
          </w:tcPr>
          <w:p>
            <w:pPr>
              <w:spacing w:line="340" w:lineRule="exact"/>
              <w:ind w:left="105" w:leftChars="50" w:right="105" w:rightChars="50"/>
              <w:jc w:val="center"/>
              <w:rPr>
                <w:rFonts w:ascii="宋体" w:hAnsi="宋体" w:cs="宋体"/>
                <w:color w:val="auto"/>
                <w:kern w:val="0"/>
                <w:szCs w:val="21"/>
                <w:highlight w:val="none"/>
              </w:rPr>
            </w:pPr>
            <w:r>
              <w:rPr>
                <w:rFonts w:hint="eastAsia" w:ascii="宋体" w:hAnsi="宋体" w:cs="宋体"/>
                <w:color w:val="auto"/>
                <w:kern w:val="0"/>
                <w:szCs w:val="21"/>
                <w:highlight w:val="none"/>
              </w:rPr>
              <w:t>节能、环保及无线局域网产品政府采购政策</w:t>
            </w:r>
          </w:p>
          <w:p>
            <w:pPr>
              <w:pStyle w:val="54"/>
              <w:spacing w:after="0"/>
              <w:jc w:val="center"/>
              <w:rPr>
                <w:color w:val="auto"/>
                <w:kern w:val="2"/>
                <w:sz w:val="21"/>
                <w:szCs w:val="21"/>
                <w:highlight w:val="none"/>
              </w:rPr>
            </w:pPr>
          </w:p>
        </w:tc>
        <w:tc>
          <w:tcPr>
            <w:tcW w:w="6425" w:type="dxa"/>
            <w:vAlign w:val="center"/>
          </w:tcPr>
          <w:p>
            <w:pPr>
              <w:pStyle w:val="54"/>
              <w:jc w:val="both"/>
              <w:rPr>
                <w:color w:val="auto"/>
                <w:sz w:val="21"/>
                <w:szCs w:val="21"/>
                <w:highlight w:val="none"/>
              </w:rPr>
            </w:pPr>
            <w:r>
              <w:rPr>
                <w:rFonts w:hint="eastAsia"/>
                <w:color w:val="auto"/>
                <w:sz w:val="21"/>
                <w:szCs w:val="21"/>
                <w:highlight w:val="none"/>
              </w:rPr>
              <w:t>一、节能、环保产品政府采购政策：</w:t>
            </w:r>
          </w:p>
          <w:p>
            <w:pPr>
              <w:pStyle w:val="54"/>
              <w:jc w:val="both"/>
              <w:rPr>
                <w:color w:val="auto"/>
                <w:sz w:val="21"/>
                <w:szCs w:val="21"/>
                <w:highlight w:val="none"/>
              </w:rPr>
            </w:pPr>
            <w:r>
              <w:rPr>
                <w:rFonts w:hint="eastAsia"/>
                <w:color w:val="auto"/>
                <w:sz w:val="21"/>
                <w:szCs w:val="21"/>
                <w:highlight w:val="none"/>
              </w:rPr>
              <w:t>根据《财政部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的规定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54"/>
              <w:jc w:val="both"/>
              <w:rPr>
                <w:color w:val="auto"/>
                <w:sz w:val="21"/>
                <w:szCs w:val="21"/>
                <w:highlight w:val="none"/>
              </w:rPr>
            </w:pPr>
            <w:r>
              <w:rPr>
                <w:rFonts w:hint="eastAsia"/>
                <w:color w:val="auto"/>
                <w:sz w:val="21"/>
                <w:szCs w:val="21"/>
                <w:highlight w:val="none"/>
              </w:rPr>
              <w:t>本项目采购的产品属于品目清单强制采购范围的，投标人应当在文件中提供国家确定的认证机构的认证结果信息发布平台公布的该产品认证信息截图或者打印资料，或者在有效期内的认证证书并加盖供投标人公章，否则投标文件按无效投标处理。</w:t>
            </w:r>
            <w:r>
              <w:rPr>
                <w:rFonts w:hint="eastAsia"/>
                <w:b/>
                <w:bCs/>
                <w:color w:val="auto"/>
                <w:sz w:val="21"/>
                <w:szCs w:val="21"/>
                <w:highlight w:val="none"/>
                <w:lang w:val="zh-CN"/>
              </w:rPr>
              <w:t>（实质性要求）</w:t>
            </w:r>
          </w:p>
          <w:p>
            <w:pPr>
              <w:pStyle w:val="54"/>
              <w:jc w:val="both"/>
              <w:rPr>
                <w:color w:val="auto"/>
                <w:sz w:val="21"/>
                <w:szCs w:val="21"/>
                <w:highlight w:val="none"/>
              </w:rPr>
            </w:pPr>
            <w:r>
              <w:rPr>
                <w:rFonts w:hint="eastAsia"/>
                <w:color w:val="auto"/>
                <w:sz w:val="21"/>
                <w:szCs w:val="21"/>
                <w:highlight w:val="none"/>
              </w:rPr>
              <w:t>本项目采购的产品属于品目清单优先采购范围的，按照第七章《综合评分明细表》的规则进行评分。</w:t>
            </w:r>
          </w:p>
          <w:p>
            <w:pPr>
              <w:pStyle w:val="54"/>
              <w:jc w:val="both"/>
              <w:rPr>
                <w:color w:val="auto"/>
                <w:sz w:val="21"/>
                <w:szCs w:val="21"/>
                <w:highlight w:val="none"/>
              </w:rPr>
            </w:pPr>
            <w:r>
              <w:rPr>
                <w:rFonts w:hint="eastAsia"/>
                <w:color w:val="auto"/>
                <w:sz w:val="21"/>
                <w:szCs w:val="21"/>
                <w:highlight w:val="none"/>
              </w:rPr>
              <w:t>注：对政府采购节能产品、环境标志产品实施品目清单管理。财政部、发展改革委、生态环境部等部门确定实施政府优先采购和强制采购的产品类别，以品目清单的形式发布并适时调整。</w:t>
            </w:r>
          </w:p>
          <w:p>
            <w:pPr>
              <w:pStyle w:val="54"/>
              <w:jc w:val="both"/>
              <w:rPr>
                <w:color w:val="auto"/>
                <w:sz w:val="21"/>
                <w:szCs w:val="21"/>
                <w:highlight w:val="none"/>
              </w:rPr>
            </w:pPr>
            <w:r>
              <w:rPr>
                <w:rFonts w:hint="eastAsia"/>
                <w:color w:val="auto"/>
                <w:sz w:val="21"/>
                <w:szCs w:val="21"/>
                <w:highlight w:val="none"/>
              </w:rPr>
              <w:t>二、无线局域网产品政府采购政策：</w:t>
            </w:r>
          </w:p>
          <w:p>
            <w:pPr>
              <w:pStyle w:val="54"/>
              <w:jc w:val="both"/>
              <w:rPr>
                <w:b/>
                <w:bCs/>
                <w:color w:val="auto"/>
                <w:sz w:val="21"/>
                <w:szCs w:val="21"/>
                <w:highlight w:val="none"/>
              </w:rPr>
            </w:pPr>
            <w:r>
              <w:rPr>
                <w:rFonts w:hint="eastAsia"/>
                <w:color w:val="auto"/>
                <w:sz w:val="21"/>
                <w:szCs w:val="21"/>
                <w:highlight w:val="none"/>
              </w:rPr>
              <w:t>本项目采购的产品属于中国政府采购网公布的《无线局域网认证产品政府采购清单》的，按照第七章《综合评分明细表》的规则进行评分。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54"/>
              <w:ind w:right="230"/>
              <w:jc w:val="center"/>
              <w:rPr>
                <w:color w:val="auto"/>
                <w:kern w:val="2"/>
                <w:sz w:val="21"/>
                <w:szCs w:val="21"/>
                <w:highlight w:val="none"/>
              </w:rPr>
            </w:pPr>
            <w:r>
              <w:rPr>
                <w:rFonts w:hint="eastAsia"/>
                <w:color w:val="auto"/>
                <w:kern w:val="2"/>
                <w:sz w:val="21"/>
                <w:szCs w:val="21"/>
                <w:highlight w:val="none"/>
              </w:rPr>
              <w:t>6</w:t>
            </w:r>
          </w:p>
        </w:tc>
        <w:tc>
          <w:tcPr>
            <w:tcW w:w="2238" w:type="dxa"/>
            <w:vAlign w:val="center"/>
          </w:tcPr>
          <w:p>
            <w:pPr>
              <w:spacing w:line="340" w:lineRule="exact"/>
              <w:ind w:left="105" w:leftChars="50" w:right="105" w:rightChars="50"/>
              <w:jc w:val="center"/>
              <w:rPr>
                <w:rFonts w:ascii="宋体" w:hAnsi="宋体" w:cs="宋体"/>
                <w:color w:val="auto"/>
                <w:szCs w:val="21"/>
                <w:highlight w:val="none"/>
              </w:rPr>
            </w:pPr>
            <w:r>
              <w:rPr>
                <w:rFonts w:hint="eastAsia" w:ascii="宋体" w:hAnsi="宋体" w:cs="宋体"/>
                <w:color w:val="auto"/>
                <w:kern w:val="0"/>
                <w:szCs w:val="21"/>
                <w:highlight w:val="none"/>
              </w:rPr>
              <w:t>评标情况公告</w:t>
            </w:r>
          </w:p>
        </w:tc>
        <w:tc>
          <w:tcPr>
            <w:tcW w:w="6425" w:type="dxa"/>
            <w:vAlign w:val="center"/>
          </w:tcPr>
          <w:p>
            <w:pPr>
              <w:widowControl/>
              <w:jc w:val="left"/>
              <w:rPr>
                <w:rFonts w:ascii="宋体" w:hAnsi="宋体" w:cs="宋体"/>
                <w:color w:val="auto"/>
                <w:szCs w:val="21"/>
                <w:highlight w:val="none"/>
              </w:rPr>
            </w:pPr>
            <w:bookmarkStart w:id="20" w:name="PO_默认文件内容_6"/>
            <w:r>
              <w:rPr>
                <w:rFonts w:hint="eastAsia" w:ascii="宋体" w:hAnsi="宋体" w:cs="宋体"/>
                <w:color w:val="auto"/>
                <w:kern w:val="0"/>
                <w:szCs w:val="21"/>
                <w:highlight w:val="none"/>
              </w:rPr>
              <w:t>所有供应商投标文件资格性、符合性检查情况、采用综合评分法时的总得分和分项汇总得分情况、评标结果等将在四川政府采购网上采购结果公告栏中予以公告。</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54"/>
              <w:ind w:right="230"/>
              <w:jc w:val="center"/>
              <w:rPr>
                <w:color w:val="auto"/>
                <w:kern w:val="2"/>
                <w:sz w:val="21"/>
                <w:szCs w:val="21"/>
                <w:highlight w:val="none"/>
              </w:rPr>
            </w:pPr>
            <w:r>
              <w:rPr>
                <w:rFonts w:hint="eastAsia"/>
                <w:color w:val="auto"/>
                <w:kern w:val="2"/>
                <w:sz w:val="21"/>
                <w:szCs w:val="21"/>
                <w:highlight w:val="none"/>
              </w:rPr>
              <w:t>7</w:t>
            </w:r>
          </w:p>
        </w:tc>
        <w:tc>
          <w:tcPr>
            <w:tcW w:w="2238" w:type="dxa"/>
            <w:vAlign w:val="center"/>
          </w:tcPr>
          <w:p>
            <w:pPr>
              <w:pStyle w:val="54"/>
              <w:ind w:left="96"/>
              <w:jc w:val="center"/>
              <w:rPr>
                <w:color w:val="auto"/>
                <w:sz w:val="21"/>
                <w:szCs w:val="21"/>
                <w:highlight w:val="none"/>
                <w:lang w:val="zh-CN"/>
              </w:rPr>
            </w:pPr>
            <w:r>
              <w:rPr>
                <w:rFonts w:hint="eastAsia"/>
                <w:color w:val="auto"/>
                <w:sz w:val="21"/>
                <w:szCs w:val="21"/>
                <w:highlight w:val="none"/>
                <w:lang w:val="zh-CN"/>
              </w:rPr>
              <w:t>投标保证金</w:t>
            </w:r>
          </w:p>
        </w:tc>
        <w:tc>
          <w:tcPr>
            <w:tcW w:w="6425" w:type="dxa"/>
            <w:vAlign w:val="center"/>
          </w:tcPr>
          <w:p>
            <w:pPr>
              <w:spacing w:line="340" w:lineRule="exact"/>
              <w:ind w:right="105" w:rightChars="50"/>
              <w:jc w:val="left"/>
              <w:rPr>
                <w:rFonts w:ascii="宋体" w:hAnsi="宋体" w:cs="宋体"/>
                <w:color w:val="auto"/>
                <w:szCs w:val="21"/>
                <w:highlight w:val="none"/>
                <w:lang w:val="zh-CN"/>
              </w:rPr>
            </w:pPr>
            <w:r>
              <w:rPr>
                <w:rFonts w:hint="eastAsia" w:ascii="宋体" w:hAnsi="宋体" w:cs="宋体"/>
                <w:color w:val="auto"/>
                <w:szCs w:val="21"/>
                <w:highlight w:val="none"/>
                <w:lang w:val="zh-CN"/>
              </w:rPr>
              <w:t>根据《四川省财政厅关于进一步做好疫情防控期间政府采购工作有关事项的通知》（川财采[2020]28号）文件，本项目不收取</w:t>
            </w:r>
            <w:r>
              <w:rPr>
                <w:rFonts w:hint="eastAsia" w:ascii="宋体" w:hAnsi="宋体" w:cs="宋体"/>
                <w:color w:val="auto"/>
                <w:szCs w:val="21"/>
                <w:highlight w:val="none"/>
              </w:rPr>
              <w:t>投标</w:t>
            </w:r>
            <w:r>
              <w:rPr>
                <w:rFonts w:hint="eastAsia" w:ascii="宋体" w:hAnsi="宋体" w:cs="宋体"/>
                <w:color w:val="auto"/>
                <w:szCs w:val="21"/>
                <w:highlight w:val="none"/>
                <w:lang w:val="zh-C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54"/>
              <w:ind w:right="264"/>
              <w:jc w:val="center"/>
              <w:rPr>
                <w:color w:val="auto"/>
                <w:kern w:val="2"/>
                <w:sz w:val="21"/>
                <w:szCs w:val="21"/>
                <w:highlight w:val="none"/>
              </w:rPr>
            </w:pPr>
            <w:r>
              <w:rPr>
                <w:rFonts w:hint="eastAsia"/>
                <w:color w:val="auto"/>
                <w:kern w:val="2"/>
                <w:sz w:val="21"/>
                <w:szCs w:val="21"/>
                <w:highlight w:val="none"/>
              </w:rPr>
              <w:t>8</w:t>
            </w:r>
          </w:p>
        </w:tc>
        <w:tc>
          <w:tcPr>
            <w:tcW w:w="2238" w:type="dxa"/>
            <w:vAlign w:val="center"/>
          </w:tcPr>
          <w:p>
            <w:pPr>
              <w:pStyle w:val="54"/>
              <w:ind w:left="96"/>
              <w:jc w:val="center"/>
              <w:rPr>
                <w:color w:val="auto"/>
                <w:sz w:val="21"/>
                <w:szCs w:val="21"/>
                <w:highlight w:val="none"/>
                <w:lang w:val="zh-CN"/>
              </w:rPr>
            </w:pPr>
            <w:r>
              <w:rPr>
                <w:rFonts w:hint="eastAsia"/>
                <w:color w:val="auto"/>
                <w:sz w:val="21"/>
                <w:szCs w:val="21"/>
                <w:highlight w:val="none"/>
                <w:lang w:val="zh-CN"/>
              </w:rPr>
              <w:t>履约保证金</w:t>
            </w:r>
          </w:p>
        </w:tc>
        <w:tc>
          <w:tcPr>
            <w:tcW w:w="6425" w:type="dxa"/>
            <w:vAlign w:val="center"/>
          </w:tcPr>
          <w:p>
            <w:pPr>
              <w:tabs>
                <w:tab w:val="left" w:pos="7665"/>
              </w:tabs>
              <w:spacing w:line="400" w:lineRule="exact"/>
              <w:rPr>
                <w:rFonts w:ascii="宋体" w:hAnsi="宋体" w:cs="宋体"/>
                <w:color w:val="auto"/>
                <w:highlight w:val="none"/>
                <w:lang w:val="zh-CN"/>
              </w:rPr>
            </w:pPr>
            <w:r>
              <w:rPr>
                <w:rFonts w:hint="eastAsia" w:ascii="宋体" w:hAnsi="宋体" w:cs="宋体"/>
                <w:color w:val="auto"/>
                <w:szCs w:val="21"/>
                <w:highlight w:val="none"/>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pPr>
              <w:pStyle w:val="54"/>
              <w:ind w:right="264"/>
              <w:jc w:val="center"/>
              <w:rPr>
                <w:color w:val="auto"/>
                <w:kern w:val="2"/>
                <w:sz w:val="21"/>
                <w:szCs w:val="21"/>
                <w:highlight w:val="none"/>
              </w:rPr>
            </w:pPr>
            <w:r>
              <w:rPr>
                <w:rFonts w:hint="eastAsia"/>
                <w:color w:val="auto"/>
                <w:kern w:val="2"/>
                <w:sz w:val="21"/>
                <w:szCs w:val="21"/>
                <w:highlight w:val="none"/>
              </w:rPr>
              <w:t>9</w:t>
            </w:r>
          </w:p>
        </w:tc>
        <w:tc>
          <w:tcPr>
            <w:tcW w:w="2238" w:type="dxa"/>
            <w:tcBorders>
              <w:top w:val="single" w:color="auto" w:sz="4" w:space="0"/>
              <w:bottom w:val="single" w:color="auto" w:sz="4" w:space="0"/>
            </w:tcBorders>
            <w:vAlign w:val="center"/>
          </w:tcPr>
          <w:p>
            <w:pPr>
              <w:pStyle w:val="54"/>
              <w:jc w:val="center"/>
              <w:rPr>
                <w:color w:val="auto"/>
                <w:kern w:val="2"/>
                <w:sz w:val="21"/>
                <w:szCs w:val="21"/>
                <w:highlight w:val="none"/>
              </w:rPr>
            </w:pPr>
            <w:r>
              <w:rPr>
                <w:rFonts w:hint="eastAsia"/>
                <w:color w:val="auto"/>
                <w:kern w:val="2"/>
                <w:sz w:val="21"/>
                <w:szCs w:val="21"/>
                <w:highlight w:val="none"/>
              </w:rPr>
              <w:t>采购项目具体事项/采购文件内容咨询</w:t>
            </w:r>
          </w:p>
        </w:tc>
        <w:tc>
          <w:tcPr>
            <w:tcW w:w="6425" w:type="dxa"/>
            <w:tcBorders>
              <w:top w:val="single" w:color="auto" w:sz="4" w:space="0"/>
              <w:bottom w:val="single" w:color="auto" w:sz="4" w:space="0"/>
            </w:tcBorders>
            <w:vAlign w:val="center"/>
          </w:tcPr>
          <w:p>
            <w:pPr>
              <w:spacing w:line="340" w:lineRule="exact"/>
              <w:ind w:right="105" w:rightChars="50"/>
              <w:jc w:val="left"/>
              <w:rPr>
                <w:rFonts w:ascii="宋体" w:hAnsi="宋体" w:cs="宋体"/>
                <w:color w:val="auto"/>
                <w:szCs w:val="21"/>
                <w:highlight w:val="none"/>
              </w:rPr>
            </w:pPr>
            <w:r>
              <w:rPr>
                <w:rFonts w:hint="eastAsia" w:ascii="宋体" w:hAnsi="宋体" w:cs="宋体"/>
                <w:color w:val="auto"/>
                <w:szCs w:val="21"/>
                <w:highlight w:val="none"/>
              </w:rPr>
              <w:t xml:space="preserve">联系人：雷先生。 </w:t>
            </w:r>
          </w:p>
          <w:p>
            <w:pPr>
              <w:spacing w:line="340" w:lineRule="exact"/>
              <w:ind w:right="105" w:rightChars="50"/>
              <w:jc w:val="left"/>
              <w:rPr>
                <w:rFonts w:ascii="宋体" w:hAnsi="宋体" w:cs="宋体"/>
                <w:color w:val="auto"/>
                <w:szCs w:val="21"/>
                <w:highlight w:val="none"/>
              </w:rPr>
            </w:pPr>
            <w:r>
              <w:rPr>
                <w:rFonts w:hint="eastAsia" w:ascii="宋体" w:hAnsi="宋体" w:cs="宋体"/>
                <w:color w:val="auto"/>
                <w:szCs w:val="21"/>
                <w:highlight w:val="none"/>
              </w:rPr>
              <w:t>联系电话：028-86958918。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pPr>
              <w:pStyle w:val="54"/>
              <w:spacing w:before="72" w:after="72"/>
              <w:ind w:right="264"/>
              <w:jc w:val="center"/>
              <w:rPr>
                <w:color w:val="auto"/>
                <w:kern w:val="2"/>
                <w:sz w:val="21"/>
                <w:szCs w:val="21"/>
                <w:highlight w:val="none"/>
              </w:rPr>
            </w:pPr>
            <w:r>
              <w:rPr>
                <w:rFonts w:hint="eastAsia"/>
                <w:color w:val="auto"/>
                <w:kern w:val="2"/>
                <w:sz w:val="21"/>
                <w:szCs w:val="21"/>
                <w:highlight w:val="none"/>
              </w:rPr>
              <w:t>10</w:t>
            </w:r>
          </w:p>
        </w:tc>
        <w:tc>
          <w:tcPr>
            <w:tcW w:w="2238" w:type="dxa"/>
            <w:tcBorders>
              <w:top w:val="single" w:color="auto" w:sz="4" w:space="0"/>
              <w:bottom w:val="single" w:color="auto" w:sz="4" w:space="0"/>
            </w:tcBorders>
            <w:vAlign w:val="center"/>
          </w:tcPr>
          <w:p>
            <w:pPr>
              <w:pStyle w:val="54"/>
              <w:jc w:val="center"/>
              <w:rPr>
                <w:color w:val="auto"/>
                <w:kern w:val="2"/>
                <w:sz w:val="21"/>
                <w:szCs w:val="21"/>
                <w:highlight w:val="none"/>
              </w:rPr>
            </w:pPr>
            <w:r>
              <w:rPr>
                <w:rFonts w:hint="eastAsia"/>
                <w:color w:val="auto"/>
                <w:kern w:val="2"/>
                <w:sz w:val="21"/>
                <w:szCs w:val="21"/>
                <w:highlight w:val="none"/>
              </w:rPr>
              <w:t>开标、评标工作咨询</w:t>
            </w:r>
          </w:p>
        </w:tc>
        <w:tc>
          <w:tcPr>
            <w:tcW w:w="6425" w:type="dxa"/>
            <w:tcBorders>
              <w:top w:val="single" w:color="auto" w:sz="4" w:space="0"/>
              <w:bottom w:val="single" w:color="auto" w:sz="4" w:space="0"/>
            </w:tcBorders>
            <w:vAlign w:val="center"/>
          </w:tcPr>
          <w:p>
            <w:pPr>
              <w:spacing w:line="340" w:lineRule="exact"/>
              <w:ind w:right="105" w:rightChars="50"/>
              <w:jc w:val="left"/>
              <w:rPr>
                <w:rFonts w:ascii="宋体" w:hAnsi="宋体" w:cs="宋体"/>
                <w:color w:val="auto"/>
                <w:szCs w:val="21"/>
                <w:highlight w:val="none"/>
              </w:rPr>
            </w:pPr>
            <w:r>
              <w:rPr>
                <w:rFonts w:hint="eastAsia" w:ascii="宋体" w:hAnsi="宋体" w:cs="宋体"/>
                <w:color w:val="auto"/>
                <w:szCs w:val="21"/>
                <w:highlight w:val="none"/>
              </w:rPr>
              <w:t xml:space="preserve">联系人：雷先生。    </w:t>
            </w:r>
          </w:p>
          <w:p>
            <w:pPr>
              <w:spacing w:line="340" w:lineRule="exact"/>
              <w:ind w:right="105" w:rightChars="50"/>
              <w:jc w:val="left"/>
              <w:rPr>
                <w:rFonts w:ascii="宋体" w:hAnsi="宋体" w:cs="宋体"/>
                <w:color w:val="auto"/>
                <w:szCs w:val="21"/>
                <w:highlight w:val="none"/>
              </w:rPr>
            </w:pPr>
            <w:r>
              <w:rPr>
                <w:rFonts w:hint="eastAsia" w:ascii="宋体" w:hAnsi="宋体" w:cs="宋体"/>
                <w:color w:val="auto"/>
                <w:szCs w:val="21"/>
                <w:highlight w:val="none"/>
              </w:rPr>
              <w:t>联系电话：028-86958918。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54"/>
              <w:ind w:right="264"/>
              <w:jc w:val="center"/>
              <w:rPr>
                <w:color w:val="auto"/>
                <w:kern w:val="2"/>
                <w:sz w:val="21"/>
                <w:szCs w:val="21"/>
                <w:highlight w:val="none"/>
              </w:rPr>
            </w:pPr>
            <w:r>
              <w:rPr>
                <w:rFonts w:hint="eastAsia"/>
                <w:color w:val="auto"/>
                <w:kern w:val="2"/>
                <w:sz w:val="21"/>
                <w:szCs w:val="21"/>
                <w:highlight w:val="none"/>
              </w:rPr>
              <w:t>11</w:t>
            </w:r>
          </w:p>
        </w:tc>
        <w:tc>
          <w:tcPr>
            <w:tcW w:w="2238" w:type="dxa"/>
            <w:tcBorders>
              <w:top w:val="single" w:color="auto" w:sz="4" w:space="0"/>
            </w:tcBorders>
            <w:vAlign w:val="center"/>
          </w:tcPr>
          <w:p>
            <w:pPr>
              <w:spacing w:line="340" w:lineRule="exact"/>
              <w:ind w:left="105" w:leftChars="50" w:right="105" w:rightChars="50"/>
              <w:jc w:val="center"/>
              <w:rPr>
                <w:rFonts w:ascii="宋体" w:hAnsi="宋体" w:cs="宋体"/>
                <w:color w:val="auto"/>
                <w:szCs w:val="21"/>
                <w:highlight w:val="none"/>
              </w:rPr>
            </w:pPr>
            <w:r>
              <w:rPr>
                <w:rFonts w:hint="eastAsia" w:ascii="宋体" w:hAnsi="宋体" w:cs="宋体"/>
                <w:color w:val="auto"/>
                <w:szCs w:val="21"/>
                <w:highlight w:val="none"/>
              </w:rPr>
              <w:t>中标通知书领取</w:t>
            </w:r>
          </w:p>
        </w:tc>
        <w:tc>
          <w:tcPr>
            <w:tcW w:w="6425" w:type="dxa"/>
            <w:tcBorders>
              <w:top w:val="single" w:color="auto" w:sz="4" w:space="0"/>
            </w:tcBorders>
            <w:vAlign w:val="center"/>
          </w:tcPr>
          <w:p>
            <w:pPr>
              <w:tabs>
                <w:tab w:val="left" w:pos="7665"/>
              </w:tabs>
              <w:spacing w:line="400" w:lineRule="exact"/>
              <w:rPr>
                <w:rFonts w:ascii="宋体" w:hAnsi="宋体" w:cs="宋体"/>
                <w:color w:val="auto"/>
                <w:szCs w:val="21"/>
                <w:highlight w:val="none"/>
              </w:rPr>
            </w:pPr>
            <w:bookmarkStart w:id="21" w:name="PO_默认文件内容_29"/>
            <w:r>
              <w:rPr>
                <w:rFonts w:hint="eastAsia" w:ascii="宋体" w:hAnsi="宋体" w:cs="宋体"/>
                <w:color w:val="auto"/>
                <w:szCs w:val="21"/>
                <w:highlight w:val="none"/>
              </w:rPr>
              <w:t>中标公告在四川政府采购网上公告后，请中标供应商凭有效身份证明证件和已付采购代理服务费的转账凭证到</w:t>
            </w:r>
            <w:r>
              <w:rPr>
                <w:rFonts w:hint="eastAsia" w:ascii="宋体" w:hAnsi="宋体" w:cs="宋体"/>
                <w:color w:val="auto"/>
                <w:szCs w:val="21"/>
                <w:highlight w:val="none"/>
                <w:lang w:val="zh-CN"/>
              </w:rPr>
              <w:t>采购代理机构</w:t>
            </w:r>
            <w:r>
              <w:rPr>
                <w:rFonts w:hint="eastAsia" w:ascii="宋体" w:hAnsi="宋体" w:cs="宋体"/>
                <w:color w:val="auto"/>
                <w:szCs w:val="21"/>
                <w:highlight w:val="none"/>
              </w:rPr>
              <w:t>领取中标通知书。</w:t>
            </w:r>
          </w:p>
          <w:p>
            <w:pPr>
              <w:rPr>
                <w:rFonts w:ascii="宋体" w:hAnsi="宋体" w:cs="宋体"/>
                <w:color w:val="auto"/>
                <w:szCs w:val="21"/>
                <w:highlight w:val="none"/>
                <w:lang w:val="zh-CN"/>
              </w:rPr>
            </w:pPr>
            <w:r>
              <w:rPr>
                <w:rFonts w:hint="eastAsia" w:ascii="宋体" w:hAnsi="宋体" w:cs="宋体"/>
                <w:color w:val="auto"/>
                <w:szCs w:val="21"/>
                <w:highlight w:val="none"/>
                <w:lang w:val="zh-CN"/>
              </w:rPr>
              <w:t>联系人：</w:t>
            </w:r>
            <w:r>
              <w:rPr>
                <w:rFonts w:hint="eastAsia" w:ascii="宋体" w:hAnsi="宋体" w:cs="宋体"/>
                <w:color w:val="auto"/>
                <w:szCs w:val="21"/>
                <w:highlight w:val="none"/>
              </w:rPr>
              <w:t>雷先生</w:t>
            </w:r>
            <w:r>
              <w:rPr>
                <w:rFonts w:hint="eastAsia" w:ascii="宋体" w:hAnsi="宋体" w:cs="宋体"/>
                <w:color w:val="auto"/>
                <w:szCs w:val="21"/>
                <w:highlight w:val="none"/>
                <w:lang w:val="zh-CN"/>
              </w:rPr>
              <w:t>。</w:t>
            </w:r>
          </w:p>
          <w:p>
            <w:pPr>
              <w:rPr>
                <w:rFonts w:ascii="宋体" w:hAnsi="宋体" w:cs="宋体"/>
                <w:color w:val="auto"/>
                <w:szCs w:val="21"/>
                <w:highlight w:val="none"/>
                <w:lang w:val="zh-CN"/>
              </w:rPr>
            </w:pPr>
            <w:r>
              <w:rPr>
                <w:rFonts w:hint="eastAsia" w:ascii="宋体" w:hAnsi="宋体" w:cs="宋体"/>
                <w:color w:val="auto"/>
                <w:szCs w:val="21"/>
                <w:highlight w:val="none"/>
                <w:lang w:val="zh-CN"/>
              </w:rPr>
              <w:t>联系电话：</w:t>
            </w:r>
            <w:r>
              <w:rPr>
                <w:rFonts w:hint="eastAsia" w:ascii="宋体" w:hAnsi="宋体" w:cs="宋体"/>
                <w:color w:val="auto"/>
                <w:szCs w:val="21"/>
                <w:highlight w:val="none"/>
              </w:rPr>
              <w:t>028-86958918</w:t>
            </w:r>
            <w:r>
              <w:rPr>
                <w:rFonts w:hint="eastAsia" w:ascii="宋体" w:hAnsi="宋体" w:cs="宋体"/>
                <w:color w:val="auto"/>
                <w:szCs w:val="21"/>
                <w:highlight w:val="none"/>
                <w:lang w:val="zh-CN"/>
              </w:rPr>
              <w:t>。</w:t>
            </w:r>
          </w:p>
          <w:p>
            <w:pPr>
              <w:rPr>
                <w:rFonts w:ascii="宋体" w:hAnsi="宋体" w:cs="宋体"/>
                <w:color w:val="auto"/>
                <w:szCs w:val="21"/>
                <w:highlight w:val="none"/>
                <w:lang w:val="zh-CN"/>
              </w:rPr>
            </w:pPr>
            <w:r>
              <w:rPr>
                <w:rFonts w:hint="eastAsia" w:ascii="宋体" w:hAnsi="宋体" w:cs="宋体"/>
                <w:color w:val="auto"/>
                <w:szCs w:val="21"/>
                <w:highlight w:val="none"/>
                <w:lang w:val="zh-CN"/>
              </w:rPr>
              <w:t>地址：成都市双流区东升镇龙桥路 6 号宗申.赛纳维 132 栋 5 楼 502 室。</w:t>
            </w:r>
            <w:bookmarkEnd w:id="2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54"/>
              <w:ind w:right="264"/>
              <w:jc w:val="center"/>
              <w:rPr>
                <w:color w:val="auto"/>
                <w:kern w:val="2"/>
                <w:sz w:val="21"/>
                <w:szCs w:val="21"/>
                <w:highlight w:val="none"/>
              </w:rPr>
            </w:pPr>
            <w:r>
              <w:rPr>
                <w:rFonts w:hint="eastAsia"/>
                <w:color w:val="auto"/>
                <w:kern w:val="2"/>
                <w:sz w:val="21"/>
                <w:szCs w:val="21"/>
                <w:highlight w:val="none"/>
              </w:rPr>
              <w:t>12</w:t>
            </w:r>
          </w:p>
        </w:tc>
        <w:tc>
          <w:tcPr>
            <w:tcW w:w="2238" w:type="dxa"/>
            <w:tcBorders>
              <w:top w:val="single" w:color="auto" w:sz="4" w:space="0"/>
            </w:tcBorders>
            <w:vAlign w:val="center"/>
          </w:tcPr>
          <w:p>
            <w:pPr>
              <w:pStyle w:val="54"/>
              <w:jc w:val="center"/>
              <w:rPr>
                <w:color w:val="auto"/>
                <w:kern w:val="2"/>
                <w:sz w:val="21"/>
                <w:szCs w:val="21"/>
                <w:highlight w:val="none"/>
              </w:rPr>
            </w:pPr>
            <w:r>
              <w:rPr>
                <w:rFonts w:hint="eastAsia"/>
                <w:color w:val="auto"/>
                <w:kern w:val="2"/>
                <w:sz w:val="21"/>
                <w:szCs w:val="21"/>
                <w:highlight w:val="none"/>
              </w:rPr>
              <w:t>供应商询问</w:t>
            </w:r>
          </w:p>
        </w:tc>
        <w:tc>
          <w:tcPr>
            <w:tcW w:w="6425" w:type="dxa"/>
            <w:tcBorders>
              <w:top w:val="single" w:color="auto" w:sz="4" w:space="0"/>
            </w:tcBorders>
          </w:tcPr>
          <w:p>
            <w:pPr>
              <w:ind w:firstLine="105" w:firstLineChars="50"/>
              <w:rPr>
                <w:rFonts w:ascii="宋体" w:hAnsi="宋体" w:cs="宋体"/>
                <w:color w:val="auto"/>
                <w:szCs w:val="21"/>
                <w:highlight w:val="none"/>
                <w:lang w:val="zh-CN"/>
              </w:rPr>
            </w:pPr>
            <w:bookmarkStart w:id="22" w:name="PO_默认文件内容_31"/>
            <w:r>
              <w:rPr>
                <w:rFonts w:hint="eastAsia" w:ascii="宋体" w:hAnsi="宋体" w:cs="宋体"/>
                <w:color w:val="auto"/>
                <w:szCs w:val="21"/>
                <w:highlight w:val="none"/>
                <w:lang w:val="zh-CN"/>
              </w:rPr>
              <w:t>根据委托代理协议约定（采购人负责采购文件技术参数部分的询问，采购代理机构负责采购文件技术参数部分以外的询问）。</w:t>
            </w:r>
          </w:p>
          <w:p>
            <w:pPr>
              <w:rPr>
                <w:rFonts w:ascii="宋体" w:hAnsi="宋体" w:cs="宋体"/>
                <w:color w:val="auto"/>
                <w:szCs w:val="21"/>
                <w:highlight w:val="none"/>
                <w:lang w:val="zh-CN"/>
              </w:rPr>
            </w:pPr>
            <w:r>
              <w:rPr>
                <w:rFonts w:hint="eastAsia" w:ascii="宋体" w:hAnsi="宋体" w:cs="宋体"/>
                <w:color w:val="auto"/>
                <w:szCs w:val="21"/>
                <w:highlight w:val="none"/>
                <w:lang w:val="zh-CN"/>
              </w:rPr>
              <w:t>采 购 人：成都市生态环境科研监测所</w:t>
            </w:r>
          </w:p>
          <w:bookmarkEnd w:id="22"/>
          <w:p>
            <w:pPr>
              <w:spacing w:line="340" w:lineRule="exact"/>
              <w:ind w:right="105" w:rightChars="50"/>
              <w:jc w:val="left"/>
              <w:rPr>
                <w:rFonts w:hint="eastAsia" w:ascii="宋体" w:hAnsi="宋体" w:cs="宋体"/>
                <w:color w:val="auto"/>
                <w:szCs w:val="21"/>
                <w:highlight w:val="none"/>
              </w:rPr>
            </w:pPr>
            <w:r>
              <w:rPr>
                <w:rFonts w:hint="eastAsia" w:ascii="宋体" w:hAnsi="宋体" w:cs="宋体"/>
                <w:color w:val="auto"/>
                <w:szCs w:val="21"/>
                <w:highlight w:val="none"/>
              </w:rPr>
              <w:t>联 系 人：冯老师</w:t>
            </w:r>
          </w:p>
          <w:p>
            <w:pPr>
              <w:spacing w:line="340" w:lineRule="exact"/>
              <w:ind w:right="105" w:rightChars="50"/>
              <w:jc w:val="left"/>
              <w:rPr>
                <w:rFonts w:ascii="宋体" w:hAnsi="宋体" w:cs="宋体"/>
                <w:color w:val="auto"/>
                <w:szCs w:val="21"/>
                <w:highlight w:val="none"/>
              </w:rPr>
            </w:pPr>
            <w:r>
              <w:rPr>
                <w:rFonts w:hint="eastAsia" w:ascii="宋体" w:hAnsi="宋体" w:cs="宋体"/>
                <w:color w:val="auto"/>
                <w:szCs w:val="21"/>
                <w:highlight w:val="none"/>
              </w:rPr>
              <w:t>联系电话：0</w:t>
            </w:r>
            <w:r>
              <w:rPr>
                <w:rFonts w:ascii="宋体" w:hAnsi="宋体" w:cs="宋体"/>
                <w:color w:val="auto"/>
                <w:szCs w:val="21"/>
                <w:highlight w:val="none"/>
              </w:rPr>
              <w:t>28-68738205</w:t>
            </w:r>
          </w:p>
          <w:p>
            <w:pPr>
              <w:spacing w:line="340" w:lineRule="exact"/>
              <w:ind w:right="105" w:rightChars="50"/>
              <w:jc w:val="left"/>
              <w:rPr>
                <w:rFonts w:ascii="宋体" w:hAnsi="宋体" w:cs="宋体"/>
                <w:color w:val="auto"/>
                <w:szCs w:val="21"/>
                <w:highlight w:val="none"/>
              </w:rPr>
            </w:pPr>
            <w:r>
              <w:rPr>
                <w:rFonts w:hint="eastAsia" w:ascii="宋体" w:hAnsi="宋体" w:cs="宋体"/>
                <w:color w:val="auto"/>
                <w:szCs w:val="21"/>
                <w:highlight w:val="none"/>
              </w:rPr>
              <w:t>采购代理机构：四川军贤工程项目管理有限公司</w:t>
            </w:r>
          </w:p>
          <w:p>
            <w:pPr>
              <w:spacing w:line="340" w:lineRule="exact"/>
              <w:ind w:right="105" w:rightChars="50"/>
              <w:jc w:val="left"/>
              <w:rPr>
                <w:rFonts w:ascii="宋体" w:hAnsi="宋体" w:cs="宋体"/>
                <w:color w:val="auto"/>
                <w:szCs w:val="21"/>
                <w:highlight w:val="none"/>
              </w:rPr>
            </w:pPr>
            <w:r>
              <w:rPr>
                <w:rFonts w:hint="eastAsia" w:ascii="宋体" w:hAnsi="宋体" w:cs="宋体"/>
                <w:color w:val="auto"/>
                <w:szCs w:val="21"/>
                <w:highlight w:val="none"/>
              </w:rPr>
              <w:t>联系人：雷先生</w:t>
            </w:r>
          </w:p>
          <w:p>
            <w:pPr>
              <w:rPr>
                <w:rFonts w:ascii="宋体" w:hAnsi="宋体" w:cs="宋体"/>
                <w:color w:val="auto"/>
                <w:szCs w:val="21"/>
                <w:highlight w:val="none"/>
              </w:rPr>
            </w:pPr>
            <w:r>
              <w:rPr>
                <w:rFonts w:hint="eastAsia" w:ascii="宋体" w:hAnsi="宋体" w:cs="宋体"/>
                <w:color w:val="auto"/>
                <w:szCs w:val="21"/>
                <w:highlight w:val="none"/>
              </w:rPr>
              <w:t>联系电话：028-86958918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54"/>
              <w:ind w:right="264"/>
              <w:jc w:val="center"/>
              <w:rPr>
                <w:color w:val="auto"/>
                <w:kern w:val="2"/>
                <w:sz w:val="21"/>
                <w:szCs w:val="21"/>
                <w:highlight w:val="none"/>
              </w:rPr>
            </w:pPr>
            <w:r>
              <w:rPr>
                <w:rFonts w:hint="eastAsia"/>
                <w:color w:val="auto"/>
                <w:kern w:val="2"/>
                <w:sz w:val="21"/>
                <w:szCs w:val="21"/>
                <w:highlight w:val="none"/>
              </w:rPr>
              <w:t>13</w:t>
            </w:r>
          </w:p>
        </w:tc>
        <w:tc>
          <w:tcPr>
            <w:tcW w:w="2238" w:type="dxa"/>
            <w:vAlign w:val="center"/>
          </w:tcPr>
          <w:p>
            <w:pPr>
              <w:pStyle w:val="54"/>
              <w:jc w:val="center"/>
              <w:rPr>
                <w:color w:val="auto"/>
                <w:kern w:val="2"/>
                <w:sz w:val="21"/>
                <w:szCs w:val="21"/>
                <w:highlight w:val="none"/>
              </w:rPr>
            </w:pPr>
            <w:r>
              <w:rPr>
                <w:rFonts w:hint="eastAsia"/>
                <w:color w:val="auto"/>
                <w:kern w:val="2"/>
                <w:sz w:val="21"/>
                <w:szCs w:val="21"/>
                <w:highlight w:val="none"/>
              </w:rPr>
              <w:t>供应商质疑</w:t>
            </w:r>
          </w:p>
        </w:tc>
        <w:tc>
          <w:tcPr>
            <w:tcW w:w="6425" w:type="dxa"/>
            <w:vAlign w:val="center"/>
          </w:tcPr>
          <w:p>
            <w:pPr>
              <w:spacing w:line="340" w:lineRule="exact"/>
              <w:ind w:right="105" w:rightChars="50"/>
              <w:jc w:val="left"/>
              <w:rPr>
                <w:rFonts w:ascii="宋体" w:hAnsi="宋体" w:cs="宋体"/>
                <w:color w:val="auto"/>
                <w:szCs w:val="21"/>
                <w:highlight w:val="none"/>
              </w:rPr>
            </w:pPr>
            <w:bookmarkStart w:id="23" w:name="PO_默认文件内容_30"/>
            <w:r>
              <w:rPr>
                <w:rFonts w:hint="eastAsia" w:ascii="宋体" w:hAnsi="宋体" w:cs="宋体"/>
                <w:color w:val="auto"/>
                <w:szCs w:val="21"/>
                <w:highlight w:val="none"/>
              </w:rPr>
              <w:t>根据委托代理协议约定（采购人负责采购文件技术参数部分的质疑答复，采购代理机构负责采购文件技术参数部分以外的质疑答复）</w:t>
            </w:r>
            <w:r>
              <w:rPr>
                <w:rFonts w:hint="eastAsia" w:ascii="宋体" w:hAnsi="宋体" w:cs="宋体"/>
                <w:color w:val="auto"/>
                <w:szCs w:val="21"/>
                <w:highlight w:val="none"/>
                <w:lang w:val="zh-CN"/>
              </w:rPr>
              <w:t>。</w:t>
            </w:r>
          </w:p>
          <w:p>
            <w:pPr>
              <w:spacing w:line="340" w:lineRule="exact"/>
              <w:ind w:right="105" w:rightChars="50"/>
              <w:jc w:val="left"/>
              <w:rPr>
                <w:rFonts w:ascii="宋体" w:hAnsi="宋体" w:cs="宋体"/>
                <w:color w:val="auto"/>
                <w:szCs w:val="21"/>
                <w:highlight w:val="none"/>
                <w:lang w:val="zh-CN"/>
              </w:rPr>
            </w:pPr>
            <w:r>
              <w:rPr>
                <w:rFonts w:hint="eastAsia" w:ascii="宋体" w:hAnsi="宋体" w:cs="宋体"/>
                <w:color w:val="auto"/>
                <w:szCs w:val="21"/>
                <w:highlight w:val="none"/>
                <w:lang w:val="zh-CN"/>
              </w:rPr>
              <w:t>采 购 人：成都市生态环境科研监测所</w:t>
            </w:r>
          </w:p>
          <w:p>
            <w:pPr>
              <w:spacing w:line="340" w:lineRule="exact"/>
              <w:ind w:right="105" w:rightChars="50"/>
              <w:jc w:val="left"/>
              <w:rPr>
                <w:rFonts w:ascii="宋体" w:hAnsi="宋体" w:cs="宋体"/>
                <w:color w:val="auto"/>
                <w:szCs w:val="21"/>
                <w:highlight w:val="none"/>
                <w:lang w:val="zh-CN"/>
              </w:rPr>
            </w:pPr>
            <w:r>
              <w:rPr>
                <w:rFonts w:hint="eastAsia" w:ascii="宋体" w:hAnsi="宋体" w:cs="宋体"/>
                <w:color w:val="auto"/>
                <w:szCs w:val="21"/>
                <w:highlight w:val="none"/>
                <w:lang w:val="zh-CN"/>
              </w:rPr>
              <w:t>联 系 人：</w:t>
            </w:r>
            <w:r>
              <w:rPr>
                <w:rFonts w:hint="eastAsia" w:ascii="宋体" w:hAnsi="宋体" w:cs="宋体"/>
                <w:color w:val="auto"/>
                <w:szCs w:val="21"/>
                <w:highlight w:val="none"/>
              </w:rPr>
              <w:t xml:space="preserve"> 李老师</w:t>
            </w:r>
          </w:p>
          <w:p>
            <w:pPr>
              <w:spacing w:line="340" w:lineRule="exact"/>
              <w:ind w:right="105" w:rightChars="50"/>
              <w:jc w:val="left"/>
              <w:rPr>
                <w:rFonts w:ascii="宋体" w:hAnsi="宋体" w:cs="宋体"/>
                <w:color w:val="auto"/>
                <w:szCs w:val="21"/>
                <w:highlight w:val="none"/>
                <w:lang w:val="zh-CN"/>
              </w:rPr>
            </w:pPr>
            <w:r>
              <w:rPr>
                <w:rFonts w:hint="eastAsia" w:ascii="宋体" w:hAnsi="宋体" w:cs="宋体"/>
                <w:color w:val="auto"/>
                <w:szCs w:val="21"/>
                <w:highlight w:val="none"/>
                <w:lang w:val="zh-CN"/>
              </w:rPr>
              <w:t>联系电话：0</w:t>
            </w:r>
            <w:r>
              <w:rPr>
                <w:rFonts w:ascii="宋体" w:hAnsi="宋体" w:cs="宋体"/>
                <w:color w:val="auto"/>
                <w:szCs w:val="21"/>
                <w:highlight w:val="none"/>
                <w:lang w:val="zh-CN"/>
              </w:rPr>
              <w:t>28-68738205</w:t>
            </w:r>
          </w:p>
          <w:p>
            <w:pPr>
              <w:spacing w:line="340" w:lineRule="exact"/>
              <w:ind w:right="105" w:rightChars="50"/>
              <w:jc w:val="left"/>
              <w:rPr>
                <w:rFonts w:ascii="宋体" w:hAnsi="宋体" w:cs="宋体"/>
                <w:color w:val="auto"/>
                <w:szCs w:val="21"/>
                <w:highlight w:val="none"/>
                <w:lang w:val="zh-CN"/>
              </w:rPr>
            </w:pPr>
            <w:r>
              <w:rPr>
                <w:rFonts w:hint="eastAsia" w:ascii="宋体" w:hAnsi="宋体" w:cs="宋体"/>
                <w:color w:val="auto"/>
                <w:szCs w:val="21"/>
                <w:highlight w:val="none"/>
                <w:lang w:val="zh-CN"/>
              </w:rPr>
              <w:t>采购代理机构：四川军贤工程项目管理有限公司</w:t>
            </w:r>
          </w:p>
          <w:p>
            <w:pPr>
              <w:spacing w:line="340" w:lineRule="exact"/>
              <w:ind w:right="105" w:rightChars="50"/>
              <w:jc w:val="left"/>
              <w:rPr>
                <w:rFonts w:ascii="宋体" w:hAnsi="宋体" w:cs="宋体"/>
                <w:color w:val="auto"/>
                <w:szCs w:val="21"/>
                <w:highlight w:val="none"/>
                <w:lang w:val="zh-CN"/>
              </w:rPr>
            </w:pPr>
            <w:r>
              <w:rPr>
                <w:rFonts w:hint="eastAsia" w:ascii="宋体" w:hAnsi="宋体" w:cs="宋体"/>
                <w:color w:val="auto"/>
                <w:szCs w:val="21"/>
                <w:highlight w:val="none"/>
                <w:lang w:val="zh-CN"/>
              </w:rPr>
              <w:t>联系人：雷先生</w:t>
            </w:r>
          </w:p>
          <w:p>
            <w:pPr>
              <w:spacing w:line="340" w:lineRule="exact"/>
              <w:ind w:right="105" w:rightChars="50"/>
              <w:jc w:val="left"/>
              <w:rPr>
                <w:rFonts w:ascii="宋体" w:hAnsi="宋体" w:cs="宋体"/>
                <w:color w:val="auto"/>
                <w:szCs w:val="21"/>
                <w:highlight w:val="none"/>
                <w:lang w:val="zh-CN"/>
              </w:rPr>
            </w:pPr>
            <w:r>
              <w:rPr>
                <w:rFonts w:hint="eastAsia" w:ascii="宋体" w:hAnsi="宋体" w:cs="宋体"/>
                <w:color w:val="auto"/>
                <w:szCs w:val="21"/>
                <w:highlight w:val="none"/>
                <w:lang w:val="zh-CN"/>
              </w:rPr>
              <w:t>联系电话：028-86958918</w:t>
            </w:r>
          </w:p>
          <w:p>
            <w:pPr>
              <w:spacing w:line="340" w:lineRule="exact"/>
              <w:ind w:right="105" w:rightChars="50"/>
              <w:jc w:val="left"/>
              <w:rPr>
                <w:rFonts w:ascii="宋体" w:hAnsi="宋体" w:cs="宋体"/>
                <w:color w:val="auto"/>
                <w:szCs w:val="21"/>
                <w:highlight w:val="none"/>
              </w:rPr>
            </w:pPr>
            <w:r>
              <w:rPr>
                <w:rFonts w:hint="eastAsia" w:ascii="宋体" w:hAnsi="宋体" w:cs="宋体"/>
                <w:color w:val="auto"/>
                <w:szCs w:val="21"/>
                <w:highlight w:val="none"/>
                <w:lang w:val="zh-CN"/>
              </w:rPr>
              <w:t>注：根据《中华人民共和国政府采购法》等规定，供应商按要求报名成功并获取招标文件的，为依法获取招标文件的供应商，可以对该文件提出质疑。供应商质疑不得超出采购文件、采购过程、采购结果的范围</w:t>
            </w:r>
            <w:bookmarkEnd w:id="23"/>
            <w:r>
              <w:rPr>
                <w:rFonts w:hint="eastAsia" w:ascii="宋体" w:hAnsi="宋体" w:cs="宋体"/>
                <w:color w:val="auto"/>
                <w:szCs w:val="21"/>
                <w:highlight w:val="none"/>
                <w:lang w:val="zh-CN"/>
              </w:rPr>
              <w:t>,供应商针对同一采购程序环节的质疑应在法定质疑期内一次性提出。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ind w:firstLine="315" w:firstLineChars="150"/>
              <w:rPr>
                <w:rFonts w:ascii="宋体" w:hAnsi="宋体" w:cs="宋体"/>
                <w:color w:val="auto"/>
                <w:szCs w:val="21"/>
                <w:highlight w:val="none"/>
              </w:rPr>
            </w:pPr>
          </w:p>
          <w:p>
            <w:pPr>
              <w:ind w:firstLine="105" w:firstLineChars="50"/>
              <w:rPr>
                <w:rFonts w:ascii="宋体" w:hAnsi="宋体" w:cs="宋体"/>
                <w:color w:val="auto"/>
                <w:szCs w:val="21"/>
                <w:highlight w:val="none"/>
              </w:rPr>
            </w:pPr>
            <w:r>
              <w:rPr>
                <w:rFonts w:hint="eastAsia" w:ascii="宋体" w:hAnsi="宋体" w:cs="宋体"/>
                <w:color w:val="auto"/>
                <w:szCs w:val="21"/>
                <w:highlight w:val="none"/>
              </w:rPr>
              <w:t>14</w:t>
            </w:r>
          </w:p>
        </w:tc>
        <w:tc>
          <w:tcPr>
            <w:tcW w:w="2238" w:type="dxa"/>
            <w:vAlign w:val="center"/>
          </w:tcPr>
          <w:p>
            <w:pPr>
              <w:pStyle w:val="54"/>
              <w:jc w:val="center"/>
              <w:rPr>
                <w:color w:val="auto"/>
                <w:kern w:val="2"/>
                <w:sz w:val="21"/>
                <w:szCs w:val="21"/>
                <w:highlight w:val="none"/>
              </w:rPr>
            </w:pPr>
            <w:r>
              <w:rPr>
                <w:rFonts w:hint="eastAsia"/>
                <w:color w:val="auto"/>
                <w:kern w:val="2"/>
                <w:sz w:val="21"/>
                <w:szCs w:val="21"/>
                <w:highlight w:val="none"/>
              </w:rPr>
              <w:t>供应商投诉</w:t>
            </w:r>
          </w:p>
        </w:tc>
        <w:tc>
          <w:tcPr>
            <w:tcW w:w="6425" w:type="dxa"/>
          </w:tcPr>
          <w:p>
            <w:pPr>
              <w:spacing w:line="340" w:lineRule="exact"/>
              <w:ind w:right="105" w:rightChars="50"/>
              <w:jc w:val="left"/>
              <w:rPr>
                <w:rFonts w:ascii="宋体" w:hAnsi="宋体" w:cs="宋体"/>
                <w:color w:val="auto"/>
                <w:sz w:val="22"/>
                <w:szCs w:val="22"/>
                <w:highlight w:val="none"/>
              </w:rPr>
            </w:pPr>
            <w:r>
              <w:rPr>
                <w:rFonts w:hint="eastAsia" w:ascii="宋体" w:hAnsi="宋体" w:cs="宋体"/>
                <w:color w:val="auto"/>
                <w:szCs w:val="21"/>
                <w:highlight w:val="none"/>
              </w:rPr>
              <w:t>投诉受理单位：本项目同级财政部门。即成都市财政局；联系电话：028-61882648。</w:t>
            </w:r>
          </w:p>
          <w:p>
            <w:pPr>
              <w:spacing w:line="340" w:lineRule="exact"/>
              <w:ind w:right="105" w:rightChars="50"/>
              <w:jc w:val="left"/>
              <w:rPr>
                <w:rFonts w:ascii="宋体" w:hAnsi="宋体" w:cs="宋体"/>
                <w:color w:val="auto"/>
                <w:szCs w:val="21"/>
                <w:highlight w:val="none"/>
              </w:rPr>
            </w:pPr>
            <w:r>
              <w:rPr>
                <w:rFonts w:hint="eastAsia" w:ascii="宋体" w:hAnsi="宋体" w:cs="宋体"/>
                <w:color w:val="auto"/>
                <w:szCs w:val="21"/>
                <w:highlight w:val="none"/>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6" w:hRule="atLeast"/>
          <w:jc w:val="center"/>
        </w:trPr>
        <w:tc>
          <w:tcPr>
            <w:tcW w:w="838" w:type="dxa"/>
            <w:vAlign w:val="center"/>
          </w:tcPr>
          <w:p>
            <w:pPr>
              <w:ind w:firstLine="105" w:firstLineChars="50"/>
              <w:rPr>
                <w:rFonts w:ascii="宋体" w:hAnsi="宋体" w:cs="宋体"/>
                <w:color w:val="auto"/>
                <w:szCs w:val="21"/>
                <w:highlight w:val="none"/>
              </w:rPr>
            </w:pPr>
            <w:r>
              <w:rPr>
                <w:rFonts w:hint="eastAsia" w:ascii="宋体" w:hAnsi="宋体" w:cs="宋体"/>
                <w:color w:val="auto"/>
                <w:szCs w:val="21"/>
                <w:highlight w:val="none"/>
              </w:rPr>
              <w:t>15</w:t>
            </w:r>
          </w:p>
        </w:tc>
        <w:tc>
          <w:tcPr>
            <w:tcW w:w="2238" w:type="dxa"/>
            <w:tcBorders>
              <w:right w:val="single" w:color="auto" w:sz="4" w:space="0"/>
            </w:tcBorders>
            <w:vAlign w:val="center"/>
          </w:tcPr>
          <w:p>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政府采购合同</w:t>
            </w:r>
          </w:p>
          <w:p>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公告备案</w:t>
            </w:r>
          </w:p>
        </w:tc>
        <w:tc>
          <w:tcPr>
            <w:tcW w:w="6425" w:type="dxa"/>
            <w:tcBorders>
              <w:left w:val="single" w:color="auto" w:sz="4" w:space="0"/>
            </w:tcBorders>
          </w:tcPr>
          <w:p>
            <w:pPr>
              <w:rPr>
                <w:rFonts w:ascii="宋体" w:hAnsi="宋体" w:cs="宋体"/>
                <w:color w:val="auto"/>
                <w:szCs w:val="21"/>
                <w:highlight w:val="none"/>
              </w:rPr>
            </w:pPr>
            <w:bookmarkStart w:id="24" w:name="PO_默认文件内容_38"/>
            <w:r>
              <w:rPr>
                <w:rFonts w:hint="eastAsia" w:ascii="宋体" w:hAnsi="宋体" w:cs="宋体"/>
                <w:color w:val="auto"/>
                <w:szCs w:val="21"/>
                <w:highlight w:val="none"/>
              </w:rPr>
              <w:t>政府采购合同签订之日起2个工作日内，采购人应将政府采购合同在四川政府采购网公告；政府采购合同签订之日起七个工作日内，政府采购合同将向本采购项目同级财政部门备案</w:t>
            </w:r>
            <w:r>
              <w:rPr>
                <w:rFonts w:hint="eastAsia" w:ascii="宋体" w:hAnsi="宋体" w:cs="宋体"/>
                <w:color w:val="auto"/>
                <w:szCs w:val="21"/>
                <w:highlight w:val="none"/>
                <w:lang w:val="zh-CN"/>
              </w:rPr>
              <w:t>。</w:t>
            </w:r>
            <w:bookmarkEnd w:id="2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ind w:firstLine="105" w:firstLineChars="50"/>
              <w:rPr>
                <w:rFonts w:ascii="宋体" w:hAnsi="宋体" w:cs="宋体"/>
                <w:color w:val="auto"/>
                <w:szCs w:val="21"/>
                <w:highlight w:val="none"/>
              </w:rPr>
            </w:pPr>
            <w:r>
              <w:rPr>
                <w:rFonts w:hint="eastAsia" w:ascii="宋体" w:hAnsi="宋体" w:cs="宋体"/>
                <w:color w:val="auto"/>
                <w:szCs w:val="21"/>
                <w:highlight w:val="none"/>
              </w:rPr>
              <w:t>16</w:t>
            </w:r>
          </w:p>
        </w:tc>
        <w:tc>
          <w:tcPr>
            <w:tcW w:w="2238" w:type="dxa"/>
            <w:tcBorders>
              <w:right w:val="single" w:color="auto" w:sz="4" w:space="0"/>
            </w:tcBorders>
            <w:vAlign w:val="center"/>
          </w:tcPr>
          <w:p>
            <w:pPr>
              <w:pStyle w:val="54"/>
              <w:ind w:left="96"/>
              <w:jc w:val="center"/>
              <w:rPr>
                <w:color w:val="auto"/>
                <w:sz w:val="21"/>
                <w:szCs w:val="21"/>
                <w:highlight w:val="none"/>
              </w:rPr>
            </w:pPr>
            <w:r>
              <w:rPr>
                <w:rFonts w:hint="eastAsia"/>
                <w:color w:val="auto"/>
                <w:sz w:val="21"/>
                <w:szCs w:val="21"/>
                <w:highlight w:val="none"/>
                <w:lang w:val="zh-CN"/>
              </w:rPr>
              <w:t>采购代理服务费</w:t>
            </w:r>
          </w:p>
        </w:tc>
        <w:tc>
          <w:tcPr>
            <w:tcW w:w="6425" w:type="dxa"/>
            <w:tcBorders>
              <w:left w:val="single" w:color="auto" w:sz="4" w:space="0"/>
            </w:tcBorders>
            <w:vAlign w:val="center"/>
          </w:tcPr>
          <w:p>
            <w:pPr>
              <w:pStyle w:val="54"/>
              <w:rPr>
                <w:color w:val="auto"/>
                <w:sz w:val="21"/>
                <w:szCs w:val="21"/>
                <w:highlight w:val="none"/>
                <w:lang w:val="zh-CN"/>
              </w:rPr>
            </w:pPr>
            <w:r>
              <w:rPr>
                <w:rFonts w:hint="eastAsia"/>
                <w:color w:val="auto"/>
                <w:sz w:val="21"/>
                <w:szCs w:val="21"/>
                <w:highlight w:val="none"/>
                <w:lang w:val="zh-CN"/>
              </w:rPr>
              <w:t>依照成本加合理利润的原则：</w:t>
            </w:r>
            <w:r>
              <w:rPr>
                <w:rFonts w:hint="eastAsia"/>
                <w:color w:val="auto"/>
                <w:sz w:val="21"/>
                <w:szCs w:val="21"/>
                <w:highlight w:val="none"/>
                <w:lang w:val="en-US" w:eastAsia="zh-CN"/>
              </w:rPr>
              <w:t>以中标价为计算基础，</w:t>
            </w:r>
            <w:r>
              <w:rPr>
                <w:rFonts w:hint="eastAsia"/>
                <w:color w:val="auto"/>
                <w:sz w:val="21"/>
                <w:szCs w:val="21"/>
                <w:highlight w:val="none"/>
                <w:lang w:val="zh-CN"/>
              </w:rPr>
              <w:t>按照《招标代理服务收费管理暂行办法》的通知（计价格〔2002〕1980号）和国家改革改革委办厅《关于招标代理服务收费有关问题的通知》发改办价格【2003】857号、《国家发展改革委关于进一步放开建设项目专业服务价格的通知》发改价格【2015】299号文，下浮10%收取</w:t>
            </w:r>
            <w:r>
              <w:rPr>
                <w:rFonts w:hint="eastAsia"/>
                <w:color w:val="auto"/>
                <w:sz w:val="21"/>
                <w:szCs w:val="21"/>
                <w:highlight w:val="none"/>
              </w:rPr>
              <w:t>代理服务费，</w:t>
            </w:r>
            <w:r>
              <w:rPr>
                <w:rFonts w:hint="eastAsia"/>
                <w:color w:val="auto"/>
                <w:sz w:val="21"/>
                <w:szCs w:val="21"/>
                <w:highlight w:val="none"/>
                <w:lang w:val="zh-CN"/>
              </w:rPr>
              <w:t>由中标供应商在领取中标通知书的同时向采购代理机构支付。</w:t>
            </w:r>
          </w:p>
          <w:p>
            <w:pPr>
              <w:pStyle w:val="54"/>
              <w:rPr>
                <w:color w:val="auto"/>
                <w:sz w:val="21"/>
                <w:szCs w:val="21"/>
                <w:highlight w:val="none"/>
                <w:lang w:val="zh-CN"/>
              </w:rPr>
            </w:pPr>
            <w:r>
              <w:rPr>
                <w:rFonts w:hint="eastAsia"/>
                <w:color w:val="auto"/>
                <w:sz w:val="21"/>
                <w:szCs w:val="21"/>
                <w:highlight w:val="none"/>
                <w:lang w:val="zh-CN"/>
              </w:rPr>
              <w:t>公司名称：四川军贤工程项目管理有限公司</w:t>
            </w:r>
          </w:p>
          <w:p>
            <w:pPr>
              <w:pStyle w:val="54"/>
              <w:rPr>
                <w:color w:val="auto"/>
                <w:sz w:val="21"/>
                <w:szCs w:val="21"/>
                <w:highlight w:val="none"/>
                <w:lang w:val="zh-CN"/>
              </w:rPr>
            </w:pPr>
            <w:r>
              <w:rPr>
                <w:rFonts w:hint="eastAsia"/>
                <w:color w:val="auto"/>
                <w:sz w:val="21"/>
                <w:szCs w:val="21"/>
                <w:highlight w:val="none"/>
                <w:lang w:val="zh-CN"/>
              </w:rPr>
              <w:t>开户行：中国建设银行股份有限公司双流分行</w:t>
            </w:r>
          </w:p>
          <w:p>
            <w:pPr>
              <w:pStyle w:val="54"/>
              <w:rPr>
                <w:color w:val="auto"/>
                <w:sz w:val="21"/>
                <w:szCs w:val="21"/>
                <w:highlight w:val="none"/>
                <w:lang w:val="zh-CN"/>
              </w:rPr>
            </w:pPr>
            <w:r>
              <w:rPr>
                <w:rFonts w:hint="eastAsia"/>
                <w:color w:val="auto"/>
                <w:sz w:val="21"/>
                <w:szCs w:val="21"/>
                <w:highlight w:val="none"/>
                <w:lang w:val="zh-CN"/>
              </w:rPr>
              <w:t>开户账号：51050152790800000313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838" w:type="dxa"/>
            <w:vAlign w:val="center"/>
          </w:tcPr>
          <w:p>
            <w:pPr>
              <w:ind w:firstLine="105" w:firstLineChars="50"/>
              <w:rPr>
                <w:rFonts w:ascii="宋体" w:hAnsi="宋体" w:cs="宋体"/>
                <w:color w:val="auto"/>
                <w:szCs w:val="21"/>
                <w:highlight w:val="none"/>
              </w:rPr>
            </w:pPr>
            <w:r>
              <w:rPr>
                <w:rFonts w:hint="eastAsia" w:ascii="宋体" w:hAnsi="宋体" w:cs="宋体"/>
                <w:color w:val="auto"/>
                <w:szCs w:val="21"/>
                <w:highlight w:val="none"/>
              </w:rPr>
              <w:t>17</w:t>
            </w:r>
          </w:p>
        </w:tc>
        <w:tc>
          <w:tcPr>
            <w:tcW w:w="2238" w:type="dxa"/>
            <w:tcBorders>
              <w:right w:val="single" w:color="auto" w:sz="4" w:space="0"/>
            </w:tcBorders>
            <w:vAlign w:val="center"/>
          </w:tcPr>
          <w:p>
            <w:pPr>
              <w:pStyle w:val="54"/>
              <w:ind w:left="96"/>
              <w:jc w:val="center"/>
              <w:rPr>
                <w:color w:val="auto"/>
                <w:sz w:val="21"/>
                <w:szCs w:val="21"/>
                <w:highlight w:val="none"/>
              </w:rPr>
            </w:pPr>
            <w:r>
              <w:rPr>
                <w:rFonts w:hint="eastAsia"/>
                <w:color w:val="auto"/>
                <w:sz w:val="21"/>
                <w:szCs w:val="21"/>
                <w:highlight w:val="none"/>
              </w:rPr>
              <w:t>其他说明</w:t>
            </w:r>
          </w:p>
        </w:tc>
        <w:tc>
          <w:tcPr>
            <w:tcW w:w="6425" w:type="dxa"/>
            <w:tcBorders>
              <w:left w:val="single" w:color="auto" w:sz="4" w:space="0"/>
            </w:tcBorders>
            <w:vAlign w:val="center"/>
          </w:tcPr>
          <w:p>
            <w:pPr>
              <w:pStyle w:val="54"/>
              <w:ind w:firstLine="220" w:firstLineChars="100"/>
              <w:rPr>
                <w:color w:val="auto"/>
                <w:sz w:val="21"/>
                <w:szCs w:val="21"/>
                <w:highlight w:val="none"/>
                <w:lang w:val="zh-CN"/>
              </w:rPr>
            </w:pPr>
            <w:r>
              <w:rPr>
                <w:rFonts w:hint="eastAsia"/>
                <w:color w:val="auto"/>
                <w:kern w:val="2"/>
                <w:sz w:val="22"/>
                <w:szCs w:val="22"/>
                <w:highlight w:val="none"/>
                <w:lang w:val="zh-CN"/>
              </w:rPr>
              <w:t>本</w:t>
            </w:r>
            <w:r>
              <w:rPr>
                <w:rFonts w:hint="eastAsia"/>
                <w:color w:val="auto"/>
                <w:kern w:val="2"/>
                <w:sz w:val="22"/>
                <w:szCs w:val="22"/>
                <w:highlight w:val="none"/>
              </w:rPr>
              <w:t>招标</w:t>
            </w:r>
            <w:r>
              <w:rPr>
                <w:rFonts w:hint="eastAsia"/>
                <w:color w:val="auto"/>
                <w:kern w:val="2"/>
                <w:sz w:val="22"/>
                <w:szCs w:val="22"/>
                <w:highlight w:val="none"/>
                <w:lang w:val="zh-CN"/>
              </w:rPr>
              <w:t>文件所称的“以上”、“以下”包括本数；</w:t>
            </w:r>
          </w:p>
        </w:tc>
      </w:tr>
    </w:tbl>
    <w:p>
      <w:pPr>
        <w:pStyle w:val="4"/>
        <w:spacing w:line="400" w:lineRule="exact"/>
        <w:jc w:val="center"/>
        <w:rPr>
          <w:rFonts w:ascii="宋体" w:hAnsi="宋体" w:eastAsia="宋体" w:cs="宋体"/>
          <w:bCs w:val="0"/>
          <w:color w:val="auto"/>
          <w:highlight w:val="none"/>
        </w:rPr>
      </w:pPr>
      <w:r>
        <w:rPr>
          <w:rFonts w:hint="eastAsia" w:ascii="宋体" w:hAnsi="宋体" w:eastAsia="宋体" w:cs="宋体"/>
          <w:bCs w:val="0"/>
          <w:color w:val="auto"/>
          <w:highlight w:val="none"/>
        </w:rPr>
        <w:t>二、总  则</w:t>
      </w:r>
    </w:p>
    <w:p>
      <w:pPr>
        <w:pStyle w:val="5"/>
        <w:spacing w:line="400" w:lineRule="exact"/>
        <w:ind w:firstLine="482" w:firstLineChars="200"/>
        <w:rPr>
          <w:rFonts w:ascii="宋体" w:hAnsi="宋体" w:cs="宋体"/>
          <w:color w:val="auto"/>
          <w:sz w:val="24"/>
          <w:szCs w:val="24"/>
          <w:highlight w:val="none"/>
        </w:rPr>
      </w:pPr>
      <w:bookmarkStart w:id="25" w:name="_Toc183582205"/>
      <w:bookmarkStart w:id="26" w:name="_Toc183682342"/>
      <w:bookmarkStart w:id="27" w:name="_Toc217446034"/>
      <w:bookmarkStart w:id="28" w:name="PO_默认文件内容_19"/>
      <w:r>
        <w:rPr>
          <w:rFonts w:hint="eastAsia" w:ascii="宋体" w:hAnsi="宋体" w:cs="宋体"/>
          <w:color w:val="auto"/>
          <w:sz w:val="24"/>
          <w:szCs w:val="24"/>
          <w:highlight w:val="none"/>
        </w:rPr>
        <w:t>1.</w:t>
      </w:r>
      <w:bookmarkEnd w:id="25"/>
      <w:bookmarkEnd w:id="26"/>
      <w:r>
        <w:rPr>
          <w:rFonts w:hint="eastAsia" w:ascii="宋体" w:hAnsi="宋体" w:cs="宋体"/>
          <w:color w:val="auto"/>
          <w:sz w:val="24"/>
          <w:szCs w:val="24"/>
          <w:highlight w:val="none"/>
        </w:rPr>
        <w:t xml:space="preserve"> 适用范围</w:t>
      </w:r>
      <w:bookmarkEnd w:id="27"/>
    </w:p>
    <w:p>
      <w:pPr>
        <w:tabs>
          <w:tab w:val="left" w:pos="766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 本招标文件仅适用于本次招标采购项目。</w:t>
      </w:r>
    </w:p>
    <w:p>
      <w:pPr>
        <w:pStyle w:val="5"/>
        <w:spacing w:line="400" w:lineRule="exact"/>
        <w:ind w:firstLine="482" w:firstLineChars="200"/>
        <w:rPr>
          <w:rFonts w:ascii="宋体" w:hAnsi="宋体" w:cs="宋体"/>
          <w:color w:val="auto"/>
          <w:sz w:val="24"/>
          <w:highlight w:val="none"/>
        </w:rPr>
      </w:pPr>
      <w:bookmarkStart w:id="29" w:name="_Toc183682343"/>
      <w:bookmarkStart w:id="30" w:name="_Toc183582206"/>
      <w:bookmarkStart w:id="31" w:name="_Toc217446035"/>
      <w:r>
        <w:rPr>
          <w:rFonts w:hint="eastAsia" w:ascii="宋体" w:hAnsi="宋体" w:cs="宋体"/>
          <w:color w:val="auto"/>
          <w:sz w:val="24"/>
          <w:highlight w:val="none"/>
        </w:rPr>
        <w:t xml:space="preserve">2. </w:t>
      </w:r>
      <w:bookmarkEnd w:id="29"/>
      <w:bookmarkEnd w:id="30"/>
      <w:r>
        <w:rPr>
          <w:rFonts w:hint="eastAsia" w:ascii="宋体" w:hAnsi="宋体" w:cs="宋体"/>
          <w:color w:val="auto"/>
          <w:sz w:val="24"/>
          <w:highlight w:val="none"/>
        </w:rPr>
        <w:t>有关</w:t>
      </w:r>
      <w:r>
        <w:rPr>
          <w:rFonts w:hint="eastAsia" w:ascii="宋体" w:hAnsi="宋体" w:cs="宋体"/>
          <w:color w:val="auto"/>
          <w:sz w:val="24"/>
          <w:szCs w:val="24"/>
          <w:highlight w:val="none"/>
        </w:rPr>
        <w:t>定义</w:t>
      </w:r>
      <w:bookmarkEnd w:id="31"/>
    </w:p>
    <w:p>
      <w:pPr>
        <w:tabs>
          <w:tab w:val="left" w:pos="766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“采购人”系指依法进行政府采购的国家机关、事业单位、团体组织。本次招标的采购人是</w:t>
      </w:r>
      <w:bookmarkEnd w:id="28"/>
      <w:r>
        <w:rPr>
          <w:rFonts w:hint="eastAsia" w:ascii="宋体" w:hAnsi="宋体" w:cs="宋体"/>
          <w:b/>
          <w:bCs/>
          <w:color w:val="auto"/>
          <w:sz w:val="24"/>
          <w:highlight w:val="none"/>
          <w:u w:val="single"/>
        </w:rPr>
        <w:t>成都市生态环境科研监测所</w:t>
      </w:r>
      <w:r>
        <w:rPr>
          <w:rFonts w:hint="eastAsia" w:ascii="宋体" w:hAnsi="宋体" w:cs="宋体"/>
          <w:color w:val="auto"/>
          <w:sz w:val="24"/>
          <w:highlight w:val="none"/>
        </w:rPr>
        <w:t>。</w:t>
      </w:r>
    </w:p>
    <w:p>
      <w:pPr>
        <w:tabs>
          <w:tab w:val="left" w:pos="7665"/>
        </w:tabs>
        <w:spacing w:line="400" w:lineRule="exact"/>
        <w:ind w:firstLine="480" w:firstLineChars="200"/>
        <w:rPr>
          <w:rFonts w:ascii="宋体" w:hAnsi="宋体" w:cs="宋体"/>
          <w:color w:val="auto"/>
          <w:sz w:val="24"/>
          <w:highlight w:val="none"/>
        </w:rPr>
      </w:pPr>
      <w:bookmarkStart w:id="32" w:name="PO_默认文件内容_20"/>
      <w:r>
        <w:rPr>
          <w:rFonts w:hint="eastAsia" w:ascii="宋体" w:hAnsi="宋体" w:cs="宋体"/>
          <w:color w:val="auto"/>
          <w:sz w:val="24"/>
          <w:highlight w:val="none"/>
        </w:rPr>
        <w:t>2.2 “采购代理机构” 系指根据采购人的委托依法办理招标事宜的采购机构。本次招标的采购代理机构是</w:t>
      </w:r>
      <w:r>
        <w:rPr>
          <w:rFonts w:hint="eastAsia" w:ascii="宋体" w:hAnsi="宋体" w:cs="宋体"/>
          <w:b/>
          <w:bCs/>
          <w:color w:val="auto"/>
          <w:sz w:val="24"/>
          <w:highlight w:val="none"/>
          <w:u w:val="single"/>
        </w:rPr>
        <w:t>四川军贤工程项目管理有限公司</w:t>
      </w:r>
      <w:r>
        <w:rPr>
          <w:rFonts w:hint="eastAsia" w:ascii="宋体" w:hAnsi="宋体" w:cs="宋体"/>
          <w:color w:val="auto"/>
          <w:sz w:val="24"/>
          <w:highlight w:val="none"/>
        </w:rPr>
        <w:t>。</w:t>
      </w:r>
    </w:p>
    <w:p>
      <w:pPr>
        <w:tabs>
          <w:tab w:val="left" w:pos="766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 “招标采购单位”系指“采购人”和“采购代理机构”的统称。</w:t>
      </w:r>
    </w:p>
    <w:p>
      <w:pPr>
        <w:tabs>
          <w:tab w:val="left" w:pos="766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 “投标人”系指获取了招标文件拟参加投标和向采购人提供货物及相应服务的供应商。</w:t>
      </w:r>
    </w:p>
    <w:p>
      <w:pPr>
        <w:pStyle w:val="5"/>
        <w:spacing w:line="400" w:lineRule="exact"/>
        <w:ind w:firstLine="482" w:firstLineChars="200"/>
        <w:rPr>
          <w:rFonts w:ascii="宋体" w:hAnsi="宋体" w:cs="宋体"/>
          <w:color w:val="auto"/>
          <w:sz w:val="24"/>
          <w:highlight w:val="none"/>
        </w:rPr>
      </w:pPr>
      <w:bookmarkStart w:id="33" w:name="_Toc183582207"/>
      <w:bookmarkStart w:id="34" w:name="_Toc217390843"/>
      <w:bookmarkStart w:id="35" w:name="_Toc183682344"/>
      <w:bookmarkStart w:id="36" w:name="_Toc217446036"/>
      <w:r>
        <w:rPr>
          <w:rFonts w:hint="eastAsia" w:ascii="宋体" w:hAnsi="宋体" w:cs="宋体"/>
          <w:color w:val="auto"/>
          <w:sz w:val="24"/>
          <w:highlight w:val="none"/>
        </w:rPr>
        <w:t>3. 合格的投标人</w:t>
      </w:r>
      <w:bookmarkEnd w:id="33"/>
      <w:bookmarkEnd w:id="34"/>
      <w:bookmarkEnd w:id="35"/>
      <w:bookmarkEnd w:id="36"/>
    </w:p>
    <w:p>
      <w:pPr>
        <w:tabs>
          <w:tab w:val="left" w:pos="766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合格的投标人应具备以下条件：</w:t>
      </w:r>
    </w:p>
    <w:p>
      <w:pPr>
        <w:tabs>
          <w:tab w:val="left" w:pos="7665"/>
        </w:tabs>
        <w:spacing w:line="400" w:lineRule="exact"/>
        <w:ind w:firstLine="480" w:firstLineChars="200"/>
        <w:rPr>
          <w:rFonts w:ascii="宋体" w:hAnsi="宋体" w:cs="宋体"/>
          <w:color w:val="auto"/>
          <w:spacing w:val="-4"/>
          <w:sz w:val="24"/>
          <w:highlight w:val="none"/>
        </w:rPr>
      </w:pPr>
      <w:r>
        <w:rPr>
          <w:rFonts w:hint="eastAsia" w:ascii="宋体" w:hAnsi="宋体" w:cs="宋体"/>
          <w:color w:val="auto"/>
          <w:sz w:val="24"/>
          <w:highlight w:val="none"/>
        </w:rPr>
        <w:t>（1）本招标文件规定的供应商资格条件</w:t>
      </w:r>
      <w:r>
        <w:rPr>
          <w:rFonts w:hint="eastAsia" w:ascii="宋体" w:hAnsi="宋体" w:cs="宋体"/>
          <w:color w:val="auto"/>
          <w:spacing w:val="-4"/>
          <w:sz w:val="24"/>
          <w:highlight w:val="none"/>
        </w:rPr>
        <w:t>；</w:t>
      </w:r>
    </w:p>
    <w:p>
      <w:pPr>
        <w:tabs>
          <w:tab w:val="left" w:pos="766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（2）遵守国家有关的法律、法规、规章和其他政策制度；</w:t>
      </w:r>
    </w:p>
    <w:p>
      <w:pPr>
        <w:pStyle w:val="2"/>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（3）向采购代理机构获取了招标文件并登记备案。</w:t>
      </w:r>
    </w:p>
    <w:bookmarkEnd w:id="32"/>
    <w:p>
      <w:pPr>
        <w:pStyle w:val="5"/>
        <w:spacing w:line="400" w:lineRule="exact"/>
        <w:ind w:firstLine="482" w:firstLineChars="200"/>
        <w:rPr>
          <w:rFonts w:ascii="宋体" w:hAnsi="宋体" w:cs="宋体"/>
          <w:color w:val="auto"/>
          <w:sz w:val="24"/>
          <w:highlight w:val="none"/>
        </w:rPr>
      </w:pPr>
      <w:bookmarkStart w:id="37" w:name="_Toc183582208"/>
      <w:bookmarkStart w:id="38" w:name="_Toc183682345"/>
      <w:bookmarkStart w:id="39" w:name="_Toc217446037"/>
      <w:bookmarkStart w:id="40" w:name="PO_默认文件内容_16"/>
      <w:r>
        <w:rPr>
          <w:rFonts w:hint="eastAsia" w:ascii="宋体" w:hAnsi="宋体" w:cs="宋体"/>
          <w:color w:val="auto"/>
          <w:sz w:val="24"/>
          <w:highlight w:val="none"/>
        </w:rPr>
        <w:t>4. 投标费用</w:t>
      </w:r>
      <w:bookmarkEnd w:id="37"/>
      <w:bookmarkEnd w:id="38"/>
      <w:bookmarkEnd w:id="39"/>
      <w:r>
        <w:rPr>
          <w:rFonts w:hint="eastAsia" w:ascii="宋体" w:hAnsi="宋体" w:cs="宋体"/>
          <w:color w:val="auto"/>
          <w:sz w:val="24"/>
          <w:szCs w:val="24"/>
          <w:highlight w:val="none"/>
        </w:rPr>
        <w:t>（实质性要求）</w:t>
      </w:r>
    </w:p>
    <w:p>
      <w:pPr>
        <w:tabs>
          <w:tab w:val="left" w:pos="7665"/>
        </w:tabs>
        <w:spacing w:line="400" w:lineRule="exact"/>
        <w:ind w:firstLine="480"/>
        <w:rPr>
          <w:rFonts w:ascii="宋体" w:hAnsi="宋体" w:cs="宋体"/>
          <w:color w:val="auto"/>
          <w:sz w:val="24"/>
          <w:highlight w:val="none"/>
        </w:rPr>
      </w:pPr>
      <w:r>
        <w:rPr>
          <w:rFonts w:hint="eastAsia" w:ascii="宋体" w:hAnsi="宋体" w:cs="宋体"/>
          <w:color w:val="auto"/>
          <w:sz w:val="24"/>
          <w:highlight w:val="none"/>
        </w:rPr>
        <w:t>投标人参加投标的有关费用由投标人自行承担。</w:t>
      </w:r>
    </w:p>
    <w:p>
      <w:pPr>
        <w:pStyle w:val="5"/>
        <w:spacing w:line="400" w:lineRule="exact"/>
        <w:ind w:firstLine="482" w:firstLineChars="200"/>
        <w:rPr>
          <w:rFonts w:ascii="宋体" w:hAnsi="宋体" w:cs="宋体"/>
          <w:color w:val="auto"/>
          <w:sz w:val="24"/>
          <w:highlight w:val="none"/>
        </w:rPr>
      </w:pPr>
      <w:r>
        <w:rPr>
          <w:rFonts w:hint="eastAsia" w:ascii="宋体" w:hAnsi="宋体" w:cs="宋体"/>
          <w:color w:val="auto"/>
          <w:sz w:val="24"/>
          <w:highlight w:val="none"/>
        </w:rPr>
        <w:t>5. 充分、公平竞争保障措施</w:t>
      </w:r>
      <w:r>
        <w:rPr>
          <w:rFonts w:hint="eastAsia" w:ascii="宋体" w:hAnsi="宋体" w:cs="宋体"/>
          <w:color w:val="auto"/>
          <w:sz w:val="24"/>
          <w:szCs w:val="24"/>
          <w:highlight w:val="none"/>
        </w:rPr>
        <w:t>（实质性要求）</w:t>
      </w:r>
    </w:p>
    <w:p>
      <w:pPr>
        <w:pStyle w:val="56"/>
        <w:spacing w:line="460" w:lineRule="exact"/>
        <w:ind w:left="1" w:firstLine="482" w:firstLineChars="200"/>
        <w:rPr>
          <w:rFonts w:hAnsi="宋体" w:cs="宋体"/>
          <w:b/>
          <w:color w:val="auto"/>
          <w:sz w:val="24"/>
          <w:szCs w:val="24"/>
          <w:highlight w:val="none"/>
        </w:rPr>
      </w:pPr>
      <w:r>
        <w:rPr>
          <w:rFonts w:hint="eastAsia" w:hAnsi="宋体" w:cs="宋体"/>
          <w:b/>
          <w:color w:val="auto"/>
          <w:sz w:val="24"/>
          <w:highlight w:val="none"/>
        </w:rPr>
        <w:t>5.1 提供相同品牌产品处理</w:t>
      </w:r>
      <w:r>
        <w:rPr>
          <w:rFonts w:hint="eastAsia" w:hAnsi="宋体" w:cs="宋体"/>
          <w:b/>
          <w:color w:val="auto"/>
          <w:sz w:val="24"/>
          <w:szCs w:val="24"/>
          <w:highlight w:val="none"/>
        </w:rPr>
        <w:t>。</w:t>
      </w:r>
    </w:p>
    <w:p>
      <w:pPr>
        <w:pStyle w:val="56"/>
        <w:spacing w:line="460" w:lineRule="exact"/>
        <w:ind w:left="1" w:firstLine="482" w:firstLineChars="200"/>
        <w:rPr>
          <w:rFonts w:hAnsi="宋体" w:cs="宋体"/>
          <w:b/>
          <w:color w:val="auto"/>
          <w:sz w:val="24"/>
          <w:szCs w:val="24"/>
          <w:highlight w:val="none"/>
        </w:rPr>
      </w:pPr>
      <w:r>
        <w:rPr>
          <w:rFonts w:hint="eastAsia" w:hAnsi="宋体" w:cs="宋体"/>
          <w:b/>
          <w:color w:val="auto"/>
          <w:sz w:val="24"/>
          <w:szCs w:val="24"/>
          <w:highlight w:val="none"/>
        </w:rPr>
        <w:t>5.1.1 采用综合评分法的采购项目。</w:t>
      </w:r>
    </w:p>
    <w:p>
      <w:pPr>
        <w:pStyle w:val="56"/>
        <w:spacing w:line="460" w:lineRule="exact"/>
        <w:ind w:left="1" w:firstLine="480" w:firstLineChars="200"/>
        <w:rPr>
          <w:rFonts w:hAnsi="宋体" w:cs="宋体"/>
          <w:bCs/>
          <w:color w:val="auto"/>
          <w:sz w:val="24"/>
          <w:szCs w:val="24"/>
          <w:highlight w:val="none"/>
        </w:rPr>
      </w:pPr>
      <w:r>
        <w:rPr>
          <w:rFonts w:hint="eastAsia" w:hAnsi="宋体" w:cs="宋体"/>
          <w:bCs/>
          <w:color w:val="auto"/>
          <w:sz w:val="24"/>
          <w:szCs w:val="24"/>
          <w:highlight w:val="none"/>
        </w:rPr>
        <w:t>提供相同品牌产品且通过资格审查、符合性审查的不同投标人参加同一合同项下投标的，按一家投标人计算，评审后得分最高的同品牌投标人获得中标人推荐资格；评审得分相同的，由采购人或采购人委托评标委员会按照招标文件规定的方式确定一个投标人获得中标人推荐资格，招标文件未规定的采取随机抽取方式确定，其他同品牌投标人不作为中标候选人。</w:t>
      </w:r>
    </w:p>
    <w:p>
      <w:pPr>
        <w:pStyle w:val="56"/>
        <w:spacing w:line="460" w:lineRule="exact"/>
        <w:ind w:left="1" w:firstLine="482" w:firstLineChars="200"/>
        <w:rPr>
          <w:rFonts w:hAnsi="宋体" w:cs="宋体"/>
          <w:b/>
          <w:color w:val="auto"/>
          <w:sz w:val="24"/>
          <w:szCs w:val="24"/>
          <w:highlight w:val="none"/>
        </w:rPr>
      </w:pPr>
      <w:r>
        <w:rPr>
          <w:rFonts w:hint="eastAsia" w:hAnsi="宋体" w:cs="宋体"/>
          <w:b/>
          <w:color w:val="auto"/>
          <w:sz w:val="24"/>
          <w:szCs w:val="24"/>
          <w:highlight w:val="none"/>
        </w:rPr>
        <w:t>5.1.2</w:t>
      </w:r>
      <w:r>
        <w:rPr>
          <w:rFonts w:hint="eastAsia" w:hAnsi="宋体" w:cs="宋体"/>
          <w:bCs/>
          <w:color w:val="auto"/>
          <w:sz w:val="24"/>
          <w:szCs w:val="24"/>
          <w:highlight w:val="none"/>
        </w:rPr>
        <w:t>非单一产品采购项目中，采购人根据采购项目技术构成、产品价格比重等合理确定核心产品。</w:t>
      </w:r>
      <w:r>
        <w:rPr>
          <w:rFonts w:hint="eastAsia" w:hAnsi="宋体" w:cs="宋体"/>
          <w:b/>
          <w:color w:val="auto"/>
          <w:sz w:val="24"/>
          <w:szCs w:val="24"/>
          <w:highlight w:val="none"/>
        </w:rPr>
        <w:t>本采购项目的核心产品为：VOCs走航分析仪主机，多家投标人提供的核心产品品牌相同的，按前款规定处理。</w:t>
      </w:r>
    </w:p>
    <w:p>
      <w:pPr>
        <w:pStyle w:val="56"/>
        <w:spacing w:line="460" w:lineRule="exact"/>
        <w:ind w:left="1" w:firstLine="482" w:firstLineChars="200"/>
        <w:rPr>
          <w:rFonts w:hAnsi="宋体" w:cs="宋体"/>
          <w:b/>
          <w:color w:val="auto"/>
          <w:sz w:val="24"/>
          <w:highlight w:val="none"/>
        </w:rPr>
      </w:pPr>
      <w:r>
        <w:rPr>
          <w:rFonts w:hint="eastAsia" w:hAnsi="宋体" w:cs="宋体"/>
          <w:b/>
          <w:color w:val="auto"/>
          <w:sz w:val="24"/>
          <w:highlight w:val="none"/>
        </w:rPr>
        <w:t>5.2提供相同制造厂商不同品牌产品处理。</w:t>
      </w:r>
      <w:r>
        <w:rPr>
          <w:rFonts w:hint="eastAsia" w:hAnsi="宋体" w:cs="宋体"/>
          <w:bCs/>
          <w:color w:val="auto"/>
          <w:sz w:val="24"/>
          <w:highlight w:val="none"/>
        </w:rPr>
        <w:t>制造厂商有二个以上品牌，制造厂商与分销商或经销商或代理商同时参加投标，投标产品为不同品牌的，制造厂商投标产品所属品牌为该品牌的有效投标人，其他投标人的投标文件作为无效投标处理。制造厂商有二个以上品牌，只有分销商或经销商或代理商参加投标，投标产品为不同品牌的，所投品牌产品以其中通过资格审查、符合性检查且报价最低的参加评标，报价相同的，由采购人自主采取公平、择优的方式选择确定一个参加评标的投标人，其他投标人的投标文件作为无效投标处理。</w:t>
      </w:r>
    </w:p>
    <w:p>
      <w:pPr>
        <w:pStyle w:val="56"/>
        <w:spacing w:line="460" w:lineRule="exact"/>
        <w:ind w:left="1" w:firstLine="482" w:firstLineChars="200"/>
        <w:rPr>
          <w:rFonts w:hAnsi="宋体" w:cs="宋体"/>
          <w:color w:val="auto"/>
          <w:sz w:val="24"/>
          <w:highlight w:val="none"/>
        </w:rPr>
      </w:pPr>
      <w:r>
        <w:rPr>
          <w:rFonts w:hint="eastAsia" w:hAnsi="宋体" w:cs="宋体"/>
          <w:b/>
          <w:color w:val="auto"/>
          <w:sz w:val="24"/>
          <w:highlight w:val="none"/>
        </w:rPr>
        <w:t>5.3利害关系供应商处理。</w:t>
      </w:r>
      <w:r>
        <w:rPr>
          <w:rFonts w:hint="eastAsia" w:hAnsi="宋体" w:cs="宋体"/>
          <w:color w:val="auto"/>
          <w:sz w:val="24"/>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Style w:val="56"/>
        <w:spacing w:line="460" w:lineRule="exact"/>
        <w:ind w:left="1" w:firstLine="482" w:firstLineChars="200"/>
        <w:rPr>
          <w:rFonts w:hAnsi="宋体" w:cs="宋体"/>
          <w:color w:val="auto"/>
          <w:sz w:val="24"/>
          <w:highlight w:val="none"/>
        </w:rPr>
      </w:pPr>
      <w:r>
        <w:rPr>
          <w:rFonts w:hint="eastAsia" w:hAnsi="宋体" w:cs="宋体"/>
          <w:b/>
          <w:color w:val="auto"/>
          <w:sz w:val="24"/>
          <w:highlight w:val="none"/>
        </w:rPr>
        <w:t>5.4 前期参与供应商处理。</w:t>
      </w:r>
      <w:r>
        <w:rPr>
          <w:rFonts w:hint="eastAsia" w:hAnsi="宋体" w:cs="宋体"/>
          <w:color w:val="auto"/>
          <w:sz w:val="24"/>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56"/>
        <w:spacing w:line="460" w:lineRule="exact"/>
        <w:ind w:left="1" w:firstLine="482" w:firstLineChars="200"/>
        <w:rPr>
          <w:rFonts w:hAnsi="宋体" w:cs="宋体"/>
          <w:color w:val="auto"/>
          <w:sz w:val="24"/>
          <w:highlight w:val="none"/>
        </w:rPr>
      </w:pPr>
      <w:r>
        <w:rPr>
          <w:rFonts w:hint="eastAsia" w:hAnsi="宋体" w:cs="宋体"/>
          <w:b/>
          <w:color w:val="auto"/>
          <w:sz w:val="24"/>
          <w:highlight w:val="none"/>
        </w:rPr>
        <w:t>5.5 利害关系代理人处理。</w:t>
      </w:r>
      <w:r>
        <w:rPr>
          <w:rFonts w:hint="eastAsia" w:hAnsi="宋体" w:cs="宋体"/>
          <w:color w:val="auto"/>
          <w:sz w:val="24"/>
          <w:highlight w:val="none"/>
        </w:rPr>
        <w:t>2家以上的供应商不得在同一合同项下的采购项目中，同时委托同一个自然人、同一家庭的人员、同一单位的人员作为其代理人，否则，其投标文件作为无效处理。</w:t>
      </w:r>
    </w:p>
    <w:p>
      <w:pPr>
        <w:pStyle w:val="4"/>
        <w:spacing w:line="400" w:lineRule="exact"/>
        <w:jc w:val="center"/>
        <w:rPr>
          <w:rFonts w:ascii="宋体" w:hAnsi="宋体" w:eastAsia="宋体" w:cs="宋体"/>
          <w:bCs w:val="0"/>
          <w:color w:val="auto"/>
          <w:highlight w:val="none"/>
        </w:rPr>
      </w:pPr>
      <w:bookmarkStart w:id="41" w:name="_Toc77400779"/>
      <w:bookmarkStart w:id="42" w:name="_Toc183582209"/>
      <w:bookmarkStart w:id="43" w:name="_Toc89075875"/>
      <w:bookmarkStart w:id="44" w:name="_Toc183682346"/>
      <w:bookmarkStart w:id="45" w:name="_Toc217446038"/>
      <w:r>
        <w:rPr>
          <w:rFonts w:hint="eastAsia" w:ascii="宋体" w:hAnsi="宋体" w:eastAsia="宋体" w:cs="宋体"/>
          <w:bCs w:val="0"/>
          <w:color w:val="auto"/>
          <w:highlight w:val="none"/>
        </w:rPr>
        <w:t>三、招标文件</w:t>
      </w:r>
      <w:bookmarkEnd w:id="41"/>
      <w:bookmarkEnd w:id="42"/>
      <w:bookmarkEnd w:id="43"/>
      <w:bookmarkEnd w:id="44"/>
      <w:bookmarkEnd w:id="45"/>
    </w:p>
    <w:p>
      <w:pPr>
        <w:pStyle w:val="5"/>
        <w:spacing w:line="400" w:lineRule="exact"/>
        <w:ind w:firstLine="482" w:firstLineChars="200"/>
        <w:rPr>
          <w:rFonts w:ascii="宋体" w:hAnsi="宋体" w:cs="宋体"/>
          <w:color w:val="auto"/>
          <w:sz w:val="24"/>
          <w:highlight w:val="none"/>
        </w:rPr>
      </w:pPr>
      <w:bookmarkStart w:id="46" w:name="_Toc183682347"/>
      <w:bookmarkStart w:id="47" w:name="_Toc183582210"/>
      <w:bookmarkStart w:id="48" w:name="_Toc217446039"/>
      <w:r>
        <w:rPr>
          <w:rFonts w:hint="eastAsia" w:ascii="宋体" w:hAnsi="宋体" w:cs="宋体"/>
          <w:color w:val="auto"/>
          <w:sz w:val="24"/>
          <w:highlight w:val="none"/>
        </w:rPr>
        <w:t>6．招标文件的构成</w:t>
      </w:r>
      <w:bookmarkEnd w:id="46"/>
      <w:bookmarkEnd w:id="47"/>
      <w:bookmarkEnd w:id="48"/>
    </w:p>
    <w:p>
      <w:pPr>
        <w:tabs>
          <w:tab w:val="left" w:pos="7665"/>
        </w:tabs>
        <w:spacing w:line="400" w:lineRule="exact"/>
        <w:ind w:firstLine="480" w:firstLineChars="200"/>
        <w:rPr>
          <w:rFonts w:ascii="宋体" w:hAnsi="宋体" w:cs="宋体"/>
          <w:color w:val="auto"/>
          <w:kern w:val="0"/>
          <w:sz w:val="24"/>
          <w:szCs w:val="22"/>
          <w:highlight w:val="none"/>
        </w:rPr>
      </w:pPr>
      <w:r>
        <w:rPr>
          <w:rFonts w:hint="eastAsia" w:ascii="宋体" w:hAnsi="宋体" w:cs="宋体"/>
          <w:color w:val="auto"/>
          <w:kern w:val="0"/>
          <w:sz w:val="24"/>
          <w:szCs w:val="22"/>
          <w:highlight w:val="none"/>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400" w:lineRule="exact"/>
        <w:ind w:firstLine="480" w:firstLineChars="200"/>
        <w:rPr>
          <w:rFonts w:ascii="宋体" w:hAnsi="宋体" w:cs="宋体"/>
          <w:color w:val="auto"/>
          <w:sz w:val="24"/>
          <w:highlight w:val="none"/>
        </w:rPr>
      </w:pPr>
      <w:r>
        <w:rPr>
          <w:rFonts w:hint="eastAsia" w:ascii="宋体" w:hAnsi="宋体" w:cs="宋体"/>
          <w:color w:val="auto"/>
          <w:kern w:val="0"/>
          <w:sz w:val="24"/>
          <w:szCs w:val="22"/>
          <w:highlight w:val="none"/>
        </w:rPr>
        <w:t>（一）投标</w:t>
      </w:r>
      <w:r>
        <w:rPr>
          <w:rFonts w:hint="eastAsia" w:ascii="宋体" w:hAnsi="宋体" w:cs="宋体"/>
          <w:color w:val="auto"/>
          <w:sz w:val="24"/>
          <w:highlight w:val="none"/>
        </w:rPr>
        <w:t>邀请；</w:t>
      </w:r>
    </w:p>
    <w:p>
      <w:pPr>
        <w:tabs>
          <w:tab w:val="left" w:pos="72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（二）投标人须知；</w:t>
      </w:r>
    </w:p>
    <w:p>
      <w:pPr>
        <w:tabs>
          <w:tab w:val="left" w:pos="72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（三）投标文件格式；</w:t>
      </w:r>
    </w:p>
    <w:p>
      <w:pPr>
        <w:tabs>
          <w:tab w:val="left" w:pos="72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（四）投标人和投标产品的资格、资质性及其他类似效力要求；</w:t>
      </w:r>
    </w:p>
    <w:p>
      <w:pPr>
        <w:tabs>
          <w:tab w:val="left" w:pos="72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（五）投标人应当提供的资格、资质性及其他类似效力要求的相关证明材料；</w:t>
      </w:r>
    </w:p>
    <w:p>
      <w:pPr>
        <w:tabs>
          <w:tab w:val="left" w:pos="72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（六）招标项目技术、商务及其他要求；</w:t>
      </w:r>
    </w:p>
    <w:p>
      <w:pPr>
        <w:tabs>
          <w:tab w:val="left" w:pos="72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（七）评标办法；</w:t>
      </w:r>
    </w:p>
    <w:p>
      <w:pPr>
        <w:tabs>
          <w:tab w:val="left" w:pos="72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（八）政府采购合同（草案）。</w:t>
      </w:r>
    </w:p>
    <w:p>
      <w:pPr>
        <w:pStyle w:val="5"/>
        <w:spacing w:line="400" w:lineRule="exact"/>
        <w:ind w:firstLine="482" w:firstLineChars="200"/>
        <w:rPr>
          <w:rFonts w:ascii="宋体" w:hAnsi="宋体" w:cs="宋体"/>
          <w:color w:val="auto"/>
          <w:sz w:val="24"/>
          <w:highlight w:val="none"/>
        </w:rPr>
      </w:pPr>
      <w:bookmarkStart w:id="49" w:name="_Toc183582211"/>
      <w:bookmarkStart w:id="50" w:name="_Toc183682348"/>
      <w:bookmarkStart w:id="51" w:name="_Toc217446040"/>
      <w:r>
        <w:rPr>
          <w:rFonts w:hint="eastAsia" w:ascii="宋体" w:hAnsi="宋体" w:cs="宋体"/>
          <w:color w:val="auto"/>
          <w:sz w:val="24"/>
          <w:highlight w:val="none"/>
        </w:rPr>
        <w:t>7. 招标文件的澄清</w:t>
      </w:r>
      <w:bookmarkEnd w:id="49"/>
      <w:bookmarkEnd w:id="50"/>
      <w:r>
        <w:rPr>
          <w:rFonts w:hint="eastAsia" w:ascii="宋体" w:hAnsi="宋体" w:cs="宋体"/>
          <w:color w:val="auto"/>
          <w:sz w:val="24"/>
          <w:highlight w:val="none"/>
        </w:rPr>
        <w:t>和修改</w:t>
      </w:r>
      <w:bookmarkEnd w:id="51"/>
    </w:p>
    <w:p>
      <w:pPr>
        <w:tabs>
          <w:tab w:val="left" w:pos="766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7.1 招标采购单位可以依法对招标文件进行澄清或者修改。</w:t>
      </w:r>
    </w:p>
    <w:p>
      <w:pPr>
        <w:tabs>
          <w:tab w:val="left" w:pos="766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7.2 招标采购单位对已发出的招标文件进行澄清或者修改，应当以书面形式将澄清或者修改的内容通知所有获取了招标文件的供应商，同时在四川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15日前；不足上述时间的，应当顺延提交投标文件、资格预审申请文件的截止时间。</w:t>
      </w:r>
    </w:p>
    <w:p>
      <w:pPr>
        <w:tabs>
          <w:tab w:val="left" w:pos="766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7.3 供应商应于投标文件递交截止时间之前在四川政府采购网查询本项目的更正公告，以保证其对招标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7.4 投标人认为需要对招标文件进行澄清或者修改的，可以以书面形式向招标采购单位提出申请，但招标采购单位可以决定是否采纳投标人的申请事项。</w:t>
      </w:r>
    </w:p>
    <w:p>
      <w:pPr>
        <w:pStyle w:val="5"/>
        <w:spacing w:line="400" w:lineRule="exact"/>
        <w:ind w:firstLine="482" w:firstLineChars="200"/>
        <w:rPr>
          <w:rFonts w:ascii="宋体" w:hAnsi="宋体" w:cs="宋体"/>
          <w:color w:val="auto"/>
          <w:sz w:val="24"/>
          <w:highlight w:val="none"/>
        </w:rPr>
      </w:pPr>
      <w:bookmarkStart w:id="52" w:name="_Toc217446041"/>
      <w:bookmarkStart w:id="53" w:name="_Toc208848971"/>
      <w:r>
        <w:rPr>
          <w:rFonts w:hint="eastAsia" w:ascii="宋体" w:hAnsi="宋体" w:cs="宋体"/>
          <w:color w:val="auto"/>
          <w:sz w:val="24"/>
          <w:highlight w:val="none"/>
        </w:rPr>
        <w:t>8. 答疑会和现场考察</w:t>
      </w:r>
      <w:bookmarkEnd w:id="52"/>
      <w:bookmarkEnd w:id="53"/>
    </w:p>
    <w:p>
      <w:pPr>
        <w:tabs>
          <w:tab w:val="left" w:pos="766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tabs>
          <w:tab w:val="left" w:pos="766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现场考察或标前答疑会时间：本项目不组织。</w:t>
      </w:r>
    </w:p>
    <w:p>
      <w:pPr>
        <w:tabs>
          <w:tab w:val="left" w:pos="766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现场考察或标前答疑会地点：本项目不组织。</w:t>
      </w:r>
    </w:p>
    <w:bookmarkEnd w:id="40"/>
    <w:p>
      <w:pPr>
        <w:tabs>
          <w:tab w:val="left" w:pos="7665"/>
        </w:tabs>
        <w:spacing w:line="400" w:lineRule="exact"/>
        <w:ind w:firstLine="480" w:firstLineChars="200"/>
        <w:rPr>
          <w:rFonts w:ascii="宋体" w:hAnsi="宋体" w:cs="宋体"/>
          <w:color w:val="auto"/>
          <w:sz w:val="24"/>
          <w:highlight w:val="none"/>
        </w:rPr>
      </w:pPr>
      <w:bookmarkStart w:id="54" w:name="PO_默认文件内容_18"/>
      <w:r>
        <w:rPr>
          <w:rFonts w:hint="eastAsia" w:ascii="宋体" w:hAnsi="宋体" w:cs="宋体"/>
          <w:color w:val="auto"/>
          <w:sz w:val="24"/>
          <w:highlight w:val="none"/>
        </w:rPr>
        <w:t>8.2 供应商考察现场所发生的一切费用由供应商自己承担。</w:t>
      </w:r>
    </w:p>
    <w:p>
      <w:pPr>
        <w:pStyle w:val="4"/>
        <w:spacing w:line="400" w:lineRule="exact"/>
        <w:jc w:val="center"/>
        <w:rPr>
          <w:rFonts w:ascii="宋体" w:hAnsi="宋体" w:eastAsia="宋体" w:cs="宋体"/>
          <w:bCs w:val="0"/>
          <w:color w:val="auto"/>
          <w:highlight w:val="none"/>
        </w:rPr>
      </w:pPr>
      <w:bookmarkStart w:id="55" w:name="_Toc183582214"/>
      <w:bookmarkStart w:id="56" w:name="_Toc89075876"/>
      <w:bookmarkStart w:id="57" w:name="_Toc77400780"/>
      <w:bookmarkStart w:id="58" w:name="_Toc183682351"/>
      <w:bookmarkStart w:id="59" w:name="_Toc217446042"/>
      <w:r>
        <w:rPr>
          <w:rFonts w:hint="eastAsia" w:ascii="宋体" w:hAnsi="宋体" w:eastAsia="宋体" w:cs="宋体"/>
          <w:bCs w:val="0"/>
          <w:color w:val="auto"/>
          <w:highlight w:val="none"/>
        </w:rPr>
        <w:t>四、投标文件</w:t>
      </w:r>
      <w:bookmarkEnd w:id="55"/>
      <w:bookmarkEnd w:id="56"/>
      <w:bookmarkEnd w:id="57"/>
      <w:bookmarkEnd w:id="58"/>
      <w:bookmarkEnd w:id="59"/>
    </w:p>
    <w:p>
      <w:pPr>
        <w:pStyle w:val="5"/>
        <w:spacing w:line="400" w:lineRule="exact"/>
        <w:ind w:firstLine="482" w:firstLineChars="200"/>
        <w:rPr>
          <w:rFonts w:ascii="宋体" w:hAnsi="宋体" w:cs="宋体"/>
          <w:bCs w:val="0"/>
          <w:color w:val="auto"/>
          <w:sz w:val="24"/>
          <w:highlight w:val="none"/>
        </w:rPr>
      </w:pPr>
      <w:bookmarkStart w:id="60" w:name="_Toc217446043"/>
      <w:bookmarkStart w:id="61" w:name="_Toc183682352"/>
      <w:bookmarkStart w:id="62" w:name="_Toc183582215"/>
      <w:r>
        <w:rPr>
          <w:rFonts w:hint="eastAsia" w:ascii="宋体" w:hAnsi="宋体" w:cs="宋体"/>
          <w:bCs w:val="0"/>
          <w:color w:val="auto"/>
          <w:sz w:val="24"/>
          <w:highlight w:val="none"/>
        </w:rPr>
        <w:t>9．投标文件的语言</w:t>
      </w:r>
      <w:bookmarkEnd w:id="60"/>
      <w:bookmarkEnd w:id="61"/>
      <w:bookmarkEnd w:id="62"/>
      <w:r>
        <w:rPr>
          <w:rFonts w:hint="eastAsia" w:ascii="宋体" w:hAnsi="宋体" w:cs="宋体"/>
          <w:color w:val="auto"/>
          <w:sz w:val="24"/>
          <w:szCs w:val="24"/>
          <w:highlight w:val="none"/>
        </w:rPr>
        <w:t>（实质性要求）</w:t>
      </w:r>
    </w:p>
    <w:p>
      <w:pPr>
        <w:tabs>
          <w:tab w:val="left" w:pos="1134"/>
        </w:tabs>
        <w:spacing w:line="360" w:lineRule="auto"/>
        <w:ind w:firstLine="480" w:firstLineChars="200"/>
        <w:jc w:val="left"/>
        <w:rPr>
          <w:rFonts w:ascii="宋体" w:hAnsi="宋体" w:cs="宋体"/>
          <w:color w:val="auto"/>
          <w:sz w:val="24"/>
          <w:highlight w:val="none"/>
        </w:rPr>
      </w:pPr>
      <w:bookmarkStart w:id="63" w:name="_Toc217446044"/>
      <w:bookmarkStart w:id="64" w:name="_Toc183582216"/>
      <w:bookmarkStart w:id="65" w:name="_Toc183682353"/>
      <w:r>
        <w:rPr>
          <w:rFonts w:hint="eastAsia" w:ascii="宋体" w:hAnsi="宋体" w:cs="宋体"/>
          <w:color w:val="auto"/>
          <w:sz w:val="24"/>
          <w:highlight w:val="none"/>
        </w:rPr>
        <w:t>9.1 投标人提交的投标文件以及投标人与招标采购单位就有关投标的所有来往书面文件均须使用中文。投标文件中如附有外文资料，主要部分对应翻译成中文并加盖投标人公章后附在相关外文资料后面。</w:t>
      </w:r>
    </w:p>
    <w:p>
      <w:pPr>
        <w:tabs>
          <w:tab w:val="left" w:pos="1134"/>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9.2 翻译的中文资料与外文资料如果出现差异和矛盾时，以中文为准。涉嫌虚假响应的按照相关法律法规处理。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9.3 如因未翻译而造成的废标，由投标人承担。</w:t>
      </w:r>
    </w:p>
    <w:p>
      <w:pPr>
        <w:pStyle w:val="5"/>
        <w:spacing w:line="400" w:lineRule="exact"/>
        <w:ind w:firstLine="482" w:firstLineChars="200"/>
        <w:rPr>
          <w:rFonts w:ascii="宋体" w:hAnsi="宋体" w:cs="宋体"/>
          <w:color w:val="auto"/>
          <w:sz w:val="24"/>
          <w:highlight w:val="none"/>
        </w:rPr>
      </w:pPr>
      <w:r>
        <w:rPr>
          <w:rFonts w:hint="eastAsia" w:ascii="宋体" w:hAnsi="宋体" w:cs="宋体"/>
          <w:color w:val="auto"/>
          <w:sz w:val="24"/>
          <w:highlight w:val="none"/>
        </w:rPr>
        <w:t>10．计量单位</w:t>
      </w:r>
      <w:bookmarkEnd w:id="63"/>
      <w:bookmarkEnd w:id="64"/>
      <w:bookmarkEnd w:id="65"/>
      <w:r>
        <w:rPr>
          <w:rFonts w:hint="eastAsia" w:ascii="宋体" w:hAnsi="宋体" w:cs="宋体"/>
          <w:color w:val="auto"/>
          <w:sz w:val="24"/>
          <w:szCs w:val="24"/>
          <w:highlight w:val="none"/>
        </w:rPr>
        <w:t>（实质性要求）</w:t>
      </w:r>
    </w:p>
    <w:p>
      <w:pPr>
        <w:spacing w:line="40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除招标文件中另有规定外，本次采购项目所有合同项下的投标均采用国家法定的计量单位。</w:t>
      </w:r>
    </w:p>
    <w:p>
      <w:pPr>
        <w:pStyle w:val="5"/>
        <w:spacing w:line="400" w:lineRule="exact"/>
        <w:ind w:firstLine="482" w:firstLineChars="200"/>
        <w:rPr>
          <w:rFonts w:ascii="宋体" w:hAnsi="宋体" w:cs="宋体"/>
          <w:color w:val="auto"/>
          <w:sz w:val="24"/>
          <w:highlight w:val="none"/>
        </w:rPr>
      </w:pPr>
      <w:bookmarkStart w:id="66" w:name="_Toc217446045"/>
      <w:r>
        <w:rPr>
          <w:rFonts w:hint="eastAsia" w:ascii="宋体" w:hAnsi="宋体" w:cs="宋体"/>
          <w:color w:val="auto"/>
          <w:sz w:val="24"/>
          <w:highlight w:val="none"/>
        </w:rPr>
        <w:t>11. 投标货币</w:t>
      </w:r>
      <w:bookmarkEnd w:id="66"/>
      <w:r>
        <w:rPr>
          <w:rFonts w:hint="eastAsia" w:ascii="宋体" w:hAnsi="宋体" w:cs="宋体"/>
          <w:color w:val="auto"/>
          <w:sz w:val="24"/>
          <w:highlight w:val="none"/>
        </w:rPr>
        <w:t>（实质性要求）</w:t>
      </w:r>
    </w:p>
    <w:p>
      <w:pPr>
        <w:spacing w:line="40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本次招标项目的投标均以人民币报价。</w:t>
      </w:r>
    </w:p>
    <w:p>
      <w:pPr>
        <w:pStyle w:val="5"/>
        <w:spacing w:line="400" w:lineRule="exact"/>
        <w:ind w:firstLine="482" w:firstLineChars="200"/>
        <w:rPr>
          <w:rFonts w:ascii="宋体" w:hAnsi="宋体" w:cs="宋体"/>
          <w:color w:val="auto"/>
          <w:sz w:val="24"/>
          <w:highlight w:val="none"/>
        </w:rPr>
      </w:pPr>
      <w:bookmarkStart w:id="67" w:name="_Toc217446046"/>
      <w:r>
        <w:rPr>
          <w:rFonts w:hint="eastAsia" w:ascii="宋体" w:hAnsi="宋体" w:cs="宋体"/>
          <w:color w:val="auto"/>
          <w:sz w:val="24"/>
          <w:highlight w:val="none"/>
        </w:rPr>
        <w:t>12. 联合体投标</w:t>
      </w:r>
      <w:bookmarkEnd w:id="67"/>
    </w:p>
    <w:p>
      <w:pPr>
        <w:spacing w:line="400" w:lineRule="exact"/>
        <w:ind w:firstLine="470" w:firstLineChars="196"/>
        <w:rPr>
          <w:rFonts w:ascii="宋体" w:hAnsi="宋体" w:cs="宋体"/>
          <w:color w:val="auto"/>
          <w:sz w:val="24"/>
          <w:highlight w:val="none"/>
        </w:rPr>
      </w:pPr>
      <w:bookmarkStart w:id="68" w:name="_Toc217446047"/>
      <w:r>
        <w:rPr>
          <w:rFonts w:hint="eastAsia" w:ascii="宋体" w:hAnsi="宋体" w:cs="宋体"/>
          <w:color w:val="auto"/>
          <w:sz w:val="24"/>
          <w:highlight w:val="none"/>
        </w:rPr>
        <w:t>本项目不接受联合体投标。</w:t>
      </w:r>
    </w:p>
    <w:p>
      <w:pPr>
        <w:pStyle w:val="5"/>
        <w:spacing w:line="400" w:lineRule="exact"/>
        <w:ind w:firstLine="482" w:firstLineChars="200"/>
        <w:rPr>
          <w:rFonts w:ascii="宋体" w:hAnsi="宋体" w:cs="宋体"/>
          <w:color w:val="auto"/>
          <w:sz w:val="24"/>
          <w:highlight w:val="none"/>
        </w:rPr>
      </w:pPr>
      <w:bookmarkStart w:id="69" w:name="_Toc308164797"/>
      <w:r>
        <w:rPr>
          <w:rFonts w:hint="eastAsia" w:ascii="宋体" w:hAnsi="宋体" w:cs="宋体"/>
          <w:color w:val="auto"/>
          <w:sz w:val="24"/>
          <w:highlight w:val="none"/>
        </w:rPr>
        <w:t>13. 知识产权</w:t>
      </w:r>
      <w:bookmarkEnd w:id="68"/>
      <w:bookmarkEnd w:id="69"/>
      <w:r>
        <w:rPr>
          <w:rFonts w:hint="eastAsia" w:ascii="宋体" w:hAnsi="宋体" w:cs="宋体"/>
          <w:color w:val="auto"/>
          <w:sz w:val="24"/>
          <w:highlight w:val="none"/>
        </w:rPr>
        <w:t>（实质性要求）</w:t>
      </w:r>
    </w:p>
    <w:p>
      <w:pPr>
        <w:pStyle w:val="13"/>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3"/>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 采购人享有本项目实施过程中产生的知识成果及知识产权。</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13.3 投标人如欲在项目实施过程中采用自有知识成果，投标人需提供开发接口和开发手册等技术文档，并承诺提供无限期技术支持，采购人享有永久使用权（含采购人委托第三方在该项目后续开发的使用权）。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 xml:space="preserve">13.4 如采用投标人所不拥有的知识产权，则在投标报价中必须包括合法获取该知识产权的相关费用。 </w:t>
      </w:r>
    </w:p>
    <w:p>
      <w:pPr>
        <w:pStyle w:val="5"/>
        <w:spacing w:line="400" w:lineRule="exact"/>
        <w:ind w:firstLine="482" w:firstLineChars="200"/>
        <w:rPr>
          <w:rFonts w:ascii="宋体" w:hAnsi="宋体" w:cs="宋体"/>
          <w:color w:val="auto"/>
          <w:sz w:val="24"/>
          <w:highlight w:val="none"/>
        </w:rPr>
      </w:pPr>
      <w:bookmarkStart w:id="70" w:name="_Toc217446048"/>
      <w:bookmarkStart w:id="71" w:name="_Toc183682354"/>
      <w:bookmarkStart w:id="72" w:name="_Toc308164798"/>
      <w:bookmarkStart w:id="73" w:name="_Toc183582217"/>
      <w:r>
        <w:rPr>
          <w:rFonts w:hint="eastAsia" w:ascii="宋体" w:hAnsi="宋体" w:cs="宋体"/>
          <w:color w:val="auto"/>
          <w:sz w:val="24"/>
          <w:highlight w:val="none"/>
        </w:rPr>
        <w:t>14．投标文件的组成</w:t>
      </w:r>
      <w:bookmarkEnd w:id="70"/>
      <w:bookmarkEnd w:id="71"/>
      <w:bookmarkEnd w:id="72"/>
      <w:bookmarkEnd w:id="73"/>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投标人应按照招标文件的规定和要求编制投标文件。投标人编写的投标文件应至少包括下列两部分文件：</w:t>
      </w:r>
    </w:p>
    <w:p>
      <w:pPr>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文件一：资格性投标文件</w:t>
      </w:r>
    </w:p>
    <w:p>
      <w:pPr>
        <w:spacing w:line="4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（一）</w:t>
      </w:r>
      <w:r>
        <w:rPr>
          <w:rFonts w:hint="eastAsia" w:ascii="宋体" w:hAnsi="宋体" w:cs="宋体"/>
          <w:color w:val="auto"/>
          <w:sz w:val="24"/>
          <w:highlight w:val="none"/>
        </w:rPr>
        <w:t>法定代表人/单位负责人授权书</w:t>
      </w:r>
    </w:p>
    <w:p>
      <w:pPr>
        <w:spacing w:line="400" w:lineRule="exact"/>
        <w:ind w:firstLine="1200" w:firstLineChars="500"/>
        <w:rPr>
          <w:rFonts w:ascii="宋体" w:hAnsi="宋体" w:cs="宋体"/>
          <w:color w:val="auto"/>
          <w:sz w:val="24"/>
          <w:highlight w:val="none"/>
        </w:rPr>
      </w:pPr>
      <w:r>
        <w:rPr>
          <w:rFonts w:hint="eastAsia" w:ascii="宋体" w:hAnsi="宋体" w:cs="宋体"/>
          <w:color w:val="auto"/>
          <w:sz w:val="24"/>
          <w:highlight w:val="none"/>
        </w:rPr>
        <w:t>法定代表人/单位负责人身份证明书</w:t>
      </w:r>
    </w:p>
    <w:p>
      <w:pPr>
        <w:spacing w:line="4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（二）承诺函</w:t>
      </w:r>
    </w:p>
    <w:p>
      <w:pPr>
        <w:spacing w:line="4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（三）投标人和投标产品其他资格、资质性及其他类似效力要求的相关证明材料</w:t>
      </w:r>
    </w:p>
    <w:p>
      <w:pPr>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（四）投标人单位及其现任法定代表人、主要负责人不得具有行贿犯罪记录承诺函</w:t>
      </w:r>
    </w:p>
    <w:p>
      <w:pPr>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文件二：其他响应性投标文件</w:t>
      </w:r>
    </w:p>
    <w:p>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（一）投 标 函</w:t>
      </w:r>
    </w:p>
    <w:p>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（二）开标一览表。</w:t>
      </w:r>
    </w:p>
    <w:p>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（三）商务应答表</w:t>
      </w:r>
    </w:p>
    <w:p>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（四）商务、技术、服务应答附表</w:t>
      </w:r>
    </w:p>
    <w:p>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（五）投标人基本情况表</w:t>
      </w:r>
    </w:p>
    <w:p>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（六）类似项目业绩一览表</w:t>
      </w:r>
    </w:p>
    <w:p>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（七）投标产品技术参数要求应答表</w:t>
      </w:r>
    </w:p>
    <w:p>
      <w:pPr>
        <w:adjustRightInd w:val="0"/>
        <w:snapToGrid w:val="0"/>
        <w:spacing w:line="400" w:lineRule="exact"/>
        <w:ind w:firstLine="482" w:firstLineChars="200"/>
        <w:rPr>
          <w:rFonts w:ascii="宋体" w:hAnsi="宋体" w:cs="宋体"/>
          <w:b/>
          <w:color w:val="auto"/>
          <w:sz w:val="24"/>
          <w:highlight w:val="none"/>
        </w:rPr>
      </w:pPr>
    </w:p>
    <w:p>
      <w:pPr>
        <w:adjustRightInd w:val="0"/>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（八）拟派本项目人员情况表技术</w:t>
      </w:r>
    </w:p>
    <w:p>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（九）项目实施方案</w:t>
      </w:r>
    </w:p>
    <w:p>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（十）供应商诚信情况承诺函</w:t>
      </w:r>
    </w:p>
    <w:p>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（十一）中小企业（监狱企业）声明函</w:t>
      </w:r>
    </w:p>
    <w:p>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（十二）残疾人福利性单位声明函</w:t>
      </w:r>
    </w:p>
    <w:p>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（十三）知识产权声明函</w:t>
      </w:r>
    </w:p>
    <w:p>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（十四）实质性承诺函</w:t>
      </w:r>
    </w:p>
    <w:p>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（十五）承诺函</w:t>
      </w:r>
    </w:p>
    <w:p>
      <w:pPr>
        <w:adjustRightInd w:val="0"/>
        <w:snapToGrid w:val="0"/>
        <w:spacing w:line="400" w:lineRule="exact"/>
        <w:ind w:firstLine="482" w:firstLineChars="200"/>
        <w:rPr>
          <w:rFonts w:ascii="宋体" w:hAnsi="宋体" w:cs="宋体"/>
          <w:b/>
          <w:bCs/>
          <w:color w:val="auto"/>
          <w:sz w:val="24"/>
          <w:highlight w:val="none"/>
        </w:rPr>
      </w:pPr>
      <w:r>
        <w:rPr>
          <w:rFonts w:hint="eastAsia" w:ascii="宋体" w:hAnsi="宋体" w:cs="宋体"/>
          <w:b/>
          <w:color w:val="auto"/>
          <w:sz w:val="24"/>
          <w:highlight w:val="none"/>
        </w:rPr>
        <w:t>（十六）投标人按照招标文件要求作出的其他应答和承诺。</w:t>
      </w:r>
    </w:p>
    <w:p>
      <w:pPr>
        <w:pStyle w:val="5"/>
        <w:tabs>
          <w:tab w:val="left" w:pos="3480"/>
        </w:tabs>
        <w:spacing w:line="400" w:lineRule="exact"/>
        <w:ind w:firstLine="482" w:firstLineChars="200"/>
        <w:rPr>
          <w:rFonts w:ascii="宋体" w:hAnsi="宋体" w:cs="宋体"/>
          <w:color w:val="auto"/>
          <w:sz w:val="24"/>
          <w:highlight w:val="none"/>
        </w:rPr>
      </w:pPr>
      <w:bookmarkStart w:id="74" w:name="_Toc217446049"/>
      <w:bookmarkStart w:id="75" w:name="_Toc183582218"/>
      <w:bookmarkStart w:id="76" w:name="_Toc308164799"/>
      <w:bookmarkStart w:id="77" w:name="_Toc183682355"/>
      <w:r>
        <w:rPr>
          <w:rFonts w:hint="eastAsia" w:ascii="宋体" w:hAnsi="宋体" w:cs="宋体"/>
          <w:color w:val="auto"/>
          <w:sz w:val="24"/>
          <w:highlight w:val="none"/>
        </w:rPr>
        <w:t>15．投标文件格式</w:t>
      </w:r>
      <w:bookmarkEnd w:id="74"/>
      <w:bookmarkEnd w:id="75"/>
      <w:bookmarkEnd w:id="76"/>
      <w:bookmarkEnd w:id="77"/>
    </w:p>
    <w:p>
      <w:pPr>
        <w:tabs>
          <w:tab w:val="left" w:pos="7665"/>
        </w:tabs>
        <w:spacing w:line="400" w:lineRule="exact"/>
        <w:ind w:left="13" w:leftChars="6" w:firstLine="480" w:firstLineChars="200"/>
        <w:rPr>
          <w:rFonts w:ascii="宋体" w:hAnsi="宋体" w:cs="宋体"/>
          <w:color w:val="auto"/>
          <w:sz w:val="24"/>
          <w:highlight w:val="none"/>
        </w:rPr>
      </w:pPr>
      <w:r>
        <w:rPr>
          <w:rFonts w:hint="eastAsia" w:ascii="宋体" w:hAnsi="宋体" w:cs="宋体"/>
          <w:color w:val="auto"/>
          <w:sz w:val="24"/>
          <w:highlight w:val="none"/>
        </w:rPr>
        <w:t>15.1 投标人应执行招标文件第三章的规定要求。第三章格式中“注”的内容，投标人可自行决定是否保留在投标文件中，未保留的视为投标人默认接受“注”的内容。</w:t>
      </w:r>
    </w:p>
    <w:p>
      <w:pPr>
        <w:tabs>
          <w:tab w:val="left" w:pos="7665"/>
        </w:tabs>
        <w:spacing w:line="400" w:lineRule="exact"/>
        <w:ind w:left="13" w:leftChars="6" w:firstLine="480" w:firstLineChars="200"/>
        <w:rPr>
          <w:rFonts w:ascii="宋体" w:hAnsi="宋体" w:cs="宋体"/>
          <w:color w:val="auto"/>
          <w:sz w:val="24"/>
          <w:highlight w:val="none"/>
        </w:rPr>
      </w:pPr>
      <w:r>
        <w:rPr>
          <w:rFonts w:hint="eastAsia" w:ascii="宋体" w:hAnsi="宋体" w:cs="宋体"/>
          <w:color w:val="auto"/>
          <w:sz w:val="24"/>
          <w:highlight w:val="none"/>
        </w:rPr>
        <w:t>15.2 对于没有格式要求的投标文件由投标人自行编写。</w:t>
      </w:r>
    </w:p>
    <w:p>
      <w:pPr>
        <w:pStyle w:val="5"/>
        <w:spacing w:line="400" w:lineRule="exact"/>
        <w:ind w:firstLine="482" w:firstLineChars="200"/>
        <w:rPr>
          <w:rFonts w:ascii="宋体" w:hAnsi="宋体" w:cs="宋体"/>
          <w:color w:val="auto"/>
          <w:sz w:val="24"/>
          <w:highlight w:val="none"/>
        </w:rPr>
      </w:pPr>
      <w:bookmarkStart w:id="78" w:name="_Toc183582223"/>
      <w:bookmarkStart w:id="79" w:name="_Toc217446050"/>
      <w:bookmarkStart w:id="80" w:name="_Toc183682360"/>
      <w:bookmarkStart w:id="81" w:name="_Toc308164800"/>
      <w:r>
        <w:rPr>
          <w:rFonts w:hint="eastAsia" w:ascii="宋体" w:hAnsi="宋体" w:cs="宋体"/>
          <w:bCs w:val="0"/>
          <w:color w:val="auto"/>
          <w:sz w:val="24"/>
          <w:highlight w:val="none"/>
        </w:rPr>
        <w:t>16．投标保证金</w:t>
      </w:r>
      <w:bookmarkEnd w:id="78"/>
      <w:bookmarkEnd w:id="79"/>
      <w:bookmarkEnd w:id="80"/>
      <w:bookmarkEnd w:id="81"/>
    </w:p>
    <w:p>
      <w:pPr>
        <w:tabs>
          <w:tab w:val="left" w:pos="7665"/>
        </w:tabs>
        <w:spacing w:line="400" w:lineRule="exact"/>
        <w:ind w:left="13" w:leftChars="6" w:firstLine="480" w:firstLineChars="200"/>
        <w:rPr>
          <w:rFonts w:ascii="宋体" w:hAnsi="宋体" w:cs="宋体"/>
          <w:color w:val="auto"/>
          <w:sz w:val="24"/>
          <w:highlight w:val="none"/>
        </w:rPr>
      </w:pPr>
      <w:bookmarkStart w:id="82" w:name="_Toc308164801"/>
      <w:bookmarkStart w:id="83" w:name="_Toc183682361"/>
      <w:bookmarkStart w:id="84" w:name="_Toc183582224"/>
      <w:bookmarkStart w:id="85" w:name="_Toc217446051"/>
      <w:r>
        <w:rPr>
          <w:rFonts w:hint="eastAsia" w:ascii="宋体" w:hAnsi="宋体" w:cs="宋体"/>
          <w:color w:val="auto"/>
          <w:sz w:val="24"/>
          <w:highlight w:val="none"/>
        </w:rPr>
        <w:t>根据《四川省财政厅关于进一步做好疫情防控期间政府采购工作有关事项的通知》（川财采[2020]28号）文件，本项目不收取投标保证金。</w:t>
      </w:r>
    </w:p>
    <w:p>
      <w:pPr>
        <w:pStyle w:val="5"/>
        <w:spacing w:line="400" w:lineRule="exact"/>
        <w:ind w:firstLine="482" w:firstLineChars="200"/>
        <w:rPr>
          <w:rFonts w:ascii="宋体" w:hAnsi="宋体" w:cs="宋体"/>
          <w:color w:val="auto"/>
          <w:sz w:val="24"/>
          <w:highlight w:val="none"/>
        </w:rPr>
      </w:pPr>
      <w:r>
        <w:rPr>
          <w:rFonts w:hint="eastAsia" w:ascii="宋体" w:hAnsi="宋体" w:cs="宋体"/>
          <w:color w:val="auto"/>
          <w:sz w:val="24"/>
          <w:highlight w:val="none"/>
        </w:rPr>
        <w:t>17．投标有效期</w:t>
      </w:r>
      <w:bookmarkEnd w:id="82"/>
      <w:bookmarkEnd w:id="83"/>
      <w:bookmarkEnd w:id="84"/>
      <w:bookmarkEnd w:id="85"/>
      <w:r>
        <w:rPr>
          <w:rFonts w:hint="eastAsia" w:ascii="宋体" w:hAnsi="宋体" w:cs="宋体"/>
          <w:color w:val="auto"/>
          <w:sz w:val="24"/>
          <w:highlight w:val="none"/>
        </w:rPr>
        <w:t>（实质性要求）</w:t>
      </w:r>
    </w:p>
    <w:p>
      <w:pPr>
        <w:tabs>
          <w:tab w:val="left" w:pos="7665"/>
        </w:tabs>
        <w:spacing w:line="400" w:lineRule="exact"/>
        <w:ind w:left="13" w:leftChars="6" w:firstLine="360" w:firstLineChars="150"/>
        <w:rPr>
          <w:rFonts w:ascii="宋体" w:hAnsi="宋体" w:cs="宋体"/>
          <w:color w:val="auto"/>
          <w:sz w:val="24"/>
          <w:highlight w:val="none"/>
        </w:rPr>
      </w:pPr>
      <w:r>
        <w:rPr>
          <w:rFonts w:hint="eastAsia" w:ascii="宋体" w:hAnsi="宋体" w:cs="宋体"/>
          <w:color w:val="auto"/>
          <w:sz w:val="24"/>
          <w:highlight w:val="none"/>
        </w:rPr>
        <w:t>17.1 本项目投标有效期为投标截止之日起</w:t>
      </w:r>
      <w:r>
        <w:rPr>
          <w:rFonts w:hint="eastAsia" w:ascii="宋体" w:hAnsi="宋体" w:cs="宋体"/>
          <w:b/>
          <w:bCs/>
          <w:color w:val="auto"/>
          <w:sz w:val="24"/>
          <w:highlight w:val="none"/>
        </w:rPr>
        <w:t>90</w:t>
      </w:r>
      <w:r>
        <w:rPr>
          <w:rFonts w:hint="eastAsia" w:ascii="宋体" w:hAnsi="宋体" w:cs="宋体"/>
          <w:color w:val="auto"/>
          <w:sz w:val="24"/>
          <w:highlight w:val="none"/>
        </w:rPr>
        <w:t>天。投标人投标文件中必须载明投标有效期，投标文件中载明的投标有效期可以长于招标文件规定的期限，但不得短于招标文件规定的期限。否则，其投标文件将作为无效投标处理。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400" w:lineRule="exact"/>
        <w:ind w:left="13" w:leftChars="6" w:firstLine="360" w:firstLineChars="150"/>
        <w:rPr>
          <w:rFonts w:ascii="宋体" w:hAnsi="宋体" w:cs="宋体"/>
          <w:color w:val="auto"/>
          <w:sz w:val="24"/>
          <w:highlight w:val="none"/>
        </w:rPr>
      </w:pPr>
      <w:r>
        <w:rPr>
          <w:rFonts w:hint="eastAsia" w:ascii="宋体" w:hAnsi="宋体" w:cs="宋体"/>
          <w:color w:val="auto"/>
          <w:sz w:val="24"/>
          <w:highlight w:val="none"/>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line="400" w:lineRule="exact"/>
        <w:ind w:left="13" w:leftChars="6" w:firstLine="360" w:firstLineChars="150"/>
        <w:rPr>
          <w:rFonts w:ascii="宋体" w:hAnsi="宋体" w:cs="宋体"/>
          <w:color w:val="auto"/>
          <w:sz w:val="24"/>
          <w:highlight w:val="none"/>
        </w:rPr>
      </w:pPr>
      <w:r>
        <w:rPr>
          <w:rFonts w:hint="eastAsia" w:ascii="宋体" w:hAnsi="宋体" w:cs="宋体"/>
          <w:color w:val="auto"/>
          <w:sz w:val="24"/>
          <w:highlight w:val="none"/>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line="400" w:lineRule="exact"/>
        <w:ind w:firstLine="482" w:firstLineChars="200"/>
        <w:rPr>
          <w:rFonts w:ascii="宋体" w:hAnsi="宋体" w:cs="宋体"/>
          <w:bCs w:val="0"/>
          <w:color w:val="auto"/>
          <w:sz w:val="24"/>
          <w:highlight w:val="none"/>
        </w:rPr>
      </w:pPr>
      <w:bookmarkStart w:id="86" w:name="_Toc183582225"/>
      <w:bookmarkStart w:id="87" w:name="_Toc217446052"/>
      <w:bookmarkStart w:id="88" w:name="_Toc308164802"/>
      <w:bookmarkStart w:id="89" w:name="_Toc183682362"/>
      <w:r>
        <w:rPr>
          <w:rFonts w:hint="eastAsia" w:ascii="宋体" w:hAnsi="宋体" w:cs="宋体"/>
          <w:bCs w:val="0"/>
          <w:color w:val="auto"/>
          <w:sz w:val="24"/>
          <w:highlight w:val="none"/>
        </w:rPr>
        <w:t>18．投标文件的印制和签署</w:t>
      </w:r>
      <w:bookmarkEnd w:id="86"/>
      <w:bookmarkEnd w:id="87"/>
      <w:bookmarkEnd w:id="88"/>
      <w:bookmarkEnd w:id="89"/>
    </w:p>
    <w:p>
      <w:pPr>
        <w:tabs>
          <w:tab w:val="left" w:pos="1080"/>
        </w:tabs>
        <w:spacing w:line="40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18.1投标文件分为“资格性投标文件”和“其他响应性投标文件”两部分，且该两部分应分册装订。</w:t>
      </w:r>
    </w:p>
    <w:p>
      <w:pPr>
        <w:spacing w:line="400" w:lineRule="exact"/>
        <w:ind w:firstLine="468" w:firstLineChars="195"/>
        <w:rPr>
          <w:rFonts w:ascii="宋体" w:hAnsi="宋体" w:cs="宋体"/>
          <w:bCs/>
          <w:color w:val="auto"/>
          <w:sz w:val="24"/>
          <w:highlight w:val="none"/>
        </w:rPr>
      </w:pPr>
      <w:r>
        <w:rPr>
          <w:rFonts w:hint="eastAsia" w:ascii="宋体" w:hAnsi="宋体" w:cs="宋体"/>
          <w:color w:val="auto"/>
          <w:sz w:val="24"/>
          <w:highlight w:val="none"/>
        </w:rPr>
        <w:t>18.2资格性投标文件正本1份副本2份</w:t>
      </w:r>
      <w:r>
        <w:rPr>
          <w:rFonts w:hint="eastAsia" w:ascii="宋体" w:hAnsi="宋体" w:cs="宋体"/>
          <w:bCs/>
          <w:color w:val="auto"/>
          <w:sz w:val="24"/>
          <w:highlight w:val="none"/>
        </w:rPr>
        <w:t>，并在其封面上清楚地标明</w:t>
      </w:r>
      <w:r>
        <w:rPr>
          <w:rFonts w:hint="eastAsia" w:ascii="宋体" w:hAnsi="宋体" w:cs="宋体"/>
          <w:color w:val="auto"/>
          <w:sz w:val="24"/>
          <w:highlight w:val="none"/>
        </w:rPr>
        <w:t>资格性投标文件</w:t>
      </w:r>
      <w:r>
        <w:rPr>
          <w:rFonts w:hint="eastAsia" w:ascii="宋体" w:hAnsi="宋体" w:cs="宋体"/>
          <w:bCs/>
          <w:color w:val="auto"/>
          <w:sz w:val="24"/>
          <w:highlight w:val="none"/>
        </w:rPr>
        <w:t>、项目名称、项目编号、包件号及名称（若有）、投标人名称以及“正本”或“副本”字样。若正本和副本有不一致的内容，以正本书面投标文件为准。</w:t>
      </w:r>
    </w:p>
    <w:p>
      <w:pPr>
        <w:spacing w:line="400" w:lineRule="exact"/>
        <w:ind w:firstLine="468" w:firstLineChars="195"/>
        <w:rPr>
          <w:rFonts w:ascii="宋体" w:hAnsi="宋体" w:cs="宋体"/>
          <w:bCs/>
          <w:color w:val="auto"/>
          <w:sz w:val="24"/>
          <w:highlight w:val="none"/>
        </w:rPr>
      </w:pPr>
      <w:r>
        <w:rPr>
          <w:rFonts w:hint="eastAsia" w:ascii="宋体" w:hAnsi="宋体" w:cs="宋体"/>
          <w:bCs/>
          <w:color w:val="auto"/>
          <w:sz w:val="24"/>
          <w:highlight w:val="none"/>
        </w:rPr>
        <w:t>18.3</w:t>
      </w:r>
      <w:r>
        <w:rPr>
          <w:rFonts w:hint="eastAsia" w:ascii="宋体" w:hAnsi="宋体" w:cs="宋体"/>
          <w:color w:val="auto"/>
          <w:sz w:val="24"/>
          <w:highlight w:val="none"/>
        </w:rPr>
        <w:t>其他响应性投标文件</w:t>
      </w:r>
      <w:r>
        <w:rPr>
          <w:rFonts w:hint="eastAsia" w:ascii="宋体" w:hAnsi="宋体" w:cs="宋体"/>
          <w:bCs/>
          <w:color w:val="auto"/>
          <w:sz w:val="24"/>
          <w:highlight w:val="none"/>
        </w:rPr>
        <w:t>正本1份副本2份，并在其封面上清楚地标明</w:t>
      </w:r>
      <w:r>
        <w:rPr>
          <w:rFonts w:hint="eastAsia" w:ascii="宋体" w:hAnsi="宋体" w:cs="宋体"/>
          <w:color w:val="auto"/>
          <w:sz w:val="24"/>
          <w:highlight w:val="none"/>
        </w:rPr>
        <w:t>其他响应性投标文件</w:t>
      </w:r>
      <w:r>
        <w:rPr>
          <w:rFonts w:hint="eastAsia" w:ascii="宋体" w:hAnsi="宋体" w:cs="宋体"/>
          <w:bCs/>
          <w:color w:val="auto"/>
          <w:sz w:val="24"/>
          <w:highlight w:val="none"/>
        </w:rPr>
        <w:t>、项目名称、项目编号、包件号及名称（若有）、投标人名称以及“正本”或“副本”字样。若正本和副本有不一致的内容，以正本书面投标文件为准。</w:t>
      </w:r>
    </w:p>
    <w:p>
      <w:pPr>
        <w:tabs>
          <w:tab w:val="left" w:pos="1080"/>
        </w:tabs>
        <w:spacing w:line="400" w:lineRule="exact"/>
        <w:ind w:firstLine="460" w:firstLineChars="192"/>
        <w:rPr>
          <w:rFonts w:ascii="宋体" w:hAnsi="宋体" w:cs="宋体"/>
          <w:color w:val="auto"/>
          <w:sz w:val="24"/>
          <w:highlight w:val="none"/>
        </w:rPr>
      </w:pPr>
      <w:r>
        <w:rPr>
          <w:rFonts w:hint="eastAsia" w:ascii="宋体" w:hAnsi="宋体" w:cs="宋体"/>
          <w:bCs/>
          <w:color w:val="auto"/>
          <w:sz w:val="24"/>
          <w:highlight w:val="none"/>
        </w:rPr>
        <w:t>18.4单独</w:t>
      </w:r>
      <w:r>
        <w:rPr>
          <w:rFonts w:hint="eastAsia" w:ascii="宋体" w:hAnsi="宋体" w:cs="宋体"/>
          <w:color w:val="auto"/>
          <w:sz w:val="24"/>
          <w:highlight w:val="none"/>
        </w:rPr>
        <w:t>提供用于开标唱标的“开标一览表”原件1份，</w:t>
      </w:r>
      <w:r>
        <w:rPr>
          <w:rFonts w:hint="eastAsia" w:ascii="宋体" w:hAnsi="宋体" w:cs="宋体"/>
          <w:bCs/>
          <w:color w:val="auto"/>
          <w:sz w:val="24"/>
          <w:highlight w:val="none"/>
        </w:rPr>
        <w:t>并清楚地标明</w:t>
      </w:r>
      <w:r>
        <w:rPr>
          <w:rFonts w:hint="eastAsia" w:ascii="宋体" w:hAnsi="宋体" w:cs="宋体"/>
          <w:color w:val="auto"/>
          <w:sz w:val="24"/>
          <w:highlight w:val="none"/>
        </w:rPr>
        <w:t>开标一览表</w:t>
      </w:r>
      <w:r>
        <w:rPr>
          <w:rFonts w:hint="eastAsia" w:ascii="宋体" w:hAnsi="宋体" w:cs="宋体"/>
          <w:bCs/>
          <w:color w:val="auto"/>
          <w:sz w:val="24"/>
          <w:highlight w:val="none"/>
        </w:rPr>
        <w:t>、项目名称、项目编号、包件号及名称（若有）、投标人名称</w:t>
      </w:r>
      <w:r>
        <w:rPr>
          <w:rFonts w:hint="eastAsia" w:ascii="宋体" w:hAnsi="宋体" w:cs="宋体"/>
          <w:color w:val="auto"/>
          <w:sz w:val="24"/>
          <w:highlight w:val="none"/>
        </w:rPr>
        <w:t>。</w:t>
      </w:r>
    </w:p>
    <w:p>
      <w:pPr>
        <w:tabs>
          <w:tab w:val="left" w:pos="1080"/>
        </w:tabs>
        <w:spacing w:line="400" w:lineRule="exact"/>
        <w:ind w:firstLine="463" w:firstLineChars="192"/>
        <w:rPr>
          <w:rFonts w:ascii="宋体" w:hAnsi="宋体" w:cs="宋体"/>
          <w:color w:val="auto"/>
          <w:sz w:val="24"/>
          <w:highlight w:val="none"/>
        </w:rPr>
      </w:pPr>
      <w:r>
        <w:rPr>
          <w:rFonts w:hint="eastAsia" w:ascii="宋体" w:hAnsi="宋体" w:cs="宋体"/>
          <w:b/>
          <w:bCs/>
          <w:color w:val="auto"/>
          <w:sz w:val="24"/>
          <w:highlight w:val="none"/>
        </w:rPr>
        <w:t>18.5“开标一览表”除单独密封提交外，还应编制于其他响应性投标文件正副本内，如有遗漏，将视为无效投标（实质性要求）。</w:t>
      </w:r>
    </w:p>
    <w:p>
      <w:pPr>
        <w:tabs>
          <w:tab w:val="left" w:pos="1095"/>
        </w:tabs>
        <w:spacing w:line="40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18.6 投标文件的正本和副本均需打印或用不褪色、不变质的墨水书写，并由投标人的法定代表人/单位负责人或其授权代表在规定签章处签字或盖章。投标文件副本可采用正本的复印件，提供电子文档1份采用U盘</w:t>
      </w:r>
      <w:r>
        <w:rPr>
          <w:rFonts w:hint="eastAsia" w:ascii="宋体" w:hAnsi="宋体" w:cs="宋体"/>
          <w:b/>
          <w:bCs/>
          <w:color w:val="auto"/>
          <w:sz w:val="24"/>
          <w:highlight w:val="none"/>
        </w:rPr>
        <w:t>(包含投标文件Word或WPS版本一份，与投标文件正本一致的PDF版本一份）</w:t>
      </w:r>
      <w:r>
        <w:rPr>
          <w:rFonts w:hint="eastAsia" w:ascii="宋体" w:hAnsi="宋体" w:cs="宋体"/>
          <w:color w:val="auto"/>
          <w:sz w:val="24"/>
          <w:highlight w:val="none"/>
        </w:rPr>
        <w:t>制作。</w:t>
      </w:r>
    </w:p>
    <w:p>
      <w:pPr>
        <w:tabs>
          <w:tab w:val="left" w:pos="1095"/>
        </w:tabs>
        <w:spacing w:line="40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18.7 投标文件的打印和书写应清楚工整，任何行间插字、涂改或增删，必须由投标人的法定代表人/单位负责人或其授权代表签字或盖个人印鉴。</w:t>
      </w:r>
    </w:p>
    <w:p>
      <w:pPr>
        <w:tabs>
          <w:tab w:val="left" w:pos="1080"/>
        </w:tabs>
        <w:spacing w:line="40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18.8 投标文件正本和副本应当采取胶装方式装订成册，不得散装或者活页装订。</w:t>
      </w:r>
    </w:p>
    <w:p>
      <w:pPr>
        <w:tabs>
          <w:tab w:val="left" w:pos="1080"/>
        </w:tabs>
        <w:spacing w:line="40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18.9 投标文件应根据招标文件的要求制作，签署、盖章和内容应完整。投标文件统一用A4幅面纸印制，逐页编码。本次招标要求的复印件是指对图文进行复制后的文件，包括扫描、复印、影印等方式复制的材料。</w:t>
      </w:r>
    </w:p>
    <w:p>
      <w:pPr>
        <w:pStyle w:val="5"/>
        <w:spacing w:line="400" w:lineRule="exact"/>
        <w:ind w:firstLine="482" w:firstLineChars="200"/>
        <w:rPr>
          <w:rFonts w:ascii="宋体" w:hAnsi="宋体" w:cs="宋体"/>
          <w:color w:val="auto"/>
          <w:sz w:val="24"/>
          <w:szCs w:val="24"/>
          <w:highlight w:val="none"/>
        </w:rPr>
      </w:pPr>
      <w:bookmarkStart w:id="90" w:name="_Toc183582226"/>
      <w:bookmarkStart w:id="91" w:name="_Toc183682363"/>
      <w:bookmarkStart w:id="92" w:name="_Toc89075877"/>
      <w:bookmarkStart w:id="93" w:name="_Toc77400781"/>
      <w:bookmarkStart w:id="94" w:name="_Toc217446053"/>
      <w:bookmarkStart w:id="95" w:name="_Toc308164803"/>
      <w:r>
        <w:rPr>
          <w:rFonts w:hint="eastAsia" w:ascii="宋体" w:hAnsi="宋体" w:cs="宋体"/>
          <w:bCs w:val="0"/>
          <w:color w:val="auto"/>
          <w:sz w:val="24"/>
          <w:szCs w:val="24"/>
          <w:highlight w:val="none"/>
        </w:rPr>
        <w:t>19.</w:t>
      </w:r>
      <w:r>
        <w:rPr>
          <w:rFonts w:hint="eastAsia" w:ascii="宋体" w:hAnsi="宋体" w:cs="宋体"/>
          <w:color w:val="auto"/>
          <w:sz w:val="24"/>
          <w:szCs w:val="24"/>
          <w:highlight w:val="none"/>
        </w:rPr>
        <w:t>投标文件的密封和标</w:t>
      </w:r>
      <w:bookmarkEnd w:id="90"/>
      <w:bookmarkEnd w:id="91"/>
      <w:bookmarkEnd w:id="92"/>
      <w:bookmarkEnd w:id="93"/>
      <w:r>
        <w:rPr>
          <w:rFonts w:hint="eastAsia" w:ascii="宋体" w:hAnsi="宋体" w:cs="宋体"/>
          <w:color w:val="auto"/>
          <w:sz w:val="24"/>
          <w:szCs w:val="24"/>
          <w:highlight w:val="none"/>
        </w:rPr>
        <w:t>注</w:t>
      </w:r>
      <w:bookmarkEnd w:id="94"/>
      <w:bookmarkEnd w:id="95"/>
    </w:p>
    <w:p>
      <w:pPr>
        <w:tabs>
          <w:tab w:val="left" w:pos="1080"/>
        </w:tabs>
        <w:spacing w:line="40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19.1 投标人应在投标文件正本和所有副本的封面上注明投标人名称、项目编号、项目名称及分包号（如有分包）。</w:t>
      </w:r>
    </w:p>
    <w:p>
      <w:pPr>
        <w:tabs>
          <w:tab w:val="left" w:pos="1080"/>
        </w:tabs>
        <w:spacing w:line="400" w:lineRule="exact"/>
        <w:ind w:firstLine="460" w:firstLineChars="192"/>
        <w:rPr>
          <w:rFonts w:ascii="宋体" w:hAnsi="宋体" w:cs="宋体"/>
          <w:b/>
          <w:bCs/>
          <w:color w:val="auto"/>
          <w:sz w:val="24"/>
          <w:highlight w:val="none"/>
        </w:rPr>
      </w:pPr>
      <w:r>
        <w:rPr>
          <w:rFonts w:hint="eastAsia" w:ascii="宋体" w:hAnsi="宋体" w:cs="宋体"/>
          <w:color w:val="auto"/>
          <w:sz w:val="24"/>
          <w:highlight w:val="none"/>
        </w:rPr>
        <w:t>19.2 投标文件包括资格性投标文件正本及副本、其他响应性投标文件正本及副本、电子文档和用于开标唱标单独提交的“开标一览表”。投标文件应分别密封包装</w:t>
      </w:r>
      <w:r>
        <w:rPr>
          <w:rFonts w:hint="eastAsia" w:ascii="宋体" w:hAnsi="宋体" w:cs="宋体"/>
          <w:b/>
          <w:bCs/>
          <w:color w:val="auto"/>
          <w:sz w:val="24"/>
          <w:highlight w:val="none"/>
        </w:rPr>
        <w:t>（资格性投标文件正本及副本一个包装，其他响应性投标文件正本及副本一个包装，开标一览表一个包装，电子文档一个包装）。</w:t>
      </w:r>
    </w:p>
    <w:p>
      <w:pPr>
        <w:tabs>
          <w:tab w:val="left" w:pos="1080"/>
        </w:tabs>
        <w:spacing w:line="40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19.3 投标文件的密封袋上应当注明投标人名称、项目编号、项目名称及分包号（如有分包）。</w:t>
      </w:r>
    </w:p>
    <w:p>
      <w:pPr>
        <w:pStyle w:val="5"/>
        <w:spacing w:line="400" w:lineRule="exact"/>
        <w:ind w:firstLine="482" w:firstLineChars="200"/>
        <w:rPr>
          <w:rFonts w:ascii="宋体" w:hAnsi="宋体" w:cs="宋体"/>
          <w:bCs w:val="0"/>
          <w:color w:val="auto"/>
          <w:sz w:val="24"/>
          <w:szCs w:val="24"/>
          <w:highlight w:val="none"/>
        </w:rPr>
      </w:pPr>
      <w:bookmarkStart w:id="96" w:name="_Toc183682364"/>
      <w:bookmarkStart w:id="97" w:name="_Toc183582227"/>
      <w:bookmarkStart w:id="98" w:name="_Toc308164804"/>
      <w:bookmarkStart w:id="99" w:name="_Toc217446054"/>
      <w:r>
        <w:rPr>
          <w:rFonts w:hint="eastAsia" w:ascii="宋体" w:hAnsi="宋体" w:cs="宋体"/>
          <w:bCs w:val="0"/>
          <w:color w:val="auto"/>
          <w:sz w:val="24"/>
          <w:szCs w:val="24"/>
          <w:highlight w:val="none"/>
        </w:rPr>
        <w:t>资格性投标文件正本及副本、其他投标文件正本及副本、开标一览表、电子文档未按照招标文件要求包装、密封和标注的，采购人、采购代理机构应当拒收。</w:t>
      </w:r>
    </w:p>
    <w:p>
      <w:pPr>
        <w:pStyle w:val="5"/>
        <w:spacing w:line="400" w:lineRule="exact"/>
        <w:ind w:firstLine="482" w:firstLineChars="200"/>
        <w:rPr>
          <w:rFonts w:ascii="宋体" w:hAnsi="宋体" w:cs="宋体"/>
          <w:bCs w:val="0"/>
          <w:color w:val="auto"/>
          <w:sz w:val="24"/>
          <w:szCs w:val="24"/>
          <w:highlight w:val="none"/>
        </w:rPr>
      </w:pPr>
      <w:r>
        <w:rPr>
          <w:rFonts w:hint="eastAsia" w:ascii="宋体" w:hAnsi="宋体" w:cs="宋体"/>
          <w:bCs w:val="0"/>
          <w:color w:val="auto"/>
          <w:sz w:val="24"/>
          <w:szCs w:val="24"/>
          <w:highlight w:val="none"/>
        </w:rPr>
        <w:t>20</w:t>
      </w:r>
      <w:r>
        <w:rPr>
          <w:rFonts w:hint="eastAsia" w:ascii="宋体" w:hAnsi="宋体" w:cs="宋体"/>
          <w:bCs w:val="0"/>
          <w:color w:val="auto"/>
          <w:sz w:val="28"/>
          <w:szCs w:val="28"/>
          <w:highlight w:val="none"/>
        </w:rPr>
        <w:t>．</w:t>
      </w:r>
      <w:r>
        <w:rPr>
          <w:rFonts w:hint="eastAsia" w:ascii="宋体" w:hAnsi="宋体" w:cs="宋体"/>
          <w:bCs w:val="0"/>
          <w:color w:val="auto"/>
          <w:sz w:val="24"/>
          <w:szCs w:val="24"/>
          <w:highlight w:val="none"/>
        </w:rPr>
        <w:t>投标文件的</w:t>
      </w:r>
      <w:bookmarkEnd w:id="96"/>
      <w:bookmarkEnd w:id="97"/>
      <w:r>
        <w:rPr>
          <w:rFonts w:hint="eastAsia" w:ascii="宋体" w:hAnsi="宋体" w:cs="宋体"/>
          <w:bCs w:val="0"/>
          <w:color w:val="auto"/>
          <w:sz w:val="24"/>
          <w:szCs w:val="24"/>
          <w:highlight w:val="none"/>
        </w:rPr>
        <w:t>递交</w:t>
      </w:r>
      <w:bookmarkEnd w:id="98"/>
      <w:bookmarkEnd w:id="99"/>
    </w:p>
    <w:p>
      <w:pPr>
        <w:tabs>
          <w:tab w:val="left" w:pos="1095"/>
        </w:tabs>
        <w:spacing w:line="40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20.1 投标人应在招标文件规定的投标截止时间前，将投标文件按招标文件的规定密封后送达开标地点。投标截止时间以后送达的投标文件将不予接收，招标采购单位将告知投标人不予接收的原因。</w:t>
      </w:r>
    </w:p>
    <w:p>
      <w:pPr>
        <w:tabs>
          <w:tab w:val="left" w:pos="1095"/>
        </w:tabs>
        <w:spacing w:line="40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20.2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pPr>
        <w:tabs>
          <w:tab w:val="left" w:pos="1095"/>
        </w:tabs>
        <w:spacing w:line="400" w:lineRule="exact"/>
        <w:ind w:firstLine="460" w:firstLineChars="192"/>
        <w:rPr>
          <w:rFonts w:ascii="宋体" w:hAnsi="宋体" w:cs="宋体"/>
          <w:color w:val="auto"/>
          <w:sz w:val="24"/>
          <w:highlight w:val="none"/>
        </w:rPr>
      </w:pPr>
      <w:r>
        <w:rPr>
          <w:rFonts w:hint="eastAsia" w:ascii="宋体" w:hAnsi="宋体" w:cs="宋体"/>
          <w:color w:val="auto"/>
          <w:sz w:val="24"/>
          <w:highlight w:val="none"/>
        </w:rPr>
        <w:t>20.3本次招标不接收邮寄的投标文件。</w:t>
      </w:r>
    </w:p>
    <w:p>
      <w:pPr>
        <w:pStyle w:val="5"/>
        <w:spacing w:line="400" w:lineRule="exact"/>
        <w:ind w:firstLine="482" w:firstLineChars="200"/>
        <w:rPr>
          <w:rFonts w:ascii="宋体" w:hAnsi="宋体" w:cs="宋体"/>
          <w:bCs w:val="0"/>
          <w:color w:val="auto"/>
          <w:sz w:val="24"/>
          <w:szCs w:val="24"/>
          <w:highlight w:val="none"/>
        </w:rPr>
      </w:pPr>
      <w:bookmarkStart w:id="100" w:name="_Toc183582228"/>
      <w:bookmarkStart w:id="101" w:name="_Toc183682365"/>
      <w:bookmarkStart w:id="102" w:name="_Toc217446055"/>
      <w:r>
        <w:rPr>
          <w:rFonts w:hint="eastAsia" w:ascii="宋体" w:hAnsi="宋体" w:cs="宋体"/>
          <w:bCs w:val="0"/>
          <w:color w:val="auto"/>
          <w:sz w:val="24"/>
          <w:szCs w:val="24"/>
          <w:highlight w:val="none"/>
        </w:rPr>
        <w:t>21．投标文件的修改和撤</w:t>
      </w:r>
      <w:bookmarkEnd w:id="100"/>
      <w:bookmarkEnd w:id="101"/>
      <w:r>
        <w:rPr>
          <w:rFonts w:hint="eastAsia" w:ascii="宋体" w:hAnsi="宋体" w:cs="宋体"/>
          <w:bCs w:val="0"/>
          <w:color w:val="auto"/>
          <w:sz w:val="24"/>
          <w:szCs w:val="24"/>
          <w:highlight w:val="none"/>
        </w:rPr>
        <w:t>回</w:t>
      </w:r>
      <w:bookmarkEnd w:id="102"/>
    </w:p>
    <w:p>
      <w:pPr>
        <w:spacing w:line="40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21.1 投标人在递交了投标文件后，可以修改或撤回其投标文件，但必须在规定的投标截止时间前，以书面形式通知采购代理机构。</w:t>
      </w:r>
    </w:p>
    <w:p>
      <w:pPr>
        <w:spacing w:line="40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21.2 投标人的修改书或撤回通知书，应由其法定代表人/单位负责人或授权代表签署并盖单位印章。修改书应按投标须知第19条规定进行密封和标注，并在密封袋上标注“修改”字样。</w:t>
      </w:r>
    </w:p>
    <w:p>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21.3 在投标截止时间之后，投标人不得对其递交的投标文件做任何修改，撤回投标的，将按照有关规定进行相应处理。</w:t>
      </w:r>
    </w:p>
    <w:p>
      <w:pPr>
        <w:pStyle w:val="4"/>
        <w:spacing w:line="400" w:lineRule="exact"/>
        <w:jc w:val="center"/>
        <w:rPr>
          <w:rFonts w:ascii="宋体" w:hAnsi="宋体" w:eastAsia="宋体" w:cs="宋体"/>
          <w:color w:val="auto"/>
          <w:highlight w:val="none"/>
        </w:rPr>
      </w:pPr>
      <w:bookmarkStart w:id="103" w:name="_Toc183582231"/>
      <w:bookmarkStart w:id="104" w:name="_Toc89075878"/>
      <w:bookmarkStart w:id="105" w:name="_Toc183682368"/>
      <w:bookmarkStart w:id="106" w:name="_Toc308164805"/>
      <w:bookmarkStart w:id="107" w:name="_Toc77400782"/>
      <w:bookmarkStart w:id="108" w:name="_Toc217446056"/>
      <w:r>
        <w:rPr>
          <w:rFonts w:hint="eastAsia" w:ascii="宋体" w:hAnsi="宋体" w:eastAsia="宋体" w:cs="宋体"/>
          <w:color w:val="auto"/>
          <w:highlight w:val="none"/>
        </w:rPr>
        <w:t>五、开标和中标</w:t>
      </w:r>
      <w:bookmarkEnd w:id="103"/>
      <w:bookmarkEnd w:id="104"/>
      <w:bookmarkEnd w:id="105"/>
      <w:bookmarkEnd w:id="106"/>
      <w:bookmarkEnd w:id="107"/>
      <w:bookmarkEnd w:id="108"/>
    </w:p>
    <w:p>
      <w:pPr>
        <w:pStyle w:val="5"/>
        <w:spacing w:line="400" w:lineRule="exact"/>
        <w:ind w:firstLine="482" w:firstLineChars="200"/>
        <w:rPr>
          <w:rFonts w:ascii="宋体" w:hAnsi="宋体" w:cs="宋体"/>
          <w:bCs w:val="0"/>
          <w:color w:val="auto"/>
          <w:sz w:val="24"/>
          <w:highlight w:val="none"/>
        </w:rPr>
      </w:pPr>
      <w:bookmarkStart w:id="109" w:name="_Toc183582232"/>
      <w:bookmarkStart w:id="110" w:name="_Toc183682369"/>
      <w:bookmarkStart w:id="111" w:name="_Toc308164806"/>
      <w:bookmarkStart w:id="112" w:name="_Toc217446057"/>
      <w:r>
        <w:rPr>
          <w:rFonts w:hint="eastAsia" w:ascii="宋体" w:hAnsi="宋体" w:cs="宋体"/>
          <w:bCs w:val="0"/>
          <w:color w:val="auto"/>
          <w:sz w:val="24"/>
          <w:highlight w:val="none"/>
        </w:rPr>
        <w:t>22．开标</w:t>
      </w:r>
      <w:bookmarkEnd w:id="109"/>
      <w:bookmarkEnd w:id="110"/>
      <w:bookmarkEnd w:id="111"/>
      <w:bookmarkEnd w:id="112"/>
    </w:p>
    <w:p>
      <w:pPr>
        <w:spacing w:before="120"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 开标在招标文件规定的时间和地点公开进行，采购人、投标人应派代表参加并签到以证明其出席。开标由采购代理机构主持，邀请投标人参加。评标委员会成员不参加开标活动。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22.2 开标时，可根据具体情况邀请有关监督管理部门对开标活动进行现场监督。</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22.3 开标时，由投标人或者其推选的代表检查其自己递交的投标文件的密封情况，经确认无误后，由招标工作人员将投标人的“开标一览表”当众拆封，并由唱标人员按照招标文件规定的内容进行宣读。</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22.4 开标时，“开标一览表”中的大写金额与小写金额不一致的，以大写金额为准；总价金额与按单价计算的汇总金额不一致的，以单价计算的汇总金额为准；单价金额有明显小数点错误的，以总价为准，并修改单价。</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22.5 投标文件中相关内容与“开标一览表”不一致的，以“开标一览表”为准。对不同文字文本投标文件的解释发生异议的，以中文文本为准。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22.6 所有投标唱标完毕，如投标人代表对宣读的“开标一览表”上的内容有异议的，应在获得开标会主持人同意后当场提出。如确实属于唱标人员宣读错了的，当场予以更正。</w:t>
      </w:r>
    </w:p>
    <w:p>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22.7 开标时属于下列情况之一的，将作为无效投标处理: </w:t>
      </w:r>
    </w:p>
    <w:p>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（1）没有提供单独递交用于开标的“开标一览表”的。</w:t>
      </w:r>
    </w:p>
    <w:p>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（2）除本招标文件规定的情形以外，单独提交的“开标一览表”未按要求签字、盖章的。</w:t>
      </w:r>
    </w:p>
    <w:p>
      <w:pPr>
        <w:pStyle w:val="5"/>
        <w:spacing w:line="400" w:lineRule="exact"/>
        <w:ind w:firstLine="482" w:firstLineChars="200"/>
        <w:rPr>
          <w:rFonts w:ascii="宋体" w:hAnsi="宋体" w:cs="宋体"/>
          <w:color w:val="auto"/>
          <w:sz w:val="24"/>
          <w:highlight w:val="none"/>
        </w:rPr>
      </w:pPr>
      <w:bookmarkStart w:id="113" w:name="_Toc217446058"/>
      <w:bookmarkStart w:id="114" w:name="_Toc308164807"/>
      <w:r>
        <w:rPr>
          <w:rFonts w:hint="eastAsia" w:ascii="宋体" w:hAnsi="宋体" w:cs="宋体"/>
          <w:color w:val="auto"/>
          <w:sz w:val="24"/>
          <w:highlight w:val="none"/>
        </w:rPr>
        <w:t>23. 开标程序</w:t>
      </w:r>
      <w:bookmarkEnd w:id="113"/>
      <w:bookmarkEnd w:id="114"/>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开标会主持人按照招标文件规定的开标时间宣布开标，按照规定要求主持开标会。开标将按以下程序进行：</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（1）宣布开标会开始。当众宣布参加开标会主持人、唱标人、会议记录人以及根据情况邀请的现场监督人等工作人员，根据“供应商签到表”宣布参加投标的供应商名单。</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（2）根据投标人或者其推选的代表对投标文件密封的检查结果，当众宣布投标文件的密封情况。</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开标唱标。主持人宣布开标后，由现场工作人员按任意顺序对投标人的投标文件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（4）投标人代表对开标过程和开标记录有疑义，以及认为采购人、采购代理机构相 关工作人员有需要回避的情形的，应当场提出询问或者回避申请。采购人、采购代理机构 对投标人代表提出的询问或者回避申请应当及时处理。开标过程中未提出疑义或回避申请，事后提出的质疑将不予受理。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 投标人未参加开标的，视同认可开标结果。</w:t>
      </w:r>
    </w:p>
    <w:p>
      <w:pPr>
        <w:pStyle w:val="5"/>
        <w:spacing w:line="400" w:lineRule="exact"/>
        <w:ind w:firstLine="482" w:firstLineChars="200"/>
        <w:rPr>
          <w:rFonts w:ascii="宋体" w:hAnsi="宋体" w:cs="宋体"/>
          <w:color w:val="auto"/>
          <w:sz w:val="24"/>
          <w:highlight w:val="none"/>
        </w:rPr>
      </w:pPr>
      <w:bookmarkStart w:id="115" w:name="_Toc183682375"/>
      <w:bookmarkStart w:id="116" w:name="_Toc183582238"/>
      <w:bookmarkStart w:id="117" w:name="_Toc308164809"/>
      <w:bookmarkStart w:id="118" w:name="_Toc217446063"/>
      <w:r>
        <w:rPr>
          <w:rFonts w:hint="eastAsia" w:ascii="宋体" w:hAnsi="宋体" w:cs="宋体"/>
          <w:color w:val="auto"/>
          <w:sz w:val="24"/>
          <w:highlight w:val="none"/>
        </w:rPr>
        <w:t>24．开评标过程存档</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开标和评标过程进行全过程电子监控，并将电子监控资料存储介质留存归档。</w:t>
      </w:r>
    </w:p>
    <w:p>
      <w:pPr>
        <w:pStyle w:val="5"/>
        <w:spacing w:line="400" w:lineRule="exact"/>
        <w:ind w:firstLine="482" w:firstLineChars="200"/>
        <w:rPr>
          <w:rFonts w:ascii="宋体" w:hAnsi="宋体" w:cs="宋体"/>
          <w:color w:val="auto"/>
          <w:sz w:val="24"/>
          <w:highlight w:val="none"/>
        </w:rPr>
      </w:pPr>
      <w:r>
        <w:rPr>
          <w:rFonts w:hint="eastAsia" w:ascii="宋体" w:hAnsi="宋体" w:cs="宋体"/>
          <w:color w:val="auto"/>
          <w:sz w:val="24"/>
          <w:highlight w:val="none"/>
        </w:rPr>
        <w:t>25.评标情况公告</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所有供应商投标文件资格性、符合性检查情况、采用综合评分法时的总得分和分项汇总得分情况、评标结果等将在四川政府采购网上采购结果公告栏中予以公告。</w:t>
      </w:r>
    </w:p>
    <w:p>
      <w:pPr>
        <w:pStyle w:val="4"/>
        <w:keepNext w:val="0"/>
        <w:keepLines w:val="0"/>
        <w:spacing w:before="0" w:after="0" w:line="400" w:lineRule="exact"/>
        <w:ind w:firstLine="482" w:firstLineChars="200"/>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26.采购人确定中标人过程中，发现中标候选人有下列情形之一的，应当不予确定其为中标人：</w:t>
      </w:r>
    </w:p>
    <w:p>
      <w:pPr>
        <w:pStyle w:val="4"/>
        <w:keepNext w:val="0"/>
        <w:keepLines w:val="0"/>
        <w:spacing w:before="0" w:after="0" w:line="400" w:lineRule="exact"/>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（1）发现中标候选人存在禁止参加本项目采购活动的违法行为的；</w:t>
      </w:r>
    </w:p>
    <w:p>
      <w:pPr>
        <w:pStyle w:val="4"/>
        <w:keepNext w:val="0"/>
        <w:keepLines w:val="0"/>
        <w:spacing w:before="0" w:after="0" w:line="400" w:lineRule="exact"/>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（2）中标候选人因不可抗力，不能继续参加政府采购活动；</w:t>
      </w:r>
    </w:p>
    <w:p>
      <w:pPr>
        <w:pStyle w:val="4"/>
        <w:keepNext w:val="0"/>
        <w:keepLines w:val="0"/>
        <w:spacing w:before="0" w:after="0" w:line="400" w:lineRule="exact"/>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（3）中标候选人无偿赠与或者低于成本价竞争；</w:t>
      </w:r>
    </w:p>
    <w:p>
      <w:pPr>
        <w:pStyle w:val="4"/>
        <w:keepNext w:val="0"/>
        <w:keepLines w:val="0"/>
        <w:spacing w:before="0" w:after="0" w:line="400" w:lineRule="exact"/>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（4）中标候选人提供虚假材料；</w:t>
      </w:r>
    </w:p>
    <w:p>
      <w:pPr>
        <w:pStyle w:val="4"/>
        <w:keepNext w:val="0"/>
        <w:keepLines w:val="0"/>
        <w:spacing w:before="0" w:after="0" w:line="400" w:lineRule="exact"/>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（5）中标候选人恶意串通。</w:t>
      </w:r>
    </w:p>
    <w:p>
      <w:pPr>
        <w:pStyle w:val="5"/>
        <w:spacing w:line="400" w:lineRule="exact"/>
        <w:ind w:firstLine="482" w:firstLineChars="200"/>
        <w:rPr>
          <w:rFonts w:ascii="宋体" w:hAnsi="宋体" w:cs="宋体"/>
          <w:bCs w:val="0"/>
          <w:color w:val="auto"/>
          <w:sz w:val="24"/>
          <w:szCs w:val="24"/>
          <w:highlight w:val="none"/>
        </w:rPr>
      </w:pPr>
      <w:r>
        <w:rPr>
          <w:rFonts w:hint="eastAsia" w:ascii="宋体" w:hAnsi="宋体" w:cs="宋体"/>
          <w:bCs w:val="0"/>
          <w:color w:val="auto"/>
          <w:sz w:val="24"/>
          <w:szCs w:val="24"/>
          <w:highlight w:val="none"/>
        </w:rPr>
        <w:t>27.中标通知</w:t>
      </w:r>
      <w:bookmarkEnd w:id="115"/>
      <w:bookmarkEnd w:id="116"/>
      <w:r>
        <w:rPr>
          <w:rFonts w:hint="eastAsia" w:ascii="宋体" w:hAnsi="宋体" w:cs="宋体"/>
          <w:bCs w:val="0"/>
          <w:color w:val="auto"/>
          <w:sz w:val="24"/>
          <w:szCs w:val="24"/>
          <w:highlight w:val="none"/>
        </w:rPr>
        <w:t>书</w:t>
      </w:r>
      <w:bookmarkEnd w:id="117"/>
      <w:bookmarkEnd w:id="118"/>
    </w:p>
    <w:p>
      <w:pPr>
        <w:tabs>
          <w:tab w:val="left" w:pos="766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w:t>
      </w:r>
      <w:r>
        <w:rPr>
          <w:rFonts w:hint="eastAsia" w:ascii="宋体" w:hAnsi="宋体" w:cs="宋体"/>
          <w:bCs/>
          <w:color w:val="auto"/>
          <w:sz w:val="24"/>
          <w:highlight w:val="none"/>
        </w:rPr>
        <w:t>.</w:t>
      </w:r>
      <w:r>
        <w:rPr>
          <w:rFonts w:hint="eastAsia" w:ascii="宋体" w:hAnsi="宋体" w:cs="宋体"/>
          <w:color w:val="auto"/>
          <w:sz w:val="24"/>
          <w:highlight w:val="none"/>
        </w:rPr>
        <w:t>1 中标通知书为签订政府采购合同的依据之一，是合同的有效组成部分。</w:t>
      </w:r>
    </w:p>
    <w:p>
      <w:pPr>
        <w:tabs>
          <w:tab w:val="left" w:pos="7665"/>
        </w:tabs>
        <w:spacing w:line="400" w:lineRule="exact"/>
        <w:ind w:firstLine="480"/>
        <w:rPr>
          <w:rFonts w:ascii="宋体" w:hAnsi="宋体" w:cs="宋体"/>
          <w:color w:val="auto"/>
          <w:sz w:val="24"/>
          <w:highlight w:val="none"/>
        </w:rPr>
      </w:pPr>
      <w:r>
        <w:rPr>
          <w:rFonts w:hint="eastAsia" w:ascii="宋体" w:hAnsi="宋体" w:cs="宋体"/>
          <w:color w:val="auto"/>
          <w:sz w:val="24"/>
          <w:highlight w:val="none"/>
        </w:rPr>
        <w:t>27.2 中标通知书对采购人和中标人均具有法律效力。中标通知书发出后，采购人改变中标结果，或者中标人无正当理由放弃中标的，应当承担相应的法律责任。</w:t>
      </w:r>
    </w:p>
    <w:p>
      <w:pPr>
        <w:tabs>
          <w:tab w:val="left" w:pos="7665"/>
        </w:tabs>
        <w:spacing w:line="400" w:lineRule="exact"/>
        <w:ind w:firstLine="480"/>
        <w:rPr>
          <w:rFonts w:ascii="宋体" w:hAnsi="宋体" w:cs="宋体"/>
          <w:color w:val="auto"/>
          <w:sz w:val="24"/>
          <w:highlight w:val="none"/>
        </w:rPr>
      </w:pPr>
      <w:r>
        <w:rPr>
          <w:rFonts w:hint="eastAsia" w:ascii="宋体" w:hAnsi="宋体" w:cs="宋体"/>
          <w:color w:val="auto"/>
          <w:sz w:val="24"/>
          <w:highlight w:val="none"/>
        </w:rPr>
        <w:t>27．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line="400" w:lineRule="exact"/>
        <w:ind w:firstLine="480"/>
        <w:rPr>
          <w:rFonts w:ascii="宋体" w:hAnsi="宋体" w:cs="宋体"/>
          <w:color w:val="auto"/>
          <w:sz w:val="24"/>
          <w:highlight w:val="none"/>
        </w:rPr>
      </w:pPr>
      <w:r>
        <w:rPr>
          <w:rFonts w:hint="eastAsia" w:ascii="宋体" w:hAnsi="宋体" w:cs="宋体"/>
          <w:color w:val="auto"/>
          <w:sz w:val="24"/>
          <w:highlight w:val="none"/>
        </w:rPr>
        <w:t>27.4中标公告发出后，中标供应商自行领取中标通知书的，可凭有效身份证明证件到采购代理机构办理。（详见须知附表中联系方式）</w:t>
      </w:r>
    </w:p>
    <w:p>
      <w:pPr>
        <w:pStyle w:val="4"/>
        <w:spacing w:line="400" w:lineRule="exact"/>
        <w:jc w:val="center"/>
        <w:rPr>
          <w:rFonts w:ascii="宋体" w:hAnsi="宋体" w:eastAsia="宋体" w:cs="宋体"/>
          <w:color w:val="auto"/>
          <w:szCs w:val="28"/>
          <w:highlight w:val="none"/>
        </w:rPr>
      </w:pPr>
      <w:bookmarkStart w:id="119" w:name="_Toc217446064"/>
      <w:bookmarkStart w:id="120" w:name="_Toc308164810"/>
      <w:bookmarkStart w:id="121" w:name="_Toc183682377"/>
      <w:bookmarkStart w:id="122" w:name="_Toc183582240"/>
      <w:r>
        <w:rPr>
          <w:rFonts w:hint="eastAsia" w:ascii="宋体" w:hAnsi="宋体" w:eastAsia="宋体" w:cs="宋体"/>
          <w:color w:val="auto"/>
          <w:szCs w:val="28"/>
          <w:highlight w:val="none"/>
        </w:rPr>
        <w:t>六、签订及履行合同和验收</w:t>
      </w:r>
      <w:bookmarkEnd w:id="119"/>
      <w:bookmarkEnd w:id="120"/>
    </w:p>
    <w:p>
      <w:pPr>
        <w:pStyle w:val="5"/>
        <w:spacing w:line="400" w:lineRule="exact"/>
        <w:ind w:firstLine="482" w:firstLineChars="200"/>
        <w:rPr>
          <w:rFonts w:ascii="宋体" w:hAnsi="宋体" w:cs="宋体"/>
          <w:b w:val="0"/>
          <w:color w:val="auto"/>
          <w:sz w:val="24"/>
          <w:szCs w:val="24"/>
          <w:highlight w:val="none"/>
        </w:rPr>
      </w:pPr>
      <w:bookmarkStart w:id="123" w:name="_Toc217446065"/>
      <w:bookmarkStart w:id="124" w:name="_Toc308164811"/>
      <w:r>
        <w:rPr>
          <w:rFonts w:hint="eastAsia" w:ascii="宋体" w:hAnsi="宋体" w:cs="宋体"/>
          <w:color w:val="auto"/>
          <w:sz w:val="24"/>
          <w:highlight w:val="none"/>
        </w:rPr>
        <w:t>28.</w:t>
      </w:r>
      <w:r>
        <w:rPr>
          <w:rFonts w:hint="eastAsia" w:ascii="宋体" w:hAnsi="宋体" w:cs="宋体"/>
          <w:color w:val="auto"/>
          <w:sz w:val="24"/>
          <w:szCs w:val="24"/>
          <w:highlight w:val="none"/>
        </w:rPr>
        <w:t>签订合同</w:t>
      </w:r>
      <w:bookmarkEnd w:id="123"/>
      <w:bookmarkEnd w:id="124"/>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28.1 中标人应在中标通知书发出之日起三十日内与采购人签订采购合同。由于中标人的原因逾期未与采购人签订采购合同的，将视为放弃中标，取消其中标资格并将按相关规定进行处理。</w:t>
      </w:r>
    </w:p>
    <w:p>
      <w:pPr>
        <w:spacing w:line="40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28.2 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line="40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28.3 中标人拒绝与采购人签订合同的，采购人可以按照评审报告推荐的中标候选人名单排序，确定下一候选人为中标供应商，也可以重新开展政府采购活动。</w:t>
      </w:r>
    </w:p>
    <w:p>
      <w:pPr>
        <w:spacing w:line="40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28.4 中标人在合同签订之后三个工作日内，将签订的合同（一式壹份）送采购代理机构。中标人应及时到采购代理机构办理。（详见须知附表中联系方式）</w:t>
      </w:r>
    </w:p>
    <w:p>
      <w:pPr>
        <w:pStyle w:val="4"/>
        <w:spacing w:line="400" w:lineRule="exact"/>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 合同分包（实质性要求）</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29.1本项目不分包。</w:t>
      </w:r>
    </w:p>
    <w:p>
      <w:pPr>
        <w:pStyle w:val="4"/>
        <w:spacing w:line="400" w:lineRule="exact"/>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30.合同转包（实质性要求）</w:t>
      </w:r>
    </w:p>
    <w:p>
      <w:pPr>
        <w:spacing w:line="400" w:lineRule="exact"/>
        <w:ind w:firstLine="540" w:firstLineChars="225"/>
        <w:rPr>
          <w:rFonts w:ascii="宋体" w:hAnsi="宋体" w:cs="宋体"/>
          <w:color w:val="auto"/>
          <w:sz w:val="24"/>
          <w:highlight w:val="none"/>
        </w:rPr>
      </w:pPr>
      <w:r>
        <w:rPr>
          <w:rFonts w:hint="eastAsia" w:ascii="宋体" w:hAnsi="宋体" w:cs="宋体"/>
          <w:color w:val="auto"/>
          <w:sz w:val="24"/>
          <w:highlight w:val="none"/>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00" w:lineRule="exact"/>
        <w:ind w:firstLine="540" w:firstLineChars="225"/>
        <w:rPr>
          <w:rFonts w:ascii="宋体" w:hAnsi="宋体" w:cs="宋体"/>
          <w:color w:val="auto"/>
          <w:sz w:val="24"/>
          <w:highlight w:val="none"/>
        </w:rPr>
      </w:pPr>
      <w:r>
        <w:rPr>
          <w:rFonts w:hint="eastAsia" w:ascii="宋体" w:hAnsi="宋体" w:cs="宋体"/>
          <w:color w:val="auto"/>
          <w:sz w:val="24"/>
          <w:highlight w:val="none"/>
        </w:rPr>
        <w:t>中标人转包的，视同拒绝履行政府采购合同义务，将依法追究法律责任。</w:t>
      </w:r>
    </w:p>
    <w:p>
      <w:pPr>
        <w:pStyle w:val="4"/>
        <w:spacing w:line="400" w:lineRule="exact"/>
        <w:ind w:firstLine="482" w:firstLineChars="200"/>
        <w:rPr>
          <w:rFonts w:ascii="宋体" w:hAnsi="宋体" w:eastAsia="宋体" w:cs="宋体"/>
          <w:color w:val="auto"/>
          <w:sz w:val="24"/>
          <w:szCs w:val="24"/>
          <w:highlight w:val="none"/>
        </w:rPr>
      </w:pPr>
      <w:bookmarkStart w:id="125" w:name="_Toc217446066"/>
      <w:r>
        <w:rPr>
          <w:rFonts w:hint="eastAsia" w:ascii="宋体" w:hAnsi="宋体" w:eastAsia="宋体" w:cs="宋体"/>
          <w:color w:val="auto"/>
          <w:sz w:val="24"/>
          <w:szCs w:val="24"/>
          <w:highlight w:val="none"/>
        </w:rPr>
        <w:t>31.</w:t>
      </w:r>
      <w:bookmarkEnd w:id="125"/>
      <w:r>
        <w:rPr>
          <w:rFonts w:hint="eastAsia" w:ascii="宋体" w:hAnsi="宋体" w:eastAsia="宋体" w:cs="宋体"/>
          <w:color w:val="auto"/>
          <w:sz w:val="24"/>
          <w:szCs w:val="24"/>
          <w:highlight w:val="none"/>
        </w:rPr>
        <w:t xml:space="preserve"> 补充合同</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spacing w:line="400" w:lineRule="exact"/>
        <w:ind w:firstLine="482" w:firstLineChars="200"/>
        <w:rPr>
          <w:rFonts w:ascii="宋体" w:hAnsi="宋体" w:cs="宋体"/>
          <w:b w:val="0"/>
          <w:color w:val="auto"/>
          <w:sz w:val="24"/>
          <w:szCs w:val="24"/>
          <w:highlight w:val="none"/>
        </w:rPr>
      </w:pPr>
      <w:bookmarkStart w:id="126" w:name="_Toc308164812"/>
      <w:bookmarkStart w:id="127" w:name="_Toc217446068"/>
      <w:r>
        <w:rPr>
          <w:rFonts w:hint="eastAsia" w:ascii="宋体" w:hAnsi="宋体" w:cs="宋体"/>
          <w:color w:val="auto"/>
          <w:sz w:val="24"/>
          <w:szCs w:val="24"/>
          <w:highlight w:val="none"/>
        </w:rPr>
        <w:t>32</w:t>
      </w:r>
      <w:r>
        <w:rPr>
          <w:rFonts w:hint="eastAsia" w:ascii="宋体" w:hAnsi="宋体" w:cs="宋体"/>
          <w:b w:val="0"/>
          <w:color w:val="auto"/>
          <w:sz w:val="24"/>
          <w:szCs w:val="24"/>
          <w:highlight w:val="none"/>
        </w:rPr>
        <w:t xml:space="preserve">. </w:t>
      </w:r>
      <w:r>
        <w:rPr>
          <w:rFonts w:hint="eastAsia" w:ascii="宋体" w:hAnsi="宋体" w:cs="宋体"/>
          <w:color w:val="auto"/>
          <w:sz w:val="24"/>
          <w:szCs w:val="24"/>
          <w:highlight w:val="none"/>
        </w:rPr>
        <w:t>履约保证金</w:t>
      </w:r>
      <w:bookmarkEnd w:id="126"/>
      <w:bookmarkEnd w:id="127"/>
      <w:r>
        <w:rPr>
          <w:rFonts w:hint="eastAsia" w:ascii="宋体" w:hAnsi="宋体" w:cs="宋体"/>
          <w:color w:val="auto"/>
          <w:sz w:val="24"/>
          <w:szCs w:val="24"/>
          <w:highlight w:val="none"/>
        </w:rPr>
        <w:t xml:space="preserve"> </w:t>
      </w:r>
    </w:p>
    <w:p>
      <w:pPr>
        <w:pStyle w:val="5"/>
        <w:spacing w:line="400" w:lineRule="exact"/>
        <w:ind w:firstLine="480" w:firstLineChars="200"/>
        <w:rPr>
          <w:rFonts w:ascii="宋体" w:hAnsi="宋体" w:cs="宋体"/>
          <w:b w:val="0"/>
          <w:bCs w:val="0"/>
          <w:color w:val="auto"/>
          <w:kern w:val="2"/>
          <w:sz w:val="24"/>
          <w:szCs w:val="24"/>
          <w:highlight w:val="none"/>
        </w:rPr>
      </w:pPr>
      <w:bookmarkStart w:id="128" w:name="_Toc308164813"/>
      <w:bookmarkStart w:id="129" w:name="_Toc217446069"/>
      <w:r>
        <w:rPr>
          <w:rFonts w:hint="eastAsia" w:ascii="宋体" w:hAnsi="宋体" w:cs="宋体"/>
          <w:b w:val="0"/>
          <w:bCs w:val="0"/>
          <w:color w:val="auto"/>
          <w:kern w:val="2"/>
          <w:sz w:val="24"/>
          <w:szCs w:val="24"/>
          <w:highlight w:val="none"/>
        </w:rPr>
        <w:t>3</w:t>
      </w:r>
      <w:r>
        <w:rPr>
          <w:rFonts w:ascii="宋体" w:hAnsi="宋体" w:cs="宋体"/>
          <w:b w:val="0"/>
          <w:bCs w:val="0"/>
          <w:color w:val="auto"/>
          <w:kern w:val="2"/>
          <w:sz w:val="24"/>
          <w:szCs w:val="24"/>
          <w:highlight w:val="none"/>
        </w:rPr>
        <w:t>2</w:t>
      </w:r>
      <w:r>
        <w:rPr>
          <w:rFonts w:hint="eastAsia" w:ascii="宋体" w:hAnsi="宋体" w:cs="宋体"/>
          <w:b w:val="0"/>
          <w:bCs w:val="0"/>
          <w:color w:val="auto"/>
          <w:kern w:val="2"/>
          <w:sz w:val="24"/>
          <w:szCs w:val="24"/>
          <w:highlight w:val="none"/>
        </w:rPr>
        <w:t>.1本项目不收取履约保证金。</w:t>
      </w:r>
    </w:p>
    <w:p>
      <w:pPr>
        <w:pStyle w:val="5"/>
        <w:spacing w:line="400" w:lineRule="exact"/>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33.合同公告</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5"/>
        <w:spacing w:line="400" w:lineRule="exact"/>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34、合同备案</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采购人应当将政府采购合同副本自签订（双方当事人均已签字盖章）之日起七个工作日内通过四川政府采购网报同级财政部门备案。</w:t>
      </w:r>
    </w:p>
    <w:p>
      <w:pPr>
        <w:pStyle w:val="5"/>
        <w:spacing w:line="400" w:lineRule="exact"/>
        <w:ind w:firstLine="482" w:firstLineChars="200"/>
        <w:rPr>
          <w:rFonts w:ascii="宋体" w:hAnsi="宋体" w:cs="宋体"/>
          <w:b w:val="0"/>
          <w:color w:val="auto"/>
          <w:sz w:val="24"/>
          <w:szCs w:val="24"/>
          <w:highlight w:val="none"/>
        </w:rPr>
      </w:pPr>
      <w:r>
        <w:rPr>
          <w:rFonts w:hint="eastAsia" w:ascii="宋体" w:hAnsi="宋体" w:cs="宋体"/>
          <w:color w:val="auto"/>
          <w:sz w:val="24"/>
          <w:szCs w:val="24"/>
          <w:highlight w:val="none"/>
        </w:rPr>
        <w:t>35. 履行合同</w:t>
      </w:r>
      <w:bookmarkEnd w:id="128"/>
      <w:bookmarkEnd w:id="129"/>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35.1 中标人与采购人签订合同后，合同双方应严格执行合同条款，履行合同规定的义务，保证合同的顺利完成。</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35.2 在合同履行过程中，如发生合同纠纷，合同双方应按照《民法典》的有关规定进行处理。</w:t>
      </w:r>
    </w:p>
    <w:p>
      <w:pPr>
        <w:pStyle w:val="5"/>
        <w:spacing w:line="400" w:lineRule="exact"/>
        <w:ind w:firstLine="482" w:firstLineChars="200"/>
        <w:rPr>
          <w:rFonts w:ascii="宋体" w:hAnsi="宋体" w:cs="宋体"/>
          <w:b w:val="0"/>
          <w:color w:val="auto"/>
          <w:sz w:val="24"/>
          <w:szCs w:val="24"/>
          <w:highlight w:val="none"/>
        </w:rPr>
      </w:pPr>
      <w:bookmarkStart w:id="130" w:name="_Toc217446070"/>
      <w:bookmarkStart w:id="131" w:name="_Toc308164814"/>
      <w:r>
        <w:rPr>
          <w:rFonts w:hint="eastAsia" w:ascii="宋体" w:hAnsi="宋体" w:cs="宋体"/>
          <w:color w:val="auto"/>
          <w:sz w:val="24"/>
          <w:szCs w:val="24"/>
          <w:highlight w:val="none"/>
        </w:rPr>
        <w:t>36. 验收</w:t>
      </w:r>
      <w:bookmarkEnd w:id="130"/>
      <w:bookmarkEnd w:id="131"/>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36.1本项目采购人及其委托的采购代理机构将严格按照政府采购相关法律法规以及《财政部关于进一步加强政府采购需求和履约验收管理的指导意见》（财库〔2016〕205号）的要求进行验收。</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36.2 验收结果合格的，中标人凭验收报告办理相关手续；验收结果不合格的，履约保证金将不予退还，也将不予支付采购资金，还可能会报告本项目同级财政部门按照政府采购法律法规及《四川省政府采购当事人诚信管理办法》（川财采〔2015〕33号）等有关规定给予行政处罚或者以失信行为记入诚信档案。</w:t>
      </w:r>
      <w:bookmarkStart w:id="132" w:name="_Toc217446071"/>
    </w:p>
    <w:p>
      <w:pPr>
        <w:pStyle w:val="5"/>
        <w:spacing w:line="400" w:lineRule="exact"/>
        <w:ind w:firstLine="482" w:firstLineChars="200"/>
        <w:rPr>
          <w:rFonts w:ascii="宋体" w:hAnsi="宋体" w:cs="宋体"/>
          <w:color w:val="auto"/>
          <w:sz w:val="24"/>
          <w:szCs w:val="24"/>
          <w:highlight w:val="none"/>
        </w:rPr>
      </w:pPr>
      <w:bookmarkStart w:id="133" w:name="_Toc217446077"/>
      <w:bookmarkStart w:id="134" w:name="_Toc308164818"/>
      <w:r>
        <w:rPr>
          <w:rFonts w:hint="eastAsia" w:ascii="宋体" w:hAnsi="宋体" w:cs="宋体"/>
          <w:color w:val="auto"/>
          <w:sz w:val="24"/>
          <w:szCs w:val="24"/>
          <w:highlight w:val="none"/>
        </w:rPr>
        <w:t>37.资金支付</w:t>
      </w:r>
      <w:bookmarkEnd w:id="133"/>
      <w:bookmarkEnd w:id="134"/>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采购人将按照政府采购合同规定，及时向中标供应商支付采购资金。本项目采购资金付款详见第六章商务要求中付款方式。</w:t>
      </w:r>
    </w:p>
    <w:bookmarkEnd w:id="121"/>
    <w:bookmarkEnd w:id="122"/>
    <w:bookmarkEnd w:id="132"/>
    <w:p>
      <w:pPr>
        <w:pStyle w:val="4"/>
        <w:spacing w:line="400" w:lineRule="exact"/>
        <w:jc w:val="center"/>
        <w:rPr>
          <w:rFonts w:ascii="宋体" w:hAnsi="宋体" w:eastAsia="宋体" w:cs="宋体"/>
          <w:color w:val="auto"/>
          <w:szCs w:val="28"/>
          <w:highlight w:val="none"/>
        </w:rPr>
      </w:pPr>
      <w:bookmarkStart w:id="135" w:name="_Toc217446074"/>
      <w:bookmarkStart w:id="136" w:name="_Toc308164815"/>
      <w:bookmarkStart w:id="137" w:name="_Toc183682380"/>
      <w:bookmarkStart w:id="138" w:name="_Toc183582243"/>
      <w:r>
        <w:rPr>
          <w:rFonts w:hint="eastAsia" w:ascii="宋体" w:hAnsi="宋体" w:eastAsia="宋体" w:cs="宋体"/>
          <w:color w:val="auto"/>
          <w:szCs w:val="28"/>
          <w:highlight w:val="none"/>
        </w:rPr>
        <w:t>七、投标纪律要求</w:t>
      </w:r>
      <w:bookmarkEnd w:id="135"/>
      <w:bookmarkEnd w:id="136"/>
    </w:p>
    <w:p>
      <w:pPr>
        <w:pStyle w:val="5"/>
        <w:spacing w:line="400" w:lineRule="exact"/>
        <w:ind w:firstLine="482" w:firstLineChars="200"/>
        <w:rPr>
          <w:rFonts w:ascii="宋体" w:hAnsi="宋体" w:cs="宋体"/>
          <w:bCs w:val="0"/>
          <w:color w:val="auto"/>
          <w:sz w:val="24"/>
          <w:szCs w:val="24"/>
          <w:highlight w:val="none"/>
        </w:rPr>
      </w:pPr>
      <w:bookmarkStart w:id="139" w:name="_Toc308164816"/>
      <w:bookmarkStart w:id="140" w:name="_Toc217446075"/>
      <w:r>
        <w:rPr>
          <w:rFonts w:hint="eastAsia" w:ascii="宋体" w:hAnsi="宋体" w:cs="宋体"/>
          <w:color w:val="auto"/>
          <w:sz w:val="24"/>
          <w:highlight w:val="none"/>
        </w:rPr>
        <w:t xml:space="preserve">38. </w:t>
      </w:r>
      <w:r>
        <w:rPr>
          <w:rFonts w:hint="eastAsia" w:ascii="宋体" w:hAnsi="宋体" w:cs="宋体"/>
          <w:bCs w:val="0"/>
          <w:color w:val="auto"/>
          <w:sz w:val="24"/>
          <w:szCs w:val="24"/>
          <w:highlight w:val="none"/>
        </w:rPr>
        <w:t>投标人</w:t>
      </w:r>
      <w:bookmarkEnd w:id="139"/>
      <w:bookmarkEnd w:id="140"/>
      <w:r>
        <w:rPr>
          <w:rFonts w:hint="eastAsia" w:ascii="宋体" w:hAnsi="宋体" w:cs="宋体"/>
          <w:bCs w:val="0"/>
          <w:color w:val="auto"/>
          <w:sz w:val="24"/>
          <w:szCs w:val="24"/>
          <w:highlight w:val="none"/>
        </w:rPr>
        <w:t>纪律要求</w:t>
      </w:r>
    </w:p>
    <w:p>
      <w:pPr>
        <w:pStyle w:val="9"/>
        <w:spacing w:line="400" w:lineRule="exact"/>
        <w:ind w:firstLine="480"/>
        <w:rPr>
          <w:rFonts w:ascii="宋体" w:hAnsi="宋体" w:cs="宋体"/>
          <w:color w:val="auto"/>
          <w:sz w:val="24"/>
          <w:highlight w:val="none"/>
        </w:rPr>
      </w:pPr>
      <w:r>
        <w:rPr>
          <w:rFonts w:hint="eastAsia" w:ascii="宋体" w:hAnsi="宋体" w:cs="宋体"/>
          <w:color w:val="auto"/>
          <w:sz w:val="24"/>
          <w:highlight w:val="none"/>
        </w:rPr>
        <w:t>投标人应当遵循公平竞争的原则，不得恶意串通，不得妨碍其他投标人的竞争行为，不得损害采购人或者其他投标人的合法权益。</w:t>
      </w:r>
    </w:p>
    <w:p>
      <w:pPr>
        <w:pStyle w:val="9"/>
        <w:spacing w:line="400" w:lineRule="exact"/>
        <w:ind w:firstLine="480"/>
        <w:rPr>
          <w:rFonts w:ascii="宋体" w:hAnsi="宋体" w:cs="宋体"/>
          <w:color w:val="auto"/>
          <w:sz w:val="24"/>
          <w:highlight w:val="none"/>
        </w:rPr>
      </w:pPr>
      <w:r>
        <w:rPr>
          <w:rFonts w:hint="eastAsia" w:ascii="宋体" w:hAnsi="宋体" w:cs="宋体"/>
          <w:color w:val="auto"/>
          <w:sz w:val="24"/>
          <w:highlight w:val="none"/>
        </w:rPr>
        <w:t>在评标过程中发现投标人有上述情形的，评标委员会应当认定其投标无效，并书面报告本级财政部门。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38.1 投标人参加本项目投标不得有下列情形：</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（1）提供虚假材料谋取中标；</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（2）采取不正当手段诋毁、排挤其他投标人；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（3）与招标采购单位、其他投标人恶意串通；</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（4）向招标采购单位、评标委员会成员行贿或者提供其他不正当利益；</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（5）在招标过程中与招标采购单位进行协商招标；</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（6）中标或者成交后无正当理由拒不与采购人签订政府采购合同；</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（7）未按照采购文件确定的事项签订政府采购合同；</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（8）将政府采购合同转包或者违规分包；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（9）提供假冒伪劣产品；</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（10）擅自变更、中止或者终止政府采购合同；</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（11）拒绝有关部门的监督检查或者向监督检查部门提供虚假情况；</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（12）法律法规规定的其他情形。</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投标人有上述情形的，按照规定追究法律责任，具备（1）-（10）条情形之一的，同时将取消中标资格或者认定中标无效。</w:t>
      </w:r>
      <w:bookmarkEnd w:id="54"/>
    </w:p>
    <w:p>
      <w:pPr>
        <w:spacing w:line="400" w:lineRule="exact"/>
        <w:ind w:firstLine="480" w:firstLineChars="200"/>
        <w:rPr>
          <w:rFonts w:ascii="宋体" w:hAnsi="宋体" w:cs="宋体"/>
          <w:color w:val="auto"/>
          <w:sz w:val="24"/>
          <w:highlight w:val="none"/>
        </w:rPr>
      </w:pPr>
      <w:bookmarkStart w:id="141" w:name="PO_默认文件内容_23"/>
      <w:r>
        <w:rPr>
          <w:rFonts w:hint="eastAsia" w:ascii="宋体" w:hAnsi="宋体" w:cs="宋体"/>
          <w:color w:val="auto"/>
          <w:sz w:val="24"/>
          <w:highlight w:val="none"/>
        </w:rPr>
        <w:t>38.2 投标人有下列情形之一的，视为投标人串通投标，其投标无效：</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（1）不同投标人的投标文件由同一单位或者个人编制；</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（3）不同投标人的投标文件载明的项目管理成员或者联系人员为同一人；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（5）不同投标人的投标文件相互混装；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（6）不同投标人的投标保证金从同一单位或者个人的账户转出。</w:t>
      </w:r>
    </w:p>
    <w:p>
      <w:pPr>
        <w:pStyle w:val="4"/>
        <w:spacing w:line="400" w:lineRule="exact"/>
        <w:jc w:val="center"/>
        <w:rPr>
          <w:rFonts w:ascii="宋体" w:hAnsi="宋体" w:eastAsia="宋体" w:cs="宋体"/>
          <w:bCs w:val="0"/>
          <w:color w:val="auto"/>
          <w:szCs w:val="28"/>
          <w:highlight w:val="none"/>
        </w:rPr>
      </w:pPr>
      <w:bookmarkStart w:id="142" w:name="_Toc308164819"/>
      <w:bookmarkStart w:id="143" w:name="_Toc217446078"/>
      <w:r>
        <w:rPr>
          <w:rFonts w:hint="eastAsia" w:ascii="宋体" w:hAnsi="宋体" w:eastAsia="宋体" w:cs="宋体"/>
          <w:bCs w:val="0"/>
          <w:color w:val="auto"/>
          <w:szCs w:val="28"/>
          <w:highlight w:val="none"/>
        </w:rPr>
        <w:t>八、询问、质疑和投诉</w:t>
      </w:r>
      <w:bookmarkEnd w:id="142"/>
      <w:bookmarkEnd w:id="143"/>
      <w:bookmarkStart w:id="144" w:name="_Toc217446079"/>
    </w:p>
    <w:bookmarkEnd w:id="144"/>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End w:id="137"/>
      <w:bookmarkEnd w:id="138"/>
      <w:r>
        <w:rPr>
          <w:rFonts w:hint="eastAsia" w:ascii="宋体" w:hAnsi="宋体" w:cs="宋体"/>
          <w:color w:val="auto"/>
          <w:sz w:val="24"/>
          <w:highlight w:val="none"/>
        </w:rPr>
        <w:t>9．询问、质疑、投诉的接收和处理严格按照《中华人民共和国政府采购法》、《中华人民共和国政府采购法实施条例》、《政府采购货物和服务招标投标管理办法》、《政府采购质疑和投诉办法》、《财政部关于加强政府采购供应商投诉受理审查工作的通知》和《四川省政府采购供应商投诉处理工作规程》的规定办理（详细规定请在四川政府采购网政策法规模块查询）。</w:t>
      </w:r>
    </w:p>
    <w:p>
      <w:pPr>
        <w:pStyle w:val="4"/>
        <w:spacing w:line="400" w:lineRule="exact"/>
        <w:jc w:val="center"/>
        <w:rPr>
          <w:rFonts w:ascii="宋体" w:hAnsi="宋体" w:eastAsia="宋体" w:cs="宋体"/>
          <w:bCs w:val="0"/>
          <w:color w:val="auto"/>
          <w:szCs w:val="28"/>
          <w:highlight w:val="none"/>
        </w:rPr>
      </w:pPr>
      <w:r>
        <w:rPr>
          <w:rFonts w:hint="eastAsia" w:ascii="宋体" w:hAnsi="宋体" w:eastAsia="宋体" w:cs="宋体"/>
          <w:bCs w:val="0"/>
          <w:color w:val="auto"/>
          <w:szCs w:val="28"/>
          <w:highlight w:val="none"/>
        </w:rPr>
        <w:t>九、其他</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bCs/>
          <w:color w:val="auto"/>
          <w:sz w:val="24"/>
          <w:highlight w:val="none"/>
        </w:rPr>
        <w:t>40.</w:t>
      </w:r>
      <w:r>
        <w:rPr>
          <w:rFonts w:hint="eastAsia" w:ascii="宋体" w:hAnsi="宋体" w:cs="宋体"/>
          <w:color w:val="auto"/>
          <w:sz w:val="24"/>
          <w:highlight w:val="none"/>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41.</w:t>
      </w:r>
      <w:r>
        <w:rPr>
          <w:rFonts w:hint="eastAsia" w:ascii="宋体" w:hAnsi="宋体" w:cs="宋体"/>
          <w:b/>
          <w:color w:val="auto"/>
          <w:sz w:val="24"/>
          <w:highlight w:val="none"/>
        </w:rPr>
        <w:t>（实质性要求）</w:t>
      </w:r>
      <w:r>
        <w:rPr>
          <w:rFonts w:hint="eastAsia" w:ascii="宋体" w:hAnsi="宋体" w:cs="宋体"/>
          <w:color w:val="auto"/>
          <w:sz w:val="24"/>
          <w:highlight w:val="none"/>
        </w:rPr>
        <w:t>本项目强制认证产品：供应商所投产品涉及国家强制认证的（CCC）或前置许可、认证的，在其他响应性投标文件提供符合国家强制认证（CCC）或前置许可、认证的承诺函原件，在供货时一并提供相关许可、认证材料。</w:t>
      </w:r>
      <w:r>
        <w:rPr>
          <w:rFonts w:hint="eastAsia" w:ascii="宋体" w:hAnsi="宋体" w:cs="宋体"/>
          <w:b/>
          <w:bCs/>
          <w:color w:val="auto"/>
          <w:sz w:val="24"/>
          <w:highlight w:val="none"/>
        </w:rPr>
        <w:t>（提供承诺函格式自拟并加盖供应商公章）</w:t>
      </w:r>
    </w:p>
    <w:p>
      <w:pPr>
        <w:pStyle w:val="2"/>
        <w:rPr>
          <w:rFonts w:ascii="宋体" w:hAnsi="宋体" w:cs="宋体"/>
          <w:color w:val="auto"/>
          <w:highlight w:val="none"/>
        </w:rPr>
      </w:pPr>
    </w:p>
    <w:p>
      <w:pPr>
        <w:pStyle w:val="3"/>
        <w:spacing w:line="240" w:lineRule="auto"/>
        <w:jc w:val="center"/>
        <w:rPr>
          <w:rFonts w:ascii="宋体" w:hAnsi="宋体" w:cs="宋体"/>
          <w:color w:val="auto"/>
          <w:sz w:val="36"/>
          <w:szCs w:val="36"/>
          <w:highlight w:val="none"/>
        </w:rPr>
      </w:pPr>
      <w:bookmarkStart w:id="145" w:name="_Toc1368"/>
      <w:bookmarkStart w:id="146" w:name="_Toc24369"/>
      <w:bookmarkStart w:id="147" w:name="_Toc217446083"/>
      <w:r>
        <w:rPr>
          <w:rFonts w:hint="eastAsia" w:ascii="宋体" w:hAnsi="宋体" w:cs="宋体"/>
          <w:color w:val="auto"/>
          <w:sz w:val="36"/>
          <w:szCs w:val="36"/>
          <w:highlight w:val="none"/>
        </w:rPr>
        <w:br w:type="page"/>
      </w:r>
      <w:r>
        <w:rPr>
          <w:rFonts w:hint="eastAsia" w:ascii="宋体" w:hAnsi="宋体" w:cs="宋体"/>
          <w:color w:val="auto"/>
          <w:sz w:val="36"/>
          <w:szCs w:val="36"/>
          <w:highlight w:val="none"/>
        </w:rPr>
        <w:t>第三章  投标文件格式</w:t>
      </w:r>
      <w:bookmarkEnd w:id="145"/>
      <w:bookmarkEnd w:id="146"/>
      <w:bookmarkStart w:id="148" w:name="_Toc308164821"/>
      <w:bookmarkStart w:id="149" w:name="_Toc217446082"/>
    </w:p>
    <w:p>
      <w:pPr>
        <w:widowControl/>
        <w:spacing w:line="240" w:lineRule="auto"/>
        <w:jc w:val="center"/>
        <w:outlineLvl w:val="1"/>
        <w:rPr>
          <w:rFonts w:ascii="宋体" w:hAnsi="宋体" w:cs="宋体"/>
          <w:b/>
          <w:color w:val="auto"/>
          <w:sz w:val="24"/>
          <w:highlight w:val="none"/>
        </w:rPr>
      </w:pPr>
    </w:p>
    <w:p>
      <w:pPr>
        <w:widowControl/>
        <w:spacing w:line="240" w:lineRule="auto"/>
        <w:ind w:firstLine="470" w:firstLineChars="196"/>
        <w:outlineLvl w:val="1"/>
        <w:rPr>
          <w:rFonts w:ascii="宋体" w:hAnsi="宋体" w:cs="宋体"/>
          <w:color w:val="auto"/>
          <w:sz w:val="24"/>
          <w:highlight w:val="none"/>
        </w:rPr>
      </w:pPr>
      <w:r>
        <w:rPr>
          <w:rFonts w:hint="eastAsia" w:ascii="宋体" w:hAnsi="宋体" w:cs="宋体"/>
          <w:color w:val="auto"/>
          <w:sz w:val="24"/>
          <w:highlight w:val="none"/>
        </w:rPr>
        <w:t>一、本章所制投标文件格式，除格式中明确将该格式作为实质性要求的，一律不具有强制性，但是，投标人投标文件相关资料和本章所制格式不一致的，评标委员会将在评分时以投标文件不规范予以扣分处理。</w:t>
      </w:r>
    </w:p>
    <w:p>
      <w:pPr>
        <w:widowControl/>
        <w:spacing w:line="360" w:lineRule="atLeast"/>
        <w:ind w:firstLine="470" w:firstLineChars="196"/>
        <w:outlineLvl w:val="1"/>
        <w:rPr>
          <w:rFonts w:ascii="宋体" w:hAnsi="宋体" w:cs="宋体"/>
          <w:color w:val="auto"/>
          <w:sz w:val="24"/>
          <w:highlight w:val="none"/>
        </w:rPr>
      </w:pPr>
      <w:r>
        <w:rPr>
          <w:rFonts w:hint="eastAsia" w:ascii="宋体" w:hAnsi="宋体" w:cs="宋体"/>
          <w:color w:val="auto"/>
          <w:sz w:val="24"/>
          <w:highlight w:val="none"/>
        </w:rPr>
        <w:t>二、本章所制投标文件格式有关表格中的备注栏，由投标人根据自身投标情况作解释性说明，不作为必填项。</w:t>
      </w:r>
    </w:p>
    <w:p>
      <w:pPr>
        <w:widowControl/>
        <w:spacing w:line="360" w:lineRule="atLeast"/>
        <w:ind w:firstLine="470" w:firstLineChars="196"/>
        <w:outlineLvl w:val="1"/>
        <w:rPr>
          <w:rFonts w:ascii="宋体" w:hAnsi="宋体" w:cs="宋体"/>
          <w:color w:val="auto"/>
          <w:sz w:val="24"/>
          <w:highlight w:val="none"/>
        </w:rPr>
      </w:pPr>
      <w:r>
        <w:rPr>
          <w:rFonts w:hint="eastAsia" w:ascii="宋体" w:hAnsi="宋体" w:cs="宋体"/>
          <w:color w:val="auto"/>
          <w:sz w:val="24"/>
          <w:highlight w:val="none"/>
        </w:rPr>
        <w:t>三、本章所制投标文件格式中需要填写的相关内容事项，可能会与本采购项目无关，在不改变投标文件原义、不影响本项目采购需求的情况下，投标人可以不予填写，但应当注明。</w:t>
      </w:r>
      <w:bookmarkEnd w:id="141"/>
    </w:p>
    <w:p>
      <w:pPr>
        <w:tabs>
          <w:tab w:val="left" w:pos="900"/>
        </w:tabs>
        <w:spacing w:line="360" w:lineRule="auto"/>
        <w:jc w:val="center"/>
        <w:rPr>
          <w:rFonts w:ascii="宋体" w:hAnsi="宋体" w:cs="宋体"/>
          <w:b/>
          <w:color w:val="auto"/>
          <w:sz w:val="32"/>
          <w:highlight w:val="none"/>
        </w:rPr>
      </w:pPr>
      <w:r>
        <w:rPr>
          <w:rFonts w:hint="eastAsia" w:ascii="宋体" w:hAnsi="宋体" w:cs="宋体"/>
          <w:b/>
          <w:color w:val="auto"/>
          <w:sz w:val="32"/>
          <w:szCs w:val="32"/>
          <w:highlight w:val="none"/>
        </w:rPr>
        <w:br w:type="page"/>
      </w:r>
      <w:bookmarkStart w:id="150" w:name="PO_默认文件内容_24"/>
      <w:r>
        <w:rPr>
          <w:rFonts w:hint="eastAsia" w:ascii="宋体" w:hAnsi="宋体" w:cs="宋体"/>
          <w:b/>
          <w:color w:val="auto"/>
          <w:sz w:val="32"/>
          <w:highlight w:val="none"/>
        </w:rPr>
        <w:t>第一部分     “资格性投标文件”格式</w:t>
      </w:r>
    </w:p>
    <w:p>
      <w:pP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格式1-1</w:t>
      </w:r>
    </w:p>
    <w:p>
      <w:pP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封面：</w:t>
      </w:r>
    </w:p>
    <w:p>
      <w:pPr>
        <w:spacing w:line="360" w:lineRule="auto"/>
        <w:jc w:val="right"/>
        <w:rPr>
          <w:rFonts w:ascii="宋体" w:hAnsi="宋体" w:cs="宋体"/>
          <w:b/>
          <w:color w:val="auto"/>
          <w:sz w:val="36"/>
          <w:highlight w:val="none"/>
        </w:rPr>
      </w:pPr>
      <w:r>
        <w:rPr>
          <w:rFonts w:hint="eastAsia" w:ascii="宋体" w:hAnsi="宋体" w:cs="宋体"/>
          <w:b/>
          <w:color w:val="auto"/>
          <w:sz w:val="36"/>
          <w:highlight w:val="none"/>
        </w:rPr>
        <w:t>（正本/副本）</w:t>
      </w:r>
    </w:p>
    <w:p>
      <w:pPr>
        <w:spacing w:line="360" w:lineRule="auto"/>
        <w:rPr>
          <w:rFonts w:ascii="宋体" w:hAnsi="宋体" w:cs="宋体"/>
          <w:b/>
          <w:color w:val="auto"/>
          <w:sz w:val="32"/>
          <w:szCs w:val="32"/>
          <w:highlight w:val="none"/>
        </w:rPr>
      </w:pPr>
    </w:p>
    <w:p>
      <w:pPr>
        <w:spacing w:line="360" w:lineRule="auto"/>
        <w:jc w:val="center"/>
        <w:rPr>
          <w:rFonts w:ascii="宋体" w:hAnsi="宋体" w:cs="宋体"/>
          <w:b/>
          <w:color w:val="auto"/>
          <w:sz w:val="72"/>
          <w:highlight w:val="none"/>
        </w:rPr>
      </w:pPr>
      <w:r>
        <w:rPr>
          <w:rFonts w:hint="eastAsia" w:ascii="宋体" w:hAnsi="宋体" w:cs="宋体"/>
          <w:b/>
          <w:color w:val="auto"/>
          <w:sz w:val="40"/>
          <w:szCs w:val="48"/>
          <w:highlight w:val="none"/>
          <w:u w:val="single"/>
        </w:rPr>
        <w:t>xxxxx</w:t>
      </w:r>
      <w:r>
        <w:rPr>
          <w:rFonts w:hint="eastAsia" w:ascii="宋体" w:hAnsi="宋体" w:cs="宋体"/>
          <w:b/>
          <w:color w:val="auto"/>
          <w:sz w:val="40"/>
          <w:szCs w:val="48"/>
          <w:highlight w:val="none"/>
        </w:rPr>
        <w:t>项目</w:t>
      </w:r>
    </w:p>
    <w:p>
      <w:pPr>
        <w:spacing w:line="360" w:lineRule="auto"/>
        <w:rPr>
          <w:rFonts w:ascii="宋体" w:hAnsi="宋体" w:cs="宋体"/>
          <w:b/>
          <w:color w:val="auto"/>
          <w:sz w:val="52"/>
          <w:szCs w:val="5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52"/>
          <w:szCs w:val="52"/>
          <w:highlight w:val="none"/>
        </w:rPr>
        <w:t>资格性投标文件</w:t>
      </w:r>
    </w:p>
    <w:p>
      <w:pPr>
        <w:spacing w:line="360" w:lineRule="auto"/>
        <w:jc w:val="left"/>
        <w:rPr>
          <w:rFonts w:ascii="宋体" w:hAnsi="宋体" w:cs="宋体"/>
          <w:b/>
          <w:color w:val="auto"/>
          <w:sz w:val="32"/>
          <w:highlight w:val="none"/>
          <w:u w:val="single"/>
        </w:rPr>
      </w:pPr>
      <w:r>
        <w:rPr>
          <w:rFonts w:hint="eastAsia" w:ascii="宋体" w:hAnsi="宋体" w:cs="宋体"/>
          <w:b/>
          <w:color w:val="auto"/>
          <w:sz w:val="32"/>
          <w:highlight w:val="none"/>
        </w:rPr>
        <w:t>投 标 人名称： XXXX</w:t>
      </w:r>
    </w:p>
    <w:p>
      <w:pPr>
        <w:spacing w:line="360" w:lineRule="auto"/>
        <w:jc w:val="left"/>
        <w:rPr>
          <w:rFonts w:ascii="宋体" w:hAnsi="宋体" w:cs="宋体"/>
          <w:b/>
          <w:color w:val="auto"/>
          <w:sz w:val="32"/>
          <w:highlight w:val="none"/>
          <w:u w:val="single"/>
        </w:rPr>
      </w:pPr>
      <w:r>
        <w:rPr>
          <w:rFonts w:hint="eastAsia" w:ascii="宋体" w:hAnsi="宋体" w:cs="宋体"/>
          <w:b/>
          <w:color w:val="auto"/>
          <w:sz w:val="32"/>
          <w:highlight w:val="none"/>
        </w:rPr>
        <w:t>采购项目编号： XXXX</w:t>
      </w:r>
    </w:p>
    <w:p>
      <w:pPr>
        <w:spacing w:line="360" w:lineRule="auto"/>
        <w:jc w:val="left"/>
        <w:rPr>
          <w:rFonts w:ascii="宋体" w:hAnsi="宋体" w:cs="宋体"/>
          <w:b/>
          <w:color w:val="auto"/>
          <w:sz w:val="32"/>
          <w:highlight w:val="none"/>
        </w:rPr>
      </w:pPr>
    </w:p>
    <w:p>
      <w:pPr>
        <w:spacing w:line="360" w:lineRule="auto"/>
        <w:ind w:firstLine="790" w:firstLineChars="246"/>
        <w:jc w:val="center"/>
        <w:rPr>
          <w:rFonts w:ascii="宋体" w:hAnsi="宋体" w:cs="宋体"/>
          <w:b/>
          <w:color w:val="auto"/>
          <w:sz w:val="32"/>
          <w:highlight w:val="none"/>
        </w:rPr>
      </w:pPr>
      <w:r>
        <w:rPr>
          <w:rFonts w:hint="eastAsia" w:ascii="宋体" w:hAnsi="宋体" w:cs="宋体"/>
          <w:b/>
          <w:color w:val="auto"/>
          <w:sz w:val="32"/>
          <w:highlight w:val="none"/>
        </w:rPr>
        <w:t>投标时间：2021年XX月XX日</w:t>
      </w:r>
    </w:p>
    <w:p>
      <w:pPr>
        <w:spacing w:after="0" w:line="360" w:lineRule="auto"/>
        <w:rPr>
          <w:rFonts w:ascii="宋体" w:hAnsi="宋体" w:cs="宋体"/>
          <w:b/>
          <w:color w:val="auto"/>
          <w:sz w:val="32"/>
          <w:szCs w:val="32"/>
          <w:highlight w:val="none"/>
        </w:rPr>
      </w:pPr>
      <w:r>
        <w:rPr>
          <w:rFonts w:hint="eastAsia" w:ascii="宋体" w:hAnsi="宋体" w:cs="宋体"/>
          <w:b/>
          <w:color w:val="auto"/>
          <w:sz w:val="32"/>
          <w:highlight w:val="none"/>
        </w:rPr>
        <w:br w:type="page"/>
      </w:r>
      <w:r>
        <w:rPr>
          <w:rFonts w:hint="eastAsia" w:ascii="宋体" w:hAnsi="宋体" w:cs="宋体"/>
          <w:b/>
          <w:color w:val="auto"/>
          <w:sz w:val="32"/>
          <w:szCs w:val="32"/>
          <w:highlight w:val="none"/>
        </w:rPr>
        <w:t>格式1-2</w:t>
      </w:r>
    </w:p>
    <w:p>
      <w:pPr>
        <w:spacing w:after="0" w:line="360" w:lineRule="auto"/>
        <w:ind w:firstLine="790" w:firstLineChars="246"/>
        <w:jc w:val="center"/>
        <w:rPr>
          <w:rFonts w:ascii="宋体" w:hAnsi="宋体" w:cs="宋体"/>
          <w:b/>
          <w:color w:val="auto"/>
          <w:sz w:val="32"/>
          <w:szCs w:val="32"/>
          <w:highlight w:val="none"/>
        </w:rPr>
      </w:pPr>
      <w:r>
        <w:rPr>
          <w:rFonts w:hint="eastAsia" w:ascii="宋体" w:hAnsi="宋体" w:cs="宋体"/>
          <w:b/>
          <w:color w:val="auto"/>
          <w:sz w:val="32"/>
          <w:szCs w:val="32"/>
          <w:highlight w:val="none"/>
        </w:rPr>
        <w:t>一、法定代表人/单位负责人授权书</w:t>
      </w:r>
    </w:p>
    <w:p>
      <w:pPr>
        <w:widowControl/>
        <w:spacing w:after="0" w:line="360" w:lineRule="atLeast"/>
        <w:ind w:firstLine="472" w:firstLineChars="196"/>
        <w:jc w:val="left"/>
        <w:outlineLvl w:val="1"/>
        <w:rPr>
          <w:rFonts w:ascii="宋体" w:hAnsi="宋体" w:cs="宋体"/>
          <w:b/>
          <w:color w:val="auto"/>
          <w:sz w:val="24"/>
          <w:highlight w:val="none"/>
        </w:rPr>
      </w:pPr>
    </w:p>
    <w:p>
      <w:pPr>
        <w:widowControl/>
        <w:spacing w:after="0" w:line="360" w:lineRule="atLeast"/>
        <w:ind w:firstLine="472" w:firstLineChars="196"/>
        <w:jc w:val="left"/>
        <w:outlineLvl w:val="1"/>
        <w:rPr>
          <w:rFonts w:ascii="宋体" w:hAnsi="宋体" w:cs="宋体"/>
          <w:b/>
          <w:color w:val="auto"/>
          <w:sz w:val="24"/>
          <w:highlight w:val="none"/>
        </w:rPr>
      </w:pPr>
    </w:p>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XXXXXXXX（采购代理机构名称）：</w:t>
      </w:r>
    </w:p>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本授权声明：XXXX XXXX（投标人名称）XXXX（法定代表人/单位负责人姓名、职务）授权XXXX（被授权人姓名、职务）为我方 “XXXXXXXX” 项目（招标编号：XXXX）投标活动的合法代表，以我方名义全权处理该项目有关投标、签订合同以及执行合同等一切事宜。</w:t>
      </w:r>
    </w:p>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特此声明。</w:t>
      </w:r>
    </w:p>
    <w:p>
      <w:pPr>
        <w:widowControl/>
        <w:spacing w:after="0" w:line="360" w:lineRule="atLeast"/>
        <w:ind w:firstLine="470" w:firstLineChars="196"/>
        <w:jc w:val="left"/>
        <w:outlineLvl w:val="1"/>
        <w:rPr>
          <w:rFonts w:ascii="宋体" w:hAnsi="宋体" w:cs="宋体"/>
          <w:color w:val="auto"/>
          <w:sz w:val="24"/>
          <w:highlight w:val="none"/>
        </w:rPr>
      </w:pPr>
    </w:p>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法定代表人/单位负责人（委托人）签字或者加盖个人名章：XXXX。</w:t>
      </w:r>
    </w:p>
    <w:p>
      <w:pPr>
        <w:widowControl/>
        <w:spacing w:after="0" w:line="360" w:lineRule="atLeast"/>
        <w:ind w:firstLine="470" w:firstLineChars="196"/>
        <w:jc w:val="left"/>
        <w:outlineLvl w:val="1"/>
        <w:rPr>
          <w:rFonts w:ascii="宋体" w:hAnsi="宋体" w:cs="宋体"/>
          <w:color w:val="auto"/>
          <w:sz w:val="24"/>
          <w:highlight w:val="none"/>
        </w:rPr>
      </w:pPr>
    </w:p>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授权代表（被授权人）签字：XXXX。</w:t>
      </w:r>
    </w:p>
    <w:p>
      <w:pPr>
        <w:widowControl/>
        <w:spacing w:after="0" w:line="360" w:lineRule="atLeast"/>
        <w:ind w:firstLine="470" w:firstLineChars="196"/>
        <w:jc w:val="left"/>
        <w:outlineLvl w:val="1"/>
        <w:rPr>
          <w:rFonts w:ascii="宋体" w:hAnsi="宋体" w:cs="宋体"/>
          <w:color w:val="auto"/>
          <w:sz w:val="24"/>
          <w:highlight w:val="none"/>
        </w:rPr>
      </w:pPr>
    </w:p>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投标人名称：XXXX（单位盖章）。</w:t>
      </w:r>
    </w:p>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日    期：XXXX。</w:t>
      </w:r>
    </w:p>
    <w:p>
      <w:pPr>
        <w:widowControl/>
        <w:spacing w:after="0" w:line="360" w:lineRule="atLeast"/>
        <w:jc w:val="left"/>
        <w:outlineLvl w:val="1"/>
        <w:rPr>
          <w:rFonts w:ascii="宋体" w:hAnsi="宋体" w:cs="宋体"/>
          <w:b/>
          <w:color w:val="auto"/>
          <w:sz w:val="24"/>
          <w:highlight w:val="none"/>
        </w:rPr>
      </w:pPr>
      <w:bookmarkStart w:id="151" w:name="_Toc217446084"/>
    </w:p>
    <w:p>
      <w:pPr>
        <w:widowControl/>
        <w:spacing w:after="0" w:line="360" w:lineRule="atLeast"/>
        <w:jc w:val="left"/>
        <w:outlineLvl w:val="1"/>
        <w:rPr>
          <w:rFonts w:ascii="宋体" w:hAnsi="宋体" w:cs="宋体"/>
          <w:b/>
          <w:color w:val="auto"/>
          <w:sz w:val="24"/>
          <w:highlight w:val="none"/>
        </w:rPr>
      </w:pPr>
    </w:p>
    <w:p>
      <w:pPr>
        <w:widowControl/>
        <w:spacing w:after="0" w:line="360" w:lineRule="atLeast"/>
        <w:jc w:val="left"/>
        <w:outlineLvl w:val="1"/>
        <w:rPr>
          <w:rFonts w:ascii="宋体" w:hAnsi="宋体" w:cs="宋体"/>
          <w:b/>
          <w:color w:val="auto"/>
          <w:sz w:val="24"/>
          <w:highlight w:val="none"/>
        </w:rPr>
      </w:pPr>
    </w:p>
    <w:p>
      <w:pPr>
        <w:widowControl/>
        <w:spacing w:after="0" w:line="360" w:lineRule="atLeast"/>
        <w:jc w:val="left"/>
        <w:outlineLvl w:val="1"/>
        <w:rPr>
          <w:rFonts w:ascii="宋体" w:hAnsi="宋体" w:cs="宋体"/>
          <w:b/>
          <w:color w:val="auto"/>
          <w:sz w:val="24"/>
          <w:highlight w:val="none"/>
        </w:rPr>
      </w:pPr>
    </w:p>
    <w:p>
      <w:pPr>
        <w:spacing w:after="0" w:line="400" w:lineRule="exact"/>
        <w:ind w:left="840" w:hanging="840" w:hangingChars="350"/>
        <w:jc w:val="left"/>
        <w:rPr>
          <w:rFonts w:ascii="宋体" w:hAnsi="宋体" w:cs="宋体"/>
          <w:color w:val="auto"/>
          <w:sz w:val="24"/>
          <w:highlight w:val="none"/>
        </w:rPr>
      </w:pPr>
      <w:r>
        <w:rPr>
          <w:rFonts w:hint="eastAsia" w:ascii="宋体" w:hAnsi="宋体" w:cs="宋体"/>
          <w:color w:val="auto"/>
          <w:sz w:val="24"/>
          <w:highlight w:val="none"/>
        </w:rPr>
        <w:t>注：</w:t>
      </w:r>
    </w:p>
    <w:p>
      <w:pPr>
        <w:spacing w:after="0"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1、供应商为法人单位时提供“法定代表人授权书”，供应商为其他组织时提供“单位负责人授权书”，供应商为自然人时提供“自然人身份证明材料”。</w:t>
      </w:r>
    </w:p>
    <w:p>
      <w:pPr>
        <w:spacing w:after="0"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2、应附法定代表人/单位负责人身份证明材料复印件和授权代表身份证明材料复印件。</w:t>
      </w:r>
    </w:p>
    <w:p>
      <w:pPr>
        <w:spacing w:after="0"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3、身份证明材料包括居民身份证或户口本或军官证或护照等，身份证明材料应同时提供其在有效期的材料，如居民身份证正、反面复印件。</w:t>
      </w:r>
    </w:p>
    <w:p>
      <w:pPr>
        <w:spacing w:after="0" w:line="400" w:lineRule="exact"/>
        <w:ind w:firstLine="480" w:firstLineChars="200"/>
        <w:rPr>
          <w:rFonts w:ascii="宋体" w:hAnsi="宋体" w:cs="宋体"/>
          <w:color w:val="auto"/>
          <w:sz w:val="24"/>
          <w:highlight w:val="none"/>
        </w:rPr>
      </w:pPr>
    </w:p>
    <w:p>
      <w:pPr>
        <w:widowControl/>
        <w:spacing w:line="360" w:lineRule="atLeast"/>
        <w:jc w:val="left"/>
        <w:outlineLvl w:val="1"/>
        <w:rPr>
          <w:rFonts w:ascii="宋体" w:hAnsi="宋体" w:cs="宋体"/>
          <w:b/>
          <w:color w:val="auto"/>
          <w:sz w:val="24"/>
          <w:highlight w:val="none"/>
        </w:rPr>
      </w:pPr>
    </w:p>
    <w:bookmarkEnd w:id="151"/>
    <w:p>
      <w:pPr>
        <w:spacing w:line="360" w:lineRule="auto"/>
        <w:ind w:firstLine="790" w:firstLineChars="246"/>
        <w:jc w:val="center"/>
        <w:rPr>
          <w:rFonts w:ascii="宋体" w:hAnsi="宋体" w:cs="宋体"/>
          <w:b/>
          <w:color w:val="auto"/>
          <w:sz w:val="32"/>
          <w:highlight w:val="none"/>
        </w:rPr>
      </w:pPr>
    </w:p>
    <w:p>
      <w:pPr>
        <w:spacing w:line="360" w:lineRule="auto"/>
        <w:ind w:firstLine="790" w:firstLineChars="246"/>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bookmarkStart w:id="152" w:name="_Toc434225393"/>
      <w:r>
        <w:rPr>
          <w:rFonts w:hint="eastAsia" w:ascii="宋体" w:hAnsi="宋体" w:cs="宋体"/>
          <w:b/>
          <w:color w:val="auto"/>
          <w:sz w:val="32"/>
          <w:szCs w:val="32"/>
          <w:highlight w:val="none"/>
        </w:rPr>
        <w:t>法定代表人/单位负责人身份证明书</w:t>
      </w:r>
      <w:bookmarkEnd w:id="152"/>
    </w:p>
    <w:p>
      <w:pPr>
        <w:tabs>
          <w:tab w:val="left" w:pos="6300"/>
        </w:tabs>
        <w:spacing w:line="360" w:lineRule="auto"/>
        <w:ind w:firstLine="560"/>
        <w:rPr>
          <w:rFonts w:ascii="宋体" w:hAnsi="宋体" w:cs="宋体"/>
          <w:color w:val="auto"/>
          <w:sz w:val="24"/>
          <w:highlight w:val="none"/>
          <w:u w:val="single"/>
        </w:rPr>
      </w:pPr>
    </w:p>
    <w:p>
      <w:pPr>
        <w:tabs>
          <w:tab w:val="left" w:pos="6300"/>
        </w:tabs>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XXXX</w:t>
      </w:r>
      <w:r>
        <w:rPr>
          <w:rFonts w:hint="eastAsia" w:ascii="宋体" w:hAnsi="宋体" w:cs="宋体"/>
          <w:color w:val="auto"/>
          <w:sz w:val="24"/>
          <w:highlight w:val="none"/>
          <w:lang w:val="zh-CN"/>
        </w:rPr>
        <w:t>（法定代表人姓名）在</w:t>
      </w:r>
      <w:r>
        <w:rPr>
          <w:rFonts w:hint="eastAsia" w:ascii="宋体" w:hAnsi="宋体" w:cs="宋体"/>
          <w:color w:val="auto"/>
          <w:sz w:val="24"/>
          <w:highlight w:val="none"/>
        </w:rPr>
        <w:t>XXXX</w:t>
      </w:r>
      <w:r>
        <w:rPr>
          <w:rFonts w:hint="eastAsia" w:ascii="宋体" w:hAnsi="宋体" w:cs="宋体"/>
          <w:color w:val="auto"/>
          <w:sz w:val="24"/>
          <w:highlight w:val="none"/>
          <w:lang w:val="zh-CN"/>
        </w:rPr>
        <w:t xml:space="preserve">（投标人名称）处任 </w:t>
      </w:r>
      <w:r>
        <w:rPr>
          <w:rFonts w:hint="eastAsia" w:ascii="宋体" w:hAnsi="宋体" w:cs="宋体"/>
          <w:color w:val="auto"/>
          <w:sz w:val="24"/>
          <w:highlight w:val="none"/>
        </w:rPr>
        <w:t>XXXX</w:t>
      </w:r>
      <w:r>
        <w:rPr>
          <w:rFonts w:hint="eastAsia" w:ascii="宋体" w:hAnsi="宋体" w:cs="宋体"/>
          <w:color w:val="auto"/>
          <w:sz w:val="24"/>
          <w:highlight w:val="none"/>
          <w:lang w:val="zh-CN"/>
        </w:rPr>
        <w:t xml:space="preserve">（职务名称）职务，是 </w:t>
      </w:r>
      <w:r>
        <w:rPr>
          <w:rFonts w:hint="eastAsia" w:ascii="宋体" w:hAnsi="宋体" w:cs="宋体"/>
          <w:color w:val="auto"/>
          <w:sz w:val="24"/>
          <w:highlight w:val="none"/>
        </w:rPr>
        <w:t>XXXX</w:t>
      </w:r>
      <w:r>
        <w:rPr>
          <w:rFonts w:hint="eastAsia" w:ascii="宋体" w:hAnsi="宋体" w:cs="宋体"/>
          <w:color w:val="auto"/>
          <w:sz w:val="24"/>
          <w:highlight w:val="none"/>
          <w:lang w:val="zh-CN"/>
        </w:rPr>
        <w:t>（投标人名称）的法定代表人。</w:t>
      </w:r>
    </w:p>
    <w:p>
      <w:pPr>
        <w:tabs>
          <w:tab w:val="left" w:pos="6300"/>
        </w:tabs>
        <w:spacing w:line="360" w:lineRule="auto"/>
        <w:ind w:firstLine="480"/>
        <w:rPr>
          <w:rFonts w:ascii="宋体" w:hAnsi="宋体" w:cs="宋体"/>
          <w:color w:val="auto"/>
          <w:sz w:val="24"/>
          <w:highlight w:val="none"/>
          <w:lang w:val="zh-CN"/>
        </w:rPr>
      </w:pPr>
    </w:p>
    <w:p>
      <w:pPr>
        <w:tabs>
          <w:tab w:val="left" w:pos="6300"/>
        </w:tabs>
        <w:spacing w:line="360" w:lineRule="auto"/>
        <w:ind w:firstLine="480"/>
        <w:rPr>
          <w:rFonts w:ascii="宋体" w:hAnsi="宋体" w:cs="宋体"/>
          <w:color w:val="auto"/>
          <w:sz w:val="24"/>
          <w:highlight w:val="none"/>
          <w:lang w:val="zh-CN"/>
        </w:rPr>
      </w:pPr>
    </w:p>
    <w:p>
      <w:pPr>
        <w:tabs>
          <w:tab w:val="left" w:pos="6300"/>
        </w:tabs>
        <w:spacing w:line="360" w:lineRule="auto"/>
        <w:ind w:firstLine="480"/>
        <w:rPr>
          <w:rFonts w:ascii="宋体" w:hAnsi="宋体" w:cs="宋体"/>
          <w:color w:val="auto"/>
          <w:sz w:val="24"/>
          <w:highlight w:val="none"/>
          <w:lang w:val="zh-CN"/>
        </w:rPr>
      </w:pPr>
    </w:p>
    <w:p>
      <w:pPr>
        <w:tabs>
          <w:tab w:val="left" w:pos="6300"/>
        </w:tabs>
        <w:spacing w:line="360" w:lineRule="auto"/>
        <w:ind w:firstLine="480"/>
        <w:rPr>
          <w:rFonts w:ascii="宋体" w:hAnsi="宋体" w:cs="宋体"/>
          <w:color w:val="auto"/>
          <w:sz w:val="24"/>
          <w:highlight w:val="none"/>
          <w:lang w:val="zh-CN"/>
        </w:rPr>
      </w:pPr>
      <w:bookmarkStart w:id="153" w:name="_Toc263768866"/>
      <w:r>
        <w:rPr>
          <w:rFonts w:hint="eastAsia" w:ascii="宋体" w:hAnsi="宋体" w:cs="宋体"/>
          <w:color w:val="auto"/>
          <w:sz w:val="24"/>
          <w:highlight w:val="none"/>
          <w:lang w:val="zh-CN"/>
        </w:rPr>
        <w:t>特此证明。</w:t>
      </w:r>
      <w:bookmarkEnd w:id="153"/>
    </w:p>
    <w:p>
      <w:pPr>
        <w:tabs>
          <w:tab w:val="left" w:pos="6300"/>
        </w:tabs>
        <w:spacing w:line="360" w:lineRule="auto"/>
        <w:ind w:firstLine="480"/>
        <w:rPr>
          <w:rFonts w:ascii="宋体" w:hAnsi="宋体" w:cs="宋体"/>
          <w:color w:val="auto"/>
          <w:sz w:val="24"/>
          <w:highlight w:val="none"/>
          <w:lang w:val="zh-CN"/>
        </w:rPr>
      </w:pPr>
    </w:p>
    <w:p>
      <w:pPr>
        <w:tabs>
          <w:tab w:val="left" w:pos="6300"/>
        </w:tabs>
        <w:spacing w:line="360" w:lineRule="auto"/>
        <w:ind w:firstLine="480"/>
        <w:rPr>
          <w:rFonts w:ascii="宋体" w:hAnsi="宋体" w:cs="宋体"/>
          <w:color w:val="auto"/>
          <w:sz w:val="24"/>
          <w:highlight w:val="none"/>
          <w:lang w:val="zh-CN"/>
        </w:rPr>
      </w:pPr>
    </w:p>
    <w:p>
      <w:pPr>
        <w:tabs>
          <w:tab w:val="left" w:pos="6300"/>
        </w:tabs>
        <w:spacing w:line="360" w:lineRule="auto"/>
        <w:ind w:firstLine="480"/>
        <w:rPr>
          <w:rFonts w:ascii="宋体" w:hAnsi="宋体" w:cs="宋体"/>
          <w:color w:val="auto"/>
          <w:sz w:val="24"/>
          <w:highlight w:val="none"/>
          <w:lang w:val="zh-CN"/>
        </w:rPr>
      </w:pPr>
    </w:p>
    <w:p>
      <w:pPr>
        <w:tabs>
          <w:tab w:val="left" w:pos="6300"/>
        </w:tabs>
        <w:spacing w:line="360" w:lineRule="auto"/>
        <w:rPr>
          <w:rFonts w:ascii="宋体" w:hAnsi="宋体" w:cs="宋体"/>
          <w:color w:val="auto"/>
          <w:sz w:val="24"/>
          <w:highlight w:val="none"/>
          <w:lang w:val="zh-CN"/>
        </w:rPr>
      </w:pPr>
    </w:p>
    <w:p>
      <w:pPr>
        <w:tabs>
          <w:tab w:val="left" w:pos="6300"/>
        </w:tabs>
        <w:spacing w:line="360" w:lineRule="auto"/>
        <w:ind w:firstLine="480"/>
        <w:rPr>
          <w:rFonts w:ascii="宋体" w:hAnsi="宋体" w:cs="宋体"/>
          <w:color w:val="auto"/>
          <w:sz w:val="24"/>
          <w:highlight w:val="none"/>
          <w:lang w:val="zh-CN"/>
        </w:rPr>
      </w:pPr>
    </w:p>
    <w:p>
      <w:pPr>
        <w:tabs>
          <w:tab w:val="left" w:pos="6300"/>
        </w:tabs>
        <w:spacing w:line="360" w:lineRule="auto"/>
        <w:ind w:firstLine="480"/>
        <w:rPr>
          <w:rFonts w:ascii="宋体" w:hAnsi="宋体" w:cs="宋体"/>
          <w:color w:val="auto"/>
          <w:sz w:val="24"/>
          <w:highlight w:val="none"/>
          <w:lang w:val="zh-CN"/>
        </w:rPr>
      </w:pPr>
    </w:p>
    <w:p>
      <w:pPr>
        <w:spacing w:line="360" w:lineRule="auto"/>
        <w:ind w:firstLine="720" w:firstLineChars="300"/>
        <w:rPr>
          <w:rFonts w:ascii="宋体" w:hAnsi="宋体" w:cs="宋体"/>
          <w:color w:val="auto"/>
          <w:sz w:val="24"/>
          <w:highlight w:val="none"/>
          <w:lang w:val="zh-CN"/>
        </w:rPr>
      </w:pPr>
      <w:r>
        <w:rPr>
          <w:rFonts w:hint="eastAsia" w:ascii="宋体" w:hAnsi="宋体" w:cs="宋体"/>
          <w:color w:val="auto"/>
          <w:sz w:val="24"/>
          <w:highlight w:val="none"/>
          <w:lang w:val="zh-CN"/>
        </w:rPr>
        <w:t xml:space="preserve">投标人名称： </w:t>
      </w:r>
      <w:r>
        <w:rPr>
          <w:rFonts w:hint="eastAsia" w:ascii="宋体" w:hAnsi="宋体" w:cs="宋体"/>
          <w:color w:val="auto"/>
          <w:sz w:val="24"/>
          <w:highlight w:val="none"/>
        </w:rPr>
        <w:t>XXXX</w:t>
      </w:r>
      <w:r>
        <w:rPr>
          <w:rFonts w:hint="eastAsia" w:ascii="宋体" w:hAnsi="宋体" w:cs="宋体"/>
          <w:color w:val="auto"/>
          <w:sz w:val="24"/>
          <w:highlight w:val="none"/>
          <w:lang w:val="zh-CN"/>
        </w:rPr>
        <w:t>（加盖公章）</w:t>
      </w:r>
    </w:p>
    <w:p>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投标日期：</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XXXX年</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XXXX月</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XXXX日</w:t>
      </w:r>
    </w:p>
    <w:p>
      <w:pPr>
        <w:tabs>
          <w:tab w:val="left" w:pos="6300"/>
        </w:tabs>
        <w:spacing w:line="360" w:lineRule="auto"/>
        <w:ind w:firstLine="480"/>
        <w:rPr>
          <w:rFonts w:ascii="宋体" w:hAnsi="宋体" w:cs="宋体"/>
          <w:color w:val="auto"/>
          <w:sz w:val="24"/>
          <w:highlight w:val="none"/>
          <w:lang w:val="zh-CN"/>
        </w:rPr>
      </w:pPr>
    </w:p>
    <w:p>
      <w:pPr>
        <w:spacing w:after="0"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说明：</w:t>
      </w:r>
      <w:r>
        <w:rPr>
          <w:rFonts w:hint="eastAsia" w:ascii="宋体" w:hAnsi="宋体" w:cs="宋体"/>
          <w:color w:val="auto"/>
          <w:sz w:val="24"/>
          <w:highlight w:val="none"/>
        </w:rPr>
        <w:t>1、</w:t>
      </w:r>
      <w:r>
        <w:rPr>
          <w:rFonts w:hint="eastAsia" w:ascii="宋体" w:hAnsi="宋体" w:cs="宋体"/>
          <w:color w:val="auto"/>
          <w:sz w:val="24"/>
          <w:highlight w:val="none"/>
          <w:lang w:val="zh-CN"/>
        </w:rPr>
        <w:t>附法定代表人身份证复印件时才能生效(身份证复印件加盖公章。投标人的法定代表人为外籍人士的，可提供护照复印件并加盖公章)，</w:t>
      </w:r>
      <w:r>
        <w:rPr>
          <w:rFonts w:hint="eastAsia" w:ascii="宋体" w:hAnsi="宋体" w:cs="宋体"/>
          <w:color w:val="auto"/>
          <w:sz w:val="24"/>
          <w:highlight w:val="none"/>
        </w:rPr>
        <w:t>供应商为其他组织时提供“单位负责人身份证明书”格式自拟，并附单位负责人身份证复印件并加盖公章。</w:t>
      </w:r>
    </w:p>
    <w:p>
      <w:pPr>
        <w:spacing w:after="0" w:line="400" w:lineRule="exact"/>
        <w:ind w:firstLine="1200" w:firstLineChars="500"/>
        <w:rPr>
          <w:rFonts w:ascii="宋体" w:hAnsi="宋体" w:cs="宋体"/>
          <w:color w:val="auto"/>
          <w:sz w:val="24"/>
          <w:highlight w:val="none"/>
          <w:lang w:val="zh-CN"/>
        </w:rPr>
      </w:pPr>
      <w:r>
        <w:rPr>
          <w:rFonts w:hint="eastAsia" w:ascii="宋体" w:hAnsi="宋体" w:cs="宋体"/>
          <w:color w:val="auto"/>
          <w:sz w:val="24"/>
          <w:highlight w:val="none"/>
          <w:lang w:val="zh-CN"/>
        </w:rPr>
        <w:t>2、提供的证件必须在有效期内。</w:t>
      </w:r>
    </w:p>
    <w:p>
      <w:pPr>
        <w:spacing w:line="360" w:lineRule="auto"/>
        <w:rPr>
          <w:rFonts w:ascii="宋体" w:hAnsi="宋体" w:cs="宋体"/>
          <w:b/>
          <w:color w:val="auto"/>
          <w:sz w:val="32"/>
          <w:szCs w:val="32"/>
          <w:highlight w:val="none"/>
        </w:rPr>
      </w:pPr>
    </w:p>
    <w:p>
      <w:pPr>
        <w:spacing w:line="360" w:lineRule="auto"/>
        <w:rPr>
          <w:rFonts w:ascii="宋体" w:hAnsi="宋体" w:cs="宋体"/>
          <w:b/>
          <w:color w:val="auto"/>
          <w:sz w:val="32"/>
          <w:szCs w:val="32"/>
          <w:highlight w:val="none"/>
        </w:rPr>
      </w:pPr>
    </w:p>
    <w:p>
      <w:pP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格式1-3</w:t>
      </w:r>
    </w:p>
    <w:p>
      <w:pPr>
        <w:widowControl/>
        <w:spacing w:line="360" w:lineRule="atLeast"/>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二、承诺函</w:t>
      </w:r>
    </w:p>
    <w:p>
      <w:pPr>
        <w:widowControl/>
        <w:spacing w:line="360" w:lineRule="atLeast"/>
        <w:jc w:val="center"/>
        <w:outlineLvl w:val="1"/>
        <w:rPr>
          <w:rFonts w:ascii="宋体" w:hAnsi="宋体" w:cs="宋体"/>
          <w:b/>
          <w:color w:val="auto"/>
          <w:sz w:val="24"/>
          <w:highlight w:val="none"/>
        </w:rPr>
      </w:pPr>
    </w:p>
    <w:p>
      <w:pPr>
        <w:widowControl/>
        <w:spacing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XXXX（采购代理机构名称）：</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我单位作为本次采购项目的投标人，根据招标文件要求，现郑重承诺如下：</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具备《中华人民共和国政府采购法》第二十二条第一款和本项目规定的条件：</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（一）具有独立承担民事责任的能力；</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（二）具有良好的商业信誉和健全的财务会计制度；</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（三）具有履行合同所必需的设备和专业技术能力；</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（四）有依法缴纳税收和社会保障资金的良好记录；</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（五）参加政府采购活动前三年内，在经营活动中没有重大违法记录；</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（六）法律、行政法规规定的其他条件；</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（七）根据采购项目提出的特殊条件：无；</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（八）完全接受和满足本项目招标文件中规定的实质性要求，如对招标文件有异议， 已经在投标截止时间届满前依法进行维权救济，不存在对招标文件有异议的同时又参加投标以求侥幸中标或者为实现其他非法目的的行为。</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（九）本项目不接受联合体投标。</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本单位对上述承诺的内容事项真实性负责。如经查实上述承诺的内容事项存在虚假，我单位愿意接受以提供虚假材料谋取中标追究法律责任。</w:t>
      </w:r>
    </w:p>
    <w:p>
      <w:pPr>
        <w:widowControl/>
        <w:spacing w:line="360" w:lineRule="atLeast"/>
        <w:ind w:firstLine="470" w:firstLineChars="196"/>
        <w:jc w:val="left"/>
        <w:outlineLvl w:val="1"/>
        <w:rPr>
          <w:rFonts w:ascii="宋体" w:hAnsi="宋体" w:cs="宋体"/>
          <w:color w:val="auto"/>
          <w:sz w:val="24"/>
          <w:highlight w:val="none"/>
        </w:rPr>
      </w:pP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投标人名称：XXXX（单位公章）。</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法定代表人/单位负责人或授权代表（签字或加盖个人名章）：XXXX。</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日    期：XXXX。</w:t>
      </w:r>
    </w:p>
    <w:p>
      <w:pPr>
        <w:spacing w:line="360" w:lineRule="auto"/>
        <w:rPr>
          <w:rFonts w:ascii="宋体" w:hAnsi="宋体" w:cs="宋体"/>
          <w:b/>
          <w:color w:val="auto"/>
          <w:sz w:val="32"/>
          <w:szCs w:val="32"/>
          <w:highlight w:val="none"/>
        </w:rPr>
      </w:pPr>
      <w:r>
        <w:rPr>
          <w:rFonts w:hint="eastAsia" w:ascii="宋体" w:hAnsi="宋体" w:cs="宋体"/>
          <w:color w:val="auto"/>
          <w:sz w:val="24"/>
          <w:highlight w:val="none"/>
        </w:rPr>
        <w:br w:type="page"/>
      </w:r>
      <w:r>
        <w:rPr>
          <w:rFonts w:hint="eastAsia" w:ascii="宋体" w:hAnsi="宋体" w:cs="宋体"/>
          <w:b/>
          <w:color w:val="auto"/>
          <w:sz w:val="32"/>
          <w:szCs w:val="32"/>
          <w:highlight w:val="none"/>
        </w:rPr>
        <w:t>格式1-4</w:t>
      </w:r>
    </w:p>
    <w:p>
      <w:pPr>
        <w:spacing w:line="360" w:lineRule="auto"/>
        <w:ind w:firstLine="790" w:firstLineChars="246"/>
        <w:jc w:val="center"/>
        <w:rPr>
          <w:rFonts w:ascii="宋体" w:hAnsi="宋体" w:cs="宋体"/>
          <w:b/>
          <w:color w:val="auto"/>
          <w:sz w:val="32"/>
          <w:szCs w:val="32"/>
          <w:highlight w:val="none"/>
        </w:rPr>
      </w:pPr>
      <w:r>
        <w:rPr>
          <w:rFonts w:hint="eastAsia" w:ascii="宋体" w:hAnsi="宋体" w:cs="宋体"/>
          <w:b/>
          <w:color w:val="auto"/>
          <w:sz w:val="32"/>
          <w:szCs w:val="32"/>
          <w:highlight w:val="none"/>
        </w:rPr>
        <w:t>三、投标人和投标产品其他资格、资质性及其他类似效力要求的相关证明材料</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注：严格按照第四、五章要求提供相关资格、资质性及其他类似效力要求的相关证明材料。有格式要求的从其要求，无格式要求的格式自拟。</w:t>
      </w:r>
    </w:p>
    <w:p>
      <w:pPr>
        <w:widowControl/>
        <w:spacing w:after="0" w:line="240" w:lineRule="auto"/>
        <w:jc w:val="left"/>
        <w:rPr>
          <w:rFonts w:ascii="宋体" w:hAnsi="宋体" w:cs="宋体"/>
          <w:bCs/>
          <w:color w:val="auto"/>
          <w:sz w:val="24"/>
          <w:highlight w:val="none"/>
        </w:rPr>
      </w:pPr>
      <w:r>
        <w:rPr>
          <w:rFonts w:hint="eastAsia" w:ascii="宋体" w:hAnsi="宋体" w:cs="宋体"/>
          <w:bCs/>
          <w:color w:val="auto"/>
          <w:sz w:val="24"/>
          <w:highlight w:val="none"/>
        </w:rPr>
        <w:br w:type="page"/>
      </w:r>
      <w:r>
        <w:rPr>
          <w:rFonts w:hint="eastAsia" w:ascii="宋体" w:hAnsi="宋体" w:cs="宋体"/>
          <w:b/>
          <w:color w:val="auto"/>
          <w:sz w:val="32"/>
          <w:szCs w:val="32"/>
          <w:highlight w:val="none"/>
        </w:rPr>
        <w:t>格式1-5</w:t>
      </w:r>
    </w:p>
    <w:p>
      <w:pPr>
        <w:pStyle w:val="2"/>
        <w:numPr>
          <w:ilvl w:val="0"/>
          <w:numId w:val="1"/>
        </w:numPr>
        <w:jc w:val="center"/>
        <w:rPr>
          <w:rFonts w:ascii="宋体" w:hAnsi="宋体" w:cs="宋体"/>
          <w:bCs w:val="0"/>
          <w:color w:val="auto"/>
          <w:sz w:val="32"/>
          <w:szCs w:val="32"/>
          <w:highlight w:val="none"/>
        </w:rPr>
      </w:pPr>
      <w:r>
        <w:rPr>
          <w:rFonts w:hint="eastAsia" w:ascii="宋体" w:hAnsi="宋体" w:cs="宋体"/>
          <w:bCs w:val="0"/>
          <w:color w:val="auto"/>
          <w:sz w:val="32"/>
          <w:szCs w:val="32"/>
          <w:highlight w:val="none"/>
        </w:rPr>
        <w:t>投标人单位及其现任法定代表人、主要负责人不得具有行贿犯罪记录承诺函</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XXXX（采购代理机构名称）：</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我公司单位及其现任法定代表人、主要负责人{无行贿犯罪记录的期限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（填写：十年内/公司成立之日起至文件递交截止日）}无行贿犯罪记录。</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注：投标人成立年限超过十年的，填写十年内；投标人成立年限十年内的，填写公司成立之日起至文件递交截止日。</w:t>
      </w:r>
    </w:p>
    <w:p>
      <w:pPr>
        <w:widowControl/>
        <w:spacing w:line="360" w:lineRule="atLeast"/>
        <w:ind w:firstLine="480" w:firstLineChars="200"/>
        <w:jc w:val="left"/>
        <w:outlineLvl w:val="1"/>
        <w:rPr>
          <w:rFonts w:ascii="宋体" w:hAnsi="宋体" w:cs="宋体"/>
          <w:color w:val="auto"/>
          <w:sz w:val="24"/>
          <w:highlight w:val="none"/>
        </w:rPr>
      </w:pP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投标人名称：XXXX（单位公章）。</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法定代表人/单位负责人或授权代表（签字或加盖个人名章）：XXXX。</w:t>
      </w:r>
    </w:p>
    <w:p>
      <w:pPr>
        <w:widowControl/>
        <w:spacing w:line="360" w:lineRule="atLeast"/>
        <w:ind w:firstLine="480" w:firstLineChars="200"/>
        <w:jc w:val="left"/>
        <w:outlineLvl w:val="1"/>
        <w:rPr>
          <w:rFonts w:ascii="宋体" w:hAnsi="宋体" w:cs="宋体"/>
          <w:color w:val="auto"/>
          <w:sz w:val="24"/>
          <w:highlight w:val="none"/>
        </w:rPr>
      </w:pPr>
      <w:r>
        <w:rPr>
          <w:rFonts w:hint="eastAsia" w:ascii="宋体" w:hAnsi="宋体" w:cs="宋体"/>
          <w:color w:val="auto"/>
          <w:sz w:val="24"/>
          <w:highlight w:val="none"/>
        </w:rPr>
        <w:t>日    期：XXXX。</w:t>
      </w:r>
    </w:p>
    <w:p>
      <w:pPr>
        <w:pStyle w:val="2"/>
        <w:jc w:val="center"/>
        <w:rPr>
          <w:rFonts w:ascii="宋体" w:hAnsi="宋体" w:cs="宋体"/>
          <w:color w:val="auto"/>
          <w:highlight w:val="none"/>
        </w:rPr>
      </w:pPr>
    </w:p>
    <w:p>
      <w:pPr>
        <w:pStyle w:val="2"/>
        <w:rPr>
          <w:rFonts w:ascii="宋体" w:hAnsi="宋体" w:cs="宋体"/>
          <w:b w:val="0"/>
          <w:bCs w:val="0"/>
          <w:color w:val="auto"/>
          <w:sz w:val="24"/>
          <w:szCs w:val="24"/>
          <w:highlight w:val="none"/>
        </w:rPr>
      </w:pPr>
    </w:p>
    <w:p>
      <w:pPr>
        <w:pStyle w:val="2"/>
        <w:rPr>
          <w:rFonts w:ascii="宋体" w:hAnsi="宋体" w:cs="宋体"/>
          <w:b w:val="0"/>
          <w:bCs w:val="0"/>
          <w:color w:val="auto"/>
          <w:sz w:val="24"/>
          <w:szCs w:val="24"/>
          <w:highlight w:val="none"/>
        </w:rPr>
      </w:pPr>
    </w:p>
    <w:p>
      <w:pPr>
        <w:pStyle w:val="2"/>
        <w:rPr>
          <w:rFonts w:ascii="宋体" w:hAnsi="宋体" w:cs="宋体"/>
          <w:b w:val="0"/>
          <w:bCs w:val="0"/>
          <w:color w:val="auto"/>
          <w:sz w:val="24"/>
          <w:szCs w:val="24"/>
          <w:highlight w:val="none"/>
        </w:rPr>
      </w:pPr>
    </w:p>
    <w:p>
      <w:pPr>
        <w:spacing w:line="480" w:lineRule="auto"/>
        <w:ind w:firstLine="480" w:firstLineChars="200"/>
        <w:rPr>
          <w:rFonts w:ascii="宋体" w:hAnsi="宋体" w:cs="宋体"/>
          <w:color w:val="auto"/>
          <w:sz w:val="24"/>
          <w:highlight w:val="none"/>
        </w:rPr>
      </w:pPr>
    </w:p>
    <w:p>
      <w:pPr>
        <w:spacing w:line="360" w:lineRule="auto"/>
        <w:jc w:val="center"/>
        <w:rPr>
          <w:rFonts w:ascii="宋体" w:hAnsi="宋体" w:cs="宋体"/>
          <w:b/>
          <w:color w:val="auto"/>
          <w:sz w:val="32"/>
          <w:highlight w:val="none"/>
        </w:rPr>
      </w:pPr>
    </w:p>
    <w:p>
      <w:pPr>
        <w:spacing w:line="360" w:lineRule="auto"/>
        <w:jc w:val="center"/>
        <w:rPr>
          <w:rFonts w:ascii="宋体" w:hAnsi="宋体" w:cs="宋体"/>
          <w:b/>
          <w:color w:val="auto"/>
          <w:sz w:val="32"/>
          <w:highlight w:val="none"/>
        </w:rPr>
      </w:pPr>
    </w:p>
    <w:p>
      <w:pPr>
        <w:pStyle w:val="2"/>
        <w:rPr>
          <w:rFonts w:ascii="宋体" w:hAnsi="宋体" w:cs="宋体"/>
          <w:b w:val="0"/>
          <w:color w:val="auto"/>
          <w:sz w:val="32"/>
          <w:highlight w:val="none"/>
        </w:rPr>
      </w:pPr>
    </w:p>
    <w:p>
      <w:pPr>
        <w:rPr>
          <w:rFonts w:ascii="宋体" w:hAnsi="宋体" w:cs="宋体"/>
          <w:b/>
          <w:color w:val="auto"/>
          <w:sz w:val="32"/>
          <w:highlight w:val="none"/>
        </w:rPr>
      </w:pPr>
    </w:p>
    <w:p>
      <w:pPr>
        <w:rPr>
          <w:rFonts w:ascii="宋体" w:hAnsi="宋体" w:cs="宋体"/>
          <w:color w:val="auto"/>
          <w:highlight w:val="none"/>
        </w:rPr>
      </w:pPr>
    </w:p>
    <w:p>
      <w:pPr>
        <w:spacing w:line="360" w:lineRule="auto"/>
        <w:jc w:val="center"/>
        <w:rPr>
          <w:rFonts w:ascii="宋体" w:hAnsi="宋体" w:cs="宋体"/>
          <w:bCs/>
          <w:color w:val="auto"/>
          <w:sz w:val="24"/>
          <w:highlight w:val="none"/>
        </w:rPr>
      </w:pPr>
      <w:r>
        <w:rPr>
          <w:rFonts w:hint="eastAsia" w:ascii="宋体" w:hAnsi="宋体" w:cs="宋体"/>
          <w:b/>
          <w:color w:val="auto"/>
          <w:sz w:val="32"/>
          <w:highlight w:val="none"/>
        </w:rPr>
        <w:t>第二部分     “其他响应性投标文件”格式</w:t>
      </w:r>
    </w:p>
    <w:p>
      <w:pP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格式2-1</w:t>
      </w:r>
    </w:p>
    <w:p>
      <w:pP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封面：</w:t>
      </w:r>
    </w:p>
    <w:p>
      <w:pPr>
        <w:spacing w:line="360" w:lineRule="auto"/>
        <w:jc w:val="right"/>
        <w:rPr>
          <w:rFonts w:ascii="宋体" w:hAnsi="宋体" w:cs="宋体"/>
          <w:b/>
          <w:color w:val="auto"/>
          <w:sz w:val="36"/>
          <w:highlight w:val="none"/>
        </w:rPr>
      </w:pPr>
      <w:r>
        <w:rPr>
          <w:rFonts w:hint="eastAsia" w:ascii="宋体" w:hAnsi="宋体" w:cs="宋体"/>
          <w:b/>
          <w:color w:val="auto"/>
          <w:sz w:val="36"/>
          <w:highlight w:val="none"/>
        </w:rPr>
        <w:t>（正本/副本）</w:t>
      </w:r>
    </w:p>
    <w:p>
      <w:pPr>
        <w:spacing w:line="360" w:lineRule="auto"/>
        <w:rPr>
          <w:rFonts w:ascii="宋体" w:hAnsi="宋体" w:cs="宋体"/>
          <w:b/>
          <w:color w:val="auto"/>
          <w:sz w:val="32"/>
          <w:szCs w:val="32"/>
          <w:highlight w:val="none"/>
        </w:rPr>
      </w:pPr>
    </w:p>
    <w:p>
      <w:pPr>
        <w:spacing w:line="360" w:lineRule="auto"/>
        <w:rPr>
          <w:rFonts w:ascii="宋体" w:hAnsi="宋体" w:cs="宋体"/>
          <w:b/>
          <w:color w:val="auto"/>
          <w:sz w:val="32"/>
          <w:szCs w:val="32"/>
          <w:highlight w:val="none"/>
        </w:rPr>
      </w:pPr>
    </w:p>
    <w:p>
      <w:pPr>
        <w:spacing w:line="360" w:lineRule="auto"/>
        <w:jc w:val="center"/>
        <w:rPr>
          <w:rFonts w:ascii="宋体" w:hAnsi="宋体" w:cs="宋体"/>
          <w:b/>
          <w:color w:val="auto"/>
          <w:sz w:val="72"/>
          <w:highlight w:val="none"/>
        </w:rPr>
      </w:pPr>
      <w:r>
        <w:rPr>
          <w:rFonts w:hint="eastAsia" w:ascii="宋体" w:hAnsi="宋体" w:cs="宋体"/>
          <w:b/>
          <w:color w:val="auto"/>
          <w:sz w:val="40"/>
          <w:szCs w:val="48"/>
          <w:highlight w:val="none"/>
        </w:rPr>
        <w:t>XXX项目</w:t>
      </w:r>
    </w:p>
    <w:p>
      <w:pPr>
        <w:spacing w:line="360" w:lineRule="auto"/>
        <w:rPr>
          <w:rFonts w:ascii="宋体" w:hAnsi="宋体" w:cs="宋体"/>
          <w:b/>
          <w:color w:val="auto"/>
          <w:sz w:val="52"/>
          <w:szCs w:val="5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52"/>
          <w:szCs w:val="52"/>
          <w:highlight w:val="none"/>
        </w:rPr>
        <w:t>其他响应性投标文件</w:t>
      </w:r>
    </w:p>
    <w:p>
      <w:pPr>
        <w:spacing w:line="360" w:lineRule="auto"/>
        <w:jc w:val="left"/>
        <w:rPr>
          <w:rFonts w:ascii="宋体" w:hAnsi="宋体" w:cs="宋体"/>
          <w:b/>
          <w:color w:val="auto"/>
          <w:sz w:val="32"/>
          <w:highlight w:val="none"/>
          <w:u w:val="single"/>
        </w:rPr>
      </w:pPr>
      <w:r>
        <w:rPr>
          <w:rFonts w:hint="eastAsia" w:ascii="宋体" w:hAnsi="宋体" w:cs="宋体"/>
          <w:b/>
          <w:color w:val="auto"/>
          <w:sz w:val="32"/>
          <w:highlight w:val="none"/>
        </w:rPr>
        <w:t>投 标 人名称： XXXX</w:t>
      </w:r>
    </w:p>
    <w:p>
      <w:pPr>
        <w:spacing w:line="360" w:lineRule="auto"/>
        <w:jc w:val="left"/>
        <w:rPr>
          <w:rFonts w:ascii="宋体" w:hAnsi="宋体" w:cs="宋体"/>
          <w:b/>
          <w:color w:val="auto"/>
          <w:sz w:val="32"/>
          <w:highlight w:val="none"/>
          <w:u w:val="single"/>
        </w:rPr>
      </w:pPr>
      <w:r>
        <w:rPr>
          <w:rFonts w:hint="eastAsia" w:ascii="宋体" w:hAnsi="宋体" w:cs="宋体"/>
          <w:b/>
          <w:color w:val="auto"/>
          <w:sz w:val="32"/>
          <w:highlight w:val="none"/>
        </w:rPr>
        <w:t>采购项目编号： XXXX</w:t>
      </w:r>
    </w:p>
    <w:p>
      <w:pPr>
        <w:spacing w:line="360" w:lineRule="auto"/>
        <w:rPr>
          <w:rFonts w:ascii="宋体" w:hAnsi="宋体" w:cs="宋体"/>
          <w:b/>
          <w:color w:val="auto"/>
          <w:sz w:val="32"/>
          <w:highlight w:val="none"/>
        </w:rPr>
      </w:pPr>
    </w:p>
    <w:p>
      <w:pPr>
        <w:spacing w:line="360" w:lineRule="auto"/>
        <w:ind w:firstLine="790" w:firstLineChars="246"/>
        <w:jc w:val="left"/>
        <w:rPr>
          <w:rFonts w:ascii="宋体" w:hAnsi="宋体" w:cs="宋体"/>
          <w:b/>
          <w:color w:val="auto"/>
          <w:sz w:val="32"/>
          <w:szCs w:val="32"/>
          <w:highlight w:val="none"/>
        </w:rPr>
      </w:pPr>
      <w:r>
        <w:rPr>
          <w:rFonts w:hint="eastAsia" w:ascii="宋体" w:hAnsi="宋体" w:cs="宋体"/>
          <w:b/>
          <w:color w:val="auto"/>
          <w:sz w:val="32"/>
          <w:highlight w:val="none"/>
        </w:rPr>
        <w:t>投标时间：2021年XX月XX日</w:t>
      </w:r>
      <w:r>
        <w:rPr>
          <w:rFonts w:hint="eastAsia" w:ascii="宋体" w:hAnsi="宋体" w:cs="宋体"/>
          <w:b/>
          <w:color w:val="auto"/>
          <w:sz w:val="32"/>
          <w:highlight w:val="none"/>
        </w:rPr>
        <w:br w:type="page"/>
      </w:r>
      <w:r>
        <w:rPr>
          <w:rFonts w:hint="eastAsia" w:ascii="宋体" w:hAnsi="宋体" w:cs="宋体"/>
          <w:b/>
          <w:color w:val="auto"/>
          <w:sz w:val="32"/>
          <w:szCs w:val="32"/>
          <w:highlight w:val="none"/>
        </w:rPr>
        <w:t>格式2-2</w:t>
      </w:r>
    </w:p>
    <w:p>
      <w:pPr>
        <w:widowControl/>
        <w:spacing w:line="360" w:lineRule="atLeast"/>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一、投 标 函</w:t>
      </w:r>
      <w:bookmarkEnd w:id="148"/>
      <w:bookmarkEnd w:id="149"/>
    </w:p>
    <w:p>
      <w:pPr>
        <w:widowControl/>
        <w:spacing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XXXX（采购代理机构名称）：</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我方全面研究了“</w:t>
      </w:r>
      <w:r>
        <w:rPr>
          <w:rFonts w:hint="eastAsia" w:ascii="宋体" w:hAnsi="宋体" w:cs="宋体"/>
          <w:color w:val="auto"/>
          <w:sz w:val="24"/>
          <w:highlight w:val="none"/>
          <w:u w:val="single"/>
        </w:rPr>
        <w:t>XXXXXXXX</w:t>
      </w:r>
      <w:r>
        <w:rPr>
          <w:rFonts w:hint="eastAsia" w:ascii="宋体" w:hAnsi="宋体" w:cs="宋体"/>
          <w:color w:val="auto"/>
          <w:sz w:val="24"/>
          <w:highlight w:val="none"/>
        </w:rPr>
        <w:t>”项目（招标编号：</w:t>
      </w:r>
      <w:r>
        <w:rPr>
          <w:rFonts w:hint="eastAsia" w:ascii="宋体" w:hAnsi="宋体" w:cs="宋体"/>
          <w:color w:val="auto"/>
          <w:sz w:val="24"/>
          <w:highlight w:val="none"/>
          <w:u w:val="single"/>
        </w:rPr>
        <w:t>XXXX</w:t>
      </w:r>
      <w:r>
        <w:rPr>
          <w:rFonts w:hint="eastAsia" w:ascii="宋体" w:hAnsi="宋体" w:cs="宋体"/>
          <w:color w:val="auto"/>
          <w:sz w:val="24"/>
          <w:highlight w:val="none"/>
        </w:rPr>
        <w:t>）招标文件，决定参加贵单位组织的本项目投标。我方授权</w:t>
      </w:r>
      <w:r>
        <w:rPr>
          <w:rFonts w:hint="eastAsia" w:ascii="宋体" w:hAnsi="宋体" w:cs="宋体"/>
          <w:color w:val="auto"/>
          <w:sz w:val="24"/>
          <w:highlight w:val="none"/>
          <w:u w:val="single"/>
        </w:rPr>
        <w:t>XXXX</w:t>
      </w:r>
      <w:r>
        <w:rPr>
          <w:rFonts w:hint="eastAsia" w:ascii="宋体" w:hAnsi="宋体" w:cs="宋体"/>
          <w:color w:val="auto"/>
          <w:sz w:val="24"/>
          <w:highlight w:val="none"/>
        </w:rPr>
        <w:t>（姓名、职务）代表我方</w:t>
      </w:r>
      <w:r>
        <w:rPr>
          <w:rFonts w:hint="eastAsia" w:ascii="宋体" w:hAnsi="宋体" w:cs="宋体"/>
          <w:color w:val="auto"/>
          <w:sz w:val="24"/>
          <w:highlight w:val="none"/>
          <w:u w:val="single"/>
        </w:rPr>
        <w:t>XXXXXXXX</w:t>
      </w:r>
      <w:r>
        <w:rPr>
          <w:rFonts w:hint="eastAsia" w:ascii="宋体" w:hAnsi="宋体" w:cs="宋体"/>
          <w:color w:val="auto"/>
          <w:sz w:val="24"/>
          <w:highlight w:val="none"/>
        </w:rPr>
        <w:t>（投标单位的名称）全权处理本项目投标的有关事宜。</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一、我方自愿按照招标文件规定的各项要求向采购人提供所需货物和服务，投标报价以开标一览表为准。</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二、一旦我方中标，我方将严格履行政府采购合同规定的责任和义务。</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三、我方同意本招标文件依据《四川省政府采购当事人诚信管理办法》（川财采【2015】33号文件）对我方可能存在的失信行为进行的惩戒。</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四、我方完全接受和满足本项目招标文件中规定的实质性要求，如对招标文件有异议，已依法进行维权救济，不存在对招标文件有异议的同时又参加投标以求侥幸中标或者为实现其他非法目的的行为。</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五、我方为本项目提交的投标文件正本</w:t>
      </w:r>
      <w:r>
        <w:rPr>
          <w:rFonts w:hint="eastAsia" w:ascii="宋体" w:hAnsi="宋体" w:cs="宋体"/>
          <w:color w:val="auto"/>
          <w:sz w:val="24"/>
          <w:highlight w:val="none"/>
          <w:u w:val="single"/>
        </w:rPr>
        <w:t>壹</w:t>
      </w:r>
      <w:r>
        <w:rPr>
          <w:rFonts w:hint="eastAsia" w:ascii="宋体" w:hAnsi="宋体" w:cs="宋体"/>
          <w:color w:val="auto"/>
          <w:sz w:val="24"/>
          <w:highlight w:val="none"/>
        </w:rPr>
        <w:t>份，副本</w:t>
      </w:r>
      <w:r>
        <w:rPr>
          <w:rFonts w:hint="eastAsia" w:ascii="宋体" w:hAnsi="宋体" w:cs="宋体"/>
          <w:color w:val="auto"/>
          <w:sz w:val="24"/>
          <w:highlight w:val="none"/>
          <w:u w:val="single"/>
        </w:rPr>
        <w:t>贰</w:t>
      </w:r>
      <w:r>
        <w:rPr>
          <w:rFonts w:hint="eastAsia" w:ascii="宋体" w:hAnsi="宋体" w:cs="宋体"/>
          <w:color w:val="auto"/>
          <w:sz w:val="24"/>
          <w:highlight w:val="none"/>
        </w:rPr>
        <w:t>份，用于开标唱标的“开标一览表”一式</w:t>
      </w:r>
      <w:r>
        <w:rPr>
          <w:rFonts w:hint="eastAsia" w:ascii="宋体" w:hAnsi="宋体" w:cs="宋体"/>
          <w:color w:val="auto"/>
          <w:sz w:val="24"/>
          <w:highlight w:val="none"/>
          <w:u w:val="single"/>
        </w:rPr>
        <w:t>壹</w:t>
      </w:r>
      <w:r>
        <w:rPr>
          <w:rFonts w:hint="eastAsia" w:ascii="宋体" w:hAnsi="宋体" w:cs="宋体"/>
          <w:color w:val="auto"/>
          <w:sz w:val="24"/>
          <w:highlight w:val="none"/>
        </w:rPr>
        <w:t>份，电子文档</w:t>
      </w:r>
      <w:r>
        <w:rPr>
          <w:rFonts w:hint="eastAsia" w:ascii="宋体" w:hAnsi="宋体" w:cs="宋体"/>
          <w:color w:val="auto"/>
          <w:sz w:val="24"/>
          <w:highlight w:val="none"/>
          <w:u w:val="single"/>
        </w:rPr>
        <w:t>壹</w:t>
      </w:r>
      <w:r>
        <w:rPr>
          <w:rFonts w:hint="eastAsia" w:ascii="宋体" w:hAnsi="宋体" w:cs="宋体"/>
          <w:color w:val="auto"/>
          <w:sz w:val="24"/>
          <w:highlight w:val="none"/>
        </w:rPr>
        <w:t>份。</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六、我方同意本项目投标有效期为投标截止之日起</w:t>
      </w:r>
      <w:r>
        <w:rPr>
          <w:rFonts w:hint="eastAsia" w:ascii="宋体" w:hAnsi="宋体" w:cs="宋体"/>
          <w:color w:val="auto"/>
          <w:sz w:val="24"/>
          <w:highlight w:val="none"/>
          <w:u w:val="single"/>
        </w:rPr>
        <w:t>90</w:t>
      </w:r>
      <w:r>
        <w:rPr>
          <w:rFonts w:hint="eastAsia" w:ascii="宋体" w:hAnsi="宋体" w:cs="宋体"/>
          <w:color w:val="auto"/>
          <w:sz w:val="24"/>
          <w:highlight w:val="none"/>
        </w:rPr>
        <w:t>天。</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七、我方愿意提供贵单位可能另外要求的，与投标有关的文件资料，并保证我方已提供和将要提供的文件资料是真实、准确的。</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八、我方完全理解采购人不一定将合同授予最低报价的投标人的行为。</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投标人名称：XXXX（单位公章）。</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法定代表人/单位负责人或授权代表（签字或加盖个人名章）：XXXX。</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通讯地址：XXXX。</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邮政编码：XXXX。</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联系电话：XXXX。</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日    期：XXXX年XXXX月XXXX日。</w:t>
      </w:r>
    </w:p>
    <w:p>
      <w:pPr>
        <w:widowControl/>
        <w:spacing w:after="0" w:line="240" w:lineRule="auto"/>
        <w:ind w:firstLine="630" w:firstLineChars="196"/>
        <w:jc w:val="left"/>
        <w:outlineLvl w:val="1"/>
        <w:rPr>
          <w:rFonts w:ascii="宋体" w:hAnsi="宋体" w:cs="宋体"/>
          <w:b/>
          <w:color w:val="auto"/>
          <w:sz w:val="32"/>
          <w:szCs w:val="32"/>
          <w:highlight w:val="none"/>
        </w:rPr>
      </w:pPr>
      <w:bookmarkStart w:id="154" w:name="_Toc308164824"/>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格式2-3</w:t>
      </w:r>
    </w:p>
    <w:bookmarkEnd w:id="147"/>
    <w:bookmarkEnd w:id="154"/>
    <w:p>
      <w:pPr>
        <w:spacing w:line="400" w:lineRule="exact"/>
        <w:ind w:firstLine="643" w:firstLineChars="200"/>
        <w:jc w:val="center"/>
        <w:rPr>
          <w:rFonts w:ascii="宋体" w:hAnsi="宋体" w:cs="宋体"/>
          <w:b/>
          <w:color w:val="auto"/>
          <w:sz w:val="32"/>
          <w:szCs w:val="32"/>
          <w:highlight w:val="none"/>
        </w:rPr>
      </w:pPr>
      <w:bookmarkStart w:id="155" w:name="_Toc217446085"/>
      <w:r>
        <w:rPr>
          <w:rFonts w:hint="eastAsia" w:ascii="宋体" w:hAnsi="宋体" w:cs="宋体"/>
          <w:b/>
          <w:color w:val="auto"/>
          <w:sz w:val="32"/>
          <w:szCs w:val="32"/>
          <w:highlight w:val="none"/>
        </w:rPr>
        <w:t>二、开标一览表</w:t>
      </w:r>
      <w:bookmarkEnd w:id="155"/>
    </w:p>
    <w:tbl>
      <w:tblPr>
        <w:tblStyle w:val="32"/>
        <w:tblW w:w="10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2040"/>
        <w:gridCol w:w="2160"/>
        <w:gridCol w:w="1012"/>
        <w:gridCol w:w="864"/>
        <w:gridCol w:w="732"/>
        <w:gridCol w:w="744"/>
        <w:gridCol w:w="864"/>
        <w:gridCol w:w="744"/>
        <w:gridCol w:w="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exact"/>
          <w:jc w:val="center"/>
        </w:trPr>
        <w:tc>
          <w:tcPr>
            <w:tcW w:w="664" w:type="dxa"/>
            <w:vAlign w:val="center"/>
          </w:tcPr>
          <w:p>
            <w:pPr>
              <w:widowControl/>
              <w:spacing w:line="360" w:lineRule="atLeast"/>
              <w:jc w:val="center"/>
              <w:outlineLvl w:val="1"/>
              <w:rPr>
                <w:rFonts w:ascii="宋体" w:hAnsi="宋体" w:cs="宋体"/>
                <w:color w:val="auto"/>
                <w:sz w:val="20"/>
                <w:szCs w:val="20"/>
                <w:highlight w:val="none"/>
              </w:rPr>
            </w:pPr>
            <w:bookmarkStart w:id="156" w:name="_Toc18686"/>
            <w:r>
              <w:rPr>
                <w:rFonts w:hint="eastAsia" w:ascii="宋体" w:hAnsi="宋体" w:cs="宋体"/>
                <w:color w:val="auto"/>
                <w:sz w:val="20"/>
                <w:szCs w:val="20"/>
                <w:highlight w:val="none"/>
              </w:rPr>
              <w:t>序号</w:t>
            </w:r>
            <w:bookmarkEnd w:id="156"/>
          </w:p>
        </w:tc>
        <w:tc>
          <w:tcPr>
            <w:tcW w:w="2040" w:type="dxa"/>
            <w:vAlign w:val="center"/>
          </w:tcPr>
          <w:p>
            <w:pPr>
              <w:widowControl/>
              <w:spacing w:line="360" w:lineRule="atLeast"/>
              <w:jc w:val="center"/>
              <w:outlineLvl w:val="1"/>
              <w:rPr>
                <w:rFonts w:ascii="宋体" w:hAnsi="宋体" w:cs="宋体"/>
                <w:color w:val="auto"/>
                <w:sz w:val="20"/>
                <w:szCs w:val="20"/>
                <w:highlight w:val="none"/>
              </w:rPr>
            </w:pPr>
            <w:bookmarkStart w:id="157" w:name="_Toc18699"/>
            <w:r>
              <w:rPr>
                <w:rFonts w:hint="eastAsia" w:ascii="宋体" w:hAnsi="宋体" w:cs="宋体"/>
                <w:color w:val="auto"/>
                <w:sz w:val="20"/>
                <w:szCs w:val="20"/>
                <w:highlight w:val="none"/>
              </w:rPr>
              <w:t>产品名称</w:t>
            </w:r>
            <w:bookmarkEnd w:id="157"/>
          </w:p>
        </w:tc>
        <w:tc>
          <w:tcPr>
            <w:tcW w:w="2160" w:type="dxa"/>
            <w:vAlign w:val="center"/>
          </w:tcPr>
          <w:p>
            <w:pPr>
              <w:widowControl/>
              <w:spacing w:line="360" w:lineRule="atLeast"/>
              <w:jc w:val="center"/>
              <w:outlineLvl w:val="1"/>
              <w:rPr>
                <w:rFonts w:ascii="宋体" w:hAnsi="宋体" w:cs="宋体"/>
                <w:color w:val="auto"/>
                <w:sz w:val="20"/>
                <w:szCs w:val="20"/>
                <w:highlight w:val="none"/>
              </w:rPr>
            </w:pPr>
            <w:bookmarkStart w:id="158" w:name="_Toc31876"/>
            <w:r>
              <w:rPr>
                <w:rFonts w:hint="eastAsia" w:ascii="宋体" w:hAnsi="宋体" w:cs="宋体"/>
                <w:color w:val="auto"/>
                <w:sz w:val="20"/>
                <w:szCs w:val="20"/>
                <w:highlight w:val="none"/>
              </w:rPr>
              <w:t>组成</w:t>
            </w:r>
          </w:p>
        </w:tc>
        <w:tc>
          <w:tcPr>
            <w:tcW w:w="1012" w:type="dxa"/>
            <w:vAlign w:val="center"/>
          </w:tcPr>
          <w:p>
            <w:pPr>
              <w:widowControl/>
              <w:spacing w:line="360" w:lineRule="atLeast"/>
              <w:jc w:val="center"/>
              <w:outlineLvl w:val="1"/>
              <w:rPr>
                <w:rFonts w:ascii="宋体" w:hAnsi="宋体" w:cs="宋体"/>
                <w:color w:val="auto"/>
                <w:sz w:val="20"/>
                <w:szCs w:val="20"/>
                <w:highlight w:val="none"/>
              </w:rPr>
            </w:pPr>
            <w:r>
              <w:rPr>
                <w:rFonts w:hint="eastAsia" w:ascii="宋体" w:hAnsi="宋体" w:cs="宋体"/>
                <w:color w:val="auto"/>
                <w:sz w:val="20"/>
                <w:szCs w:val="20"/>
                <w:highlight w:val="none"/>
              </w:rPr>
              <w:t>规格型号</w:t>
            </w:r>
            <w:bookmarkEnd w:id="158"/>
          </w:p>
        </w:tc>
        <w:tc>
          <w:tcPr>
            <w:tcW w:w="864" w:type="dxa"/>
            <w:vAlign w:val="center"/>
          </w:tcPr>
          <w:p>
            <w:pPr>
              <w:widowControl/>
              <w:spacing w:line="360" w:lineRule="atLeast"/>
              <w:jc w:val="center"/>
              <w:outlineLvl w:val="1"/>
              <w:rPr>
                <w:rFonts w:ascii="宋体" w:hAnsi="宋体" w:cs="宋体"/>
                <w:color w:val="auto"/>
                <w:sz w:val="20"/>
                <w:szCs w:val="20"/>
                <w:highlight w:val="none"/>
              </w:rPr>
            </w:pPr>
            <w:bookmarkStart w:id="159" w:name="_Toc24236"/>
            <w:r>
              <w:rPr>
                <w:rFonts w:hint="eastAsia" w:ascii="宋体" w:hAnsi="宋体" w:cs="宋体"/>
                <w:color w:val="auto"/>
                <w:sz w:val="20"/>
                <w:szCs w:val="20"/>
                <w:highlight w:val="none"/>
              </w:rPr>
              <w:t>品牌</w:t>
            </w:r>
            <w:bookmarkEnd w:id="159"/>
          </w:p>
        </w:tc>
        <w:tc>
          <w:tcPr>
            <w:tcW w:w="732" w:type="dxa"/>
            <w:vAlign w:val="center"/>
          </w:tcPr>
          <w:p>
            <w:pPr>
              <w:widowControl/>
              <w:spacing w:line="360" w:lineRule="atLeast"/>
              <w:jc w:val="center"/>
              <w:outlineLvl w:val="1"/>
              <w:rPr>
                <w:rFonts w:ascii="宋体" w:hAnsi="宋体" w:cs="宋体"/>
                <w:color w:val="auto"/>
                <w:sz w:val="20"/>
                <w:szCs w:val="20"/>
                <w:highlight w:val="none"/>
              </w:rPr>
            </w:pPr>
            <w:bookmarkStart w:id="160" w:name="_Toc15403"/>
            <w:r>
              <w:rPr>
                <w:rFonts w:hint="eastAsia" w:ascii="宋体" w:hAnsi="宋体" w:cs="宋体"/>
                <w:color w:val="auto"/>
                <w:sz w:val="20"/>
                <w:szCs w:val="20"/>
                <w:highlight w:val="none"/>
              </w:rPr>
              <w:t>单位</w:t>
            </w:r>
            <w:bookmarkEnd w:id="160"/>
          </w:p>
        </w:tc>
        <w:tc>
          <w:tcPr>
            <w:tcW w:w="744" w:type="dxa"/>
            <w:vAlign w:val="center"/>
          </w:tcPr>
          <w:p>
            <w:pPr>
              <w:widowControl/>
              <w:spacing w:line="360" w:lineRule="atLeast"/>
              <w:jc w:val="center"/>
              <w:outlineLvl w:val="1"/>
              <w:rPr>
                <w:rFonts w:ascii="宋体" w:hAnsi="宋体" w:cs="宋体"/>
                <w:color w:val="auto"/>
                <w:sz w:val="20"/>
                <w:szCs w:val="20"/>
                <w:highlight w:val="none"/>
              </w:rPr>
            </w:pPr>
            <w:bookmarkStart w:id="161" w:name="_Toc27318"/>
            <w:r>
              <w:rPr>
                <w:rFonts w:hint="eastAsia" w:ascii="宋体" w:hAnsi="宋体" w:cs="宋体"/>
                <w:color w:val="auto"/>
                <w:sz w:val="20"/>
                <w:szCs w:val="20"/>
                <w:highlight w:val="none"/>
              </w:rPr>
              <w:t>数量</w:t>
            </w:r>
            <w:bookmarkEnd w:id="161"/>
          </w:p>
        </w:tc>
        <w:tc>
          <w:tcPr>
            <w:tcW w:w="864" w:type="dxa"/>
            <w:vAlign w:val="center"/>
          </w:tcPr>
          <w:p>
            <w:pPr>
              <w:widowControl/>
              <w:spacing w:line="360" w:lineRule="atLeast"/>
              <w:jc w:val="center"/>
              <w:outlineLvl w:val="1"/>
              <w:rPr>
                <w:rFonts w:ascii="宋体" w:hAnsi="宋体" w:cs="宋体"/>
                <w:color w:val="auto"/>
                <w:sz w:val="20"/>
                <w:szCs w:val="20"/>
                <w:highlight w:val="none"/>
              </w:rPr>
            </w:pPr>
            <w:bookmarkStart w:id="162" w:name="_Toc20782"/>
            <w:r>
              <w:rPr>
                <w:rFonts w:hint="eastAsia" w:ascii="宋体" w:hAnsi="宋体" w:cs="宋体"/>
                <w:color w:val="auto"/>
                <w:sz w:val="20"/>
                <w:szCs w:val="20"/>
                <w:highlight w:val="none"/>
              </w:rPr>
              <w:t>单价</w:t>
            </w:r>
            <w:bookmarkEnd w:id="162"/>
            <w:r>
              <w:rPr>
                <w:rFonts w:hint="eastAsia" w:ascii="宋体" w:hAnsi="宋体" w:cs="宋体"/>
                <w:color w:val="auto"/>
                <w:sz w:val="20"/>
                <w:szCs w:val="20"/>
                <w:highlight w:val="none"/>
              </w:rPr>
              <w:t>（元）</w:t>
            </w:r>
          </w:p>
        </w:tc>
        <w:tc>
          <w:tcPr>
            <w:tcW w:w="744" w:type="dxa"/>
            <w:vAlign w:val="center"/>
          </w:tcPr>
          <w:p>
            <w:pPr>
              <w:widowControl/>
              <w:spacing w:line="360" w:lineRule="atLeast"/>
              <w:jc w:val="center"/>
              <w:outlineLvl w:val="1"/>
              <w:rPr>
                <w:rFonts w:ascii="宋体" w:hAnsi="宋体" w:cs="宋体"/>
                <w:color w:val="auto"/>
                <w:sz w:val="20"/>
                <w:szCs w:val="20"/>
                <w:highlight w:val="none"/>
              </w:rPr>
            </w:pPr>
            <w:r>
              <w:rPr>
                <w:rFonts w:hint="eastAsia" w:ascii="宋体" w:hAnsi="宋体" w:cs="宋体"/>
                <w:color w:val="auto"/>
                <w:sz w:val="20"/>
                <w:szCs w:val="20"/>
                <w:highlight w:val="none"/>
              </w:rPr>
              <w:t>合计（元）</w:t>
            </w:r>
          </w:p>
        </w:tc>
        <w:tc>
          <w:tcPr>
            <w:tcW w:w="494" w:type="dxa"/>
            <w:vAlign w:val="center"/>
          </w:tcPr>
          <w:p>
            <w:pPr>
              <w:widowControl/>
              <w:spacing w:line="360" w:lineRule="atLeast"/>
              <w:outlineLvl w:val="1"/>
              <w:rPr>
                <w:rFonts w:ascii="宋体" w:hAnsi="宋体" w:cs="宋体"/>
                <w:color w:val="auto"/>
                <w:sz w:val="20"/>
                <w:szCs w:val="20"/>
                <w:highlight w:val="none"/>
              </w:rPr>
            </w:pPr>
            <w:bookmarkStart w:id="163" w:name="_Toc21477"/>
            <w:r>
              <w:rPr>
                <w:rFonts w:hint="eastAsia" w:ascii="宋体" w:hAnsi="宋体" w:cs="宋体"/>
                <w:color w:val="auto"/>
                <w:sz w:val="20"/>
                <w:szCs w:val="20"/>
                <w:highlight w:val="none"/>
              </w:rPr>
              <w:t>备注</w:t>
            </w:r>
            <w:bookmarkEnd w:id="1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64" w:type="dxa"/>
            <w:vMerge w:val="restart"/>
            <w:vAlign w:val="center"/>
          </w:tcPr>
          <w:p>
            <w:pPr>
              <w:widowControl/>
              <w:spacing w:line="360" w:lineRule="atLeast"/>
              <w:jc w:val="center"/>
              <w:outlineLvl w:val="1"/>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2040" w:type="dxa"/>
            <w:vMerge w:val="restart"/>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VOCs走航分析系统</w:t>
            </w:r>
          </w:p>
        </w:tc>
        <w:tc>
          <w:tcPr>
            <w:tcW w:w="2160" w:type="dxa"/>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VOCs走航分析仪主机</w:t>
            </w:r>
          </w:p>
        </w:tc>
        <w:tc>
          <w:tcPr>
            <w:tcW w:w="1012"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86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32"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4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86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4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49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64" w:type="dxa"/>
            <w:vMerge w:val="continue"/>
            <w:vAlign w:val="center"/>
          </w:tcPr>
          <w:p>
            <w:pPr>
              <w:widowControl/>
              <w:spacing w:line="360" w:lineRule="atLeast"/>
              <w:ind w:firstLine="392" w:firstLineChars="196"/>
              <w:jc w:val="center"/>
              <w:outlineLvl w:val="1"/>
              <w:rPr>
                <w:rFonts w:ascii="宋体" w:hAnsi="宋体" w:cs="宋体"/>
                <w:color w:val="auto"/>
                <w:sz w:val="20"/>
                <w:szCs w:val="20"/>
                <w:highlight w:val="none"/>
              </w:rPr>
            </w:pPr>
          </w:p>
        </w:tc>
        <w:tc>
          <w:tcPr>
            <w:tcW w:w="2040" w:type="dxa"/>
            <w:vMerge w:val="continue"/>
            <w:vAlign w:val="center"/>
          </w:tcPr>
          <w:p>
            <w:pPr>
              <w:jc w:val="center"/>
              <w:rPr>
                <w:rFonts w:ascii="宋体" w:hAnsi="宋体" w:cs="宋体"/>
                <w:color w:val="auto"/>
                <w:sz w:val="20"/>
                <w:szCs w:val="20"/>
                <w:highlight w:val="none"/>
              </w:rPr>
            </w:pPr>
          </w:p>
        </w:tc>
        <w:tc>
          <w:tcPr>
            <w:tcW w:w="2160" w:type="dxa"/>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车载式大气采样系统</w:t>
            </w:r>
          </w:p>
        </w:tc>
        <w:tc>
          <w:tcPr>
            <w:tcW w:w="1012"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86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32"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4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86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4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49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64" w:type="dxa"/>
            <w:vMerge w:val="continue"/>
            <w:vAlign w:val="center"/>
          </w:tcPr>
          <w:p>
            <w:pPr>
              <w:widowControl/>
              <w:spacing w:line="360" w:lineRule="atLeast"/>
              <w:ind w:firstLine="392" w:firstLineChars="196"/>
              <w:jc w:val="center"/>
              <w:outlineLvl w:val="1"/>
              <w:rPr>
                <w:rFonts w:ascii="宋体" w:hAnsi="宋体" w:cs="宋体"/>
                <w:color w:val="auto"/>
                <w:sz w:val="20"/>
                <w:szCs w:val="20"/>
                <w:highlight w:val="none"/>
              </w:rPr>
            </w:pPr>
          </w:p>
        </w:tc>
        <w:tc>
          <w:tcPr>
            <w:tcW w:w="2040" w:type="dxa"/>
            <w:vMerge w:val="continue"/>
            <w:vAlign w:val="center"/>
          </w:tcPr>
          <w:p>
            <w:pPr>
              <w:jc w:val="center"/>
              <w:rPr>
                <w:rFonts w:ascii="宋体" w:hAnsi="宋体" w:cs="宋体"/>
                <w:color w:val="auto"/>
                <w:sz w:val="20"/>
                <w:szCs w:val="20"/>
                <w:highlight w:val="none"/>
              </w:rPr>
            </w:pPr>
          </w:p>
        </w:tc>
        <w:tc>
          <w:tcPr>
            <w:tcW w:w="2160" w:type="dxa"/>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VOCs分析专用动态校准仪</w:t>
            </w:r>
          </w:p>
        </w:tc>
        <w:tc>
          <w:tcPr>
            <w:tcW w:w="1012"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86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32"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4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86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4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49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64" w:type="dxa"/>
            <w:vMerge w:val="continue"/>
            <w:vAlign w:val="center"/>
          </w:tcPr>
          <w:p>
            <w:pPr>
              <w:widowControl/>
              <w:spacing w:line="360" w:lineRule="atLeast"/>
              <w:ind w:firstLine="392" w:firstLineChars="196"/>
              <w:jc w:val="center"/>
              <w:outlineLvl w:val="1"/>
              <w:rPr>
                <w:rFonts w:ascii="宋体" w:hAnsi="宋体" w:cs="宋体"/>
                <w:color w:val="auto"/>
                <w:sz w:val="20"/>
                <w:szCs w:val="20"/>
                <w:highlight w:val="none"/>
              </w:rPr>
            </w:pPr>
          </w:p>
        </w:tc>
        <w:tc>
          <w:tcPr>
            <w:tcW w:w="2040" w:type="dxa"/>
            <w:vMerge w:val="continue"/>
            <w:vAlign w:val="center"/>
          </w:tcPr>
          <w:p>
            <w:pPr>
              <w:jc w:val="center"/>
              <w:rPr>
                <w:rFonts w:ascii="宋体" w:hAnsi="宋体" w:cs="宋体"/>
                <w:color w:val="auto"/>
                <w:sz w:val="20"/>
                <w:szCs w:val="20"/>
                <w:highlight w:val="none"/>
              </w:rPr>
            </w:pPr>
          </w:p>
        </w:tc>
        <w:tc>
          <w:tcPr>
            <w:tcW w:w="2160" w:type="dxa"/>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便携式甲烷非甲烷总烃/苯系物分析仪</w:t>
            </w:r>
          </w:p>
        </w:tc>
        <w:tc>
          <w:tcPr>
            <w:tcW w:w="1012"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86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32"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4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86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4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49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64" w:type="dxa"/>
            <w:vMerge w:val="continue"/>
            <w:vAlign w:val="center"/>
          </w:tcPr>
          <w:p>
            <w:pPr>
              <w:widowControl/>
              <w:spacing w:line="360" w:lineRule="atLeast"/>
              <w:ind w:firstLine="392" w:firstLineChars="196"/>
              <w:jc w:val="center"/>
              <w:outlineLvl w:val="1"/>
              <w:rPr>
                <w:rFonts w:ascii="宋体" w:hAnsi="宋体" w:cs="宋体"/>
                <w:color w:val="auto"/>
                <w:sz w:val="20"/>
                <w:szCs w:val="20"/>
                <w:highlight w:val="none"/>
              </w:rPr>
            </w:pPr>
          </w:p>
        </w:tc>
        <w:tc>
          <w:tcPr>
            <w:tcW w:w="2040" w:type="dxa"/>
            <w:vMerge w:val="continue"/>
            <w:vAlign w:val="center"/>
          </w:tcPr>
          <w:p>
            <w:pPr>
              <w:jc w:val="center"/>
              <w:rPr>
                <w:rFonts w:ascii="宋体" w:hAnsi="宋体" w:cs="宋体"/>
                <w:color w:val="auto"/>
                <w:sz w:val="20"/>
                <w:szCs w:val="20"/>
                <w:highlight w:val="none"/>
              </w:rPr>
            </w:pPr>
          </w:p>
        </w:tc>
        <w:tc>
          <w:tcPr>
            <w:tcW w:w="2160" w:type="dxa"/>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走航分析软件</w:t>
            </w:r>
          </w:p>
        </w:tc>
        <w:tc>
          <w:tcPr>
            <w:tcW w:w="1012"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86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32"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4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86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4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49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64" w:type="dxa"/>
            <w:vMerge w:val="continue"/>
            <w:vAlign w:val="center"/>
          </w:tcPr>
          <w:p>
            <w:pPr>
              <w:widowControl/>
              <w:spacing w:line="360" w:lineRule="atLeast"/>
              <w:ind w:firstLine="392" w:firstLineChars="196"/>
              <w:jc w:val="center"/>
              <w:outlineLvl w:val="1"/>
              <w:rPr>
                <w:rFonts w:ascii="宋体" w:hAnsi="宋体" w:cs="宋体"/>
                <w:color w:val="auto"/>
                <w:sz w:val="20"/>
                <w:szCs w:val="20"/>
                <w:highlight w:val="none"/>
              </w:rPr>
            </w:pPr>
          </w:p>
        </w:tc>
        <w:tc>
          <w:tcPr>
            <w:tcW w:w="2040" w:type="dxa"/>
            <w:vMerge w:val="continue"/>
            <w:vAlign w:val="center"/>
          </w:tcPr>
          <w:p>
            <w:pPr>
              <w:jc w:val="center"/>
              <w:rPr>
                <w:rFonts w:ascii="宋体" w:hAnsi="宋体" w:cs="宋体"/>
                <w:color w:val="auto"/>
                <w:sz w:val="20"/>
                <w:szCs w:val="20"/>
                <w:highlight w:val="none"/>
              </w:rPr>
            </w:pPr>
          </w:p>
        </w:tc>
        <w:tc>
          <w:tcPr>
            <w:tcW w:w="2160" w:type="dxa"/>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走航APP软件</w:t>
            </w:r>
          </w:p>
        </w:tc>
        <w:tc>
          <w:tcPr>
            <w:tcW w:w="1012"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86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32"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4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86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4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49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64" w:type="dxa"/>
            <w:vMerge w:val="continue"/>
            <w:vAlign w:val="center"/>
          </w:tcPr>
          <w:p>
            <w:pPr>
              <w:widowControl/>
              <w:spacing w:line="360" w:lineRule="atLeast"/>
              <w:ind w:firstLine="392" w:firstLineChars="196"/>
              <w:jc w:val="center"/>
              <w:outlineLvl w:val="1"/>
              <w:rPr>
                <w:rFonts w:ascii="宋体" w:hAnsi="宋体" w:cs="宋体"/>
                <w:color w:val="auto"/>
                <w:sz w:val="20"/>
                <w:szCs w:val="20"/>
                <w:highlight w:val="none"/>
              </w:rPr>
            </w:pPr>
          </w:p>
        </w:tc>
        <w:tc>
          <w:tcPr>
            <w:tcW w:w="2040" w:type="dxa"/>
            <w:vMerge w:val="continue"/>
            <w:vAlign w:val="center"/>
          </w:tcPr>
          <w:p>
            <w:pPr>
              <w:jc w:val="center"/>
              <w:rPr>
                <w:rFonts w:ascii="宋体" w:hAnsi="宋体" w:cs="宋体"/>
                <w:color w:val="auto"/>
                <w:sz w:val="20"/>
                <w:szCs w:val="20"/>
                <w:highlight w:val="none"/>
              </w:rPr>
            </w:pPr>
          </w:p>
        </w:tc>
        <w:tc>
          <w:tcPr>
            <w:tcW w:w="2160" w:type="dxa"/>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工控机</w:t>
            </w:r>
          </w:p>
        </w:tc>
        <w:tc>
          <w:tcPr>
            <w:tcW w:w="1012"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86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32"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4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86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4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49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64" w:type="dxa"/>
            <w:vMerge w:val="continue"/>
            <w:vAlign w:val="center"/>
          </w:tcPr>
          <w:p>
            <w:pPr>
              <w:widowControl/>
              <w:spacing w:line="360" w:lineRule="atLeast"/>
              <w:ind w:firstLine="392" w:firstLineChars="196"/>
              <w:jc w:val="center"/>
              <w:outlineLvl w:val="1"/>
              <w:rPr>
                <w:rFonts w:ascii="宋体" w:hAnsi="宋体" w:cs="宋体"/>
                <w:color w:val="auto"/>
                <w:sz w:val="20"/>
                <w:szCs w:val="20"/>
                <w:highlight w:val="none"/>
              </w:rPr>
            </w:pPr>
          </w:p>
        </w:tc>
        <w:tc>
          <w:tcPr>
            <w:tcW w:w="2040" w:type="dxa"/>
            <w:vMerge w:val="continue"/>
            <w:vAlign w:val="center"/>
          </w:tcPr>
          <w:p>
            <w:pPr>
              <w:jc w:val="center"/>
              <w:rPr>
                <w:rFonts w:ascii="宋体" w:hAnsi="宋体" w:cs="宋体"/>
                <w:color w:val="auto"/>
                <w:sz w:val="20"/>
                <w:szCs w:val="20"/>
                <w:highlight w:val="none"/>
              </w:rPr>
            </w:pPr>
          </w:p>
        </w:tc>
        <w:tc>
          <w:tcPr>
            <w:tcW w:w="2160" w:type="dxa"/>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安全保护系统</w:t>
            </w:r>
          </w:p>
        </w:tc>
        <w:tc>
          <w:tcPr>
            <w:tcW w:w="1012"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86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32"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4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86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4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49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64" w:type="dxa"/>
            <w:vAlign w:val="center"/>
          </w:tcPr>
          <w:p>
            <w:pPr>
              <w:widowControl/>
              <w:spacing w:line="360" w:lineRule="atLeast"/>
              <w:jc w:val="center"/>
              <w:outlineLvl w:val="1"/>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2040" w:type="dxa"/>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大气颗粒物激光雷达</w:t>
            </w:r>
          </w:p>
        </w:tc>
        <w:tc>
          <w:tcPr>
            <w:tcW w:w="2160" w:type="dxa"/>
            <w:vAlign w:val="center"/>
          </w:tcPr>
          <w:p>
            <w:pPr>
              <w:widowControl/>
              <w:spacing w:line="360" w:lineRule="atLeast"/>
              <w:jc w:val="left"/>
              <w:outlineLvl w:val="1"/>
              <w:rPr>
                <w:rFonts w:ascii="宋体" w:hAnsi="宋体" w:cs="宋体"/>
                <w:color w:val="auto"/>
                <w:sz w:val="20"/>
                <w:szCs w:val="20"/>
                <w:highlight w:val="none"/>
              </w:rPr>
            </w:pPr>
            <w:r>
              <w:rPr>
                <w:rFonts w:hint="eastAsia" w:ascii="宋体" w:hAnsi="宋体" w:cs="宋体"/>
                <w:color w:val="auto"/>
                <w:sz w:val="20"/>
                <w:szCs w:val="20"/>
                <w:highlight w:val="none"/>
              </w:rPr>
              <w:t>气溶胶激光雷达主机</w:t>
            </w:r>
          </w:p>
        </w:tc>
        <w:tc>
          <w:tcPr>
            <w:tcW w:w="1012"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86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32"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4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86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4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49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64" w:type="dxa"/>
            <w:vAlign w:val="center"/>
          </w:tcPr>
          <w:p>
            <w:pPr>
              <w:widowControl/>
              <w:spacing w:line="360" w:lineRule="atLeast"/>
              <w:jc w:val="center"/>
              <w:outlineLvl w:val="1"/>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2040" w:type="dxa"/>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车载式五参数气象站</w:t>
            </w:r>
          </w:p>
        </w:tc>
        <w:tc>
          <w:tcPr>
            <w:tcW w:w="2160"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1012"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86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32"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4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86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4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49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64" w:type="dxa"/>
            <w:tcBorders>
              <w:left w:val="single" w:color="auto" w:sz="4" w:space="0"/>
            </w:tcBorders>
            <w:vAlign w:val="center"/>
          </w:tcPr>
          <w:p>
            <w:pPr>
              <w:widowControl/>
              <w:spacing w:line="360" w:lineRule="atLeast"/>
              <w:jc w:val="center"/>
              <w:outlineLvl w:val="1"/>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2040" w:type="dxa"/>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监控云台摄像机</w:t>
            </w:r>
          </w:p>
        </w:tc>
        <w:tc>
          <w:tcPr>
            <w:tcW w:w="2160"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1012"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86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32"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4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86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4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49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64" w:type="dxa"/>
            <w:vAlign w:val="center"/>
          </w:tcPr>
          <w:p>
            <w:pPr>
              <w:widowControl/>
              <w:spacing w:line="360" w:lineRule="atLeast"/>
              <w:jc w:val="center"/>
              <w:outlineLvl w:val="1"/>
              <w:rPr>
                <w:rFonts w:ascii="宋体" w:hAnsi="宋体" w:cs="宋体"/>
                <w:color w:val="auto"/>
                <w:sz w:val="20"/>
                <w:szCs w:val="20"/>
                <w:highlight w:val="none"/>
              </w:rPr>
            </w:pPr>
            <w:r>
              <w:rPr>
                <w:rFonts w:hint="eastAsia" w:ascii="宋体" w:hAnsi="宋体" w:cs="宋体"/>
                <w:color w:val="auto"/>
                <w:sz w:val="20"/>
                <w:szCs w:val="20"/>
                <w:highlight w:val="none"/>
              </w:rPr>
              <w:t>5</w:t>
            </w:r>
          </w:p>
        </w:tc>
        <w:tc>
          <w:tcPr>
            <w:tcW w:w="2040" w:type="dxa"/>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车辆改造</w:t>
            </w:r>
          </w:p>
        </w:tc>
        <w:tc>
          <w:tcPr>
            <w:tcW w:w="2160" w:type="dxa"/>
            <w:vAlign w:val="center"/>
          </w:tcPr>
          <w:p>
            <w:pPr>
              <w:widowControl/>
              <w:spacing w:line="360" w:lineRule="atLeast"/>
              <w:jc w:val="left"/>
              <w:outlineLvl w:val="1"/>
              <w:rPr>
                <w:rFonts w:ascii="宋体" w:hAnsi="宋体" w:cs="宋体"/>
                <w:color w:val="auto"/>
                <w:sz w:val="20"/>
                <w:szCs w:val="20"/>
                <w:highlight w:val="none"/>
              </w:rPr>
            </w:pPr>
            <w:r>
              <w:rPr>
                <w:rFonts w:hint="eastAsia" w:ascii="宋体" w:hAnsi="宋体" w:cs="宋体"/>
                <w:color w:val="auto"/>
                <w:sz w:val="20"/>
                <w:szCs w:val="20"/>
                <w:highlight w:val="none"/>
              </w:rPr>
              <w:t>根据仪器安装要求改装车辆</w:t>
            </w:r>
          </w:p>
        </w:tc>
        <w:tc>
          <w:tcPr>
            <w:tcW w:w="1012"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86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32"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4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86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4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49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64" w:type="dxa"/>
            <w:vAlign w:val="center"/>
          </w:tcPr>
          <w:p>
            <w:pPr>
              <w:widowControl/>
              <w:spacing w:line="360" w:lineRule="atLeast"/>
              <w:jc w:val="center"/>
              <w:outlineLvl w:val="1"/>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2040" w:type="dxa"/>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仪器运维服务</w:t>
            </w:r>
          </w:p>
        </w:tc>
        <w:tc>
          <w:tcPr>
            <w:tcW w:w="2160"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r>
              <w:rPr>
                <w:rFonts w:hint="eastAsia" w:ascii="宋体" w:hAnsi="宋体" w:cs="宋体"/>
                <w:color w:val="auto"/>
                <w:sz w:val="20"/>
                <w:szCs w:val="20"/>
                <w:highlight w:val="none"/>
              </w:rPr>
              <w:t>配套运维服务</w:t>
            </w:r>
          </w:p>
        </w:tc>
        <w:tc>
          <w:tcPr>
            <w:tcW w:w="1012"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86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32"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4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86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74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c>
          <w:tcPr>
            <w:tcW w:w="494" w:type="dxa"/>
            <w:vAlign w:val="center"/>
          </w:tcPr>
          <w:p>
            <w:pPr>
              <w:widowControl/>
              <w:spacing w:line="360" w:lineRule="atLeast"/>
              <w:ind w:firstLine="392" w:firstLineChars="196"/>
              <w:jc w:val="left"/>
              <w:outlineLvl w:val="1"/>
              <w:rPr>
                <w:rFonts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704" w:type="dxa"/>
            <w:gridSpan w:val="2"/>
            <w:tcBorders>
              <w:top w:val="single" w:color="auto" w:sz="4" w:space="0"/>
              <w:bottom w:val="single" w:color="auto" w:sz="4" w:space="0"/>
            </w:tcBorders>
            <w:vAlign w:val="center"/>
          </w:tcPr>
          <w:p>
            <w:pPr>
              <w:widowControl/>
              <w:spacing w:line="360" w:lineRule="atLeast"/>
              <w:ind w:firstLine="392" w:firstLineChars="196"/>
              <w:jc w:val="center"/>
              <w:outlineLvl w:val="1"/>
              <w:rPr>
                <w:rFonts w:ascii="宋体" w:hAnsi="宋体" w:cs="宋体"/>
                <w:color w:val="auto"/>
                <w:sz w:val="20"/>
                <w:szCs w:val="20"/>
                <w:highlight w:val="none"/>
              </w:rPr>
            </w:pPr>
            <w:bookmarkStart w:id="164" w:name="_Toc21917"/>
            <w:r>
              <w:rPr>
                <w:rFonts w:hint="eastAsia" w:ascii="宋体" w:hAnsi="宋体" w:cs="宋体"/>
                <w:color w:val="auto"/>
                <w:sz w:val="20"/>
                <w:szCs w:val="20"/>
                <w:highlight w:val="none"/>
              </w:rPr>
              <w:t>总计</w:t>
            </w:r>
            <w:bookmarkEnd w:id="164"/>
          </w:p>
        </w:tc>
        <w:tc>
          <w:tcPr>
            <w:tcW w:w="7614" w:type="dxa"/>
            <w:gridSpan w:val="8"/>
            <w:tcBorders>
              <w:top w:val="single" w:color="auto" w:sz="4" w:space="0"/>
              <w:bottom w:val="single" w:color="auto" w:sz="4" w:space="0"/>
            </w:tcBorders>
            <w:vAlign w:val="center"/>
          </w:tcPr>
          <w:p>
            <w:pPr>
              <w:widowControl/>
              <w:spacing w:line="360" w:lineRule="atLeast"/>
              <w:ind w:firstLine="392" w:firstLineChars="196"/>
              <w:jc w:val="left"/>
              <w:outlineLvl w:val="1"/>
              <w:rPr>
                <w:rFonts w:ascii="宋体" w:hAnsi="宋体" w:cs="宋体"/>
                <w:color w:val="auto"/>
                <w:sz w:val="20"/>
                <w:szCs w:val="20"/>
                <w:highlight w:val="none"/>
              </w:rPr>
            </w:pPr>
            <w:r>
              <w:rPr>
                <w:rFonts w:hint="eastAsia" w:ascii="宋体" w:hAnsi="宋体" w:cs="宋体"/>
                <w:color w:val="auto"/>
                <w:sz w:val="20"/>
                <w:szCs w:val="20"/>
                <w:highlight w:val="none"/>
              </w:rPr>
              <w:t>小写：</w:t>
            </w:r>
            <w:r>
              <w:rPr>
                <w:rFonts w:hint="eastAsia" w:ascii="宋体" w:hAnsi="宋体" w:cs="宋体"/>
                <w:color w:val="auto"/>
                <w:sz w:val="20"/>
                <w:szCs w:val="20"/>
                <w:highlight w:val="none"/>
                <w:u w:val="single"/>
              </w:rPr>
              <w:t xml:space="preserve">              元；</w:t>
            </w:r>
            <w:r>
              <w:rPr>
                <w:rFonts w:hint="eastAsia" w:ascii="宋体" w:hAnsi="宋体" w:cs="宋体"/>
                <w:color w:val="auto"/>
                <w:sz w:val="20"/>
                <w:szCs w:val="20"/>
                <w:highlight w:val="none"/>
              </w:rPr>
              <w:t>大写：</w:t>
            </w:r>
            <w:r>
              <w:rPr>
                <w:rFonts w:hint="eastAsia" w:ascii="宋体" w:hAnsi="宋体" w:cs="宋体"/>
                <w:color w:val="auto"/>
                <w:sz w:val="20"/>
                <w:szCs w:val="20"/>
                <w:highlight w:val="none"/>
                <w:u w:val="single"/>
              </w:rPr>
              <w:t xml:space="preserve">                ；</w:t>
            </w:r>
          </w:p>
        </w:tc>
      </w:tr>
    </w:tbl>
    <w:p>
      <w:pPr>
        <w:widowControl/>
        <w:spacing w:line="360" w:lineRule="atLeast"/>
        <w:jc w:val="left"/>
        <w:outlineLvl w:val="1"/>
        <w:rPr>
          <w:rFonts w:ascii="宋体" w:hAnsi="宋体" w:cs="宋体"/>
          <w:color w:val="auto"/>
          <w:sz w:val="24"/>
          <w:highlight w:val="none"/>
        </w:rPr>
      </w:pP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 xml:space="preserve">注：标人的报价是含设备、安装、调试、验收、设备手工比对监测、质量保修、其他售后服务、采购代理服务费等全部费用，是其响应本项目要求的全部工作内容的价格体现，采购人将不再支付其他额外费用。 </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投标人名称：XXXX（单位公章）。</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法定代表人/单位负责人或授权代表（签字或加盖个人名章）：XXXX。</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投标日期：XXXX。</w:t>
      </w:r>
    </w:p>
    <w:p>
      <w:pPr>
        <w:pStyle w:val="12"/>
        <w:rPr>
          <w:rFonts w:ascii="宋体" w:hAnsi="宋体" w:cs="宋体"/>
          <w:b/>
          <w:color w:val="auto"/>
          <w:sz w:val="32"/>
          <w:szCs w:val="32"/>
          <w:highlight w:val="none"/>
        </w:rPr>
      </w:pPr>
      <w:bookmarkStart w:id="165" w:name="_Toc217446086"/>
    </w:p>
    <w:p>
      <w:pPr>
        <w:pStyle w:val="12"/>
        <w:rPr>
          <w:rFonts w:ascii="宋体" w:hAnsi="宋体" w:cs="宋体"/>
          <w:b/>
          <w:color w:val="auto"/>
          <w:sz w:val="32"/>
          <w:szCs w:val="32"/>
          <w:highlight w:val="none"/>
        </w:rPr>
      </w:pPr>
    </w:p>
    <w:p>
      <w:pPr>
        <w:pStyle w:val="12"/>
        <w:rPr>
          <w:rFonts w:ascii="宋体" w:hAnsi="宋体" w:cs="宋体"/>
          <w:color w:val="auto"/>
          <w:highlight w:val="none"/>
        </w:rPr>
      </w:pPr>
      <w:r>
        <w:rPr>
          <w:rFonts w:hint="eastAsia" w:ascii="宋体" w:hAnsi="宋体" w:cs="宋体"/>
          <w:b/>
          <w:color w:val="auto"/>
          <w:sz w:val="32"/>
          <w:szCs w:val="32"/>
          <w:highlight w:val="none"/>
        </w:rPr>
        <w:t>格式2-</w:t>
      </w:r>
      <w:bookmarkEnd w:id="150"/>
      <w:bookmarkEnd w:id="165"/>
      <w:bookmarkStart w:id="166" w:name="_Toc217446087"/>
      <w:bookmarkStart w:id="167" w:name="PO_默认文件内容_26"/>
      <w:r>
        <w:rPr>
          <w:rFonts w:hint="eastAsia" w:ascii="宋体" w:hAnsi="宋体" w:cs="宋体"/>
          <w:b/>
          <w:color w:val="auto"/>
          <w:sz w:val="32"/>
          <w:szCs w:val="32"/>
          <w:highlight w:val="none"/>
        </w:rPr>
        <w:t>4</w:t>
      </w:r>
    </w:p>
    <w:p>
      <w:pPr>
        <w:widowControl/>
        <w:spacing w:line="360" w:lineRule="atLeast"/>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三、商务应答表</w:t>
      </w:r>
      <w:bookmarkEnd w:id="166"/>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555"/>
        <w:gridCol w:w="2777"/>
        <w:gridCol w:w="3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21" w:type="dxa"/>
            <w:vAlign w:val="center"/>
          </w:tcPr>
          <w:p>
            <w:pPr>
              <w:widowControl/>
              <w:spacing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序号</w:t>
            </w:r>
          </w:p>
        </w:tc>
        <w:tc>
          <w:tcPr>
            <w:tcW w:w="1555" w:type="dxa"/>
            <w:vAlign w:val="center"/>
          </w:tcPr>
          <w:p>
            <w:pPr>
              <w:widowControl/>
              <w:spacing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招标要求</w:t>
            </w:r>
          </w:p>
        </w:tc>
        <w:tc>
          <w:tcPr>
            <w:tcW w:w="2777" w:type="dxa"/>
            <w:vAlign w:val="center"/>
          </w:tcPr>
          <w:p>
            <w:pPr>
              <w:widowControl/>
              <w:spacing w:line="360" w:lineRule="atLeast"/>
              <w:ind w:firstLine="950" w:firstLineChars="396"/>
              <w:jc w:val="left"/>
              <w:outlineLvl w:val="1"/>
              <w:rPr>
                <w:rFonts w:ascii="宋体" w:hAnsi="宋体" w:cs="宋体"/>
                <w:color w:val="auto"/>
                <w:sz w:val="24"/>
                <w:highlight w:val="none"/>
              </w:rPr>
            </w:pPr>
            <w:r>
              <w:rPr>
                <w:rFonts w:hint="eastAsia" w:ascii="宋体" w:hAnsi="宋体" w:cs="宋体"/>
                <w:color w:val="auto"/>
                <w:sz w:val="24"/>
                <w:highlight w:val="none"/>
              </w:rPr>
              <w:t>投标应答</w:t>
            </w:r>
          </w:p>
        </w:tc>
        <w:tc>
          <w:tcPr>
            <w:tcW w:w="3305" w:type="dxa"/>
            <w:vAlign w:val="center"/>
          </w:tcPr>
          <w:p>
            <w:pPr>
              <w:widowControl/>
              <w:spacing w:line="360" w:lineRule="atLeast"/>
              <w:ind w:firstLine="950" w:firstLineChars="396"/>
              <w:jc w:val="left"/>
              <w:outlineLvl w:val="1"/>
              <w:rPr>
                <w:rFonts w:ascii="宋体" w:hAnsi="宋体" w:cs="宋体"/>
                <w:color w:val="auto"/>
                <w:sz w:val="24"/>
                <w:highlight w:val="none"/>
              </w:rPr>
            </w:pPr>
            <w:r>
              <w:rPr>
                <w:rFonts w:hint="eastAsia" w:ascii="宋体" w:hAnsi="宋体" w:cs="宋体"/>
                <w:color w:val="auto"/>
                <w:sz w:val="24"/>
                <w:highlight w:val="none"/>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21" w:type="dxa"/>
          </w:tcPr>
          <w:p>
            <w:pPr>
              <w:widowControl/>
              <w:spacing w:line="360" w:lineRule="atLeast"/>
              <w:ind w:firstLine="470" w:firstLineChars="196"/>
              <w:jc w:val="left"/>
              <w:outlineLvl w:val="1"/>
              <w:rPr>
                <w:rFonts w:ascii="宋体" w:hAnsi="宋体" w:cs="宋体"/>
                <w:color w:val="auto"/>
                <w:sz w:val="24"/>
                <w:highlight w:val="none"/>
              </w:rPr>
            </w:pPr>
          </w:p>
        </w:tc>
        <w:tc>
          <w:tcPr>
            <w:tcW w:w="1555" w:type="dxa"/>
          </w:tcPr>
          <w:p>
            <w:pPr>
              <w:widowControl/>
              <w:spacing w:line="360" w:lineRule="atLeast"/>
              <w:ind w:firstLine="470" w:firstLineChars="196"/>
              <w:jc w:val="left"/>
              <w:outlineLvl w:val="1"/>
              <w:rPr>
                <w:rFonts w:ascii="宋体" w:hAnsi="宋体" w:cs="宋体"/>
                <w:color w:val="auto"/>
                <w:sz w:val="24"/>
                <w:highlight w:val="none"/>
              </w:rPr>
            </w:pPr>
          </w:p>
        </w:tc>
        <w:tc>
          <w:tcPr>
            <w:tcW w:w="2777" w:type="dxa"/>
          </w:tcPr>
          <w:p>
            <w:pPr>
              <w:widowControl/>
              <w:spacing w:line="360" w:lineRule="atLeast"/>
              <w:ind w:firstLine="470" w:firstLineChars="196"/>
              <w:jc w:val="left"/>
              <w:outlineLvl w:val="1"/>
              <w:rPr>
                <w:rFonts w:ascii="宋体" w:hAnsi="宋体" w:cs="宋体"/>
                <w:color w:val="auto"/>
                <w:sz w:val="24"/>
                <w:highlight w:val="none"/>
              </w:rPr>
            </w:pPr>
          </w:p>
        </w:tc>
        <w:tc>
          <w:tcPr>
            <w:tcW w:w="3305" w:type="dxa"/>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21" w:type="dxa"/>
          </w:tcPr>
          <w:p>
            <w:pPr>
              <w:widowControl/>
              <w:spacing w:line="360" w:lineRule="atLeast"/>
              <w:ind w:firstLine="470" w:firstLineChars="196"/>
              <w:jc w:val="left"/>
              <w:outlineLvl w:val="1"/>
              <w:rPr>
                <w:rFonts w:ascii="宋体" w:hAnsi="宋体" w:cs="宋体"/>
                <w:color w:val="auto"/>
                <w:sz w:val="24"/>
                <w:highlight w:val="none"/>
              </w:rPr>
            </w:pPr>
          </w:p>
        </w:tc>
        <w:tc>
          <w:tcPr>
            <w:tcW w:w="1555" w:type="dxa"/>
          </w:tcPr>
          <w:p>
            <w:pPr>
              <w:widowControl/>
              <w:spacing w:line="360" w:lineRule="atLeast"/>
              <w:ind w:firstLine="470" w:firstLineChars="196"/>
              <w:jc w:val="left"/>
              <w:outlineLvl w:val="1"/>
              <w:rPr>
                <w:rFonts w:ascii="宋体" w:hAnsi="宋体" w:cs="宋体"/>
                <w:color w:val="auto"/>
                <w:sz w:val="24"/>
                <w:highlight w:val="none"/>
              </w:rPr>
            </w:pPr>
          </w:p>
        </w:tc>
        <w:tc>
          <w:tcPr>
            <w:tcW w:w="2777" w:type="dxa"/>
          </w:tcPr>
          <w:p>
            <w:pPr>
              <w:widowControl/>
              <w:spacing w:line="360" w:lineRule="atLeast"/>
              <w:ind w:firstLine="470" w:firstLineChars="196"/>
              <w:jc w:val="left"/>
              <w:outlineLvl w:val="1"/>
              <w:rPr>
                <w:rFonts w:ascii="宋体" w:hAnsi="宋体" w:cs="宋体"/>
                <w:color w:val="auto"/>
                <w:sz w:val="24"/>
                <w:highlight w:val="none"/>
              </w:rPr>
            </w:pPr>
          </w:p>
        </w:tc>
        <w:tc>
          <w:tcPr>
            <w:tcW w:w="3305" w:type="dxa"/>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21" w:type="dxa"/>
          </w:tcPr>
          <w:p>
            <w:pPr>
              <w:widowControl/>
              <w:spacing w:line="360" w:lineRule="atLeast"/>
              <w:ind w:firstLine="470" w:firstLineChars="196"/>
              <w:jc w:val="left"/>
              <w:outlineLvl w:val="1"/>
              <w:rPr>
                <w:rFonts w:ascii="宋体" w:hAnsi="宋体" w:cs="宋体"/>
                <w:color w:val="auto"/>
                <w:sz w:val="24"/>
                <w:highlight w:val="none"/>
              </w:rPr>
            </w:pPr>
          </w:p>
        </w:tc>
        <w:tc>
          <w:tcPr>
            <w:tcW w:w="1555" w:type="dxa"/>
          </w:tcPr>
          <w:p>
            <w:pPr>
              <w:widowControl/>
              <w:spacing w:line="360" w:lineRule="atLeast"/>
              <w:ind w:firstLine="470" w:firstLineChars="196"/>
              <w:jc w:val="left"/>
              <w:outlineLvl w:val="1"/>
              <w:rPr>
                <w:rFonts w:ascii="宋体" w:hAnsi="宋体" w:cs="宋体"/>
                <w:color w:val="auto"/>
                <w:sz w:val="24"/>
                <w:highlight w:val="none"/>
              </w:rPr>
            </w:pPr>
          </w:p>
        </w:tc>
        <w:tc>
          <w:tcPr>
            <w:tcW w:w="2777" w:type="dxa"/>
          </w:tcPr>
          <w:p>
            <w:pPr>
              <w:widowControl/>
              <w:spacing w:line="360" w:lineRule="atLeast"/>
              <w:ind w:firstLine="470" w:firstLineChars="196"/>
              <w:jc w:val="left"/>
              <w:outlineLvl w:val="1"/>
              <w:rPr>
                <w:rFonts w:ascii="宋体" w:hAnsi="宋体" w:cs="宋体"/>
                <w:color w:val="auto"/>
                <w:sz w:val="24"/>
                <w:highlight w:val="none"/>
              </w:rPr>
            </w:pPr>
          </w:p>
        </w:tc>
        <w:tc>
          <w:tcPr>
            <w:tcW w:w="3305" w:type="dxa"/>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121" w:type="dxa"/>
          </w:tcPr>
          <w:p>
            <w:pPr>
              <w:widowControl/>
              <w:spacing w:line="360" w:lineRule="atLeast"/>
              <w:ind w:firstLine="470" w:firstLineChars="196"/>
              <w:jc w:val="left"/>
              <w:outlineLvl w:val="1"/>
              <w:rPr>
                <w:rFonts w:ascii="宋体" w:hAnsi="宋体" w:cs="宋体"/>
                <w:color w:val="auto"/>
                <w:sz w:val="24"/>
                <w:highlight w:val="none"/>
              </w:rPr>
            </w:pPr>
          </w:p>
        </w:tc>
        <w:tc>
          <w:tcPr>
            <w:tcW w:w="1555" w:type="dxa"/>
          </w:tcPr>
          <w:p>
            <w:pPr>
              <w:widowControl/>
              <w:spacing w:line="360" w:lineRule="atLeast"/>
              <w:ind w:firstLine="470" w:firstLineChars="196"/>
              <w:jc w:val="left"/>
              <w:outlineLvl w:val="1"/>
              <w:rPr>
                <w:rFonts w:ascii="宋体" w:hAnsi="宋体" w:cs="宋体"/>
                <w:color w:val="auto"/>
                <w:sz w:val="24"/>
                <w:highlight w:val="none"/>
              </w:rPr>
            </w:pPr>
          </w:p>
        </w:tc>
        <w:tc>
          <w:tcPr>
            <w:tcW w:w="2777" w:type="dxa"/>
          </w:tcPr>
          <w:p>
            <w:pPr>
              <w:widowControl/>
              <w:spacing w:line="360" w:lineRule="atLeast"/>
              <w:ind w:firstLine="470" w:firstLineChars="196"/>
              <w:jc w:val="left"/>
              <w:outlineLvl w:val="1"/>
              <w:rPr>
                <w:rFonts w:ascii="宋体" w:hAnsi="宋体" w:cs="宋体"/>
                <w:color w:val="auto"/>
                <w:sz w:val="24"/>
                <w:highlight w:val="none"/>
              </w:rPr>
            </w:pPr>
          </w:p>
        </w:tc>
        <w:tc>
          <w:tcPr>
            <w:tcW w:w="3305" w:type="dxa"/>
          </w:tcPr>
          <w:p>
            <w:pPr>
              <w:widowControl/>
              <w:spacing w:line="360" w:lineRule="atLeast"/>
              <w:ind w:firstLine="470" w:firstLineChars="196"/>
              <w:jc w:val="left"/>
              <w:outlineLvl w:val="1"/>
              <w:rPr>
                <w:rFonts w:ascii="宋体" w:hAnsi="宋体" w:cs="宋体"/>
                <w:color w:val="auto"/>
                <w:sz w:val="24"/>
                <w:highlight w:val="none"/>
              </w:rPr>
            </w:pPr>
          </w:p>
        </w:tc>
      </w:tr>
    </w:tbl>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注：1、本表只填写投标文件中与招标文件有偏离的内容，投标文件中商务条款响应与招标文件要求完全一致的，可以不用在此表中列出。</w:t>
      </w:r>
    </w:p>
    <w:p>
      <w:pPr>
        <w:widowControl/>
        <w:spacing w:line="360" w:lineRule="atLeast"/>
        <w:ind w:firstLine="470" w:firstLineChars="196"/>
        <w:jc w:val="left"/>
        <w:outlineLvl w:val="1"/>
        <w:rPr>
          <w:rFonts w:ascii="宋体" w:hAnsi="宋体" w:cs="宋体"/>
          <w:color w:val="auto"/>
          <w:sz w:val="24"/>
          <w:highlight w:val="none"/>
        </w:rPr>
      </w:pP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投标人名称：XXXX（单位盖章）。</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法定代表人/单位负责人或授权代表（签字或加盖个人名章）：XXXX。</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投标日期: XXXX。</w:t>
      </w:r>
    </w:p>
    <w:p>
      <w:pPr>
        <w:spacing w:after="0" w:line="340" w:lineRule="exact"/>
        <w:rPr>
          <w:rFonts w:ascii="宋体" w:hAnsi="宋体" w:cs="宋体"/>
          <w:b/>
          <w:color w:val="auto"/>
          <w:sz w:val="32"/>
          <w:szCs w:val="32"/>
          <w:highlight w:val="none"/>
        </w:rPr>
      </w:pPr>
      <w:r>
        <w:rPr>
          <w:rFonts w:hint="eastAsia" w:ascii="宋体" w:hAnsi="宋体" w:cs="宋体"/>
          <w:color w:val="auto"/>
          <w:sz w:val="24"/>
          <w:highlight w:val="none"/>
        </w:rPr>
        <w:br w:type="page"/>
      </w:r>
      <w:r>
        <w:rPr>
          <w:rFonts w:hint="eastAsia" w:ascii="宋体" w:hAnsi="宋体" w:cs="宋体"/>
          <w:b/>
          <w:color w:val="auto"/>
          <w:sz w:val="32"/>
          <w:szCs w:val="32"/>
          <w:highlight w:val="none"/>
        </w:rPr>
        <w:t>格式2-5</w:t>
      </w:r>
    </w:p>
    <w:p>
      <w:pPr>
        <w:widowControl/>
        <w:spacing w:after="0" w:line="3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四、商务、技术、服务应答附表</w:t>
      </w:r>
    </w:p>
    <w:p>
      <w:pPr>
        <w:widowControl/>
        <w:spacing w:after="0" w:line="3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（仅用于中标、成交结果公告，此表不作为评审内容）</w:t>
      </w:r>
    </w:p>
    <w:p>
      <w:pPr>
        <w:widowControl/>
        <w:spacing w:after="0" w:line="340" w:lineRule="exact"/>
        <w:ind w:firstLine="480"/>
        <w:jc w:val="left"/>
        <w:rPr>
          <w:rFonts w:ascii="宋体" w:hAnsi="宋体" w:cs="宋体"/>
          <w:bCs/>
          <w:color w:val="auto"/>
          <w:sz w:val="24"/>
          <w:highlight w:val="none"/>
        </w:rPr>
      </w:pPr>
      <w:r>
        <w:rPr>
          <w:rFonts w:hint="eastAsia" w:ascii="宋体" w:hAnsi="宋体" w:cs="宋体"/>
          <w:bCs/>
          <w:color w:val="auto"/>
          <w:sz w:val="24"/>
          <w:highlight w:val="none"/>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Style w:val="32"/>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31"/>
        <w:gridCol w:w="519"/>
        <w:gridCol w:w="1831"/>
        <w:gridCol w:w="308"/>
        <w:gridCol w:w="1204"/>
        <w:gridCol w:w="34"/>
        <w:gridCol w:w="1712"/>
        <w:gridCol w:w="35"/>
        <w:gridCol w:w="212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9200" w:type="dxa"/>
            <w:gridSpan w:val="9"/>
            <w:vAlign w:val="center"/>
          </w:tcPr>
          <w:p>
            <w:pPr>
              <w:widowControl/>
              <w:spacing w:after="0" w:line="340" w:lineRule="exact"/>
              <w:jc w:val="center"/>
              <w:outlineLvl w:val="1"/>
              <w:rPr>
                <w:rFonts w:ascii="宋体" w:hAnsi="宋体" w:cs="宋体"/>
                <w:color w:val="auto"/>
                <w:sz w:val="24"/>
                <w:highlight w:val="none"/>
              </w:rPr>
            </w:pPr>
            <w:r>
              <w:rPr>
                <w:rFonts w:hint="eastAsia" w:ascii="宋体" w:hAnsi="宋体" w:cs="宋体"/>
                <w:b/>
                <w:color w:val="auto"/>
                <w:kern w:val="0"/>
                <w:sz w:val="24"/>
                <w:highlight w:val="none"/>
              </w:rPr>
              <w:t>中标（成交）供应商的相关信息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trPr>
        <w:tc>
          <w:tcPr>
            <w:tcW w:w="1950" w:type="dxa"/>
            <w:gridSpan w:val="2"/>
            <w:vAlign w:val="center"/>
          </w:tcPr>
          <w:p>
            <w:pPr>
              <w:widowControl/>
              <w:spacing w:after="0" w:line="340" w:lineRule="exact"/>
              <w:jc w:val="left"/>
              <w:outlineLvl w:val="1"/>
              <w:rPr>
                <w:rFonts w:ascii="宋体" w:hAnsi="宋体" w:cs="宋体"/>
                <w:color w:val="auto"/>
                <w:sz w:val="24"/>
                <w:highlight w:val="none"/>
              </w:rPr>
            </w:pPr>
            <w:r>
              <w:rPr>
                <w:rFonts w:hint="eastAsia" w:ascii="宋体" w:hAnsi="宋体" w:cs="宋体"/>
                <w:color w:val="auto"/>
                <w:sz w:val="24"/>
                <w:highlight w:val="none"/>
              </w:rPr>
              <w:t>*项目名称</w:t>
            </w:r>
          </w:p>
        </w:tc>
        <w:tc>
          <w:tcPr>
            <w:tcW w:w="7250" w:type="dxa"/>
            <w:gridSpan w:val="7"/>
            <w:vAlign w:val="center"/>
          </w:tcPr>
          <w:p>
            <w:pPr>
              <w:widowControl/>
              <w:spacing w:after="0" w:line="340" w:lineRule="exac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trPr>
        <w:tc>
          <w:tcPr>
            <w:tcW w:w="1950" w:type="dxa"/>
            <w:gridSpan w:val="2"/>
            <w:vAlign w:val="center"/>
          </w:tcPr>
          <w:p>
            <w:pPr>
              <w:widowControl/>
              <w:spacing w:after="0" w:line="340" w:lineRule="exact"/>
              <w:jc w:val="left"/>
              <w:outlineLvl w:val="1"/>
              <w:rPr>
                <w:rFonts w:ascii="宋体" w:hAnsi="宋体" w:cs="宋体"/>
                <w:color w:val="auto"/>
                <w:sz w:val="24"/>
                <w:highlight w:val="none"/>
              </w:rPr>
            </w:pPr>
            <w:r>
              <w:rPr>
                <w:rFonts w:hint="eastAsia" w:ascii="宋体" w:hAnsi="宋体" w:cs="宋体"/>
                <w:color w:val="auto"/>
                <w:sz w:val="24"/>
                <w:highlight w:val="none"/>
              </w:rPr>
              <w:t>*投标人名称</w:t>
            </w:r>
          </w:p>
        </w:tc>
        <w:tc>
          <w:tcPr>
            <w:tcW w:w="7250" w:type="dxa"/>
            <w:gridSpan w:val="7"/>
            <w:vAlign w:val="center"/>
          </w:tcPr>
          <w:p>
            <w:pPr>
              <w:widowControl/>
              <w:spacing w:after="0" w:line="340" w:lineRule="exac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trPr>
        <w:tc>
          <w:tcPr>
            <w:tcW w:w="1950" w:type="dxa"/>
            <w:gridSpan w:val="2"/>
            <w:vAlign w:val="center"/>
          </w:tcPr>
          <w:p>
            <w:pPr>
              <w:widowControl/>
              <w:spacing w:after="0" w:line="340" w:lineRule="exact"/>
              <w:jc w:val="left"/>
              <w:outlineLvl w:val="1"/>
              <w:rPr>
                <w:rFonts w:ascii="宋体" w:hAnsi="宋体" w:cs="宋体"/>
                <w:color w:val="auto"/>
                <w:sz w:val="24"/>
                <w:highlight w:val="none"/>
              </w:rPr>
            </w:pPr>
            <w:r>
              <w:rPr>
                <w:rFonts w:hint="eastAsia" w:ascii="宋体" w:hAnsi="宋体" w:cs="宋体"/>
                <w:color w:val="auto"/>
                <w:sz w:val="24"/>
                <w:highlight w:val="none"/>
              </w:rPr>
              <w:t>*注册地址</w:t>
            </w:r>
          </w:p>
        </w:tc>
        <w:tc>
          <w:tcPr>
            <w:tcW w:w="3343" w:type="dxa"/>
            <w:gridSpan w:val="3"/>
            <w:tcBorders>
              <w:right w:val="single" w:color="auto" w:sz="4" w:space="0"/>
            </w:tcBorders>
            <w:vAlign w:val="center"/>
          </w:tcPr>
          <w:p>
            <w:pPr>
              <w:widowControl/>
              <w:spacing w:after="0" w:line="340" w:lineRule="exact"/>
              <w:jc w:val="left"/>
              <w:outlineLvl w:val="1"/>
              <w:rPr>
                <w:rFonts w:ascii="宋体" w:hAnsi="宋体" w:cs="宋体"/>
                <w:color w:val="auto"/>
                <w:sz w:val="24"/>
                <w:highlight w:val="none"/>
              </w:rPr>
            </w:pPr>
          </w:p>
        </w:tc>
        <w:tc>
          <w:tcPr>
            <w:tcW w:w="1781" w:type="dxa"/>
            <w:gridSpan w:val="3"/>
            <w:tcBorders>
              <w:left w:val="single" w:color="auto" w:sz="4" w:space="0"/>
              <w:right w:val="single" w:color="auto" w:sz="4" w:space="0"/>
            </w:tcBorders>
            <w:vAlign w:val="center"/>
          </w:tcPr>
          <w:p>
            <w:pPr>
              <w:widowControl/>
              <w:spacing w:after="0" w:line="340" w:lineRule="exact"/>
              <w:jc w:val="left"/>
              <w:outlineLvl w:val="1"/>
              <w:rPr>
                <w:rFonts w:ascii="宋体" w:hAnsi="宋体" w:cs="宋体"/>
                <w:color w:val="auto"/>
                <w:sz w:val="24"/>
                <w:highlight w:val="none"/>
              </w:rPr>
            </w:pPr>
            <w:r>
              <w:rPr>
                <w:rFonts w:hint="eastAsia" w:ascii="宋体" w:hAnsi="宋体" w:cs="宋体"/>
                <w:color w:val="auto"/>
                <w:sz w:val="24"/>
                <w:highlight w:val="none"/>
              </w:rPr>
              <w:t>*行政区域</w:t>
            </w:r>
          </w:p>
        </w:tc>
        <w:tc>
          <w:tcPr>
            <w:tcW w:w="2126" w:type="dxa"/>
            <w:tcBorders>
              <w:left w:val="single" w:color="auto" w:sz="4" w:space="0"/>
            </w:tcBorders>
            <w:vAlign w:val="center"/>
          </w:tcPr>
          <w:p>
            <w:pPr>
              <w:widowControl/>
              <w:spacing w:after="0" w:line="340" w:lineRule="exac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trPr>
        <w:tc>
          <w:tcPr>
            <w:tcW w:w="1950" w:type="dxa"/>
            <w:gridSpan w:val="2"/>
            <w:vAlign w:val="center"/>
          </w:tcPr>
          <w:p>
            <w:pPr>
              <w:widowControl/>
              <w:spacing w:after="0" w:line="340" w:lineRule="exact"/>
              <w:jc w:val="left"/>
              <w:outlineLvl w:val="1"/>
              <w:rPr>
                <w:rFonts w:ascii="宋体" w:hAnsi="宋体" w:cs="宋体"/>
                <w:color w:val="auto"/>
                <w:sz w:val="24"/>
                <w:highlight w:val="none"/>
              </w:rPr>
            </w:pPr>
            <w:r>
              <w:rPr>
                <w:rFonts w:hint="eastAsia" w:ascii="宋体" w:hAnsi="宋体" w:cs="宋体"/>
                <w:color w:val="auto"/>
                <w:sz w:val="24"/>
                <w:highlight w:val="none"/>
              </w:rPr>
              <w:t>*供应商规模</w:t>
            </w:r>
          </w:p>
        </w:tc>
        <w:tc>
          <w:tcPr>
            <w:tcW w:w="7250" w:type="dxa"/>
            <w:gridSpan w:val="7"/>
            <w:vAlign w:val="center"/>
          </w:tcPr>
          <w:p>
            <w:pPr>
              <w:widowControl/>
              <w:spacing w:after="0" w:line="340" w:lineRule="exact"/>
              <w:jc w:val="center"/>
              <w:outlineLvl w:val="1"/>
              <w:rPr>
                <w:rFonts w:ascii="宋体" w:hAnsi="宋体" w:cs="宋体"/>
                <w:color w:val="auto"/>
                <w:sz w:val="24"/>
                <w:highlight w:val="none"/>
              </w:rPr>
            </w:pPr>
            <w:r>
              <w:rPr>
                <w:rFonts w:hint="eastAsia" w:ascii="宋体" w:hAnsi="宋体" w:cs="宋体"/>
                <w:color w:val="auto"/>
                <w:szCs w:val="21"/>
                <w:highlight w:val="none"/>
              </w:rPr>
              <w:t>□大型企业   □中型企业   □小微型企业（对应处打“√”）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4" w:hRule="atLeast"/>
        </w:trPr>
        <w:tc>
          <w:tcPr>
            <w:tcW w:w="1950" w:type="dxa"/>
            <w:gridSpan w:val="2"/>
            <w:vMerge w:val="restart"/>
            <w:vAlign w:val="center"/>
          </w:tcPr>
          <w:p>
            <w:pPr>
              <w:widowControl/>
              <w:spacing w:after="0" w:line="340" w:lineRule="exact"/>
              <w:jc w:val="left"/>
              <w:outlineLvl w:val="1"/>
              <w:rPr>
                <w:rFonts w:ascii="宋体" w:hAnsi="宋体" w:cs="宋体"/>
                <w:color w:val="auto"/>
                <w:sz w:val="24"/>
                <w:highlight w:val="none"/>
              </w:rPr>
            </w:pPr>
            <w:r>
              <w:rPr>
                <w:rFonts w:hint="eastAsia" w:ascii="宋体" w:hAnsi="宋体" w:cs="宋体"/>
                <w:color w:val="auto"/>
                <w:sz w:val="24"/>
                <w:highlight w:val="none"/>
              </w:rPr>
              <w:t>*单位联系方式</w:t>
            </w:r>
          </w:p>
        </w:tc>
        <w:tc>
          <w:tcPr>
            <w:tcW w:w="1831" w:type="dxa"/>
            <w:vAlign w:val="center"/>
          </w:tcPr>
          <w:p>
            <w:pPr>
              <w:widowControl/>
              <w:spacing w:after="0" w:line="340" w:lineRule="exact"/>
              <w:jc w:val="left"/>
              <w:outlineLvl w:val="1"/>
              <w:rPr>
                <w:rFonts w:ascii="宋体" w:hAnsi="宋体" w:cs="宋体"/>
                <w:color w:val="auto"/>
                <w:sz w:val="24"/>
                <w:highlight w:val="none"/>
              </w:rPr>
            </w:pPr>
            <w:r>
              <w:rPr>
                <w:rFonts w:hint="eastAsia" w:ascii="宋体" w:hAnsi="宋体" w:cs="宋体"/>
                <w:color w:val="auto"/>
                <w:sz w:val="24"/>
                <w:highlight w:val="none"/>
              </w:rPr>
              <w:t>*单位联系人</w:t>
            </w:r>
          </w:p>
        </w:tc>
        <w:tc>
          <w:tcPr>
            <w:tcW w:w="1546" w:type="dxa"/>
            <w:gridSpan w:val="3"/>
            <w:vAlign w:val="center"/>
          </w:tcPr>
          <w:p>
            <w:pPr>
              <w:widowControl/>
              <w:spacing w:after="0" w:line="340" w:lineRule="exact"/>
              <w:ind w:firstLine="470" w:firstLineChars="196"/>
              <w:jc w:val="left"/>
              <w:outlineLvl w:val="1"/>
              <w:rPr>
                <w:rFonts w:ascii="宋体" w:hAnsi="宋体" w:cs="宋体"/>
                <w:color w:val="auto"/>
                <w:sz w:val="24"/>
                <w:highlight w:val="none"/>
              </w:rPr>
            </w:pPr>
          </w:p>
        </w:tc>
        <w:tc>
          <w:tcPr>
            <w:tcW w:w="1712" w:type="dxa"/>
            <w:vAlign w:val="center"/>
          </w:tcPr>
          <w:p>
            <w:pPr>
              <w:widowControl/>
              <w:spacing w:after="0" w:line="340" w:lineRule="exact"/>
              <w:jc w:val="left"/>
              <w:outlineLvl w:val="1"/>
              <w:rPr>
                <w:rFonts w:ascii="宋体" w:hAnsi="宋体" w:cs="宋体"/>
                <w:color w:val="auto"/>
                <w:sz w:val="24"/>
                <w:highlight w:val="none"/>
              </w:rPr>
            </w:pPr>
            <w:r>
              <w:rPr>
                <w:rFonts w:hint="eastAsia" w:ascii="宋体" w:hAnsi="宋体" w:cs="宋体"/>
                <w:color w:val="auto"/>
                <w:sz w:val="24"/>
                <w:highlight w:val="none"/>
              </w:rPr>
              <w:t>*单位电话</w:t>
            </w:r>
          </w:p>
        </w:tc>
        <w:tc>
          <w:tcPr>
            <w:tcW w:w="2161" w:type="dxa"/>
            <w:gridSpan w:val="2"/>
            <w:vAlign w:val="center"/>
          </w:tcPr>
          <w:p>
            <w:pPr>
              <w:widowControl/>
              <w:spacing w:after="0" w:line="340" w:lineRule="exac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950" w:type="dxa"/>
            <w:gridSpan w:val="2"/>
            <w:vMerge w:val="continue"/>
            <w:vAlign w:val="center"/>
          </w:tcPr>
          <w:p>
            <w:pPr>
              <w:spacing w:after="0" w:line="340" w:lineRule="exact"/>
              <w:rPr>
                <w:rFonts w:ascii="宋体" w:hAnsi="宋体" w:cs="宋体"/>
                <w:color w:val="auto"/>
                <w:highlight w:val="none"/>
              </w:rPr>
            </w:pPr>
          </w:p>
        </w:tc>
        <w:tc>
          <w:tcPr>
            <w:tcW w:w="1831" w:type="dxa"/>
            <w:vAlign w:val="center"/>
          </w:tcPr>
          <w:p>
            <w:pPr>
              <w:widowControl/>
              <w:spacing w:after="0" w:line="340" w:lineRule="exact"/>
              <w:jc w:val="left"/>
              <w:outlineLvl w:val="1"/>
              <w:rPr>
                <w:rFonts w:ascii="宋体" w:hAnsi="宋体" w:cs="宋体"/>
                <w:color w:val="auto"/>
                <w:sz w:val="24"/>
                <w:highlight w:val="none"/>
              </w:rPr>
            </w:pPr>
            <w:r>
              <w:rPr>
                <w:rFonts w:hint="eastAsia" w:ascii="宋体" w:hAnsi="宋体" w:cs="宋体"/>
                <w:color w:val="auto"/>
                <w:sz w:val="24"/>
                <w:highlight w:val="none"/>
              </w:rPr>
              <w:t>*单位邮箱</w:t>
            </w:r>
          </w:p>
        </w:tc>
        <w:tc>
          <w:tcPr>
            <w:tcW w:w="5419" w:type="dxa"/>
            <w:gridSpan w:val="6"/>
            <w:vAlign w:val="center"/>
          </w:tcPr>
          <w:p>
            <w:pPr>
              <w:widowControl/>
              <w:spacing w:after="0" w:line="340" w:lineRule="exac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trPr>
        <w:tc>
          <w:tcPr>
            <w:tcW w:w="9200" w:type="dxa"/>
            <w:gridSpan w:val="9"/>
            <w:vAlign w:val="center"/>
          </w:tcPr>
          <w:p>
            <w:pPr>
              <w:widowControl/>
              <w:spacing w:after="0" w:line="340" w:lineRule="exact"/>
              <w:ind w:firstLine="472" w:firstLineChars="196"/>
              <w:jc w:val="left"/>
              <w:outlineLvl w:val="1"/>
              <w:rPr>
                <w:rFonts w:ascii="宋体" w:hAnsi="宋体" w:cs="宋体"/>
                <w:color w:val="auto"/>
                <w:sz w:val="24"/>
                <w:highlight w:val="none"/>
              </w:rPr>
            </w:pPr>
            <w:r>
              <w:rPr>
                <w:rFonts w:hint="eastAsia" w:ascii="宋体" w:hAnsi="宋体" w:cs="宋体"/>
                <w:b/>
                <w:bCs/>
                <w:color w:val="auto"/>
                <w:sz w:val="24"/>
                <w:highlight w:val="none"/>
              </w:rPr>
              <w:t>注：以上*号项信息供应商须如实填写，信息将录入四川省政府采购计划执行系统，若因供应商提供错误信息造成的问题，由其自身承担。</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trPr>
        <w:tc>
          <w:tcPr>
            <w:tcW w:w="1431" w:type="dxa"/>
            <w:vMerge w:val="restart"/>
            <w:tcBorders>
              <w:right w:val="single" w:color="auto" w:sz="4" w:space="0"/>
            </w:tcBorders>
            <w:vAlign w:val="center"/>
          </w:tcPr>
          <w:p>
            <w:pPr>
              <w:widowControl/>
              <w:spacing w:after="0" w:line="340" w:lineRule="exact"/>
              <w:jc w:val="left"/>
              <w:outlineLvl w:val="1"/>
              <w:rPr>
                <w:rFonts w:ascii="宋体" w:hAnsi="宋体" w:cs="宋体"/>
                <w:b/>
                <w:bCs/>
                <w:color w:val="auto"/>
                <w:sz w:val="24"/>
                <w:highlight w:val="none"/>
              </w:rPr>
            </w:pPr>
            <w:r>
              <w:rPr>
                <w:rFonts w:hint="eastAsia" w:ascii="宋体" w:hAnsi="宋体" w:cs="宋体"/>
                <w:b/>
                <w:bCs/>
                <w:color w:val="auto"/>
                <w:sz w:val="24"/>
                <w:highlight w:val="none"/>
              </w:rPr>
              <w:t>供应商应答“采购文件”的主要内容</w:t>
            </w:r>
          </w:p>
        </w:tc>
        <w:tc>
          <w:tcPr>
            <w:tcW w:w="2658" w:type="dxa"/>
            <w:gridSpan w:val="3"/>
            <w:tcBorders>
              <w:left w:val="single" w:color="auto" w:sz="4" w:space="0"/>
              <w:right w:val="single" w:color="auto" w:sz="4" w:space="0"/>
            </w:tcBorders>
            <w:vAlign w:val="center"/>
          </w:tcPr>
          <w:p>
            <w:pPr>
              <w:spacing w:after="0" w:line="340" w:lineRule="exact"/>
              <w:jc w:val="left"/>
              <w:rPr>
                <w:rFonts w:ascii="宋体" w:hAnsi="宋体" w:cs="宋体"/>
                <w:b/>
                <w:bCs/>
                <w:color w:val="auto"/>
                <w:sz w:val="24"/>
                <w:highlight w:val="none"/>
              </w:rPr>
            </w:pPr>
            <w:r>
              <w:rPr>
                <w:rFonts w:hint="eastAsia" w:ascii="宋体" w:hAnsi="宋体" w:cs="宋体"/>
                <w:bCs/>
                <w:color w:val="auto"/>
                <w:kern w:val="0"/>
                <w:sz w:val="24"/>
                <w:highlight w:val="none"/>
              </w:rPr>
              <w:t>主要中标或者成交标的的名称</w:t>
            </w:r>
          </w:p>
        </w:tc>
        <w:tc>
          <w:tcPr>
            <w:tcW w:w="5111" w:type="dxa"/>
            <w:gridSpan w:val="5"/>
            <w:tcBorders>
              <w:left w:val="single" w:color="auto" w:sz="4" w:space="0"/>
            </w:tcBorders>
            <w:vAlign w:val="center"/>
          </w:tcPr>
          <w:p>
            <w:pPr>
              <w:spacing w:after="0" w:line="340" w:lineRule="exact"/>
              <w:jc w:val="left"/>
              <w:rPr>
                <w:rFonts w:ascii="宋体" w:hAnsi="宋体" w:cs="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trPr>
        <w:tc>
          <w:tcPr>
            <w:tcW w:w="1431" w:type="dxa"/>
            <w:vMerge w:val="continue"/>
            <w:tcBorders>
              <w:right w:val="single" w:color="auto" w:sz="4" w:space="0"/>
            </w:tcBorders>
            <w:vAlign w:val="center"/>
          </w:tcPr>
          <w:p>
            <w:pPr>
              <w:widowControl/>
              <w:spacing w:after="0" w:line="340" w:lineRule="exact"/>
              <w:ind w:firstLine="472" w:firstLineChars="196"/>
              <w:jc w:val="left"/>
              <w:outlineLvl w:val="1"/>
              <w:rPr>
                <w:rFonts w:ascii="宋体" w:hAnsi="宋体" w:cs="宋体"/>
                <w:b/>
                <w:bCs/>
                <w:color w:val="auto"/>
                <w:sz w:val="24"/>
                <w:highlight w:val="none"/>
              </w:rPr>
            </w:pPr>
          </w:p>
        </w:tc>
        <w:tc>
          <w:tcPr>
            <w:tcW w:w="2658" w:type="dxa"/>
            <w:gridSpan w:val="3"/>
            <w:tcBorders>
              <w:left w:val="single" w:color="auto" w:sz="4" w:space="0"/>
              <w:right w:val="single" w:color="auto" w:sz="4" w:space="0"/>
            </w:tcBorders>
            <w:vAlign w:val="center"/>
          </w:tcPr>
          <w:p>
            <w:pPr>
              <w:spacing w:after="0" w:line="340" w:lineRule="exact"/>
              <w:jc w:val="left"/>
              <w:rPr>
                <w:rFonts w:ascii="宋体" w:hAnsi="宋体" w:cs="宋体"/>
                <w:b/>
                <w:bCs/>
                <w:color w:val="auto"/>
                <w:sz w:val="24"/>
                <w:highlight w:val="none"/>
              </w:rPr>
            </w:pPr>
            <w:r>
              <w:rPr>
                <w:rFonts w:hint="eastAsia" w:ascii="宋体" w:hAnsi="宋体" w:cs="宋体"/>
                <w:bCs/>
                <w:color w:val="auto"/>
                <w:kern w:val="0"/>
                <w:sz w:val="24"/>
                <w:highlight w:val="none"/>
              </w:rPr>
              <w:t>主要中标或者成交标的的规格型号</w:t>
            </w:r>
          </w:p>
        </w:tc>
        <w:tc>
          <w:tcPr>
            <w:tcW w:w="5111" w:type="dxa"/>
            <w:gridSpan w:val="5"/>
            <w:tcBorders>
              <w:left w:val="single" w:color="auto" w:sz="4" w:space="0"/>
            </w:tcBorders>
            <w:vAlign w:val="center"/>
          </w:tcPr>
          <w:p>
            <w:pPr>
              <w:spacing w:after="0" w:line="340" w:lineRule="exact"/>
              <w:jc w:val="left"/>
              <w:rPr>
                <w:rFonts w:ascii="宋体" w:hAnsi="宋体" w:cs="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trPr>
        <w:tc>
          <w:tcPr>
            <w:tcW w:w="1431" w:type="dxa"/>
            <w:vMerge w:val="continue"/>
            <w:tcBorders>
              <w:right w:val="single" w:color="auto" w:sz="4" w:space="0"/>
            </w:tcBorders>
            <w:vAlign w:val="center"/>
          </w:tcPr>
          <w:p>
            <w:pPr>
              <w:widowControl/>
              <w:spacing w:after="0" w:line="340" w:lineRule="exact"/>
              <w:ind w:firstLine="472" w:firstLineChars="196"/>
              <w:jc w:val="left"/>
              <w:outlineLvl w:val="1"/>
              <w:rPr>
                <w:rFonts w:ascii="宋体" w:hAnsi="宋体" w:cs="宋体"/>
                <w:b/>
                <w:bCs/>
                <w:color w:val="auto"/>
                <w:sz w:val="24"/>
                <w:highlight w:val="none"/>
              </w:rPr>
            </w:pPr>
          </w:p>
        </w:tc>
        <w:tc>
          <w:tcPr>
            <w:tcW w:w="2658" w:type="dxa"/>
            <w:gridSpan w:val="3"/>
            <w:tcBorders>
              <w:left w:val="single" w:color="auto" w:sz="4" w:space="0"/>
              <w:right w:val="single" w:color="auto" w:sz="4" w:space="0"/>
            </w:tcBorders>
            <w:vAlign w:val="center"/>
          </w:tcPr>
          <w:p>
            <w:pPr>
              <w:spacing w:after="0" w:line="340" w:lineRule="exact"/>
              <w:jc w:val="left"/>
              <w:rPr>
                <w:rFonts w:ascii="宋体" w:hAnsi="宋体" w:cs="宋体"/>
                <w:b/>
                <w:bCs/>
                <w:color w:val="auto"/>
                <w:sz w:val="24"/>
                <w:highlight w:val="none"/>
              </w:rPr>
            </w:pPr>
            <w:r>
              <w:rPr>
                <w:rFonts w:hint="eastAsia" w:ascii="宋体" w:hAnsi="宋体" w:cs="宋体"/>
                <w:bCs/>
                <w:color w:val="auto"/>
                <w:kern w:val="0"/>
                <w:sz w:val="24"/>
                <w:highlight w:val="none"/>
              </w:rPr>
              <w:t>主要中标或者成交标的的数量</w:t>
            </w:r>
          </w:p>
        </w:tc>
        <w:tc>
          <w:tcPr>
            <w:tcW w:w="5111" w:type="dxa"/>
            <w:gridSpan w:val="5"/>
            <w:tcBorders>
              <w:left w:val="single" w:color="auto" w:sz="4" w:space="0"/>
            </w:tcBorders>
            <w:vAlign w:val="center"/>
          </w:tcPr>
          <w:p>
            <w:pPr>
              <w:spacing w:after="0" w:line="340" w:lineRule="exact"/>
              <w:jc w:val="left"/>
              <w:rPr>
                <w:rFonts w:ascii="宋体" w:hAnsi="宋体" w:cs="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trPr>
        <w:tc>
          <w:tcPr>
            <w:tcW w:w="1431" w:type="dxa"/>
            <w:vMerge w:val="continue"/>
            <w:tcBorders>
              <w:right w:val="single" w:color="auto" w:sz="4" w:space="0"/>
            </w:tcBorders>
            <w:vAlign w:val="center"/>
          </w:tcPr>
          <w:p>
            <w:pPr>
              <w:widowControl/>
              <w:spacing w:after="0" w:line="340" w:lineRule="exact"/>
              <w:ind w:firstLine="472" w:firstLineChars="196"/>
              <w:jc w:val="left"/>
              <w:outlineLvl w:val="1"/>
              <w:rPr>
                <w:rFonts w:ascii="宋体" w:hAnsi="宋体" w:cs="宋体"/>
                <w:b/>
                <w:bCs/>
                <w:color w:val="auto"/>
                <w:sz w:val="24"/>
                <w:highlight w:val="none"/>
              </w:rPr>
            </w:pPr>
          </w:p>
        </w:tc>
        <w:tc>
          <w:tcPr>
            <w:tcW w:w="2658" w:type="dxa"/>
            <w:gridSpan w:val="3"/>
            <w:tcBorders>
              <w:left w:val="single" w:color="auto" w:sz="4" w:space="0"/>
              <w:right w:val="single" w:color="auto" w:sz="4" w:space="0"/>
            </w:tcBorders>
            <w:vAlign w:val="center"/>
          </w:tcPr>
          <w:p>
            <w:pPr>
              <w:spacing w:after="0" w:line="340" w:lineRule="exact"/>
              <w:jc w:val="left"/>
              <w:rPr>
                <w:rFonts w:ascii="宋体" w:hAnsi="宋体" w:cs="宋体"/>
                <w:b/>
                <w:bCs/>
                <w:color w:val="auto"/>
                <w:sz w:val="24"/>
                <w:highlight w:val="none"/>
              </w:rPr>
            </w:pPr>
            <w:r>
              <w:rPr>
                <w:rFonts w:hint="eastAsia" w:ascii="宋体" w:hAnsi="宋体" w:cs="宋体"/>
                <w:bCs/>
                <w:color w:val="auto"/>
                <w:kern w:val="0"/>
                <w:sz w:val="24"/>
                <w:highlight w:val="none"/>
              </w:rPr>
              <w:t>主要中标或者成交标的的单价</w:t>
            </w:r>
          </w:p>
        </w:tc>
        <w:tc>
          <w:tcPr>
            <w:tcW w:w="5111" w:type="dxa"/>
            <w:gridSpan w:val="5"/>
            <w:tcBorders>
              <w:left w:val="single" w:color="auto" w:sz="4" w:space="0"/>
            </w:tcBorders>
            <w:vAlign w:val="center"/>
          </w:tcPr>
          <w:p>
            <w:pPr>
              <w:spacing w:after="0" w:line="340" w:lineRule="exact"/>
              <w:jc w:val="left"/>
              <w:rPr>
                <w:rFonts w:ascii="宋体" w:hAnsi="宋体" w:cs="宋体"/>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43" w:hRule="atLeast"/>
        </w:trPr>
        <w:tc>
          <w:tcPr>
            <w:tcW w:w="1431" w:type="dxa"/>
            <w:vMerge w:val="continue"/>
            <w:tcBorders>
              <w:right w:val="single" w:color="auto" w:sz="4" w:space="0"/>
            </w:tcBorders>
            <w:vAlign w:val="center"/>
          </w:tcPr>
          <w:p>
            <w:pPr>
              <w:widowControl/>
              <w:spacing w:after="0" w:line="340" w:lineRule="exact"/>
              <w:ind w:firstLine="472" w:firstLineChars="196"/>
              <w:jc w:val="left"/>
              <w:outlineLvl w:val="1"/>
              <w:rPr>
                <w:rFonts w:ascii="宋体" w:hAnsi="宋体" w:cs="宋体"/>
                <w:b/>
                <w:bCs/>
                <w:color w:val="auto"/>
                <w:sz w:val="24"/>
                <w:highlight w:val="none"/>
              </w:rPr>
            </w:pPr>
          </w:p>
        </w:tc>
        <w:tc>
          <w:tcPr>
            <w:tcW w:w="2658" w:type="dxa"/>
            <w:gridSpan w:val="3"/>
            <w:tcBorders>
              <w:left w:val="single" w:color="auto" w:sz="4" w:space="0"/>
              <w:right w:val="single" w:color="auto" w:sz="4" w:space="0"/>
            </w:tcBorders>
            <w:vAlign w:val="center"/>
          </w:tcPr>
          <w:p>
            <w:pPr>
              <w:spacing w:after="0" w:line="340" w:lineRule="exact"/>
              <w:jc w:val="left"/>
              <w:rPr>
                <w:rFonts w:ascii="宋体" w:hAnsi="宋体" w:cs="宋体"/>
                <w:b/>
                <w:bCs/>
                <w:color w:val="auto"/>
                <w:sz w:val="24"/>
                <w:highlight w:val="none"/>
              </w:rPr>
            </w:pPr>
            <w:r>
              <w:rPr>
                <w:rFonts w:hint="eastAsia" w:ascii="宋体" w:hAnsi="宋体" w:cs="宋体"/>
                <w:bCs/>
                <w:color w:val="auto"/>
                <w:kern w:val="0"/>
                <w:sz w:val="24"/>
                <w:highlight w:val="none"/>
              </w:rPr>
              <w:t>主要中标或者成交标的的服务要求（如：交货期、质保期、售后服务等等）</w:t>
            </w:r>
          </w:p>
        </w:tc>
        <w:tc>
          <w:tcPr>
            <w:tcW w:w="5111" w:type="dxa"/>
            <w:gridSpan w:val="5"/>
            <w:tcBorders>
              <w:left w:val="single" w:color="auto" w:sz="4" w:space="0"/>
            </w:tcBorders>
            <w:vAlign w:val="center"/>
          </w:tcPr>
          <w:p>
            <w:pPr>
              <w:numPr>
                <w:ilvl w:val="0"/>
                <w:numId w:val="2"/>
              </w:numPr>
              <w:spacing w:after="0" w:line="340" w:lineRule="exact"/>
              <w:jc w:val="left"/>
              <w:rPr>
                <w:rFonts w:ascii="宋体" w:hAnsi="宋体" w:cs="宋体"/>
                <w:bCs/>
                <w:color w:val="auto"/>
                <w:sz w:val="24"/>
                <w:highlight w:val="none"/>
              </w:rPr>
            </w:pPr>
            <w:r>
              <w:rPr>
                <w:rFonts w:hint="eastAsia" w:ascii="宋体" w:hAnsi="宋体" w:cs="宋体"/>
                <w:bCs/>
                <w:color w:val="auto"/>
                <w:sz w:val="24"/>
                <w:highlight w:val="none"/>
              </w:rPr>
              <w:t>....</w:t>
            </w:r>
          </w:p>
          <w:p>
            <w:pPr>
              <w:numPr>
                <w:ilvl w:val="0"/>
                <w:numId w:val="2"/>
              </w:numPr>
              <w:spacing w:after="0" w:line="340" w:lineRule="exact"/>
              <w:jc w:val="left"/>
              <w:rPr>
                <w:rFonts w:ascii="宋体" w:hAnsi="宋体" w:cs="宋体"/>
                <w:bCs/>
                <w:color w:val="auto"/>
                <w:sz w:val="24"/>
                <w:highlight w:val="none"/>
              </w:rPr>
            </w:pPr>
            <w:r>
              <w:rPr>
                <w:rFonts w:hint="eastAsia" w:ascii="宋体" w:hAnsi="宋体" w:cs="宋体"/>
                <w:bCs/>
                <w:color w:val="auto"/>
                <w:sz w:val="24"/>
                <w:highlight w:val="none"/>
              </w:rPr>
              <w:t>....</w:t>
            </w:r>
          </w:p>
          <w:p>
            <w:pPr>
              <w:numPr>
                <w:ilvl w:val="0"/>
                <w:numId w:val="2"/>
              </w:numPr>
              <w:spacing w:after="0" w:line="340" w:lineRule="exact"/>
              <w:jc w:val="left"/>
              <w:rPr>
                <w:rFonts w:ascii="宋体" w:hAnsi="宋体" w:cs="宋体"/>
                <w:bCs/>
                <w:color w:val="auto"/>
                <w:sz w:val="24"/>
                <w:highlight w:val="none"/>
              </w:rPr>
            </w:pPr>
            <w:r>
              <w:rPr>
                <w:rFonts w:hint="eastAsia" w:ascii="宋体" w:hAnsi="宋体" w:cs="宋体"/>
                <w:bCs/>
                <w:color w:val="auto"/>
                <w:sz w:val="24"/>
                <w:highlight w:val="none"/>
              </w:rPr>
              <w:t>....</w:t>
            </w:r>
          </w:p>
          <w:p>
            <w:pPr>
              <w:spacing w:after="0" w:line="340" w:lineRule="exact"/>
              <w:jc w:val="left"/>
              <w:rPr>
                <w:rFonts w:ascii="宋体" w:hAnsi="宋体" w:cs="宋体"/>
                <w:b/>
                <w:bCs/>
                <w:color w:val="auto"/>
                <w:sz w:val="24"/>
                <w:highlight w:val="none"/>
              </w:rPr>
            </w:pPr>
            <w:r>
              <w:rPr>
                <w:rFonts w:hint="eastAsia" w:ascii="宋体" w:hAnsi="宋体" w:cs="宋体"/>
                <w:bCs/>
                <w:color w:val="auto"/>
                <w:sz w:val="24"/>
                <w:highlight w:val="none"/>
              </w:rPr>
              <w:t>......</w:t>
            </w:r>
          </w:p>
        </w:tc>
      </w:tr>
    </w:tbl>
    <w:p>
      <w:pPr>
        <w:spacing w:after="0" w:line="340" w:lineRule="exact"/>
        <w:rPr>
          <w:rFonts w:ascii="宋体" w:hAnsi="宋体" w:cs="宋体"/>
          <w:color w:val="auto"/>
          <w:sz w:val="24"/>
          <w:highlight w:val="none"/>
        </w:rPr>
      </w:pPr>
      <w:r>
        <w:rPr>
          <w:rFonts w:hint="eastAsia" w:ascii="宋体" w:hAnsi="宋体" w:cs="宋体"/>
          <w:color w:val="auto"/>
          <w:sz w:val="24"/>
          <w:highlight w:val="none"/>
        </w:rPr>
        <w:t>注：</w:t>
      </w:r>
    </w:p>
    <w:p>
      <w:pPr>
        <w:numPr>
          <w:ilvl w:val="0"/>
          <w:numId w:val="3"/>
        </w:numPr>
        <w:spacing w:after="0" w:line="340" w:lineRule="exact"/>
        <w:rPr>
          <w:rFonts w:ascii="宋体" w:hAnsi="宋体" w:cs="宋体"/>
          <w:color w:val="auto"/>
          <w:sz w:val="24"/>
          <w:highlight w:val="none"/>
        </w:rPr>
      </w:pPr>
      <w:r>
        <w:rPr>
          <w:rFonts w:hint="eastAsia" w:ascii="宋体" w:hAnsi="宋体" w:cs="宋体"/>
          <w:color w:val="auto"/>
          <w:sz w:val="24"/>
          <w:highlight w:val="none"/>
        </w:rPr>
        <w:t>供应商需如实完善表格内容。</w:t>
      </w:r>
    </w:p>
    <w:p>
      <w:pPr>
        <w:numPr>
          <w:ilvl w:val="0"/>
          <w:numId w:val="3"/>
        </w:numPr>
        <w:spacing w:after="0" w:line="340" w:lineRule="exact"/>
        <w:rPr>
          <w:rFonts w:ascii="宋体" w:hAnsi="宋体" w:cs="宋体"/>
          <w:color w:val="auto"/>
          <w:sz w:val="24"/>
          <w:highlight w:val="none"/>
        </w:rPr>
      </w:pPr>
      <w:r>
        <w:rPr>
          <w:rFonts w:hint="eastAsia" w:ascii="宋体" w:hAnsi="宋体" w:cs="宋体"/>
          <w:color w:val="auto"/>
          <w:sz w:val="24"/>
          <w:highlight w:val="none"/>
        </w:rPr>
        <w:t>供应商应答的主要内容应与投标文件一致，可以进行简要概括性表述。</w:t>
      </w:r>
    </w:p>
    <w:p>
      <w:pPr>
        <w:numPr>
          <w:ilvl w:val="0"/>
          <w:numId w:val="3"/>
        </w:numPr>
        <w:spacing w:after="0" w:line="340" w:lineRule="exact"/>
        <w:rPr>
          <w:rFonts w:ascii="宋体" w:hAnsi="宋体" w:cs="宋体"/>
          <w:color w:val="auto"/>
          <w:sz w:val="24"/>
          <w:highlight w:val="none"/>
        </w:rPr>
      </w:pPr>
      <w:r>
        <w:rPr>
          <w:rFonts w:hint="eastAsia" w:ascii="宋体" w:hAnsi="宋体" w:cs="宋体"/>
          <w:color w:val="auto"/>
          <w:sz w:val="24"/>
          <w:highlight w:val="none"/>
        </w:rPr>
        <w:t>供应商应答的主要内容仅用于结果公告，供应商自行完善的内容视为不涉及供应商商业秘密。若供应商没有填写或没有递交此表，视为允许采购代理机构将供应商投标文件中所有相关的应答内容进行公告。</w:t>
      </w:r>
    </w:p>
    <w:p>
      <w:pPr>
        <w:widowControl/>
        <w:spacing w:after="0" w:line="340" w:lineRule="exac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投标人名称：XXXX（单位盖章）。</w:t>
      </w:r>
    </w:p>
    <w:p>
      <w:pPr>
        <w:widowControl/>
        <w:spacing w:after="0" w:line="340" w:lineRule="exac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法定代表人/单位负责人或授权代表（签字或加盖个人名章）：XXXX。</w:t>
      </w:r>
    </w:p>
    <w:p>
      <w:pPr>
        <w:widowControl/>
        <w:spacing w:after="0" w:line="340" w:lineRule="exact"/>
        <w:ind w:firstLine="470" w:firstLineChars="196"/>
        <w:jc w:val="left"/>
        <w:outlineLvl w:val="1"/>
        <w:rPr>
          <w:rFonts w:ascii="宋体" w:hAnsi="宋体" w:cs="宋体"/>
          <w:b/>
          <w:color w:val="auto"/>
          <w:sz w:val="24"/>
          <w:highlight w:val="none"/>
        </w:rPr>
      </w:pPr>
      <w:r>
        <w:rPr>
          <w:rFonts w:hint="eastAsia" w:ascii="宋体" w:hAnsi="宋体" w:cs="宋体"/>
          <w:color w:val="auto"/>
          <w:sz w:val="24"/>
          <w:highlight w:val="none"/>
        </w:rPr>
        <w:t>投标日期: XXXX。</w:t>
      </w:r>
    </w:p>
    <w:p>
      <w:pPr>
        <w:spacing w:after="0" w:line="360" w:lineRule="auto"/>
        <w:rPr>
          <w:rFonts w:ascii="宋体" w:hAnsi="宋体" w:cs="宋体"/>
          <w:b/>
          <w:color w:val="auto"/>
          <w:sz w:val="32"/>
          <w:szCs w:val="32"/>
          <w:highlight w:val="none"/>
        </w:rPr>
      </w:pPr>
      <w:bookmarkStart w:id="168" w:name="_Toc217446088"/>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格式2-6</w:t>
      </w:r>
    </w:p>
    <w:p>
      <w:pPr>
        <w:widowControl/>
        <w:spacing w:after="0" w:line="360" w:lineRule="atLeast"/>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五、投标人基本情况表</w:t>
      </w:r>
      <w:bookmarkEnd w:id="168"/>
    </w:p>
    <w:tbl>
      <w:tblPr>
        <w:tblStyle w:val="32"/>
        <w:tblW w:w="9339"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30"/>
        <w:gridCol w:w="1088"/>
        <w:gridCol w:w="1408"/>
        <w:gridCol w:w="1418"/>
        <w:gridCol w:w="1500"/>
        <w:gridCol w:w="180"/>
        <w:gridCol w:w="786"/>
        <w:gridCol w:w="122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7" w:hRule="atLeast"/>
        </w:trPr>
        <w:tc>
          <w:tcPr>
            <w:tcW w:w="1730"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投标人名称</w:t>
            </w:r>
          </w:p>
        </w:tc>
        <w:tc>
          <w:tcPr>
            <w:tcW w:w="7609" w:type="dxa"/>
            <w:gridSpan w:val="7"/>
            <w:vAlign w:val="center"/>
          </w:tcPr>
          <w:p>
            <w:pPr>
              <w:widowControl/>
              <w:spacing w:after="0" w:line="360" w:lineRule="atLeas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7" w:hRule="atLeast"/>
        </w:trPr>
        <w:tc>
          <w:tcPr>
            <w:tcW w:w="1730"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注册地址</w:t>
            </w:r>
          </w:p>
        </w:tc>
        <w:tc>
          <w:tcPr>
            <w:tcW w:w="3914" w:type="dxa"/>
            <w:gridSpan w:val="3"/>
            <w:vAlign w:val="center"/>
          </w:tcPr>
          <w:p>
            <w:pPr>
              <w:widowControl/>
              <w:spacing w:after="0" w:line="360" w:lineRule="atLeast"/>
              <w:ind w:firstLine="470" w:firstLineChars="196"/>
              <w:jc w:val="left"/>
              <w:outlineLvl w:val="1"/>
              <w:rPr>
                <w:rFonts w:ascii="宋体" w:hAnsi="宋体" w:cs="宋体"/>
                <w:color w:val="auto"/>
                <w:sz w:val="24"/>
                <w:highlight w:val="none"/>
              </w:rPr>
            </w:pPr>
          </w:p>
        </w:tc>
        <w:tc>
          <w:tcPr>
            <w:tcW w:w="1500"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邮政编码</w:t>
            </w:r>
          </w:p>
        </w:tc>
        <w:tc>
          <w:tcPr>
            <w:tcW w:w="2195" w:type="dxa"/>
            <w:gridSpan w:val="3"/>
            <w:vAlign w:val="center"/>
          </w:tcPr>
          <w:p>
            <w:pPr>
              <w:widowControl/>
              <w:spacing w:after="0" w:line="360" w:lineRule="atLeas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trPr>
        <w:tc>
          <w:tcPr>
            <w:tcW w:w="1730" w:type="dxa"/>
            <w:vMerge w:val="restart"/>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联系方式</w:t>
            </w:r>
          </w:p>
        </w:tc>
        <w:tc>
          <w:tcPr>
            <w:tcW w:w="1088"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联系人</w:t>
            </w:r>
          </w:p>
        </w:tc>
        <w:tc>
          <w:tcPr>
            <w:tcW w:w="2826" w:type="dxa"/>
            <w:gridSpan w:val="2"/>
            <w:vAlign w:val="center"/>
          </w:tcPr>
          <w:p>
            <w:pPr>
              <w:widowControl/>
              <w:spacing w:after="0" w:line="360" w:lineRule="atLeast"/>
              <w:ind w:firstLine="470" w:firstLineChars="196"/>
              <w:jc w:val="left"/>
              <w:outlineLvl w:val="1"/>
              <w:rPr>
                <w:rFonts w:ascii="宋体" w:hAnsi="宋体" w:cs="宋体"/>
                <w:color w:val="auto"/>
                <w:sz w:val="24"/>
                <w:highlight w:val="none"/>
              </w:rPr>
            </w:pPr>
          </w:p>
        </w:tc>
        <w:tc>
          <w:tcPr>
            <w:tcW w:w="1500" w:type="dxa"/>
            <w:vAlign w:val="center"/>
          </w:tcPr>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电话</w:t>
            </w:r>
          </w:p>
        </w:tc>
        <w:tc>
          <w:tcPr>
            <w:tcW w:w="2195" w:type="dxa"/>
            <w:gridSpan w:val="3"/>
            <w:vAlign w:val="center"/>
          </w:tcPr>
          <w:p>
            <w:pPr>
              <w:widowControl/>
              <w:spacing w:after="0" w:line="360" w:lineRule="atLeas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75" w:hRule="atLeast"/>
        </w:trPr>
        <w:tc>
          <w:tcPr>
            <w:tcW w:w="1730" w:type="dxa"/>
            <w:vMerge w:val="continue"/>
            <w:vAlign w:val="center"/>
          </w:tcPr>
          <w:p>
            <w:pPr>
              <w:spacing w:after="0"/>
              <w:rPr>
                <w:rFonts w:ascii="宋体" w:hAnsi="宋体" w:cs="宋体"/>
                <w:color w:val="auto"/>
                <w:highlight w:val="none"/>
              </w:rPr>
            </w:pPr>
          </w:p>
        </w:tc>
        <w:tc>
          <w:tcPr>
            <w:tcW w:w="1088"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传真</w:t>
            </w:r>
          </w:p>
        </w:tc>
        <w:tc>
          <w:tcPr>
            <w:tcW w:w="2826" w:type="dxa"/>
            <w:gridSpan w:val="2"/>
            <w:vAlign w:val="center"/>
          </w:tcPr>
          <w:p>
            <w:pPr>
              <w:widowControl/>
              <w:spacing w:after="0" w:line="360" w:lineRule="atLeast"/>
              <w:ind w:firstLine="470" w:firstLineChars="196"/>
              <w:jc w:val="left"/>
              <w:outlineLvl w:val="1"/>
              <w:rPr>
                <w:rFonts w:ascii="宋体" w:hAnsi="宋体" w:cs="宋体"/>
                <w:color w:val="auto"/>
                <w:sz w:val="24"/>
                <w:highlight w:val="none"/>
              </w:rPr>
            </w:pPr>
          </w:p>
        </w:tc>
        <w:tc>
          <w:tcPr>
            <w:tcW w:w="1500" w:type="dxa"/>
            <w:vAlign w:val="center"/>
          </w:tcPr>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网址</w:t>
            </w:r>
          </w:p>
        </w:tc>
        <w:tc>
          <w:tcPr>
            <w:tcW w:w="2195" w:type="dxa"/>
            <w:gridSpan w:val="3"/>
            <w:vAlign w:val="center"/>
          </w:tcPr>
          <w:p>
            <w:pPr>
              <w:widowControl/>
              <w:spacing w:after="0" w:line="360" w:lineRule="atLeas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trPr>
        <w:tc>
          <w:tcPr>
            <w:tcW w:w="1730"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组织结构</w:t>
            </w:r>
          </w:p>
        </w:tc>
        <w:tc>
          <w:tcPr>
            <w:tcW w:w="7609" w:type="dxa"/>
            <w:gridSpan w:val="7"/>
            <w:vAlign w:val="center"/>
          </w:tcPr>
          <w:p>
            <w:pPr>
              <w:widowControl/>
              <w:spacing w:after="0" w:line="360" w:lineRule="atLeas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94" w:hRule="atLeast"/>
        </w:trPr>
        <w:tc>
          <w:tcPr>
            <w:tcW w:w="1730"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法定代表人/单位负责人</w:t>
            </w:r>
          </w:p>
        </w:tc>
        <w:tc>
          <w:tcPr>
            <w:tcW w:w="1088"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姓名</w:t>
            </w:r>
          </w:p>
        </w:tc>
        <w:tc>
          <w:tcPr>
            <w:tcW w:w="1408" w:type="dxa"/>
            <w:vAlign w:val="center"/>
          </w:tcPr>
          <w:p>
            <w:pPr>
              <w:widowControl/>
              <w:spacing w:after="0" w:line="360" w:lineRule="atLeast"/>
              <w:ind w:firstLine="470" w:firstLineChars="196"/>
              <w:jc w:val="left"/>
              <w:outlineLvl w:val="1"/>
              <w:rPr>
                <w:rFonts w:ascii="宋体" w:hAnsi="宋体" w:cs="宋体"/>
                <w:color w:val="auto"/>
                <w:sz w:val="24"/>
                <w:highlight w:val="none"/>
              </w:rPr>
            </w:pPr>
          </w:p>
        </w:tc>
        <w:tc>
          <w:tcPr>
            <w:tcW w:w="1418"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技术职称</w:t>
            </w:r>
          </w:p>
        </w:tc>
        <w:tc>
          <w:tcPr>
            <w:tcW w:w="1500" w:type="dxa"/>
            <w:vAlign w:val="center"/>
          </w:tcPr>
          <w:p>
            <w:pPr>
              <w:widowControl/>
              <w:spacing w:after="0" w:line="360" w:lineRule="atLeast"/>
              <w:ind w:firstLine="470" w:firstLineChars="196"/>
              <w:jc w:val="left"/>
              <w:outlineLvl w:val="1"/>
              <w:rPr>
                <w:rFonts w:ascii="宋体" w:hAnsi="宋体" w:cs="宋体"/>
                <w:color w:val="auto"/>
                <w:sz w:val="24"/>
                <w:highlight w:val="none"/>
              </w:rPr>
            </w:pPr>
          </w:p>
        </w:tc>
        <w:tc>
          <w:tcPr>
            <w:tcW w:w="966" w:type="dxa"/>
            <w:gridSpan w:val="2"/>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电话</w:t>
            </w:r>
          </w:p>
        </w:tc>
        <w:tc>
          <w:tcPr>
            <w:tcW w:w="1229" w:type="dxa"/>
            <w:vAlign w:val="center"/>
          </w:tcPr>
          <w:p>
            <w:pPr>
              <w:widowControl/>
              <w:spacing w:after="0" w:line="360" w:lineRule="atLeas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730"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技术负责人</w:t>
            </w:r>
          </w:p>
        </w:tc>
        <w:tc>
          <w:tcPr>
            <w:tcW w:w="1088"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姓名</w:t>
            </w:r>
          </w:p>
        </w:tc>
        <w:tc>
          <w:tcPr>
            <w:tcW w:w="1408" w:type="dxa"/>
            <w:vAlign w:val="center"/>
          </w:tcPr>
          <w:p>
            <w:pPr>
              <w:widowControl/>
              <w:spacing w:after="0" w:line="360" w:lineRule="atLeast"/>
              <w:ind w:firstLine="470" w:firstLineChars="196"/>
              <w:jc w:val="left"/>
              <w:outlineLvl w:val="1"/>
              <w:rPr>
                <w:rFonts w:ascii="宋体" w:hAnsi="宋体" w:cs="宋体"/>
                <w:color w:val="auto"/>
                <w:sz w:val="24"/>
                <w:highlight w:val="none"/>
              </w:rPr>
            </w:pPr>
          </w:p>
        </w:tc>
        <w:tc>
          <w:tcPr>
            <w:tcW w:w="1418"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技术职称</w:t>
            </w:r>
          </w:p>
        </w:tc>
        <w:tc>
          <w:tcPr>
            <w:tcW w:w="1500" w:type="dxa"/>
            <w:vAlign w:val="center"/>
          </w:tcPr>
          <w:p>
            <w:pPr>
              <w:widowControl/>
              <w:spacing w:after="0" w:line="360" w:lineRule="atLeast"/>
              <w:ind w:firstLine="470" w:firstLineChars="196"/>
              <w:jc w:val="left"/>
              <w:outlineLvl w:val="1"/>
              <w:rPr>
                <w:rFonts w:ascii="宋体" w:hAnsi="宋体" w:cs="宋体"/>
                <w:color w:val="auto"/>
                <w:sz w:val="24"/>
                <w:highlight w:val="none"/>
              </w:rPr>
            </w:pPr>
          </w:p>
        </w:tc>
        <w:tc>
          <w:tcPr>
            <w:tcW w:w="966" w:type="dxa"/>
            <w:gridSpan w:val="2"/>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电话</w:t>
            </w:r>
          </w:p>
        </w:tc>
        <w:tc>
          <w:tcPr>
            <w:tcW w:w="1229" w:type="dxa"/>
            <w:vAlign w:val="center"/>
          </w:tcPr>
          <w:p>
            <w:pPr>
              <w:widowControl/>
              <w:spacing w:after="0" w:line="360" w:lineRule="atLeas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trPr>
        <w:tc>
          <w:tcPr>
            <w:tcW w:w="1730"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成立时间</w:t>
            </w:r>
          </w:p>
        </w:tc>
        <w:tc>
          <w:tcPr>
            <w:tcW w:w="2496" w:type="dxa"/>
            <w:gridSpan w:val="2"/>
            <w:vAlign w:val="center"/>
          </w:tcPr>
          <w:p>
            <w:pPr>
              <w:widowControl/>
              <w:spacing w:after="0" w:line="360" w:lineRule="atLeast"/>
              <w:ind w:firstLine="470" w:firstLineChars="196"/>
              <w:jc w:val="left"/>
              <w:outlineLvl w:val="1"/>
              <w:rPr>
                <w:rFonts w:ascii="宋体" w:hAnsi="宋体" w:cs="宋体"/>
                <w:color w:val="auto"/>
                <w:sz w:val="24"/>
                <w:highlight w:val="none"/>
              </w:rPr>
            </w:pPr>
          </w:p>
        </w:tc>
        <w:tc>
          <w:tcPr>
            <w:tcW w:w="5113" w:type="dxa"/>
            <w:gridSpan w:val="5"/>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trPr>
        <w:tc>
          <w:tcPr>
            <w:tcW w:w="1730"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企业资质等级</w:t>
            </w:r>
          </w:p>
        </w:tc>
        <w:tc>
          <w:tcPr>
            <w:tcW w:w="2496" w:type="dxa"/>
            <w:gridSpan w:val="2"/>
            <w:vAlign w:val="center"/>
          </w:tcPr>
          <w:p>
            <w:pPr>
              <w:widowControl/>
              <w:spacing w:after="0" w:line="360" w:lineRule="atLeast"/>
              <w:ind w:firstLine="470" w:firstLineChars="196"/>
              <w:jc w:val="left"/>
              <w:outlineLvl w:val="1"/>
              <w:rPr>
                <w:rFonts w:ascii="宋体" w:hAnsi="宋体" w:cs="宋体"/>
                <w:color w:val="auto"/>
                <w:sz w:val="24"/>
                <w:highlight w:val="none"/>
              </w:rPr>
            </w:pPr>
          </w:p>
        </w:tc>
        <w:tc>
          <w:tcPr>
            <w:tcW w:w="1418" w:type="dxa"/>
            <w:vMerge w:val="restart"/>
            <w:vAlign w:val="center"/>
          </w:tcPr>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其中</w:t>
            </w:r>
          </w:p>
        </w:tc>
        <w:tc>
          <w:tcPr>
            <w:tcW w:w="1680" w:type="dxa"/>
            <w:gridSpan w:val="2"/>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项目经理</w:t>
            </w:r>
          </w:p>
        </w:tc>
        <w:tc>
          <w:tcPr>
            <w:tcW w:w="2015" w:type="dxa"/>
            <w:gridSpan w:val="2"/>
            <w:vAlign w:val="center"/>
          </w:tcPr>
          <w:p>
            <w:pPr>
              <w:widowControl/>
              <w:spacing w:after="0" w:line="360" w:lineRule="atLeas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trPr>
        <w:tc>
          <w:tcPr>
            <w:tcW w:w="1730"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营业执照号</w:t>
            </w:r>
          </w:p>
        </w:tc>
        <w:tc>
          <w:tcPr>
            <w:tcW w:w="2496" w:type="dxa"/>
            <w:gridSpan w:val="2"/>
            <w:vAlign w:val="center"/>
          </w:tcPr>
          <w:p>
            <w:pPr>
              <w:widowControl/>
              <w:spacing w:after="0" w:line="360" w:lineRule="atLeast"/>
              <w:ind w:firstLine="470" w:firstLineChars="196"/>
              <w:jc w:val="left"/>
              <w:outlineLvl w:val="1"/>
              <w:rPr>
                <w:rFonts w:ascii="宋体" w:hAnsi="宋体" w:cs="宋体"/>
                <w:color w:val="auto"/>
                <w:sz w:val="24"/>
                <w:highlight w:val="none"/>
              </w:rPr>
            </w:pPr>
          </w:p>
        </w:tc>
        <w:tc>
          <w:tcPr>
            <w:tcW w:w="1418" w:type="dxa"/>
            <w:vMerge w:val="continue"/>
            <w:vAlign w:val="center"/>
          </w:tcPr>
          <w:p>
            <w:pPr>
              <w:spacing w:after="0"/>
              <w:rPr>
                <w:rFonts w:ascii="宋体" w:hAnsi="宋体" w:cs="宋体"/>
                <w:color w:val="auto"/>
                <w:highlight w:val="none"/>
              </w:rPr>
            </w:pPr>
          </w:p>
        </w:tc>
        <w:tc>
          <w:tcPr>
            <w:tcW w:w="1680" w:type="dxa"/>
            <w:gridSpan w:val="2"/>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高级职称人员</w:t>
            </w:r>
          </w:p>
        </w:tc>
        <w:tc>
          <w:tcPr>
            <w:tcW w:w="2015" w:type="dxa"/>
            <w:gridSpan w:val="2"/>
            <w:vAlign w:val="center"/>
          </w:tcPr>
          <w:p>
            <w:pPr>
              <w:widowControl/>
              <w:spacing w:after="0" w:line="360" w:lineRule="atLeas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trPr>
        <w:tc>
          <w:tcPr>
            <w:tcW w:w="1730"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注册资金</w:t>
            </w:r>
          </w:p>
        </w:tc>
        <w:tc>
          <w:tcPr>
            <w:tcW w:w="2496" w:type="dxa"/>
            <w:gridSpan w:val="2"/>
            <w:vAlign w:val="center"/>
          </w:tcPr>
          <w:p>
            <w:pPr>
              <w:widowControl/>
              <w:spacing w:after="0" w:line="360" w:lineRule="atLeast"/>
              <w:ind w:firstLine="470" w:firstLineChars="196"/>
              <w:jc w:val="left"/>
              <w:outlineLvl w:val="1"/>
              <w:rPr>
                <w:rFonts w:ascii="宋体" w:hAnsi="宋体" w:cs="宋体"/>
                <w:color w:val="auto"/>
                <w:sz w:val="24"/>
                <w:highlight w:val="none"/>
              </w:rPr>
            </w:pPr>
          </w:p>
        </w:tc>
        <w:tc>
          <w:tcPr>
            <w:tcW w:w="1418" w:type="dxa"/>
            <w:vMerge w:val="continue"/>
            <w:vAlign w:val="center"/>
          </w:tcPr>
          <w:p>
            <w:pPr>
              <w:spacing w:after="0"/>
              <w:rPr>
                <w:rFonts w:ascii="宋体" w:hAnsi="宋体" w:cs="宋体"/>
                <w:color w:val="auto"/>
                <w:highlight w:val="none"/>
              </w:rPr>
            </w:pPr>
          </w:p>
        </w:tc>
        <w:tc>
          <w:tcPr>
            <w:tcW w:w="1680" w:type="dxa"/>
            <w:gridSpan w:val="2"/>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中级职称人员</w:t>
            </w:r>
          </w:p>
        </w:tc>
        <w:tc>
          <w:tcPr>
            <w:tcW w:w="2015" w:type="dxa"/>
            <w:gridSpan w:val="2"/>
            <w:vAlign w:val="center"/>
          </w:tcPr>
          <w:p>
            <w:pPr>
              <w:widowControl/>
              <w:spacing w:after="0" w:line="360" w:lineRule="atLeas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trPr>
        <w:tc>
          <w:tcPr>
            <w:tcW w:w="1730"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开户银行</w:t>
            </w:r>
          </w:p>
        </w:tc>
        <w:tc>
          <w:tcPr>
            <w:tcW w:w="2496" w:type="dxa"/>
            <w:gridSpan w:val="2"/>
            <w:vAlign w:val="center"/>
          </w:tcPr>
          <w:p>
            <w:pPr>
              <w:widowControl/>
              <w:spacing w:after="0" w:line="360" w:lineRule="atLeast"/>
              <w:ind w:firstLine="470" w:firstLineChars="196"/>
              <w:jc w:val="left"/>
              <w:outlineLvl w:val="1"/>
              <w:rPr>
                <w:rFonts w:ascii="宋体" w:hAnsi="宋体" w:cs="宋体"/>
                <w:color w:val="auto"/>
                <w:sz w:val="24"/>
                <w:highlight w:val="none"/>
              </w:rPr>
            </w:pPr>
          </w:p>
        </w:tc>
        <w:tc>
          <w:tcPr>
            <w:tcW w:w="1418" w:type="dxa"/>
            <w:vMerge w:val="continue"/>
            <w:vAlign w:val="center"/>
          </w:tcPr>
          <w:p>
            <w:pPr>
              <w:spacing w:after="0"/>
              <w:rPr>
                <w:rFonts w:ascii="宋体" w:hAnsi="宋体" w:cs="宋体"/>
                <w:color w:val="auto"/>
                <w:highlight w:val="none"/>
              </w:rPr>
            </w:pPr>
          </w:p>
        </w:tc>
        <w:tc>
          <w:tcPr>
            <w:tcW w:w="1680" w:type="dxa"/>
            <w:gridSpan w:val="2"/>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初级职称人员</w:t>
            </w:r>
          </w:p>
        </w:tc>
        <w:tc>
          <w:tcPr>
            <w:tcW w:w="2015" w:type="dxa"/>
            <w:gridSpan w:val="2"/>
            <w:vAlign w:val="center"/>
          </w:tcPr>
          <w:p>
            <w:pPr>
              <w:widowControl/>
              <w:spacing w:after="0" w:line="360" w:lineRule="atLeas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trPr>
        <w:tc>
          <w:tcPr>
            <w:tcW w:w="1730" w:type="dxa"/>
            <w:vAlign w:val="center"/>
          </w:tcPr>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账号</w:t>
            </w:r>
          </w:p>
        </w:tc>
        <w:tc>
          <w:tcPr>
            <w:tcW w:w="2496" w:type="dxa"/>
            <w:gridSpan w:val="2"/>
            <w:vAlign w:val="center"/>
          </w:tcPr>
          <w:p>
            <w:pPr>
              <w:widowControl/>
              <w:spacing w:after="0" w:line="360" w:lineRule="atLeast"/>
              <w:ind w:firstLine="470" w:firstLineChars="196"/>
              <w:jc w:val="left"/>
              <w:outlineLvl w:val="1"/>
              <w:rPr>
                <w:rFonts w:ascii="宋体" w:hAnsi="宋体" w:cs="宋体"/>
                <w:color w:val="auto"/>
                <w:sz w:val="24"/>
                <w:highlight w:val="none"/>
              </w:rPr>
            </w:pPr>
          </w:p>
        </w:tc>
        <w:tc>
          <w:tcPr>
            <w:tcW w:w="1418" w:type="dxa"/>
            <w:vMerge w:val="continue"/>
            <w:vAlign w:val="center"/>
          </w:tcPr>
          <w:p>
            <w:pPr>
              <w:spacing w:after="0"/>
              <w:rPr>
                <w:rFonts w:ascii="宋体" w:hAnsi="宋体" w:cs="宋体"/>
                <w:color w:val="auto"/>
                <w:highlight w:val="none"/>
              </w:rPr>
            </w:pPr>
          </w:p>
        </w:tc>
        <w:tc>
          <w:tcPr>
            <w:tcW w:w="1680" w:type="dxa"/>
            <w:gridSpan w:val="2"/>
            <w:vAlign w:val="center"/>
          </w:tcPr>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技工</w:t>
            </w:r>
          </w:p>
        </w:tc>
        <w:tc>
          <w:tcPr>
            <w:tcW w:w="2015" w:type="dxa"/>
            <w:gridSpan w:val="2"/>
            <w:vAlign w:val="center"/>
          </w:tcPr>
          <w:p>
            <w:pPr>
              <w:widowControl/>
              <w:spacing w:after="0" w:line="360" w:lineRule="atLeas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95" w:hRule="atLeast"/>
        </w:trPr>
        <w:tc>
          <w:tcPr>
            <w:tcW w:w="1730" w:type="dxa"/>
            <w:vAlign w:val="center"/>
          </w:tcPr>
          <w:p>
            <w:pPr>
              <w:widowControl/>
              <w:spacing w:after="0"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经营范围</w:t>
            </w:r>
          </w:p>
        </w:tc>
        <w:tc>
          <w:tcPr>
            <w:tcW w:w="7609" w:type="dxa"/>
            <w:gridSpan w:val="7"/>
            <w:vAlign w:val="center"/>
          </w:tcPr>
          <w:p>
            <w:pPr>
              <w:widowControl/>
              <w:spacing w:after="0" w:line="360" w:lineRule="atLeast"/>
              <w:ind w:firstLine="470" w:firstLineChars="196"/>
              <w:jc w:val="left"/>
              <w:outlineLvl w:val="1"/>
              <w:rPr>
                <w:rFonts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31" w:hRule="atLeast"/>
        </w:trPr>
        <w:tc>
          <w:tcPr>
            <w:tcW w:w="1730" w:type="dxa"/>
          </w:tcPr>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备注</w:t>
            </w:r>
          </w:p>
        </w:tc>
        <w:tc>
          <w:tcPr>
            <w:tcW w:w="7609" w:type="dxa"/>
            <w:gridSpan w:val="7"/>
          </w:tcPr>
          <w:p>
            <w:pPr>
              <w:widowControl/>
              <w:spacing w:after="0" w:line="360" w:lineRule="atLeast"/>
              <w:ind w:firstLine="470" w:firstLineChars="196"/>
              <w:jc w:val="left"/>
              <w:outlineLvl w:val="1"/>
              <w:rPr>
                <w:rFonts w:ascii="宋体" w:hAnsi="宋体" w:cs="宋体"/>
                <w:color w:val="auto"/>
                <w:sz w:val="24"/>
                <w:highlight w:val="none"/>
              </w:rPr>
            </w:pPr>
          </w:p>
        </w:tc>
      </w:tr>
    </w:tbl>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投标人名称：XXXX（单位盖章）。</w:t>
      </w:r>
    </w:p>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法定代表人/单位负责人或授权代表（签字或加盖个人名章）：XXXX。</w:t>
      </w:r>
    </w:p>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投标日期: XXXX。</w:t>
      </w:r>
    </w:p>
    <w:p>
      <w:pPr>
        <w:spacing w:line="360" w:lineRule="auto"/>
        <w:rPr>
          <w:rFonts w:ascii="宋体" w:hAnsi="宋体" w:cs="宋体"/>
          <w:b/>
          <w:color w:val="auto"/>
          <w:sz w:val="32"/>
          <w:szCs w:val="32"/>
          <w:highlight w:val="none"/>
        </w:rPr>
      </w:pPr>
      <w:bookmarkStart w:id="169" w:name="_Toc217446089"/>
      <w:r>
        <w:rPr>
          <w:rFonts w:hint="eastAsia" w:ascii="宋体" w:hAnsi="宋体" w:cs="宋体"/>
          <w:b/>
          <w:color w:val="auto"/>
          <w:sz w:val="36"/>
          <w:szCs w:val="36"/>
          <w:highlight w:val="none"/>
        </w:rPr>
        <w:br w:type="page"/>
      </w:r>
      <w:r>
        <w:rPr>
          <w:rFonts w:hint="eastAsia" w:ascii="宋体" w:hAnsi="宋体" w:cs="宋体"/>
          <w:b/>
          <w:color w:val="auto"/>
          <w:sz w:val="32"/>
          <w:szCs w:val="32"/>
          <w:highlight w:val="none"/>
        </w:rPr>
        <w:t>格式2-7</w:t>
      </w:r>
    </w:p>
    <w:p>
      <w:pPr>
        <w:widowControl/>
        <w:spacing w:line="360" w:lineRule="atLeast"/>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六、类似项目业绩一览表</w:t>
      </w:r>
      <w:bookmarkEnd w:id="169"/>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97"/>
        <w:gridCol w:w="1595"/>
        <w:gridCol w:w="1462"/>
        <w:gridCol w:w="2062"/>
        <w:gridCol w:w="1406"/>
        <w:gridCol w:w="12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0" w:hRule="atLeast"/>
          <w:jc w:val="center"/>
        </w:trPr>
        <w:tc>
          <w:tcPr>
            <w:tcW w:w="797" w:type="dxa"/>
            <w:tcBorders>
              <w:top w:val="single" w:color="auto" w:sz="4" w:space="0"/>
            </w:tcBorders>
            <w:vAlign w:val="center"/>
          </w:tcPr>
          <w:p>
            <w:pPr>
              <w:widowControl/>
              <w:spacing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序号</w:t>
            </w:r>
          </w:p>
        </w:tc>
        <w:tc>
          <w:tcPr>
            <w:tcW w:w="1595" w:type="dxa"/>
            <w:vAlign w:val="center"/>
          </w:tcPr>
          <w:p>
            <w:pPr>
              <w:widowControl/>
              <w:spacing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用户名称</w:t>
            </w:r>
          </w:p>
        </w:tc>
        <w:tc>
          <w:tcPr>
            <w:tcW w:w="1462" w:type="dxa"/>
            <w:vAlign w:val="center"/>
          </w:tcPr>
          <w:p>
            <w:pPr>
              <w:widowControl/>
              <w:spacing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项目名称</w:t>
            </w:r>
          </w:p>
        </w:tc>
        <w:tc>
          <w:tcPr>
            <w:tcW w:w="2062" w:type="dxa"/>
            <w:vAlign w:val="center"/>
          </w:tcPr>
          <w:p>
            <w:pPr>
              <w:widowControl/>
              <w:spacing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合同签订时间</w:t>
            </w:r>
          </w:p>
        </w:tc>
        <w:tc>
          <w:tcPr>
            <w:tcW w:w="1406" w:type="dxa"/>
            <w:vAlign w:val="center"/>
          </w:tcPr>
          <w:p>
            <w:pPr>
              <w:widowControl/>
              <w:spacing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合同金额</w:t>
            </w:r>
          </w:p>
        </w:tc>
        <w:tc>
          <w:tcPr>
            <w:tcW w:w="1215" w:type="dxa"/>
            <w:tcBorders>
              <w:left w:val="single" w:color="auto" w:sz="4" w:space="0"/>
            </w:tcBorders>
            <w:vAlign w:val="center"/>
          </w:tcPr>
          <w:p>
            <w:pPr>
              <w:widowControl/>
              <w:spacing w:line="360" w:lineRule="atLeast"/>
              <w:jc w:val="left"/>
              <w:outlineLvl w:val="1"/>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6" w:hRule="atLeast"/>
          <w:jc w:val="center"/>
        </w:trPr>
        <w:tc>
          <w:tcPr>
            <w:tcW w:w="797"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595"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62"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2062"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06"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215" w:type="dxa"/>
            <w:tcBorders>
              <w:lef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6" w:hRule="atLeast"/>
          <w:jc w:val="center"/>
        </w:trPr>
        <w:tc>
          <w:tcPr>
            <w:tcW w:w="797"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595"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62"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2062"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06"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215" w:type="dxa"/>
            <w:tcBorders>
              <w:lef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6" w:hRule="atLeast"/>
          <w:jc w:val="center"/>
        </w:trPr>
        <w:tc>
          <w:tcPr>
            <w:tcW w:w="797"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595"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62"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2062"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06"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215" w:type="dxa"/>
            <w:tcBorders>
              <w:lef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6" w:hRule="atLeast"/>
          <w:jc w:val="center"/>
        </w:trPr>
        <w:tc>
          <w:tcPr>
            <w:tcW w:w="797"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595" w:type="dxa"/>
            <w:tcBorders>
              <w:righ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62" w:type="dxa"/>
            <w:tcBorders>
              <w:lef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2062"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06"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215" w:type="dxa"/>
            <w:tcBorders>
              <w:lef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6" w:hRule="atLeast"/>
          <w:jc w:val="center"/>
        </w:trPr>
        <w:tc>
          <w:tcPr>
            <w:tcW w:w="797" w:type="dxa"/>
            <w:tcBorders>
              <w:righ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595"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62"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2062"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06" w:type="dxa"/>
            <w:tcBorders>
              <w:left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215" w:type="dxa"/>
            <w:tcBorders>
              <w:lef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6" w:hRule="atLeast"/>
          <w:jc w:val="center"/>
        </w:trPr>
        <w:tc>
          <w:tcPr>
            <w:tcW w:w="797"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595"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62"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2062"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06" w:type="dxa"/>
            <w:tcBorders>
              <w:righ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215" w:type="dxa"/>
            <w:tcBorders>
              <w:lef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6" w:hRule="atLeast"/>
          <w:jc w:val="center"/>
        </w:trPr>
        <w:tc>
          <w:tcPr>
            <w:tcW w:w="797"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595"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62"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2062"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06" w:type="dxa"/>
            <w:tcBorders>
              <w:righ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215" w:type="dxa"/>
            <w:tcBorders>
              <w:lef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6" w:hRule="atLeast"/>
          <w:jc w:val="center"/>
        </w:trPr>
        <w:tc>
          <w:tcPr>
            <w:tcW w:w="797"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595"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62"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2062" w:type="dxa"/>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06" w:type="dxa"/>
            <w:tcBorders>
              <w:righ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215" w:type="dxa"/>
            <w:tcBorders>
              <w:lef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35" w:hRule="atLeast"/>
          <w:jc w:val="center"/>
        </w:trPr>
        <w:tc>
          <w:tcPr>
            <w:tcW w:w="797" w:type="dxa"/>
            <w:tcBorders>
              <w:bottom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595" w:type="dxa"/>
            <w:tcBorders>
              <w:bottom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62" w:type="dxa"/>
            <w:tcBorders>
              <w:bottom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2062" w:type="dxa"/>
            <w:tcBorders>
              <w:bottom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06" w:type="dxa"/>
            <w:tcBorders>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215" w:type="dxa"/>
            <w:tcBorders>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6" w:hRule="atLeast"/>
          <w:jc w:val="center"/>
        </w:trPr>
        <w:tc>
          <w:tcPr>
            <w:tcW w:w="797"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595"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62"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2062"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06" w:type="dxa"/>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6" w:hRule="atLeast"/>
          <w:jc w:val="center"/>
        </w:trPr>
        <w:tc>
          <w:tcPr>
            <w:tcW w:w="797"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595"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62"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2062" w:type="dxa"/>
            <w:tcBorders>
              <w:top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406" w:type="dxa"/>
            <w:tcBorders>
              <w:top w:val="single" w:color="auto" w:sz="4" w:space="0"/>
              <w:bottom w:val="single" w:color="auto" w:sz="4" w:space="0"/>
              <w:right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tcBorders>
            <w:vAlign w:val="center"/>
          </w:tcPr>
          <w:p>
            <w:pPr>
              <w:widowControl/>
              <w:spacing w:line="360" w:lineRule="atLeast"/>
              <w:ind w:firstLine="470" w:firstLineChars="196"/>
              <w:jc w:val="left"/>
              <w:outlineLvl w:val="1"/>
              <w:rPr>
                <w:rFonts w:ascii="宋体" w:hAnsi="宋体" w:cs="宋体"/>
                <w:color w:val="auto"/>
                <w:sz w:val="24"/>
                <w:highlight w:val="none"/>
              </w:rPr>
            </w:pPr>
          </w:p>
        </w:tc>
      </w:tr>
    </w:tbl>
    <w:p>
      <w:pPr>
        <w:widowControl/>
        <w:spacing w:line="360" w:lineRule="atLeast"/>
        <w:ind w:firstLine="470" w:firstLineChars="196"/>
        <w:jc w:val="left"/>
        <w:outlineLvl w:val="1"/>
        <w:rPr>
          <w:rFonts w:ascii="宋体" w:hAnsi="宋体" w:cs="宋体"/>
          <w:color w:val="auto"/>
          <w:sz w:val="24"/>
          <w:highlight w:val="none"/>
        </w:rPr>
      </w:pP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注：按综合评分明细表要求提供相关证明材料。</w:t>
      </w:r>
    </w:p>
    <w:p>
      <w:pPr>
        <w:widowControl/>
        <w:spacing w:line="360" w:lineRule="atLeast"/>
        <w:ind w:firstLine="470" w:firstLineChars="196"/>
        <w:jc w:val="left"/>
        <w:outlineLvl w:val="1"/>
        <w:rPr>
          <w:rFonts w:ascii="宋体" w:hAnsi="宋体" w:cs="宋体"/>
          <w:color w:val="auto"/>
          <w:sz w:val="24"/>
          <w:highlight w:val="none"/>
        </w:rPr>
      </w:pP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投标人名称：XXXX（单位盖章）。</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法定代表人/单位负责人或授权代表（签字或加盖个人名章）：XXXX。</w:t>
      </w:r>
    </w:p>
    <w:p>
      <w:pPr>
        <w:widowControl/>
        <w:spacing w:line="360" w:lineRule="atLeast"/>
        <w:ind w:firstLine="480" w:firstLineChars="200"/>
        <w:jc w:val="left"/>
        <w:outlineLvl w:val="1"/>
        <w:rPr>
          <w:rFonts w:ascii="宋体" w:hAnsi="宋体" w:cs="宋体"/>
          <w:b/>
          <w:color w:val="auto"/>
          <w:sz w:val="32"/>
          <w:szCs w:val="32"/>
          <w:highlight w:val="none"/>
        </w:rPr>
      </w:pPr>
      <w:r>
        <w:rPr>
          <w:rFonts w:hint="eastAsia" w:ascii="宋体" w:hAnsi="宋体" w:cs="宋体"/>
          <w:color w:val="auto"/>
          <w:sz w:val="24"/>
          <w:highlight w:val="none"/>
        </w:rPr>
        <w:t>投标日期: XXXX。</w:t>
      </w:r>
      <w:bookmarkStart w:id="170" w:name="_Toc217446090"/>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格式2-8</w:t>
      </w:r>
    </w:p>
    <w:p>
      <w:pPr>
        <w:widowControl/>
        <w:spacing w:line="360" w:lineRule="atLeast"/>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七、投标产品技术参数要求应答表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04"/>
        <w:gridCol w:w="2200"/>
        <w:gridCol w:w="2212"/>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pPr>
              <w:widowControl/>
              <w:spacing w:line="360" w:lineRule="atLeast"/>
              <w:jc w:val="center"/>
              <w:outlineLvl w:val="1"/>
              <w:rPr>
                <w:rFonts w:ascii="宋体" w:hAnsi="宋体" w:cs="宋体"/>
                <w:color w:val="auto"/>
                <w:sz w:val="24"/>
                <w:highlight w:val="none"/>
              </w:rPr>
            </w:pPr>
            <w:r>
              <w:rPr>
                <w:rFonts w:hint="eastAsia" w:ascii="宋体" w:hAnsi="宋体" w:cs="宋体"/>
                <w:color w:val="auto"/>
                <w:sz w:val="24"/>
                <w:highlight w:val="none"/>
              </w:rPr>
              <w:t>序号</w:t>
            </w:r>
          </w:p>
        </w:tc>
        <w:tc>
          <w:tcPr>
            <w:tcW w:w="1704" w:type="dxa"/>
            <w:vAlign w:val="center"/>
          </w:tcPr>
          <w:p>
            <w:pPr>
              <w:widowControl/>
              <w:spacing w:line="360" w:lineRule="atLeast"/>
              <w:jc w:val="center"/>
              <w:outlineLvl w:val="1"/>
              <w:rPr>
                <w:rFonts w:ascii="宋体" w:hAnsi="宋体" w:cs="宋体"/>
                <w:color w:val="auto"/>
                <w:sz w:val="24"/>
                <w:highlight w:val="none"/>
              </w:rPr>
            </w:pPr>
            <w:r>
              <w:rPr>
                <w:rFonts w:hint="eastAsia" w:ascii="宋体" w:hAnsi="宋体" w:cs="宋体"/>
                <w:color w:val="auto"/>
                <w:sz w:val="24"/>
                <w:highlight w:val="none"/>
              </w:rPr>
              <w:t>产品名称</w:t>
            </w:r>
          </w:p>
        </w:tc>
        <w:tc>
          <w:tcPr>
            <w:tcW w:w="2200" w:type="dxa"/>
            <w:vAlign w:val="center"/>
          </w:tcPr>
          <w:p>
            <w:pPr>
              <w:widowControl/>
              <w:spacing w:line="360" w:lineRule="atLeast"/>
              <w:jc w:val="center"/>
              <w:outlineLvl w:val="1"/>
              <w:rPr>
                <w:rFonts w:ascii="宋体" w:hAnsi="宋体" w:cs="宋体"/>
                <w:color w:val="auto"/>
                <w:sz w:val="24"/>
                <w:highlight w:val="none"/>
              </w:rPr>
            </w:pPr>
            <w:r>
              <w:rPr>
                <w:rFonts w:hint="eastAsia" w:ascii="宋体" w:hAnsi="宋体" w:cs="宋体"/>
                <w:color w:val="auto"/>
                <w:sz w:val="24"/>
                <w:highlight w:val="none"/>
              </w:rPr>
              <w:t>招标文件技术参数</w:t>
            </w:r>
          </w:p>
        </w:tc>
        <w:tc>
          <w:tcPr>
            <w:tcW w:w="2212" w:type="dxa"/>
            <w:vAlign w:val="center"/>
          </w:tcPr>
          <w:p>
            <w:pPr>
              <w:widowControl/>
              <w:spacing w:line="360" w:lineRule="atLeast"/>
              <w:jc w:val="center"/>
              <w:outlineLvl w:val="1"/>
              <w:rPr>
                <w:rFonts w:ascii="宋体" w:hAnsi="宋体" w:cs="宋体"/>
                <w:color w:val="auto"/>
                <w:sz w:val="24"/>
                <w:highlight w:val="none"/>
              </w:rPr>
            </w:pPr>
            <w:r>
              <w:rPr>
                <w:rFonts w:hint="eastAsia" w:ascii="宋体" w:hAnsi="宋体" w:cs="宋体"/>
                <w:color w:val="auto"/>
                <w:sz w:val="24"/>
                <w:highlight w:val="none"/>
              </w:rPr>
              <w:t>投标产品技术参数</w:t>
            </w:r>
          </w:p>
        </w:tc>
        <w:tc>
          <w:tcPr>
            <w:tcW w:w="1738" w:type="dxa"/>
            <w:vAlign w:val="center"/>
          </w:tcPr>
          <w:p>
            <w:pPr>
              <w:widowControl/>
              <w:spacing w:line="360" w:lineRule="atLeast"/>
              <w:jc w:val="center"/>
              <w:outlineLvl w:val="1"/>
              <w:rPr>
                <w:rFonts w:ascii="宋体" w:hAnsi="宋体" w:cs="宋体"/>
                <w:color w:val="auto"/>
                <w:sz w:val="24"/>
                <w:highlight w:val="none"/>
              </w:rPr>
            </w:pPr>
            <w:r>
              <w:rPr>
                <w:rFonts w:hint="eastAsia" w:ascii="宋体" w:hAnsi="宋体" w:cs="宋体"/>
                <w:color w:val="auto"/>
                <w:sz w:val="24"/>
                <w:highlight w:val="none"/>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widowControl/>
              <w:spacing w:line="360" w:lineRule="atLeast"/>
              <w:ind w:firstLine="470" w:firstLineChars="196"/>
              <w:jc w:val="left"/>
              <w:outlineLvl w:val="1"/>
              <w:rPr>
                <w:rFonts w:ascii="宋体" w:hAnsi="宋体" w:cs="宋体"/>
                <w:color w:val="auto"/>
                <w:sz w:val="24"/>
                <w:highlight w:val="none"/>
              </w:rPr>
            </w:pPr>
          </w:p>
        </w:tc>
        <w:tc>
          <w:tcPr>
            <w:tcW w:w="1704" w:type="dxa"/>
          </w:tcPr>
          <w:p>
            <w:pPr>
              <w:widowControl/>
              <w:spacing w:line="360" w:lineRule="atLeast"/>
              <w:ind w:firstLine="470" w:firstLineChars="196"/>
              <w:jc w:val="left"/>
              <w:outlineLvl w:val="1"/>
              <w:rPr>
                <w:rFonts w:ascii="宋体" w:hAnsi="宋体" w:cs="宋体"/>
                <w:color w:val="auto"/>
                <w:sz w:val="24"/>
                <w:highlight w:val="none"/>
              </w:rPr>
            </w:pPr>
          </w:p>
        </w:tc>
        <w:tc>
          <w:tcPr>
            <w:tcW w:w="2200" w:type="dxa"/>
          </w:tcPr>
          <w:p>
            <w:pPr>
              <w:widowControl/>
              <w:spacing w:line="360" w:lineRule="atLeast"/>
              <w:ind w:firstLine="470" w:firstLineChars="196"/>
              <w:jc w:val="left"/>
              <w:outlineLvl w:val="1"/>
              <w:rPr>
                <w:rFonts w:ascii="宋体" w:hAnsi="宋体" w:cs="宋体"/>
                <w:color w:val="auto"/>
                <w:sz w:val="24"/>
                <w:highlight w:val="none"/>
              </w:rPr>
            </w:pPr>
          </w:p>
        </w:tc>
        <w:tc>
          <w:tcPr>
            <w:tcW w:w="2212" w:type="dxa"/>
          </w:tcPr>
          <w:p>
            <w:pPr>
              <w:widowControl/>
              <w:spacing w:line="360" w:lineRule="atLeast"/>
              <w:ind w:firstLine="470" w:firstLineChars="196"/>
              <w:jc w:val="left"/>
              <w:outlineLvl w:val="1"/>
              <w:rPr>
                <w:rFonts w:ascii="宋体" w:hAnsi="宋体" w:cs="宋体"/>
                <w:color w:val="auto"/>
                <w:sz w:val="24"/>
                <w:highlight w:val="none"/>
              </w:rPr>
            </w:pPr>
          </w:p>
        </w:tc>
        <w:tc>
          <w:tcPr>
            <w:tcW w:w="1738" w:type="dxa"/>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widowControl/>
              <w:spacing w:line="360" w:lineRule="atLeast"/>
              <w:ind w:firstLine="470" w:firstLineChars="196"/>
              <w:jc w:val="left"/>
              <w:outlineLvl w:val="1"/>
              <w:rPr>
                <w:rFonts w:ascii="宋体" w:hAnsi="宋体" w:cs="宋体"/>
                <w:color w:val="auto"/>
                <w:sz w:val="24"/>
                <w:highlight w:val="none"/>
              </w:rPr>
            </w:pPr>
          </w:p>
        </w:tc>
        <w:tc>
          <w:tcPr>
            <w:tcW w:w="1704" w:type="dxa"/>
          </w:tcPr>
          <w:p>
            <w:pPr>
              <w:widowControl/>
              <w:spacing w:line="360" w:lineRule="atLeast"/>
              <w:ind w:firstLine="470" w:firstLineChars="196"/>
              <w:jc w:val="left"/>
              <w:outlineLvl w:val="1"/>
              <w:rPr>
                <w:rFonts w:ascii="宋体" w:hAnsi="宋体" w:cs="宋体"/>
                <w:color w:val="auto"/>
                <w:sz w:val="24"/>
                <w:highlight w:val="none"/>
              </w:rPr>
            </w:pPr>
          </w:p>
        </w:tc>
        <w:tc>
          <w:tcPr>
            <w:tcW w:w="2200" w:type="dxa"/>
          </w:tcPr>
          <w:p>
            <w:pPr>
              <w:widowControl/>
              <w:spacing w:line="360" w:lineRule="atLeast"/>
              <w:ind w:firstLine="470" w:firstLineChars="196"/>
              <w:jc w:val="left"/>
              <w:outlineLvl w:val="1"/>
              <w:rPr>
                <w:rFonts w:ascii="宋体" w:hAnsi="宋体" w:cs="宋体"/>
                <w:color w:val="auto"/>
                <w:sz w:val="24"/>
                <w:highlight w:val="none"/>
              </w:rPr>
            </w:pPr>
          </w:p>
        </w:tc>
        <w:tc>
          <w:tcPr>
            <w:tcW w:w="2212" w:type="dxa"/>
          </w:tcPr>
          <w:p>
            <w:pPr>
              <w:widowControl/>
              <w:spacing w:line="360" w:lineRule="atLeast"/>
              <w:ind w:firstLine="470" w:firstLineChars="196"/>
              <w:jc w:val="left"/>
              <w:outlineLvl w:val="1"/>
              <w:rPr>
                <w:rFonts w:ascii="宋体" w:hAnsi="宋体" w:cs="宋体"/>
                <w:color w:val="auto"/>
                <w:sz w:val="24"/>
                <w:highlight w:val="none"/>
              </w:rPr>
            </w:pPr>
          </w:p>
        </w:tc>
        <w:tc>
          <w:tcPr>
            <w:tcW w:w="1738" w:type="dxa"/>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widowControl/>
              <w:spacing w:line="360" w:lineRule="atLeast"/>
              <w:ind w:firstLine="470" w:firstLineChars="196"/>
              <w:jc w:val="left"/>
              <w:outlineLvl w:val="1"/>
              <w:rPr>
                <w:rFonts w:ascii="宋体" w:hAnsi="宋体" w:cs="宋体"/>
                <w:color w:val="auto"/>
                <w:sz w:val="24"/>
                <w:highlight w:val="none"/>
              </w:rPr>
            </w:pPr>
          </w:p>
        </w:tc>
        <w:tc>
          <w:tcPr>
            <w:tcW w:w="1704" w:type="dxa"/>
          </w:tcPr>
          <w:p>
            <w:pPr>
              <w:widowControl/>
              <w:spacing w:line="360" w:lineRule="atLeast"/>
              <w:ind w:firstLine="470" w:firstLineChars="196"/>
              <w:jc w:val="left"/>
              <w:outlineLvl w:val="1"/>
              <w:rPr>
                <w:rFonts w:ascii="宋体" w:hAnsi="宋体" w:cs="宋体"/>
                <w:color w:val="auto"/>
                <w:sz w:val="24"/>
                <w:highlight w:val="none"/>
              </w:rPr>
            </w:pPr>
          </w:p>
        </w:tc>
        <w:tc>
          <w:tcPr>
            <w:tcW w:w="2200" w:type="dxa"/>
          </w:tcPr>
          <w:p>
            <w:pPr>
              <w:widowControl/>
              <w:spacing w:line="360" w:lineRule="atLeast"/>
              <w:ind w:firstLine="470" w:firstLineChars="196"/>
              <w:jc w:val="left"/>
              <w:outlineLvl w:val="1"/>
              <w:rPr>
                <w:rFonts w:ascii="宋体" w:hAnsi="宋体" w:cs="宋体"/>
                <w:color w:val="auto"/>
                <w:sz w:val="24"/>
                <w:highlight w:val="none"/>
              </w:rPr>
            </w:pPr>
          </w:p>
        </w:tc>
        <w:tc>
          <w:tcPr>
            <w:tcW w:w="2212" w:type="dxa"/>
          </w:tcPr>
          <w:p>
            <w:pPr>
              <w:widowControl/>
              <w:spacing w:line="360" w:lineRule="atLeast"/>
              <w:ind w:firstLine="470" w:firstLineChars="196"/>
              <w:jc w:val="left"/>
              <w:outlineLvl w:val="1"/>
              <w:rPr>
                <w:rFonts w:ascii="宋体" w:hAnsi="宋体" w:cs="宋体"/>
                <w:color w:val="auto"/>
                <w:sz w:val="24"/>
                <w:highlight w:val="none"/>
              </w:rPr>
            </w:pPr>
          </w:p>
        </w:tc>
        <w:tc>
          <w:tcPr>
            <w:tcW w:w="1738" w:type="dxa"/>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widowControl/>
              <w:spacing w:line="360" w:lineRule="atLeast"/>
              <w:ind w:firstLine="470" w:firstLineChars="196"/>
              <w:jc w:val="left"/>
              <w:outlineLvl w:val="1"/>
              <w:rPr>
                <w:rFonts w:ascii="宋体" w:hAnsi="宋体" w:cs="宋体"/>
                <w:color w:val="auto"/>
                <w:sz w:val="24"/>
                <w:highlight w:val="none"/>
              </w:rPr>
            </w:pPr>
          </w:p>
        </w:tc>
        <w:tc>
          <w:tcPr>
            <w:tcW w:w="1704" w:type="dxa"/>
          </w:tcPr>
          <w:p>
            <w:pPr>
              <w:widowControl/>
              <w:spacing w:line="360" w:lineRule="atLeast"/>
              <w:ind w:firstLine="470" w:firstLineChars="196"/>
              <w:jc w:val="left"/>
              <w:outlineLvl w:val="1"/>
              <w:rPr>
                <w:rFonts w:ascii="宋体" w:hAnsi="宋体" w:cs="宋体"/>
                <w:color w:val="auto"/>
                <w:sz w:val="24"/>
                <w:highlight w:val="none"/>
              </w:rPr>
            </w:pPr>
          </w:p>
        </w:tc>
        <w:tc>
          <w:tcPr>
            <w:tcW w:w="2200" w:type="dxa"/>
          </w:tcPr>
          <w:p>
            <w:pPr>
              <w:widowControl/>
              <w:spacing w:line="360" w:lineRule="atLeast"/>
              <w:ind w:firstLine="470" w:firstLineChars="196"/>
              <w:jc w:val="left"/>
              <w:outlineLvl w:val="1"/>
              <w:rPr>
                <w:rFonts w:ascii="宋体" w:hAnsi="宋体" w:cs="宋体"/>
                <w:color w:val="auto"/>
                <w:sz w:val="24"/>
                <w:highlight w:val="none"/>
              </w:rPr>
            </w:pPr>
          </w:p>
        </w:tc>
        <w:tc>
          <w:tcPr>
            <w:tcW w:w="2212" w:type="dxa"/>
          </w:tcPr>
          <w:p>
            <w:pPr>
              <w:widowControl/>
              <w:spacing w:line="360" w:lineRule="atLeast"/>
              <w:ind w:firstLine="470" w:firstLineChars="196"/>
              <w:jc w:val="left"/>
              <w:outlineLvl w:val="1"/>
              <w:rPr>
                <w:rFonts w:ascii="宋体" w:hAnsi="宋体" w:cs="宋体"/>
                <w:color w:val="auto"/>
                <w:sz w:val="24"/>
                <w:highlight w:val="none"/>
              </w:rPr>
            </w:pPr>
          </w:p>
        </w:tc>
        <w:tc>
          <w:tcPr>
            <w:tcW w:w="1738" w:type="dxa"/>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widowControl/>
              <w:spacing w:line="360" w:lineRule="atLeast"/>
              <w:ind w:firstLine="470" w:firstLineChars="196"/>
              <w:jc w:val="left"/>
              <w:outlineLvl w:val="1"/>
              <w:rPr>
                <w:rFonts w:ascii="宋体" w:hAnsi="宋体" w:cs="宋体"/>
                <w:color w:val="auto"/>
                <w:sz w:val="24"/>
                <w:highlight w:val="none"/>
              </w:rPr>
            </w:pPr>
          </w:p>
        </w:tc>
        <w:tc>
          <w:tcPr>
            <w:tcW w:w="1704" w:type="dxa"/>
          </w:tcPr>
          <w:p>
            <w:pPr>
              <w:widowControl/>
              <w:spacing w:line="360" w:lineRule="atLeast"/>
              <w:ind w:firstLine="470" w:firstLineChars="196"/>
              <w:jc w:val="left"/>
              <w:outlineLvl w:val="1"/>
              <w:rPr>
                <w:rFonts w:ascii="宋体" w:hAnsi="宋体" w:cs="宋体"/>
                <w:color w:val="auto"/>
                <w:sz w:val="24"/>
                <w:highlight w:val="none"/>
              </w:rPr>
            </w:pPr>
          </w:p>
        </w:tc>
        <w:tc>
          <w:tcPr>
            <w:tcW w:w="2200" w:type="dxa"/>
          </w:tcPr>
          <w:p>
            <w:pPr>
              <w:widowControl/>
              <w:spacing w:line="360" w:lineRule="atLeast"/>
              <w:ind w:firstLine="470" w:firstLineChars="196"/>
              <w:jc w:val="left"/>
              <w:outlineLvl w:val="1"/>
              <w:rPr>
                <w:rFonts w:ascii="宋体" w:hAnsi="宋体" w:cs="宋体"/>
                <w:color w:val="auto"/>
                <w:sz w:val="24"/>
                <w:highlight w:val="none"/>
              </w:rPr>
            </w:pPr>
          </w:p>
        </w:tc>
        <w:tc>
          <w:tcPr>
            <w:tcW w:w="2212" w:type="dxa"/>
          </w:tcPr>
          <w:p>
            <w:pPr>
              <w:widowControl/>
              <w:spacing w:line="360" w:lineRule="atLeast"/>
              <w:ind w:firstLine="470" w:firstLineChars="196"/>
              <w:jc w:val="left"/>
              <w:outlineLvl w:val="1"/>
              <w:rPr>
                <w:rFonts w:ascii="宋体" w:hAnsi="宋体" w:cs="宋体"/>
                <w:color w:val="auto"/>
                <w:sz w:val="24"/>
                <w:highlight w:val="none"/>
              </w:rPr>
            </w:pPr>
          </w:p>
        </w:tc>
        <w:tc>
          <w:tcPr>
            <w:tcW w:w="1738" w:type="dxa"/>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widowControl/>
              <w:spacing w:line="360" w:lineRule="atLeast"/>
              <w:ind w:firstLine="470" w:firstLineChars="196"/>
              <w:jc w:val="left"/>
              <w:outlineLvl w:val="1"/>
              <w:rPr>
                <w:rFonts w:ascii="宋体" w:hAnsi="宋体" w:cs="宋体"/>
                <w:color w:val="auto"/>
                <w:sz w:val="24"/>
                <w:highlight w:val="none"/>
              </w:rPr>
            </w:pPr>
          </w:p>
        </w:tc>
        <w:tc>
          <w:tcPr>
            <w:tcW w:w="1704" w:type="dxa"/>
          </w:tcPr>
          <w:p>
            <w:pPr>
              <w:widowControl/>
              <w:spacing w:line="360" w:lineRule="atLeast"/>
              <w:ind w:firstLine="470" w:firstLineChars="196"/>
              <w:jc w:val="left"/>
              <w:outlineLvl w:val="1"/>
              <w:rPr>
                <w:rFonts w:ascii="宋体" w:hAnsi="宋体" w:cs="宋体"/>
                <w:color w:val="auto"/>
                <w:sz w:val="24"/>
                <w:highlight w:val="none"/>
              </w:rPr>
            </w:pPr>
          </w:p>
        </w:tc>
        <w:tc>
          <w:tcPr>
            <w:tcW w:w="2200" w:type="dxa"/>
          </w:tcPr>
          <w:p>
            <w:pPr>
              <w:widowControl/>
              <w:spacing w:line="360" w:lineRule="atLeast"/>
              <w:ind w:firstLine="470" w:firstLineChars="196"/>
              <w:jc w:val="left"/>
              <w:outlineLvl w:val="1"/>
              <w:rPr>
                <w:rFonts w:ascii="宋体" w:hAnsi="宋体" w:cs="宋体"/>
                <w:color w:val="auto"/>
                <w:sz w:val="24"/>
                <w:highlight w:val="none"/>
              </w:rPr>
            </w:pPr>
          </w:p>
        </w:tc>
        <w:tc>
          <w:tcPr>
            <w:tcW w:w="2212" w:type="dxa"/>
          </w:tcPr>
          <w:p>
            <w:pPr>
              <w:widowControl/>
              <w:spacing w:line="360" w:lineRule="atLeast"/>
              <w:ind w:firstLine="470" w:firstLineChars="196"/>
              <w:jc w:val="left"/>
              <w:outlineLvl w:val="1"/>
              <w:rPr>
                <w:rFonts w:ascii="宋体" w:hAnsi="宋体" w:cs="宋体"/>
                <w:color w:val="auto"/>
                <w:sz w:val="24"/>
                <w:highlight w:val="none"/>
              </w:rPr>
            </w:pPr>
          </w:p>
        </w:tc>
        <w:tc>
          <w:tcPr>
            <w:tcW w:w="1738" w:type="dxa"/>
          </w:tcPr>
          <w:p>
            <w:pPr>
              <w:widowControl/>
              <w:spacing w:line="360" w:lineRule="atLeast"/>
              <w:ind w:firstLine="470" w:firstLineChars="196"/>
              <w:jc w:val="left"/>
              <w:outlineLvl w:val="1"/>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tcPr>
          <w:p>
            <w:pPr>
              <w:widowControl/>
              <w:spacing w:line="360" w:lineRule="atLeast"/>
              <w:ind w:firstLine="470" w:firstLineChars="196"/>
              <w:jc w:val="left"/>
              <w:outlineLvl w:val="1"/>
              <w:rPr>
                <w:rFonts w:ascii="宋体" w:hAnsi="宋体" w:cs="宋体"/>
                <w:color w:val="auto"/>
                <w:sz w:val="24"/>
                <w:highlight w:val="none"/>
              </w:rPr>
            </w:pPr>
          </w:p>
        </w:tc>
        <w:tc>
          <w:tcPr>
            <w:tcW w:w="1704" w:type="dxa"/>
          </w:tcPr>
          <w:p>
            <w:pPr>
              <w:widowControl/>
              <w:spacing w:line="360" w:lineRule="atLeast"/>
              <w:ind w:firstLine="470" w:firstLineChars="196"/>
              <w:jc w:val="left"/>
              <w:outlineLvl w:val="1"/>
              <w:rPr>
                <w:rFonts w:ascii="宋体" w:hAnsi="宋体" w:cs="宋体"/>
                <w:color w:val="auto"/>
                <w:sz w:val="24"/>
                <w:highlight w:val="none"/>
              </w:rPr>
            </w:pPr>
          </w:p>
        </w:tc>
        <w:tc>
          <w:tcPr>
            <w:tcW w:w="2200" w:type="dxa"/>
          </w:tcPr>
          <w:p>
            <w:pPr>
              <w:widowControl/>
              <w:spacing w:line="360" w:lineRule="atLeast"/>
              <w:ind w:firstLine="470" w:firstLineChars="196"/>
              <w:jc w:val="left"/>
              <w:outlineLvl w:val="1"/>
              <w:rPr>
                <w:rFonts w:ascii="宋体" w:hAnsi="宋体" w:cs="宋体"/>
                <w:color w:val="auto"/>
                <w:sz w:val="24"/>
                <w:highlight w:val="none"/>
              </w:rPr>
            </w:pPr>
          </w:p>
        </w:tc>
        <w:tc>
          <w:tcPr>
            <w:tcW w:w="2212" w:type="dxa"/>
          </w:tcPr>
          <w:p>
            <w:pPr>
              <w:widowControl/>
              <w:spacing w:line="360" w:lineRule="atLeast"/>
              <w:ind w:firstLine="470" w:firstLineChars="196"/>
              <w:jc w:val="left"/>
              <w:outlineLvl w:val="1"/>
              <w:rPr>
                <w:rFonts w:ascii="宋体" w:hAnsi="宋体" w:cs="宋体"/>
                <w:color w:val="auto"/>
                <w:sz w:val="24"/>
                <w:highlight w:val="none"/>
              </w:rPr>
            </w:pPr>
          </w:p>
        </w:tc>
        <w:tc>
          <w:tcPr>
            <w:tcW w:w="1738" w:type="dxa"/>
          </w:tcPr>
          <w:p>
            <w:pPr>
              <w:widowControl/>
              <w:spacing w:line="360" w:lineRule="atLeast"/>
              <w:ind w:firstLine="470" w:firstLineChars="196"/>
              <w:jc w:val="left"/>
              <w:outlineLvl w:val="1"/>
              <w:rPr>
                <w:rFonts w:ascii="宋体" w:hAnsi="宋体" w:cs="宋体"/>
                <w:color w:val="auto"/>
                <w:sz w:val="24"/>
                <w:highlight w:val="none"/>
              </w:rPr>
            </w:pPr>
          </w:p>
        </w:tc>
      </w:tr>
    </w:tbl>
    <w:p>
      <w:pPr>
        <w:widowControl/>
        <w:spacing w:line="360" w:lineRule="atLeast"/>
        <w:ind w:firstLine="470" w:firstLineChars="196"/>
        <w:jc w:val="left"/>
        <w:outlineLvl w:val="1"/>
        <w:rPr>
          <w:rFonts w:ascii="宋体" w:hAnsi="宋体" w:cs="宋体"/>
          <w:color w:val="auto"/>
          <w:sz w:val="24"/>
          <w:highlight w:val="none"/>
        </w:rPr>
      </w:pP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注： 本表只填写投标文件中与招标文件有偏离的内容，投标文件中技术、服务响应与招标文件要求完全一致的，可以不用在此表中列出。</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 xml:space="preserve"> </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投标人名称：XXXX（单位盖章）。</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法定代表人/单位负责人或授权代表（签字或加盖个人名章）：XXXX。</w:t>
      </w:r>
    </w:p>
    <w:p>
      <w:pPr>
        <w:widowControl/>
        <w:spacing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投标日期: XXXX。</w:t>
      </w:r>
    </w:p>
    <w:p>
      <w:pPr>
        <w:widowControl/>
        <w:spacing w:line="360" w:lineRule="atLeast"/>
        <w:ind w:firstLine="643" w:firstLineChars="200"/>
        <w:jc w:val="center"/>
        <w:outlineLvl w:val="1"/>
        <w:rPr>
          <w:rFonts w:ascii="宋体" w:hAnsi="宋体" w:cs="宋体"/>
          <w:b/>
          <w:color w:val="auto"/>
          <w:sz w:val="32"/>
          <w:szCs w:val="32"/>
          <w:highlight w:val="none"/>
        </w:rPr>
      </w:pPr>
    </w:p>
    <w:p>
      <w:pPr>
        <w:pStyle w:val="2"/>
        <w:rPr>
          <w:rFonts w:ascii="宋体" w:hAnsi="宋体" w:cs="宋体"/>
          <w:color w:val="auto"/>
          <w:sz w:val="32"/>
          <w:szCs w:val="32"/>
          <w:highlight w:val="none"/>
        </w:rPr>
      </w:pPr>
    </w:p>
    <w:p>
      <w:pPr>
        <w:rPr>
          <w:rFonts w:ascii="宋体" w:hAnsi="宋体" w:cs="宋体"/>
          <w:b/>
          <w:color w:val="auto"/>
          <w:sz w:val="32"/>
          <w:szCs w:val="32"/>
          <w:highlight w:val="none"/>
        </w:rPr>
      </w:pPr>
    </w:p>
    <w:p>
      <w:pPr>
        <w:pStyle w:val="2"/>
        <w:rPr>
          <w:rFonts w:ascii="宋体" w:hAnsi="宋体" w:cs="宋体"/>
          <w:color w:val="auto"/>
          <w:sz w:val="32"/>
          <w:szCs w:val="32"/>
          <w:highlight w:val="none"/>
        </w:rPr>
      </w:pPr>
    </w:p>
    <w:p>
      <w:pPr>
        <w:widowControl/>
        <w:spacing w:line="360" w:lineRule="atLeast"/>
        <w:ind w:firstLine="630" w:firstLineChars="196"/>
        <w:jc w:val="left"/>
        <w:outlineLvl w:val="1"/>
        <w:rPr>
          <w:rFonts w:ascii="宋体" w:hAnsi="宋体" w:cs="宋体"/>
          <w:b/>
          <w:color w:val="auto"/>
          <w:sz w:val="32"/>
          <w:szCs w:val="32"/>
          <w:highlight w:val="none"/>
        </w:rPr>
      </w:pPr>
    </w:p>
    <w:p>
      <w:pPr>
        <w:widowControl/>
        <w:spacing w:line="360" w:lineRule="atLeast"/>
        <w:ind w:firstLine="630" w:firstLineChars="196"/>
        <w:jc w:val="left"/>
        <w:outlineLvl w:val="1"/>
        <w:rPr>
          <w:rFonts w:ascii="宋体" w:hAnsi="宋体" w:cs="宋体"/>
          <w:b/>
          <w:color w:val="auto"/>
          <w:sz w:val="32"/>
          <w:szCs w:val="32"/>
          <w:highlight w:val="none"/>
        </w:rPr>
      </w:pPr>
    </w:p>
    <w:bookmarkEnd w:id="170"/>
    <w:p>
      <w:pPr>
        <w:spacing w:line="360" w:lineRule="auto"/>
        <w:rPr>
          <w:rFonts w:ascii="宋体" w:hAnsi="宋体" w:cs="宋体"/>
          <w:b/>
          <w:color w:val="auto"/>
          <w:sz w:val="32"/>
          <w:szCs w:val="32"/>
          <w:highlight w:val="none"/>
        </w:rPr>
      </w:pPr>
      <w:bookmarkStart w:id="171" w:name="_Toc217446091"/>
    </w:p>
    <w:p>
      <w:pPr>
        <w:widowControl/>
        <w:spacing w:line="360" w:lineRule="atLeast"/>
        <w:ind w:firstLine="643" w:firstLineChars="200"/>
        <w:jc w:val="left"/>
        <w:outlineLvl w:val="1"/>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格式2-</w:t>
      </w:r>
      <w:r>
        <w:rPr>
          <w:rFonts w:hint="eastAsia" w:ascii="宋体" w:hAnsi="宋体" w:cs="宋体"/>
          <w:b/>
          <w:color w:val="auto"/>
          <w:sz w:val="32"/>
          <w:szCs w:val="32"/>
          <w:highlight w:val="none"/>
          <w:lang w:val="en-US" w:eastAsia="zh-CN"/>
        </w:rPr>
        <w:t>9</w:t>
      </w:r>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val="en-US" w:eastAsia="zh-CN"/>
        </w:rPr>
        <w:t>八</w:t>
      </w:r>
      <w:r>
        <w:rPr>
          <w:rFonts w:hint="eastAsia" w:ascii="宋体" w:hAnsi="宋体" w:cs="宋体"/>
          <w:b/>
          <w:color w:val="auto"/>
          <w:sz w:val="32"/>
          <w:szCs w:val="32"/>
          <w:highlight w:val="none"/>
        </w:rPr>
        <w:t>、拟派本项目人员情况表</w:t>
      </w:r>
    </w:p>
    <w:tbl>
      <w:tblPr>
        <w:tblStyle w:val="32"/>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778"/>
        <w:gridCol w:w="1836"/>
        <w:gridCol w:w="1836"/>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1892" w:type="dxa"/>
            <w:noWrap w:val="0"/>
            <w:vAlign w:val="center"/>
          </w:tcPr>
          <w:p>
            <w:pPr>
              <w:spacing w:line="400" w:lineRule="exact"/>
              <w:ind w:firstLine="120" w:firstLineChars="5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序号</w:t>
            </w:r>
          </w:p>
        </w:tc>
        <w:tc>
          <w:tcPr>
            <w:tcW w:w="1778" w:type="dxa"/>
            <w:noWrap w:val="0"/>
            <w:vAlign w:val="center"/>
          </w:tcPr>
          <w:p>
            <w:pPr>
              <w:spacing w:line="400" w:lineRule="exact"/>
              <w:ind w:firstLine="120" w:firstLineChars="5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姓名</w:t>
            </w:r>
          </w:p>
        </w:tc>
        <w:tc>
          <w:tcPr>
            <w:tcW w:w="1836" w:type="dxa"/>
            <w:noWrap w:val="0"/>
            <w:vAlign w:val="center"/>
          </w:tcPr>
          <w:p>
            <w:pPr>
              <w:spacing w:line="400" w:lineRule="exact"/>
              <w:ind w:firstLine="120" w:firstLineChars="5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职称</w:t>
            </w:r>
          </w:p>
        </w:tc>
        <w:tc>
          <w:tcPr>
            <w:tcW w:w="1836" w:type="dxa"/>
            <w:noWrap w:val="0"/>
            <w:vAlign w:val="center"/>
          </w:tcPr>
          <w:p>
            <w:pPr>
              <w:spacing w:line="400" w:lineRule="exact"/>
              <w:ind w:firstLine="120" w:firstLineChars="50"/>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专业类别</w:t>
            </w:r>
          </w:p>
        </w:tc>
        <w:tc>
          <w:tcPr>
            <w:tcW w:w="1836" w:type="dxa"/>
            <w:noWrap w:val="0"/>
            <w:vAlign w:val="center"/>
          </w:tcPr>
          <w:p>
            <w:pPr>
              <w:spacing w:line="400" w:lineRule="exact"/>
              <w:ind w:firstLine="120" w:firstLineChars="5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892" w:type="dxa"/>
            <w:noWrap w:val="0"/>
            <w:vAlign w:val="top"/>
          </w:tcPr>
          <w:p>
            <w:pPr>
              <w:rPr>
                <w:rFonts w:hint="eastAsia" w:ascii="宋体" w:hAnsi="宋体" w:eastAsia="宋体" w:cs="宋体"/>
                <w:color w:val="auto"/>
                <w:highlight w:val="none"/>
              </w:rPr>
            </w:pPr>
          </w:p>
        </w:tc>
        <w:tc>
          <w:tcPr>
            <w:tcW w:w="1778" w:type="dxa"/>
            <w:noWrap w:val="0"/>
            <w:vAlign w:val="top"/>
          </w:tcPr>
          <w:p>
            <w:pPr>
              <w:rPr>
                <w:rFonts w:hint="eastAsia" w:ascii="宋体" w:hAnsi="宋体" w:eastAsia="宋体" w:cs="宋体"/>
                <w:color w:val="auto"/>
                <w:highlight w:val="none"/>
              </w:rPr>
            </w:pPr>
          </w:p>
        </w:tc>
        <w:tc>
          <w:tcPr>
            <w:tcW w:w="1836" w:type="dxa"/>
            <w:noWrap w:val="0"/>
            <w:vAlign w:val="top"/>
          </w:tcPr>
          <w:p>
            <w:pPr>
              <w:rPr>
                <w:rFonts w:hint="eastAsia" w:ascii="宋体" w:hAnsi="宋体" w:eastAsia="宋体" w:cs="宋体"/>
                <w:color w:val="auto"/>
                <w:highlight w:val="none"/>
              </w:rPr>
            </w:pPr>
          </w:p>
        </w:tc>
        <w:tc>
          <w:tcPr>
            <w:tcW w:w="1836" w:type="dxa"/>
            <w:noWrap w:val="0"/>
            <w:vAlign w:val="top"/>
          </w:tcPr>
          <w:p>
            <w:pPr>
              <w:rPr>
                <w:rFonts w:hint="eastAsia" w:ascii="宋体" w:hAnsi="宋体" w:eastAsia="宋体" w:cs="宋体"/>
                <w:color w:val="auto"/>
                <w:highlight w:val="none"/>
              </w:rPr>
            </w:pPr>
          </w:p>
        </w:tc>
        <w:tc>
          <w:tcPr>
            <w:tcW w:w="1836"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1892" w:type="dxa"/>
            <w:noWrap w:val="0"/>
            <w:vAlign w:val="top"/>
          </w:tcPr>
          <w:p>
            <w:pPr>
              <w:rPr>
                <w:rFonts w:hint="eastAsia" w:ascii="宋体" w:hAnsi="宋体" w:eastAsia="宋体" w:cs="宋体"/>
                <w:color w:val="auto"/>
                <w:highlight w:val="none"/>
              </w:rPr>
            </w:pPr>
          </w:p>
        </w:tc>
        <w:tc>
          <w:tcPr>
            <w:tcW w:w="1778" w:type="dxa"/>
            <w:noWrap w:val="0"/>
            <w:vAlign w:val="top"/>
          </w:tcPr>
          <w:p>
            <w:pPr>
              <w:rPr>
                <w:rFonts w:hint="eastAsia" w:ascii="宋体" w:hAnsi="宋体" w:eastAsia="宋体" w:cs="宋体"/>
                <w:color w:val="auto"/>
                <w:highlight w:val="none"/>
              </w:rPr>
            </w:pPr>
          </w:p>
        </w:tc>
        <w:tc>
          <w:tcPr>
            <w:tcW w:w="1836" w:type="dxa"/>
            <w:noWrap w:val="0"/>
            <w:vAlign w:val="top"/>
          </w:tcPr>
          <w:p>
            <w:pPr>
              <w:rPr>
                <w:rFonts w:hint="eastAsia" w:ascii="宋体" w:hAnsi="宋体" w:eastAsia="宋体" w:cs="宋体"/>
                <w:color w:val="auto"/>
                <w:highlight w:val="none"/>
              </w:rPr>
            </w:pPr>
          </w:p>
        </w:tc>
        <w:tc>
          <w:tcPr>
            <w:tcW w:w="1836" w:type="dxa"/>
            <w:noWrap w:val="0"/>
            <w:vAlign w:val="top"/>
          </w:tcPr>
          <w:p>
            <w:pPr>
              <w:rPr>
                <w:rFonts w:hint="eastAsia" w:ascii="宋体" w:hAnsi="宋体" w:eastAsia="宋体" w:cs="宋体"/>
                <w:color w:val="auto"/>
                <w:highlight w:val="none"/>
              </w:rPr>
            </w:pPr>
          </w:p>
        </w:tc>
        <w:tc>
          <w:tcPr>
            <w:tcW w:w="1836"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892" w:type="dxa"/>
            <w:noWrap w:val="0"/>
            <w:vAlign w:val="top"/>
          </w:tcPr>
          <w:p>
            <w:pPr>
              <w:rPr>
                <w:rFonts w:hint="eastAsia" w:ascii="宋体" w:hAnsi="宋体" w:eastAsia="宋体" w:cs="宋体"/>
                <w:color w:val="auto"/>
                <w:highlight w:val="none"/>
              </w:rPr>
            </w:pPr>
          </w:p>
        </w:tc>
        <w:tc>
          <w:tcPr>
            <w:tcW w:w="1778" w:type="dxa"/>
            <w:noWrap w:val="0"/>
            <w:vAlign w:val="top"/>
          </w:tcPr>
          <w:p>
            <w:pPr>
              <w:rPr>
                <w:rFonts w:hint="eastAsia" w:ascii="宋体" w:hAnsi="宋体" w:eastAsia="宋体" w:cs="宋体"/>
                <w:color w:val="auto"/>
                <w:highlight w:val="none"/>
              </w:rPr>
            </w:pPr>
          </w:p>
        </w:tc>
        <w:tc>
          <w:tcPr>
            <w:tcW w:w="1836" w:type="dxa"/>
            <w:noWrap w:val="0"/>
            <w:vAlign w:val="top"/>
          </w:tcPr>
          <w:p>
            <w:pPr>
              <w:rPr>
                <w:rFonts w:hint="eastAsia" w:ascii="宋体" w:hAnsi="宋体" w:eastAsia="宋体" w:cs="宋体"/>
                <w:color w:val="auto"/>
                <w:highlight w:val="none"/>
              </w:rPr>
            </w:pPr>
          </w:p>
        </w:tc>
        <w:tc>
          <w:tcPr>
            <w:tcW w:w="1836" w:type="dxa"/>
            <w:noWrap w:val="0"/>
            <w:vAlign w:val="top"/>
          </w:tcPr>
          <w:p>
            <w:pPr>
              <w:rPr>
                <w:rFonts w:hint="eastAsia" w:ascii="宋体" w:hAnsi="宋体" w:eastAsia="宋体" w:cs="宋体"/>
                <w:color w:val="auto"/>
                <w:highlight w:val="none"/>
              </w:rPr>
            </w:pPr>
          </w:p>
        </w:tc>
        <w:tc>
          <w:tcPr>
            <w:tcW w:w="1836"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1892" w:type="dxa"/>
            <w:noWrap w:val="0"/>
            <w:vAlign w:val="top"/>
          </w:tcPr>
          <w:p>
            <w:pPr>
              <w:rPr>
                <w:rFonts w:hint="eastAsia" w:ascii="宋体" w:hAnsi="宋体" w:eastAsia="宋体" w:cs="宋体"/>
                <w:color w:val="auto"/>
                <w:highlight w:val="none"/>
              </w:rPr>
            </w:pPr>
          </w:p>
        </w:tc>
        <w:tc>
          <w:tcPr>
            <w:tcW w:w="1778" w:type="dxa"/>
            <w:noWrap w:val="0"/>
            <w:vAlign w:val="top"/>
          </w:tcPr>
          <w:p>
            <w:pPr>
              <w:rPr>
                <w:rFonts w:hint="eastAsia" w:ascii="宋体" w:hAnsi="宋体" w:eastAsia="宋体" w:cs="宋体"/>
                <w:color w:val="auto"/>
                <w:highlight w:val="none"/>
              </w:rPr>
            </w:pPr>
          </w:p>
        </w:tc>
        <w:tc>
          <w:tcPr>
            <w:tcW w:w="1836" w:type="dxa"/>
            <w:noWrap w:val="0"/>
            <w:vAlign w:val="top"/>
          </w:tcPr>
          <w:p>
            <w:pPr>
              <w:rPr>
                <w:rFonts w:hint="eastAsia" w:ascii="宋体" w:hAnsi="宋体" w:eastAsia="宋体" w:cs="宋体"/>
                <w:color w:val="auto"/>
                <w:highlight w:val="none"/>
              </w:rPr>
            </w:pPr>
          </w:p>
        </w:tc>
        <w:tc>
          <w:tcPr>
            <w:tcW w:w="1836" w:type="dxa"/>
            <w:noWrap w:val="0"/>
            <w:vAlign w:val="top"/>
          </w:tcPr>
          <w:p>
            <w:pPr>
              <w:rPr>
                <w:rFonts w:hint="eastAsia" w:ascii="宋体" w:hAnsi="宋体" w:eastAsia="宋体" w:cs="宋体"/>
                <w:color w:val="auto"/>
                <w:highlight w:val="none"/>
              </w:rPr>
            </w:pPr>
          </w:p>
        </w:tc>
        <w:tc>
          <w:tcPr>
            <w:tcW w:w="1836"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892" w:type="dxa"/>
            <w:noWrap w:val="0"/>
            <w:vAlign w:val="top"/>
          </w:tcPr>
          <w:p>
            <w:pPr>
              <w:rPr>
                <w:rFonts w:hint="eastAsia" w:ascii="宋体" w:hAnsi="宋体" w:eastAsia="宋体" w:cs="宋体"/>
                <w:color w:val="auto"/>
                <w:highlight w:val="none"/>
              </w:rPr>
            </w:pPr>
          </w:p>
        </w:tc>
        <w:tc>
          <w:tcPr>
            <w:tcW w:w="1778" w:type="dxa"/>
            <w:noWrap w:val="0"/>
            <w:vAlign w:val="top"/>
          </w:tcPr>
          <w:p>
            <w:pPr>
              <w:rPr>
                <w:rFonts w:hint="eastAsia" w:ascii="宋体" w:hAnsi="宋体" w:eastAsia="宋体" w:cs="宋体"/>
                <w:color w:val="auto"/>
                <w:highlight w:val="none"/>
              </w:rPr>
            </w:pPr>
          </w:p>
        </w:tc>
        <w:tc>
          <w:tcPr>
            <w:tcW w:w="1836" w:type="dxa"/>
            <w:noWrap w:val="0"/>
            <w:vAlign w:val="top"/>
          </w:tcPr>
          <w:p>
            <w:pPr>
              <w:rPr>
                <w:rFonts w:hint="eastAsia" w:ascii="宋体" w:hAnsi="宋体" w:eastAsia="宋体" w:cs="宋体"/>
                <w:color w:val="auto"/>
                <w:highlight w:val="none"/>
              </w:rPr>
            </w:pPr>
          </w:p>
        </w:tc>
        <w:tc>
          <w:tcPr>
            <w:tcW w:w="1836" w:type="dxa"/>
            <w:noWrap w:val="0"/>
            <w:vAlign w:val="top"/>
          </w:tcPr>
          <w:p>
            <w:pPr>
              <w:rPr>
                <w:rFonts w:hint="eastAsia" w:ascii="宋体" w:hAnsi="宋体" w:eastAsia="宋体" w:cs="宋体"/>
                <w:color w:val="auto"/>
                <w:highlight w:val="none"/>
              </w:rPr>
            </w:pPr>
          </w:p>
        </w:tc>
        <w:tc>
          <w:tcPr>
            <w:tcW w:w="1836"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1892" w:type="dxa"/>
            <w:noWrap w:val="0"/>
            <w:vAlign w:val="top"/>
          </w:tcPr>
          <w:p>
            <w:pPr>
              <w:rPr>
                <w:rFonts w:hint="eastAsia" w:ascii="宋体" w:hAnsi="宋体" w:eastAsia="宋体" w:cs="宋体"/>
                <w:color w:val="auto"/>
                <w:highlight w:val="none"/>
              </w:rPr>
            </w:pPr>
          </w:p>
        </w:tc>
        <w:tc>
          <w:tcPr>
            <w:tcW w:w="1778" w:type="dxa"/>
            <w:noWrap w:val="0"/>
            <w:vAlign w:val="top"/>
          </w:tcPr>
          <w:p>
            <w:pPr>
              <w:rPr>
                <w:rFonts w:hint="eastAsia" w:ascii="宋体" w:hAnsi="宋体" w:eastAsia="宋体" w:cs="宋体"/>
                <w:color w:val="auto"/>
                <w:highlight w:val="none"/>
              </w:rPr>
            </w:pPr>
          </w:p>
        </w:tc>
        <w:tc>
          <w:tcPr>
            <w:tcW w:w="1836" w:type="dxa"/>
            <w:noWrap w:val="0"/>
            <w:vAlign w:val="top"/>
          </w:tcPr>
          <w:p>
            <w:pPr>
              <w:rPr>
                <w:rFonts w:hint="eastAsia" w:ascii="宋体" w:hAnsi="宋体" w:eastAsia="宋体" w:cs="宋体"/>
                <w:color w:val="auto"/>
                <w:highlight w:val="none"/>
              </w:rPr>
            </w:pPr>
          </w:p>
        </w:tc>
        <w:tc>
          <w:tcPr>
            <w:tcW w:w="1836" w:type="dxa"/>
            <w:noWrap w:val="0"/>
            <w:vAlign w:val="top"/>
          </w:tcPr>
          <w:p>
            <w:pPr>
              <w:rPr>
                <w:rFonts w:hint="eastAsia" w:ascii="宋体" w:hAnsi="宋体" w:eastAsia="宋体" w:cs="宋体"/>
                <w:color w:val="auto"/>
                <w:highlight w:val="none"/>
              </w:rPr>
            </w:pPr>
          </w:p>
        </w:tc>
        <w:tc>
          <w:tcPr>
            <w:tcW w:w="1836"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892" w:type="dxa"/>
            <w:noWrap w:val="0"/>
            <w:vAlign w:val="top"/>
          </w:tcPr>
          <w:p>
            <w:pPr>
              <w:rPr>
                <w:rFonts w:hint="eastAsia" w:ascii="宋体" w:hAnsi="宋体" w:eastAsia="宋体" w:cs="宋体"/>
                <w:color w:val="auto"/>
                <w:highlight w:val="none"/>
              </w:rPr>
            </w:pPr>
          </w:p>
        </w:tc>
        <w:tc>
          <w:tcPr>
            <w:tcW w:w="1778" w:type="dxa"/>
            <w:noWrap w:val="0"/>
            <w:vAlign w:val="top"/>
          </w:tcPr>
          <w:p>
            <w:pPr>
              <w:rPr>
                <w:rFonts w:hint="eastAsia" w:ascii="宋体" w:hAnsi="宋体" w:eastAsia="宋体" w:cs="宋体"/>
                <w:color w:val="auto"/>
                <w:highlight w:val="none"/>
              </w:rPr>
            </w:pPr>
          </w:p>
        </w:tc>
        <w:tc>
          <w:tcPr>
            <w:tcW w:w="1836" w:type="dxa"/>
            <w:noWrap w:val="0"/>
            <w:vAlign w:val="top"/>
          </w:tcPr>
          <w:p>
            <w:pPr>
              <w:rPr>
                <w:rFonts w:hint="eastAsia" w:ascii="宋体" w:hAnsi="宋体" w:eastAsia="宋体" w:cs="宋体"/>
                <w:color w:val="auto"/>
                <w:highlight w:val="none"/>
              </w:rPr>
            </w:pPr>
          </w:p>
        </w:tc>
        <w:tc>
          <w:tcPr>
            <w:tcW w:w="1836" w:type="dxa"/>
            <w:noWrap w:val="0"/>
            <w:vAlign w:val="top"/>
          </w:tcPr>
          <w:p>
            <w:pPr>
              <w:rPr>
                <w:rFonts w:hint="eastAsia" w:ascii="宋体" w:hAnsi="宋体" w:eastAsia="宋体" w:cs="宋体"/>
                <w:color w:val="auto"/>
                <w:highlight w:val="none"/>
              </w:rPr>
            </w:pPr>
          </w:p>
        </w:tc>
        <w:tc>
          <w:tcPr>
            <w:tcW w:w="1836"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892" w:type="dxa"/>
            <w:tcBorders>
              <w:bottom w:val="single" w:color="auto" w:sz="4" w:space="0"/>
            </w:tcBorders>
            <w:noWrap w:val="0"/>
            <w:vAlign w:val="top"/>
          </w:tcPr>
          <w:p>
            <w:pPr>
              <w:rPr>
                <w:rFonts w:hint="eastAsia" w:ascii="宋体" w:hAnsi="宋体" w:eastAsia="宋体" w:cs="宋体"/>
                <w:color w:val="auto"/>
                <w:highlight w:val="none"/>
              </w:rPr>
            </w:pPr>
          </w:p>
        </w:tc>
        <w:tc>
          <w:tcPr>
            <w:tcW w:w="1778" w:type="dxa"/>
            <w:noWrap w:val="0"/>
            <w:vAlign w:val="top"/>
          </w:tcPr>
          <w:p>
            <w:pPr>
              <w:rPr>
                <w:rFonts w:hint="eastAsia" w:ascii="宋体" w:hAnsi="宋体" w:eastAsia="宋体" w:cs="宋体"/>
                <w:color w:val="auto"/>
                <w:highlight w:val="none"/>
              </w:rPr>
            </w:pPr>
          </w:p>
        </w:tc>
        <w:tc>
          <w:tcPr>
            <w:tcW w:w="1836" w:type="dxa"/>
            <w:noWrap w:val="0"/>
            <w:vAlign w:val="top"/>
          </w:tcPr>
          <w:p>
            <w:pPr>
              <w:rPr>
                <w:rFonts w:hint="eastAsia" w:ascii="宋体" w:hAnsi="宋体" w:eastAsia="宋体" w:cs="宋体"/>
                <w:color w:val="auto"/>
                <w:highlight w:val="none"/>
              </w:rPr>
            </w:pPr>
          </w:p>
        </w:tc>
        <w:tc>
          <w:tcPr>
            <w:tcW w:w="1836" w:type="dxa"/>
            <w:noWrap w:val="0"/>
            <w:vAlign w:val="top"/>
          </w:tcPr>
          <w:p>
            <w:pPr>
              <w:rPr>
                <w:rFonts w:hint="eastAsia" w:ascii="宋体" w:hAnsi="宋体" w:eastAsia="宋体" w:cs="宋体"/>
                <w:color w:val="auto"/>
                <w:highlight w:val="none"/>
              </w:rPr>
            </w:pPr>
          </w:p>
        </w:tc>
        <w:tc>
          <w:tcPr>
            <w:tcW w:w="1836" w:type="dxa"/>
            <w:noWrap w:val="0"/>
            <w:vAlign w:val="top"/>
          </w:tcPr>
          <w:p>
            <w:pPr>
              <w:rPr>
                <w:rFonts w:hint="eastAsia" w:ascii="宋体" w:hAnsi="宋体" w:eastAsia="宋体" w:cs="宋体"/>
                <w:color w:val="auto"/>
                <w:highlight w:val="none"/>
              </w:rPr>
            </w:pPr>
          </w:p>
        </w:tc>
      </w:tr>
    </w:tbl>
    <w:p>
      <w:pPr>
        <w:spacing w:line="360" w:lineRule="auto"/>
        <w:rPr>
          <w:rFonts w:hint="eastAsia" w:ascii="宋体" w:hAnsi="宋体" w:cs="宋体"/>
          <w:b/>
          <w:color w:val="auto"/>
          <w:sz w:val="32"/>
          <w:szCs w:val="32"/>
          <w:highlight w:val="none"/>
        </w:rPr>
      </w:pPr>
    </w:p>
    <w:p>
      <w:pPr>
        <w:spacing w:line="360" w:lineRule="auto"/>
        <w:rPr>
          <w:rFonts w:hint="eastAsia" w:ascii="宋体" w:hAnsi="宋体" w:cs="宋体"/>
          <w:b/>
          <w:color w:val="auto"/>
          <w:sz w:val="32"/>
          <w:szCs w:val="32"/>
          <w:highlight w:val="none"/>
        </w:rPr>
      </w:pPr>
    </w:p>
    <w:p>
      <w:pPr>
        <w:spacing w:line="360" w:lineRule="auto"/>
        <w:rPr>
          <w:rFonts w:hint="eastAsia" w:ascii="宋体" w:hAnsi="宋体" w:cs="宋体"/>
          <w:b/>
          <w:color w:val="auto"/>
          <w:sz w:val="32"/>
          <w:szCs w:val="32"/>
          <w:highlight w:val="none"/>
        </w:rPr>
      </w:pPr>
    </w:p>
    <w:p>
      <w:pPr>
        <w:spacing w:line="360" w:lineRule="auto"/>
        <w:rPr>
          <w:rFonts w:hint="eastAsia" w:ascii="宋体" w:hAnsi="宋体" w:cs="宋体"/>
          <w:b/>
          <w:color w:val="auto"/>
          <w:sz w:val="32"/>
          <w:szCs w:val="32"/>
          <w:highlight w:val="none"/>
        </w:rPr>
      </w:pPr>
    </w:p>
    <w:p>
      <w:pPr>
        <w:spacing w:line="360" w:lineRule="auto"/>
        <w:rPr>
          <w:rFonts w:hint="eastAsia" w:ascii="宋体" w:hAnsi="宋体" w:cs="宋体"/>
          <w:b/>
          <w:color w:val="auto"/>
          <w:sz w:val="32"/>
          <w:szCs w:val="32"/>
          <w:highlight w:val="none"/>
        </w:rPr>
      </w:pPr>
    </w:p>
    <w:p>
      <w:pPr>
        <w:spacing w:line="360" w:lineRule="auto"/>
        <w:rPr>
          <w:rFonts w:hint="eastAsia" w:ascii="宋体" w:hAnsi="宋体" w:cs="宋体"/>
          <w:b/>
          <w:color w:val="auto"/>
          <w:sz w:val="32"/>
          <w:szCs w:val="32"/>
          <w:highlight w:val="none"/>
        </w:rPr>
      </w:pPr>
    </w:p>
    <w:p>
      <w:pPr>
        <w:spacing w:line="360" w:lineRule="auto"/>
        <w:rPr>
          <w:rFonts w:hint="eastAsia" w:ascii="宋体" w:hAnsi="宋体" w:cs="宋体"/>
          <w:b/>
          <w:color w:val="auto"/>
          <w:sz w:val="32"/>
          <w:szCs w:val="32"/>
          <w:highlight w:val="none"/>
        </w:rPr>
      </w:pPr>
    </w:p>
    <w:p>
      <w:pPr>
        <w:spacing w:line="360" w:lineRule="auto"/>
        <w:rPr>
          <w:rFonts w:hint="eastAsia" w:ascii="宋体" w:hAnsi="宋体" w:cs="宋体"/>
          <w:b/>
          <w:color w:val="auto"/>
          <w:sz w:val="32"/>
          <w:szCs w:val="32"/>
          <w:highlight w:val="none"/>
        </w:rPr>
      </w:pPr>
    </w:p>
    <w:p>
      <w:pPr>
        <w:spacing w:line="360" w:lineRule="auto"/>
        <w:rPr>
          <w:rFonts w:hint="eastAsia" w:ascii="宋体" w:hAnsi="宋体" w:cs="宋体"/>
          <w:b/>
          <w:color w:val="auto"/>
          <w:sz w:val="32"/>
          <w:szCs w:val="32"/>
          <w:highlight w:val="none"/>
        </w:rPr>
      </w:pPr>
    </w:p>
    <w:p>
      <w:pPr>
        <w:spacing w:line="360" w:lineRule="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格式2-</w:t>
      </w:r>
      <w:r>
        <w:rPr>
          <w:rFonts w:hint="eastAsia" w:ascii="宋体" w:hAnsi="宋体" w:cs="宋体"/>
          <w:b/>
          <w:color w:val="auto"/>
          <w:sz w:val="32"/>
          <w:szCs w:val="32"/>
          <w:highlight w:val="none"/>
          <w:lang w:val="en-US" w:eastAsia="zh-CN"/>
        </w:rPr>
        <w:t>10</w:t>
      </w:r>
    </w:p>
    <w:bookmarkEnd w:id="171"/>
    <w:p>
      <w:pPr>
        <w:widowControl/>
        <w:spacing w:line="360" w:lineRule="atLeast"/>
        <w:ind w:firstLine="472" w:firstLineChars="196"/>
        <w:jc w:val="left"/>
        <w:outlineLvl w:val="1"/>
        <w:rPr>
          <w:rFonts w:ascii="宋体" w:hAnsi="宋体" w:cs="宋体"/>
          <w:b/>
          <w:color w:val="auto"/>
          <w:sz w:val="24"/>
          <w:highlight w:val="none"/>
        </w:rPr>
      </w:pPr>
    </w:p>
    <w:p>
      <w:pPr>
        <w:widowControl/>
        <w:spacing w:after="0" w:line="360" w:lineRule="atLeast"/>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lang w:val="en-US" w:eastAsia="zh-CN"/>
        </w:rPr>
        <w:t>九</w:t>
      </w:r>
      <w:r>
        <w:rPr>
          <w:rFonts w:hint="eastAsia" w:ascii="宋体" w:hAnsi="宋体" w:cs="宋体"/>
          <w:b/>
          <w:color w:val="auto"/>
          <w:sz w:val="32"/>
          <w:szCs w:val="32"/>
          <w:highlight w:val="none"/>
        </w:rPr>
        <w:t>、服务方案</w:t>
      </w:r>
    </w:p>
    <w:p>
      <w:pPr>
        <w:spacing w:after="0"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格式自拟</w:t>
      </w:r>
    </w:p>
    <w:p>
      <w:pPr>
        <w:spacing w:after="0" w:line="360" w:lineRule="auto"/>
        <w:rPr>
          <w:rFonts w:ascii="宋体" w:hAnsi="宋体" w:cs="宋体"/>
          <w:b/>
          <w:color w:val="auto"/>
          <w:sz w:val="24"/>
          <w:highlight w:val="none"/>
        </w:rPr>
      </w:pPr>
    </w:p>
    <w:p>
      <w:pPr>
        <w:spacing w:after="0" w:line="360" w:lineRule="auto"/>
        <w:rPr>
          <w:rFonts w:ascii="宋体" w:hAnsi="宋体" w:cs="宋体"/>
          <w:b/>
          <w:color w:val="auto"/>
          <w:sz w:val="24"/>
          <w:highlight w:val="none"/>
        </w:rPr>
      </w:pPr>
    </w:p>
    <w:p>
      <w:pPr>
        <w:widowControl/>
        <w:spacing w:line="360" w:lineRule="atLeast"/>
        <w:ind w:firstLine="472" w:firstLineChars="196"/>
        <w:jc w:val="left"/>
        <w:outlineLvl w:val="1"/>
        <w:rPr>
          <w:rFonts w:ascii="宋体" w:hAnsi="宋体" w:cs="宋体"/>
          <w:b/>
          <w:color w:val="auto"/>
          <w:sz w:val="24"/>
          <w:highlight w:val="none"/>
        </w:rPr>
      </w:pPr>
    </w:p>
    <w:p>
      <w:pPr>
        <w:spacing w:after="0" w:line="360" w:lineRule="auto"/>
        <w:rPr>
          <w:rFonts w:hint="eastAsia" w:ascii="宋体" w:hAnsi="宋体" w:eastAsia="宋体" w:cs="宋体"/>
          <w:b/>
          <w:color w:val="auto"/>
          <w:sz w:val="32"/>
          <w:szCs w:val="32"/>
          <w:highlight w:val="none"/>
          <w:lang w:eastAsia="zh-CN"/>
        </w:rPr>
      </w:pPr>
      <w:r>
        <w:rPr>
          <w:rFonts w:hint="eastAsia" w:ascii="宋体" w:hAnsi="宋体" w:cs="宋体"/>
          <w:b/>
          <w:color w:val="auto"/>
          <w:sz w:val="24"/>
          <w:highlight w:val="none"/>
        </w:rPr>
        <w:br w:type="page"/>
      </w:r>
      <w:r>
        <w:rPr>
          <w:rFonts w:hint="eastAsia" w:ascii="宋体" w:hAnsi="宋体" w:cs="宋体"/>
          <w:b/>
          <w:color w:val="auto"/>
          <w:sz w:val="32"/>
          <w:szCs w:val="32"/>
          <w:highlight w:val="none"/>
        </w:rPr>
        <w:t>格式2-1</w:t>
      </w:r>
      <w:r>
        <w:rPr>
          <w:rFonts w:hint="eastAsia" w:ascii="宋体" w:hAnsi="宋体" w:cs="宋体"/>
          <w:b/>
          <w:color w:val="auto"/>
          <w:sz w:val="32"/>
          <w:szCs w:val="32"/>
          <w:highlight w:val="none"/>
          <w:lang w:val="en-US" w:eastAsia="zh-CN"/>
        </w:rPr>
        <w:t>1</w:t>
      </w:r>
    </w:p>
    <w:p>
      <w:pPr>
        <w:widowControl/>
        <w:spacing w:after="0" w:line="360" w:lineRule="atLeast"/>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lang w:val="en-US" w:eastAsia="zh-CN"/>
        </w:rPr>
        <w:t>十</w:t>
      </w:r>
      <w:r>
        <w:rPr>
          <w:rFonts w:hint="eastAsia" w:ascii="宋体" w:hAnsi="宋体" w:cs="宋体"/>
          <w:b/>
          <w:color w:val="auto"/>
          <w:sz w:val="32"/>
          <w:szCs w:val="32"/>
          <w:highlight w:val="none"/>
        </w:rPr>
        <w:t>、供应商诚信情况承诺函</w:t>
      </w:r>
    </w:p>
    <w:p>
      <w:pPr>
        <w:spacing w:after="0" w:line="360" w:lineRule="auto"/>
        <w:rPr>
          <w:rFonts w:ascii="宋体" w:hAnsi="宋体" w:cs="宋体"/>
          <w:bCs/>
          <w:color w:val="auto"/>
          <w:sz w:val="24"/>
          <w:highlight w:val="none"/>
        </w:rPr>
      </w:pPr>
    </w:p>
    <w:p>
      <w:pPr>
        <w:spacing w:after="0" w:line="360" w:lineRule="auto"/>
        <w:rPr>
          <w:rFonts w:ascii="宋体" w:hAnsi="宋体" w:cs="宋体"/>
          <w:bCs/>
          <w:color w:val="auto"/>
          <w:sz w:val="24"/>
          <w:highlight w:val="none"/>
        </w:rPr>
      </w:pPr>
      <w:r>
        <w:rPr>
          <w:rFonts w:hint="eastAsia" w:ascii="宋体" w:hAnsi="宋体" w:cs="宋体"/>
          <w:bCs/>
          <w:color w:val="auto"/>
          <w:sz w:val="24"/>
          <w:highlight w:val="none"/>
        </w:rPr>
        <w:t xml:space="preserve">致四川军贤工程项目管理有限公司： </w:t>
      </w:r>
    </w:p>
    <w:p>
      <w:pPr>
        <w:spacing w:after="0" w:line="360" w:lineRule="auto"/>
        <w:rPr>
          <w:rFonts w:ascii="宋体" w:hAnsi="宋体" w:cs="宋体"/>
          <w:color w:val="auto"/>
          <w:sz w:val="24"/>
          <w:highlight w:val="none"/>
        </w:rPr>
      </w:pPr>
      <w:r>
        <w:rPr>
          <w:rFonts w:hint="eastAsia" w:ascii="宋体" w:hAnsi="宋体" w:cs="宋体"/>
          <w:bCs/>
          <w:color w:val="auto"/>
          <w:sz w:val="24"/>
          <w:highlight w:val="none"/>
        </w:rPr>
        <w:t xml:space="preserve">    本单位</w:t>
      </w:r>
      <w:r>
        <w:rPr>
          <w:rFonts w:hint="eastAsia" w:ascii="宋体" w:hAnsi="宋体" w:cs="宋体"/>
          <w:color w:val="auto"/>
          <w:sz w:val="24"/>
          <w:highlight w:val="none"/>
          <w:u w:val="single"/>
        </w:rPr>
        <w:t>XXXX</w:t>
      </w:r>
      <w:r>
        <w:rPr>
          <w:rFonts w:hint="eastAsia" w:ascii="宋体" w:hAnsi="宋体" w:cs="宋体"/>
          <w:bCs/>
          <w:color w:val="auto"/>
          <w:sz w:val="24"/>
          <w:highlight w:val="none"/>
          <w:u w:val="single"/>
        </w:rPr>
        <w:t>（供应商名称）</w:t>
      </w:r>
      <w:r>
        <w:rPr>
          <w:rFonts w:hint="eastAsia" w:ascii="宋体" w:hAnsi="宋体" w:cs="宋体"/>
          <w:bCs/>
          <w:color w:val="auto"/>
          <w:sz w:val="24"/>
          <w:highlight w:val="none"/>
        </w:rPr>
        <w:t xml:space="preserve">参加 </w:t>
      </w:r>
      <w:r>
        <w:rPr>
          <w:rFonts w:hint="eastAsia" w:ascii="宋体" w:hAnsi="宋体" w:cs="宋体"/>
          <w:color w:val="auto"/>
          <w:sz w:val="24"/>
          <w:highlight w:val="none"/>
          <w:u w:val="single"/>
        </w:rPr>
        <w:t>XXXX</w:t>
      </w:r>
      <w:r>
        <w:rPr>
          <w:rFonts w:hint="eastAsia" w:ascii="宋体" w:hAnsi="宋体" w:cs="宋体"/>
          <w:bCs/>
          <w:color w:val="auto"/>
          <w:sz w:val="24"/>
          <w:highlight w:val="none"/>
          <w:u w:val="single"/>
        </w:rPr>
        <w:t>（项目名称及采购编号）</w:t>
      </w:r>
      <w:r>
        <w:rPr>
          <w:rFonts w:hint="eastAsia" w:ascii="宋体" w:hAnsi="宋体" w:cs="宋体"/>
          <w:bCs/>
          <w:color w:val="auto"/>
          <w:sz w:val="24"/>
          <w:highlight w:val="none"/>
        </w:rPr>
        <w:t>的政府采购活动，</w:t>
      </w:r>
      <w:r>
        <w:rPr>
          <w:rFonts w:hint="eastAsia" w:ascii="宋体" w:hAnsi="宋体" w:cs="宋体"/>
          <w:color w:val="auto"/>
          <w:sz w:val="24"/>
          <w:highlight w:val="none"/>
        </w:rPr>
        <w:t>现根据《四川省政府采购当事人诚信管理办法》川财采〔2015〕33号的相关规定，针</w:t>
      </w:r>
      <w:r>
        <w:rPr>
          <w:rFonts w:hint="eastAsia" w:ascii="宋体" w:hAnsi="宋体" w:cs="宋体"/>
          <w:bCs/>
          <w:color w:val="auto"/>
          <w:sz w:val="24"/>
          <w:highlight w:val="none"/>
        </w:rPr>
        <w:t>对本单位的诚信情况作出以下承诺：</w:t>
      </w:r>
    </w:p>
    <w:p>
      <w:pPr>
        <w:spacing w:after="0" w:line="360" w:lineRule="auto"/>
        <w:ind w:firstLine="480" w:firstLineChars="200"/>
        <w:rPr>
          <w:rFonts w:ascii="宋体" w:hAnsi="宋体" w:cs="宋体"/>
          <w:bCs/>
          <w:color w:val="auto"/>
          <w:sz w:val="24"/>
          <w:highlight w:val="none"/>
        </w:rPr>
      </w:pPr>
    </w:p>
    <w:p>
      <w:pPr>
        <w:spacing w:after="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我单位具有</w:t>
      </w:r>
      <w:r>
        <w:rPr>
          <w:rFonts w:hint="eastAsia" w:ascii="宋体" w:hAnsi="宋体" w:cs="宋体"/>
          <w:color w:val="auto"/>
          <w:sz w:val="24"/>
          <w:highlight w:val="none"/>
        </w:rPr>
        <w:t>《四川省政府采购当事人诚信管理办法》（川财采[2015]33号）所规定的失信行为</w:t>
      </w:r>
      <w:r>
        <w:rPr>
          <w:rFonts w:hint="eastAsia" w:ascii="宋体" w:hAnsi="宋体" w:cs="宋体"/>
          <w:color w:val="auto"/>
          <w:sz w:val="24"/>
          <w:highlight w:val="none"/>
          <w:u w:val="single"/>
        </w:rPr>
        <w:t>XXXX</w:t>
      </w:r>
      <w:r>
        <w:rPr>
          <w:rFonts w:hint="eastAsia" w:ascii="宋体" w:hAnsi="宋体" w:cs="宋体"/>
          <w:color w:val="auto"/>
          <w:sz w:val="24"/>
          <w:highlight w:val="none"/>
        </w:rPr>
        <w:t>次（填写失信行为的次数时，建议使用大写数字，如零、壹、贰、叁、肆等。）；</w:t>
      </w:r>
      <w:r>
        <w:rPr>
          <w:rFonts w:hint="eastAsia" w:ascii="宋体" w:hAnsi="宋体" w:cs="宋体"/>
          <w:bCs/>
          <w:color w:val="auto"/>
          <w:sz w:val="24"/>
          <w:highlight w:val="none"/>
        </w:rPr>
        <w:t>（仅限投标截止当日仍在有效期的次数）</w:t>
      </w:r>
    </w:p>
    <w:p>
      <w:pPr>
        <w:spacing w:after="0" w:line="360" w:lineRule="auto"/>
        <w:ind w:firstLine="480" w:firstLineChars="200"/>
        <w:rPr>
          <w:rFonts w:ascii="宋体" w:hAnsi="宋体" w:cs="宋体"/>
          <w:color w:val="auto"/>
          <w:sz w:val="24"/>
          <w:highlight w:val="none"/>
        </w:rPr>
      </w:pPr>
    </w:p>
    <w:p>
      <w:pPr>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bCs/>
          <w:color w:val="auto"/>
          <w:sz w:val="24"/>
          <w:highlight w:val="none"/>
        </w:rPr>
        <w:t>单位</w:t>
      </w:r>
      <w:r>
        <w:rPr>
          <w:rFonts w:hint="eastAsia" w:ascii="宋体" w:hAnsi="宋体" w:cs="宋体"/>
          <w:color w:val="auto"/>
          <w:sz w:val="24"/>
          <w:highlight w:val="none"/>
        </w:rPr>
        <w:t>对以上填写信息的真实性负责。如有不实，本</w:t>
      </w:r>
      <w:r>
        <w:rPr>
          <w:rFonts w:hint="eastAsia" w:ascii="宋体" w:hAnsi="宋体" w:cs="宋体"/>
          <w:bCs/>
          <w:color w:val="auto"/>
          <w:sz w:val="24"/>
          <w:highlight w:val="none"/>
        </w:rPr>
        <w:t>单位</w:t>
      </w:r>
      <w:r>
        <w:rPr>
          <w:rFonts w:hint="eastAsia" w:ascii="宋体" w:hAnsi="宋体" w:cs="宋体"/>
          <w:color w:val="auto"/>
          <w:sz w:val="24"/>
          <w:highlight w:val="none"/>
        </w:rPr>
        <w:t>愿承担由此产生的一切法律责任和后果。</w:t>
      </w:r>
    </w:p>
    <w:p>
      <w:pPr>
        <w:spacing w:after="0" w:line="360" w:lineRule="auto"/>
        <w:rPr>
          <w:rFonts w:ascii="宋体" w:hAnsi="宋体" w:cs="宋体"/>
          <w:bCs/>
          <w:color w:val="auto"/>
          <w:sz w:val="24"/>
          <w:highlight w:val="none"/>
        </w:rPr>
      </w:pPr>
    </w:p>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投标人名称：XXXX（单位盖章）。</w:t>
      </w:r>
    </w:p>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法定代表人/单位负责人或授权代表（签字或加盖个人名章）：XXXX。</w:t>
      </w:r>
    </w:p>
    <w:p>
      <w:pPr>
        <w:widowControl/>
        <w:spacing w:after="0" w:line="360" w:lineRule="atLeast"/>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投标日期: XXXX。</w:t>
      </w:r>
    </w:p>
    <w:p>
      <w:pPr>
        <w:spacing w:after="0" w:line="360" w:lineRule="auto"/>
        <w:rPr>
          <w:rFonts w:ascii="宋体" w:hAnsi="宋体" w:cs="宋体"/>
          <w:bCs/>
          <w:color w:val="auto"/>
          <w:sz w:val="24"/>
          <w:highlight w:val="none"/>
        </w:rPr>
      </w:pPr>
    </w:p>
    <w:p>
      <w:pPr>
        <w:spacing w:after="0" w:line="360" w:lineRule="auto"/>
        <w:rPr>
          <w:rFonts w:ascii="宋体" w:hAnsi="宋体" w:cs="宋体"/>
          <w:bCs/>
          <w:color w:val="auto"/>
          <w:sz w:val="24"/>
          <w:highlight w:val="none"/>
        </w:rPr>
      </w:pPr>
      <w:r>
        <w:rPr>
          <w:rFonts w:hint="eastAsia" w:ascii="宋体" w:hAnsi="宋体" w:cs="宋体"/>
          <w:bCs/>
          <w:color w:val="auto"/>
          <w:sz w:val="24"/>
          <w:highlight w:val="none"/>
        </w:rPr>
        <w:t>注：</w:t>
      </w:r>
    </w:p>
    <w:p>
      <w:pPr>
        <w:spacing w:after="0"/>
        <w:rPr>
          <w:rFonts w:ascii="宋体" w:hAnsi="宋体" w:cs="宋体"/>
          <w:bCs/>
          <w:color w:val="auto"/>
          <w:sz w:val="24"/>
          <w:highlight w:val="none"/>
        </w:rPr>
      </w:pPr>
      <w:r>
        <w:rPr>
          <w:rFonts w:hint="eastAsia" w:ascii="宋体" w:hAnsi="宋体" w:cs="宋体"/>
          <w:bCs/>
          <w:color w:val="auto"/>
          <w:sz w:val="24"/>
          <w:highlight w:val="none"/>
        </w:rPr>
        <w:t>1、本表格式及内容仅供参考，投标人也可提供自己的格式；</w:t>
      </w:r>
    </w:p>
    <w:p>
      <w:pPr>
        <w:spacing w:after="0"/>
        <w:rPr>
          <w:rFonts w:ascii="宋体" w:hAnsi="宋体" w:cs="宋体"/>
          <w:bCs/>
          <w:color w:val="auto"/>
          <w:sz w:val="24"/>
          <w:highlight w:val="none"/>
        </w:rPr>
      </w:pPr>
      <w:r>
        <w:rPr>
          <w:rFonts w:hint="eastAsia" w:ascii="宋体" w:hAnsi="宋体" w:cs="宋体"/>
          <w:bCs/>
          <w:color w:val="auto"/>
          <w:sz w:val="24"/>
          <w:highlight w:val="none"/>
        </w:rPr>
        <w:t>2、投标人存在以上所述失信行为的，将按照</w:t>
      </w:r>
      <w:r>
        <w:rPr>
          <w:rFonts w:hint="eastAsia" w:ascii="宋体" w:hAnsi="宋体" w:cs="宋体"/>
          <w:color w:val="auto"/>
          <w:sz w:val="24"/>
          <w:highlight w:val="none"/>
        </w:rPr>
        <w:t>第二章投标人须知附表的要求进行处理；</w:t>
      </w:r>
    </w:p>
    <w:p>
      <w:pPr>
        <w:spacing w:after="0"/>
        <w:rPr>
          <w:rFonts w:ascii="宋体" w:hAnsi="宋体" w:cs="宋体"/>
          <w:color w:val="auto"/>
          <w:kern w:val="0"/>
          <w:sz w:val="24"/>
          <w:highlight w:val="none"/>
        </w:rPr>
      </w:pPr>
      <w:r>
        <w:rPr>
          <w:rFonts w:hint="eastAsia" w:ascii="宋体" w:hAnsi="宋体" w:cs="宋体"/>
          <w:bCs/>
          <w:color w:val="auto"/>
          <w:sz w:val="24"/>
          <w:highlight w:val="none"/>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宋体" w:hAnsi="宋体" w:cs="宋体"/>
          <w:color w:val="auto"/>
          <w:kern w:val="0"/>
          <w:sz w:val="24"/>
          <w:highlight w:val="none"/>
        </w:rPr>
        <w:t>确了有效期的，不再重复计算。</w:t>
      </w:r>
    </w:p>
    <w:p>
      <w:pPr>
        <w:spacing w:after="0"/>
        <w:rPr>
          <w:rFonts w:ascii="宋体" w:hAnsi="宋体" w:cs="宋体"/>
          <w:bCs/>
          <w:color w:val="auto"/>
          <w:sz w:val="24"/>
          <w:highlight w:val="none"/>
        </w:rPr>
      </w:pPr>
      <w:r>
        <w:rPr>
          <w:rFonts w:hint="eastAsia" w:ascii="宋体" w:hAnsi="宋体" w:cs="宋体"/>
          <w:color w:val="auto"/>
          <w:kern w:val="0"/>
          <w:sz w:val="24"/>
          <w:highlight w:val="none"/>
        </w:rPr>
        <w:t>4、</w:t>
      </w:r>
      <w:r>
        <w:rPr>
          <w:rFonts w:hint="eastAsia" w:ascii="宋体" w:hAnsi="宋体" w:cs="宋体"/>
          <w:bCs/>
          <w:color w:val="auto"/>
          <w:sz w:val="24"/>
          <w:highlight w:val="none"/>
        </w:rPr>
        <w:t>投标人的失信行为受到行政处罚或司法惩处的，评审时不再对其以价格加成进行惩戒。</w:t>
      </w:r>
    </w:p>
    <w:p>
      <w:pPr>
        <w:spacing w:after="0" w:line="360" w:lineRule="auto"/>
        <w:rPr>
          <w:rFonts w:hint="eastAsia" w:ascii="宋体" w:hAnsi="宋体" w:eastAsia="宋体" w:cs="宋体"/>
          <w:b/>
          <w:color w:val="auto"/>
          <w:sz w:val="32"/>
          <w:szCs w:val="32"/>
          <w:highlight w:val="none"/>
          <w:lang w:eastAsia="zh-CN"/>
        </w:rPr>
      </w:pPr>
      <w:r>
        <w:rPr>
          <w:rFonts w:hint="eastAsia" w:ascii="宋体" w:hAnsi="宋体" w:cs="宋体"/>
          <w:bCs/>
          <w:color w:val="auto"/>
          <w:sz w:val="24"/>
          <w:highlight w:val="none"/>
        </w:rPr>
        <w:br w:type="page"/>
      </w:r>
      <w:r>
        <w:rPr>
          <w:rFonts w:hint="eastAsia" w:ascii="宋体" w:hAnsi="宋体" w:cs="宋体"/>
          <w:b/>
          <w:color w:val="auto"/>
          <w:sz w:val="32"/>
          <w:szCs w:val="32"/>
          <w:highlight w:val="none"/>
        </w:rPr>
        <w:t>格式2-1</w:t>
      </w:r>
      <w:r>
        <w:rPr>
          <w:rFonts w:hint="eastAsia" w:ascii="宋体" w:hAnsi="宋体" w:cs="宋体"/>
          <w:b/>
          <w:color w:val="auto"/>
          <w:sz w:val="32"/>
          <w:szCs w:val="32"/>
          <w:highlight w:val="none"/>
          <w:lang w:val="en-US" w:eastAsia="zh-CN"/>
        </w:rPr>
        <w:t>2</w:t>
      </w:r>
    </w:p>
    <w:p>
      <w:pPr>
        <w:widowControl/>
        <w:spacing w:after="0" w:line="360" w:lineRule="atLeast"/>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十</w:t>
      </w:r>
      <w:r>
        <w:rPr>
          <w:rFonts w:hint="eastAsia" w:ascii="宋体" w:hAnsi="宋体" w:cs="宋体"/>
          <w:b/>
          <w:color w:val="auto"/>
          <w:sz w:val="32"/>
          <w:szCs w:val="32"/>
          <w:highlight w:val="none"/>
          <w:lang w:val="en-US" w:eastAsia="zh-CN"/>
        </w:rPr>
        <w:t>一</w:t>
      </w:r>
      <w:r>
        <w:rPr>
          <w:rFonts w:hint="eastAsia" w:ascii="宋体" w:hAnsi="宋体" w:cs="宋体"/>
          <w:b/>
          <w:color w:val="auto"/>
          <w:sz w:val="32"/>
          <w:szCs w:val="32"/>
          <w:highlight w:val="none"/>
        </w:rPr>
        <w:t>、中小企业（监狱企业）声明函</w:t>
      </w:r>
    </w:p>
    <w:p>
      <w:pPr>
        <w:spacing w:line="240" w:lineRule="auto"/>
        <w:ind w:firstLine="480" w:firstLineChars="200"/>
        <w:rPr>
          <w:rFonts w:ascii="宋体" w:hAnsi="宋体" w:cs="宋体"/>
          <w:color w:val="auto"/>
          <w:sz w:val="24"/>
          <w:highlight w:val="none"/>
        </w:rPr>
      </w:pPr>
      <w:bookmarkStart w:id="172" w:name="_Toc413748654"/>
      <w:bookmarkStart w:id="173" w:name="_Toc419811733"/>
      <w:bookmarkStart w:id="174" w:name="_Toc417911732"/>
      <w:bookmarkStart w:id="175" w:name="_Toc387147344"/>
      <w:bookmarkStart w:id="176" w:name="_Toc387658050"/>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本公司郑重声明，根据《政府采购促进中小企业发展管理办法》（财库﹝2020﹞46 号）的规定，本公司参加</w:t>
      </w:r>
      <w:r>
        <w:rPr>
          <w:rFonts w:hint="eastAsia" w:ascii="宋体" w:hAnsi="宋体" w:cs="宋体"/>
          <w:color w:val="auto"/>
          <w:sz w:val="24"/>
          <w:highlight w:val="none"/>
          <w:u w:val="single"/>
        </w:rPr>
        <w:t xml:space="preserve">      （单位名称）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采购活动，提供的货物全部由符合政策要求的中小企业制造。相关企业的具体情况如下：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 ，属于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pPr>
        <w:pStyle w:val="12"/>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 ，属于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以上企业，不属于大企业的分支机构，不存在控股股东为大企业的情形，也不存在与大企业的负责人为同一人的情形。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企业名称（盖章）：</w:t>
      </w:r>
    </w:p>
    <w:p>
      <w:pPr>
        <w:spacing w:line="360" w:lineRule="auto"/>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注：1.从业人员、营业收入、资产总额填报上一年度数据，无上一年度数据的新成立企业可不填报。</w:t>
      </w:r>
    </w:p>
    <w:p>
      <w:pPr>
        <w:numPr>
          <w:ilvl w:val="-1"/>
          <w:numId w:val="0"/>
        </w:numPr>
        <w:spacing w:line="240" w:lineRule="auto"/>
        <w:ind w:firstLine="0" w:firstLineChars="0"/>
        <w:rPr>
          <w:rFonts w:ascii="宋体" w:hAnsi="宋体" w:cs="宋体"/>
          <w:color w:val="auto"/>
          <w:sz w:val="24"/>
          <w:highlight w:val="none"/>
        </w:rPr>
      </w:pPr>
    </w:p>
    <w:bookmarkEnd w:id="172"/>
    <w:bookmarkEnd w:id="173"/>
    <w:bookmarkEnd w:id="174"/>
    <w:bookmarkEnd w:id="175"/>
    <w:bookmarkEnd w:id="176"/>
    <w:p>
      <w:pPr>
        <w:spacing w:after="0" w:line="360" w:lineRule="auto"/>
        <w:rPr>
          <w:rFonts w:ascii="宋体" w:hAnsi="宋体" w:cs="宋体"/>
          <w:b/>
          <w:color w:val="auto"/>
          <w:sz w:val="32"/>
          <w:szCs w:val="32"/>
          <w:highlight w:val="none"/>
        </w:rPr>
      </w:pPr>
      <w:bookmarkStart w:id="177" w:name="_Toc28654"/>
      <w:bookmarkStart w:id="178" w:name="_Toc28495"/>
      <w:r>
        <w:rPr>
          <w:rFonts w:hint="eastAsia" w:ascii="宋体" w:hAnsi="宋体" w:cs="宋体"/>
          <w:color w:val="auto"/>
          <w:sz w:val="24"/>
          <w:highlight w:val="none"/>
        </w:rPr>
        <w:br w:type="page"/>
      </w:r>
      <w:r>
        <w:rPr>
          <w:rFonts w:hint="eastAsia" w:ascii="宋体" w:hAnsi="宋体" w:cs="宋体"/>
          <w:b/>
          <w:color w:val="auto"/>
          <w:sz w:val="32"/>
          <w:szCs w:val="32"/>
          <w:highlight w:val="none"/>
        </w:rPr>
        <w:t>格式2-1</w:t>
      </w:r>
      <w:r>
        <w:rPr>
          <w:rFonts w:hint="eastAsia" w:ascii="宋体" w:hAnsi="宋体" w:cs="宋体"/>
          <w:b/>
          <w:color w:val="auto"/>
          <w:sz w:val="32"/>
          <w:szCs w:val="32"/>
          <w:highlight w:val="none"/>
          <w:lang w:val="en-US" w:eastAsia="zh-CN"/>
        </w:rPr>
        <w:t>3</w:t>
      </w:r>
    </w:p>
    <w:p>
      <w:pPr>
        <w:widowControl/>
        <w:spacing w:after="0" w:line="360" w:lineRule="atLeast"/>
        <w:jc w:val="center"/>
        <w:outlineLvl w:val="1"/>
        <w:rPr>
          <w:rFonts w:ascii="宋体" w:hAnsi="宋体" w:cs="宋体"/>
          <w:b/>
          <w:color w:val="auto"/>
          <w:spacing w:val="6"/>
          <w:sz w:val="24"/>
          <w:highlight w:val="none"/>
        </w:rPr>
      </w:pPr>
      <w:r>
        <w:rPr>
          <w:rFonts w:hint="eastAsia" w:ascii="宋体" w:hAnsi="宋体" w:cs="宋体"/>
          <w:b/>
          <w:color w:val="auto"/>
          <w:sz w:val="32"/>
          <w:szCs w:val="32"/>
          <w:highlight w:val="none"/>
        </w:rPr>
        <w:t>十</w:t>
      </w:r>
      <w:r>
        <w:rPr>
          <w:rFonts w:hint="eastAsia" w:ascii="宋体" w:hAnsi="宋体" w:cs="宋体"/>
          <w:b/>
          <w:color w:val="auto"/>
          <w:sz w:val="32"/>
          <w:szCs w:val="32"/>
          <w:highlight w:val="none"/>
          <w:lang w:val="en-US" w:eastAsia="zh-CN"/>
        </w:rPr>
        <w:t>二</w:t>
      </w:r>
      <w:r>
        <w:rPr>
          <w:rFonts w:hint="eastAsia" w:ascii="宋体" w:hAnsi="宋体" w:cs="宋体"/>
          <w:b/>
          <w:color w:val="auto"/>
          <w:sz w:val="32"/>
          <w:szCs w:val="32"/>
          <w:highlight w:val="none"/>
        </w:rPr>
        <w:t>、残疾人福利性单位声明函</w:t>
      </w:r>
    </w:p>
    <w:p>
      <w:pPr>
        <w:spacing w:line="588" w:lineRule="exact"/>
        <w:ind w:firstLine="504" w:firstLineChars="200"/>
        <w:rPr>
          <w:rFonts w:ascii="宋体" w:hAnsi="宋体" w:cs="宋体"/>
          <w:color w:val="auto"/>
          <w:spacing w:val="6"/>
          <w:sz w:val="24"/>
          <w:highlight w:val="none"/>
        </w:rPr>
      </w:pP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w:t>
      </w:r>
      <w:r>
        <w:rPr>
          <w:rFonts w:hint="eastAsia" w:ascii="宋体" w:hAnsi="宋体" w:cs="宋体"/>
          <w:color w:val="auto"/>
          <w:sz w:val="24"/>
          <w:highlight w:val="none"/>
          <w:u w:val="single"/>
        </w:rPr>
        <w:t>XXXX</w:t>
      </w:r>
      <w:r>
        <w:rPr>
          <w:rFonts w:hint="eastAsia" w:ascii="宋体" w:hAnsi="宋体" w:cs="宋体"/>
          <w:color w:val="auto"/>
          <w:spacing w:val="6"/>
          <w:sz w:val="24"/>
          <w:highlight w:val="none"/>
        </w:rPr>
        <w:t>单位的</w:t>
      </w:r>
      <w:r>
        <w:rPr>
          <w:rFonts w:hint="eastAsia" w:ascii="宋体" w:hAnsi="宋体" w:cs="宋体"/>
          <w:color w:val="auto"/>
          <w:sz w:val="24"/>
          <w:highlight w:val="none"/>
          <w:u w:val="single"/>
        </w:rPr>
        <w:t>XXXX</w:t>
      </w:r>
      <w:r>
        <w:rPr>
          <w:rFonts w:hint="eastAsia" w:ascii="宋体" w:hAnsi="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line="588" w:lineRule="exact"/>
        <w:rPr>
          <w:rFonts w:ascii="宋体" w:hAnsi="宋体" w:cs="宋体"/>
          <w:color w:val="auto"/>
          <w:spacing w:val="6"/>
          <w:sz w:val="24"/>
          <w:highlight w:val="none"/>
        </w:rPr>
      </w:pPr>
    </w:p>
    <w:p>
      <w:pPr>
        <w:spacing w:line="588" w:lineRule="exact"/>
        <w:rPr>
          <w:rFonts w:ascii="宋体" w:hAnsi="宋体" w:cs="宋体"/>
          <w:color w:val="auto"/>
          <w:spacing w:val="6"/>
          <w:sz w:val="24"/>
          <w:highlight w:val="none"/>
        </w:rPr>
      </w:pPr>
    </w:p>
    <w:p>
      <w:pPr>
        <w:tabs>
          <w:tab w:val="left" w:pos="4860"/>
        </w:tabs>
        <w:spacing w:line="588" w:lineRule="exact"/>
        <w:ind w:right="1560"/>
        <w:rPr>
          <w:rFonts w:ascii="宋体" w:hAnsi="宋体" w:cs="宋体"/>
          <w:color w:val="auto"/>
          <w:spacing w:val="6"/>
          <w:sz w:val="24"/>
          <w:highlight w:val="none"/>
        </w:rPr>
      </w:pPr>
      <w:r>
        <w:rPr>
          <w:rFonts w:hint="eastAsia" w:ascii="宋体" w:hAnsi="宋体" w:cs="宋体"/>
          <w:color w:val="auto"/>
          <w:spacing w:val="6"/>
          <w:sz w:val="24"/>
          <w:highlight w:val="none"/>
        </w:rPr>
        <w:t>单位名称（盖章）：</w:t>
      </w:r>
      <w:r>
        <w:rPr>
          <w:rFonts w:hint="eastAsia" w:ascii="宋体" w:hAnsi="宋体" w:cs="宋体"/>
          <w:color w:val="auto"/>
          <w:sz w:val="24"/>
          <w:highlight w:val="none"/>
        </w:rPr>
        <w:t>XXXX</w:t>
      </w:r>
    </w:p>
    <w:p>
      <w:pPr>
        <w:rPr>
          <w:rFonts w:ascii="宋体" w:hAnsi="宋体" w:cs="宋体"/>
          <w:color w:val="auto"/>
          <w:spacing w:val="6"/>
          <w:sz w:val="24"/>
          <w:highlight w:val="none"/>
        </w:rPr>
      </w:pPr>
      <w:r>
        <w:rPr>
          <w:rFonts w:hint="eastAsia" w:ascii="宋体" w:hAnsi="宋体" w:cs="宋体"/>
          <w:color w:val="auto"/>
          <w:spacing w:val="6"/>
          <w:sz w:val="24"/>
          <w:highlight w:val="none"/>
        </w:rPr>
        <w:t>日  期：</w:t>
      </w:r>
      <w:r>
        <w:rPr>
          <w:rFonts w:hint="eastAsia" w:ascii="宋体" w:hAnsi="宋体" w:cs="宋体"/>
          <w:color w:val="auto"/>
          <w:sz w:val="24"/>
          <w:highlight w:val="none"/>
        </w:rPr>
        <w:t>XXXX</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注：</w:t>
      </w:r>
    </w:p>
    <w:p>
      <w:pPr>
        <w:numPr>
          <w:ilvl w:val="0"/>
          <w:numId w:val="4"/>
        </w:numPr>
        <w:spacing w:line="360" w:lineRule="auto"/>
        <w:rPr>
          <w:rFonts w:ascii="宋体" w:hAnsi="宋体" w:cs="宋体"/>
          <w:color w:val="auto"/>
          <w:sz w:val="24"/>
          <w:highlight w:val="none"/>
        </w:rPr>
      </w:pPr>
      <w:r>
        <w:rPr>
          <w:rFonts w:hint="eastAsia" w:ascii="宋体" w:hAnsi="宋体" w:cs="宋体"/>
          <w:color w:val="auto"/>
          <w:sz w:val="24"/>
          <w:highlight w:val="none"/>
        </w:rPr>
        <w:t>残疾人福利性单位视同小型、微型企业，享受预留份额、评审中价格扣除等促进中小企业发展的政府采购政策。残疾人福利性单位属于小型、微型企业的，不重复享受政策。</w:t>
      </w:r>
    </w:p>
    <w:p>
      <w:pPr>
        <w:numPr>
          <w:ilvl w:val="0"/>
          <w:numId w:val="4"/>
        </w:numPr>
        <w:spacing w:line="360" w:lineRule="auto"/>
        <w:rPr>
          <w:rFonts w:ascii="宋体" w:hAnsi="宋体" w:cs="宋体"/>
          <w:color w:val="auto"/>
          <w:sz w:val="24"/>
          <w:highlight w:val="none"/>
        </w:rPr>
      </w:pPr>
      <w:r>
        <w:rPr>
          <w:rFonts w:hint="eastAsia" w:ascii="宋体" w:hAnsi="宋体" w:cs="宋体"/>
          <w:color w:val="auto"/>
          <w:sz w:val="24"/>
          <w:highlight w:val="none"/>
        </w:rPr>
        <w:t>投标人为非残疾人福利性单位的，可不提供此声明。</w:t>
      </w:r>
    </w:p>
    <w:p>
      <w:pPr>
        <w:spacing w:line="300" w:lineRule="exact"/>
        <w:rPr>
          <w:rFonts w:ascii="宋体" w:hAnsi="宋体" w:cs="宋体"/>
          <w:color w:val="auto"/>
          <w:sz w:val="24"/>
          <w:highlight w:val="none"/>
        </w:rPr>
      </w:pPr>
    </w:p>
    <w:p>
      <w:pP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格式2-1</w:t>
      </w:r>
      <w:r>
        <w:rPr>
          <w:rFonts w:hint="eastAsia" w:ascii="宋体" w:hAnsi="宋体" w:cs="宋体"/>
          <w:b/>
          <w:color w:val="auto"/>
          <w:sz w:val="32"/>
          <w:szCs w:val="32"/>
          <w:highlight w:val="none"/>
          <w:lang w:val="en-US" w:eastAsia="zh-CN"/>
        </w:rPr>
        <w:t>4</w:t>
      </w:r>
    </w:p>
    <w:p>
      <w:pPr>
        <w:widowControl/>
        <w:spacing w:after="0" w:line="360" w:lineRule="atLeast"/>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十</w:t>
      </w:r>
      <w:r>
        <w:rPr>
          <w:rFonts w:hint="eastAsia" w:ascii="宋体" w:hAnsi="宋体" w:cs="宋体"/>
          <w:b/>
          <w:color w:val="auto"/>
          <w:sz w:val="32"/>
          <w:szCs w:val="32"/>
          <w:highlight w:val="none"/>
          <w:lang w:val="en-US" w:eastAsia="zh-CN"/>
        </w:rPr>
        <w:t>三</w:t>
      </w:r>
      <w:r>
        <w:rPr>
          <w:rFonts w:hint="eastAsia" w:ascii="宋体" w:hAnsi="宋体" w:cs="宋体"/>
          <w:b/>
          <w:color w:val="auto"/>
          <w:sz w:val="32"/>
          <w:szCs w:val="32"/>
          <w:highlight w:val="none"/>
        </w:rPr>
        <w:t>、知识产权声明函</w:t>
      </w:r>
    </w:p>
    <w:p>
      <w:pPr>
        <w:spacing w:line="360" w:lineRule="auto"/>
        <w:rPr>
          <w:rFonts w:ascii="宋体" w:hAnsi="宋体" w:cs="宋体"/>
          <w:bCs/>
          <w:color w:val="auto"/>
          <w:sz w:val="24"/>
          <w:highlight w:val="none"/>
        </w:rPr>
      </w:pP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致：</w:t>
      </w:r>
      <w:r>
        <w:rPr>
          <w:rFonts w:hint="eastAsia" w:ascii="宋体" w:hAnsi="宋体" w:cs="宋体"/>
          <w:bCs/>
          <w:color w:val="auto"/>
          <w:sz w:val="24"/>
          <w:highlight w:val="none"/>
          <w:u w:val="single"/>
        </w:rPr>
        <w:t xml:space="preserve">          （代理机构名称）</w:t>
      </w:r>
      <w:r>
        <w:rPr>
          <w:rFonts w:hint="eastAsia" w:ascii="宋体" w:hAnsi="宋体" w:cs="宋体"/>
          <w:bCs/>
          <w:color w:val="auto"/>
          <w:sz w:val="24"/>
          <w:highlight w:val="none"/>
        </w:rPr>
        <w:t xml:space="preserve"> </w:t>
      </w:r>
    </w:p>
    <w:p>
      <w:pPr>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本单位</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（公司名称）参加</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（项目名称）的采购活动，现承诺声明：</w:t>
      </w:r>
      <w:r>
        <w:rPr>
          <w:rFonts w:hint="eastAsia" w:ascii="宋体" w:hAnsi="宋体" w:cs="宋体"/>
          <w:bCs/>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我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2.除非招标文件特别规定，采购人享有本项目实施过程中产生的知识成果及知识产权。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本单位在采购项目实施过程中采用自有或者第三方知识成果的，使用该知识成果后，我单位提供开发接口和开发手册等技术资料，并承诺提供无限期支持，采购人享有使用权（含采购人委托第三方在该项目后续开发的使用权）。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4.如采用本单位所不拥有的知识产权，本单位承诺在本项目报价中已经包括合法获取该知识产权的相关费用。 </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本单位对上述承诺声明内容事项真实性负责。如经查实上述承诺声明的内容事项存在虚假或未履行，本单位愿意接受以提供虚假材料谋取成交追究法律责任。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法定代表人/单位负责人或授权代表（签字或加盖个人名章）：XXXX。</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投标人名称：XXXX（盖章）</w:t>
      </w:r>
    </w:p>
    <w:p>
      <w:pPr>
        <w:spacing w:line="360" w:lineRule="auto"/>
        <w:ind w:firstLine="480" w:firstLineChars="200"/>
        <w:rPr>
          <w:rFonts w:ascii="宋体" w:hAnsi="宋体" w:cs="宋体"/>
          <w:b/>
          <w:color w:val="auto"/>
          <w:sz w:val="32"/>
          <w:szCs w:val="32"/>
          <w:highlight w:val="none"/>
        </w:rPr>
      </w:pPr>
      <w:r>
        <w:rPr>
          <w:rFonts w:hint="eastAsia" w:ascii="宋体" w:hAnsi="宋体" w:cs="宋体"/>
          <w:color w:val="auto"/>
          <w:sz w:val="24"/>
          <w:highlight w:val="none"/>
        </w:rPr>
        <w:t>日    期：XXX年XXX月XXX日</w:t>
      </w:r>
    </w:p>
    <w:p>
      <w:pPr>
        <w:spacing w:line="360" w:lineRule="auto"/>
        <w:rPr>
          <w:rFonts w:ascii="宋体" w:hAnsi="宋体" w:cs="宋体"/>
          <w:color w:val="auto"/>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格式2-1</w:t>
      </w:r>
      <w:r>
        <w:rPr>
          <w:rFonts w:hint="eastAsia" w:ascii="宋体" w:hAnsi="宋体" w:cs="宋体"/>
          <w:b/>
          <w:color w:val="auto"/>
          <w:sz w:val="32"/>
          <w:szCs w:val="32"/>
          <w:highlight w:val="none"/>
          <w:lang w:val="en-US" w:eastAsia="zh-CN"/>
        </w:rPr>
        <w:t>5</w:t>
      </w:r>
    </w:p>
    <w:p>
      <w:pPr>
        <w:widowControl/>
        <w:spacing w:after="0" w:line="360" w:lineRule="atLeast"/>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十</w:t>
      </w:r>
      <w:r>
        <w:rPr>
          <w:rFonts w:hint="eastAsia" w:ascii="宋体" w:hAnsi="宋体" w:cs="宋体"/>
          <w:b/>
          <w:color w:val="auto"/>
          <w:sz w:val="32"/>
          <w:szCs w:val="32"/>
          <w:highlight w:val="none"/>
          <w:lang w:val="en-US" w:eastAsia="zh-CN"/>
        </w:rPr>
        <w:t>四</w:t>
      </w:r>
      <w:r>
        <w:rPr>
          <w:rFonts w:hint="eastAsia" w:ascii="宋体" w:hAnsi="宋体" w:cs="宋体"/>
          <w:b/>
          <w:color w:val="auto"/>
          <w:sz w:val="32"/>
          <w:szCs w:val="32"/>
          <w:highlight w:val="none"/>
        </w:rPr>
        <w:t>、实质性承诺函</w:t>
      </w:r>
    </w:p>
    <w:p>
      <w:pPr>
        <w:spacing w:line="240" w:lineRule="auto"/>
        <w:rPr>
          <w:rFonts w:ascii="宋体" w:hAnsi="宋体" w:cs="宋体"/>
          <w:color w:val="auto"/>
          <w:highlight w:val="none"/>
        </w:rPr>
      </w:pPr>
    </w:p>
    <w:p>
      <w:pPr>
        <w:spacing w:line="240"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我公司作为本次采购项目的投标人，根据招标文件中规定的实质性要求，现郑重承诺完全响应本项目招标文件规定的所有实质性要求：</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1.采购预算的要求：完全响应；</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2.是否专门面向中小企业、小微企业的要求：完全响应；</w:t>
      </w:r>
    </w:p>
    <w:p>
      <w:pPr>
        <w:spacing w:line="240" w:lineRule="auto"/>
        <w:ind w:firstLine="480" w:firstLineChars="200"/>
        <w:rPr>
          <w:rFonts w:ascii="宋体" w:hAnsi="宋体" w:cs="宋体"/>
          <w:color w:val="auto"/>
          <w:szCs w:val="21"/>
          <w:highlight w:val="none"/>
          <w:lang w:val="zh-CN"/>
        </w:rPr>
      </w:pPr>
      <w:r>
        <w:rPr>
          <w:rFonts w:hint="eastAsia" w:ascii="宋体" w:hAnsi="宋体" w:cs="宋体"/>
          <w:color w:val="auto"/>
          <w:sz w:val="24"/>
          <w:highlight w:val="none"/>
        </w:rPr>
        <w:t>3.最高限价的要求：完全响应；</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4.低于成本价不正当竞争预防措施的要求：完全响应；</w:t>
      </w:r>
    </w:p>
    <w:p>
      <w:pPr>
        <w:spacing w:line="24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5.</w:t>
      </w:r>
      <w:r>
        <w:rPr>
          <w:rFonts w:hint="eastAsia" w:ascii="宋体" w:hAnsi="宋体" w:cs="宋体"/>
          <w:color w:val="auto"/>
          <w:sz w:val="24"/>
          <w:highlight w:val="none"/>
          <w:lang w:val="zh-CN"/>
        </w:rPr>
        <w:t>进口产品</w:t>
      </w:r>
      <w:r>
        <w:rPr>
          <w:rFonts w:hint="eastAsia" w:ascii="宋体" w:hAnsi="宋体" w:cs="宋体"/>
          <w:color w:val="auto"/>
          <w:sz w:val="24"/>
          <w:highlight w:val="none"/>
        </w:rPr>
        <w:t>的要求：完全响应；</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6.国家规定的强制采购范围的要求：完全响应；</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7.投标费用的要求：完全响应；</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8.充分、公平竞争保障措施的要求：完全响应；</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9.投标文件的语言的要求：完全响应；</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10.计量单位的要求：完全响应；</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11.投标货币的要求：完全响应；</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12.投标有效期的要求：完全响应；</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13.““开标一览表”除单独密封提交外，还应编制于其他响应性投标文件正副本内，如有遗漏，将视为无效投标”的要求：完全响应；</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14.合同分包的要求：完全响应；</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15.合同转包的要求：完全响应；</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16.招标文件中标注★号的内容的要求：完全响应；</w:t>
      </w:r>
    </w:p>
    <w:p>
      <w:pPr>
        <w:spacing w:line="240" w:lineRule="auto"/>
        <w:ind w:firstLine="480" w:firstLineChars="200"/>
        <w:rPr>
          <w:rFonts w:ascii="宋体" w:hAnsi="宋体" w:cs="宋体"/>
          <w:color w:val="auto"/>
          <w:sz w:val="24"/>
          <w:highlight w:val="none"/>
        </w:rPr>
      </w:pPr>
    </w:p>
    <w:p>
      <w:pPr>
        <w:widowControl/>
        <w:spacing w:line="24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投标人名称：XXXX（单位盖章）。</w:t>
      </w:r>
    </w:p>
    <w:p>
      <w:pPr>
        <w:widowControl/>
        <w:spacing w:line="24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法定代表人/单位负责人或授权代表（签字或加盖个人名章）：XXXX。</w:t>
      </w:r>
    </w:p>
    <w:p>
      <w:pPr>
        <w:widowControl/>
        <w:spacing w:line="24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投标日期: XXXX。</w:t>
      </w:r>
    </w:p>
    <w:p>
      <w:pP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格式2-1</w:t>
      </w:r>
      <w:r>
        <w:rPr>
          <w:rFonts w:hint="eastAsia" w:ascii="宋体" w:hAnsi="宋体" w:cs="宋体"/>
          <w:b/>
          <w:color w:val="auto"/>
          <w:sz w:val="32"/>
          <w:szCs w:val="32"/>
          <w:highlight w:val="none"/>
          <w:lang w:val="en-US" w:eastAsia="zh-CN"/>
        </w:rPr>
        <w:t>6</w:t>
      </w:r>
    </w:p>
    <w:p>
      <w:pPr>
        <w:widowControl/>
        <w:spacing w:line="360" w:lineRule="atLeast"/>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十</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、承诺函</w:t>
      </w:r>
    </w:p>
    <w:p>
      <w:pPr>
        <w:widowControl/>
        <w:spacing w:line="360" w:lineRule="atLeast"/>
        <w:jc w:val="center"/>
        <w:outlineLvl w:val="1"/>
        <w:rPr>
          <w:rFonts w:ascii="宋体" w:hAnsi="宋体" w:cs="宋体"/>
          <w:b/>
          <w:color w:val="auto"/>
          <w:sz w:val="24"/>
          <w:highlight w:val="none"/>
        </w:rPr>
      </w:pPr>
    </w:p>
    <w:p>
      <w:pPr>
        <w:widowControl/>
        <w:spacing w:line="360" w:lineRule="auto"/>
        <w:jc w:val="left"/>
        <w:outlineLvl w:val="1"/>
        <w:rPr>
          <w:rFonts w:ascii="宋体" w:hAnsi="宋体" w:cs="宋体"/>
          <w:color w:val="auto"/>
          <w:sz w:val="24"/>
          <w:highlight w:val="none"/>
        </w:rPr>
      </w:pPr>
      <w:r>
        <w:rPr>
          <w:rFonts w:hint="eastAsia" w:ascii="宋体" w:hAnsi="宋体" w:cs="宋体"/>
          <w:color w:val="auto"/>
          <w:sz w:val="24"/>
          <w:highlight w:val="none"/>
        </w:rPr>
        <w:t>XXX（采购代理机构名称）：</w:t>
      </w:r>
    </w:p>
    <w:p>
      <w:pPr>
        <w:widowControl/>
        <w:spacing w:line="36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我公司作为本次采购项目的投标人，根据招标文件要求，现郑重承诺如下：</w:t>
      </w:r>
    </w:p>
    <w:p>
      <w:pPr>
        <w:widowControl/>
        <w:spacing w:line="36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我供应商所投产品涉及国家强制认证的（CCC）或前置许可、认证的，承诺在供货时一并提供相关许可、认证材料。</w:t>
      </w:r>
    </w:p>
    <w:p>
      <w:pPr>
        <w:widowControl/>
        <w:spacing w:line="36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本公司对上述承诺的内容事项真实性负责。如经查实上述承诺的内容事项存在虚假，我公司愿意接受以提供虚假材料谋取成交的法律责任。</w:t>
      </w:r>
    </w:p>
    <w:p>
      <w:pPr>
        <w:widowControl/>
        <w:spacing w:line="360" w:lineRule="auto"/>
        <w:ind w:firstLine="470" w:firstLineChars="196"/>
        <w:jc w:val="left"/>
        <w:outlineLvl w:val="1"/>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widowControl/>
        <w:spacing w:line="36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投标人名称：XXXX（单位盖章）。</w:t>
      </w:r>
    </w:p>
    <w:p>
      <w:pPr>
        <w:widowControl/>
        <w:spacing w:line="36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法定代表人/单位负责人或授权代表（签字或加盖个人名章）：XXXX。</w:t>
      </w:r>
    </w:p>
    <w:p>
      <w:pPr>
        <w:widowControl/>
        <w:spacing w:line="360" w:lineRule="auto"/>
        <w:ind w:firstLine="470" w:firstLineChars="196"/>
        <w:jc w:val="left"/>
        <w:outlineLvl w:val="1"/>
        <w:rPr>
          <w:rFonts w:ascii="宋体" w:hAnsi="宋体" w:cs="宋体"/>
          <w:color w:val="auto"/>
          <w:sz w:val="24"/>
          <w:highlight w:val="none"/>
        </w:rPr>
      </w:pPr>
      <w:r>
        <w:rPr>
          <w:rFonts w:hint="eastAsia" w:ascii="宋体" w:hAnsi="宋体" w:cs="宋体"/>
          <w:color w:val="auto"/>
          <w:sz w:val="24"/>
          <w:highlight w:val="none"/>
        </w:rPr>
        <w:t>投标日期: XXXX。</w:t>
      </w:r>
    </w:p>
    <w:p>
      <w:pPr>
        <w:widowControl/>
        <w:spacing w:after="0" w:line="360" w:lineRule="atLeast"/>
        <w:jc w:val="center"/>
        <w:outlineLvl w:val="1"/>
        <w:rPr>
          <w:rFonts w:ascii="宋体" w:hAnsi="宋体" w:cs="宋体"/>
          <w:b/>
          <w:color w:val="auto"/>
          <w:sz w:val="32"/>
          <w:szCs w:val="32"/>
          <w:highlight w:val="none"/>
        </w:rPr>
      </w:pPr>
    </w:p>
    <w:p>
      <w:pPr>
        <w:pStyle w:val="12"/>
        <w:rPr>
          <w:rFonts w:ascii="宋体" w:hAnsi="宋体" w:cs="宋体"/>
          <w:b/>
          <w:color w:val="auto"/>
          <w:sz w:val="32"/>
          <w:szCs w:val="32"/>
          <w:highlight w:val="none"/>
        </w:rPr>
      </w:pPr>
    </w:p>
    <w:p>
      <w:pPr>
        <w:rPr>
          <w:rFonts w:ascii="宋体" w:hAnsi="宋体" w:cs="宋体"/>
          <w:b/>
          <w:color w:val="auto"/>
          <w:sz w:val="32"/>
          <w:szCs w:val="32"/>
          <w:highlight w:val="none"/>
        </w:rPr>
      </w:pPr>
    </w:p>
    <w:p>
      <w:pPr>
        <w:pStyle w:val="12"/>
        <w:rPr>
          <w:rFonts w:ascii="宋体" w:hAnsi="宋体" w:cs="宋体"/>
          <w:b/>
          <w:color w:val="auto"/>
          <w:sz w:val="32"/>
          <w:szCs w:val="32"/>
          <w:highlight w:val="none"/>
        </w:rPr>
      </w:pPr>
    </w:p>
    <w:p>
      <w:pPr>
        <w:rPr>
          <w:rFonts w:ascii="宋体" w:hAnsi="宋体" w:cs="宋体"/>
          <w:b/>
          <w:color w:val="auto"/>
          <w:sz w:val="32"/>
          <w:szCs w:val="32"/>
          <w:highlight w:val="none"/>
        </w:rPr>
      </w:pPr>
    </w:p>
    <w:p>
      <w:pPr>
        <w:pStyle w:val="12"/>
        <w:rPr>
          <w:rFonts w:ascii="宋体" w:hAnsi="宋体" w:cs="宋体"/>
          <w:b/>
          <w:color w:val="auto"/>
          <w:sz w:val="32"/>
          <w:szCs w:val="32"/>
          <w:highlight w:val="none"/>
        </w:rPr>
      </w:pPr>
    </w:p>
    <w:p>
      <w:pPr>
        <w:rPr>
          <w:rFonts w:ascii="宋体" w:hAnsi="宋体" w:cs="宋体"/>
          <w:b/>
          <w:color w:val="auto"/>
          <w:sz w:val="32"/>
          <w:szCs w:val="32"/>
          <w:highlight w:val="none"/>
        </w:rPr>
      </w:pPr>
    </w:p>
    <w:p>
      <w:pPr>
        <w:pStyle w:val="12"/>
        <w:rPr>
          <w:rFonts w:ascii="宋体" w:hAnsi="宋体" w:cs="宋体"/>
          <w:b/>
          <w:color w:val="auto"/>
          <w:sz w:val="32"/>
          <w:szCs w:val="32"/>
          <w:highlight w:val="none"/>
        </w:rPr>
      </w:pPr>
    </w:p>
    <w:p>
      <w:pPr>
        <w:rPr>
          <w:rFonts w:ascii="宋体" w:hAnsi="宋体" w:cs="宋体"/>
          <w:b/>
          <w:color w:val="auto"/>
          <w:sz w:val="32"/>
          <w:szCs w:val="32"/>
          <w:highlight w:val="none"/>
        </w:rPr>
      </w:pPr>
    </w:p>
    <w:p>
      <w:pPr>
        <w:pStyle w:val="12"/>
        <w:rPr>
          <w:rFonts w:ascii="宋体" w:hAnsi="宋体" w:cs="宋体"/>
          <w:color w:val="auto"/>
          <w:highlight w:val="none"/>
        </w:rPr>
      </w:pPr>
    </w:p>
    <w:p>
      <w:pPr>
        <w:widowControl/>
        <w:spacing w:after="0" w:line="360" w:lineRule="atLeast"/>
        <w:jc w:val="left"/>
        <w:outlineLvl w:val="1"/>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格式2-1</w:t>
      </w:r>
      <w:r>
        <w:rPr>
          <w:rFonts w:hint="eastAsia" w:ascii="宋体" w:hAnsi="宋体" w:cs="宋体"/>
          <w:b/>
          <w:color w:val="auto"/>
          <w:sz w:val="32"/>
          <w:szCs w:val="32"/>
          <w:highlight w:val="none"/>
          <w:lang w:val="en-US" w:eastAsia="zh-CN"/>
        </w:rPr>
        <w:t>7</w:t>
      </w:r>
    </w:p>
    <w:p>
      <w:pPr>
        <w:widowControl/>
        <w:spacing w:after="0" w:line="360" w:lineRule="atLeast"/>
        <w:jc w:val="center"/>
        <w:outlineLvl w:val="1"/>
        <w:rPr>
          <w:rFonts w:ascii="宋体" w:hAnsi="宋体" w:cs="宋体"/>
          <w:b/>
          <w:color w:val="auto"/>
          <w:sz w:val="32"/>
          <w:szCs w:val="32"/>
          <w:highlight w:val="none"/>
        </w:rPr>
      </w:pPr>
    </w:p>
    <w:p>
      <w:pPr>
        <w:widowControl/>
        <w:spacing w:after="0" w:line="360" w:lineRule="atLeast"/>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十</w:t>
      </w:r>
      <w:r>
        <w:rPr>
          <w:rFonts w:hint="eastAsia" w:ascii="宋体" w:hAnsi="宋体" w:cs="宋体"/>
          <w:b/>
          <w:color w:val="auto"/>
          <w:sz w:val="32"/>
          <w:szCs w:val="32"/>
          <w:highlight w:val="none"/>
          <w:lang w:val="en-US" w:eastAsia="zh-CN"/>
        </w:rPr>
        <w:t>六</w:t>
      </w:r>
      <w:r>
        <w:rPr>
          <w:rFonts w:hint="eastAsia" w:ascii="宋体" w:hAnsi="宋体" w:cs="宋体"/>
          <w:b/>
          <w:color w:val="auto"/>
          <w:sz w:val="32"/>
          <w:szCs w:val="32"/>
          <w:highlight w:val="none"/>
        </w:rPr>
        <w:t>、投标人按照招标文件要求作出的其他应答和承诺。</w:t>
      </w:r>
    </w:p>
    <w:p>
      <w:pPr>
        <w:widowControl/>
        <w:spacing w:after="0" w:line="360" w:lineRule="atLeast"/>
        <w:jc w:val="center"/>
        <w:outlineLvl w:val="1"/>
        <w:rPr>
          <w:rFonts w:ascii="宋体" w:hAnsi="宋体" w:cs="宋体"/>
          <w:b/>
          <w:color w:val="auto"/>
          <w:sz w:val="32"/>
          <w:szCs w:val="32"/>
          <w:highlight w:val="none"/>
        </w:r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格式自拟</w:t>
      </w:r>
    </w:p>
    <w:p>
      <w:pPr>
        <w:rPr>
          <w:rFonts w:ascii="宋体" w:hAnsi="宋体" w:cs="宋体"/>
          <w:color w:val="auto"/>
          <w:highlight w:val="none"/>
        </w:rPr>
        <w:sectPr>
          <w:footerReference r:id="rId17" w:type="default"/>
          <w:pgSz w:w="11905" w:h="16838"/>
          <w:pgMar w:top="1440" w:right="1803" w:bottom="1440" w:left="1803" w:header="851" w:footer="992" w:gutter="0"/>
          <w:cols w:space="720" w:num="1"/>
          <w:docGrid w:linePitch="319" w:charSpace="0"/>
        </w:sectPr>
      </w:pPr>
    </w:p>
    <w:p>
      <w:pPr>
        <w:pStyle w:val="3"/>
        <w:spacing w:line="24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第四章  投标人和投标产品的资格、资质性及其他类似效力要求</w:t>
      </w:r>
      <w:bookmarkEnd w:id="177"/>
      <w:bookmarkEnd w:id="178"/>
    </w:p>
    <w:p>
      <w:pPr>
        <w:pStyle w:val="4"/>
        <w:spacing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一、投标人资格、资质性及其他类似效力要求</w:t>
      </w:r>
    </w:p>
    <w:p>
      <w:pPr>
        <w:pStyle w:val="64"/>
        <w:spacing w:line="420" w:lineRule="exact"/>
        <w:ind w:firstLine="0" w:firstLineChars="0"/>
        <w:rPr>
          <w:rFonts w:ascii="宋体" w:hAnsi="宋体" w:cs="宋体"/>
          <w:b/>
          <w:bCs/>
          <w:color w:val="auto"/>
          <w:sz w:val="24"/>
          <w:highlight w:val="none"/>
        </w:rPr>
      </w:pPr>
      <w:r>
        <w:rPr>
          <w:rFonts w:hint="eastAsia" w:ascii="宋体" w:hAnsi="宋体" w:cs="宋体"/>
          <w:b/>
          <w:bCs/>
          <w:color w:val="auto"/>
          <w:sz w:val="24"/>
          <w:highlight w:val="none"/>
        </w:rPr>
        <w:t>（一）资格要求：</w:t>
      </w:r>
    </w:p>
    <w:p>
      <w:pPr>
        <w:pStyle w:val="64"/>
        <w:spacing w:line="420" w:lineRule="exact"/>
        <w:ind w:firstLine="0" w:firstLineChars="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pStyle w:val="64"/>
        <w:spacing w:line="420" w:lineRule="exact"/>
        <w:ind w:firstLine="0" w:firstLineChars="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pStyle w:val="64"/>
        <w:spacing w:line="420" w:lineRule="exact"/>
        <w:ind w:firstLine="0" w:firstLineChars="0"/>
        <w:rPr>
          <w:rFonts w:ascii="宋体" w:hAnsi="宋体" w:cs="宋体"/>
          <w:color w:val="auto"/>
          <w:sz w:val="24"/>
          <w:highlight w:val="none"/>
        </w:rPr>
      </w:pPr>
      <w:r>
        <w:rPr>
          <w:rFonts w:hint="eastAsia" w:ascii="宋体" w:hAnsi="宋体" w:cs="宋体"/>
          <w:color w:val="auto"/>
          <w:sz w:val="24"/>
          <w:highlight w:val="none"/>
        </w:rPr>
        <w:t>3.具有履行合同所必须的设备和专业技术能力；</w:t>
      </w:r>
    </w:p>
    <w:p>
      <w:pPr>
        <w:pStyle w:val="64"/>
        <w:spacing w:line="420" w:lineRule="exact"/>
        <w:ind w:firstLine="0" w:firstLineChars="0"/>
        <w:rPr>
          <w:rFonts w:ascii="宋体" w:hAnsi="宋体" w:cs="宋体"/>
          <w:color w:val="auto"/>
          <w:sz w:val="24"/>
          <w:highlight w:val="none"/>
        </w:rPr>
      </w:pPr>
      <w:r>
        <w:rPr>
          <w:rFonts w:hint="eastAsia" w:ascii="宋体" w:hAnsi="宋体" w:cs="宋体"/>
          <w:color w:val="auto"/>
          <w:sz w:val="24"/>
          <w:highlight w:val="none"/>
        </w:rPr>
        <w:t>4.具有依法缴纳税收和社会保障资金的良好记录；</w:t>
      </w:r>
    </w:p>
    <w:p>
      <w:pPr>
        <w:pStyle w:val="64"/>
        <w:spacing w:line="420" w:lineRule="exact"/>
        <w:ind w:firstLine="0" w:firstLineChars="0"/>
        <w:rPr>
          <w:rFonts w:ascii="宋体" w:hAnsi="宋体" w:cs="宋体"/>
          <w:color w:val="auto"/>
          <w:sz w:val="24"/>
          <w:highlight w:val="none"/>
        </w:rPr>
      </w:pPr>
      <w:r>
        <w:rPr>
          <w:rFonts w:hint="eastAsia" w:ascii="宋体" w:hAnsi="宋体" w:cs="宋体"/>
          <w:color w:val="auto"/>
          <w:sz w:val="24"/>
          <w:highlight w:val="none"/>
        </w:rPr>
        <w:t>5.参加本次政府采购活动前三年内，在经营活动中没有重大违法记录。</w:t>
      </w:r>
    </w:p>
    <w:p>
      <w:pPr>
        <w:pStyle w:val="64"/>
        <w:spacing w:line="420" w:lineRule="exact"/>
        <w:ind w:firstLine="0" w:firstLineChars="0"/>
        <w:rPr>
          <w:rFonts w:ascii="宋体" w:hAnsi="宋体" w:cs="宋体"/>
          <w:b/>
          <w:bCs/>
          <w:color w:val="auto"/>
          <w:sz w:val="24"/>
          <w:highlight w:val="none"/>
        </w:rPr>
      </w:pPr>
      <w:r>
        <w:rPr>
          <w:rFonts w:hint="eastAsia" w:ascii="宋体" w:hAnsi="宋体" w:cs="宋体"/>
          <w:b/>
          <w:bCs/>
          <w:color w:val="auto"/>
          <w:sz w:val="24"/>
          <w:highlight w:val="none"/>
        </w:rPr>
        <w:t>（二）法律、行政法规规定的其他条件：</w:t>
      </w:r>
    </w:p>
    <w:p>
      <w:pPr>
        <w:pStyle w:val="64"/>
        <w:spacing w:line="420" w:lineRule="exact"/>
        <w:ind w:firstLine="0" w:firstLineChars="0"/>
        <w:rPr>
          <w:rFonts w:ascii="宋体" w:hAnsi="宋体" w:cs="宋体"/>
          <w:color w:val="auto"/>
          <w:sz w:val="24"/>
          <w:highlight w:val="none"/>
        </w:rPr>
      </w:pPr>
      <w:r>
        <w:rPr>
          <w:rFonts w:hint="eastAsia" w:ascii="宋体" w:hAnsi="宋体" w:cs="宋体"/>
          <w:color w:val="auto"/>
          <w:sz w:val="24"/>
          <w:highlight w:val="none"/>
        </w:rPr>
        <w:t>1.参加本次政府采购活动，投标人不存在与单位负责人为同一人或者存在直接控股、管理关系的其他投标人参与同一合同项下的政府采购活动的行为。</w:t>
      </w:r>
    </w:p>
    <w:p>
      <w:pPr>
        <w:pStyle w:val="64"/>
        <w:spacing w:line="420" w:lineRule="exact"/>
        <w:ind w:firstLine="0" w:firstLineChars="0"/>
        <w:rPr>
          <w:rFonts w:ascii="宋体" w:hAnsi="宋体" w:cs="宋体"/>
          <w:color w:val="auto"/>
          <w:sz w:val="24"/>
          <w:highlight w:val="none"/>
        </w:rPr>
      </w:pPr>
      <w:r>
        <w:rPr>
          <w:rFonts w:hint="eastAsia" w:ascii="宋体" w:hAnsi="宋体" w:cs="宋体"/>
          <w:color w:val="auto"/>
          <w:sz w:val="24"/>
          <w:highlight w:val="none"/>
        </w:rPr>
        <w:t>2.参加本次政府采购活动，投标人不存在和其他投标人在同一合同项下的采购项目中，同时委托同一个自然人、同一家庭的人员、同一单位的人员作为代理人的行为。</w:t>
      </w:r>
    </w:p>
    <w:p>
      <w:pPr>
        <w:pStyle w:val="64"/>
        <w:spacing w:line="420" w:lineRule="exact"/>
        <w:ind w:firstLine="0" w:firstLineChars="0"/>
        <w:rPr>
          <w:rFonts w:ascii="宋体" w:hAnsi="宋体" w:cs="宋体"/>
          <w:color w:val="auto"/>
          <w:sz w:val="24"/>
          <w:highlight w:val="none"/>
        </w:rPr>
      </w:pPr>
      <w:r>
        <w:rPr>
          <w:rFonts w:hint="eastAsia" w:ascii="宋体" w:hAnsi="宋体" w:cs="宋体"/>
          <w:color w:val="auto"/>
          <w:sz w:val="24"/>
          <w:highlight w:val="none"/>
        </w:rPr>
        <w:t>3.为采购项目提供整体设计、规范编制或者项目管理、监理、检测等服务的投标人，不得再参加该采购项目的其他采购活动。</w:t>
      </w:r>
    </w:p>
    <w:p>
      <w:pPr>
        <w:pStyle w:val="64"/>
        <w:spacing w:line="420" w:lineRule="exact"/>
        <w:ind w:firstLine="0" w:firstLineChars="0"/>
        <w:rPr>
          <w:rFonts w:ascii="宋体" w:hAnsi="宋体" w:cs="宋体"/>
          <w:color w:val="auto"/>
          <w:sz w:val="24"/>
          <w:highlight w:val="none"/>
        </w:rPr>
      </w:pPr>
      <w:r>
        <w:rPr>
          <w:rFonts w:hint="eastAsia" w:ascii="宋体" w:hAnsi="宋体" w:cs="宋体"/>
          <w:color w:val="auto"/>
          <w:sz w:val="24"/>
          <w:highlight w:val="none"/>
        </w:rPr>
        <w:t>4.投标人单位及其现任法定代表人、主要负责人不得具有行贿犯罪记录。</w:t>
      </w:r>
    </w:p>
    <w:p>
      <w:pPr>
        <w:pStyle w:val="64"/>
        <w:spacing w:line="420" w:lineRule="exact"/>
        <w:ind w:firstLine="0" w:firstLineChars="0"/>
        <w:rPr>
          <w:rFonts w:ascii="宋体" w:hAnsi="宋体" w:cs="宋体"/>
          <w:color w:val="auto"/>
          <w:sz w:val="24"/>
          <w:highlight w:val="none"/>
        </w:rPr>
      </w:pPr>
      <w:r>
        <w:rPr>
          <w:rFonts w:hint="eastAsia" w:ascii="宋体" w:hAnsi="宋体" w:cs="宋体"/>
          <w:color w:val="auto"/>
          <w:sz w:val="24"/>
          <w:highlight w:val="none"/>
        </w:rPr>
        <w:t>5.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注：采购代理机构将通过“信用中国”（www.creditchina.gov.cn）、“中国政府采购网”（www.ccgp.gov.cn）等渠道查询投标人在递交响应文件截止时间前的信用记录并保存信用记录结果网页截图。查询时以输入投标人全称搜索后的结果截图为准，如有列入失信被执行人、重大税收违法案件当事人名单、政府采购严重违法失信行为记录名单及其他不符合《中华人民共和国政府采购法》第二十二条规定条件的供应商，拒绝其参与政府采购活动。以联合体形式参加本项目采购活动，联合体成员存在不良信用记录的，视同联合体存在不良信用记录。）；②非企业参与投标时由投标人在响应文件中自行提供承诺函，格式自拟。</w:t>
      </w:r>
    </w:p>
    <w:p>
      <w:pPr>
        <w:pStyle w:val="64"/>
        <w:spacing w:line="420" w:lineRule="exact"/>
        <w:ind w:firstLine="0" w:firstLineChars="0"/>
        <w:rPr>
          <w:rFonts w:ascii="宋体" w:hAnsi="宋体" w:cs="宋体"/>
          <w:b/>
          <w:bCs/>
          <w:color w:val="auto"/>
          <w:sz w:val="24"/>
          <w:highlight w:val="none"/>
        </w:rPr>
      </w:pPr>
      <w:r>
        <w:rPr>
          <w:rFonts w:hint="eastAsia" w:ascii="宋体" w:hAnsi="宋体" w:cs="宋体"/>
          <w:b/>
          <w:bCs/>
          <w:color w:val="auto"/>
          <w:sz w:val="24"/>
          <w:highlight w:val="none"/>
        </w:rPr>
        <w:t>（三）本次政府采购活动不接受联合体的形式参加投标。</w:t>
      </w:r>
    </w:p>
    <w:p>
      <w:pPr>
        <w:pStyle w:val="64"/>
        <w:spacing w:line="420" w:lineRule="exact"/>
        <w:ind w:firstLine="0" w:firstLineChars="0"/>
        <w:rPr>
          <w:rFonts w:ascii="宋体" w:hAnsi="宋体" w:cs="宋体"/>
          <w:b/>
          <w:bCs/>
          <w:color w:val="auto"/>
          <w:sz w:val="24"/>
          <w:highlight w:val="none"/>
        </w:rPr>
      </w:pPr>
      <w:r>
        <w:rPr>
          <w:rFonts w:hint="eastAsia" w:ascii="宋体" w:hAnsi="宋体" w:cs="宋体"/>
          <w:b/>
          <w:bCs/>
          <w:color w:val="auto"/>
          <w:sz w:val="24"/>
          <w:highlight w:val="none"/>
        </w:rPr>
        <w:t>（四）根据采购项目提出的特殊条件：无。</w:t>
      </w:r>
    </w:p>
    <w:p>
      <w:pPr>
        <w:pStyle w:val="64"/>
        <w:spacing w:line="420" w:lineRule="exact"/>
        <w:ind w:firstLine="482"/>
        <w:rPr>
          <w:rFonts w:ascii="宋体" w:hAnsi="宋体" w:cs="宋体"/>
          <w:b/>
          <w:color w:val="auto"/>
          <w:sz w:val="24"/>
          <w:highlight w:val="none"/>
        </w:rPr>
      </w:pPr>
      <w:r>
        <w:rPr>
          <w:rFonts w:hint="eastAsia" w:ascii="宋体" w:hAnsi="宋体" w:cs="宋体"/>
          <w:b/>
          <w:color w:val="auto"/>
          <w:sz w:val="24"/>
          <w:highlight w:val="none"/>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pStyle w:val="64"/>
        <w:numPr>
          <w:ilvl w:val="0"/>
          <w:numId w:val="5"/>
        </w:numPr>
        <w:spacing w:line="42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
        <w:spacing w:line="240" w:lineRule="auto"/>
        <w:jc w:val="center"/>
        <w:rPr>
          <w:rFonts w:ascii="宋体" w:hAnsi="宋体" w:cs="宋体"/>
          <w:color w:val="auto"/>
          <w:sz w:val="36"/>
          <w:szCs w:val="36"/>
          <w:highlight w:val="none"/>
        </w:rPr>
      </w:pPr>
      <w:bookmarkStart w:id="179" w:name="_Toc3806"/>
      <w:bookmarkStart w:id="180" w:name="_Toc1588"/>
      <w:r>
        <w:rPr>
          <w:rFonts w:hint="eastAsia" w:ascii="宋体" w:hAnsi="宋体" w:cs="宋体"/>
          <w:color w:val="auto"/>
          <w:sz w:val="36"/>
          <w:szCs w:val="36"/>
          <w:highlight w:val="none"/>
        </w:rPr>
        <w:br w:type="page"/>
      </w:r>
      <w:r>
        <w:rPr>
          <w:rFonts w:hint="eastAsia" w:ascii="宋体" w:hAnsi="宋体" w:cs="宋体"/>
          <w:color w:val="auto"/>
          <w:sz w:val="36"/>
          <w:szCs w:val="36"/>
          <w:highlight w:val="none"/>
        </w:rPr>
        <w:t>第五章  投标人应当提供的资格、资质性及其他类似效力要求的相关证明材料</w:t>
      </w:r>
      <w:bookmarkEnd w:id="179"/>
      <w:bookmarkEnd w:id="180"/>
    </w:p>
    <w:bookmarkEnd w:id="167"/>
    <w:p>
      <w:pPr>
        <w:snapToGrid w:val="0"/>
        <w:spacing w:line="360" w:lineRule="auto"/>
        <w:rPr>
          <w:rFonts w:ascii="宋体" w:hAnsi="宋体" w:cs="宋体"/>
          <w:b/>
          <w:bCs/>
          <w:color w:val="auto"/>
          <w:highlight w:val="none"/>
        </w:rPr>
      </w:pPr>
      <w:bookmarkStart w:id="181" w:name="_Toc2122"/>
      <w:bookmarkStart w:id="182" w:name="_Toc217446093"/>
      <w:bookmarkStart w:id="183" w:name="PO_默认文件内容_32"/>
      <w:r>
        <w:rPr>
          <w:rFonts w:hint="eastAsia" w:ascii="宋体" w:hAnsi="宋体" w:cs="宋体"/>
          <w:b/>
          <w:bCs/>
          <w:color w:val="auto"/>
          <w:highlight w:val="none"/>
        </w:rPr>
        <w:t>一、《中华人民共和国政府采购法》第二十二条第一款第1项至第5项规定的条件：</w:t>
      </w:r>
    </w:p>
    <w:p>
      <w:pPr>
        <w:pStyle w:val="64"/>
        <w:spacing w:line="420" w:lineRule="exact"/>
        <w:ind w:firstLine="480"/>
        <w:rPr>
          <w:rFonts w:ascii="宋体" w:hAnsi="宋体" w:cs="宋体"/>
          <w:b/>
          <w:bCs/>
          <w:color w:val="auto"/>
          <w:sz w:val="24"/>
          <w:highlight w:val="none"/>
        </w:rPr>
      </w:pPr>
      <w:r>
        <w:rPr>
          <w:rFonts w:hint="eastAsia" w:ascii="宋体" w:hAnsi="宋体" w:cs="宋体"/>
          <w:color w:val="auto"/>
          <w:sz w:val="24"/>
          <w:highlight w:val="none"/>
        </w:rPr>
        <w:t>1、具有独立承担民事责任的能力（①投标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有关注册登记证照”；④若为自然人：提供“身份证明材料”。）</w:t>
      </w:r>
      <w:r>
        <w:rPr>
          <w:rFonts w:hint="eastAsia" w:ascii="宋体" w:hAnsi="宋体" w:cs="宋体"/>
          <w:b/>
          <w:bCs/>
          <w:color w:val="auto"/>
          <w:sz w:val="24"/>
          <w:highlight w:val="none"/>
        </w:rPr>
        <w:t>（提供复印件加盖公章）；</w:t>
      </w:r>
    </w:p>
    <w:p>
      <w:pPr>
        <w:pStyle w:val="64"/>
        <w:spacing w:line="420" w:lineRule="exact"/>
        <w:ind w:firstLine="480"/>
        <w:rPr>
          <w:rFonts w:ascii="宋体" w:hAnsi="宋体" w:cs="宋体"/>
          <w:color w:val="auto"/>
          <w:sz w:val="24"/>
          <w:highlight w:val="none"/>
        </w:rPr>
      </w:pPr>
      <w:r>
        <w:rPr>
          <w:rFonts w:hint="eastAsia" w:ascii="宋体" w:hAnsi="宋体" w:cs="宋体"/>
          <w:color w:val="auto"/>
          <w:sz w:val="24"/>
          <w:highlight w:val="none"/>
        </w:rPr>
        <w:t>2、具备良好商业信誉的证明材料</w:t>
      </w:r>
      <w:r>
        <w:rPr>
          <w:rFonts w:hint="eastAsia" w:ascii="宋体" w:hAnsi="宋体" w:cs="宋体"/>
          <w:b/>
          <w:bCs/>
          <w:color w:val="auto"/>
          <w:sz w:val="24"/>
          <w:highlight w:val="none"/>
        </w:rPr>
        <w:t>（提供承诺函，格式自拟）</w:t>
      </w:r>
      <w:r>
        <w:rPr>
          <w:rFonts w:hint="eastAsia" w:ascii="宋体" w:hAnsi="宋体" w:cs="宋体"/>
          <w:color w:val="auto"/>
          <w:sz w:val="24"/>
          <w:highlight w:val="none"/>
        </w:rPr>
        <w:t>；</w:t>
      </w:r>
    </w:p>
    <w:p>
      <w:pPr>
        <w:pStyle w:val="64"/>
        <w:spacing w:line="420" w:lineRule="exact"/>
        <w:ind w:firstLine="480"/>
        <w:rPr>
          <w:rFonts w:ascii="宋体" w:hAnsi="宋体" w:cs="宋体"/>
          <w:color w:val="auto"/>
          <w:sz w:val="24"/>
          <w:highlight w:val="none"/>
        </w:rPr>
      </w:pPr>
      <w:r>
        <w:rPr>
          <w:rFonts w:hint="eastAsia" w:ascii="宋体" w:hAnsi="宋体" w:cs="宋体"/>
          <w:color w:val="auto"/>
          <w:sz w:val="24"/>
          <w:highlight w:val="none"/>
        </w:rPr>
        <w:t>3、具备健全的财务会计制度的证明材料；</w:t>
      </w:r>
    </w:p>
    <w:p>
      <w:pPr>
        <w:pStyle w:val="64"/>
        <w:spacing w:line="420" w:lineRule="exact"/>
        <w:ind w:firstLine="480"/>
        <w:rPr>
          <w:rFonts w:ascii="宋体" w:hAnsi="宋体" w:cs="宋体"/>
          <w:color w:val="auto"/>
          <w:sz w:val="24"/>
          <w:highlight w:val="none"/>
        </w:rPr>
      </w:pPr>
      <w:r>
        <w:rPr>
          <w:rFonts w:hint="eastAsia" w:ascii="宋体" w:hAnsi="宋体" w:cs="宋体"/>
          <w:color w:val="auto"/>
          <w:sz w:val="24"/>
          <w:highlight w:val="none"/>
        </w:rPr>
        <w:t>｛注：①可提供2019年度或者2020年度经审计的财务报告复印件（包含审计报告和审计报告中所涉及的财务报表和报表附注），②也可提供2019年度或者2020年度投标人内部的财务报表复印件（至少包含资产负债表），③也可提供距文件递交截止日一年内银行出具的资信证明（复印件）④投标人注册时间截至投标文件递交截止日不足一年的，也可提供在工商备案的公司章程（复印件）⑤投标人为事业单位或其他组织的提供其具有健全的财务会计制度的承诺函原件即可。｝。</w:t>
      </w:r>
    </w:p>
    <w:p>
      <w:pPr>
        <w:pStyle w:val="64"/>
        <w:spacing w:line="420" w:lineRule="exact"/>
        <w:ind w:firstLine="480"/>
        <w:rPr>
          <w:rFonts w:ascii="宋体" w:hAnsi="宋体" w:cs="宋体"/>
          <w:color w:val="auto"/>
          <w:sz w:val="24"/>
          <w:highlight w:val="none"/>
        </w:rPr>
      </w:pPr>
      <w:r>
        <w:rPr>
          <w:rFonts w:hint="eastAsia" w:ascii="宋体" w:hAnsi="宋体" w:cs="宋体"/>
          <w:color w:val="auto"/>
          <w:sz w:val="24"/>
          <w:highlight w:val="none"/>
        </w:rPr>
        <w:t>4、具有履行合同所必需的设备和专业技术能力</w:t>
      </w:r>
      <w:r>
        <w:rPr>
          <w:rFonts w:hint="eastAsia" w:ascii="宋体" w:hAnsi="宋体" w:cs="宋体"/>
          <w:b/>
          <w:bCs/>
          <w:color w:val="auto"/>
          <w:sz w:val="24"/>
          <w:highlight w:val="none"/>
        </w:rPr>
        <w:t>（提供承诺函，格式自拟）</w:t>
      </w:r>
      <w:r>
        <w:rPr>
          <w:rFonts w:hint="eastAsia" w:ascii="宋体" w:hAnsi="宋体" w:cs="宋体"/>
          <w:color w:val="auto"/>
          <w:sz w:val="24"/>
          <w:highlight w:val="none"/>
        </w:rPr>
        <w:t>；</w:t>
      </w:r>
    </w:p>
    <w:p>
      <w:pPr>
        <w:pStyle w:val="64"/>
        <w:spacing w:line="420" w:lineRule="exact"/>
        <w:ind w:firstLine="480"/>
        <w:rPr>
          <w:rFonts w:ascii="宋体" w:hAnsi="宋体" w:cs="宋体"/>
          <w:color w:val="auto"/>
          <w:sz w:val="24"/>
          <w:highlight w:val="none"/>
        </w:rPr>
      </w:pPr>
      <w:r>
        <w:rPr>
          <w:rFonts w:hint="eastAsia" w:ascii="宋体" w:hAnsi="宋体" w:cs="宋体"/>
          <w:color w:val="auto"/>
          <w:sz w:val="24"/>
          <w:highlight w:val="none"/>
        </w:rPr>
        <w:t>5、具有依法缴纳税收和社会保障资金的良好记录｛注：①提供2020年至投标截止时间任意1个月的纳税和社保缴纳证明材料；依法免税或不需要缴纳社会保障资金的投标人，应提供相应文件证明其依法免税或不需要缴纳社会保障资金，②若公司成立未满一年可提供具有依法缴纳税收和社会保障资金的良好记录的承诺书。}。</w:t>
      </w:r>
    </w:p>
    <w:p>
      <w:pPr>
        <w:pStyle w:val="64"/>
        <w:spacing w:line="420" w:lineRule="exact"/>
        <w:ind w:firstLine="480"/>
        <w:rPr>
          <w:rFonts w:ascii="宋体" w:hAnsi="宋体" w:cs="宋体"/>
          <w:color w:val="auto"/>
          <w:sz w:val="24"/>
          <w:highlight w:val="none"/>
        </w:rPr>
      </w:pPr>
      <w:r>
        <w:rPr>
          <w:rFonts w:hint="eastAsia" w:ascii="宋体" w:hAnsi="宋体" w:cs="宋体"/>
          <w:color w:val="auto"/>
          <w:sz w:val="24"/>
          <w:highlight w:val="none"/>
        </w:rPr>
        <w:t>6、参加本次政府采购活动前三年内，在经营活动中没有重大违法记录的承诺函。</w:t>
      </w:r>
      <w:r>
        <w:rPr>
          <w:rFonts w:hint="eastAsia" w:ascii="宋体" w:hAnsi="宋体" w:cs="宋体"/>
          <w:b/>
          <w:bCs/>
          <w:color w:val="auto"/>
          <w:sz w:val="24"/>
          <w:highlight w:val="none"/>
        </w:rPr>
        <w:t>（格式自拟）</w:t>
      </w:r>
    </w:p>
    <w:p>
      <w:pPr>
        <w:snapToGrid w:val="0"/>
        <w:spacing w:line="360" w:lineRule="auto"/>
        <w:rPr>
          <w:rFonts w:ascii="宋体" w:hAnsi="宋体" w:cs="宋体"/>
          <w:b/>
          <w:bCs/>
          <w:color w:val="auto"/>
          <w:highlight w:val="none"/>
        </w:rPr>
      </w:pPr>
      <w:r>
        <w:rPr>
          <w:rFonts w:hint="eastAsia" w:ascii="宋体" w:hAnsi="宋体" w:cs="宋体"/>
          <w:b/>
          <w:bCs/>
          <w:color w:val="auto"/>
          <w:highlight w:val="none"/>
        </w:rPr>
        <w:t>二、符合法律、行政法规规定的其他条件:</w:t>
      </w:r>
    </w:p>
    <w:p>
      <w:pPr>
        <w:pStyle w:val="64"/>
        <w:spacing w:line="420" w:lineRule="exact"/>
        <w:ind w:firstLine="480"/>
        <w:rPr>
          <w:rFonts w:ascii="宋体" w:hAnsi="宋体" w:cs="宋体"/>
          <w:b/>
          <w:bCs/>
          <w:color w:val="auto"/>
          <w:sz w:val="24"/>
          <w:highlight w:val="none"/>
        </w:rPr>
      </w:pPr>
      <w:r>
        <w:rPr>
          <w:rFonts w:hint="eastAsia" w:ascii="宋体" w:hAnsi="宋体" w:cs="宋体"/>
          <w:color w:val="auto"/>
          <w:sz w:val="24"/>
          <w:highlight w:val="none"/>
        </w:rPr>
        <w:t>1、投标人不存在与单位负责人为同一人或者存在直接控股、管理关系的其他投标人参与同一合同项下的政府采购活动的行为。</w:t>
      </w:r>
      <w:r>
        <w:rPr>
          <w:rFonts w:hint="eastAsia" w:ascii="宋体" w:hAnsi="宋体" w:cs="宋体"/>
          <w:b/>
          <w:bCs/>
          <w:color w:val="auto"/>
          <w:sz w:val="24"/>
          <w:highlight w:val="none"/>
        </w:rPr>
        <w:t>（提供承诺函，格式自拟）</w:t>
      </w:r>
    </w:p>
    <w:p>
      <w:pPr>
        <w:pStyle w:val="64"/>
        <w:spacing w:line="420" w:lineRule="exact"/>
        <w:ind w:firstLine="480"/>
        <w:rPr>
          <w:rFonts w:ascii="宋体" w:hAnsi="宋体" w:cs="宋体"/>
          <w:b/>
          <w:bCs/>
          <w:color w:val="auto"/>
          <w:sz w:val="24"/>
          <w:highlight w:val="none"/>
        </w:rPr>
      </w:pPr>
      <w:r>
        <w:rPr>
          <w:rFonts w:hint="eastAsia" w:ascii="宋体" w:hAnsi="宋体" w:cs="宋体"/>
          <w:color w:val="auto"/>
          <w:sz w:val="24"/>
          <w:highlight w:val="none"/>
        </w:rPr>
        <w:t>2、投标人不存在和其他投标人在同一合同项下的采购项目中，同时委托同一个自然人、同一家庭的人员、同一单位的人员作为代理人的行为。</w:t>
      </w:r>
      <w:r>
        <w:rPr>
          <w:rFonts w:hint="eastAsia" w:ascii="宋体" w:hAnsi="宋体" w:cs="宋体"/>
          <w:b/>
          <w:bCs/>
          <w:color w:val="auto"/>
          <w:sz w:val="24"/>
          <w:highlight w:val="none"/>
        </w:rPr>
        <w:t>（提供承诺函，格式自拟）</w:t>
      </w:r>
    </w:p>
    <w:p>
      <w:pPr>
        <w:pStyle w:val="64"/>
        <w:spacing w:line="420" w:lineRule="exact"/>
        <w:ind w:firstLine="480"/>
        <w:rPr>
          <w:rFonts w:ascii="宋体" w:hAnsi="宋体" w:cs="宋体"/>
          <w:color w:val="auto"/>
          <w:sz w:val="24"/>
          <w:highlight w:val="none"/>
        </w:rPr>
      </w:pPr>
      <w:r>
        <w:rPr>
          <w:rFonts w:hint="eastAsia" w:ascii="宋体" w:hAnsi="宋体" w:cs="宋体"/>
          <w:color w:val="auto"/>
          <w:sz w:val="24"/>
          <w:highlight w:val="none"/>
        </w:rPr>
        <w:t>3、提供为采购项目提供整体设计、规范编制或者项目管理、监理、检测等服务的投标人，不得再参加该采购项目的其他采购活动的承诺函。</w:t>
      </w:r>
      <w:r>
        <w:rPr>
          <w:rFonts w:hint="eastAsia" w:ascii="宋体" w:hAnsi="宋体" w:cs="宋体"/>
          <w:b/>
          <w:bCs/>
          <w:color w:val="auto"/>
          <w:sz w:val="24"/>
          <w:highlight w:val="none"/>
        </w:rPr>
        <w:t>（提供承诺函，格式自拟）</w:t>
      </w:r>
    </w:p>
    <w:p>
      <w:pPr>
        <w:pStyle w:val="64"/>
        <w:spacing w:line="420" w:lineRule="exact"/>
        <w:ind w:firstLine="480"/>
        <w:rPr>
          <w:rFonts w:ascii="宋体" w:hAnsi="宋体" w:cs="宋体"/>
          <w:b/>
          <w:bCs/>
          <w:color w:val="auto"/>
          <w:sz w:val="24"/>
          <w:highlight w:val="none"/>
        </w:rPr>
      </w:pPr>
      <w:r>
        <w:rPr>
          <w:rFonts w:hint="eastAsia" w:ascii="宋体" w:hAnsi="宋体" w:cs="宋体"/>
          <w:color w:val="auto"/>
          <w:sz w:val="24"/>
          <w:highlight w:val="none"/>
        </w:rPr>
        <w:t>4、投标人单位及其现任法定代表人、主要负责人不得具有行贿犯罪记录。</w:t>
      </w:r>
      <w:r>
        <w:rPr>
          <w:rFonts w:hint="eastAsia" w:ascii="宋体" w:hAnsi="宋体" w:cs="宋体"/>
          <w:b/>
          <w:bCs/>
          <w:color w:val="auto"/>
          <w:sz w:val="24"/>
          <w:highlight w:val="none"/>
        </w:rPr>
        <w:t>（提供承诺函）</w:t>
      </w:r>
    </w:p>
    <w:p>
      <w:pPr>
        <w:pStyle w:val="64"/>
        <w:spacing w:line="420" w:lineRule="exact"/>
        <w:ind w:firstLine="480"/>
        <w:rPr>
          <w:rFonts w:ascii="宋体" w:hAnsi="宋体" w:cs="宋体"/>
          <w:color w:val="auto"/>
          <w:sz w:val="24"/>
          <w:highlight w:val="none"/>
        </w:rPr>
      </w:pPr>
      <w:r>
        <w:rPr>
          <w:rFonts w:hint="eastAsia" w:ascii="宋体" w:hAnsi="宋体" w:cs="宋体"/>
          <w:color w:val="auto"/>
          <w:sz w:val="24"/>
          <w:highlight w:val="none"/>
        </w:rPr>
        <w:t>5、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注：采购代理机构将通过“信用中国”（www.creditchina.gov.cn）、“中国政府采购网”（www.ccgp.gov.cn）等渠道查询投标人在递交响应文件截止时间前的信用记录并保存信用记录结果网页截图。查询时以输入投标人全称搜索后的结果截图为准，如有列入失信被执行人、重大税收违法案件当事人名单、政府采购严重违法失信行为记录名单及其他不符合《中华人民共和国政府采购法》第二十二条规定条件的供应商，拒绝其参与政府采购活动。以联合体形式参加本项目采购活动，联合体成员存在不良信用记录的，视同联合体存在不良信用记录。②非企业参与投标时由投标人在响应文件中自行提供承诺函，格式自拟；</w:t>
      </w:r>
    </w:p>
    <w:p>
      <w:pPr>
        <w:snapToGrid w:val="0"/>
        <w:spacing w:line="240" w:lineRule="auto"/>
        <w:rPr>
          <w:rFonts w:ascii="宋体" w:hAnsi="宋体" w:cs="宋体"/>
          <w:b/>
          <w:bCs/>
          <w:color w:val="auto"/>
          <w:highlight w:val="none"/>
        </w:rPr>
      </w:pPr>
      <w:r>
        <w:rPr>
          <w:rFonts w:hint="eastAsia" w:ascii="宋体" w:hAnsi="宋体" w:cs="宋体"/>
          <w:b/>
          <w:bCs/>
          <w:color w:val="auto"/>
          <w:highlight w:val="none"/>
        </w:rPr>
        <w:t>三、采购人根据采购项目提出的特殊条件：无</w:t>
      </w:r>
    </w:p>
    <w:p>
      <w:pPr>
        <w:snapToGrid w:val="0"/>
        <w:spacing w:line="240" w:lineRule="auto"/>
        <w:rPr>
          <w:rFonts w:ascii="宋体" w:hAnsi="宋体" w:cs="宋体"/>
          <w:b/>
          <w:bCs/>
          <w:color w:val="auto"/>
          <w:highlight w:val="none"/>
        </w:rPr>
      </w:pPr>
      <w:r>
        <w:rPr>
          <w:rFonts w:hint="eastAsia" w:ascii="宋体" w:hAnsi="宋体" w:cs="宋体"/>
          <w:b/>
          <w:bCs/>
          <w:color w:val="auto"/>
          <w:highlight w:val="none"/>
        </w:rPr>
        <w:t>四、投标人应提供的其他类似效力要求的相关证明材料：</w:t>
      </w:r>
    </w:p>
    <w:p>
      <w:pPr>
        <w:pStyle w:val="64"/>
        <w:spacing w:line="240" w:lineRule="auto"/>
        <w:ind w:firstLine="48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授权参加本次采购活动的</w:t>
      </w:r>
      <w:r>
        <w:rPr>
          <w:rFonts w:hint="eastAsia" w:ascii="宋体" w:hAnsi="宋体" w:cs="宋体"/>
          <w:color w:val="auto"/>
          <w:sz w:val="24"/>
          <w:highlight w:val="none"/>
        </w:rPr>
        <w:t>投标人</w:t>
      </w:r>
      <w:r>
        <w:rPr>
          <w:rFonts w:hint="eastAsia" w:ascii="宋体" w:hAnsi="宋体" w:cs="宋体"/>
          <w:color w:val="auto"/>
          <w:sz w:val="24"/>
          <w:highlight w:val="none"/>
          <w:lang w:val="zh-CN"/>
        </w:rPr>
        <w:t>代表证明材料：</w:t>
      </w:r>
    </w:p>
    <w:p>
      <w:pPr>
        <w:pStyle w:val="64"/>
        <w:spacing w:line="24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①法定代表人/单位负责人身份证明材料复印件。</w:t>
      </w:r>
    </w:p>
    <w:p>
      <w:pPr>
        <w:pStyle w:val="64"/>
        <w:spacing w:line="240" w:lineRule="auto"/>
        <w:ind w:firstLine="480"/>
        <w:rPr>
          <w:rFonts w:ascii="宋体" w:hAnsi="宋体" w:cs="宋体"/>
          <w:color w:val="auto"/>
          <w:sz w:val="24"/>
          <w:highlight w:val="none"/>
        </w:rPr>
      </w:pPr>
      <w:r>
        <w:rPr>
          <w:rFonts w:hint="eastAsia" w:ascii="宋体" w:hAnsi="宋体" w:cs="宋体"/>
          <w:color w:val="auto"/>
          <w:sz w:val="24"/>
          <w:highlight w:val="none"/>
          <w:lang w:val="zh-CN"/>
        </w:rPr>
        <w:t>②法定代表人/单位负责人授权代理书原件及代理人身份证明材料复印件（注：①法定代表人/单位负责人授权代理书原件需加盖公章；②如响应文件均由</w:t>
      </w:r>
      <w:r>
        <w:rPr>
          <w:rFonts w:hint="eastAsia" w:ascii="宋体" w:hAnsi="宋体" w:cs="宋体"/>
          <w:color w:val="auto"/>
          <w:sz w:val="24"/>
          <w:highlight w:val="none"/>
        </w:rPr>
        <w:t>投标人</w:t>
      </w:r>
      <w:r>
        <w:rPr>
          <w:rFonts w:hint="eastAsia" w:ascii="宋体" w:hAnsi="宋体" w:cs="宋体"/>
          <w:color w:val="auto"/>
          <w:sz w:val="24"/>
          <w:highlight w:val="none"/>
          <w:lang w:val="zh-CN"/>
        </w:rPr>
        <w:t>法定代表人/单位负责人签字的且法定代表人/单位负责人本人参与</w:t>
      </w:r>
      <w:r>
        <w:rPr>
          <w:rFonts w:hint="eastAsia" w:ascii="宋体" w:hAnsi="宋体" w:cs="宋体"/>
          <w:color w:val="auto"/>
          <w:sz w:val="24"/>
          <w:highlight w:val="none"/>
        </w:rPr>
        <w:t>投标</w:t>
      </w:r>
      <w:r>
        <w:rPr>
          <w:rFonts w:hint="eastAsia" w:ascii="宋体" w:hAnsi="宋体" w:cs="宋体"/>
          <w:color w:val="auto"/>
          <w:sz w:val="24"/>
          <w:highlight w:val="none"/>
          <w:lang w:val="zh-CN"/>
        </w:rPr>
        <w:t>的，则可不提供）。</w:t>
      </w:r>
    </w:p>
    <w:p>
      <w:pPr>
        <w:pStyle w:val="64"/>
        <w:spacing w:line="240" w:lineRule="auto"/>
        <w:ind w:firstLine="480"/>
        <w:rPr>
          <w:rFonts w:ascii="宋体" w:hAnsi="宋体" w:cs="宋体"/>
          <w:color w:val="auto"/>
          <w:sz w:val="24"/>
          <w:highlight w:val="none"/>
        </w:rPr>
      </w:pPr>
      <w:r>
        <w:rPr>
          <w:rFonts w:hint="eastAsia" w:ascii="宋体" w:hAnsi="宋体" w:cs="宋体"/>
          <w:color w:val="auto"/>
          <w:sz w:val="24"/>
          <w:highlight w:val="none"/>
        </w:rPr>
        <w:t>注：</w:t>
      </w:r>
    </w:p>
    <w:p>
      <w:pPr>
        <w:snapToGrid w:val="0"/>
        <w:spacing w:line="24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1）以上承诺函(可参照投标文件格式“承诺函”格式或自拟格式填写均有效)。</w:t>
      </w:r>
    </w:p>
    <w:p>
      <w:pPr>
        <w:snapToGrid w:val="0"/>
        <w:spacing w:line="24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2）投标人提供的以上资格证明材料为复印件的均应加盖投标人公章。</w:t>
      </w:r>
    </w:p>
    <w:p>
      <w:pPr>
        <w:snapToGrid w:val="0"/>
        <w:spacing w:line="24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3）投标人应对其所提供的资格证明材料来源的合法性、真实性负责。</w:t>
      </w:r>
    </w:p>
    <w:p>
      <w:pPr>
        <w:snapToGrid w:val="0"/>
        <w:spacing w:line="24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4）以上要求提供的相关证明材料应当结合采购项目具体情况和投标人的组织机构性质确定，不得一概而论。</w:t>
      </w:r>
    </w:p>
    <w:p>
      <w:pPr>
        <w:pStyle w:val="3"/>
        <w:spacing w:line="24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br w:type="page"/>
      </w:r>
      <w:r>
        <w:rPr>
          <w:rFonts w:hint="eastAsia" w:ascii="宋体" w:hAnsi="宋体" w:cs="宋体"/>
          <w:color w:val="auto"/>
          <w:sz w:val="36"/>
          <w:szCs w:val="36"/>
          <w:highlight w:val="none"/>
        </w:rPr>
        <w:t xml:space="preserve">第六章  </w:t>
      </w:r>
      <w:bookmarkEnd w:id="181"/>
      <w:r>
        <w:rPr>
          <w:rFonts w:hint="eastAsia" w:ascii="宋体" w:hAnsi="宋体" w:cs="宋体"/>
          <w:color w:val="auto"/>
          <w:sz w:val="36"/>
          <w:szCs w:val="36"/>
          <w:highlight w:val="none"/>
        </w:rPr>
        <w:t>招标项目技术、服务、商务及其他要求</w:t>
      </w:r>
    </w:p>
    <w:bookmarkEnd w:id="182"/>
    <w:p>
      <w:pPr>
        <w:spacing w:line="360" w:lineRule="auto"/>
        <w:ind w:firstLine="482" w:firstLineChars="200"/>
        <w:jc w:val="left"/>
        <w:rPr>
          <w:rFonts w:ascii="宋体" w:hAnsi="宋体" w:cs="宋体"/>
          <w:b/>
          <w:bCs/>
          <w:color w:val="auto"/>
          <w:sz w:val="24"/>
          <w:highlight w:val="none"/>
        </w:rPr>
      </w:pPr>
      <w:bookmarkStart w:id="184" w:name="_Toc31810"/>
      <w:bookmarkStart w:id="185" w:name="_Toc24786"/>
      <w:r>
        <w:rPr>
          <w:rFonts w:hint="eastAsia" w:ascii="宋体" w:hAnsi="宋体" w:cs="宋体"/>
          <w:b/>
          <w:bCs/>
          <w:color w:val="auto"/>
          <w:sz w:val="24"/>
          <w:highlight w:val="none"/>
        </w:rPr>
        <w:t>本章中标注“★”的条款为本项目的实质性条款，投标人不满足的，将按照无效投标处理。</w:t>
      </w:r>
    </w:p>
    <w:p>
      <w:pPr>
        <w:jc w:val="left"/>
        <w:rPr>
          <w:rFonts w:ascii="宋体" w:hAnsi="宋体" w:cs="宋体"/>
          <w:b/>
          <w:color w:val="auto"/>
          <w:sz w:val="24"/>
          <w:highlight w:val="none"/>
        </w:rPr>
      </w:pPr>
      <w:r>
        <w:rPr>
          <w:rFonts w:hint="eastAsia" w:ascii="宋体" w:hAnsi="宋体" w:cs="宋体"/>
          <w:b/>
          <w:color w:val="auto"/>
          <w:sz w:val="24"/>
          <w:highlight w:val="none"/>
        </w:rPr>
        <w:t>一、采购清单</w:t>
      </w:r>
    </w:p>
    <w:tbl>
      <w:tblPr>
        <w:tblStyle w:val="33"/>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2627"/>
        <w:gridCol w:w="2136"/>
        <w:gridCol w:w="213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2627" w:type="dxa"/>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项目</w:t>
            </w:r>
          </w:p>
        </w:tc>
        <w:tc>
          <w:tcPr>
            <w:tcW w:w="2136" w:type="dxa"/>
            <w:vAlign w:val="center"/>
          </w:tcPr>
          <w:p>
            <w:pPr>
              <w:rPr>
                <w:rFonts w:ascii="宋体" w:hAnsi="宋体" w:cs="宋体"/>
                <w:bCs/>
                <w:color w:val="auto"/>
                <w:sz w:val="24"/>
                <w:highlight w:val="none"/>
              </w:rPr>
            </w:pPr>
            <w:r>
              <w:rPr>
                <w:rFonts w:hint="eastAsia" w:ascii="宋体" w:hAnsi="宋体" w:cs="宋体"/>
                <w:bCs/>
                <w:color w:val="auto"/>
                <w:sz w:val="24"/>
                <w:highlight w:val="none"/>
              </w:rPr>
              <w:t>系统组成/要求</w:t>
            </w:r>
          </w:p>
        </w:tc>
        <w:tc>
          <w:tcPr>
            <w:tcW w:w="2136" w:type="dxa"/>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技术规格和配置要求</w:t>
            </w:r>
          </w:p>
        </w:tc>
        <w:tc>
          <w:tcPr>
            <w:tcW w:w="1495" w:type="dxa"/>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restart"/>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2627" w:type="dxa"/>
            <w:vMerge w:val="restart"/>
            <w:vAlign w:val="center"/>
          </w:tcPr>
          <w:p>
            <w:pPr>
              <w:jc w:val="center"/>
              <w:rPr>
                <w:rFonts w:ascii="宋体" w:hAnsi="宋体" w:cs="宋体"/>
                <w:color w:val="auto"/>
                <w:sz w:val="24"/>
                <w:highlight w:val="none"/>
              </w:rPr>
            </w:pPr>
            <w:r>
              <w:rPr>
                <w:rFonts w:hint="eastAsia" w:ascii="宋体" w:hAnsi="宋体" w:cs="宋体"/>
                <w:color w:val="auto"/>
                <w:sz w:val="24"/>
                <w:highlight w:val="none"/>
              </w:rPr>
              <w:t>VOCs走航分析系统</w:t>
            </w:r>
          </w:p>
        </w:tc>
        <w:tc>
          <w:tcPr>
            <w:tcW w:w="21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VOCs走航分析仪主机</w:t>
            </w:r>
          </w:p>
        </w:tc>
        <w:tc>
          <w:tcPr>
            <w:tcW w:w="21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详见内容及要求</w:t>
            </w:r>
          </w:p>
        </w:tc>
        <w:tc>
          <w:tcPr>
            <w:tcW w:w="149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jc w:val="center"/>
              <w:rPr>
                <w:rFonts w:ascii="宋体" w:hAnsi="宋体" w:cs="宋体"/>
                <w:color w:val="auto"/>
                <w:sz w:val="24"/>
                <w:highlight w:val="none"/>
              </w:rPr>
            </w:pPr>
          </w:p>
        </w:tc>
        <w:tc>
          <w:tcPr>
            <w:tcW w:w="2627" w:type="dxa"/>
            <w:vMerge w:val="continue"/>
            <w:vAlign w:val="center"/>
          </w:tcPr>
          <w:p>
            <w:pPr>
              <w:jc w:val="center"/>
              <w:rPr>
                <w:rFonts w:ascii="宋体" w:hAnsi="宋体" w:cs="宋体"/>
                <w:color w:val="auto"/>
                <w:sz w:val="24"/>
                <w:highlight w:val="none"/>
              </w:rPr>
            </w:pPr>
          </w:p>
        </w:tc>
        <w:tc>
          <w:tcPr>
            <w:tcW w:w="21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车载式大气采样系统</w:t>
            </w:r>
          </w:p>
        </w:tc>
        <w:tc>
          <w:tcPr>
            <w:tcW w:w="21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详见内容及要求</w:t>
            </w:r>
          </w:p>
        </w:tc>
        <w:tc>
          <w:tcPr>
            <w:tcW w:w="149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jc w:val="center"/>
              <w:rPr>
                <w:rFonts w:ascii="宋体" w:hAnsi="宋体" w:cs="宋体"/>
                <w:color w:val="auto"/>
                <w:sz w:val="24"/>
                <w:highlight w:val="none"/>
              </w:rPr>
            </w:pPr>
          </w:p>
        </w:tc>
        <w:tc>
          <w:tcPr>
            <w:tcW w:w="2627" w:type="dxa"/>
            <w:vMerge w:val="continue"/>
            <w:vAlign w:val="center"/>
          </w:tcPr>
          <w:p>
            <w:pPr>
              <w:jc w:val="center"/>
              <w:rPr>
                <w:rFonts w:ascii="宋体" w:hAnsi="宋体" w:cs="宋体"/>
                <w:color w:val="auto"/>
                <w:sz w:val="24"/>
                <w:highlight w:val="none"/>
              </w:rPr>
            </w:pPr>
          </w:p>
        </w:tc>
        <w:tc>
          <w:tcPr>
            <w:tcW w:w="21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VOCs分析专用动态校准仪</w:t>
            </w:r>
          </w:p>
        </w:tc>
        <w:tc>
          <w:tcPr>
            <w:tcW w:w="21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详见内容及要求</w:t>
            </w:r>
          </w:p>
        </w:tc>
        <w:tc>
          <w:tcPr>
            <w:tcW w:w="149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jc w:val="center"/>
              <w:rPr>
                <w:rFonts w:ascii="宋体" w:hAnsi="宋体" w:cs="宋体"/>
                <w:color w:val="auto"/>
                <w:sz w:val="24"/>
                <w:highlight w:val="none"/>
              </w:rPr>
            </w:pPr>
          </w:p>
        </w:tc>
        <w:tc>
          <w:tcPr>
            <w:tcW w:w="2627" w:type="dxa"/>
            <w:vMerge w:val="continue"/>
            <w:vAlign w:val="center"/>
          </w:tcPr>
          <w:p>
            <w:pPr>
              <w:jc w:val="center"/>
              <w:rPr>
                <w:rFonts w:ascii="宋体" w:hAnsi="宋体" w:cs="宋体"/>
                <w:color w:val="auto"/>
                <w:sz w:val="24"/>
                <w:highlight w:val="none"/>
              </w:rPr>
            </w:pPr>
          </w:p>
        </w:tc>
        <w:tc>
          <w:tcPr>
            <w:tcW w:w="21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便携式甲烷非甲烷总烃/苯系物分析仪</w:t>
            </w:r>
          </w:p>
        </w:tc>
        <w:tc>
          <w:tcPr>
            <w:tcW w:w="21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详见内容及要求</w:t>
            </w:r>
          </w:p>
        </w:tc>
        <w:tc>
          <w:tcPr>
            <w:tcW w:w="149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jc w:val="center"/>
              <w:rPr>
                <w:rFonts w:ascii="宋体" w:hAnsi="宋体" w:cs="宋体"/>
                <w:color w:val="auto"/>
                <w:sz w:val="24"/>
                <w:highlight w:val="none"/>
              </w:rPr>
            </w:pPr>
          </w:p>
        </w:tc>
        <w:tc>
          <w:tcPr>
            <w:tcW w:w="2627" w:type="dxa"/>
            <w:vMerge w:val="continue"/>
            <w:vAlign w:val="center"/>
          </w:tcPr>
          <w:p>
            <w:pPr>
              <w:jc w:val="center"/>
              <w:rPr>
                <w:rFonts w:ascii="宋体" w:hAnsi="宋体" w:cs="宋体"/>
                <w:color w:val="auto"/>
                <w:sz w:val="24"/>
                <w:highlight w:val="none"/>
              </w:rPr>
            </w:pPr>
          </w:p>
        </w:tc>
        <w:tc>
          <w:tcPr>
            <w:tcW w:w="21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走航分析软件</w:t>
            </w:r>
          </w:p>
        </w:tc>
        <w:tc>
          <w:tcPr>
            <w:tcW w:w="21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详见内容及要求</w:t>
            </w:r>
          </w:p>
        </w:tc>
        <w:tc>
          <w:tcPr>
            <w:tcW w:w="149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jc w:val="center"/>
              <w:rPr>
                <w:rFonts w:ascii="宋体" w:hAnsi="宋体" w:cs="宋体"/>
                <w:color w:val="auto"/>
                <w:sz w:val="24"/>
                <w:highlight w:val="none"/>
              </w:rPr>
            </w:pPr>
          </w:p>
        </w:tc>
        <w:tc>
          <w:tcPr>
            <w:tcW w:w="2627" w:type="dxa"/>
            <w:vMerge w:val="continue"/>
            <w:vAlign w:val="center"/>
          </w:tcPr>
          <w:p>
            <w:pPr>
              <w:jc w:val="center"/>
              <w:rPr>
                <w:rFonts w:ascii="宋体" w:hAnsi="宋体" w:cs="宋体"/>
                <w:color w:val="auto"/>
                <w:sz w:val="24"/>
                <w:highlight w:val="none"/>
              </w:rPr>
            </w:pPr>
          </w:p>
        </w:tc>
        <w:tc>
          <w:tcPr>
            <w:tcW w:w="21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走航APP软件</w:t>
            </w:r>
          </w:p>
        </w:tc>
        <w:tc>
          <w:tcPr>
            <w:tcW w:w="21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详见内容及要求</w:t>
            </w:r>
          </w:p>
        </w:tc>
        <w:tc>
          <w:tcPr>
            <w:tcW w:w="149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jc w:val="center"/>
              <w:rPr>
                <w:rFonts w:ascii="宋体" w:hAnsi="宋体" w:cs="宋体"/>
                <w:color w:val="auto"/>
                <w:sz w:val="24"/>
                <w:highlight w:val="none"/>
              </w:rPr>
            </w:pPr>
          </w:p>
        </w:tc>
        <w:tc>
          <w:tcPr>
            <w:tcW w:w="2627" w:type="dxa"/>
            <w:vMerge w:val="continue"/>
            <w:vAlign w:val="center"/>
          </w:tcPr>
          <w:p>
            <w:pPr>
              <w:jc w:val="center"/>
              <w:rPr>
                <w:rFonts w:ascii="宋体" w:hAnsi="宋体" w:cs="宋体"/>
                <w:color w:val="auto"/>
                <w:sz w:val="24"/>
                <w:highlight w:val="none"/>
              </w:rPr>
            </w:pPr>
          </w:p>
        </w:tc>
        <w:tc>
          <w:tcPr>
            <w:tcW w:w="21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工控机</w:t>
            </w:r>
          </w:p>
        </w:tc>
        <w:tc>
          <w:tcPr>
            <w:tcW w:w="21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详见内容及要求</w:t>
            </w:r>
          </w:p>
        </w:tc>
        <w:tc>
          <w:tcPr>
            <w:tcW w:w="149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jc w:val="center"/>
              <w:rPr>
                <w:rFonts w:ascii="宋体" w:hAnsi="宋体" w:cs="宋体"/>
                <w:color w:val="auto"/>
                <w:sz w:val="24"/>
                <w:highlight w:val="none"/>
              </w:rPr>
            </w:pPr>
          </w:p>
        </w:tc>
        <w:tc>
          <w:tcPr>
            <w:tcW w:w="2627" w:type="dxa"/>
            <w:vMerge w:val="continue"/>
            <w:vAlign w:val="center"/>
          </w:tcPr>
          <w:p>
            <w:pPr>
              <w:jc w:val="center"/>
              <w:rPr>
                <w:rFonts w:ascii="宋体" w:hAnsi="宋体" w:cs="宋体"/>
                <w:color w:val="auto"/>
                <w:sz w:val="24"/>
                <w:highlight w:val="none"/>
              </w:rPr>
            </w:pPr>
          </w:p>
        </w:tc>
        <w:tc>
          <w:tcPr>
            <w:tcW w:w="2136" w:type="dxa"/>
            <w:vAlign w:val="center"/>
          </w:tcPr>
          <w:p>
            <w:pPr>
              <w:jc w:val="center"/>
              <w:rPr>
                <w:rFonts w:hint="eastAsia" w:ascii="宋体" w:hAnsi="宋体" w:cs="宋体"/>
                <w:color w:val="auto"/>
                <w:sz w:val="24"/>
                <w:highlight w:val="none"/>
              </w:rPr>
            </w:pPr>
            <w:r>
              <w:rPr>
                <w:rFonts w:hint="eastAsia" w:ascii="宋体" w:hAnsi="宋体" w:cs="宋体"/>
                <w:b w:val="0"/>
                <w:bCs w:val="0"/>
                <w:color w:val="auto"/>
                <w:sz w:val="24"/>
                <w:highlight w:val="none"/>
              </w:rPr>
              <w:t>安全保护系统</w:t>
            </w:r>
          </w:p>
        </w:tc>
        <w:tc>
          <w:tcPr>
            <w:tcW w:w="213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详见内容及要求</w:t>
            </w:r>
          </w:p>
        </w:tc>
        <w:tc>
          <w:tcPr>
            <w:tcW w:w="1495"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262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大气颗粒物激光雷达</w:t>
            </w:r>
          </w:p>
        </w:tc>
        <w:tc>
          <w:tcPr>
            <w:tcW w:w="21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气溶胶激光雷达主机</w:t>
            </w:r>
          </w:p>
        </w:tc>
        <w:tc>
          <w:tcPr>
            <w:tcW w:w="21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详见内容及要求</w:t>
            </w:r>
          </w:p>
        </w:tc>
        <w:tc>
          <w:tcPr>
            <w:tcW w:w="149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262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车载式五参数气象站</w:t>
            </w:r>
          </w:p>
        </w:tc>
        <w:tc>
          <w:tcPr>
            <w:tcW w:w="21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21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详见内容及要求</w:t>
            </w:r>
          </w:p>
        </w:tc>
        <w:tc>
          <w:tcPr>
            <w:tcW w:w="149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w:t>
            </w:r>
          </w:p>
        </w:tc>
        <w:tc>
          <w:tcPr>
            <w:tcW w:w="262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监控云台摄像机</w:t>
            </w:r>
          </w:p>
        </w:tc>
        <w:tc>
          <w:tcPr>
            <w:tcW w:w="21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21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详见内容及要求</w:t>
            </w:r>
          </w:p>
        </w:tc>
        <w:tc>
          <w:tcPr>
            <w:tcW w:w="149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w:t>
            </w:r>
          </w:p>
        </w:tc>
        <w:tc>
          <w:tcPr>
            <w:tcW w:w="262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车辆改造</w:t>
            </w:r>
          </w:p>
        </w:tc>
        <w:tc>
          <w:tcPr>
            <w:tcW w:w="21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根据仪器安装要求改装车辆</w:t>
            </w:r>
          </w:p>
        </w:tc>
        <w:tc>
          <w:tcPr>
            <w:tcW w:w="21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详见内容及要求</w:t>
            </w:r>
          </w:p>
        </w:tc>
        <w:tc>
          <w:tcPr>
            <w:tcW w:w="149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6</w:t>
            </w:r>
          </w:p>
        </w:tc>
        <w:tc>
          <w:tcPr>
            <w:tcW w:w="262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仪器运维服务</w:t>
            </w:r>
          </w:p>
        </w:tc>
        <w:tc>
          <w:tcPr>
            <w:tcW w:w="21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配套运维服务</w:t>
            </w:r>
          </w:p>
        </w:tc>
        <w:tc>
          <w:tcPr>
            <w:tcW w:w="213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详见内容及要求</w:t>
            </w:r>
          </w:p>
        </w:tc>
        <w:tc>
          <w:tcPr>
            <w:tcW w:w="149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服务期限到2022年12月31日</w:t>
            </w:r>
          </w:p>
        </w:tc>
      </w:tr>
    </w:tbl>
    <w:p>
      <w:pPr>
        <w:spacing w:before="120" w:beforeLines="50" w:after="120" w:afterLines="50" w:line="480" w:lineRule="exact"/>
        <w:rPr>
          <w:rFonts w:ascii="宋体" w:hAnsi="宋体" w:cs="宋体"/>
          <w:b/>
          <w:bCs/>
          <w:color w:val="auto"/>
          <w:sz w:val="24"/>
          <w:highlight w:val="none"/>
        </w:rPr>
      </w:pPr>
      <w:r>
        <w:rPr>
          <w:rFonts w:hint="eastAsia" w:ascii="宋体" w:hAnsi="宋体" w:cs="宋体"/>
          <w:b/>
          <w:bCs/>
          <w:color w:val="auto"/>
          <w:sz w:val="24"/>
          <w:highlight w:val="none"/>
        </w:rPr>
        <w:t>二、技术参数及配置要求</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1.VOCs走航分析系统（数量1套）</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1.1基本需求：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设备搭载在监测车上，满足污染物实时在线走航监测，实现VOCs浓度3D-GIS可视化功能，具备现场快速定性和定量能力。</w:t>
      </w:r>
    </w:p>
    <w:p>
      <w:pPr>
        <w:spacing w:line="360" w:lineRule="auto"/>
        <w:ind w:firstLine="482" w:firstLineChars="200"/>
        <w:jc w:val="left"/>
        <w:rPr>
          <w:rFonts w:ascii="宋体" w:hAnsi="宋体" w:cs="宋体"/>
          <w:color w:val="auto"/>
          <w:sz w:val="24"/>
          <w:highlight w:val="none"/>
        </w:rPr>
      </w:pPr>
      <w:r>
        <w:rPr>
          <w:rFonts w:hint="eastAsia" w:ascii="宋体" w:hAnsi="宋体" w:cs="宋体"/>
          <w:b/>
          <w:bCs/>
          <w:color w:val="auto"/>
          <w:sz w:val="24"/>
          <w:highlight w:val="none"/>
        </w:rPr>
        <w:t>1.2 VOCs走航分析仪主机（两种方法原理满足其一即可）：</w:t>
      </w:r>
    </w:p>
    <w:p>
      <w:pPr>
        <w:spacing w:line="360" w:lineRule="auto"/>
        <w:ind w:firstLine="480" w:firstLineChars="200"/>
        <w:jc w:val="left"/>
        <w:rPr>
          <w:rFonts w:ascii="宋体" w:hAnsi="宋体" w:cs="宋体"/>
          <w:b w:val="0"/>
          <w:bCs w:val="0"/>
          <w:color w:val="auto"/>
          <w:sz w:val="24"/>
          <w:highlight w:val="none"/>
        </w:rPr>
      </w:pPr>
      <w:r>
        <w:rPr>
          <w:rFonts w:hint="eastAsia" w:ascii="宋体" w:hAnsi="宋体" w:cs="宋体"/>
          <w:color w:val="auto"/>
          <w:sz w:val="24"/>
          <w:highlight w:val="none"/>
        </w:rPr>
        <w:t>1.2.1</w:t>
      </w:r>
      <w:r>
        <w:rPr>
          <w:rFonts w:hint="eastAsia" w:ascii="宋体" w:hAnsi="宋体" w:cs="宋体"/>
          <w:b w:val="0"/>
          <w:bCs w:val="0"/>
          <w:color w:val="auto"/>
          <w:sz w:val="24"/>
          <w:highlight w:val="none"/>
        </w:rPr>
        <w:t>使用方法原理1的投标产品，需满足以下要求:</w:t>
      </w:r>
    </w:p>
    <w:p>
      <w:pPr>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1.2.1.1系统须同时具备两种分析方式，一种方式为单质谱快速分析，另一种方式为GC-MS联用。</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1.2.1.</w:t>
      </w:r>
      <w:r>
        <w:rPr>
          <w:rFonts w:ascii="宋体" w:hAnsi="宋体" w:cs="宋体"/>
          <w:color w:val="auto"/>
          <w:sz w:val="24"/>
          <w:highlight w:val="none"/>
        </w:rPr>
        <w:t>2</w:t>
      </w:r>
      <w:r>
        <w:rPr>
          <w:rFonts w:hint="eastAsia" w:ascii="宋体" w:hAnsi="宋体" w:cs="宋体"/>
          <w:color w:val="auto"/>
          <w:sz w:val="24"/>
          <w:highlight w:val="none"/>
        </w:rPr>
        <w:t>质谱分辨率：优于0.5amu。</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1.2.1.</w:t>
      </w:r>
      <w:r>
        <w:rPr>
          <w:rFonts w:ascii="宋体" w:hAnsi="宋体" w:cs="宋体"/>
          <w:color w:val="auto"/>
          <w:sz w:val="24"/>
          <w:highlight w:val="none"/>
        </w:rPr>
        <w:t>3</w:t>
      </w:r>
      <w:r>
        <w:rPr>
          <w:rFonts w:hint="eastAsia" w:ascii="宋体" w:hAnsi="宋体" w:cs="宋体"/>
          <w:color w:val="auto"/>
          <w:sz w:val="24"/>
          <w:highlight w:val="none"/>
        </w:rPr>
        <w:t>质谱质量范围：(10~5</w:t>
      </w:r>
      <w:r>
        <w:rPr>
          <w:rFonts w:ascii="宋体" w:hAnsi="宋体" w:cs="宋体"/>
          <w:color w:val="auto"/>
          <w:sz w:val="24"/>
          <w:highlight w:val="none"/>
        </w:rPr>
        <w:t>5</w:t>
      </w:r>
      <w:r>
        <w:rPr>
          <w:rFonts w:hint="eastAsia" w:ascii="宋体" w:hAnsi="宋体" w:cs="宋体"/>
          <w:color w:val="auto"/>
          <w:sz w:val="24"/>
          <w:highlight w:val="none"/>
        </w:rPr>
        <w:t>0)amu。</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1.2.1.</w:t>
      </w:r>
      <w:r>
        <w:rPr>
          <w:rFonts w:ascii="宋体" w:hAnsi="宋体" w:cs="宋体"/>
          <w:color w:val="auto"/>
          <w:sz w:val="24"/>
          <w:highlight w:val="none"/>
        </w:rPr>
        <w:t>4</w:t>
      </w:r>
      <w:r>
        <w:rPr>
          <w:rFonts w:hint="eastAsia" w:ascii="宋体" w:hAnsi="宋体" w:cs="宋体"/>
          <w:color w:val="auto"/>
          <w:sz w:val="24"/>
          <w:highlight w:val="none"/>
        </w:rPr>
        <w:t>质量稳定度：≤0.2amu/12h。</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1.2.1.</w:t>
      </w:r>
      <w:r>
        <w:rPr>
          <w:rFonts w:ascii="宋体" w:hAnsi="宋体" w:cs="宋体"/>
          <w:color w:val="auto"/>
          <w:sz w:val="24"/>
          <w:highlight w:val="none"/>
        </w:rPr>
        <w:t>5</w:t>
      </w:r>
      <w:r>
        <w:rPr>
          <w:rFonts w:hint="eastAsia" w:ascii="宋体" w:hAnsi="宋体" w:cs="宋体"/>
          <w:color w:val="auto"/>
          <w:sz w:val="24"/>
          <w:highlight w:val="none"/>
        </w:rPr>
        <w:t>质量准确度：≤0.2amu。</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1.2.1.</w:t>
      </w:r>
      <w:r>
        <w:rPr>
          <w:rFonts w:ascii="宋体" w:hAnsi="宋体" w:cs="宋体"/>
          <w:color w:val="auto"/>
          <w:sz w:val="24"/>
          <w:highlight w:val="none"/>
        </w:rPr>
        <w:t>6</w:t>
      </w:r>
      <w:r>
        <w:rPr>
          <w:rFonts w:hint="eastAsia" w:ascii="宋体" w:hAnsi="宋体" w:cs="宋体"/>
          <w:color w:val="auto"/>
          <w:sz w:val="24"/>
          <w:highlight w:val="none"/>
        </w:rPr>
        <w:t>▲质谱扫描方式：具有全扫描、选择离子监控两种方式。（须提供省级或省级以上计量测试中心的检测报告）</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1.2.1.</w:t>
      </w:r>
      <w:r>
        <w:rPr>
          <w:rFonts w:ascii="宋体" w:hAnsi="宋体" w:cs="宋体"/>
          <w:color w:val="auto"/>
          <w:sz w:val="24"/>
          <w:highlight w:val="none"/>
        </w:rPr>
        <w:t>7</w:t>
      </w:r>
      <w:r>
        <w:rPr>
          <w:rFonts w:hint="eastAsia" w:ascii="宋体" w:hAnsi="宋体" w:cs="宋体"/>
          <w:color w:val="auto"/>
          <w:sz w:val="24"/>
          <w:highlight w:val="none"/>
        </w:rPr>
        <w:t>▲数据采集时间：直接质谱模式：秒级响应，＜2s；色谱质谱联用模式：≤15min。（须提供省级或省级以上计量测试中心的检测报告）</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1.2.1.</w:t>
      </w:r>
      <w:r>
        <w:rPr>
          <w:rFonts w:ascii="宋体" w:hAnsi="宋体" w:cs="宋体"/>
          <w:color w:val="auto"/>
          <w:sz w:val="24"/>
          <w:highlight w:val="none"/>
        </w:rPr>
        <w:t>8</w:t>
      </w:r>
      <w:r>
        <w:rPr>
          <w:rFonts w:hint="eastAsia" w:ascii="宋体" w:hAnsi="宋体" w:cs="宋体"/>
          <w:color w:val="auto"/>
          <w:sz w:val="24"/>
          <w:highlight w:val="none"/>
        </w:rPr>
        <w:t>▲动态范围：不少于6个数量级。（须提供省级或省级以上计量测试中心的检测报告）</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1.2.2使用方法原理2的投标产品，需满足以下要求: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1.2.2.1质量分析器及检测系统采用飞行时间质量分析器</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1.2.2.</w:t>
      </w:r>
      <w:r>
        <w:rPr>
          <w:rFonts w:ascii="宋体" w:hAnsi="宋体" w:cs="宋体"/>
          <w:color w:val="auto"/>
          <w:sz w:val="24"/>
          <w:highlight w:val="none"/>
        </w:rPr>
        <w:t>2</w:t>
      </w:r>
      <w:r>
        <w:rPr>
          <w:rFonts w:hint="eastAsia" w:ascii="宋体" w:hAnsi="宋体" w:cs="宋体"/>
          <w:color w:val="auto"/>
          <w:sz w:val="24"/>
          <w:highlight w:val="none"/>
        </w:rPr>
        <w:t>▲实现VOCs及单组分浓度3D-GIS可视化功能，且软件嵌套可以进行单组分走航，绘制单组分走航图。（</w:t>
      </w:r>
      <w:r>
        <w:rPr>
          <w:rFonts w:hint="eastAsia" w:ascii="宋体"/>
          <w:color w:val="auto"/>
          <w:sz w:val="24"/>
          <w:highlight w:val="none"/>
        </w:rPr>
        <w:t>须提供省级或省级以上计量测试中心的检测报告</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1.2.2.</w:t>
      </w:r>
      <w:r>
        <w:rPr>
          <w:rFonts w:ascii="宋体" w:hAnsi="宋体" w:cs="宋体"/>
          <w:color w:val="auto"/>
          <w:sz w:val="24"/>
          <w:highlight w:val="none"/>
        </w:rPr>
        <w:t>3</w:t>
      </w:r>
      <w:r>
        <w:rPr>
          <w:rFonts w:hint="eastAsia" w:ascii="宋体" w:hAnsi="宋体" w:cs="宋体"/>
          <w:color w:val="auto"/>
          <w:sz w:val="24"/>
          <w:highlight w:val="none"/>
        </w:rPr>
        <w:t>进样系统：采用膜装置进样系统，样品无需前处理直接进样，可实时在线分析大气及水中VOCs成分。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1.2.2.</w:t>
      </w:r>
      <w:r>
        <w:rPr>
          <w:rFonts w:ascii="宋体" w:hAnsi="宋体" w:cs="宋体"/>
          <w:color w:val="auto"/>
          <w:sz w:val="24"/>
          <w:highlight w:val="none"/>
        </w:rPr>
        <w:t>4</w:t>
      </w:r>
      <w:r>
        <w:rPr>
          <w:rFonts w:hint="eastAsia" w:ascii="宋体" w:hAnsi="宋体" w:cs="宋体"/>
          <w:color w:val="auto"/>
          <w:sz w:val="24"/>
          <w:highlight w:val="none"/>
        </w:rPr>
        <w:t>质量检测范围：1~900amu。</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1.2.2.</w:t>
      </w:r>
      <w:r>
        <w:rPr>
          <w:rFonts w:ascii="宋体" w:hAnsi="宋体" w:cs="宋体"/>
          <w:color w:val="auto"/>
          <w:sz w:val="24"/>
          <w:highlight w:val="none"/>
        </w:rPr>
        <w:t>5</w:t>
      </w:r>
      <w:r>
        <w:rPr>
          <w:rFonts w:hint="eastAsia" w:ascii="宋体" w:hAnsi="宋体" w:cs="宋体"/>
          <w:color w:val="auto"/>
          <w:sz w:val="24"/>
          <w:highlight w:val="none"/>
        </w:rPr>
        <w:t>质量分辨率：900FWHM。</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1.2.2.</w:t>
      </w:r>
      <w:r>
        <w:rPr>
          <w:rFonts w:ascii="宋体" w:hAnsi="宋体" w:cs="宋体"/>
          <w:color w:val="auto"/>
          <w:sz w:val="24"/>
          <w:highlight w:val="none"/>
        </w:rPr>
        <w:t>6</w:t>
      </w:r>
      <w:r>
        <w:rPr>
          <w:rFonts w:hint="eastAsia" w:ascii="宋体" w:hAnsi="宋体" w:cs="宋体"/>
          <w:color w:val="auto"/>
          <w:sz w:val="24"/>
          <w:highlight w:val="none"/>
        </w:rPr>
        <w:t>▲检测限：≤1ppb（甲苯）（</w:t>
      </w:r>
      <w:r>
        <w:rPr>
          <w:rFonts w:hint="eastAsia" w:ascii="宋体"/>
          <w:color w:val="auto"/>
          <w:sz w:val="24"/>
          <w:highlight w:val="none"/>
        </w:rPr>
        <w:t>须提供省级或省级以上计量测试中心的检测报告</w:t>
      </w:r>
      <w:r>
        <w:rPr>
          <w:rFonts w:hint="eastAsia" w:ascii="宋体" w:hAnsi="宋体" w:cs="宋体"/>
          <w:color w:val="auto"/>
          <w:sz w:val="24"/>
          <w:highlight w:val="none"/>
        </w:rPr>
        <w:t>，加盖投标人公章）,质量精度：优于±0.05amu。（</w:t>
      </w:r>
      <w:r>
        <w:rPr>
          <w:rFonts w:hint="eastAsia" w:ascii="宋体"/>
          <w:color w:val="auto"/>
          <w:sz w:val="24"/>
          <w:highlight w:val="none"/>
        </w:rPr>
        <w:t>须提供省级或省级以上计量测试中心的检测报告</w:t>
      </w:r>
      <w:r>
        <w:rPr>
          <w:rFonts w:hint="eastAsia" w:ascii="宋体" w:hAnsi="宋体" w:cs="宋体"/>
          <w:color w:val="auto"/>
          <w:sz w:val="24"/>
          <w:highlight w:val="none"/>
        </w:rPr>
        <w:t>）。</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1.2.2.</w:t>
      </w:r>
      <w:r>
        <w:rPr>
          <w:rFonts w:ascii="宋体" w:hAnsi="宋体" w:cs="宋体"/>
          <w:color w:val="auto"/>
          <w:sz w:val="24"/>
          <w:highlight w:val="none"/>
        </w:rPr>
        <w:t>7</w:t>
      </w:r>
      <w:r>
        <w:rPr>
          <w:rFonts w:hint="eastAsia" w:ascii="宋体" w:hAnsi="宋体" w:cs="宋体"/>
          <w:color w:val="auto"/>
          <w:sz w:val="24"/>
          <w:highlight w:val="none"/>
        </w:rPr>
        <w:t>动态检测范围：4个数量级。</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1.2.2.</w:t>
      </w:r>
      <w:r>
        <w:rPr>
          <w:rFonts w:ascii="宋体" w:hAnsi="宋体" w:cs="宋体"/>
          <w:color w:val="auto"/>
          <w:sz w:val="24"/>
          <w:highlight w:val="none"/>
        </w:rPr>
        <w:t>8</w:t>
      </w:r>
      <w:r>
        <w:rPr>
          <w:rFonts w:hint="eastAsia" w:ascii="宋体" w:hAnsi="宋体" w:cs="宋体"/>
          <w:color w:val="auto"/>
          <w:sz w:val="24"/>
          <w:highlight w:val="none"/>
        </w:rPr>
        <w:t>▲响应时间：≤10s。（须提供省级或省级以上计量测试中心的检测报告）</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1.3</w:t>
      </w:r>
      <w:r>
        <w:rPr>
          <w:rFonts w:ascii="宋体" w:hAnsi="宋体" w:cs="宋体"/>
          <w:b/>
          <w:bCs/>
          <w:color w:val="auto"/>
          <w:sz w:val="24"/>
          <w:highlight w:val="none"/>
        </w:rPr>
        <w:t xml:space="preserve"> </w:t>
      </w:r>
      <w:r>
        <w:rPr>
          <w:rFonts w:hint="eastAsia" w:ascii="宋体" w:hAnsi="宋体" w:cs="宋体"/>
          <w:b/>
          <w:bCs/>
          <w:color w:val="auto"/>
          <w:sz w:val="24"/>
          <w:highlight w:val="none"/>
        </w:rPr>
        <w:t>VOCs分析专用动态校准仪</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1.3.1最大稀释倍数不小于1000倍。</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1.3.2流量测量精度：±1%满刻度。</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1.3.3流量控制重复性：±0.</w:t>
      </w:r>
      <w:r>
        <w:rPr>
          <w:rFonts w:ascii="宋体" w:hAnsi="宋体" w:cs="宋体"/>
          <w:color w:val="auto"/>
          <w:sz w:val="24"/>
          <w:highlight w:val="none"/>
        </w:rPr>
        <w:t>2</w:t>
      </w:r>
      <w:r>
        <w:rPr>
          <w:rFonts w:hint="eastAsia" w:ascii="宋体" w:hAnsi="宋体" w:cs="宋体"/>
          <w:color w:val="auto"/>
          <w:sz w:val="24"/>
          <w:highlight w:val="none"/>
        </w:rPr>
        <w:t>%满刻度。</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1.3.4流量控制线性度：±0.5%满刻度。</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1.3.5具有自动检漏、压力检测和报警及保护功能。</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1.3.6具有液晶屏显示，实时显示用户软件界面、系统设置/故障/报警信息等。</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1.4车载式大气采样系统</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1.4.1采样头：防止雨水和粗大的颗粒物落入总管，同时避免小动物和大型昆虫进入总管。采样头的设计应保证采样气流不受风向影响，稳定进入总管。</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1.4.2采样总管：采样总管内的气流应保持层流状态，采样气体在总管内的滞留时间应小于10s。</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1.4.3制作材料：不锈钢或聚四氟乙烯。</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1.4.4工作环境温度：-20-45℃。</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1.4.5样品相对湿度：20－95%RH，无冷凝。</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1.5便携式甲烷非甲烷总烃/苯系物分析仪</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1.5.1检测器：氢火焰离子化检测器。</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1.5.2仪器检出限：≤0.13μmol/mol（0.07mg/m</w:t>
      </w:r>
      <w:r>
        <w:rPr>
          <w:rFonts w:hint="eastAsia" w:ascii="宋体" w:hAnsi="宋体" w:cs="宋体"/>
          <w:color w:val="auto"/>
          <w:sz w:val="24"/>
          <w:highlight w:val="none"/>
          <w:vertAlign w:val="superscript"/>
        </w:rPr>
        <w:t>3</w:t>
      </w:r>
      <w:r>
        <w:rPr>
          <w:rFonts w:hint="eastAsia" w:ascii="宋体" w:hAnsi="宋体" w:cs="宋体"/>
          <w:color w:val="auto"/>
          <w:sz w:val="24"/>
          <w:highlight w:val="none"/>
        </w:rPr>
        <w:t>,以碳计）。</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1.5.3样品空白：样品空白应小于仪器检出限。</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1.5.4定量测量重复性：相对标准偏差≤2.0%（甲烷）。</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1.5.5线性误差：不超过±2.0%满量程（甲烷）。</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1.5.6加标回收率：80%~120%之间。</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1.5.7仪器分析周期：≤2min。</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1.5.8环境温度变化的影响：环境温度在（0～40）℃范围内变化，仪器所有测量组分示值的变化：不超过±5.0%满量程。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1.5.9供电电压变化的影响：供电电压变化±10%，仪器所有测量组分示值的变化：不超过±2.0%满量程。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1.5.10氧气的影响：氧气对非甲烷总烃测量的影响不超过±5.0%满量程。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1.5.11仪器间的平行性：2台（套）仪器测量同一标准样品示值的相对标准偏差≤5.0%。</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1.5.12转化效率：使用催化氧化技术氧化非甲烷总烃的仪器，其转化效率应≥95%。</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1.6走航分析软件</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1.6.1监测路线实时动态显示：具备走航监测路线实时动态显示，特征污染因子浓度数据实时动态显示。</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1.6.2监测数据三维可视化：系统走航监测能够自动记录GIS位置坐标信息、监测因子信息、因子浓度信息、定性定量分析结果，实时显示“三维地图-因子-浓度”实时走航监测数据三维可视化结果。</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1.6.3浓度变化趋势实时显示：具备走航监测数据结果、因子浓度变化趋势曲线等多组分同窗口实时显示功能，具备界面信息编辑及结果保存输出等功能。</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1.6.4报告输出功能：具备专业性极强的报告自动输出功能、客户可勾选自动生成基于各种历史数据的统计分析报告（包括日报、周报、月报、年报等），一键输出pdf、word等多种可选格式报告。</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1.7走航APP软件</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1.7.1具备分析任务管理、实时分析显示、任务管理等功能，便于VOCs监测设备的远程监控，及时管理和高效管理。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1.7.2具有实时沟通功能，可开展视频/语音/图片/文字等形式交流。</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1.7.3走航APP软件内置行业法律法规、排放标准信息库，随时可供调阅。</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1.7.4软件全中文控制界面，结果输入全中文结果。</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1.8工控机参数</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1.8.1工控机应满足HJ212要求，保障系统运行并将数据传输至上位平台。</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1.8.2通信接口：具备一路RS-485或RS-232或USB接口或以太网通信接口，用于与上位机通信，</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1.8.3存储要求：根据使用需求，能完整存储不少于12个月的所有参数监测数据和报警等信息。</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1.8.4抗干扰能力：具有防雷击、防电磁干扰、抗震动等能力。</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1.8.5电压稳定性：允许外部供电电压波动±10%。</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1.9安全保护系统</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系统具有断电保护功能，来电后仪器自动重启。自带备用电池或配装不间断电源供电系统，在外部供电切断情况下能保证数据采集传输仪至少连续工作1小时</w:t>
      </w:r>
      <w:r>
        <w:rPr>
          <w:rFonts w:hint="eastAsia" w:ascii="宋体" w:hAnsi="宋体" w:cs="宋体"/>
          <w:color w:val="auto"/>
          <w:sz w:val="24"/>
          <w:highlight w:val="none"/>
          <w:lang w:eastAsia="zh-CN"/>
        </w:rPr>
        <w:t>。</w:t>
      </w:r>
      <w:r>
        <w:rPr>
          <w:rFonts w:hint="eastAsia" w:ascii="宋体" w:hAnsi="宋体" w:cs="宋体"/>
          <w:color w:val="auto"/>
          <w:sz w:val="24"/>
          <w:highlight w:val="none"/>
        </w:rPr>
        <w:t>系统减震：采用先进的筏式减震平台，可承受任意方向弹性形变，具有多方向隔振、缓冲作用，使仪器适合车载移动。</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2.大气颗粒物激光雷达（数量1套）</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2.1基本需求：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可用于监测颗粒态污染物空间分布信息，实现污染信息、位置信息的精准监控，实现污染热点的在线报警，实现区域污染物的走航识别，数据异常的快速分析，污染源的快速管控。</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2.2气溶胶激光雷达主机性能指标：</w:t>
      </w:r>
    </w:p>
    <w:p>
      <w:pPr>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2.2.1发射激光束的波长：532nm。</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2.2.2▲激光输出能量：≥200μJ。（须提供具有CMA资质认证机构出具的检验报告）</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2.2.3脉冲频率：2kHz~10kHz，脉冲频率可调节。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2.2.4▲探测盲区：≤30m。（须提供具有CMA资质认证机构出具的检验报告）</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2.2.5空间分辨率：≥7.5m。</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2.2.6光束发散角：≤5mrad。</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2.2.7▲激光器不稳定度：≤10%。（须提供具有CMA资质认证机构出具的检验报告）</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2.2.8时间分辨率：≥3s，时间分辨率可调节。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2.2.9水平扫描角度：0°~360°，垂直角度：0°~90°。</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2.2.10角度分辨率：＞0.1°。</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2.2.11扫描速度：0°/s～30°/s（可以调节设置）。</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2.2.12具备水平扫描、定点扫描、切面扫描，锥形扫描、走航探测数据的展示功能并能实现远程切换，扫描路径可以远程设置。</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2.2.13能够全自动的运行采集数据。</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2.2.14提供完善的采集和后期资料处理软件，采用Windows操作系统，通过计算机方便的存储并传输采集的数据。</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2.2.15可以全天24小时无人值守观测。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2.2.16可直接输出消光系数、颗粒物浓度PM</w:t>
      </w:r>
      <w:r>
        <w:rPr>
          <w:rFonts w:hint="eastAsia" w:ascii="宋体" w:hAnsi="宋体" w:cs="宋体"/>
          <w:color w:val="auto"/>
          <w:sz w:val="24"/>
          <w:highlight w:val="none"/>
          <w:vertAlign w:val="subscript"/>
        </w:rPr>
        <w:t>10</w:t>
      </w:r>
      <w:r>
        <w:rPr>
          <w:rFonts w:hint="eastAsia" w:ascii="宋体" w:hAnsi="宋体" w:cs="宋体"/>
          <w:color w:val="auto"/>
          <w:sz w:val="24"/>
          <w:highlight w:val="none"/>
        </w:rPr>
        <w:t>、PM</w:t>
      </w:r>
      <w:r>
        <w:rPr>
          <w:rFonts w:hint="eastAsia" w:ascii="宋体" w:hAnsi="宋体" w:cs="宋体"/>
          <w:color w:val="auto"/>
          <w:sz w:val="24"/>
          <w:highlight w:val="none"/>
          <w:vertAlign w:val="subscript"/>
        </w:rPr>
        <w:t>2.5</w:t>
      </w:r>
      <w:r>
        <w:rPr>
          <w:rFonts w:hint="eastAsia" w:ascii="宋体" w:hAnsi="宋体" w:cs="宋体"/>
          <w:color w:val="auto"/>
          <w:sz w:val="24"/>
          <w:highlight w:val="none"/>
        </w:rPr>
        <w:t>等大气特征。</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2.2.17具有海量历史数据浏览功能，可按时间、距离选择浏览数据，数据自动优化，可以浏览每天、每月、每年以及任意时间段数据。</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2.2.18工作条件及温度：具有恒温恒湿设备条件下，适应-20~50℃，0~100%RH环境。</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3.车载式五参数气象站</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3.1基本需求：车载式五参数气象站除具有风向、风速、温度、湿度、气压参数的监测能力外，还需内置电子罗盘及GPS系统，方便走航过程中的风向、风速修正及污染物的空间定位。</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3.2风速：测量范围：0～40m/s；分辨率：0.1m/s。</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3.3风向：测量范围：0～360°；分辨率：0.1°。</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3.4空气温度：测量范围：-40℃～+55℃；分辨率：0.1℃。</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3.5环境湿度：测量范围：10%RH～95%RH；分辨率：0.1%RH。</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3.6大气压力：测量范围：300mbar～1100mbar；精度：±1mbar。</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3.7电子罗盘精度：1°水平行驶时，俯仰和滚动范围/精准度：±50°/＜1°。</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3.8 GPS定位精度：3m(10’)，并带有广域增强系统。</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3.9工作温度：-25℃～+55℃。</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3.10供电：9～40V DC。</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3.11重量：≤320g。</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3.12通讯串口：RS232或RS422 &amp; CAN。</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4.监控云台摄像机（数量1套）</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分辨率：可达2048×1536分辨率；旋转角度：水平0～360°，垂直-90°～40°；具有夜间红外功能，提高夜间拍照清晰度，红外照射距离不小于200米。</w:t>
      </w:r>
    </w:p>
    <w:p>
      <w:pPr>
        <w:pStyle w:val="9"/>
        <w:spacing w:line="400" w:lineRule="exact"/>
        <w:ind w:firstLine="482"/>
        <w:jc w:val="left"/>
        <w:rPr>
          <w:rFonts w:ascii="宋体" w:hAnsi="宋体" w:cs="宋体"/>
          <w:b/>
          <w:bCs/>
          <w:color w:val="auto"/>
          <w:sz w:val="24"/>
          <w:highlight w:val="none"/>
        </w:rPr>
      </w:pPr>
      <w:r>
        <w:rPr>
          <w:rFonts w:hint="eastAsia" w:ascii="宋体" w:hAnsi="宋体" w:cs="宋体"/>
          <w:b/>
          <w:bCs/>
          <w:color w:val="auto"/>
          <w:sz w:val="24"/>
          <w:highlight w:val="none"/>
        </w:rPr>
        <w:t>5.车辆改装（数量2台）：</w:t>
      </w:r>
      <w:r>
        <w:rPr>
          <w:rFonts w:hint="eastAsia" w:ascii="宋体" w:hAnsi="宋体" w:cs="宋体"/>
          <w:color w:val="auto"/>
          <w:sz w:val="24"/>
          <w:highlight w:val="none"/>
        </w:rPr>
        <w:t>改装车辆品牌型号为中天之星牌TC5050XJE5，外廓尺寸为7220×2000×3040mm。车辆改装方案经甲方确认后，方可实施。</w:t>
      </w:r>
      <w:r>
        <w:rPr>
          <w:rFonts w:hint="eastAsia" w:ascii="宋体"/>
          <w:color w:val="auto"/>
          <w:sz w:val="24"/>
          <w:highlight w:val="none"/>
        </w:rPr>
        <w:t>投标人协助采购人办理相关改装手续，车辆改装及改装手续相关费用含在投标总价内。</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5.1大气VOCs走航监测系统车辆改装</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5.1.1底盘配置：现有车辆基础上改造。</w:t>
      </w:r>
      <w:r>
        <w:rPr>
          <w:rFonts w:hint="eastAsia" w:ascii="宋体" w:hAnsi="宋体" w:cs="宋体"/>
          <w:color w:val="auto"/>
          <w:sz w:val="24"/>
          <w:highlight w:val="none"/>
        </w:rPr>
        <w:tab/>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5.1.2车辆改装：需包含车载供电系统、加强型减振器、车身结构密封防水等。</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5.1.2.1VOCs采样管：安装车载VOCs在线监测系统采样管。</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5.1.2.2监测仪器安装：配备专用固定装置，须安装减震器，满足车辆行进过程中遇到的颠簸、急刹、震动等冲击下仪器无损坏，安装仪器包括：车载VOCs在线监测系统、车载式五参数气象站。</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5.1.2.3网络传输：配置1套工业级4G路由器。</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5.1.2.4供配电系统。</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5.1.2.4.1配置供电系统电源系统，具备充电和漏电过载保护。配置2组100AH锂电池，保证设备在无市电情况下工作8小时。</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5.1.2.4.2整车布线：车内布线整齐、合理、安全、可靠，车厢顶部及侧壁穿线孔均采用过线护套，并涂胶密封，接线头和线缆部分有标识，并与说明书原理图相对应,便于检修，车内设备电缆和电源电缆走线采用明线暗装方式，在外部看不到明线，布线中并行的导线除有明确的规定外不绞合。</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5.1.2.4.3车体接地:驻车时使用接地钳。</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5.1.2.4.4灭火器：七氟丙烷，1Kg。</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5.1.2.4.5随车工具：机械拆装工具、扳手、内六角改锥等。</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5.1.2.4.6供电防雷：电源防雷接地棒。</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5.1.2.5质量保证：车辆相关质保内容按国家相关规定执行。</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5.2气溶胶激光雷达起航监测系统车辆改装</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5.2.1底盘配置：现有车辆基础上改造</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5.2.2车辆改装：需包含车载供电系统、加强型减振器、车身结构密封防水等。</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5.2.2.1车顶天窗，采用不锈钢结构，有效尺寸长x宽不低于400x400mm。</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5.2.2.2监测仪器安装：配备专用固定装置,须安装减震器，满足车辆行进过程中遇到的颠簸、急刹、震动等冲击下仪器无损坏，安装仪器包括：气溶胶激光雷达、车载式五参数气象站、监控云台摄像机。</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5.2.2.3网络传输：配置1套工业级4G路由器。</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5.2.2.4供配电系统：</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5.2.2.4.1配置供电系统电源系统，具备充电和漏电过载保护。配置2组100AH锂电池，保证设备在无市电情况下工作8小时。</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5.2.2.4.2整车布线：车内布线整齐、合理、安全、可靠，车厢顶部及侧壁穿线孔均采用过线护套，并涂胶密封，接线头和线缆部分有标识，并与说明书原理图相对应,便于检修，车内设备电缆和电源电缆走线采用明线暗装方式，在外部看不到明线，布线中并行的导线除有明确的规定外不绞合。</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5.2.2.4.3车体接地：驻车时使用接地钳。</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5.2.2.4.4灭火器：七氟丙烷，1Kg。</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5.2.2.4.5随车工具：机械拆装工具、扳手、内六角改锥等。</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5.2.2.4.6供电防雷：电源防雷接地棒。</w:t>
      </w:r>
    </w:p>
    <w:p>
      <w:pPr>
        <w:spacing w:line="360" w:lineRule="auto"/>
        <w:ind w:firstLine="480" w:firstLineChars="200"/>
        <w:jc w:val="left"/>
        <w:rPr>
          <w:rFonts w:ascii="宋体" w:hAnsi="宋体" w:cs="宋体"/>
          <w:color w:val="auto"/>
          <w:highlight w:val="none"/>
        </w:rPr>
      </w:pPr>
      <w:r>
        <w:rPr>
          <w:rFonts w:hint="eastAsia" w:ascii="宋体" w:hAnsi="宋体" w:cs="宋体"/>
          <w:color w:val="auto"/>
          <w:sz w:val="24"/>
          <w:highlight w:val="none"/>
        </w:rPr>
        <w:t>5.2.2.5质量保证：车辆相关质保内容按国家相关规定执行。</w:t>
      </w:r>
    </w:p>
    <w:p>
      <w:pPr>
        <w:ind w:firstLine="480"/>
        <w:jc w:val="left"/>
        <w:rPr>
          <w:rFonts w:ascii="宋体" w:hAnsi="宋体" w:cs="宋体"/>
          <w:b/>
          <w:bCs/>
          <w:color w:val="auto"/>
          <w:sz w:val="24"/>
          <w:szCs w:val="22"/>
          <w:highlight w:val="none"/>
        </w:rPr>
      </w:pPr>
      <w:r>
        <w:rPr>
          <w:rFonts w:hint="eastAsia" w:ascii="宋体" w:hAnsi="宋体" w:cs="宋体"/>
          <w:b/>
          <w:bCs/>
          <w:color w:val="auto"/>
          <w:sz w:val="24"/>
          <w:szCs w:val="22"/>
          <w:highlight w:val="none"/>
        </w:rPr>
        <w:t>三、运维服务要求</w:t>
      </w:r>
    </w:p>
    <w:p>
      <w:pPr>
        <w:pStyle w:val="25"/>
        <w:snapToGrid/>
        <w:ind w:firstLine="480"/>
        <w:jc w:val="both"/>
        <w:rPr>
          <w:rFonts w:hAnsi="宋体" w:cs="宋体"/>
          <w:color w:val="auto"/>
          <w:sz w:val="24"/>
          <w:szCs w:val="24"/>
          <w:highlight w:val="none"/>
        </w:rPr>
      </w:pPr>
      <w:r>
        <w:rPr>
          <w:rFonts w:hint="eastAsia" w:hAnsi="宋体" w:cs="宋体"/>
          <w:color w:val="auto"/>
          <w:sz w:val="24"/>
          <w:szCs w:val="24"/>
          <w:highlight w:val="none"/>
        </w:rPr>
        <w:t>设备设施的运行维护包括设备设施定期巡检、仪器出现的所有故障维修、质量控制、更换监测设备的所有备件、配件和耗材（含标气、载气等）、车内恒温恒湿保障、保障车辆安全和正常使用、数据统计、数据分析报告及质控报告。整套仪器运维服务期至2022年</w:t>
      </w:r>
      <w:r>
        <w:rPr>
          <w:rFonts w:hAnsi="宋体" w:cs="宋体"/>
          <w:color w:val="auto"/>
          <w:sz w:val="24"/>
          <w:szCs w:val="24"/>
          <w:highlight w:val="none"/>
        </w:rPr>
        <w:t>12</w:t>
      </w:r>
      <w:r>
        <w:rPr>
          <w:rFonts w:hint="eastAsia" w:hAnsi="宋体" w:cs="宋体"/>
          <w:color w:val="auto"/>
          <w:sz w:val="24"/>
          <w:szCs w:val="24"/>
          <w:highlight w:val="none"/>
        </w:rPr>
        <w:t>月3</w:t>
      </w:r>
      <w:r>
        <w:rPr>
          <w:rFonts w:hAnsi="宋体" w:cs="宋体"/>
          <w:color w:val="auto"/>
          <w:sz w:val="24"/>
          <w:szCs w:val="24"/>
          <w:highlight w:val="none"/>
        </w:rPr>
        <w:t>1</w:t>
      </w:r>
      <w:r>
        <w:rPr>
          <w:rFonts w:hint="eastAsia" w:hAnsi="宋体" w:cs="宋体"/>
          <w:color w:val="auto"/>
          <w:sz w:val="24"/>
          <w:szCs w:val="24"/>
          <w:highlight w:val="none"/>
        </w:rPr>
        <w:t>日。</w:t>
      </w:r>
    </w:p>
    <w:p>
      <w:pPr>
        <w:pStyle w:val="25"/>
        <w:snapToGrid/>
        <w:ind w:firstLine="480"/>
        <w:jc w:val="both"/>
        <w:rPr>
          <w:rFonts w:hAnsi="宋体" w:cs="宋体"/>
          <w:color w:val="auto"/>
          <w:sz w:val="24"/>
          <w:szCs w:val="24"/>
          <w:highlight w:val="none"/>
        </w:rPr>
      </w:pPr>
      <w:r>
        <w:rPr>
          <w:rFonts w:hint="eastAsia" w:hAnsi="宋体" w:cs="宋体"/>
          <w:color w:val="auto"/>
          <w:sz w:val="24"/>
          <w:szCs w:val="24"/>
          <w:highlight w:val="none"/>
        </w:rPr>
        <w:t>1</w:t>
      </w:r>
      <w:r>
        <w:rPr>
          <w:rFonts w:hAnsi="宋体" w:cs="宋体"/>
          <w:color w:val="auto"/>
          <w:sz w:val="24"/>
          <w:szCs w:val="24"/>
          <w:highlight w:val="none"/>
        </w:rPr>
        <w:t>.</w:t>
      </w:r>
      <w:r>
        <w:rPr>
          <w:rFonts w:hint="eastAsia" w:hAnsi="宋体" w:cs="宋体"/>
          <w:color w:val="auto"/>
          <w:sz w:val="24"/>
          <w:szCs w:val="24"/>
          <w:highlight w:val="none"/>
        </w:rPr>
        <w:t>监测设备和辅助设施</w:t>
      </w:r>
    </w:p>
    <w:p>
      <w:pPr>
        <w:pStyle w:val="25"/>
        <w:snapToGrid/>
        <w:ind w:firstLine="480"/>
        <w:jc w:val="both"/>
        <w:rPr>
          <w:rFonts w:hAnsi="宋体" w:cs="宋体"/>
          <w:color w:val="auto"/>
          <w:sz w:val="24"/>
          <w:szCs w:val="24"/>
          <w:highlight w:val="none"/>
        </w:rPr>
      </w:pPr>
      <w:r>
        <w:rPr>
          <w:rFonts w:hint="eastAsia" w:hAnsi="宋体" w:cs="宋体"/>
          <w:color w:val="auto"/>
          <w:sz w:val="24"/>
          <w:szCs w:val="24"/>
          <w:highlight w:val="none"/>
        </w:rPr>
        <w:t>负责运维的设备主要包括监测仪器、质控设备和辅助设备设施三部分。其中，监测仪器和质控设备包括VOCs走航分析系统、大气颗粒物激光雷达、车载式五参数气象站、监控云台摄像机、动态校准仪；辅助设备设施包括采样系统、数据采集与传输软硬件、钢瓶气等。</w:t>
      </w:r>
    </w:p>
    <w:p>
      <w:pPr>
        <w:pStyle w:val="25"/>
        <w:snapToGrid/>
        <w:ind w:firstLine="482"/>
        <w:jc w:val="both"/>
        <w:rPr>
          <w:rFonts w:hAnsi="宋体" w:cs="宋体"/>
          <w:b/>
          <w:bCs/>
          <w:color w:val="auto"/>
          <w:sz w:val="24"/>
          <w:szCs w:val="24"/>
          <w:highlight w:val="none"/>
        </w:rPr>
      </w:pPr>
      <w:r>
        <w:rPr>
          <w:rFonts w:hint="eastAsia" w:hAnsi="宋体" w:cs="宋体"/>
          <w:b/>
          <w:bCs/>
          <w:color w:val="auto"/>
          <w:sz w:val="24"/>
          <w:highlight w:val="none"/>
        </w:rPr>
        <w:t>★</w:t>
      </w:r>
      <w:r>
        <w:rPr>
          <w:rFonts w:hint="eastAsia" w:hAnsi="宋体" w:cs="宋体"/>
          <w:color w:val="auto"/>
          <w:sz w:val="24"/>
          <w:szCs w:val="24"/>
          <w:highlight w:val="none"/>
        </w:rPr>
        <w:t>2.运维技术指标</w:t>
      </w:r>
      <w:r>
        <w:rPr>
          <w:rFonts w:hint="eastAsia" w:hAnsi="宋体" w:cs="宋体"/>
          <w:b/>
          <w:bCs/>
          <w:color w:val="auto"/>
          <w:sz w:val="24"/>
          <w:szCs w:val="24"/>
          <w:highlight w:val="none"/>
        </w:rPr>
        <w:t>（提供承诺函格式自拟并加盖投标人公章，否则按无效投标处理）</w:t>
      </w:r>
    </w:p>
    <w:p>
      <w:pPr>
        <w:pStyle w:val="25"/>
        <w:snapToGrid/>
        <w:ind w:firstLine="480"/>
        <w:jc w:val="both"/>
        <w:rPr>
          <w:rFonts w:hAnsi="宋体" w:cs="宋体"/>
          <w:color w:val="auto"/>
          <w:sz w:val="24"/>
          <w:szCs w:val="24"/>
          <w:highlight w:val="none"/>
        </w:rPr>
      </w:pPr>
      <w:r>
        <w:rPr>
          <w:rFonts w:hint="eastAsia" w:hAnsi="宋体" w:cs="宋体"/>
          <w:color w:val="auto"/>
          <w:sz w:val="24"/>
          <w:szCs w:val="24"/>
          <w:highlight w:val="none"/>
        </w:rPr>
        <w:t>2.1运维单位须不低于配备1套必要的且在检定有效期内的质量控制设备。</w:t>
      </w:r>
    </w:p>
    <w:p>
      <w:pPr>
        <w:pStyle w:val="25"/>
        <w:snapToGrid/>
        <w:ind w:firstLine="480"/>
        <w:jc w:val="both"/>
        <w:rPr>
          <w:rFonts w:hAnsi="宋体" w:cs="宋体"/>
          <w:color w:val="auto"/>
          <w:sz w:val="24"/>
          <w:szCs w:val="24"/>
          <w:highlight w:val="none"/>
        </w:rPr>
      </w:pPr>
      <w:r>
        <w:rPr>
          <w:rFonts w:hint="eastAsia" w:hAnsi="宋体" w:cs="宋体"/>
          <w:color w:val="auto"/>
          <w:sz w:val="24"/>
          <w:szCs w:val="24"/>
          <w:highlight w:val="none"/>
        </w:rPr>
        <w:t>2.2运维单位配备专用仪器维修工具、通讯调试工具。</w:t>
      </w:r>
    </w:p>
    <w:p>
      <w:pPr>
        <w:pStyle w:val="25"/>
        <w:snapToGrid/>
        <w:ind w:firstLine="480"/>
        <w:jc w:val="both"/>
        <w:rPr>
          <w:rFonts w:hAnsi="宋体" w:cs="宋体"/>
          <w:color w:val="auto"/>
          <w:sz w:val="24"/>
          <w:szCs w:val="24"/>
          <w:highlight w:val="none"/>
        </w:rPr>
      </w:pPr>
      <w:r>
        <w:rPr>
          <w:rFonts w:hint="eastAsia" w:hAnsi="宋体" w:cs="宋体"/>
          <w:color w:val="auto"/>
          <w:sz w:val="24"/>
          <w:szCs w:val="24"/>
          <w:highlight w:val="none"/>
        </w:rPr>
        <w:t>2.3运维单位指派不低于6名技术人员在用户指定的地点开展数据监视、数据审核分析等运维工作，自带办公设备。</w:t>
      </w:r>
    </w:p>
    <w:p>
      <w:pPr>
        <w:pStyle w:val="25"/>
        <w:snapToGrid/>
        <w:ind w:firstLine="482"/>
        <w:jc w:val="both"/>
        <w:rPr>
          <w:rFonts w:hAnsi="宋体" w:cs="宋体"/>
          <w:b/>
          <w:bCs/>
          <w:color w:val="auto"/>
          <w:sz w:val="24"/>
          <w:szCs w:val="24"/>
          <w:highlight w:val="none"/>
        </w:rPr>
      </w:pPr>
      <w:r>
        <w:rPr>
          <w:rFonts w:hint="eastAsia" w:hAnsi="宋体" w:cs="宋体"/>
          <w:b/>
          <w:bCs/>
          <w:color w:val="auto"/>
          <w:sz w:val="24"/>
          <w:highlight w:val="none"/>
        </w:rPr>
        <w:t>★</w:t>
      </w:r>
      <w:r>
        <w:rPr>
          <w:rFonts w:hint="eastAsia" w:hAnsi="宋体" w:cs="宋体"/>
          <w:color w:val="auto"/>
          <w:sz w:val="24"/>
          <w:szCs w:val="24"/>
          <w:highlight w:val="none"/>
        </w:rPr>
        <w:t>3运行维护工作目标</w:t>
      </w:r>
      <w:r>
        <w:rPr>
          <w:rFonts w:hint="eastAsia" w:hAnsi="宋体" w:cs="宋体"/>
          <w:b/>
          <w:bCs/>
          <w:color w:val="auto"/>
          <w:sz w:val="24"/>
          <w:szCs w:val="24"/>
          <w:highlight w:val="none"/>
        </w:rPr>
        <w:t>（提供承诺函格式自拟并加盖投标人公章，否则按无效投标处理）</w:t>
      </w:r>
    </w:p>
    <w:p>
      <w:pPr>
        <w:pStyle w:val="25"/>
        <w:snapToGrid/>
        <w:ind w:firstLine="480"/>
        <w:jc w:val="both"/>
        <w:rPr>
          <w:rFonts w:hAnsi="宋体" w:cs="宋体"/>
          <w:color w:val="auto"/>
          <w:sz w:val="24"/>
          <w:szCs w:val="24"/>
          <w:highlight w:val="none"/>
        </w:rPr>
      </w:pPr>
      <w:r>
        <w:rPr>
          <w:rFonts w:hint="eastAsia" w:hAnsi="宋体" w:cs="宋体"/>
          <w:color w:val="auto"/>
          <w:sz w:val="24"/>
          <w:szCs w:val="24"/>
          <w:highlight w:val="none"/>
        </w:rPr>
        <w:t>运维单位必须建立完善的的运行维护工作规范，确保提供及时、准确、有效的监测数据，监测系统的运行质量应达到以下指标：</w:t>
      </w:r>
    </w:p>
    <w:p>
      <w:pPr>
        <w:pStyle w:val="25"/>
        <w:snapToGrid/>
        <w:ind w:firstLine="480"/>
        <w:jc w:val="both"/>
        <w:rPr>
          <w:rFonts w:hAnsi="宋体" w:cs="宋体"/>
          <w:color w:val="auto"/>
          <w:sz w:val="24"/>
          <w:szCs w:val="24"/>
          <w:highlight w:val="none"/>
        </w:rPr>
      </w:pPr>
      <w:r>
        <w:rPr>
          <w:rFonts w:hint="eastAsia" w:hAnsi="宋体" w:cs="宋体"/>
          <w:color w:val="auto"/>
          <w:sz w:val="24"/>
          <w:szCs w:val="24"/>
          <w:highlight w:val="none"/>
        </w:rPr>
        <w:t>3.1数据获取率达到90%（以小时值计）以上；</w:t>
      </w:r>
    </w:p>
    <w:p>
      <w:pPr>
        <w:pStyle w:val="25"/>
        <w:snapToGrid/>
        <w:ind w:firstLine="480"/>
        <w:jc w:val="both"/>
        <w:rPr>
          <w:rFonts w:hAnsi="宋体" w:cs="宋体"/>
          <w:color w:val="auto"/>
          <w:sz w:val="24"/>
          <w:szCs w:val="24"/>
          <w:highlight w:val="none"/>
        </w:rPr>
      </w:pPr>
      <w:r>
        <w:rPr>
          <w:rFonts w:hint="eastAsia" w:hAnsi="宋体" w:cs="宋体"/>
          <w:color w:val="auto"/>
          <w:sz w:val="24"/>
          <w:szCs w:val="24"/>
          <w:highlight w:val="none"/>
        </w:rPr>
        <w:t>3.2数据有效性：数据有效率不低于85%（设备日常维护质控、停电和设备故障，以及其他不可抗力除外）。</w:t>
      </w:r>
    </w:p>
    <w:p>
      <w:pPr>
        <w:pStyle w:val="12"/>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4.未经许可不得向任何第三方机构或个人提供任何监测数据，所有监测数据及产品版权归采购方所有。</w:t>
      </w:r>
    </w:p>
    <w:p>
      <w:pPr>
        <w:pStyle w:val="12"/>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5.其他需求</w:t>
      </w:r>
    </w:p>
    <w:p>
      <w:pPr>
        <w:pStyle w:val="12"/>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供应商须按照采购方要求完成监测车原有设备搬迁安装工作，搬迁过程中和设备安装过程中（包括安装所需的配件）产生的所有费用由供应商承担。</w:t>
      </w:r>
    </w:p>
    <w:p>
      <w:pPr>
        <w:pStyle w:val="12"/>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6.运维监督管理及考核办法</w:t>
      </w:r>
    </w:p>
    <w:p>
      <w:pPr>
        <w:pStyle w:val="25"/>
        <w:snapToGrid/>
        <w:ind w:firstLine="480"/>
        <w:jc w:val="both"/>
        <w:rPr>
          <w:rFonts w:hAnsi="宋体" w:cs="宋体"/>
          <w:color w:val="auto"/>
          <w:sz w:val="24"/>
          <w:szCs w:val="24"/>
          <w:highlight w:val="none"/>
        </w:rPr>
      </w:pPr>
      <w:r>
        <w:rPr>
          <w:rFonts w:hint="eastAsia" w:hAnsi="宋体" w:cs="宋体"/>
          <w:color w:val="auto"/>
          <w:sz w:val="24"/>
          <w:highlight w:val="none"/>
          <w:lang w:val="zh-CN"/>
        </w:rPr>
        <w:t>★</w:t>
      </w:r>
      <w:r>
        <w:rPr>
          <w:rFonts w:hint="eastAsia" w:hAnsi="宋体" w:cs="宋体"/>
          <w:color w:val="auto"/>
          <w:sz w:val="24"/>
          <w:szCs w:val="24"/>
          <w:highlight w:val="none"/>
        </w:rPr>
        <w:t>6.1监督管理</w:t>
      </w:r>
      <w:r>
        <w:rPr>
          <w:rFonts w:hint="eastAsia" w:hAnsi="宋体" w:cs="宋体"/>
          <w:b/>
          <w:bCs/>
          <w:color w:val="auto"/>
          <w:sz w:val="24"/>
          <w:szCs w:val="24"/>
          <w:highlight w:val="none"/>
        </w:rPr>
        <w:t>（提供承诺函格式自拟并加盖投标人公章，否则按无效投标处理）</w:t>
      </w:r>
    </w:p>
    <w:p>
      <w:pPr>
        <w:pStyle w:val="25"/>
        <w:snapToGrid/>
        <w:ind w:firstLine="480"/>
        <w:jc w:val="both"/>
        <w:rPr>
          <w:rFonts w:hAnsi="宋体" w:cs="宋体"/>
          <w:color w:val="auto"/>
          <w:sz w:val="24"/>
          <w:szCs w:val="24"/>
          <w:highlight w:val="none"/>
        </w:rPr>
      </w:pPr>
      <w:r>
        <w:rPr>
          <w:rFonts w:hint="eastAsia" w:hAnsi="宋体" w:cs="宋体"/>
          <w:color w:val="auto"/>
          <w:sz w:val="24"/>
          <w:szCs w:val="24"/>
          <w:highlight w:val="none"/>
        </w:rPr>
        <w:t>6.1.1运维单位应承担监测数据的保密责任（签订保密协议），不得利用本项目的数据、档案或有关资料对外开展技术交流、业务联系、数据交换或其它工商业活动等。</w:t>
      </w:r>
    </w:p>
    <w:p>
      <w:pPr>
        <w:pStyle w:val="25"/>
        <w:snapToGrid/>
        <w:ind w:firstLine="480"/>
        <w:jc w:val="both"/>
        <w:rPr>
          <w:rFonts w:hAnsi="宋体" w:cs="宋体"/>
          <w:color w:val="auto"/>
          <w:sz w:val="24"/>
          <w:szCs w:val="24"/>
          <w:highlight w:val="none"/>
        </w:rPr>
      </w:pPr>
      <w:r>
        <w:rPr>
          <w:rFonts w:hint="eastAsia" w:hAnsi="宋体" w:cs="宋体"/>
          <w:color w:val="auto"/>
          <w:sz w:val="24"/>
          <w:szCs w:val="24"/>
          <w:highlight w:val="none"/>
        </w:rPr>
        <w:t>6.1.2运维期间出现调整数据、修改参数、改动设备、弄虚作假等违规行为的，采购人有权进行处罚。</w:t>
      </w:r>
    </w:p>
    <w:p>
      <w:pPr>
        <w:pStyle w:val="25"/>
        <w:snapToGrid/>
        <w:ind w:firstLine="480"/>
        <w:jc w:val="both"/>
        <w:rPr>
          <w:rFonts w:hAnsi="宋体" w:cs="宋体"/>
          <w:b/>
          <w:bCs/>
          <w:color w:val="auto"/>
          <w:sz w:val="24"/>
          <w:szCs w:val="24"/>
          <w:highlight w:val="none"/>
        </w:rPr>
      </w:pPr>
      <w:r>
        <w:rPr>
          <w:rFonts w:hint="eastAsia" w:hAnsi="宋体" w:cs="宋体"/>
          <w:color w:val="auto"/>
          <w:sz w:val="24"/>
          <w:szCs w:val="24"/>
          <w:highlight w:val="none"/>
        </w:rPr>
        <w:t>6.1.3供应商承诺如维护点位发生变更（如点位调整，更换等），维护地点也相应进行调整，维护内容不变。</w:t>
      </w:r>
    </w:p>
    <w:p>
      <w:pPr>
        <w:pStyle w:val="25"/>
        <w:snapToGrid/>
        <w:ind w:firstLine="480"/>
        <w:jc w:val="both"/>
        <w:rPr>
          <w:rFonts w:hAnsi="宋体" w:cs="宋体"/>
          <w:color w:val="auto"/>
          <w:sz w:val="24"/>
          <w:szCs w:val="24"/>
          <w:highlight w:val="none"/>
        </w:rPr>
      </w:pPr>
      <w:r>
        <w:rPr>
          <w:rFonts w:hint="eastAsia" w:hAnsi="宋体" w:cs="宋体"/>
          <w:color w:val="auto"/>
          <w:sz w:val="24"/>
          <w:szCs w:val="24"/>
          <w:highlight w:val="none"/>
        </w:rPr>
        <w:t>6.1.4运维期间，运维单位应按安全生产有关规定，建立安全生产制度，切实消除安全隐患。</w:t>
      </w:r>
    </w:p>
    <w:p>
      <w:pPr>
        <w:pStyle w:val="25"/>
        <w:snapToGrid/>
        <w:ind w:firstLine="480"/>
        <w:jc w:val="both"/>
        <w:rPr>
          <w:rFonts w:hAnsi="宋体" w:cs="宋体"/>
          <w:color w:val="auto"/>
          <w:sz w:val="24"/>
          <w:szCs w:val="24"/>
          <w:highlight w:val="none"/>
        </w:rPr>
      </w:pPr>
      <w:r>
        <w:rPr>
          <w:rFonts w:hint="eastAsia" w:hAnsi="宋体" w:cs="宋体"/>
          <w:color w:val="auto"/>
          <w:sz w:val="24"/>
          <w:szCs w:val="24"/>
          <w:highlight w:val="none"/>
        </w:rPr>
        <w:t>6.2考核办法</w:t>
      </w:r>
    </w:p>
    <w:p>
      <w:pPr>
        <w:pStyle w:val="25"/>
        <w:snapToGrid/>
        <w:ind w:firstLine="480"/>
        <w:jc w:val="both"/>
        <w:rPr>
          <w:rFonts w:hAnsi="宋体" w:cs="宋体"/>
          <w:color w:val="auto"/>
          <w:sz w:val="24"/>
          <w:szCs w:val="24"/>
          <w:highlight w:val="none"/>
        </w:rPr>
      </w:pPr>
      <w:r>
        <w:rPr>
          <w:rFonts w:hint="eastAsia" w:hAnsi="宋体" w:cs="宋体"/>
          <w:color w:val="auto"/>
          <w:sz w:val="24"/>
          <w:szCs w:val="24"/>
          <w:highlight w:val="none"/>
        </w:rPr>
        <w:t>对运维服务情况每季度考核一次，具体考核评分要求见下表。</w:t>
      </w:r>
    </w:p>
    <w:p>
      <w:pPr>
        <w:jc w:val="center"/>
        <w:rPr>
          <w:rFonts w:ascii="宋体" w:hAnsi="宋体" w:cs="宋体"/>
          <w:b/>
          <w:color w:val="auto"/>
          <w:sz w:val="24"/>
          <w:highlight w:val="none"/>
        </w:rPr>
      </w:pPr>
      <w:r>
        <w:rPr>
          <w:rFonts w:hint="eastAsia" w:ascii="宋体" w:hAnsi="宋体" w:cs="宋体"/>
          <w:b/>
          <w:color w:val="auto"/>
          <w:sz w:val="24"/>
          <w:highlight w:val="none"/>
        </w:rPr>
        <w:t>监测车运维服务管理考核评分表</w:t>
      </w:r>
    </w:p>
    <w:tbl>
      <w:tblPr>
        <w:tblStyle w:val="32"/>
        <w:tblW w:w="8985" w:type="dxa"/>
        <w:jc w:val="center"/>
        <w:tblLayout w:type="fixed"/>
        <w:tblCellMar>
          <w:top w:w="0" w:type="dxa"/>
          <w:left w:w="0" w:type="dxa"/>
          <w:bottom w:w="0" w:type="dxa"/>
          <w:right w:w="0" w:type="dxa"/>
        </w:tblCellMar>
      </w:tblPr>
      <w:tblGrid>
        <w:gridCol w:w="1331"/>
        <w:gridCol w:w="1418"/>
        <w:gridCol w:w="5244"/>
        <w:gridCol w:w="992"/>
      </w:tblGrid>
      <w:tr>
        <w:tblPrEx>
          <w:tblCellMar>
            <w:top w:w="0" w:type="dxa"/>
            <w:left w:w="0" w:type="dxa"/>
            <w:bottom w:w="0" w:type="dxa"/>
            <w:right w:w="0" w:type="dxa"/>
          </w:tblCellMar>
        </w:tblPrEx>
        <w:trPr>
          <w:trHeight w:val="495" w:hRule="atLeast"/>
          <w:jc w:val="center"/>
        </w:trPr>
        <w:tc>
          <w:tcPr>
            <w:tcW w:w="2749" w:type="dxa"/>
            <w:gridSpan w:val="2"/>
            <w:tcBorders>
              <w:top w:val="single" w:color="000000" w:sz="4" w:space="0"/>
              <w:left w:val="single" w:color="000000" w:sz="4" w:space="0"/>
              <w:right w:val="single" w:color="000000" w:sz="4" w:space="0"/>
            </w:tcBorders>
            <w:vAlign w:val="center"/>
          </w:tcPr>
          <w:p>
            <w:pPr>
              <w:adjustRightInd w:val="0"/>
              <w:jc w:val="center"/>
              <w:rPr>
                <w:rFonts w:ascii="宋体" w:hAnsi="宋体" w:cs="宋体"/>
                <w:b/>
                <w:bCs/>
                <w:color w:val="auto"/>
                <w:sz w:val="24"/>
                <w:highlight w:val="none"/>
              </w:rPr>
            </w:pPr>
            <w:r>
              <w:rPr>
                <w:rFonts w:hint="eastAsia" w:ascii="宋体" w:hAnsi="宋体" w:cs="宋体"/>
                <w:b/>
                <w:bCs/>
                <w:color w:val="auto"/>
                <w:sz w:val="24"/>
                <w:highlight w:val="none"/>
              </w:rPr>
              <w:t>考核内容及评分标准</w:t>
            </w:r>
          </w:p>
        </w:tc>
        <w:tc>
          <w:tcPr>
            <w:tcW w:w="5244" w:type="dxa"/>
            <w:tcBorders>
              <w:top w:val="single" w:color="000000" w:sz="4" w:space="0"/>
              <w:left w:val="single" w:color="000000" w:sz="4" w:space="0"/>
              <w:right w:val="single" w:color="000000" w:sz="4" w:space="0"/>
            </w:tcBorders>
            <w:vAlign w:val="center"/>
          </w:tcPr>
          <w:p>
            <w:pPr>
              <w:adjustRightInd w:val="0"/>
              <w:jc w:val="center"/>
              <w:rPr>
                <w:rFonts w:ascii="宋体" w:hAnsi="宋体" w:cs="宋体"/>
                <w:b/>
                <w:bCs/>
                <w:color w:val="auto"/>
                <w:sz w:val="24"/>
                <w:highlight w:val="none"/>
              </w:rPr>
            </w:pPr>
            <w:r>
              <w:rPr>
                <w:rFonts w:hint="eastAsia" w:ascii="宋体" w:hAnsi="宋体" w:cs="宋体"/>
                <w:b/>
                <w:bCs/>
                <w:color w:val="auto"/>
                <w:sz w:val="24"/>
                <w:highlight w:val="none"/>
              </w:rPr>
              <w:t>考核要求</w:t>
            </w:r>
          </w:p>
        </w:tc>
        <w:tc>
          <w:tcPr>
            <w:tcW w:w="992" w:type="dxa"/>
            <w:tcBorders>
              <w:top w:val="single" w:color="000000" w:sz="4" w:space="0"/>
              <w:left w:val="single" w:color="000000" w:sz="4" w:space="0"/>
              <w:right w:val="single" w:color="000000" w:sz="4" w:space="0"/>
            </w:tcBorders>
            <w:vAlign w:val="center"/>
          </w:tcPr>
          <w:p>
            <w:pPr>
              <w:adjustRightInd w:val="0"/>
              <w:jc w:val="center"/>
              <w:rPr>
                <w:rFonts w:ascii="宋体" w:hAnsi="宋体" w:cs="宋体"/>
                <w:b/>
                <w:bCs/>
                <w:color w:val="auto"/>
                <w:sz w:val="24"/>
                <w:highlight w:val="none"/>
              </w:rPr>
            </w:pPr>
            <w:r>
              <w:rPr>
                <w:rFonts w:hint="eastAsia" w:ascii="宋体" w:hAnsi="宋体" w:cs="宋体"/>
                <w:b/>
                <w:bCs/>
                <w:color w:val="auto"/>
                <w:sz w:val="24"/>
                <w:highlight w:val="none"/>
              </w:rPr>
              <w:t>得分</w:t>
            </w:r>
          </w:p>
        </w:tc>
      </w:tr>
      <w:tr>
        <w:tblPrEx>
          <w:tblCellMar>
            <w:top w:w="0" w:type="dxa"/>
            <w:left w:w="0" w:type="dxa"/>
            <w:bottom w:w="0" w:type="dxa"/>
            <w:right w:w="0" w:type="dxa"/>
          </w:tblCellMar>
        </w:tblPrEx>
        <w:trPr>
          <w:trHeight w:val="974" w:hRule="atLeast"/>
          <w:jc w:val="center"/>
        </w:trPr>
        <w:tc>
          <w:tcPr>
            <w:tcW w:w="1331" w:type="dxa"/>
            <w:vMerge w:val="restart"/>
            <w:tcBorders>
              <w:top w:val="single" w:color="000000" w:sz="4" w:space="0"/>
              <w:left w:val="single" w:color="000000" w:sz="4" w:space="0"/>
              <w:right w:val="single" w:color="auto" w:sz="4" w:space="0"/>
            </w:tcBorders>
            <w:vAlign w:val="center"/>
          </w:tcPr>
          <w:p>
            <w:pPr>
              <w:adjustRightInd w:val="0"/>
              <w:jc w:val="center"/>
              <w:rPr>
                <w:rFonts w:ascii="宋体" w:hAnsi="宋体" w:cs="宋体"/>
                <w:color w:val="auto"/>
                <w:sz w:val="24"/>
                <w:highlight w:val="none"/>
              </w:rPr>
            </w:pPr>
            <w:r>
              <w:rPr>
                <w:rFonts w:hint="eastAsia" w:ascii="宋体" w:hAnsi="宋体" w:cs="宋体"/>
                <w:color w:val="auto"/>
                <w:sz w:val="24"/>
                <w:highlight w:val="none"/>
              </w:rPr>
              <w:t>记录表格</w:t>
            </w:r>
          </w:p>
          <w:p>
            <w:pPr>
              <w:adjustRightInd w:val="0"/>
              <w:jc w:val="center"/>
              <w:rPr>
                <w:rFonts w:ascii="宋体" w:hAnsi="宋体" w:cs="宋体"/>
                <w:color w:val="auto"/>
                <w:sz w:val="24"/>
                <w:highlight w:val="none"/>
              </w:rPr>
            </w:pPr>
            <w:r>
              <w:rPr>
                <w:rFonts w:hint="eastAsia" w:ascii="宋体" w:hAnsi="宋体" w:cs="宋体"/>
                <w:color w:val="auto"/>
                <w:sz w:val="24"/>
                <w:highlight w:val="none"/>
              </w:rPr>
              <w:t>（10分）</w:t>
            </w:r>
          </w:p>
        </w:tc>
        <w:tc>
          <w:tcPr>
            <w:tcW w:w="1418" w:type="dxa"/>
            <w:tcBorders>
              <w:top w:val="single" w:color="000000" w:sz="4" w:space="0"/>
              <w:left w:val="single" w:color="auto" w:sz="4" w:space="0"/>
              <w:bottom w:val="single" w:color="auto" w:sz="4" w:space="0"/>
              <w:right w:val="single" w:color="000000" w:sz="4" w:space="0"/>
            </w:tcBorders>
            <w:vAlign w:val="center"/>
          </w:tcPr>
          <w:p>
            <w:pPr>
              <w:adjustRightInd w:val="0"/>
              <w:jc w:val="center"/>
              <w:rPr>
                <w:rFonts w:ascii="宋体" w:hAnsi="宋体" w:cs="宋体"/>
                <w:color w:val="auto"/>
                <w:sz w:val="24"/>
                <w:highlight w:val="none"/>
              </w:rPr>
            </w:pPr>
            <w:r>
              <w:rPr>
                <w:rFonts w:hint="eastAsia" w:ascii="宋体" w:hAnsi="宋体" w:cs="宋体"/>
                <w:color w:val="auto"/>
                <w:sz w:val="24"/>
                <w:highlight w:val="none"/>
              </w:rPr>
              <w:t>规范性与完整性（6分）</w:t>
            </w:r>
          </w:p>
        </w:tc>
        <w:tc>
          <w:tcPr>
            <w:tcW w:w="5244" w:type="dxa"/>
            <w:tcBorders>
              <w:top w:val="single" w:color="000000" w:sz="4" w:space="0"/>
              <w:left w:val="single" w:color="000000" w:sz="4" w:space="0"/>
              <w:bottom w:val="single" w:color="auto" w:sz="4" w:space="0"/>
              <w:right w:val="single" w:color="000000" w:sz="4" w:space="0"/>
            </w:tcBorders>
            <w:vAlign w:val="center"/>
          </w:tcPr>
          <w:p>
            <w:pPr>
              <w:adjustRightInd w:val="0"/>
              <w:jc w:val="left"/>
              <w:rPr>
                <w:rFonts w:ascii="宋体" w:hAnsi="宋体" w:cs="宋体"/>
                <w:strike/>
                <w:color w:val="auto"/>
                <w:sz w:val="24"/>
                <w:highlight w:val="none"/>
              </w:rPr>
            </w:pPr>
            <w:r>
              <w:rPr>
                <w:rFonts w:hint="eastAsia" w:ascii="宋体" w:hAnsi="宋体" w:cs="宋体"/>
                <w:color w:val="auto"/>
                <w:sz w:val="24"/>
                <w:highlight w:val="none"/>
              </w:rPr>
              <w:t>建立车载监测系统维护档案，将车载监测系统的运行过程和运行事件进行详细记录，并进行归档管理。不完整的每份扣0.5分，缺失表格的每份扣1分，扣完为止。</w:t>
            </w:r>
          </w:p>
        </w:tc>
        <w:tc>
          <w:tcPr>
            <w:tcW w:w="992"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宋体" w:hAnsi="宋体" w:cs="宋体"/>
                <w:b/>
                <w:bCs/>
                <w:color w:val="auto"/>
                <w:sz w:val="24"/>
                <w:highlight w:val="none"/>
              </w:rPr>
            </w:pPr>
          </w:p>
        </w:tc>
      </w:tr>
      <w:tr>
        <w:tblPrEx>
          <w:tblCellMar>
            <w:top w:w="0" w:type="dxa"/>
            <w:left w:w="0" w:type="dxa"/>
            <w:bottom w:w="0" w:type="dxa"/>
            <w:right w:w="0" w:type="dxa"/>
          </w:tblCellMar>
        </w:tblPrEx>
        <w:trPr>
          <w:trHeight w:val="522" w:hRule="atLeast"/>
          <w:jc w:val="center"/>
        </w:trPr>
        <w:tc>
          <w:tcPr>
            <w:tcW w:w="1331" w:type="dxa"/>
            <w:vMerge w:val="continue"/>
            <w:tcBorders>
              <w:left w:val="single" w:color="000000" w:sz="4" w:space="0"/>
              <w:bottom w:val="single" w:color="000000" w:sz="4" w:space="0"/>
              <w:right w:val="single" w:color="auto" w:sz="4" w:space="0"/>
            </w:tcBorders>
            <w:vAlign w:val="center"/>
          </w:tcPr>
          <w:p>
            <w:pPr>
              <w:adjustRightInd w:val="0"/>
              <w:jc w:val="center"/>
              <w:rPr>
                <w:rFonts w:ascii="宋体" w:hAnsi="宋体" w:cs="宋体"/>
                <w:color w:val="auto"/>
                <w:sz w:val="24"/>
                <w:highlight w:val="none"/>
              </w:rPr>
            </w:pPr>
          </w:p>
        </w:tc>
        <w:tc>
          <w:tcPr>
            <w:tcW w:w="1418" w:type="dxa"/>
            <w:tcBorders>
              <w:top w:val="single" w:color="auto" w:sz="4" w:space="0"/>
              <w:left w:val="single" w:color="auto" w:sz="4" w:space="0"/>
              <w:bottom w:val="single" w:color="000000" w:sz="4" w:space="0"/>
              <w:right w:val="single" w:color="000000" w:sz="4" w:space="0"/>
            </w:tcBorders>
            <w:vAlign w:val="center"/>
          </w:tcPr>
          <w:p>
            <w:pPr>
              <w:adjustRightInd w:val="0"/>
              <w:jc w:val="center"/>
              <w:rPr>
                <w:rFonts w:ascii="宋体" w:hAnsi="宋体" w:cs="宋体"/>
                <w:color w:val="auto"/>
                <w:sz w:val="24"/>
                <w:highlight w:val="none"/>
              </w:rPr>
            </w:pPr>
            <w:r>
              <w:rPr>
                <w:rFonts w:hint="eastAsia" w:ascii="宋体" w:hAnsi="宋体" w:cs="宋体"/>
                <w:color w:val="auto"/>
                <w:sz w:val="24"/>
                <w:highlight w:val="none"/>
              </w:rPr>
              <w:t>上报的及时性（4分）</w:t>
            </w:r>
          </w:p>
        </w:tc>
        <w:tc>
          <w:tcPr>
            <w:tcW w:w="5244" w:type="dxa"/>
            <w:tcBorders>
              <w:top w:val="single" w:color="auto" w:sz="4" w:space="0"/>
              <w:left w:val="single" w:color="000000" w:sz="4" w:space="0"/>
              <w:bottom w:val="single" w:color="000000" w:sz="4" w:space="0"/>
              <w:right w:val="single" w:color="000000" w:sz="4" w:space="0"/>
            </w:tcBorders>
            <w:vAlign w:val="center"/>
          </w:tcPr>
          <w:p>
            <w:pPr>
              <w:adjustRightInd w:val="0"/>
              <w:jc w:val="left"/>
              <w:rPr>
                <w:rFonts w:ascii="宋体" w:hAnsi="宋体" w:cs="宋体"/>
                <w:color w:val="auto"/>
                <w:sz w:val="24"/>
                <w:highlight w:val="none"/>
              </w:rPr>
            </w:pPr>
            <w:r>
              <w:rPr>
                <w:rFonts w:hint="eastAsia" w:ascii="宋体" w:hAnsi="宋体" w:cs="宋体"/>
                <w:color w:val="auto"/>
                <w:sz w:val="24"/>
                <w:highlight w:val="none"/>
              </w:rPr>
              <w:t>按要求每月5日前将相关记录表格送至我站审核，未及时送达的每份扣1分，记录表格不规范的每份扣1分，扣完为止。</w:t>
            </w:r>
          </w:p>
        </w:tc>
        <w:tc>
          <w:tcPr>
            <w:tcW w:w="992"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宋体" w:hAnsi="宋体" w:cs="宋体"/>
                <w:b/>
                <w:bCs/>
                <w:color w:val="auto"/>
                <w:sz w:val="24"/>
                <w:highlight w:val="none"/>
              </w:rPr>
            </w:pPr>
          </w:p>
        </w:tc>
      </w:tr>
      <w:tr>
        <w:tblPrEx>
          <w:tblCellMar>
            <w:top w:w="0" w:type="dxa"/>
            <w:left w:w="0" w:type="dxa"/>
            <w:bottom w:w="0" w:type="dxa"/>
            <w:right w:w="0" w:type="dxa"/>
          </w:tblCellMar>
        </w:tblPrEx>
        <w:trPr>
          <w:trHeight w:val="732" w:hRule="atLeast"/>
          <w:jc w:val="center"/>
        </w:trPr>
        <w:tc>
          <w:tcPr>
            <w:tcW w:w="1331" w:type="dxa"/>
            <w:vMerge w:val="restart"/>
            <w:tcBorders>
              <w:top w:val="single" w:color="000000" w:sz="4" w:space="0"/>
              <w:left w:val="single" w:color="000000" w:sz="4" w:space="0"/>
              <w:right w:val="single" w:color="auto" w:sz="4" w:space="0"/>
            </w:tcBorders>
            <w:vAlign w:val="center"/>
          </w:tcPr>
          <w:p>
            <w:pPr>
              <w:adjustRightInd w:val="0"/>
              <w:jc w:val="center"/>
              <w:rPr>
                <w:rFonts w:ascii="宋体" w:hAnsi="宋体" w:cs="宋体"/>
                <w:color w:val="auto"/>
                <w:sz w:val="24"/>
                <w:highlight w:val="none"/>
              </w:rPr>
            </w:pPr>
            <w:r>
              <w:rPr>
                <w:rFonts w:hint="eastAsia" w:ascii="宋体" w:hAnsi="宋体" w:cs="宋体"/>
                <w:color w:val="auto"/>
                <w:sz w:val="24"/>
                <w:highlight w:val="none"/>
              </w:rPr>
              <w:t>运行</w:t>
            </w:r>
          </w:p>
          <w:p>
            <w:pPr>
              <w:adjustRightInd w:val="0"/>
              <w:jc w:val="center"/>
              <w:rPr>
                <w:rFonts w:ascii="宋体" w:hAnsi="宋体" w:cs="宋体"/>
                <w:color w:val="auto"/>
                <w:sz w:val="24"/>
                <w:highlight w:val="none"/>
              </w:rPr>
            </w:pPr>
            <w:r>
              <w:rPr>
                <w:rFonts w:hint="eastAsia" w:ascii="宋体" w:hAnsi="宋体" w:cs="宋体"/>
                <w:color w:val="auto"/>
                <w:sz w:val="24"/>
                <w:highlight w:val="none"/>
              </w:rPr>
              <w:t>维护</w:t>
            </w:r>
          </w:p>
          <w:p>
            <w:pPr>
              <w:adjustRightInd w:val="0"/>
              <w:jc w:val="center"/>
              <w:rPr>
                <w:rFonts w:ascii="宋体" w:hAnsi="宋体" w:cs="宋体"/>
                <w:color w:val="auto"/>
                <w:sz w:val="24"/>
                <w:highlight w:val="none"/>
              </w:rPr>
            </w:pPr>
            <w:r>
              <w:rPr>
                <w:rFonts w:hint="eastAsia" w:ascii="宋体" w:hAnsi="宋体" w:cs="宋体"/>
                <w:color w:val="auto"/>
                <w:sz w:val="24"/>
                <w:highlight w:val="none"/>
              </w:rPr>
              <w:t>（20分）</w:t>
            </w:r>
          </w:p>
        </w:tc>
        <w:tc>
          <w:tcPr>
            <w:tcW w:w="1418"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宋体" w:hAnsi="宋体" w:cs="宋体"/>
                <w:color w:val="auto"/>
                <w:sz w:val="24"/>
                <w:highlight w:val="none"/>
              </w:rPr>
            </w:pPr>
            <w:r>
              <w:rPr>
                <w:rFonts w:hint="eastAsia" w:ascii="宋体" w:hAnsi="宋体" w:cs="宋体"/>
                <w:color w:val="auto"/>
                <w:sz w:val="24"/>
                <w:highlight w:val="none"/>
              </w:rPr>
              <w:t>车辆及安全</w:t>
            </w:r>
          </w:p>
          <w:p>
            <w:pPr>
              <w:adjustRightInd w:val="0"/>
              <w:jc w:val="center"/>
              <w:rPr>
                <w:rFonts w:ascii="宋体" w:hAnsi="宋体" w:cs="宋体"/>
                <w:color w:val="auto"/>
                <w:sz w:val="24"/>
                <w:highlight w:val="none"/>
              </w:rPr>
            </w:pPr>
            <w:r>
              <w:rPr>
                <w:rFonts w:hint="eastAsia" w:ascii="宋体" w:hAnsi="宋体" w:cs="宋体"/>
                <w:color w:val="auto"/>
                <w:sz w:val="24"/>
                <w:highlight w:val="none"/>
              </w:rPr>
              <w:t>（4分）</w:t>
            </w:r>
          </w:p>
        </w:tc>
        <w:tc>
          <w:tcPr>
            <w:tcW w:w="5244" w:type="dxa"/>
            <w:tcBorders>
              <w:top w:val="single" w:color="000000" w:sz="4" w:space="0"/>
              <w:left w:val="single" w:color="000000" w:sz="4" w:space="0"/>
              <w:bottom w:val="single" w:color="000000" w:sz="4" w:space="0"/>
              <w:right w:val="single" w:color="000000" w:sz="4" w:space="0"/>
            </w:tcBorders>
            <w:vAlign w:val="center"/>
          </w:tcPr>
          <w:p>
            <w:pPr>
              <w:adjustRightInd w:val="0"/>
              <w:rPr>
                <w:rFonts w:ascii="宋体" w:hAnsi="宋体" w:cs="宋体"/>
                <w:color w:val="auto"/>
                <w:sz w:val="24"/>
                <w:highlight w:val="none"/>
              </w:rPr>
            </w:pPr>
            <w:r>
              <w:rPr>
                <w:rFonts w:hint="eastAsia" w:ascii="宋体" w:hAnsi="宋体" w:cs="宋体"/>
                <w:color w:val="auto"/>
                <w:sz w:val="24"/>
                <w:highlight w:val="none"/>
              </w:rPr>
              <w:t>车内外干净整洁，物品摆放整齐，车内外设施完好、且无漏雨现象。若出现问题须及时报告我站。</w:t>
            </w:r>
          </w:p>
          <w:p>
            <w:pPr>
              <w:adjustRightInd w:val="0"/>
              <w:rPr>
                <w:rFonts w:ascii="宋体" w:hAnsi="宋体" w:cs="宋体"/>
                <w:color w:val="auto"/>
                <w:sz w:val="24"/>
                <w:highlight w:val="none"/>
              </w:rPr>
            </w:pPr>
            <w:r>
              <w:rPr>
                <w:rFonts w:hint="eastAsia" w:ascii="宋体" w:hAnsi="宋体" w:cs="宋体"/>
                <w:color w:val="auto"/>
                <w:sz w:val="24"/>
                <w:highlight w:val="none"/>
              </w:rPr>
              <w:t>每项不合格扣1分，发现问题、安全隐患却未及时向我站报告扣3分，扣完为止。</w:t>
            </w:r>
          </w:p>
        </w:tc>
        <w:tc>
          <w:tcPr>
            <w:tcW w:w="992"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宋体" w:hAnsi="宋体" w:cs="宋体"/>
                <w:color w:val="auto"/>
                <w:sz w:val="24"/>
                <w:highlight w:val="none"/>
              </w:rPr>
            </w:pPr>
          </w:p>
        </w:tc>
      </w:tr>
      <w:tr>
        <w:tblPrEx>
          <w:tblCellMar>
            <w:top w:w="0" w:type="dxa"/>
            <w:left w:w="0" w:type="dxa"/>
            <w:bottom w:w="0" w:type="dxa"/>
            <w:right w:w="0" w:type="dxa"/>
          </w:tblCellMar>
        </w:tblPrEx>
        <w:trPr>
          <w:trHeight w:val="668" w:hRule="atLeast"/>
          <w:jc w:val="center"/>
        </w:trPr>
        <w:tc>
          <w:tcPr>
            <w:tcW w:w="1331" w:type="dxa"/>
            <w:vMerge w:val="continue"/>
            <w:tcBorders>
              <w:left w:val="single" w:color="000000" w:sz="4" w:space="0"/>
              <w:right w:val="single" w:color="auto" w:sz="4" w:space="0"/>
            </w:tcBorders>
            <w:vAlign w:val="center"/>
          </w:tcPr>
          <w:p>
            <w:pPr>
              <w:adjustRightInd w:val="0"/>
              <w:jc w:val="center"/>
              <w:rPr>
                <w:rFonts w:ascii="宋体" w:hAnsi="宋体" w:cs="宋体"/>
                <w:color w:val="auto"/>
                <w:sz w:val="24"/>
                <w:highlight w:val="none"/>
              </w:rPr>
            </w:pPr>
          </w:p>
        </w:tc>
        <w:tc>
          <w:tcPr>
            <w:tcW w:w="1418"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宋体" w:hAnsi="宋体" w:cs="宋体"/>
                <w:color w:val="auto"/>
                <w:sz w:val="24"/>
                <w:highlight w:val="none"/>
              </w:rPr>
            </w:pPr>
            <w:r>
              <w:rPr>
                <w:rFonts w:hint="eastAsia" w:ascii="宋体" w:hAnsi="宋体" w:cs="宋体"/>
                <w:color w:val="auto"/>
                <w:sz w:val="24"/>
                <w:highlight w:val="none"/>
              </w:rPr>
              <w:t>仪器维护</w:t>
            </w:r>
          </w:p>
          <w:p>
            <w:pPr>
              <w:adjustRightInd w:val="0"/>
              <w:jc w:val="center"/>
              <w:rPr>
                <w:rFonts w:ascii="宋体" w:hAnsi="宋体" w:cs="宋体"/>
                <w:color w:val="auto"/>
                <w:sz w:val="24"/>
                <w:highlight w:val="none"/>
              </w:rPr>
            </w:pPr>
            <w:r>
              <w:rPr>
                <w:rFonts w:hint="eastAsia" w:ascii="宋体" w:hAnsi="宋体" w:cs="宋体"/>
                <w:color w:val="auto"/>
                <w:sz w:val="24"/>
                <w:highlight w:val="none"/>
              </w:rPr>
              <w:t>（10分）</w:t>
            </w:r>
          </w:p>
        </w:tc>
        <w:tc>
          <w:tcPr>
            <w:tcW w:w="5244" w:type="dxa"/>
            <w:tcBorders>
              <w:top w:val="single" w:color="000000" w:sz="4" w:space="0"/>
              <w:left w:val="single" w:color="000000" w:sz="4" w:space="0"/>
              <w:bottom w:val="single" w:color="000000" w:sz="4" w:space="0"/>
              <w:right w:val="single" w:color="000000" w:sz="4" w:space="0"/>
            </w:tcBorders>
            <w:vAlign w:val="center"/>
          </w:tcPr>
          <w:p>
            <w:pPr>
              <w:adjustRightInd w:val="0"/>
              <w:rPr>
                <w:rFonts w:ascii="宋体" w:hAnsi="宋体" w:cs="宋体"/>
                <w:color w:val="auto"/>
                <w:sz w:val="24"/>
                <w:highlight w:val="none"/>
              </w:rPr>
            </w:pPr>
            <w:r>
              <w:rPr>
                <w:rFonts w:hint="eastAsia" w:ascii="宋体" w:hAnsi="宋体" w:cs="宋体"/>
                <w:color w:val="auto"/>
                <w:sz w:val="24"/>
                <w:highlight w:val="none"/>
              </w:rPr>
              <w:t>按规范要求开展运维工作，不符合要求的每项扣2分。</w:t>
            </w:r>
          </w:p>
          <w:p>
            <w:pPr>
              <w:adjustRightInd w:val="0"/>
              <w:rPr>
                <w:rFonts w:ascii="宋体" w:hAnsi="宋体" w:cs="宋体"/>
                <w:color w:val="auto"/>
                <w:sz w:val="24"/>
                <w:highlight w:val="none"/>
              </w:rPr>
            </w:pPr>
            <w:r>
              <w:rPr>
                <w:rFonts w:hint="eastAsia" w:ascii="宋体" w:hAnsi="宋体" w:cs="宋体"/>
                <w:color w:val="auto"/>
                <w:sz w:val="24"/>
                <w:highlight w:val="none"/>
              </w:rPr>
              <w:t>故障无法及时修复（24小时内未修复），且未与我站及时沟通并记录，每次扣3分，扣完为止。未经中心站同意擅自将仪器外送维修，每次扣5分。未在规定时间内将故障仪器恢复正常，每次扣3分。</w:t>
            </w:r>
          </w:p>
        </w:tc>
        <w:tc>
          <w:tcPr>
            <w:tcW w:w="992"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宋体" w:hAnsi="宋体" w:cs="宋体"/>
                <w:color w:val="auto"/>
                <w:sz w:val="24"/>
                <w:highlight w:val="none"/>
              </w:rPr>
            </w:pPr>
          </w:p>
        </w:tc>
      </w:tr>
      <w:tr>
        <w:tblPrEx>
          <w:tblCellMar>
            <w:top w:w="0" w:type="dxa"/>
            <w:left w:w="0" w:type="dxa"/>
            <w:bottom w:w="0" w:type="dxa"/>
            <w:right w:w="0" w:type="dxa"/>
          </w:tblCellMar>
        </w:tblPrEx>
        <w:trPr>
          <w:trHeight w:val="784" w:hRule="atLeast"/>
          <w:jc w:val="center"/>
        </w:trPr>
        <w:tc>
          <w:tcPr>
            <w:tcW w:w="1331" w:type="dxa"/>
            <w:vMerge w:val="continue"/>
            <w:tcBorders>
              <w:left w:val="single" w:color="000000" w:sz="4" w:space="0"/>
              <w:bottom w:val="single" w:color="auto" w:sz="4" w:space="0"/>
              <w:right w:val="single" w:color="auto" w:sz="4" w:space="0"/>
            </w:tcBorders>
            <w:vAlign w:val="center"/>
          </w:tcPr>
          <w:p>
            <w:pPr>
              <w:adjustRightInd w:val="0"/>
              <w:jc w:val="center"/>
              <w:rPr>
                <w:rFonts w:ascii="宋体" w:hAnsi="宋体" w:cs="宋体"/>
                <w:color w:val="auto"/>
                <w:sz w:val="24"/>
                <w:highlight w:val="none"/>
              </w:rPr>
            </w:pPr>
          </w:p>
        </w:tc>
        <w:tc>
          <w:tcPr>
            <w:tcW w:w="1418" w:type="dxa"/>
            <w:tcBorders>
              <w:top w:val="single" w:color="000000" w:sz="4" w:space="0"/>
              <w:left w:val="single" w:color="auto" w:sz="4" w:space="0"/>
              <w:bottom w:val="single" w:color="000000" w:sz="4" w:space="0"/>
              <w:right w:val="single" w:color="000000" w:sz="4" w:space="0"/>
            </w:tcBorders>
            <w:vAlign w:val="center"/>
          </w:tcPr>
          <w:p>
            <w:pPr>
              <w:adjustRightInd w:val="0"/>
              <w:jc w:val="center"/>
              <w:rPr>
                <w:rFonts w:ascii="宋体" w:hAnsi="宋体" w:cs="宋体"/>
                <w:color w:val="auto"/>
                <w:sz w:val="24"/>
                <w:highlight w:val="none"/>
              </w:rPr>
            </w:pPr>
            <w:r>
              <w:rPr>
                <w:rFonts w:hint="eastAsia" w:ascii="宋体" w:hAnsi="宋体" w:cs="宋体"/>
                <w:color w:val="auto"/>
                <w:sz w:val="24"/>
                <w:highlight w:val="none"/>
              </w:rPr>
              <w:t>系统维护</w:t>
            </w:r>
          </w:p>
          <w:p>
            <w:pPr>
              <w:adjustRightInd w:val="0"/>
              <w:jc w:val="center"/>
              <w:rPr>
                <w:rFonts w:ascii="宋体" w:hAnsi="宋体" w:cs="宋体"/>
                <w:color w:val="auto"/>
                <w:sz w:val="24"/>
                <w:highlight w:val="none"/>
              </w:rPr>
            </w:pPr>
            <w:r>
              <w:rPr>
                <w:rFonts w:hint="eastAsia" w:ascii="宋体" w:hAnsi="宋体" w:cs="宋体"/>
                <w:color w:val="auto"/>
                <w:sz w:val="24"/>
                <w:highlight w:val="none"/>
              </w:rPr>
              <w:t>（6分）</w:t>
            </w:r>
          </w:p>
        </w:tc>
        <w:tc>
          <w:tcPr>
            <w:tcW w:w="5244" w:type="dxa"/>
            <w:tcBorders>
              <w:top w:val="single" w:color="000000" w:sz="4" w:space="0"/>
              <w:left w:val="single" w:color="000000" w:sz="4" w:space="0"/>
              <w:bottom w:val="single" w:color="000000" w:sz="4" w:space="0"/>
              <w:right w:val="single" w:color="000000" w:sz="4" w:space="0"/>
            </w:tcBorders>
            <w:vAlign w:val="center"/>
          </w:tcPr>
          <w:p>
            <w:pPr>
              <w:adjustRightInd w:val="0"/>
              <w:rPr>
                <w:rFonts w:ascii="宋体" w:hAnsi="宋体" w:cs="宋体"/>
                <w:color w:val="auto"/>
                <w:sz w:val="24"/>
                <w:highlight w:val="none"/>
              </w:rPr>
            </w:pPr>
            <w:r>
              <w:rPr>
                <w:rFonts w:hint="eastAsia" w:ascii="宋体" w:hAnsi="宋体" w:cs="宋体"/>
                <w:color w:val="auto"/>
                <w:sz w:val="24"/>
                <w:highlight w:val="none"/>
              </w:rPr>
              <w:t>保证车内采样及排气系统、控制系统、电路系统、检测系统、数据采集和传输系统及其它辅助设备等正常运行,以及耗材、配件的保证；认真做好记录。每项不合格扣1分，扣完为止。</w:t>
            </w:r>
          </w:p>
          <w:p>
            <w:pPr>
              <w:adjustRightInd w:val="0"/>
              <w:rPr>
                <w:rFonts w:ascii="宋体" w:hAnsi="宋体" w:cs="宋体"/>
                <w:color w:val="auto"/>
                <w:sz w:val="24"/>
                <w:highlight w:val="none"/>
              </w:rPr>
            </w:pPr>
            <w:r>
              <w:rPr>
                <w:rFonts w:hint="eastAsia" w:ascii="宋体" w:hAnsi="宋体" w:cs="宋体"/>
                <w:color w:val="auto"/>
                <w:sz w:val="24"/>
                <w:highlight w:val="none"/>
              </w:rPr>
              <w:t>故障无法及时修复（24小时内未修复），且未与我站及时沟通并记录，每次扣3分，扣完为止。</w:t>
            </w:r>
          </w:p>
        </w:tc>
        <w:tc>
          <w:tcPr>
            <w:tcW w:w="992"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宋体" w:hAnsi="宋体" w:cs="宋体"/>
                <w:color w:val="auto"/>
                <w:sz w:val="24"/>
                <w:highlight w:val="none"/>
              </w:rPr>
            </w:pPr>
          </w:p>
        </w:tc>
      </w:tr>
      <w:tr>
        <w:tblPrEx>
          <w:tblCellMar>
            <w:top w:w="0" w:type="dxa"/>
            <w:left w:w="0" w:type="dxa"/>
            <w:bottom w:w="0" w:type="dxa"/>
            <w:right w:w="0" w:type="dxa"/>
          </w:tblCellMar>
        </w:tblPrEx>
        <w:trPr>
          <w:trHeight w:val="347" w:hRule="atLeast"/>
          <w:jc w:val="center"/>
        </w:trPr>
        <w:tc>
          <w:tcPr>
            <w:tcW w:w="1331" w:type="dxa"/>
            <w:vMerge w:val="restart"/>
            <w:tcBorders>
              <w:top w:val="single" w:color="auto" w:sz="4" w:space="0"/>
              <w:left w:val="single" w:color="auto" w:sz="4" w:space="0"/>
              <w:right w:val="single" w:color="auto" w:sz="4" w:space="0"/>
            </w:tcBorders>
            <w:vAlign w:val="center"/>
          </w:tcPr>
          <w:p>
            <w:pPr>
              <w:adjustRightInd w:val="0"/>
              <w:jc w:val="center"/>
              <w:rPr>
                <w:rFonts w:ascii="宋体" w:hAnsi="宋体" w:cs="宋体"/>
                <w:color w:val="auto"/>
                <w:sz w:val="24"/>
                <w:highlight w:val="none"/>
              </w:rPr>
            </w:pPr>
            <w:r>
              <w:rPr>
                <w:rFonts w:hint="eastAsia" w:ascii="宋体" w:hAnsi="宋体" w:cs="宋体"/>
                <w:color w:val="auto"/>
                <w:sz w:val="24"/>
                <w:highlight w:val="none"/>
              </w:rPr>
              <w:t>质量控制/质量保证</w:t>
            </w:r>
          </w:p>
          <w:p>
            <w:pPr>
              <w:adjustRightInd w:val="0"/>
              <w:jc w:val="center"/>
              <w:rPr>
                <w:rFonts w:ascii="宋体" w:hAnsi="宋体" w:cs="宋体"/>
                <w:color w:val="auto"/>
                <w:sz w:val="24"/>
                <w:highlight w:val="none"/>
              </w:rPr>
            </w:pPr>
            <w:r>
              <w:rPr>
                <w:rFonts w:hint="eastAsia" w:ascii="宋体" w:hAnsi="宋体" w:cs="宋体"/>
                <w:color w:val="auto"/>
                <w:sz w:val="24"/>
                <w:highlight w:val="none"/>
              </w:rPr>
              <w:t>（35分）</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 w:val="24"/>
                <w:highlight w:val="none"/>
              </w:rPr>
            </w:pPr>
            <w:r>
              <w:rPr>
                <w:rFonts w:hint="eastAsia" w:ascii="宋体" w:hAnsi="宋体" w:cs="宋体"/>
                <w:color w:val="auto"/>
                <w:sz w:val="24"/>
                <w:highlight w:val="none"/>
              </w:rPr>
              <w:t>日常零/标质控（5分）</w:t>
            </w:r>
          </w:p>
        </w:tc>
        <w:tc>
          <w:tcPr>
            <w:tcW w:w="5244" w:type="dxa"/>
            <w:tcBorders>
              <w:top w:val="single" w:color="000000" w:sz="4" w:space="0"/>
              <w:left w:val="single" w:color="auto" w:sz="4" w:space="0"/>
              <w:bottom w:val="single" w:color="000000" w:sz="4" w:space="0"/>
              <w:right w:val="single" w:color="auto" w:sz="4" w:space="0"/>
            </w:tcBorders>
            <w:vAlign w:val="center"/>
          </w:tcPr>
          <w:p>
            <w:pPr>
              <w:adjustRightInd w:val="0"/>
              <w:rPr>
                <w:rFonts w:ascii="宋体" w:hAnsi="宋体" w:cs="宋体"/>
                <w:color w:val="auto"/>
                <w:sz w:val="24"/>
                <w:highlight w:val="none"/>
              </w:rPr>
            </w:pPr>
            <w:r>
              <w:rPr>
                <w:rFonts w:hint="eastAsia" w:ascii="宋体" w:hAnsi="宋体" w:cs="宋体"/>
                <w:color w:val="auto"/>
                <w:sz w:val="24"/>
                <w:highlight w:val="none"/>
              </w:rPr>
              <w:t>认真做好系统日常质量控制工作，并做好相关工作记录，零或标缺一次扣0.5分，零标超出质量控制限的每次扣1分，扣完为止。</w:t>
            </w:r>
          </w:p>
        </w:tc>
        <w:tc>
          <w:tcPr>
            <w:tcW w:w="992" w:type="dxa"/>
            <w:tcBorders>
              <w:top w:val="single" w:color="000000" w:sz="4" w:space="0"/>
              <w:left w:val="single" w:color="auto" w:sz="4" w:space="0"/>
              <w:bottom w:val="single" w:color="000000" w:sz="4" w:space="0"/>
              <w:right w:val="single" w:color="auto" w:sz="4" w:space="0"/>
            </w:tcBorders>
            <w:vAlign w:val="center"/>
          </w:tcPr>
          <w:p>
            <w:pPr>
              <w:adjustRightInd w:val="0"/>
              <w:ind w:left="1260" w:right="-20"/>
              <w:jc w:val="center"/>
              <w:rPr>
                <w:rFonts w:ascii="宋体" w:hAnsi="宋体" w:cs="宋体"/>
                <w:color w:val="auto"/>
                <w:sz w:val="24"/>
                <w:highlight w:val="none"/>
              </w:rPr>
            </w:pPr>
          </w:p>
        </w:tc>
      </w:tr>
      <w:tr>
        <w:tblPrEx>
          <w:tblCellMar>
            <w:top w:w="0" w:type="dxa"/>
            <w:left w:w="0" w:type="dxa"/>
            <w:bottom w:w="0" w:type="dxa"/>
            <w:right w:w="0" w:type="dxa"/>
          </w:tblCellMar>
        </w:tblPrEx>
        <w:trPr>
          <w:trHeight w:val="440" w:hRule="atLeast"/>
          <w:jc w:val="center"/>
        </w:trPr>
        <w:tc>
          <w:tcPr>
            <w:tcW w:w="1331" w:type="dxa"/>
            <w:vMerge w:val="continue"/>
            <w:tcBorders>
              <w:left w:val="single" w:color="auto" w:sz="4" w:space="0"/>
              <w:right w:val="single" w:color="auto" w:sz="4" w:space="0"/>
            </w:tcBorders>
            <w:vAlign w:val="center"/>
          </w:tcPr>
          <w:p>
            <w:pPr>
              <w:adjustRightInd w:val="0"/>
              <w:jc w:val="center"/>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 w:val="24"/>
                <w:highlight w:val="none"/>
              </w:rPr>
            </w:pPr>
            <w:r>
              <w:rPr>
                <w:rFonts w:hint="eastAsia" w:ascii="宋体" w:hAnsi="宋体" w:cs="宋体"/>
                <w:color w:val="auto"/>
                <w:sz w:val="24"/>
                <w:highlight w:val="none"/>
              </w:rPr>
              <w:t>质量控制/质量保证</w:t>
            </w:r>
          </w:p>
          <w:p>
            <w:pPr>
              <w:adjustRightInd w:val="0"/>
              <w:rPr>
                <w:rFonts w:ascii="宋体" w:hAnsi="宋体" w:cs="宋体"/>
                <w:color w:val="auto"/>
                <w:sz w:val="24"/>
                <w:highlight w:val="none"/>
              </w:rPr>
            </w:pPr>
            <w:r>
              <w:rPr>
                <w:rFonts w:hint="eastAsia" w:ascii="宋体" w:hAnsi="宋体" w:cs="宋体"/>
                <w:color w:val="auto"/>
                <w:sz w:val="24"/>
                <w:highlight w:val="none"/>
              </w:rPr>
              <w:t>（24分）</w:t>
            </w:r>
          </w:p>
        </w:tc>
        <w:tc>
          <w:tcPr>
            <w:tcW w:w="5244" w:type="dxa"/>
            <w:tcBorders>
              <w:top w:val="single" w:color="000000" w:sz="4" w:space="0"/>
              <w:left w:val="single" w:color="auto" w:sz="4" w:space="0"/>
              <w:bottom w:val="single" w:color="000000" w:sz="4" w:space="0"/>
              <w:right w:val="single" w:color="auto" w:sz="4" w:space="0"/>
            </w:tcBorders>
            <w:vAlign w:val="center"/>
          </w:tcPr>
          <w:p>
            <w:pPr>
              <w:numPr>
                <w:ilvl w:val="0"/>
                <w:numId w:val="6"/>
              </w:numPr>
              <w:adjustRightInd w:val="0"/>
              <w:ind w:left="0" w:firstLine="0"/>
              <w:rPr>
                <w:rFonts w:ascii="宋体" w:hAnsi="宋体" w:cs="宋体"/>
                <w:color w:val="auto"/>
                <w:sz w:val="24"/>
                <w:highlight w:val="none"/>
              </w:rPr>
            </w:pPr>
            <w:r>
              <w:rPr>
                <w:rFonts w:hint="eastAsia" w:ascii="宋体" w:hAnsi="宋体" w:cs="宋体"/>
                <w:color w:val="auto"/>
                <w:sz w:val="24"/>
                <w:highlight w:val="none"/>
              </w:rPr>
              <w:t>未周期性开展各仪器流量、温度、压力、相对湿度、标准膜、零气/标气等校准的工作，或者开展了但没有达到标准规范要求的，每项扣5分。</w:t>
            </w:r>
          </w:p>
          <w:p>
            <w:pPr>
              <w:numPr>
                <w:ilvl w:val="0"/>
                <w:numId w:val="6"/>
              </w:numPr>
              <w:adjustRightInd w:val="0"/>
              <w:ind w:left="0" w:firstLine="0"/>
              <w:rPr>
                <w:rFonts w:ascii="宋体" w:hAnsi="宋体" w:cs="宋体"/>
                <w:color w:val="auto"/>
                <w:sz w:val="24"/>
                <w:highlight w:val="none"/>
              </w:rPr>
            </w:pPr>
            <w:r>
              <w:rPr>
                <w:rFonts w:hint="eastAsia" w:ascii="宋体" w:hAnsi="宋体" w:cs="宋体"/>
                <w:color w:val="auto"/>
                <w:sz w:val="24"/>
                <w:highlight w:val="none"/>
              </w:rPr>
              <w:t>未周期性开展线性、重现性、精度性能审核的，或者开展了但没有达到标准规范要求的，每项扣5分。</w:t>
            </w:r>
          </w:p>
          <w:p>
            <w:pPr>
              <w:numPr>
                <w:ilvl w:val="0"/>
                <w:numId w:val="6"/>
              </w:numPr>
              <w:adjustRightInd w:val="0"/>
              <w:ind w:left="0" w:firstLine="0"/>
              <w:rPr>
                <w:rFonts w:ascii="宋体" w:hAnsi="宋体" w:cs="宋体"/>
                <w:color w:val="auto"/>
                <w:sz w:val="24"/>
                <w:highlight w:val="none"/>
              </w:rPr>
            </w:pPr>
            <w:r>
              <w:rPr>
                <w:rFonts w:hint="eastAsia" w:ascii="宋体" w:hAnsi="宋体" w:cs="宋体"/>
                <w:color w:val="auto"/>
                <w:sz w:val="24"/>
                <w:highlight w:val="none"/>
              </w:rPr>
              <w:t>仪器采样管路有冷凝水的，每项扣5分。</w:t>
            </w:r>
          </w:p>
          <w:p>
            <w:pPr>
              <w:numPr>
                <w:ilvl w:val="0"/>
                <w:numId w:val="6"/>
              </w:numPr>
              <w:adjustRightInd w:val="0"/>
              <w:ind w:left="0" w:firstLine="0"/>
              <w:rPr>
                <w:rFonts w:ascii="宋体" w:hAnsi="宋体" w:cs="宋体"/>
                <w:color w:val="auto"/>
                <w:sz w:val="24"/>
                <w:highlight w:val="none"/>
              </w:rPr>
            </w:pPr>
            <w:r>
              <w:rPr>
                <w:rFonts w:hint="eastAsia" w:ascii="宋体" w:hAnsi="宋体" w:cs="宋体"/>
                <w:color w:val="auto"/>
                <w:sz w:val="24"/>
                <w:highlight w:val="none"/>
              </w:rPr>
              <w:t>校准仪器未及时送检校准的，每项扣10分。</w:t>
            </w:r>
          </w:p>
          <w:p>
            <w:pPr>
              <w:adjustRightInd w:val="0"/>
              <w:rPr>
                <w:rFonts w:ascii="宋体" w:hAnsi="宋体" w:cs="宋体"/>
                <w:color w:val="auto"/>
                <w:sz w:val="24"/>
                <w:highlight w:val="none"/>
              </w:rPr>
            </w:pPr>
            <w:r>
              <w:rPr>
                <w:rFonts w:hint="eastAsia" w:ascii="宋体" w:hAnsi="宋体" w:cs="宋体"/>
                <w:color w:val="auto"/>
                <w:sz w:val="24"/>
                <w:highlight w:val="none"/>
              </w:rPr>
              <w:t>5、质控数据未按要求及时发送给我站的，每次扣3分。</w:t>
            </w:r>
          </w:p>
        </w:tc>
        <w:tc>
          <w:tcPr>
            <w:tcW w:w="992" w:type="dxa"/>
            <w:tcBorders>
              <w:top w:val="single" w:color="000000" w:sz="4" w:space="0"/>
              <w:left w:val="single" w:color="auto" w:sz="4" w:space="0"/>
              <w:bottom w:val="single" w:color="000000" w:sz="4" w:space="0"/>
              <w:right w:val="single" w:color="auto" w:sz="4" w:space="0"/>
            </w:tcBorders>
            <w:vAlign w:val="center"/>
          </w:tcPr>
          <w:p>
            <w:pPr>
              <w:adjustRightInd w:val="0"/>
              <w:ind w:left="1260" w:right="-20"/>
              <w:jc w:val="center"/>
              <w:rPr>
                <w:rFonts w:ascii="宋体" w:hAnsi="宋体" w:cs="宋体"/>
                <w:color w:val="auto"/>
                <w:sz w:val="24"/>
                <w:highlight w:val="none"/>
              </w:rPr>
            </w:pPr>
          </w:p>
        </w:tc>
      </w:tr>
      <w:tr>
        <w:tblPrEx>
          <w:tblCellMar>
            <w:top w:w="0" w:type="dxa"/>
            <w:left w:w="0" w:type="dxa"/>
            <w:bottom w:w="0" w:type="dxa"/>
            <w:right w:w="0" w:type="dxa"/>
          </w:tblCellMar>
        </w:tblPrEx>
        <w:trPr>
          <w:trHeight w:val="660" w:hRule="atLeast"/>
          <w:jc w:val="center"/>
        </w:trPr>
        <w:tc>
          <w:tcPr>
            <w:tcW w:w="1331" w:type="dxa"/>
            <w:vMerge w:val="continue"/>
            <w:tcBorders>
              <w:left w:val="single" w:color="auto" w:sz="4" w:space="0"/>
              <w:bottom w:val="single" w:color="auto" w:sz="4" w:space="0"/>
              <w:right w:val="single" w:color="auto" w:sz="4" w:space="0"/>
            </w:tcBorders>
            <w:vAlign w:val="center"/>
          </w:tcPr>
          <w:p>
            <w:pPr>
              <w:adjustRightInd w:val="0"/>
              <w:jc w:val="center"/>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 w:val="24"/>
                <w:highlight w:val="none"/>
              </w:rPr>
            </w:pPr>
            <w:r>
              <w:rPr>
                <w:rFonts w:hint="eastAsia" w:ascii="宋体" w:hAnsi="宋体" w:cs="宋体"/>
                <w:color w:val="auto"/>
                <w:sz w:val="24"/>
                <w:highlight w:val="none"/>
              </w:rPr>
              <w:t>不定期质控检查（6分）</w:t>
            </w:r>
          </w:p>
        </w:tc>
        <w:tc>
          <w:tcPr>
            <w:tcW w:w="5244" w:type="dxa"/>
            <w:tcBorders>
              <w:top w:val="single" w:color="000000" w:sz="4" w:space="0"/>
              <w:left w:val="single" w:color="auto" w:sz="4" w:space="0"/>
              <w:bottom w:val="single" w:color="000000" w:sz="4" w:space="0"/>
              <w:right w:val="single" w:color="auto" w:sz="4" w:space="0"/>
            </w:tcBorders>
            <w:vAlign w:val="center"/>
          </w:tcPr>
          <w:p>
            <w:pPr>
              <w:adjustRightInd w:val="0"/>
              <w:rPr>
                <w:rFonts w:ascii="宋体" w:hAnsi="宋体" w:cs="宋体"/>
                <w:color w:val="auto"/>
                <w:sz w:val="24"/>
                <w:highlight w:val="none"/>
              </w:rPr>
            </w:pPr>
            <w:r>
              <w:rPr>
                <w:rFonts w:hint="eastAsia" w:ascii="宋体" w:hAnsi="宋体" w:cs="宋体"/>
                <w:color w:val="auto"/>
                <w:sz w:val="24"/>
                <w:highlight w:val="none"/>
              </w:rPr>
              <w:t>中心站不定期开展质量监督检查，未开展质量控制工作的，或者开展了但没有达到标准规范要求的，每项扣2分，扣完为止。</w:t>
            </w:r>
          </w:p>
        </w:tc>
        <w:tc>
          <w:tcPr>
            <w:tcW w:w="992" w:type="dxa"/>
            <w:tcBorders>
              <w:top w:val="single" w:color="000000" w:sz="4" w:space="0"/>
              <w:left w:val="single" w:color="auto" w:sz="4" w:space="0"/>
              <w:bottom w:val="single" w:color="000000" w:sz="4" w:space="0"/>
              <w:right w:val="single" w:color="auto" w:sz="4" w:space="0"/>
            </w:tcBorders>
            <w:vAlign w:val="center"/>
          </w:tcPr>
          <w:p>
            <w:pPr>
              <w:adjustRightInd w:val="0"/>
              <w:ind w:left="1260" w:right="-20"/>
              <w:jc w:val="center"/>
              <w:rPr>
                <w:rFonts w:ascii="宋体" w:hAnsi="宋体" w:cs="宋体"/>
                <w:color w:val="auto"/>
                <w:sz w:val="24"/>
                <w:highlight w:val="none"/>
              </w:rPr>
            </w:pPr>
          </w:p>
        </w:tc>
      </w:tr>
      <w:tr>
        <w:tblPrEx>
          <w:tblCellMar>
            <w:top w:w="0" w:type="dxa"/>
            <w:left w:w="0" w:type="dxa"/>
            <w:bottom w:w="0" w:type="dxa"/>
            <w:right w:w="0" w:type="dxa"/>
          </w:tblCellMar>
        </w:tblPrEx>
        <w:trPr>
          <w:trHeight w:val="468" w:hRule="atLeast"/>
          <w:jc w:val="center"/>
        </w:trPr>
        <w:tc>
          <w:tcPr>
            <w:tcW w:w="1331"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 w:val="24"/>
                <w:highlight w:val="none"/>
              </w:rPr>
            </w:pPr>
            <w:r>
              <w:rPr>
                <w:rFonts w:hint="eastAsia" w:ascii="宋体" w:hAnsi="宋体" w:cs="宋体"/>
                <w:color w:val="auto"/>
                <w:sz w:val="24"/>
                <w:highlight w:val="none"/>
              </w:rPr>
              <w:t>数据</w:t>
            </w:r>
          </w:p>
          <w:p>
            <w:pPr>
              <w:adjustRightInd w:val="0"/>
              <w:jc w:val="center"/>
              <w:rPr>
                <w:rFonts w:ascii="宋体" w:hAnsi="宋体" w:cs="宋体"/>
                <w:color w:val="auto"/>
                <w:sz w:val="24"/>
                <w:highlight w:val="none"/>
              </w:rPr>
            </w:pPr>
            <w:r>
              <w:rPr>
                <w:rFonts w:hint="eastAsia" w:ascii="宋体" w:hAnsi="宋体" w:cs="宋体"/>
                <w:color w:val="auto"/>
                <w:sz w:val="24"/>
                <w:highlight w:val="none"/>
              </w:rPr>
              <w:t>有效</w:t>
            </w:r>
          </w:p>
          <w:p>
            <w:pPr>
              <w:adjustRightInd w:val="0"/>
              <w:jc w:val="center"/>
              <w:rPr>
                <w:rFonts w:ascii="宋体" w:hAnsi="宋体" w:cs="宋体"/>
                <w:color w:val="auto"/>
                <w:sz w:val="24"/>
                <w:highlight w:val="none"/>
              </w:rPr>
            </w:pPr>
            <w:r>
              <w:rPr>
                <w:rFonts w:hint="eastAsia" w:ascii="宋体" w:hAnsi="宋体" w:cs="宋体"/>
                <w:color w:val="auto"/>
                <w:sz w:val="24"/>
                <w:highlight w:val="none"/>
              </w:rPr>
              <w:t>(25分)</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3"/>
              <w:jc w:val="center"/>
              <w:rPr>
                <w:rFonts w:ascii="宋体" w:hAnsi="宋体" w:cs="宋体"/>
                <w:color w:val="auto"/>
                <w:sz w:val="24"/>
                <w:highlight w:val="none"/>
              </w:rPr>
            </w:pPr>
            <w:r>
              <w:rPr>
                <w:rFonts w:hint="eastAsia" w:ascii="宋体" w:hAnsi="宋体" w:cs="宋体"/>
                <w:color w:val="auto"/>
                <w:sz w:val="24"/>
                <w:highlight w:val="none"/>
              </w:rPr>
              <w:t>数据获取率及数据有效率</w:t>
            </w:r>
          </w:p>
          <w:p>
            <w:pPr>
              <w:autoSpaceDE w:val="0"/>
              <w:autoSpaceDN w:val="0"/>
              <w:adjustRightInd w:val="0"/>
              <w:ind w:left="23"/>
              <w:jc w:val="center"/>
              <w:rPr>
                <w:rFonts w:ascii="宋体" w:hAnsi="宋体" w:cs="宋体"/>
                <w:color w:val="auto"/>
                <w:sz w:val="24"/>
                <w:highlight w:val="none"/>
              </w:rPr>
            </w:pPr>
            <w:r>
              <w:rPr>
                <w:rFonts w:hint="eastAsia" w:ascii="宋体" w:hAnsi="宋体" w:cs="宋体"/>
                <w:color w:val="auto"/>
                <w:sz w:val="24"/>
                <w:highlight w:val="none"/>
              </w:rPr>
              <w:t>（25分）</w:t>
            </w:r>
          </w:p>
        </w:tc>
        <w:tc>
          <w:tcPr>
            <w:tcW w:w="5244" w:type="dxa"/>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ind w:right="-20"/>
              <w:jc w:val="left"/>
              <w:rPr>
                <w:rFonts w:ascii="宋体" w:hAnsi="宋体" w:cs="宋体"/>
                <w:color w:val="auto"/>
                <w:sz w:val="24"/>
                <w:highlight w:val="none"/>
              </w:rPr>
            </w:pPr>
            <w:r>
              <w:rPr>
                <w:rFonts w:hint="eastAsia" w:ascii="宋体" w:hAnsi="宋体" w:cs="宋体"/>
                <w:color w:val="auto"/>
                <w:sz w:val="24"/>
                <w:highlight w:val="none"/>
              </w:rPr>
              <w:t>VOCs、激光雷达的单台仪器数据捕获率≥90%（以小时值计），有效数据获取率≥80%（以小时值计）。</w:t>
            </w:r>
            <w:r>
              <w:rPr>
                <w:rFonts w:hint="eastAsia" w:ascii="宋体" w:hAnsi="宋体" w:cs="宋体"/>
                <w:color w:val="auto"/>
                <w:sz w:val="24"/>
                <w:highlight w:val="none"/>
                <w:lang w:val="zh-CN"/>
              </w:rPr>
              <w:t>单台仪器的</w:t>
            </w:r>
            <w:r>
              <w:rPr>
                <w:rFonts w:hint="eastAsia" w:ascii="宋体" w:hAnsi="宋体" w:cs="宋体"/>
                <w:color w:val="auto"/>
                <w:sz w:val="24"/>
                <w:highlight w:val="none"/>
              </w:rPr>
              <w:t>数据捕获率或有效数据获取率不达标时每次扣5分，扣完为止。</w:t>
            </w:r>
          </w:p>
          <w:p>
            <w:pPr>
              <w:autoSpaceDE w:val="0"/>
              <w:autoSpaceDN w:val="0"/>
              <w:adjustRightInd w:val="0"/>
              <w:ind w:right="-20"/>
              <w:jc w:val="left"/>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zh-CN"/>
              </w:rPr>
              <w:t>连续运行时段内单台仪器有效数据获取率=（该仪器获得的有效小时数/应有的小时数）×100%；</w:t>
            </w:r>
            <w:r>
              <w:rPr>
                <w:rFonts w:hint="eastAsia" w:ascii="宋体" w:hAnsi="宋体" w:cs="宋体"/>
                <w:color w:val="auto"/>
                <w:sz w:val="24"/>
                <w:highlight w:val="none"/>
              </w:rPr>
              <w:t>有效数据是指经过审核通过的有效数据，因停电、不可抗力或定期维护和校准损失的小时数在应有小时数中扣除。</w:t>
            </w:r>
          </w:p>
        </w:tc>
        <w:tc>
          <w:tcPr>
            <w:tcW w:w="992" w:type="dxa"/>
            <w:tcBorders>
              <w:top w:val="single" w:color="000000" w:sz="4" w:space="0"/>
              <w:left w:val="single" w:color="auto" w:sz="4" w:space="0"/>
              <w:bottom w:val="single" w:color="000000" w:sz="4" w:space="0"/>
              <w:right w:val="single" w:color="auto" w:sz="4" w:space="0"/>
            </w:tcBorders>
            <w:vAlign w:val="center"/>
          </w:tcPr>
          <w:p>
            <w:pPr>
              <w:adjustRightInd w:val="0"/>
              <w:jc w:val="center"/>
              <w:rPr>
                <w:rFonts w:ascii="宋体" w:hAnsi="宋体" w:cs="宋体"/>
                <w:color w:val="auto"/>
                <w:sz w:val="24"/>
                <w:highlight w:val="none"/>
              </w:rPr>
            </w:pPr>
          </w:p>
          <w:p>
            <w:pPr>
              <w:pStyle w:val="12"/>
              <w:adjustRightInd w:val="0"/>
              <w:spacing w:line="240" w:lineRule="auto"/>
              <w:rPr>
                <w:rFonts w:ascii="宋体" w:hAnsi="宋体" w:cs="宋体"/>
                <w:color w:val="auto"/>
                <w:sz w:val="24"/>
                <w:highlight w:val="none"/>
              </w:rPr>
            </w:pPr>
          </w:p>
        </w:tc>
      </w:tr>
      <w:tr>
        <w:tblPrEx>
          <w:tblCellMar>
            <w:top w:w="0" w:type="dxa"/>
            <w:left w:w="0" w:type="dxa"/>
            <w:bottom w:w="0" w:type="dxa"/>
            <w:right w:w="0" w:type="dxa"/>
          </w:tblCellMar>
        </w:tblPrEx>
        <w:trPr>
          <w:trHeight w:val="834" w:hRule="atLeast"/>
          <w:jc w:val="center"/>
        </w:trPr>
        <w:tc>
          <w:tcPr>
            <w:tcW w:w="1331"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 w:val="24"/>
                <w:highlight w:val="none"/>
              </w:rPr>
            </w:pPr>
            <w:r>
              <w:rPr>
                <w:rFonts w:hint="eastAsia" w:ascii="宋体" w:hAnsi="宋体" w:cs="宋体"/>
                <w:color w:val="auto"/>
                <w:sz w:val="24"/>
                <w:highlight w:val="none"/>
              </w:rPr>
              <w:t>分析报告编写(10分)</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3"/>
              <w:jc w:val="center"/>
              <w:rPr>
                <w:rFonts w:ascii="宋体" w:hAnsi="宋体" w:cs="宋体"/>
                <w:color w:val="auto"/>
                <w:sz w:val="24"/>
                <w:highlight w:val="none"/>
              </w:rPr>
            </w:pPr>
            <w:r>
              <w:rPr>
                <w:rFonts w:hint="eastAsia" w:ascii="宋体" w:hAnsi="宋体" w:cs="宋体"/>
                <w:color w:val="auto"/>
                <w:sz w:val="24"/>
                <w:highlight w:val="none"/>
              </w:rPr>
              <w:t>分析报告编写(10分)</w:t>
            </w:r>
          </w:p>
        </w:tc>
        <w:tc>
          <w:tcPr>
            <w:tcW w:w="5244" w:type="dxa"/>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ind w:right="-20"/>
              <w:jc w:val="left"/>
              <w:rPr>
                <w:rFonts w:ascii="宋体" w:hAnsi="宋体" w:cs="宋体"/>
                <w:color w:val="auto"/>
                <w:sz w:val="24"/>
                <w:highlight w:val="none"/>
              </w:rPr>
            </w:pPr>
            <w:r>
              <w:rPr>
                <w:rFonts w:hint="eastAsia" w:ascii="宋体" w:hAnsi="宋体" w:cs="宋体"/>
                <w:color w:val="auto"/>
                <w:sz w:val="24"/>
                <w:highlight w:val="none"/>
              </w:rPr>
              <w:t>按要求每月10日前或阶段性监测结束10日内将上月（或上阶段）所有分析报告送至我站审核，未及时送达或送达的报告不符合要求的每份扣4分，扣完为止。</w:t>
            </w:r>
          </w:p>
        </w:tc>
        <w:tc>
          <w:tcPr>
            <w:tcW w:w="992" w:type="dxa"/>
            <w:tcBorders>
              <w:top w:val="single" w:color="000000" w:sz="4" w:space="0"/>
              <w:left w:val="single" w:color="auto" w:sz="4" w:space="0"/>
              <w:bottom w:val="single" w:color="000000" w:sz="4" w:space="0"/>
              <w:right w:val="single" w:color="auto" w:sz="4" w:space="0"/>
            </w:tcBorders>
            <w:vAlign w:val="center"/>
          </w:tcPr>
          <w:p>
            <w:pPr>
              <w:adjustRightInd w:val="0"/>
              <w:jc w:val="center"/>
              <w:rPr>
                <w:rFonts w:ascii="宋体" w:hAnsi="宋体" w:cs="宋体"/>
                <w:color w:val="auto"/>
                <w:sz w:val="24"/>
                <w:highlight w:val="none"/>
              </w:rPr>
            </w:pPr>
          </w:p>
        </w:tc>
      </w:tr>
      <w:tr>
        <w:tblPrEx>
          <w:tblCellMar>
            <w:top w:w="0" w:type="dxa"/>
            <w:left w:w="0" w:type="dxa"/>
            <w:bottom w:w="0" w:type="dxa"/>
            <w:right w:w="0" w:type="dxa"/>
          </w:tblCellMar>
        </w:tblPrEx>
        <w:trPr>
          <w:trHeight w:val="834" w:hRule="atLeast"/>
          <w:jc w:val="center"/>
        </w:trPr>
        <w:tc>
          <w:tcPr>
            <w:tcW w:w="1331"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 w:val="24"/>
                <w:highlight w:val="none"/>
              </w:rPr>
            </w:pPr>
            <w:r>
              <w:rPr>
                <w:rFonts w:hint="eastAsia" w:ascii="宋体" w:hAnsi="宋体" w:cs="宋体"/>
                <w:color w:val="auto"/>
                <w:sz w:val="24"/>
                <w:highlight w:val="none"/>
              </w:rPr>
              <w:t>应急</w:t>
            </w:r>
          </w:p>
          <w:p>
            <w:pPr>
              <w:adjustRightInd w:val="0"/>
              <w:jc w:val="center"/>
              <w:rPr>
                <w:rFonts w:ascii="宋体" w:hAnsi="宋体" w:cs="宋体"/>
                <w:color w:val="auto"/>
                <w:sz w:val="24"/>
                <w:highlight w:val="none"/>
              </w:rPr>
            </w:pPr>
            <w:r>
              <w:rPr>
                <w:rFonts w:hint="eastAsia" w:ascii="宋体" w:hAnsi="宋体" w:cs="宋体"/>
                <w:color w:val="auto"/>
                <w:sz w:val="24"/>
                <w:highlight w:val="none"/>
              </w:rPr>
              <w:t>响应</w:t>
            </w:r>
          </w:p>
          <w:p>
            <w:pPr>
              <w:adjustRightInd w:val="0"/>
              <w:jc w:val="center"/>
              <w:rPr>
                <w:rFonts w:ascii="宋体" w:hAnsi="宋体" w:cs="宋体"/>
                <w:color w:val="auto"/>
                <w:sz w:val="24"/>
                <w:highlight w:val="none"/>
              </w:rPr>
            </w:pPr>
            <w:r>
              <w:rPr>
                <w:rFonts w:hint="eastAsia" w:ascii="宋体" w:hAnsi="宋体" w:cs="宋体"/>
                <w:color w:val="auto"/>
                <w:sz w:val="24"/>
                <w:highlight w:val="none"/>
              </w:rPr>
              <w:t>（-15分）</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 w:val="24"/>
                <w:highlight w:val="none"/>
              </w:rPr>
            </w:pPr>
            <w:r>
              <w:rPr>
                <w:rFonts w:hint="eastAsia" w:ascii="宋体" w:hAnsi="宋体" w:cs="宋体"/>
                <w:color w:val="auto"/>
                <w:sz w:val="24"/>
                <w:highlight w:val="none"/>
              </w:rPr>
              <w:t>应急响应</w:t>
            </w:r>
          </w:p>
          <w:p>
            <w:pPr>
              <w:adjustRightInd w:val="0"/>
              <w:jc w:val="center"/>
              <w:rPr>
                <w:rFonts w:ascii="宋体" w:hAnsi="宋体" w:cs="宋体"/>
                <w:color w:val="auto"/>
                <w:sz w:val="24"/>
                <w:highlight w:val="none"/>
              </w:rPr>
            </w:pPr>
            <w:r>
              <w:rPr>
                <w:rFonts w:hint="eastAsia" w:ascii="宋体" w:hAnsi="宋体" w:cs="宋体"/>
                <w:color w:val="auto"/>
                <w:sz w:val="24"/>
                <w:highlight w:val="none"/>
              </w:rPr>
              <w:t>时间</w:t>
            </w:r>
          </w:p>
          <w:p>
            <w:pPr>
              <w:autoSpaceDE w:val="0"/>
              <w:autoSpaceDN w:val="0"/>
              <w:adjustRightInd w:val="0"/>
              <w:ind w:left="23"/>
              <w:jc w:val="center"/>
              <w:rPr>
                <w:rFonts w:ascii="宋体" w:hAnsi="宋体" w:cs="宋体"/>
                <w:color w:val="auto"/>
                <w:sz w:val="24"/>
                <w:highlight w:val="none"/>
              </w:rPr>
            </w:pPr>
            <w:r>
              <w:rPr>
                <w:rFonts w:hint="eastAsia" w:ascii="宋体" w:hAnsi="宋体" w:cs="宋体"/>
                <w:color w:val="auto"/>
                <w:sz w:val="24"/>
                <w:highlight w:val="none"/>
              </w:rPr>
              <w:t>（-15分）</w:t>
            </w:r>
          </w:p>
        </w:tc>
        <w:tc>
          <w:tcPr>
            <w:tcW w:w="5244" w:type="dxa"/>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ind w:right="-20"/>
              <w:jc w:val="left"/>
              <w:rPr>
                <w:rFonts w:ascii="宋体" w:hAnsi="宋体" w:cs="宋体"/>
                <w:color w:val="auto"/>
                <w:sz w:val="24"/>
                <w:highlight w:val="none"/>
              </w:rPr>
            </w:pPr>
            <w:r>
              <w:rPr>
                <w:rFonts w:hint="eastAsia" w:ascii="宋体" w:hAnsi="宋体" w:cs="宋体"/>
                <w:color w:val="auto"/>
                <w:sz w:val="24"/>
                <w:highlight w:val="none"/>
              </w:rPr>
              <w:t>若无应急监测，为0分。</w:t>
            </w:r>
          </w:p>
          <w:p>
            <w:pPr>
              <w:autoSpaceDE w:val="0"/>
              <w:autoSpaceDN w:val="0"/>
              <w:adjustRightInd w:val="0"/>
              <w:ind w:right="-20"/>
              <w:jc w:val="left"/>
              <w:rPr>
                <w:rFonts w:ascii="宋体" w:hAnsi="宋体" w:cs="宋体"/>
                <w:color w:val="auto"/>
                <w:sz w:val="24"/>
                <w:highlight w:val="none"/>
              </w:rPr>
            </w:pPr>
            <w:r>
              <w:rPr>
                <w:rFonts w:hint="eastAsia" w:ascii="宋体" w:hAnsi="宋体" w:cs="宋体"/>
                <w:color w:val="auto"/>
                <w:sz w:val="24"/>
                <w:highlight w:val="none"/>
              </w:rPr>
              <w:t>若发生应急时：4小时内赶至现场，不扣分；4小时内未赶至现场，扣5分，6小时内未赶至现场，扣10分，超出8小时扣15分。应急监测为我站领导通知运维负责人员进入应急响应阶段的为准。</w:t>
            </w:r>
          </w:p>
        </w:tc>
        <w:tc>
          <w:tcPr>
            <w:tcW w:w="992" w:type="dxa"/>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ind w:right="-20"/>
              <w:jc w:val="center"/>
              <w:rPr>
                <w:rFonts w:ascii="宋体" w:hAnsi="宋体" w:cs="宋体"/>
                <w:color w:val="auto"/>
                <w:sz w:val="24"/>
                <w:highlight w:val="none"/>
              </w:rPr>
            </w:pPr>
          </w:p>
        </w:tc>
      </w:tr>
      <w:tr>
        <w:tblPrEx>
          <w:tblCellMar>
            <w:top w:w="0" w:type="dxa"/>
            <w:left w:w="0" w:type="dxa"/>
            <w:bottom w:w="0" w:type="dxa"/>
            <w:right w:w="0" w:type="dxa"/>
          </w:tblCellMar>
        </w:tblPrEx>
        <w:trPr>
          <w:trHeight w:val="834" w:hRule="atLeast"/>
          <w:jc w:val="center"/>
        </w:trPr>
        <w:tc>
          <w:tcPr>
            <w:tcW w:w="799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0"/>
              <w:jc w:val="center"/>
              <w:rPr>
                <w:rFonts w:ascii="宋体" w:hAnsi="宋体" w:cs="宋体"/>
                <w:color w:val="auto"/>
                <w:sz w:val="24"/>
                <w:highlight w:val="none"/>
              </w:rPr>
            </w:pPr>
            <w:r>
              <w:rPr>
                <w:rFonts w:hint="eastAsia" w:ascii="宋体" w:hAnsi="宋体" w:cs="宋体"/>
                <w:color w:val="auto"/>
                <w:sz w:val="24"/>
                <w:highlight w:val="none"/>
              </w:rPr>
              <w:t>总  计</w:t>
            </w:r>
          </w:p>
        </w:tc>
        <w:tc>
          <w:tcPr>
            <w:tcW w:w="992" w:type="dxa"/>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ind w:right="-20"/>
              <w:jc w:val="center"/>
              <w:rPr>
                <w:rFonts w:ascii="宋体" w:hAnsi="宋体" w:cs="宋体"/>
                <w:color w:val="auto"/>
                <w:sz w:val="24"/>
                <w:highlight w:val="none"/>
              </w:rPr>
            </w:pPr>
          </w:p>
        </w:tc>
      </w:tr>
    </w:tbl>
    <w:p>
      <w:pPr>
        <w:pStyle w:val="12"/>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四、产品质量要求：</w:t>
      </w:r>
    </w:p>
    <w:p>
      <w:pPr>
        <w:pStyle w:val="25"/>
        <w:snapToGrid/>
        <w:ind w:firstLine="480"/>
        <w:jc w:val="both"/>
        <w:rPr>
          <w:rFonts w:hAnsi="宋体" w:cs="宋体"/>
          <w:color w:val="auto"/>
          <w:sz w:val="24"/>
          <w:szCs w:val="24"/>
          <w:highlight w:val="none"/>
        </w:rPr>
      </w:pPr>
      <w:r>
        <w:rPr>
          <w:rFonts w:hint="eastAsia" w:hAnsi="宋体" w:cs="宋体"/>
          <w:color w:val="auto"/>
          <w:sz w:val="24"/>
          <w:szCs w:val="24"/>
          <w:highlight w:val="none"/>
        </w:rPr>
        <w:t>1.中标供应商须提供全新的货物（含零部件、配件等），表面无划伤、无碰撞痕迹，且权属清楚，不得侵害他人的知识产权。所有产品均须符合国家产品的有关质量标准，交货时必须附有该批商品的质量证明书、产品合格证、产品质量检验报告原件等。</w:t>
      </w:r>
    </w:p>
    <w:p>
      <w:pPr>
        <w:pStyle w:val="25"/>
        <w:snapToGrid/>
        <w:ind w:firstLine="480"/>
        <w:jc w:val="both"/>
        <w:rPr>
          <w:rFonts w:hAnsi="宋体" w:cs="宋体"/>
          <w:color w:val="auto"/>
          <w:sz w:val="24"/>
          <w:szCs w:val="24"/>
          <w:highlight w:val="none"/>
        </w:rPr>
      </w:pPr>
      <w:r>
        <w:rPr>
          <w:rFonts w:hint="eastAsia" w:hAnsi="宋体" w:cs="宋体"/>
          <w:color w:val="auto"/>
          <w:sz w:val="24"/>
          <w:szCs w:val="24"/>
          <w:highlight w:val="none"/>
        </w:rPr>
        <w:t>2.货物制造质量出现问题，中标供应商应负责三包（包修、包换、包退），费用由中标供应商负担，采购人有权实地了解和检查中标供应商的货物质量和供货进度。</w:t>
      </w:r>
    </w:p>
    <w:p>
      <w:pPr>
        <w:pStyle w:val="25"/>
        <w:snapToGrid/>
        <w:spacing w:line="240" w:lineRule="auto"/>
        <w:ind w:firstLine="480"/>
        <w:jc w:val="both"/>
        <w:rPr>
          <w:rFonts w:hAnsi="宋体" w:cs="宋体"/>
          <w:color w:val="auto"/>
          <w:sz w:val="24"/>
          <w:szCs w:val="24"/>
          <w:highlight w:val="none"/>
        </w:rPr>
      </w:pPr>
      <w:r>
        <w:rPr>
          <w:rFonts w:hint="eastAsia" w:hAnsi="宋体" w:cs="宋体"/>
          <w:color w:val="auto"/>
          <w:sz w:val="24"/>
          <w:szCs w:val="24"/>
          <w:highlight w:val="none"/>
        </w:rPr>
        <w:t>3.货到现场后交付采购人使用前由于中标供应商运输、装卸、保管不当造成的质量问题，中标供应商负责解决并承担费用。</w:t>
      </w:r>
    </w:p>
    <w:p>
      <w:pPr>
        <w:pStyle w:val="25"/>
        <w:snapToGrid/>
        <w:spacing w:line="240" w:lineRule="auto"/>
        <w:ind w:firstLine="480"/>
        <w:jc w:val="both"/>
        <w:rPr>
          <w:rFonts w:hAnsi="宋体" w:cs="宋体"/>
          <w:color w:val="auto"/>
          <w:sz w:val="24"/>
          <w:szCs w:val="24"/>
          <w:highlight w:val="none"/>
        </w:rPr>
      </w:pPr>
      <w:r>
        <w:rPr>
          <w:rFonts w:hint="eastAsia" w:hAnsi="宋体" w:cs="宋体"/>
          <w:color w:val="auto"/>
          <w:sz w:val="24"/>
          <w:szCs w:val="24"/>
          <w:highlight w:val="none"/>
        </w:rPr>
        <w:t>4.应制定有关建设期间的质量保证计划。</w:t>
      </w:r>
    </w:p>
    <w:p>
      <w:pPr>
        <w:pStyle w:val="12"/>
        <w:spacing w:line="24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五、售后服务要求</w:t>
      </w:r>
    </w:p>
    <w:p>
      <w:pPr>
        <w:pStyle w:val="25"/>
        <w:snapToGrid/>
        <w:spacing w:line="240" w:lineRule="auto"/>
        <w:ind w:firstLine="480"/>
        <w:jc w:val="both"/>
        <w:rPr>
          <w:rFonts w:hAnsi="宋体" w:cs="宋体"/>
          <w:color w:val="auto"/>
          <w:sz w:val="24"/>
          <w:szCs w:val="24"/>
          <w:highlight w:val="none"/>
        </w:rPr>
      </w:pPr>
      <w:r>
        <w:rPr>
          <w:rFonts w:hint="eastAsia" w:hAnsi="宋体" w:cs="宋体"/>
          <w:color w:val="auto"/>
          <w:sz w:val="24"/>
          <w:szCs w:val="24"/>
          <w:highlight w:val="none"/>
        </w:rPr>
        <w:t>1.基本要求</w:t>
      </w:r>
    </w:p>
    <w:p>
      <w:pPr>
        <w:pStyle w:val="25"/>
        <w:snapToGrid/>
        <w:spacing w:line="240" w:lineRule="auto"/>
        <w:ind w:firstLine="480"/>
        <w:jc w:val="both"/>
        <w:rPr>
          <w:rFonts w:hAnsi="宋体" w:cs="宋体"/>
          <w:color w:val="auto"/>
          <w:sz w:val="24"/>
          <w:szCs w:val="24"/>
          <w:highlight w:val="none"/>
        </w:rPr>
      </w:pPr>
      <w:r>
        <w:rPr>
          <w:rFonts w:hint="eastAsia" w:hAnsi="宋体" w:cs="宋体"/>
          <w:color w:val="auto"/>
          <w:sz w:val="24"/>
          <w:szCs w:val="24"/>
          <w:highlight w:val="none"/>
        </w:rPr>
        <w:t>1.1培训：提供培训，培训材料及所培训内容在投标时提供技术培训详细方案。</w:t>
      </w:r>
    </w:p>
    <w:p>
      <w:pPr>
        <w:pStyle w:val="25"/>
        <w:snapToGrid/>
        <w:spacing w:line="240" w:lineRule="auto"/>
        <w:ind w:firstLine="480"/>
        <w:jc w:val="both"/>
        <w:rPr>
          <w:rFonts w:hAnsi="宋体" w:cs="宋体"/>
          <w:color w:val="auto"/>
          <w:sz w:val="24"/>
          <w:szCs w:val="24"/>
          <w:highlight w:val="none"/>
        </w:rPr>
      </w:pPr>
      <w:r>
        <w:rPr>
          <w:rFonts w:hint="eastAsia" w:hAnsi="宋体" w:cs="宋体"/>
          <w:color w:val="auto"/>
          <w:sz w:val="24"/>
          <w:szCs w:val="24"/>
          <w:highlight w:val="none"/>
        </w:rPr>
        <w:t>参加人数：不少于4人；</w:t>
      </w:r>
    </w:p>
    <w:p>
      <w:pPr>
        <w:pStyle w:val="25"/>
        <w:snapToGrid/>
        <w:spacing w:line="240" w:lineRule="auto"/>
        <w:ind w:firstLine="480"/>
        <w:jc w:val="both"/>
        <w:rPr>
          <w:rFonts w:hAnsi="宋体" w:cs="宋体"/>
          <w:color w:val="auto"/>
          <w:sz w:val="24"/>
          <w:szCs w:val="24"/>
          <w:highlight w:val="none"/>
        </w:rPr>
      </w:pPr>
      <w:r>
        <w:rPr>
          <w:rFonts w:hint="eastAsia" w:hAnsi="宋体" w:cs="宋体"/>
          <w:color w:val="auto"/>
          <w:sz w:val="24"/>
          <w:szCs w:val="24"/>
          <w:highlight w:val="none"/>
        </w:rPr>
        <w:t>培训地点：招标人指定地点；</w:t>
      </w:r>
    </w:p>
    <w:p>
      <w:pPr>
        <w:pStyle w:val="25"/>
        <w:snapToGrid/>
        <w:spacing w:line="240" w:lineRule="auto"/>
        <w:ind w:firstLine="480"/>
        <w:jc w:val="both"/>
        <w:rPr>
          <w:rFonts w:hAnsi="宋体" w:cs="宋体"/>
          <w:color w:val="auto"/>
          <w:sz w:val="24"/>
          <w:szCs w:val="24"/>
          <w:highlight w:val="none"/>
        </w:rPr>
      </w:pPr>
      <w:r>
        <w:rPr>
          <w:rFonts w:hint="eastAsia" w:hAnsi="宋体" w:cs="宋体"/>
          <w:color w:val="auto"/>
          <w:sz w:val="24"/>
          <w:szCs w:val="24"/>
          <w:highlight w:val="none"/>
        </w:rPr>
        <w:t>时间：在安装调试完毕后10天内进行；</w:t>
      </w:r>
    </w:p>
    <w:p>
      <w:pPr>
        <w:pStyle w:val="25"/>
        <w:snapToGrid/>
        <w:spacing w:line="240" w:lineRule="auto"/>
        <w:ind w:firstLine="480"/>
        <w:jc w:val="both"/>
        <w:rPr>
          <w:rFonts w:hAnsi="宋体" w:cs="宋体"/>
          <w:color w:val="auto"/>
          <w:sz w:val="24"/>
          <w:szCs w:val="24"/>
          <w:highlight w:val="none"/>
        </w:rPr>
      </w:pPr>
      <w:r>
        <w:rPr>
          <w:rFonts w:hint="eastAsia" w:hAnsi="宋体" w:cs="宋体"/>
          <w:color w:val="auto"/>
          <w:sz w:val="24"/>
          <w:szCs w:val="24"/>
          <w:highlight w:val="none"/>
        </w:rPr>
        <w:t>内容：系统全面培训学习设备的基本原理、结构、基本操作及运行维护理论知识，并指导用户进行操作，直到用户方使用人员可独立进行操作为止。</w:t>
      </w:r>
    </w:p>
    <w:p>
      <w:pPr>
        <w:pStyle w:val="25"/>
        <w:snapToGrid/>
        <w:spacing w:line="240" w:lineRule="auto"/>
        <w:ind w:firstLine="480"/>
        <w:jc w:val="both"/>
        <w:rPr>
          <w:rFonts w:hAnsi="宋体" w:cs="宋体"/>
          <w:color w:val="auto"/>
          <w:sz w:val="24"/>
          <w:szCs w:val="24"/>
          <w:highlight w:val="none"/>
        </w:rPr>
      </w:pPr>
      <w:r>
        <w:rPr>
          <w:rFonts w:hint="eastAsia" w:hAnsi="宋体" w:cs="宋体"/>
          <w:color w:val="auto"/>
          <w:sz w:val="24"/>
          <w:szCs w:val="24"/>
          <w:highlight w:val="none"/>
        </w:rPr>
        <w:t>1.2质保期内所有设备的上门、维修服务及备品备件、配件和耗材由供货商提供（使用方人为故意损坏和自然灾害等不可抗力导致的损坏等情形除外）。</w:t>
      </w:r>
    </w:p>
    <w:p>
      <w:pPr>
        <w:pStyle w:val="25"/>
        <w:snapToGrid/>
        <w:ind w:firstLine="480"/>
        <w:jc w:val="both"/>
        <w:rPr>
          <w:rFonts w:hAnsi="宋体" w:cs="宋体"/>
          <w:b/>
          <w:bCs/>
          <w:color w:val="auto"/>
          <w:sz w:val="24"/>
          <w:szCs w:val="24"/>
          <w:highlight w:val="none"/>
        </w:rPr>
      </w:pPr>
      <w:r>
        <w:rPr>
          <w:rFonts w:hint="eastAsia" w:hAnsi="宋体" w:cs="宋体"/>
          <w:color w:val="auto"/>
          <w:sz w:val="24"/>
          <w:szCs w:val="24"/>
          <w:highlight w:val="none"/>
        </w:rPr>
        <w:t>2.服务响应时间</w:t>
      </w:r>
    </w:p>
    <w:p>
      <w:pPr>
        <w:pStyle w:val="25"/>
        <w:snapToGrid/>
        <w:ind w:firstLine="480"/>
        <w:jc w:val="both"/>
        <w:rPr>
          <w:rFonts w:hAnsi="宋体" w:cs="宋体"/>
          <w:color w:val="auto"/>
          <w:sz w:val="24"/>
          <w:szCs w:val="24"/>
          <w:highlight w:val="none"/>
        </w:rPr>
      </w:pPr>
      <w:r>
        <w:rPr>
          <w:rFonts w:hint="eastAsia" w:hAnsi="宋体" w:cs="宋体"/>
          <w:color w:val="auto"/>
          <w:sz w:val="24"/>
          <w:szCs w:val="24"/>
          <w:highlight w:val="none"/>
        </w:rPr>
        <w:t>当设备出现故障后，每日6时～23时出现故障，应在1小时之内响应，4小时内到达现场解决，其它时段应在每日8时前响应，响应4小时内到达现场解决（通信线路、电力线路故障除外，但应及时与相关部门联系积极解决）。若仪器故障无法排除或需更换配件的，运维单位必须报告甲方；仪器发生重大故障时须在15日内使仪器恢复正常或更换备机，当出现特殊情况时，经双方协商一致后可按照协商结果执行。</w:t>
      </w:r>
    </w:p>
    <w:p>
      <w:pPr>
        <w:spacing w:line="24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六、商务要求</w:t>
      </w:r>
    </w:p>
    <w:p>
      <w:pPr>
        <w:spacing w:line="24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1.服务期限：合同签订后15个日历天交货，交货之后60个日历天完成仪器设备及车辆改装相关建设，并完成安装调试，系统正常运行。仪器安装车辆改装完成并通过验收后提供运维服务至2022年12月31日。</w:t>
      </w:r>
    </w:p>
    <w:p>
      <w:pPr>
        <w:spacing w:line="24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2.交付地点：采购人指定地点。</w:t>
      </w:r>
    </w:p>
    <w:p>
      <w:pPr>
        <w:spacing w:line="24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3.付款方式：</w:t>
      </w:r>
    </w:p>
    <w:p>
      <w:pPr>
        <w:spacing w:line="240" w:lineRule="auto"/>
        <w:ind w:firstLine="480" w:firstLineChars="200"/>
        <w:jc w:val="left"/>
        <w:rPr>
          <w:rFonts w:hint="eastAsia" w:ascii="宋体" w:hAnsi="宋体" w:cs="宋体"/>
          <w:color w:val="auto"/>
          <w:sz w:val="28"/>
          <w:szCs w:val="28"/>
          <w:highlight w:val="none"/>
        </w:rPr>
      </w:pPr>
      <w:r>
        <w:rPr>
          <w:rFonts w:hint="eastAsia" w:ascii="宋体" w:hAnsi="宋体" w:cs="宋体"/>
          <w:color w:val="auto"/>
          <w:sz w:val="24"/>
          <w:highlight w:val="none"/>
        </w:rPr>
        <w:t>3.1合同签订生效后，</w:t>
      </w:r>
      <w:r>
        <w:rPr>
          <w:rFonts w:hint="eastAsia" w:ascii="宋体" w:hAnsi="宋体" w:cs="宋体"/>
          <w:color w:val="auto"/>
          <w:spacing w:val="0"/>
          <w:kern w:val="2"/>
          <w:sz w:val="24"/>
          <w:highlight w:val="none"/>
        </w:rPr>
        <w:t>采购人启动财政支付审批程序，待财政支付平台下达资金支付指标，且中标人开具当期付款金额等额发票后5个工作日内支付合同</w:t>
      </w:r>
      <w:r>
        <w:rPr>
          <w:rFonts w:hint="eastAsia" w:ascii="宋体" w:hAnsi="宋体" w:cs="宋体"/>
          <w:color w:val="auto"/>
          <w:sz w:val="24"/>
          <w:highlight w:val="none"/>
        </w:rPr>
        <w:t>总</w:t>
      </w:r>
      <w:r>
        <w:rPr>
          <w:rFonts w:hint="eastAsia" w:ascii="宋体" w:hAnsi="宋体" w:cs="宋体"/>
          <w:color w:val="auto"/>
          <w:spacing w:val="0"/>
          <w:kern w:val="2"/>
          <w:sz w:val="24"/>
          <w:highlight w:val="none"/>
        </w:rPr>
        <w:t>金额的</w:t>
      </w:r>
      <w:r>
        <w:rPr>
          <w:rFonts w:ascii="宋体" w:hAnsi="宋体" w:cs="宋体"/>
          <w:color w:val="auto"/>
          <w:sz w:val="24"/>
          <w:highlight w:val="none"/>
        </w:rPr>
        <w:t>4</w:t>
      </w:r>
      <w:r>
        <w:rPr>
          <w:rFonts w:hint="eastAsia" w:ascii="宋体" w:hAnsi="宋体" w:cs="宋体"/>
          <w:color w:val="auto"/>
          <w:spacing w:val="0"/>
          <w:kern w:val="2"/>
          <w:sz w:val="24"/>
          <w:highlight w:val="none"/>
        </w:rPr>
        <w:t>0%；</w:t>
      </w:r>
      <w:r>
        <w:rPr>
          <w:rFonts w:hint="eastAsia" w:ascii="宋体" w:hAnsi="宋体" w:cs="宋体"/>
          <w:color w:val="auto"/>
          <w:sz w:val="24"/>
          <w:highlight w:val="none"/>
        </w:rPr>
        <w:t>车辆改装建设完成、仪器设备到场安装调试、仪器初验合格后，采购人启动财政支付审批程序，待财政支付平台下达资金支付指标，且中标人开具当期付款金额等额发票后支付合同总金额的1</w:t>
      </w:r>
      <w:r>
        <w:rPr>
          <w:rFonts w:ascii="宋体" w:hAnsi="宋体" w:cs="宋体"/>
          <w:color w:val="auto"/>
          <w:sz w:val="24"/>
          <w:highlight w:val="none"/>
        </w:rPr>
        <w:t>0%</w:t>
      </w:r>
      <w:r>
        <w:rPr>
          <w:rFonts w:hint="eastAsia" w:ascii="宋体" w:hAnsi="宋体" w:cs="宋体"/>
          <w:color w:val="auto"/>
          <w:sz w:val="24"/>
          <w:highlight w:val="none"/>
        </w:rPr>
        <w:t>；待车辆年检通过、项目履约终验合格后，采购人启动财政支付审批程序，待财政支付平台下达资金支付指标，且中标人开具当期付款金额等额发票后支付合同总金额的</w:t>
      </w:r>
      <w:r>
        <w:rPr>
          <w:rFonts w:ascii="宋体" w:hAnsi="宋体" w:cs="宋体"/>
          <w:color w:val="auto"/>
          <w:sz w:val="24"/>
          <w:highlight w:val="none"/>
        </w:rPr>
        <w:t>40%</w:t>
      </w:r>
      <w:r>
        <w:rPr>
          <w:rFonts w:hint="eastAsia" w:ascii="宋体" w:hAnsi="宋体" w:cs="宋体"/>
          <w:color w:val="auto"/>
          <w:sz w:val="24"/>
          <w:highlight w:val="none"/>
        </w:rPr>
        <w:t>。合同总金额的1</w:t>
      </w:r>
      <w:r>
        <w:rPr>
          <w:rFonts w:ascii="宋体" w:hAnsi="宋体" w:cs="宋体"/>
          <w:color w:val="auto"/>
          <w:sz w:val="24"/>
          <w:highlight w:val="none"/>
        </w:rPr>
        <w:t>0%</w:t>
      </w:r>
      <w:r>
        <w:rPr>
          <w:rFonts w:hint="eastAsia" w:ascii="宋体" w:hAnsi="宋体" w:cs="宋体"/>
          <w:color w:val="auto"/>
          <w:sz w:val="24"/>
          <w:highlight w:val="none"/>
        </w:rPr>
        <w:t>作为项目运维费用，每季度末按照采购人制定的运维考核办法对供应商的运维情况进行综合考核，考核合格后采购人启动财政支付审批程序，待财政支付平台下达资金支付指标，且中标人开具当期付款金额等额发票后支付该季度相应的合同款。</w:t>
      </w:r>
    </w:p>
    <w:p>
      <w:pPr>
        <w:pStyle w:val="25"/>
        <w:spacing w:line="240" w:lineRule="auto"/>
        <w:ind w:firstLine="480"/>
        <w:jc w:val="both"/>
        <w:rPr>
          <w:rFonts w:hint="eastAsia" w:hAnsi="宋体" w:cs="宋体"/>
          <w:color w:val="auto"/>
          <w:sz w:val="24"/>
          <w:highlight w:val="none"/>
        </w:rPr>
      </w:pPr>
      <w:r>
        <w:rPr>
          <w:rFonts w:hint="eastAsia" w:hAnsi="宋体" w:cs="宋体"/>
          <w:color w:val="auto"/>
          <w:sz w:val="24"/>
          <w:szCs w:val="24"/>
          <w:highlight w:val="none"/>
        </w:rPr>
        <w:t>3.2运维经费支付方式：采购人</w:t>
      </w:r>
      <w:r>
        <w:rPr>
          <w:rFonts w:hint="eastAsia" w:hAnsi="宋体" w:cs="宋体"/>
          <w:color w:val="auto"/>
          <w:sz w:val="24"/>
          <w:highlight w:val="none"/>
        </w:rPr>
        <w:t>每月初对中标人上月运维情况进行综合考核，每季度按照财政支付程序要求支付综合考核合格月份的运维费：</w:t>
      </w:r>
    </w:p>
    <w:p>
      <w:pPr>
        <w:spacing w:line="24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①当月综合考核总分低于60分的，不予支付当月运维费；</w:t>
      </w:r>
    </w:p>
    <w:p>
      <w:pPr>
        <w:spacing w:line="24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②当月综合考核总分80（含）分以上的，支付当月全额运维费；</w:t>
      </w:r>
    </w:p>
    <w:p>
      <w:pPr>
        <w:spacing w:line="24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③每月综合考核总分在60（含）-80分的，当月运维费=(实际综合考核总分/100)×当月全额运维费；</w:t>
      </w:r>
    </w:p>
    <w:p>
      <w:pPr>
        <w:spacing w:line="24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④如连续出现三月综合考核低于60分，本次采购合同自动终止。</w:t>
      </w:r>
    </w:p>
    <w:p>
      <w:pPr>
        <w:spacing w:line="24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4.质保期：自供货安装调试完毕并通过验收之日起2年。</w:t>
      </w:r>
    </w:p>
    <w:p>
      <w:pPr>
        <w:spacing w:line="24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5.报价要求：</w:t>
      </w:r>
    </w:p>
    <w:p>
      <w:pPr>
        <w:spacing w:line="24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（1）所有报价一律以人民币报价。采购人不接受任何非人民币币种的报价。</w:t>
      </w:r>
    </w:p>
    <w:p>
      <w:pPr>
        <w:spacing w:line="24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（2）投标人的报价是含设备、安装、调试、验收、设备手工比对监测、质量保修、其他售后服务、运维服务及耗材费用、采购代理服务费等费用，是其响应本项目要求的全部工作内容的价格体现。</w:t>
      </w:r>
    </w:p>
    <w:p>
      <w:pPr>
        <w:spacing w:line="24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6.投标人须提供廉政承诺书原件并加盖投标人公章。</w:t>
      </w:r>
      <w:r>
        <w:rPr>
          <w:rFonts w:hint="eastAsia" w:ascii="宋体" w:hAnsi="宋体" w:cs="宋体"/>
          <w:b/>
          <w:bCs/>
          <w:color w:val="auto"/>
          <w:sz w:val="24"/>
          <w:highlight w:val="none"/>
        </w:rPr>
        <w:t>（提供承诺函，格式自拟，否则按无效投标处理）</w:t>
      </w:r>
    </w:p>
    <w:p>
      <w:pPr>
        <w:spacing w:line="24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7.验收：采购人按照招标文件、投标文件及相关法律法规要求进行验收。</w:t>
      </w:r>
    </w:p>
    <w:p>
      <w:pPr>
        <w:spacing w:line="240" w:lineRule="auto"/>
        <w:ind w:firstLine="480" w:firstLineChars="200"/>
        <w:jc w:val="left"/>
        <w:rPr>
          <w:rFonts w:ascii="宋体" w:hAnsi="宋体" w:cs="宋体"/>
          <w:color w:val="auto"/>
          <w:highlight w:val="none"/>
        </w:rPr>
      </w:pPr>
      <w:r>
        <w:rPr>
          <w:rFonts w:hint="eastAsia" w:ascii="宋体" w:hAnsi="宋体" w:cs="宋体"/>
          <w:color w:val="auto"/>
          <w:sz w:val="24"/>
          <w:highlight w:val="none"/>
        </w:rPr>
        <w:t>8.履约验收：《财政部关于进一步加强政府采购需求和履约验收管理的指导意见》（财库〔2016〕205号）的要求以及采购文件要求进行验收。</w:t>
      </w:r>
    </w:p>
    <w:p>
      <w:pPr>
        <w:pStyle w:val="3"/>
        <w:spacing w:line="400" w:lineRule="exact"/>
        <w:jc w:val="center"/>
        <w:rPr>
          <w:rFonts w:ascii="宋体" w:hAnsi="宋体" w:cs="宋体"/>
          <w:color w:val="auto"/>
          <w:sz w:val="36"/>
          <w:szCs w:val="36"/>
          <w:highlight w:val="none"/>
        </w:rPr>
      </w:pPr>
      <w:r>
        <w:rPr>
          <w:rFonts w:hint="eastAsia" w:ascii="宋体" w:hAnsi="宋体" w:cs="宋体"/>
          <w:color w:val="auto"/>
          <w:sz w:val="36"/>
          <w:szCs w:val="36"/>
          <w:highlight w:val="none"/>
        </w:rPr>
        <w:br w:type="page"/>
      </w:r>
      <w:r>
        <w:rPr>
          <w:rFonts w:hint="eastAsia" w:ascii="宋体" w:hAnsi="宋体" w:cs="宋体"/>
          <w:color w:val="auto"/>
          <w:sz w:val="36"/>
          <w:szCs w:val="36"/>
          <w:highlight w:val="none"/>
        </w:rPr>
        <w:t>第七章  评标办法</w:t>
      </w:r>
      <w:bookmarkEnd w:id="184"/>
      <w:bookmarkEnd w:id="185"/>
      <w:bookmarkStart w:id="186" w:name="_Hlt101846155"/>
      <w:bookmarkEnd w:id="186"/>
      <w:bookmarkStart w:id="187" w:name="_Toc183682415"/>
      <w:bookmarkStart w:id="188" w:name="_Toc183582280"/>
      <w:bookmarkStart w:id="189" w:name="_Toc208849007"/>
      <w:bookmarkStart w:id="190" w:name="_Toc217446097"/>
    </w:p>
    <w:p>
      <w:pPr>
        <w:pStyle w:val="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总则</w:t>
      </w:r>
      <w:bookmarkEnd w:id="187"/>
      <w:bookmarkEnd w:id="188"/>
      <w:bookmarkEnd w:id="189"/>
      <w:bookmarkEnd w:id="190"/>
    </w:p>
    <w:p>
      <w:pPr>
        <w:spacing w:line="360" w:lineRule="auto"/>
        <w:ind w:firstLine="480" w:firstLineChars="200"/>
        <w:jc w:val="left"/>
        <w:rPr>
          <w:rFonts w:ascii="宋体" w:hAnsi="宋体" w:cs="宋体"/>
          <w:color w:val="auto"/>
          <w:sz w:val="24"/>
          <w:highlight w:val="none"/>
          <w:lang w:val="zh-CN"/>
        </w:rPr>
      </w:pPr>
      <w:bookmarkStart w:id="191" w:name="_Toc101338358"/>
      <w:bookmarkStart w:id="192" w:name="_Toc101250640"/>
      <w:bookmarkStart w:id="193" w:name="_Toc430773924"/>
      <w:bookmarkStart w:id="194" w:name="_Toc101174146"/>
      <w:bookmarkStart w:id="195" w:name="_Toc209847065"/>
      <w:bookmarkStart w:id="196" w:name="_Toc5845"/>
      <w:bookmarkStart w:id="197" w:name="_Toc23042"/>
      <w:r>
        <w:rPr>
          <w:rFonts w:hint="eastAsia" w:ascii="宋体" w:hAnsi="宋体" w:cs="宋体"/>
          <w:color w:val="auto"/>
          <w:sz w:val="24"/>
          <w:highlight w:val="none"/>
          <w:lang w:val="zh-CN"/>
        </w:rPr>
        <w:t>1.1 根据《中华人民共和国政府采购法》、《中华人民共和国政府采购法实施条例》、《政府采购货物和服务招标投标管理办法》等法律制度，结合采购项目特点制定本评标办法。</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1.2 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w:t>
      </w:r>
      <w:r>
        <w:rPr>
          <w:rFonts w:hint="eastAsia" w:ascii="宋体" w:hAnsi="宋体" w:cs="宋体"/>
          <w:color w:val="auto"/>
          <w:sz w:val="24"/>
          <w:highlight w:val="none"/>
        </w:rPr>
        <w:t>人</w:t>
      </w:r>
      <w:r>
        <w:rPr>
          <w:rFonts w:hint="eastAsia" w:ascii="宋体" w:hAnsi="宋体" w:cs="宋体"/>
          <w:color w:val="auto"/>
          <w:sz w:val="24"/>
          <w:highlight w:val="none"/>
          <w:lang w:val="zh-CN"/>
        </w:rPr>
        <w:t>是否具备投标资格。</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合格投标人不足三家的，不得评标。</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评标工作由采购代理机构负责组织，具体评标事务由采购代理机构依法组建的评标委员会负责。评标委员会由采购人代表和有关技术、经济、法律等方面的专家组成。</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1.3 评标工作应遵循公平、公正、科学及择优的原则，并以相同的评标程序和标准对待所有的投标人。</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1.4 评标委员会按照招标文件规定的评标方法和标准进行评标，并独立履行下列职责：</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（一）熟悉和理解招标文件；</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（二）审查</w:t>
      </w:r>
      <w:r>
        <w:rPr>
          <w:rFonts w:hint="eastAsia" w:ascii="宋体" w:hAnsi="宋体" w:cs="宋体"/>
          <w:color w:val="auto"/>
          <w:sz w:val="24"/>
          <w:highlight w:val="none"/>
        </w:rPr>
        <w:t>投标人</w:t>
      </w:r>
      <w:r>
        <w:rPr>
          <w:rFonts w:hint="eastAsia" w:ascii="宋体" w:hAnsi="宋体" w:cs="宋体"/>
          <w:color w:val="auto"/>
          <w:sz w:val="24"/>
          <w:highlight w:val="none"/>
          <w:lang w:val="zh-CN"/>
        </w:rPr>
        <w:t>（已通过资格审查）的投标文件是否满足招标文件要求，并作出评价；</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（三）根据需要要求招标采购单位对招标文件作出解释；根据需要要求</w:t>
      </w:r>
      <w:r>
        <w:rPr>
          <w:rFonts w:hint="eastAsia" w:ascii="宋体" w:hAnsi="宋体" w:cs="宋体"/>
          <w:color w:val="auto"/>
          <w:sz w:val="24"/>
          <w:highlight w:val="none"/>
        </w:rPr>
        <w:t>投标人</w:t>
      </w:r>
      <w:r>
        <w:rPr>
          <w:rFonts w:hint="eastAsia" w:ascii="宋体" w:hAnsi="宋体" w:cs="宋体"/>
          <w:color w:val="auto"/>
          <w:sz w:val="24"/>
          <w:highlight w:val="none"/>
          <w:lang w:val="zh-CN"/>
        </w:rPr>
        <w:t>对投标文件有关事项作出澄清、说明或者更正；</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（四）推荐中标候选</w:t>
      </w:r>
      <w:r>
        <w:rPr>
          <w:rFonts w:hint="eastAsia" w:ascii="宋体" w:hAnsi="宋体" w:cs="宋体"/>
          <w:color w:val="auto"/>
          <w:sz w:val="24"/>
          <w:highlight w:val="none"/>
        </w:rPr>
        <w:t>人</w:t>
      </w:r>
      <w:r>
        <w:rPr>
          <w:rFonts w:hint="eastAsia" w:ascii="宋体" w:hAnsi="宋体" w:cs="宋体"/>
          <w:color w:val="auto"/>
          <w:sz w:val="24"/>
          <w:highlight w:val="none"/>
          <w:lang w:val="zh-CN"/>
        </w:rPr>
        <w:t>，或者受采购人委托确定中标</w:t>
      </w:r>
      <w:r>
        <w:rPr>
          <w:rFonts w:hint="eastAsia" w:ascii="宋体" w:hAnsi="宋体" w:cs="宋体"/>
          <w:color w:val="auto"/>
          <w:sz w:val="24"/>
          <w:highlight w:val="none"/>
        </w:rPr>
        <w:t>人</w:t>
      </w:r>
      <w:r>
        <w:rPr>
          <w:rFonts w:hint="eastAsia" w:ascii="宋体" w:hAnsi="宋体" w:cs="宋体"/>
          <w:color w:val="auto"/>
          <w:sz w:val="24"/>
          <w:highlight w:val="none"/>
          <w:lang w:val="zh-CN"/>
        </w:rPr>
        <w:t>；</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（五）起草评标报告并进行签署；</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（六）向招标采购单位、财政部门或者其他监督部门报告非法干预评标工作的行为；</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（七）法律、法规和规章规定的其他职责。</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1.5 评标过程独立、保密。投标人非法干预评标过程的行为将导致其投标文件作为无效处理。</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1.6 评标委员会评价投标文件的响应性，对于投标人而言，除评标委员会要求其澄清、说明或者更正而提供的资料外，仅依据投标文件本身的内容，不寻求其他外部证据。</w:t>
      </w:r>
    </w:p>
    <w:p>
      <w:pPr>
        <w:spacing w:line="360" w:lineRule="auto"/>
        <w:ind w:firstLine="482" w:firstLineChars="200"/>
        <w:jc w:val="left"/>
        <w:rPr>
          <w:rFonts w:ascii="宋体" w:hAnsi="宋体" w:cs="宋体"/>
          <w:b/>
          <w:bCs/>
          <w:color w:val="auto"/>
          <w:sz w:val="24"/>
          <w:highlight w:val="none"/>
          <w:lang w:val="zh-CN"/>
        </w:rPr>
      </w:pPr>
      <w:r>
        <w:rPr>
          <w:rFonts w:hint="eastAsia" w:ascii="宋体" w:hAnsi="宋体" w:cs="宋体"/>
          <w:b/>
          <w:bCs/>
          <w:color w:val="auto"/>
          <w:sz w:val="24"/>
          <w:highlight w:val="none"/>
          <w:lang w:val="zh-CN"/>
        </w:rPr>
        <w:t>2、 评标方法</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2.1本项目评标方法为：综合评分法。</w:t>
      </w:r>
    </w:p>
    <w:p>
      <w:pPr>
        <w:spacing w:line="360" w:lineRule="auto"/>
        <w:ind w:firstLine="482" w:firstLineChars="200"/>
        <w:jc w:val="left"/>
        <w:rPr>
          <w:rFonts w:ascii="宋体" w:hAnsi="宋体" w:cs="宋体"/>
          <w:b/>
          <w:bCs/>
          <w:color w:val="auto"/>
          <w:sz w:val="24"/>
          <w:highlight w:val="none"/>
          <w:lang w:val="zh-CN"/>
        </w:rPr>
      </w:pPr>
      <w:r>
        <w:rPr>
          <w:rFonts w:hint="eastAsia" w:ascii="宋体" w:hAnsi="宋体" w:cs="宋体"/>
          <w:b/>
          <w:bCs/>
          <w:color w:val="auto"/>
          <w:sz w:val="24"/>
          <w:highlight w:val="none"/>
          <w:lang w:val="zh-CN"/>
        </w:rPr>
        <w:t>3、 评标程序</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3.1熟悉和理解招标文件和停止评标。</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3.1.2评标委员会熟悉和理解招标文件以及评标过程中，发现本招标文件有下列情形之一的，评标委员会应当停止评标：</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（1）招标文件的规定存在歧义、重大缺陷的；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（2）招标文件明显以不合理条件对</w:t>
      </w:r>
      <w:r>
        <w:rPr>
          <w:rFonts w:hint="eastAsia" w:ascii="宋体" w:hAnsi="宋体" w:cs="宋体"/>
          <w:color w:val="auto"/>
          <w:sz w:val="24"/>
          <w:highlight w:val="none"/>
        </w:rPr>
        <w:t>投标人</w:t>
      </w:r>
      <w:r>
        <w:rPr>
          <w:rFonts w:hint="eastAsia" w:ascii="宋体" w:hAnsi="宋体" w:cs="宋体"/>
          <w:color w:val="auto"/>
          <w:sz w:val="24"/>
          <w:highlight w:val="none"/>
          <w:lang w:val="zh-CN"/>
        </w:rPr>
        <w:t>实行差别待遇或者歧视待遇的；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（3）招标文件内容违反强制采购相关规定的；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（4）采购项目属于政府采购促进中小企业发展的范围，但是招标文件未依法体现促进中小企业发展相关规定的；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（5）招标文件规定的评标方法是综合评分法、最低评标价法之外的评标方法，或者虽然名称为综合评分法、最低评标价法，但实际上不符合国家规定；</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（6）招标文件将投标人的资格条件列为评分因素的；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（7）招标文件有违反国家其他有关强制性规定的情形。</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3.1.3出现本条3.1.2规定应当停止评标情形的，评标委员会成员应当向招标采购单位书面说明情况。除本条规定和评标委员会无法依法组建的情形外，评标委员会成员不得以任何方式和理由停止评标。</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3.2符合性检查。</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3.2.2投标文件（包括单独递交的开标一览表）有下列情形的，本项目不作为实质性要求进行规定，即不作为符合性审查事项，不得作为无效投标处理：</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一</w:t>
      </w:r>
      <w:r>
        <w:rPr>
          <w:rFonts w:hint="eastAsia" w:ascii="宋体" w:hAnsi="宋体" w:cs="宋体"/>
          <w:color w:val="auto"/>
          <w:sz w:val="24"/>
          <w:highlight w:val="none"/>
          <w:lang w:val="zh-CN"/>
        </w:rPr>
        <w:t>）存在个别地方（不超过2个）没有法定代表人/单位负责人签字，但有法定代表人/单位负责人的私人印章或者有效授权代理人签字的；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二</w:t>
      </w:r>
      <w:r>
        <w:rPr>
          <w:rFonts w:hint="eastAsia" w:ascii="宋体" w:hAnsi="宋体" w:cs="宋体"/>
          <w:color w:val="auto"/>
          <w:sz w:val="24"/>
          <w:highlight w:val="none"/>
          <w:lang w:val="zh-CN"/>
        </w:rPr>
        <w:t>）除招标文件明确要求加盖单位(法人)公章的以外，其他地方以相关专用章加盖的；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三</w:t>
      </w:r>
      <w:r>
        <w:rPr>
          <w:rFonts w:hint="eastAsia" w:ascii="宋体" w:hAnsi="宋体" w:cs="宋体"/>
          <w:color w:val="auto"/>
          <w:sz w:val="24"/>
          <w:highlight w:val="none"/>
          <w:lang w:val="zh-CN"/>
        </w:rPr>
        <w:t>）以骑缝章的形式代替投标文件内容逐页盖章的（但是骑缝章模糊不清，印章名称无法辨认的除外）；</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四</w:t>
      </w:r>
      <w:r>
        <w:rPr>
          <w:rFonts w:hint="eastAsia" w:ascii="宋体" w:hAnsi="宋体" w:cs="宋体"/>
          <w:color w:val="auto"/>
          <w:sz w:val="24"/>
          <w:highlight w:val="none"/>
          <w:lang w:val="zh-CN"/>
        </w:rPr>
        <w:t>）其他不影响采购项目实质性要求的情形。</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3.2.3除政府采购法律制度规定的情形外，本项目投标人或者其投标文件有下列情形之一的，作为无效投标处理：</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（一）投标文件正副本数量不足的；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（二）投标文件组成明显不符合招标文件的规定要求，影响评标委员会评判的；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（三）投标文件的格式、语言、计量单位、报价货币、知识产权、投标有效期等不符合招标文件的规定，影响评标委员会评判的；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（四）投标报价不符合招标文件规定的采购预算或限价或其他报价规定的；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（五）投标文件未按招标文件要求签署、盖章的（本章3.2.2规定的例外情形除外）；</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（六）商务、技术、服务应答内容没有完全响应招标文件带“★”的实质性要求的；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（七）未载明或者载明的招标项目履约时间、方式、数量及其他政府采购合同实质性内容与招标文件要求不一致，且招标采购单位无法接受的。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3.3比较与评价。按招标文件中规定的评标方法和标准，对未作无效投标处理的投标文件进行技术、服务、商务等方面评估，综合比较与评价。</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3.4复核。评分汇总结束后，评标委员会应当进行复核，特别要对拟推荐为中标候选</w:t>
      </w:r>
      <w:r>
        <w:rPr>
          <w:rFonts w:hint="eastAsia" w:ascii="宋体" w:hAnsi="宋体" w:cs="宋体"/>
          <w:color w:val="auto"/>
          <w:sz w:val="24"/>
          <w:highlight w:val="none"/>
        </w:rPr>
        <w:t>人</w:t>
      </w:r>
      <w:r>
        <w:rPr>
          <w:rFonts w:hint="eastAsia" w:ascii="宋体" w:hAnsi="宋体" w:cs="宋体"/>
          <w:color w:val="auto"/>
          <w:sz w:val="24"/>
          <w:highlight w:val="none"/>
          <w:lang w:val="zh-CN"/>
        </w:rPr>
        <w:t>的、报价最低的、投标文件被认定为无效的进行重点复核。</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3.5推荐中标候选</w:t>
      </w:r>
      <w:r>
        <w:rPr>
          <w:rFonts w:hint="eastAsia" w:ascii="宋体" w:hAnsi="宋体" w:cs="宋体"/>
          <w:color w:val="auto"/>
          <w:sz w:val="24"/>
          <w:highlight w:val="none"/>
        </w:rPr>
        <w:t>人</w:t>
      </w:r>
      <w:r>
        <w:rPr>
          <w:rFonts w:hint="eastAsia" w:ascii="宋体" w:hAnsi="宋体" w:cs="宋体"/>
          <w:color w:val="auto"/>
          <w:sz w:val="24"/>
          <w:highlight w:val="none"/>
          <w:lang w:val="zh-CN"/>
        </w:rPr>
        <w:t>。中标候选</w:t>
      </w:r>
      <w:r>
        <w:rPr>
          <w:rFonts w:hint="eastAsia" w:ascii="宋体" w:hAnsi="宋体" w:cs="宋体"/>
          <w:color w:val="auto"/>
          <w:sz w:val="24"/>
          <w:highlight w:val="none"/>
        </w:rPr>
        <w:t>人</w:t>
      </w:r>
      <w:r>
        <w:rPr>
          <w:rFonts w:hint="eastAsia" w:ascii="宋体" w:hAnsi="宋体" w:cs="宋体"/>
          <w:color w:val="auto"/>
          <w:sz w:val="24"/>
          <w:highlight w:val="none"/>
          <w:lang w:val="zh-CN"/>
        </w:rPr>
        <w:t>应当排序。本项目采用综合评分法，评标结果按评审后得分由高到低顺序排列。得分相同的，按投标报价由低到高顺序排列；得分且投标报价相同的，不发达地区或少数民族地区的</w:t>
      </w:r>
      <w:r>
        <w:rPr>
          <w:rFonts w:hint="eastAsia" w:ascii="宋体" w:hAnsi="宋体" w:cs="宋体"/>
          <w:color w:val="auto"/>
          <w:sz w:val="24"/>
          <w:highlight w:val="none"/>
        </w:rPr>
        <w:t>候选人</w:t>
      </w:r>
      <w:r>
        <w:rPr>
          <w:rFonts w:hint="eastAsia" w:ascii="宋体" w:hAnsi="宋体" w:cs="宋体"/>
          <w:color w:val="auto"/>
          <w:sz w:val="24"/>
          <w:highlight w:val="none"/>
          <w:lang w:val="zh-CN"/>
        </w:rPr>
        <w:t>排列顺序在非不发达地区或少数民族地区的</w:t>
      </w:r>
      <w:r>
        <w:rPr>
          <w:rFonts w:hint="eastAsia" w:ascii="宋体" w:hAnsi="宋体" w:cs="宋体"/>
          <w:color w:val="auto"/>
          <w:sz w:val="24"/>
          <w:highlight w:val="none"/>
        </w:rPr>
        <w:t>候选人</w:t>
      </w:r>
      <w:r>
        <w:rPr>
          <w:rFonts w:hint="eastAsia" w:ascii="宋体" w:hAnsi="宋体" w:cs="宋体"/>
          <w:color w:val="auto"/>
          <w:sz w:val="24"/>
          <w:highlight w:val="none"/>
          <w:lang w:val="zh-CN"/>
        </w:rPr>
        <w:t>之前；得分且投标报价相同的，且均为不发达地区或少数民族地区的</w:t>
      </w:r>
      <w:r>
        <w:rPr>
          <w:rFonts w:hint="eastAsia" w:ascii="宋体" w:hAnsi="宋体" w:cs="宋体"/>
          <w:color w:val="auto"/>
          <w:sz w:val="24"/>
          <w:highlight w:val="none"/>
        </w:rPr>
        <w:t>候选人</w:t>
      </w:r>
      <w:r>
        <w:rPr>
          <w:rFonts w:hint="eastAsia" w:ascii="宋体" w:hAnsi="宋体" w:cs="宋体"/>
          <w:color w:val="auto"/>
          <w:sz w:val="24"/>
          <w:highlight w:val="none"/>
          <w:lang w:val="zh-CN"/>
        </w:rPr>
        <w:t>并列；得分且投标报价相同的，且不能判定为不发达地区或少数民族地区的</w:t>
      </w:r>
      <w:r>
        <w:rPr>
          <w:rFonts w:hint="eastAsia" w:ascii="宋体" w:hAnsi="宋体" w:cs="宋体"/>
          <w:color w:val="auto"/>
          <w:sz w:val="24"/>
          <w:highlight w:val="none"/>
        </w:rPr>
        <w:t>候选人</w:t>
      </w:r>
      <w:r>
        <w:rPr>
          <w:rFonts w:hint="eastAsia" w:ascii="宋体" w:hAnsi="宋体" w:cs="宋体"/>
          <w:color w:val="auto"/>
          <w:sz w:val="24"/>
          <w:highlight w:val="none"/>
          <w:lang w:val="zh-CN"/>
        </w:rPr>
        <w:t>并列。</w:t>
      </w:r>
      <w:r>
        <w:rPr>
          <w:rFonts w:hint="eastAsia" w:ascii="宋体" w:hAnsi="宋体" w:cs="宋体"/>
          <w:b/>
          <w:bCs/>
          <w:color w:val="auto"/>
          <w:sz w:val="24"/>
          <w:highlight w:val="none"/>
          <w:lang w:val="zh-CN"/>
        </w:rPr>
        <w:t>（不发达地区或少数民族地区的</w:t>
      </w:r>
      <w:r>
        <w:rPr>
          <w:rFonts w:hint="eastAsia" w:ascii="宋体" w:hAnsi="宋体" w:cs="宋体"/>
          <w:b/>
          <w:bCs/>
          <w:color w:val="auto"/>
          <w:sz w:val="24"/>
          <w:highlight w:val="none"/>
        </w:rPr>
        <w:t>投标人</w:t>
      </w:r>
      <w:r>
        <w:rPr>
          <w:rFonts w:hint="eastAsia" w:ascii="宋体" w:hAnsi="宋体" w:cs="宋体"/>
          <w:b/>
          <w:bCs/>
          <w:color w:val="auto"/>
          <w:sz w:val="24"/>
          <w:highlight w:val="none"/>
          <w:lang w:val="zh-CN"/>
        </w:rPr>
        <w:t>需提供属于不发达地区或少数民族地区企业的相关证明材料。）</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评标委员会可推荐的中标候选</w:t>
      </w:r>
      <w:r>
        <w:rPr>
          <w:rFonts w:hint="eastAsia" w:ascii="宋体" w:hAnsi="宋体" w:cs="宋体"/>
          <w:color w:val="auto"/>
          <w:sz w:val="24"/>
          <w:highlight w:val="none"/>
        </w:rPr>
        <w:t>人</w:t>
      </w:r>
      <w:r>
        <w:rPr>
          <w:rFonts w:hint="eastAsia" w:ascii="宋体" w:hAnsi="宋体" w:cs="宋体"/>
          <w:color w:val="auto"/>
          <w:sz w:val="24"/>
          <w:highlight w:val="none"/>
          <w:lang w:val="zh-CN"/>
        </w:rPr>
        <w:t>数量不能满足招标文件规定的数量的，只有在获得采购人书面同意后，可以根据实际情况推荐中标候选</w:t>
      </w:r>
      <w:r>
        <w:rPr>
          <w:rFonts w:hint="eastAsia" w:ascii="宋体" w:hAnsi="宋体" w:cs="宋体"/>
          <w:color w:val="auto"/>
          <w:sz w:val="24"/>
          <w:highlight w:val="none"/>
        </w:rPr>
        <w:t>人</w:t>
      </w:r>
      <w:r>
        <w:rPr>
          <w:rFonts w:hint="eastAsia" w:ascii="宋体" w:hAnsi="宋体" w:cs="宋体"/>
          <w:color w:val="auto"/>
          <w:sz w:val="24"/>
          <w:highlight w:val="none"/>
          <w:lang w:val="zh-CN"/>
        </w:rPr>
        <w:t>。未获得采购人的书面同意,评标委员会不得在招标文件规定之外推荐中标候选</w:t>
      </w:r>
      <w:r>
        <w:rPr>
          <w:rFonts w:hint="eastAsia" w:ascii="宋体" w:hAnsi="宋体" w:cs="宋体"/>
          <w:color w:val="auto"/>
          <w:sz w:val="24"/>
          <w:highlight w:val="none"/>
        </w:rPr>
        <w:t>人</w:t>
      </w:r>
      <w:r>
        <w:rPr>
          <w:rFonts w:hint="eastAsia" w:ascii="宋体" w:hAnsi="宋体" w:cs="宋体"/>
          <w:color w:val="auto"/>
          <w:sz w:val="24"/>
          <w:highlight w:val="none"/>
          <w:lang w:val="zh-CN"/>
        </w:rPr>
        <w:t>，否则，采购人可以不予认可。</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3.6出具评标报告。评标委员会推荐中标候选</w:t>
      </w:r>
      <w:r>
        <w:rPr>
          <w:rFonts w:hint="eastAsia" w:ascii="宋体" w:hAnsi="宋体" w:cs="宋体"/>
          <w:color w:val="auto"/>
          <w:sz w:val="24"/>
          <w:highlight w:val="none"/>
        </w:rPr>
        <w:t>人</w:t>
      </w:r>
      <w:r>
        <w:rPr>
          <w:rFonts w:hint="eastAsia" w:ascii="宋体" w:hAnsi="宋体" w:cs="宋体"/>
          <w:color w:val="auto"/>
          <w:sz w:val="24"/>
          <w:highlight w:val="none"/>
          <w:lang w:val="zh-CN"/>
        </w:rPr>
        <w:t>后，应当向招标采购单位出具评标报告。评标报告应当包括下列内容：</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（一）招标公告刊登的媒体名称、开标日期和地点；</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（二）获取招标文件的投标人名单和评标委员会成员名单；</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（三）评标方法和标准；</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（四）开标记录和评标情况及说明，包括无效投标人名单及原因；</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（五）评标结果和中标候选</w:t>
      </w:r>
      <w:r>
        <w:rPr>
          <w:rFonts w:hint="eastAsia" w:ascii="宋体" w:hAnsi="宋体" w:cs="宋体"/>
          <w:color w:val="auto"/>
          <w:sz w:val="24"/>
          <w:highlight w:val="none"/>
        </w:rPr>
        <w:t>人</w:t>
      </w:r>
      <w:r>
        <w:rPr>
          <w:rFonts w:hint="eastAsia" w:ascii="宋体" w:hAnsi="宋体" w:cs="宋体"/>
          <w:color w:val="auto"/>
          <w:sz w:val="24"/>
          <w:highlight w:val="none"/>
          <w:lang w:val="zh-CN"/>
        </w:rPr>
        <w:t>排序表；</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（六）评标委员会授标建议；</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（七）报价最高的投标人为中标候选人的，评标委员会应当对其报价的合理性予以特别说明。</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3.7评标争议处理规则。评标委员会在评审过程中，对于符合性审查、对</w:t>
      </w:r>
      <w:r>
        <w:rPr>
          <w:rFonts w:hint="eastAsia" w:ascii="宋体" w:hAnsi="宋体" w:cs="宋体"/>
          <w:color w:val="auto"/>
          <w:sz w:val="24"/>
          <w:highlight w:val="none"/>
        </w:rPr>
        <w:t>投标人的</w:t>
      </w:r>
      <w:r>
        <w:rPr>
          <w:rFonts w:hint="eastAsia" w:ascii="宋体" w:hAnsi="宋体" w:cs="宋体"/>
          <w:color w:val="auto"/>
          <w:sz w:val="24"/>
          <w:highlight w:val="none"/>
          <w:lang w:val="zh-CN"/>
        </w:rPr>
        <w:t>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3.8</w:t>
      </w:r>
      <w:r>
        <w:rPr>
          <w:rFonts w:hint="eastAsia" w:ascii="宋体" w:hAnsi="宋体" w:cs="宋体"/>
          <w:color w:val="auto"/>
          <w:sz w:val="24"/>
          <w:highlight w:val="none"/>
        </w:rPr>
        <w:t>投标人</w:t>
      </w:r>
      <w:r>
        <w:rPr>
          <w:rFonts w:hint="eastAsia" w:ascii="宋体" w:hAnsi="宋体" w:cs="宋体"/>
          <w:color w:val="auto"/>
          <w:sz w:val="24"/>
          <w:highlight w:val="none"/>
          <w:lang w:val="zh-CN"/>
        </w:rPr>
        <w:t>应当书面澄清、说明或者更正。</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3.8.1在评标过程中，</w:t>
      </w:r>
      <w:r>
        <w:rPr>
          <w:rFonts w:hint="eastAsia" w:ascii="宋体" w:hAnsi="宋体" w:cs="宋体"/>
          <w:color w:val="auto"/>
          <w:sz w:val="24"/>
          <w:highlight w:val="none"/>
        </w:rPr>
        <w:t>投标人的</w:t>
      </w:r>
      <w:r>
        <w:rPr>
          <w:rFonts w:hint="eastAsia" w:ascii="宋体" w:hAnsi="宋体" w:cs="宋体"/>
          <w:color w:val="auto"/>
          <w:sz w:val="24"/>
          <w:highlight w:val="none"/>
          <w:lang w:val="zh-CN"/>
        </w:rPr>
        <w:t>投标文件实质性符合招标文件要求的前提下，评标委员会对投标文件中含义不明确、同类问题表述不一致或者有明显文字和计算错误的内容，应当以书面形式（须由评标委员会全体成员签字）要求</w:t>
      </w:r>
      <w:r>
        <w:rPr>
          <w:rFonts w:hint="eastAsia" w:ascii="宋体" w:hAnsi="宋体" w:cs="宋体"/>
          <w:color w:val="auto"/>
          <w:sz w:val="24"/>
          <w:highlight w:val="none"/>
        </w:rPr>
        <w:t>投标人</w:t>
      </w:r>
      <w:r>
        <w:rPr>
          <w:rFonts w:hint="eastAsia" w:ascii="宋体" w:hAnsi="宋体" w:cs="宋体"/>
          <w:color w:val="auto"/>
          <w:sz w:val="24"/>
          <w:highlight w:val="none"/>
          <w:lang w:val="zh-CN"/>
        </w:rPr>
        <w:t>作出必要的书面澄清、说明或者更正，并给予</w:t>
      </w:r>
      <w:r>
        <w:rPr>
          <w:rFonts w:hint="eastAsia" w:ascii="宋体" w:hAnsi="宋体" w:cs="宋体"/>
          <w:color w:val="auto"/>
          <w:sz w:val="24"/>
          <w:highlight w:val="none"/>
        </w:rPr>
        <w:t>投标人</w:t>
      </w:r>
      <w:r>
        <w:rPr>
          <w:rFonts w:hint="eastAsia" w:ascii="宋体" w:hAnsi="宋体" w:cs="宋体"/>
          <w:color w:val="auto"/>
          <w:sz w:val="24"/>
          <w:highlight w:val="none"/>
          <w:lang w:val="zh-CN"/>
        </w:rPr>
        <w:t>必要的反馈时间。</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3.8.2</w:t>
      </w:r>
      <w:r>
        <w:rPr>
          <w:rFonts w:hint="eastAsia" w:ascii="宋体" w:hAnsi="宋体" w:cs="宋体"/>
          <w:color w:val="auto"/>
          <w:sz w:val="24"/>
          <w:highlight w:val="none"/>
        </w:rPr>
        <w:t>投标人</w:t>
      </w:r>
      <w:r>
        <w:rPr>
          <w:rFonts w:hint="eastAsia" w:ascii="宋体" w:hAnsi="宋体" w:cs="宋体"/>
          <w:color w:val="auto"/>
          <w:sz w:val="24"/>
          <w:highlight w:val="none"/>
          <w:lang w:val="zh-CN"/>
        </w:rPr>
        <w:t>应当书面澄清、说明或者更正，并加盖公章或签字确认（</w:t>
      </w:r>
      <w:r>
        <w:rPr>
          <w:rFonts w:hint="eastAsia" w:ascii="宋体" w:hAnsi="宋体" w:cs="宋体"/>
          <w:color w:val="auto"/>
          <w:sz w:val="24"/>
          <w:highlight w:val="none"/>
        </w:rPr>
        <w:t>投标人</w:t>
      </w:r>
      <w:r>
        <w:rPr>
          <w:rFonts w:hint="eastAsia" w:ascii="宋体" w:hAnsi="宋体" w:cs="宋体"/>
          <w:color w:val="auto"/>
          <w:sz w:val="24"/>
          <w:highlight w:val="none"/>
          <w:lang w:val="zh-CN"/>
        </w:rPr>
        <w:t>为法人的，应当由其法定代表人/单位负责人或者代理人签字确认；</w:t>
      </w:r>
      <w:r>
        <w:rPr>
          <w:rFonts w:hint="eastAsia" w:ascii="宋体" w:hAnsi="宋体" w:cs="宋体"/>
          <w:color w:val="auto"/>
          <w:sz w:val="24"/>
          <w:highlight w:val="none"/>
        </w:rPr>
        <w:t>投标人</w:t>
      </w:r>
      <w:r>
        <w:rPr>
          <w:rFonts w:hint="eastAsia" w:ascii="宋体" w:hAnsi="宋体" w:cs="宋体"/>
          <w:color w:val="auto"/>
          <w:sz w:val="24"/>
          <w:highlight w:val="none"/>
          <w:lang w:val="zh-CN"/>
        </w:rPr>
        <w:t>为其他组织的，应当由其主要负责人或者代理人签字确认；</w:t>
      </w:r>
      <w:r>
        <w:rPr>
          <w:rFonts w:hint="eastAsia" w:ascii="宋体" w:hAnsi="宋体" w:cs="宋体"/>
          <w:color w:val="auto"/>
          <w:sz w:val="24"/>
          <w:highlight w:val="none"/>
        </w:rPr>
        <w:t>投标人</w:t>
      </w:r>
      <w:r>
        <w:rPr>
          <w:rFonts w:hint="eastAsia" w:ascii="宋体" w:hAnsi="宋体" w:cs="宋体"/>
          <w:color w:val="auto"/>
          <w:sz w:val="24"/>
          <w:highlight w:val="none"/>
          <w:lang w:val="zh-CN"/>
        </w:rPr>
        <w:t>为自然人的，应当由其本人或者代理人签字确认），否则无效。澄清、说明或者更正不影响投标文件的效力，有效的澄清、说明或者更正材料，是投标文件的组成部分。</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3.8.3评标委员会要求</w:t>
      </w:r>
      <w:r>
        <w:rPr>
          <w:rFonts w:hint="eastAsia" w:ascii="宋体" w:hAnsi="宋体" w:cs="宋体"/>
          <w:color w:val="auto"/>
          <w:sz w:val="24"/>
          <w:highlight w:val="none"/>
        </w:rPr>
        <w:t>投标人</w:t>
      </w:r>
      <w:r>
        <w:rPr>
          <w:rFonts w:hint="eastAsia" w:ascii="宋体" w:hAnsi="宋体" w:cs="宋体"/>
          <w:color w:val="auto"/>
          <w:sz w:val="24"/>
          <w:highlight w:val="none"/>
          <w:lang w:val="zh-CN"/>
        </w:rPr>
        <w:t>澄清、说明或者更正，不得超出招标文件的范围，不得以此让</w:t>
      </w:r>
      <w:r>
        <w:rPr>
          <w:rFonts w:hint="eastAsia" w:ascii="宋体" w:hAnsi="宋体" w:cs="宋体"/>
          <w:color w:val="auto"/>
          <w:sz w:val="24"/>
          <w:highlight w:val="none"/>
        </w:rPr>
        <w:t>投标人</w:t>
      </w:r>
      <w:r>
        <w:rPr>
          <w:rFonts w:hint="eastAsia" w:ascii="宋体" w:hAnsi="宋体" w:cs="宋体"/>
          <w:color w:val="auto"/>
          <w:sz w:val="24"/>
          <w:highlight w:val="none"/>
          <w:lang w:val="zh-CN"/>
        </w:rPr>
        <w:t>实质改变投标文件的内容，不得影响</w:t>
      </w:r>
      <w:r>
        <w:rPr>
          <w:rFonts w:hint="eastAsia" w:ascii="宋体" w:hAnsi="宋体" w:cs="宋体"/>
          <w:color w:val="auto"/>
          <w:sz w:val="24"/>
          <w:highlight w:val="none"/>
        </w:rPr>
        <w:t>投标人</w:t>
      </w:r>
      <w:r>
        <w:rPr>
          <w:rFonts w:hint="eastAsia" w:ascii="宋体" w:hAnsi="宋体" w:cs="宋体"/>
          <w:color w:val="auto"/>
          <w:sz w:val="24"/>
          <w:highlight w:val="none"/>
          <w:lang w:val="zh-CN"/>
        </w:rPr>
        <w:t>公平竞争。本项目下列内容不得澄清：</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（一）按财政部规定应当在评标时不予承认的投标文件内容事项；</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（二）投标文件中已经明确的内容事项；</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3.8.4 本项目采购过程中，投标文件报价出现前后不一致的，按照下列规定修正：</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（一）投标文件中开标一览表（报价表）内容与投标文件中相应内容不一致的，以开标一览表（报价表）为准；</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（二）大写金额和小写金额不一致的，以大写金额为准；</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（三）单价金额小数点或者百分比有明显错位的，以开标一览表的总价为准，并修改单价；</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（四）总价金额与按单价汇总金额不一致的，以单价金额计算结果为准。</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同时出现两种以上不一致的，按照前款规定的顺序修正。修正后的报价按照本章3.8.1-3.8.3的规定经投标人确认后产生约束力，投标人不确认的，其投标无效。</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注：评标委员会当积极履行澄清、说明或者更正的职责，不得滥用权力。</w:t>
      </w:r>
      <w:r>
        <w:rPr>
          <w:rFonts w:hint="eastAsia" w:ascii="宋体" w:hAnsi="宋体" w:cs="宋体"/>
          <w:color w:val="auto"/>
          <w:sz w:val="24"/>
          <w:highlight w:val="none"/>
        </w:rPr>
        <w:t>投标人</w:t>
      </w:r>
      <w:r>
        <w:rPr>
          <w:rFonts w:hint="eastAsia" w:ascii="宋体" w:hAnsi="宋体" w:cs="宋体"/>
          <w:color w:val="auto"/>
          <w:sz w:val="24"/>
          <w:highlight w:val="none"/>
          <w:lang w:val="zh-CN"/>
        </w:rPr>
        <w:t>的投标文件应当要求澄清、说明或者更正的，不得未经澄清、说明或者更正而直接作无效投标处理。</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3.9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3.10招标采购单位现场复核评标结果。</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（一）分值汇总计算错误的；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（二）分项评分超出评分标准范围的；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（三）客观评分不一致的；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（四）经评标委员会认定评分畸高畸低的。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3.10.2有下列情形之一的，不得修改评标结果或者重新评审：</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（一）招标采购单位现场复核时，复核工作人员数量不足的；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（二）招标采购单位现场复核时，没有采购监督人员现场监督的；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（三）招标采购单位现场复核内容超出规定范围的；</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（四）招标采购单位未提供书面建议的。</w:t>
      </w:r>
    </w:p>
    <w:p>
      <w:pPr>
        <w:spacing w:line="360" w:lineRule="auto"/>
        <w:ind w:firstLine="482" w:firstLineChars="200"/>
        <w:jc w:val="left"/>
        <w:rPr>
          <w:rFonts w:ascii="宋体" w:hAnsi="宋体" w:cs="宋体"/>
          <w:b/>
          <w:bCs/>
          <w:color w:val="auto"/>
          <w:sz w:val="24"/>
          <w:highlight w:val="none"/>
          <w:lang w:val="zh-CN"/>
        </w:rPr>
      </w:pPr>
      <w:r>
        <w:rPr>
          <w:rFonts w:hint="eastAsia" w:ascii="宋体" w:hAnsi="宋体" w:cs="宋体"/>
          <w:b/>
          <w:bCs/>
          <w:color w:val="auto"/>
          <w:sz w:val="24"/>
          <w:highlight w:val="none"/>
          <w:lang w:val="zh-CN"/>
        </w:rPr>
        <w:t>4. 评标细则及标准</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4.1本项目采用综合评分法，评分因素详见综合评分明细表。</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4.2 评标委员会成员应当根据自身专业情况对每个有效投标</w:t>
      </w:r>
      <w:r>
        <w:rPr>
          <w:rFonts w:hint="eastAsia" w:ascii="宋体" w:hAnsi="宋体" w:cs="宋体"/>
          <w:color w:val="auto"/>
          <w:sz w:val="24"/>
          <w:highlight w:val="none"/>
        </w:rPr>
        <w:t>人</w:t>
      </w:r>
      <w:r>
        <w:rPr>
          <w:rFonts w:hint="eastAsia" w:ascii="宋体" w:hAnsi="宋体" w:cs="宋体"/>
          <w:color w:val="auto"/>
          <w:sz w:val="24"/>
          <w:highlight w:val="none"/>
          <w:lang w:val="zh-CN"/>
        </w:rPr>
        <w:t>的投标文件进行独立评分，加权汇总每项评分因素的得分，得出每个有效投标</w:t>
      </w:r>
      <w:r>
        <w:rPr>
          <w:rFonts w:hint="eastAsia" w:ascii="宋体" w:hAnsi="宋体" w:cs="宋体"/>
          <w:color w:val="auto"/>
          <w:sz w:val="24"/>
          <w:highlight w:val="none"/>
        </w:rPr>
        <w:t>人</w:t>
      </w:r>
      <w:r>
        <w:rPr>
          <w:rFonts w:hint="eastAsia" w:ascii="宋体" w:hAnsi="宋体" w:cs="宋体"/>
          <w:color w:val="auto"/>
          <w:sz w:val="24"/>
          <w:highlight w:val="none"/>
          <w:lang w:val="zh-CN"/>
        </w:rPr>
        <w:t>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4.3综合评分明细表</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4.3.1综合评分明细表的制定以科学合理、降低评委会自由裁量权为原则。</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4.3.2 综合评分明细表按须知表中的相关要求进行价格调整，再参与价格分评审。</w:t>
      </w:r>
    </w:p>
    <w:p>
      <w:pPr>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4.3.3综合评分明细表</w:t>
      </w:r>
    </w:p>
    <w:p>
      <w:pPr>
        <w:pStyle w:val="12"/>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详细评审标准表(总分100分)</w:t>
      </w:r>
    </w:p>
    <w:bookmarkEnd w:id="191"/>
    <w:bookmarkEnd w:id="192"/>
    <w:bookmarkEnd w:id="193"/>
    <w:bookmarkEnd w:id="194"/>
    <w:bookmarkEnd w:id="195"/>
    <w:tbl>
      <w:tblPr>
        <w:tblStyle w:val="32"/>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623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709" w:type="dxa"/>
            <w:vAlign w:val="center"/>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134" w:type="dxa"/>
            <w:vAlign w:val="center"/>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评分因素</w:t>
            </w:r>
          </w:p>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及权重</w:t>
            </w:r>
          </w:p>
        </w:tc>
        <w:tc>
          <w:tcPr>
            <w:tcW w:w="851" w:type="dxa"/>
            <w:vAlign w:val="center"/>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分值</w:t>
            </w:r>
          </w:p>
        </w:tc>
        <w:tc>
          <w:tcPr>
            <w:tcW w:w="6237" w:type="dxa"/>
            <w:vAlign w:val="center"/>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评分标准</w:t>
            </w:r>
          </w:p>
        </w:tc>
        <w:tc>
          <w:tcPr>
            <w:tcW w:w="850" w:type="dxa"/>
            <w:vAlign w:val="center"/>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0" w:hRule="atLeast"/>
        </w:trPr>
        <w:tc>
          <w:tcPr>
            <w:tcW w:w="709" w:type="dxa"/>
            <w:vAlign w:val="center"/>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134" w:type="dxa"/>
            <w:vAlign w:val="center"/>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报价30%</w:t>
            </w:r>
          </w:p>
        </w:tc>
        <w:tc>
          <w:tcPr>
            <w:tcW w:w="851" w:type="dxa"/>
            <w:vAlign w:val="center"/>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报价</w:t>
            </w:r>
          </w:p>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30分</w:t>
            </w:r>
          </w:p>
        </w:tc>
        <w:tc>
          <w:tcPr>
            <w:tcW w:w="6237" w:type="dxa"/>
          </w:tcPr>
          <w:p>
            <w:pPr>
              <w:spacing w:line="400" w:lineRule="atLeast"/>
              <w:ind w:firstLine="210" w:firstLineChars="10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以本次有效的最低投标总价为基准价，其价格分为满分30分.投标报价得分=(投标基准价／投标报价)*30%*100。</w:t>
            </w:r>
          </w:p>
          <w:p>
            <w:pPr>
              <w:spacing w:line="400" w:lineRule="atLeast"/>
              <w:ind w:firstLine="210" w:firstLineChars="10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注：1.小微企业（监狱企业、残疾人福利单位视同小微企业）价格扣除：根据财库[2020]46号文，对小型和微型企业（监狱企业、残疾人福利性单位视同小微企业）的价格给予10%的扣除，用扣除后的价格参与评标。</w:t>
            </w:r>
          </w:p>
          <w:p>
            <w:pPr>
              <w:spacing w:line="400" w:lineRule="atLeast"/>
              <w:ind w:firstLine="210" w:firstLineChars="10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2.失信企业扣分：对记入诚信档案且在有效期内的失信供应商，在参加政府采购活动中直接从总分中扣除5分/次予以惩戒，供应商失信行为惩戒实行无限制累加制，直到总分 100 分扣完为止。</w:t>
            </w:r>
          </w:p>
          <w:p>
            <w:pPr>
              <w:spacing w:line="400" w:lineRule="atLeast"/>
              <w:ind w:firstLine="210" w:firstLineChars="10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3.参加政府采购活动的投标人应提供中小企业应提供《中小企业声明函》；残疾人福利性单位应提供《残疾人福利性单位声明函》。</w:t>
            </w:r>
          </w:p>
          <w:p>
            <w:pPr>
              <w:spacing w:line="400" w:lineRule="atLeast"/>
              <w:ind w:firstLine="210" w:firstLineChars="10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4.投标人为监狱企业的，提供由省级以上监狱管理局、戒毒管理局出具的投标人属于监狱企业的证明文件复印件。</w:t>
            </w:r>
          </w:p>
          <w:p>
            <w:pPr>
              <w:spacing w:line="400" w:lineRule="atLeast"/>
              <w:ind w:firstLine="210" w:firstLineChars="100"/>
              <w:jc w:val="left"/>
              <w:rPr>
                <w:rFonts w:ascii="宋体" w:hAnsi="宋体" w:cs="宋体"/>
                <w:color w:val="auto"/>
                <w:szCs w:val="21"/>
                <w:highlight w:val="none"/>
              </w:rPr>
            </w:pPr>
            <w:r>
              <w:rPr>
                <w:rFonts w:hint="eastAsia" w:ascii="宋体" w:hAnsi="宋体" w:cs="宋体"/>
                <w:snapToGrid w:val="0"/>
                <w:color w:val="auto"/>
                <w:szCs w:val="21"/>
                <w:highlight w:val="none"/>
              </w:rPr>
              <w:t>注：残疾人福利性单位和监狱企业属于小型、微型企业的，不重复享受政策。</w:t>
            </w:r>
          </w:p>
        </w:tc>
        <w:tc>
          <w:tcPr>
            <w:tcW w:w="850" w:type="dxa"/>
            <w:vAlign w:val="center"/>
          </w:tcPr>
          <w:p>
            <w:pPr>
              <w:spacing w:line="400" w:lineRule="atLeast"/>
              <w:rPr>
                <w:rFonts w:ascii="宋体" w:hAnsi="宋体" w:cs="宋体"/>
                <w:snapToGrid w:val="0"/>
                <w:color w:val="auto"/>
                <w:szCs w:val="21"/>
                <w:highlight w:val="none"/>
              </w:rPr>
            </w:pPr>
            <w:r>
              <w:rPr>
                <w:rFonts w:hint="eastAsia" w:ascii="宋体" w:hAnsi="宋体" w:cs="宋体"/>
                <w:snapToGrid w:val="0"/>
                <w:color w:val="auto"/>
                <w:szCs w:val="21"/>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trPr>
        <w:tc>
          <w:tcPr>
            <w:tcW w:w="709" w:type="dxa"/>
            <w:vAlign w:val="center"/>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134" w:type="dxa"/>
            <w:vAlign w:val="center"/>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技术参数27%</w:t>
            </w:r>
          </w:p>
        </w:tc>
        <w:tc>
          <w:tcPr>
            <w:tcW w:w="851" w:type="dxa"/>
            <w:vAlign w:val="center"/>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技术参数27分</w:t>
            </w:r>
          </w:p>
        </w:tc>
        <w:tc>
          <w:tcPr>
            <w:tcW w:w="6237" w:type="dxa"/>
          </w:tcPr>
          <w:p>
            <w:pPr>
              <w:spacing w:line="400" w:lineRule="atLeast"/>
              <w:ind w:firstLine="210" w:firstLineChars="10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投标产品的技术指标和配置要求：完全满足招标文件中第六章（二、技术参数及配置要求）“▲”一项的得2分，“▲”要求参数共计9项，最多得18分；完全满足招标文件中第六章（二、技术参数及配置要求）中未带“▲”一项的得0.</w:t>
            </w:r>
            <w:r>
              <w:rPr>
                <w:rFonts w:hint="eastAsia" w:ascii="宋体" w:hAnsi="宋体" w:cs="宋体"/>
                <w:snapToGrid w:val="0"/>
                <w:color w:val="auto"/>
                <w:szCs w:val="21"/>
                <w:highlight w:val="none"/>
                <w:lang w:val="en-US" w:eastAsia="zh-CN"/>
              </w:rPr>
              <w:t>09</w:t>
            </w:r>
            <w:r>
              <w:rPr>
                <w:rFonts w:hint="eastAsia" w:ascii="宋体" w:hAnsi="宋体" w:cs="宋体"/>
                <w:snapToGrid w:val="0"/>
                <w:color w:val="auto"/>
                <w:szCs w:val="21"/>
                <w:highlight w:val="none"/>
              </w:rPr>
              <w:t>分，未带“▲”要求参数共计</w:t>
            </w:r>
            <w:r>
              <w:rPr>
                <w:rFonts w:hint="eastAsia" w:ascii="宋体" w:hAnsi="宋体" w:cs="宋体"/>
                <w:snapToGrid w:val="0"/>
                <w:color w:val="auto"/>
                <w:szCs w:val="21"/>
                <w:highlight w:val="none"/>
                <w:lang w:val="en-US" w:eastAsia="zh-CN"/>
              </w:rPr>
              <w:t>100</w:t>
            </w:r>
            <w:r>
              <w:rPr>
                <w:rFonts w:hint="eastAsia" w:ascii="宋体" w:hAnsi="宋体" w:cs="宋体"/>
                <w:snapToGrid w:val="0"/>
                <w:color w:val="auto"/>
                <w:szCs w:val="21"/>
                <w:highlight w:val="none"/>
              </w:rPr>
              <w:t>项，最多得9分。</w:t>
            </w:r>
          </w:p>
          <w:p>
            <w:pPr>
              <w:spacing w:line="400" w:lineRule="atLeast"/>
              <w:ind w:firstLine="210" w:firstLineChars="10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注：带“▲”参数按（二、技术参数及配置要求）中要求提供证明材料加盖投标人公章；未带“▲”参数提供技术说明书加盖投标人公章。</w:t>
            </w:r>
          </w:p>
        </w:tc>
        <w:tc>
          <w:tcPr>
            <w:tcW w:w="850" w:type="dxa"/>
            <w:vAlign w:val="center"/>
          </w:tcPr>
          <w:p>
            <w:pPr>
              <w:spacing w:line="400" w:lineRule="atLeas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trPr>
        <w:tc>
          <w:tcPr>
            <w:tcW w:w="709" w:type="dxa"/>
            <w:vMerge w:val="restart"/>
            <w:vAlign w:val="center"/>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134" w:type="dxa"/>
            <w:vMerge w:val="restart"/>
            <w:vAlign w:val="center"/>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szCs w:val="21"/>
                <w:highlight w:val="none"/>
              </w:rPr>
              <w:t>服务方案3</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p>
        </w:tc>
        <w:tc>
          <w:tcPr>
            <w:tcW w:w="851" w:type="dxa"/>
            <w:vAlign w:val="center"/>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设备改造及运维</w:t>
            </w:r>
            <w:r>
              <w:rPr>
                <w:rFonts w:hint="eastAsia" w:ascii="宋体" w:hAnsi="宋体" w:cs="宋体"/>
                <w:color w:val="auto"/>
                <w:kern w:val="0"/>
                <w:szCs w:val="21"/>
                <w:highlight w:val="none"/>
              </w:rPr>
              <w:t>方案1</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w:t>
            </w:r>
          </w:p>
        </w:tc>
        <w:tc>
          <w:tcPr>
            <w:tcW w:w="6237" w:type="dxa"/>
          </w:tcPr>
          <w:p>
            <w:pPr>
              <w:spacing w:line="400" w:lineRule="atLeas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投标人根据本项目的内容及要求编制</w:t>
            </w:r>
            <w:r>
              <w:rPr>
                <w:rFonts w:hint="eastAsia" w:ascii="宋体" w:hAnsi="宋体" w:cs="宋体"/>
                <w:color w:val="auto"/>
                <w:szCs w:val="21"/>
                <w:highlight w:val="none"/>
                <w:lang w:val="en-US" w:eastAsia="zh-CN"/>
              </w:rPr>
              <w:t>设备改造及</w:t>
            </w:r>
            <w:r>
              <w:rPr>
                <w:rFonts w:hint="eastAsia" w:ascii="宋体" w:hAnsi="宋体" w:cs="宋体"/>
                <w:color w:val="auto"/>
                <w:szCs w:val="21"/>
                <w:highlight w:val="none"/>
              </w:rPr>
              <w:t>运维服务方案：①</w:t>
            </w:r>
            <w:r>
              <w:rPr>
                <w:rFonts w:hint="eastAsia" w:ascii="宋体" w:hAnsi="宋体" w:cs="宋体"/>
                <w:color w:val="auto"/>
                <w:szCs w:val="21"/>
                <w:highlight w:val="none"/>
                <w:lang w:val="en-US" w:eastAsia="zh-CN"/>
              </w:rPr>
              <w:t>设备及车辆改造技术方案</w:t>
            </w:r>
            <w:r>
              <w:rPr>
                <w:rFonts w:hint="eastAsia" w:ascii="宋体" w:hAnsi="宋体" w:cs="宋体"/>
                <w:color w:val="auto"/>
                <w:szCs w:val="21"/>
                <w:highlight w:val="none"/>
              </w:rPr>
              <w:t>②运维服务团队管理制度、③巡检技术手段、④仪器指标的周期性质量控制、⑤数据分析的质量控制和处理、⑥维护档案的建立、⑦应急措施方案进行阐述，方案完善、操作性强的得1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分；每有一项缺失的扣1分，每有一项不完善或操作性不强的扣2分，本项最多得1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c>
          <w:tcPr>
            <w:tcW w:w="850" w:type="dxa"/>
            <w:vAlign w:val="center"/>
          </w:tcPr>
          <w:p>
            <w:pPr>
              <w:spacing w:line="400" w:lineRule="atLeas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trPr>
        <w:tc>
          <w:tcPr>
            <w:tcW w:w="709" w:type="dxa"/>
            <w:vMerge w:val="continue"/>
            <w:vAlign w:val="center"/>
          </w:tcPr>
          <w:p>
            <w:pPr>
              <w:widowControl/>
              <w:spacing w:line="400" w:lineRule="atLeast"/>
              <w:jc w:val="center"/>
              <w:rPr>
                <w:rFonts w:ascii="宋体" w:hAnsi="宋体" w:cs="宋体"/>
                <w:color w:val="auto"/>
                <w:kern w:val="0"/>
                <w:szCs w:val="21"/>
                <w:highlight w:val="none"/>
              </w:rPr>
            </w:pPr>
          </w:p>
        </w:tc>
        <w:tc>
          <w:tcPr>
            <w:tcW w:w="1134" w:type="dxa"/>
            <w:vMerge w:val="continue"/>
            <w:vAlign w:val="center"/>
          </w:tcPr>
          <w:p>
            <w:pPr>
              <w:widowControl/>
              <w:spacing w:line="400" w:lineRule="atLeast"/>
              <w:jc w:val="center"/>
              <w:rPr>
                <w:rFonts w:ascii="宋体" w:hAnsi="宋体" w:cs="宋体"/>
                <w:color w:val="auto"/>
                <w:szCs w:val="21"/>
                <w:highlight w:val="none"/>
              </w:rPr>
            </w:pPr>
          </w:p>
        </w:tc>
        <w:tc>
          <w:tcPr>
            <w:tcW w:w="851" w:type="dxa"/>
            <w:vAlign w:val="center"/>
          </w:tcPr>
          <w:p>
            <w:pPr>
              <w:widowControl/>
              <w:spacing w:line="400" w:lineRule="atLeast"/>
              <w:jc w:val="center"/>
              <w:rPr>
                <w:rFonts w:ascii="宋体" w:hAnsi="宋体" w:cs="宋体"/>
                <w:color w:val="auto"/>
                <w:szCs w:val="21"/>
                <w:highlight w:val="none"/>
              </w:rPr>
            </w:pPr>
            <w:r>
              <w:rPr>
                <w:rFonts w:hint="eastAsia" w:ascii="宋体" w:hAnsi="宋体" w:cs="宋体"/>
                <w:color w:val="auto"/>
                <w:szCs w:val="21"/>
                <w:highlight w:val="none"/>
              </w:rPr>
              <w:t>售后服务方案</w:t>
            </w:r>
          </w:p>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9分</w:t>
            </w:r>
          </w:p>
        </w:tc>
        <w:tc>
          <w:tcPr>
            <w:tcW w:w="6237" w:type="dxa"/>
          </w:tcPr>
          <w:p>
            <w:pPr>
              <w:spacing w:line="400" w:lineRule="atLeas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投标人根据本项目的内容及要求编制售后服务方案：①售后服务管理制度②售后服务范围③售后服务保障进行阐述，方案完善、操作性强的得9分；每有一项缺失扣3分；每有一项缺失的扣3分，每有一项不完善或操作性不强的扣1.5分，本项最多得9分。</w:t>
            </w:r>
          </w:p>
        </w:tc>
        <w:tc>
          <w:tcPr>
            <w:tcW w:w="850" w:type="dxa"/>
            <w:vAlign w:val="center"/>
          </w:tcPr>
          <w:p>
            <w:pPr>
              <w:spacing w:line="400" w:lineRule="atLeas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trPr>
        <w:tc>
          <w:tcPr>
            <w:tcW w:w="709" w:type="dxa"/>
            <w:vMerge w:val="continue"/>
            <w:vAlign w:val="center"/>
          </w:tcPr>
          <w:p>
            <w:pPr>
              <w:widowControl/>
              <w:spacing w:line="400" w:lineRule="atLeast"/>
              <w:jc w:val="center"/>
              <w:rPr>
                <w:rFonts w:ascii="宋体" w:hAnsi="宋体" w:cs="宋体"/>
                <w:color w:val="auto"/>
                <w:kern w:val="0"/>
                <w:szCs w:val="21"/>
                <w:highlight w:val="none"/>
              </w:rPr>
            </w:pPr>
          </w:p>
        </w:tc>
        <w:tc>
          <w:tcPr>
            <w:tcW w:w="1134" w:type="dxa"/>
            <w:vMerge w:val="continue"/>
            <w:vAlign w:val="center"/>
          </w:tcPr>
          <w:p>
            <w:pPr>
              <w:widowControl/>
              <w:spacing w:line="400" w:lineRule="atLeast"/>
              <w:jc w:val="center"/>
              <w:rPr>
                <w:rFonts w:ascii="宋体" w:hAnsi="宋体" w:cs="宋体"/>
                <w:color w:val="auto"/>
                <w:szCs w:val="21"/>
                <w:highlight w:val="none"/>
              </w:rPr>
            </w:pPr>
          </w:p>
        </w:tc>
        <w:tc>
          <w:tcPr>
            <w:tcW w:w="851" w:type="dxa"/>
            <w:vAlign w:val="center"/>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培训服务方案</w:t>
            </w:r>
          </w:p>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9分</w:t>
            </w:r>
          </w:p>
        </w:tc>
        <w:tc>
          <w:tcPr>
            <w:tcW w:w="6237" w:type="dxa"/>
          </w:tcPr>
          <w:p>
            <w:pPr>
              <w:spacing w:line="400" w:lineRule="atLeas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投标人根据本项目的内容及要求编制培训服务方案：①培训人员安排②培训管理制度③培训内容及技术措施进行阐述，方案完善、操作性强的得9分；每有一项缺失扣3分；每有一项缺失的扣3分，每有一项不完善或操作性不强的扣1.5分，本项最多得9分。</w:t>
            </w:r>
          </w:p>
        </w:tc>
        <w:tc>
          <w:tcPr>
            <w:tcW w:w="850" w:type="dxa"/>
            <w:vAlign w:val="center"/>
          </w:tcPr>
          <w:p>
            <w:pPr>
              <w:spacing w:line="400" w:lineRule="atLeas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trPr>
        <w:tc>
          <w:tcPr>
            <w:tcW w:w="709" w:type="dxa"/>
            <w:vMerge w:val="restart"/>
            <w:tcBorders>
              <w:top w:val="single" w:color="auto" w:sz="4" w:space="0"/>
              <w:left w:val="single" w:color="auto" w:sz="4" w:space="0"/>
              <w:right w:val="single" w:color="auto" w:sz="4" w:space="0"/>
            </w:tcBorders>
            <w:vAlign w:val="center"/>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134" w:type="dxa"/>
            <w:vMerge w:val="restart"/>
            <w:tcBorders>
              <w:top w:val="single" w:color="auto" w:sz="4" w:space="0"/>
              <w:left w:val="single" w:color="auto" w:sz="4" w:space="0"/>
              <w:right w:val="single" w:color="auto" w:sz="4" w:space="0"/>
            </w:tcBorders>
            <w:vAlign w:val="center"/>
          </w:tcPr>
          <w:p>
            <w:pPr>
              <w:widowControl/>
              <w:snapToGrid w:val="0"/>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履约能力</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w:t>
            </w:r>
          </w:p>
        </w:tc>
        <w:tc>
          <w:tcPr>
            <w:tcW w:w="851" w:type="dxa"/>
            <w:tcBorders>
              <w:top w:val="single" w:color="auto" w:sz="4" w:space="0"/>
              <w:left w:val="single" w:color="auto" w:sz="4" w:space="0"/>
              <w:right w:val="single" w:color="auto" w:sz="4" w:space="0"/>
            </w:tcBorders>
            <w:vAlign w:val="center"/>
          </w:tcPr>
          <w:p>
            <w:pPr>
              <w:widowControl/>
              <w:snapToGrid w:val="0"/>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业绩</w:t>
            </w:r>
          </w:p>
          <w:p>
            <w:pPr>
              <w:widowControl/>
              <w:snapToGrid w:val="0"/>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w:t>
            </w:r>
          </w:p>
        </w:tc>
        <w:tc>
          <w:tcPr>
            <w:tcW w:w="6237" w:type="dxa"/>
            <w:tcBorders>
              <w:top w:val="single" w:color="auto" w:sz="4" w:space="0"/>
              <w:left w:val="single" w:color="auto" w:sz="4" w:space="0"/>
              <w:right w:val="single" w:color="auto" w:sz="4" w:space="0"/>
            </w:tcBorders>
          </w:tcPr>
          <w:p>
            <w:pPr>
              <w:spacing w:line="400" w:lineRule="atLeast"/>
              <w:ind w:firstLine="210" w:firstLineChars="100"/>
              <w:rPr>
                <w:rFonts w:ascii="宋体" w:hAnsi="宋体" w:cs="宋体"/>
                <w:color w:val="auto"/>
                <w:szCs w:val="21"/>
                <w:highlight w:val="none"/>
              </w:rPr>
            </w:pPr>
            <w:r>
              <w:rPr>
                <w:rFonts w:hint="eastAsia" w:ascii="宋体" w:hAnsi="宋体" w:cs="宋体"/>
                <w:color w:val="auto"/>
                <w:szCs w:val="21"/>
                <w:highlight w:val="none"/>
              </w:rPr>
              <w:t>投标人或产品制造商自2018年1月1日至投标截止之日每具有一个类似业绩的得1分，本项最多得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pPr>
              <w:spacing w:line="400" w:lineRule="atLeast"/>
              <w:ind w:firstLine="210" w:firstLineChars="100"/>
              <w:rPr>
                <w:rFonts w:ascii="宋体" w:hAnsi="宋体" w:cs="宋体"/>
                <w:color w:val="auto"/>
                <w:highlight w:val="none"/>
              </w:rPr>
            </w:pPr>
            <w:r>
              <w:rPr>
                <w:rFonts w:hint="eastAsia" w:ascii="宋体" w:hAnsi="宋体" w:cs="宋体"/>
                <w:color w:val="auto"/>
                <w:szCs w:val="21"/>
                <w:highlight w:val="none"/>
              </w:rPr>
              <w:t>注：以合同签订时间为准，提供合同复印件并加盖供应公章.</w:t>
            </w:r>
          </w:p>
        </w:tc>
        <w:tc>
          <w:tcPr>
            <w:tcW w:w="850" w:type="dxa"/>
            <w:vMerge w:val="restart"/>
            <w:tcBorders>
              <w:top w:val="single" w:color="auto" w:sz="4" w:space="0"/>
              <w:left w:val="single" w:color="auto" w:sz="4" w:space="0"/>
              <w:right w:val="single" w:color="auto" w:sz="4" w:space="0"/>
            </w:tcBorders>
            <w:vAlign w:val="center"/>
          </w:tcPr>
          <w:p>
            <w:pPr>
              <w:widowControl/>
              <w:snapToGrid w:val="0"/>
              <w:spacing w:line="400" w:lineRule="atLeast"/>
              <w:rPr>
                <w:rFonts w:ascii="宋体" w:hAnsi="宋体" w:cs="宋体"/>
                <w:snapToGrid w:val="0"/>
                <w:color w:val="auto"/>
                <w:kern w:val="0"/>
                <w:szCs w:val="21"/>
                <w:highlight w:val="none"/>
              </w:rPr>
            </w:pPr>
            <w:r>
              <w:rPr>
                <w:rFonts w:hint="eastAsia" w:ascii="宋体" w:hAnsi="宋体" w:cs="宋体"/>
                <w:snapToGrid w:val="0"/>
                <w:color w:val="auto"/>
                <w:szCs w:val="21"/>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709" w:type="dxa"/>
            <w:vMerge w:val="continue"/>
            <w:tcBorders>
              <w:left w:val="single" w:color="auto" w:sz="4" w:space="0"/>
              <w:right w:val="single" w:color="auto" w:sz="4" w:space="0"/>
            </w:tcBorders>
            <w:vAlign w:val="center"/>
          </w:tcPr>
          <w:p>
            <w:pPr>
              <w:widowControl/>
              <w:spacing w:line="400" w:lineRule="atLeast"/>
              <w:jc w:val="center"/>
              <w:rPr>
                <w:rFonts w:ascii="宋体" w:hAnsi="宋体" w:cs="宋体"/>
                <w:color w:val="auto"/>
                <w:kern w:val="0"/>
                <w:szCs w:val="21"/>
                <w:highlight w:val="none"/>
              </w:rPr>
            </w:pPr>
          </w:p>
        </w:tc>
        <w:tc>
          <w:tcPr>
            <w:tcW w:w="1134" w:type="dxa"/>
            <w:vMerge w:val="continue"/>
            <w:tcBorders>
              <w:left w:val="single" w:color="auto" w:sz="4" w:space="0"/>
              <w:right w:val="single" w:color="auto" w:sz="4" w:space="0"/>
            </w:tcBorders>
            <w:vAlign w:val="center"/>
          </w:tcPr>
          <w:p>
            <w:pPr>
              <w:widowControl/>
              <w:snapToGrid w:val="0"/>
              <w:spacing w:line="400" w:lineRule="atLeast"/>
              <w:jc w:val="center"/>
              <w:rPr>
                <w:rFonts w:ascii="宋体" w:hAnsi="宋体" w:cs="宋体"/>
                <w:color w:val="auto"/>
                <w:kern w:val="0"/>
                <w:szCs w:val="21"/>
                <w:highlight w:val="none"/>
              </w:rPr>
            </w:pPr>
          </w:p>
        </w:tc>
        <w:tc>
          <w:tcPr>
            <w:tcW w:w="851" w:type="dxa"/>
            <w:tcBorders>
              <w:top w:val="single" w:color="auto" w:sz="4" w:space="0"/>
              <w:left w:val="single" w:color="auto" w:sz="4" w:space="0"/>
              <w:right w:val="single" w:color="auto" w:sz="4" w:space="0"/>
            </w:tcBorders>
            <w:vAlign w:val="center"/>
          </w:tcPr>
          <w:p>
            <w:pPr>
              <w:widowControl/>
              <w:snapToGrid w:val="0"/>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企业实力</w:t>
            </w:r>
          </w:p>
          <w:p>
            <w:pPr>
              <w:widowControl/>
              <w:snapToGrid w:val="0"/>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p>
        </w:tc>
        <w:tc>
          <w:tcPr>
            <w:tcW w:w="6237" w:type="dxa"/>
            <w:tcBorders>
              <w:top w:val="single" w:color="auto" w:sz="4" w:space="0"/>
              <w:left w:val="single" w:color="auto" w:sz="4" w:space="0"/>
              <w:right w:val="single" w:color="auto" w:sz="4" w:space="0"/>
            </w:tcBorders>
          </w:tcPr>
          <w:p>
            <w:pPr>
              <w:widowControl/>
              <w:numPr>
                <w:ilvl w:val="255"/>
                <w:numId w:val="0"/>
              </w:numPr>
              <w:spacing w:line="400" w:lineRule="atLeast"/>
              <w:ind w:left="210" w:leftChars="100" w:firstLine="0" w:firstLineChars="0"/>
              <w:jc w:val="left"/>
              <w:rPr>
                <w:rFonts w:hint="default" w:ascii="宋体" w:hAnsi="宋体" w:eastAsia="宋体" w:cs="宋体"/>
                <w:color w:val="auto"/>
                <w:kern w:val="0"/>
                <w:sz w:val="22"/>
                <w:szCs w:val="21"/>
                <w:highlight w:val="none"/>
                <w:lang w:val="en-US" w:eastAsia="zh-CN"/>
              </w:rPr>
            </w:pPr>
            <w:r>
              <w:rPr>
                <w:rFonts w:hint="eastAsia" w:ascii="宋体" w:hAnsi="宋体" w:eastAsia="宋体" w:cs="宋体"/>
                <w:color w:val="auto"/>
                <w:kern w:val="0"/>
                <w:sz w:val="22"/>
                <w:szCs w:val="21"/>
                <w:highlight w:val="none"/>
              </w:rPr>
              <w:t>投标人或产品制造商</w:t>
            </w:r>
            <w:r>
              <w:rPr>
                <w:rFonts w:hint="eastAsia" w:ascii="宋体" w:hAnsi="宋体" w:cs="宋体"/>
                <w:color w:val="auto"/>
                <w:kern w:val="0"/>
                <w:sz w:val="22"/>
                <w:szCs w:val="21"/>
                <w:highlight w:val="none"/>
              </w:rPr>
              <w:t>具有有效期内的质量体系认证证书得</w:t>
            </w:r>
            <w:r>
              <w:rPr>
                <w:rFonts w:ascii="宋体" w:hAnsi="宋体" w:cs="宋体"/>
                <w:color w:val="auto"/>
                <w:kern w:val="0"/>
                <w:sz w:val="22"/>
                <w:szCs w:val="21"/>
                <w:highlight w:val="none"/>
              </w:rPr>
              <w:t>1分</w:t>
            </w:r>
            <w:r>
              <w:rPr>
                <w:rFonts w:hint="eastAsia" w:ascii="宋体" w:hAnsi="宋体" w:cs="宋体"/>
                <w:color w:val="auto"/>
                <w:kern w:val="0"/>
                <w:sz w:val="22"/>
                <w:szCs w:val="21"/>
                <w:highlight w:val="none"/>
                <w:lang w:eastAsia="zh-CN"/>
              </w:rPr>
              <w:t>，</w:t>
            </w:r>
            <w:r>
              <w:rPr>
                <w:rFonts w:hint="eastAsia" w:ascii="宋体" w:hAnsi="宋体" w:cs="宋体"/>
                <w:color w:val="auto"/>
                <w:kern w:val="0"/>
                <w:sz w:val="22"/>
                <w:szCs w:val="21"/>
                <w:highlight w:val="none"/>
                <w:lang w:val="en-US" w:eastAsia="zh-CN"/>
              </w:rPr>
              <w:t>具有有效内的</w:t>
            </w:r>
            <w:r>
              <w:rPr>
                <w:rFonts w:hint="eastAsia" w:ascii="宋体" w:hAnsi="宋体" w:cs="宋体"/>
                <w:color w:val="auto"/>
                <w:kern w:val="0"/>
                <w:sz w:val="22"/>
                <w:szCs w:val="21"/>
                <w:highlight w:val="none"/>
              </w:rPr>
              <w:t>环境管理体系认证证书得</w:t>
            </w:r>
            <w:r>
              <w:rPr>
                <w:rFonts w:ascii="宋体" w:hAnsi="宋体" w:cs="宋体"/>
                <w:color w:val="auto"/>
                <w:kern w:val="0"/>
                <w:sz w:val="22"/>
                <w:szCs w:val="21"/>
                <w:highlight w:val="none"/>
              </w:rPr>
              <w:t>1分</w:t>
            </w:r>
            <w:r>
              <w:rPr>
                <w:rFonts w:hint="eastAsia" w:ascii="宋体" w:hAnsi="宋体" w:cs="宋体"/>
                <w:color w:val="auto"/>
                <w:kern w:val="0"/>
                <w:sz w:val="22"/>
                <w:szCs w:val="21"/>
                <w:highlight w:val="none"/>
              </w:rPr>
              <w:t>。</w:t>
            </w:r>
            <w:r>
              <w:rPr>
                <w:rFonts w:hint="eastAsia" w:ascii="宋体" w:hAnsi="宋体" w:cs="宋体"/>
                <w:color w:val="auto"/>
                <w:kern w:val="0"/>
                <w:sz w:val="22"/>
                <w:szCs w:val="21"/>
                <w:highlight w:val="none"/>
                <w:lang w:val="en-US" w:eastAsia="zh-CN"/>
              </w:rPr>
              <w:t>最多得2分。</w:t>
            </w:r>
          </w:p>
          <w:p>
            <w:pPr>
              <w:spacing w:line="400" w:lineRule="atLeast"/>
              <w:ind w:firstLine="210" w:firstLineChars="100"/>
              <w:rPr>
                <w:rFonts w:ascii="宋体" w:hAnsi="宋体" w:cs="宋体"/>
                <w:color w:val="auto"/>
                <w:szCs w:val="21"/>
                <w:highlight w:val="none"/>
              </w:rPr>
            </w:pPr>
            <w:r>
              <w:rPr>
                <w:rFonts w:hint="eastAsia" w:ascii="宋体" w:hAnsi="宋体" w:cs="宋体"/>
                <w:color w:val="auto"/>
                <w:szCs w:val="21"/>
                <w:highlight w:val="none"/>
              </w:rPr>
              <w:t>注：提供证书复印件加盖投标人公章</w:t>
            </w:r>
            <w:r>
              <w:rPr>
                <w:rFonts w:hint="eastAsia" w:ascii="宋体" w:hAnsi="宋体" w:cs="宋体"/>
                <w:color w:val="auto"/>
                <w:sz w:val="20"/>
                <w:szCs w:val="20"/>
                <w:highlight w:val="none"/>
                <w:lang w:eastAsia="zh-CN"/>
              </w:rPr>
              <w:t>。</w:t>
            </w:r>
          </w:p>
        </w:tc>
        <w:tc>
          <w:tcPr>
            <w:tcW w:w="850" w:type="dxa"/>
            <w:vMerge w:val="continue"/>
            <w:tcBorders>
              <w:left w:val="single" w:color="auto" w:sz="4" w:space="0"/>
              <w:right w:val="single" w:color="auto" w:sz="4" w:space="0"/>
            </w:tcBorders>
            <w:vAlign w:val="center"/>
          </w:tcPr>
          <w:p>
            <w:pPr>
              <w:widowControl/>
              <w:snapToGrid w:val="0"/>
              <w:spacing w:line="400" w:lineRule="atLeast"/>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709" w:type="dxa"/>
            <w:vMerge w:val="continue"/>
            <w:tcBorders>
              <w:left w:val="single" w:color="auto" w:sz="4" w:space="0"/>
              <w:right w:val="single" w:color="auto" w:sz="4" w:space="0"/>
            </w:tcBorders>
            <w:vAlign w:val="center"/>
          </w:tcPr>
          <w:p>
            <w:pPr>
              <w:widowControl/>
              <w:spacing w:line="400" w:lineRule="atLeast"/>
              <w:jc w:val="center"/>
              <w:rPr>
                <w:rFonts w:ascii="宋体" w:hAnsi="宋体" w:cs="宋体"/>
                <w:color w:val="auto"/>
                <w:kern w:val="0"/>
                <w:szCs w:val="21"/>
                <w:highlight w:val="none"/>
              </w:rPr>
            </w:pPr>
          </w:p>
        </w:tc>
        <w:tc>
          <w:tcPr>
            <w:tcW w:w="1134" w:type="dxa"/>
            <w:vMerge w:val="continue"/>
            <w:tcBorders>
              <w:left w:val="single" w:color="auto" w:sz="4" w:space="0"/>
              <w:right w:val="single" w:color="auto" w:sz="4" w:space="0"/>
            </w:tcBorders>
            <w:vAlign w:val="center"/>
          </w:tcPr>
          <w:p>
            <w:pPr>
              <w:widowControl/>
              <w:snapToGrid w:val="0"/>
              <w:spacing w:line="400" w:lineRule="atLeast"/>
              <w:jc w:val="center"/>
              <w:rPr>
                <w:rFonts w:ascii="宋体" w:hAnsi="宋体" w:cs="宋体"/>
                <w:color w:val="auto"/>
                <w:kern w:val="0"/>
                <w:szCs w:val="21"/>
                <w:highlight w:val="none"/>
              </w:rPr>
            </w:pPr>
          </w:p>
        </w:tc>
        <w:tc>
          <w:tcPr>
            <w:tcW w:w="851" w:type="dxa"/>
            <w:tcBorders>
              <w:top w:val="single" w:color="auto" w:sz="4" w:space="0"/>
              <w:left w:val="single" w:color="auto" w:sz="4" w:space="0"/>
              <w:right w:val="single" w:color="auto" w:sz="4" w:space="0"/>
            </w:tcBorders>
            <w:vAlign w:val="center"/>
          </w:tcPr>
          <w:p>
            <w:pPr>
              <w:widowControl/>
              <w:snapToGrid w:val="0"/>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技术人员配置</w:t>
            </w:r>
          </w:p>
          <w:p>
            <w:pPr>
              <w:widowControl/>
              <w:snapToGrid w:val="0"/>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w:t>
            </w:r>
          </w:p>
        </w:tc>
        <w:tc>
          <w:tcPr>
            <w:tcW w:w="6237" w:type="dxa"/>
            <w:tcBorders>
              <w:top w:val="single" w:color="auto" w:sz="4" w:space="0"/>
              <w:left w:val="single" w:color="auto" w:sz="4" w:space="0"/>
              <w:right w:val="single" w:color="auto" w:sz="4" w:space="0"/>
            </w:tcBorders>
          </w:tcPr>
          <w:p>
            <w:pPr>
              <w:widowControl/>
              <w:spacing w:line="400" w:lineRule="atLeast"/>
              <w:ind w:firstLine="220" w:firstLineChars="100"/>
              <w:jc w:val="left"/>
              <w:rPr>
                <w:rFonts w:ascii="宋体" w:hAnsi="宋体" w:cs="宋体"/>
                <w:color w:val="auto"/>
                <w:kern w:val="0"/>
                <w:sz w:val="22"/>
                <w:szCs w:val="21"/>
                <w:highlight w:val="none"/>
              </w:rPr>
            </w:pPr>
            <w:r>
              <w:rPr>
                <w:rFonts w:hint="eastAsia" w:ascii="宋体" w:hAnsi="宋体" w:cs="宋体"/>
                <w:color w:val="auto"/>
                <w:kern w:val="0"/>
                <w:sz w:val="22"/>
                <w:szCs w:val="21"/>
                <w:highlight w:val="none"/>
                <w:lang w:val="en-US" w:eastAsia="zh-CN"/>
              </w:rPr>
              <w:t>投标人拟派的技术人员中每</w:t>
            </w:r>
            <w:r>
              <w:rPr>
                <w:rFonts w:hint="eastAsia" w:ascii="宋体" w:hAnsi="宋体" w:cs="宋体"/>
                <w:color w:val="auto"/>
                <w:kern w:val="0"/>
                <w:sz w:val="22"/>
                <w:szCs w:val="21"/>
                <w:highlight w:val="none"/>
              </w:rPr>
              <w:t>具备</w:t>
            </w:r>
            <w:r>
              <w:rPr>
                <w:rFonts w:hint="eastAsia" w:ascii="宋体" w:hAnsi="宋体" w:cs="宋体"/>
                <w:color w:val="auto"/>
                <w:kern w:val="0"/>
                <w:sz w:val="22"/>
                <w:szCs w:val="21"/>
                <w:highlight w:val="none"/>
                <w:lang w:val="en-US" w:eastAsia="zh-CN"/>
              </w:rPr>
              <w:t>一名</w:t>
            </w:r>
            <w:r>
              <w:rPr>
                <w:rFonts w:hint="eastAsia" w:ascii="宋体" w:hAnsi="宋体" w:cs="宋体"/>
                <w:color w:val="auto"/>
                <w:kern w:val="0"/>
                <w:sz w:val="22"/>
                <w:szCs w:val="21"/>
                <w:highlight w:val="none"/>
              </w:rPr>
              <w:t>高级或以上工程师职称</w:t>
            </w:r>
            <w:r>
              <w:rPr>
                <w:rFonts w:hint="eastAsia" w:ascii="宋体" w:hAnsi="宋体" w:cs="宋体"/>
                <w:color w:val="auto"/>
                <w:kern w:val="0"/>
                <w:sz w:val="22"/>
                <w:szCs w:val="21"/>
                <w:highlight w:val="none"/>
                <w:lang w:val="en-US" w:eastAsia="zh-CN"/>
              </w:rPr>
              <w:t>1分</w:t>
            </w:r>
            <w:r>
              <w:rPr>
                <w:rFonts w:hint="eastAsia" w:ascii="宋体" w:hAnsi="宋体" w:cs="宋体"/>
                <w:color w:val="auto"/>
                <w:kern w:val="0"/>
                <w:sz w:val="22"/>
                <w:szCs w:val="21"/>
                <w:highlight w:val="none"/>
              </w:rPr>
              <w:t>，最多得</w:t>
            </w:r>
            <w:r>
              <w:rPr>
                <w:rFonts w:ascii="宋体" w:hAnsi="宋体" w:cs="宋体"/>
                <w:color w:val="auto"/>
                <w:kern w:val="0"/>
                <w:sz w:val="22"/>
                <w:szCs w:val="21"/>
                <w:highlight w:val="none"/>
              </w:rPr>
              <w:t>3</w:t>
            </w:r>
            <w:r>
              <w:rPr>
                <w:rFonts w:hint="eastAsia" w:ascii="宋体" w:hAnsi="宋体" w:cs="宋体"/>
                <w:color w:val="auto"/>
                <w:kern w:val="0"/>
                <w:sz w:val="22"/>
                <w:szCs w:val="21"/>
                <w:highlight w:val="none"/>
              </w:rPr>
              <w:t>分。</w:t>
            </w:r>
          </w:p>
          <w:p>
            <w:pPr>
              <w:spacing w:line="400" w:lineRule="atLeast"/>
              <w:ind w:firstLine="210" w:firstLineChars="100"/>
              <w:rPr>
                <w:rFonts w:ascii="宋体" w:hAnsi="宋体" w:cs="宋体"/>
                <w:color w:val="auto"/>
                <w:szCs w:val="21"/>
                <w:highlight w:val="none"/>
              </w:rPr>
            </w:pPr>
            <w:r>
              <w:rPr>
                <w:rFonts w:hint="eastAsia" w:ascii="宋体" w:hAnsi="宋体" w:cs="宋体"/>
                <w:color w:val="auto"/>
                <w:szCs w:val="21"/>
                <w:highlight w:val="none"/>
              </w:rPr>
              <w:t>注：以上人员不得重复计分，拟派人员须为本单位人员提供相关证明材料，提供证书复印件加盖公章。</w:t>
            </w:r>
          </w:p>
        </w:tc>
        <w:tc>
          <w:tcPr>
            <w:tcW w:w="850" w:type="dxa"/>
            <w:vMerge w:val="continue"/>
            <w:tcBorders>
              <w:left w:val="single" w:color="auto" w:sz="4" w:space="0"/>
              <w:right w:val="single" w:color="auto" w:sz="4" w:space="0"/>
            </w:tcBorders>
            <w:vAlign w:val="center"/>
          </w:tcPr>
          <w:p>
            <w:pPr>
              <w:widowControl/>
              <w:snapToGrid w:val="0"/>
              <w:spacing w:line="400" w:lineRule="atLeast"/>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9" w:hRule="atLeast"/>
        </w:trPr>
        <w:tc>
          <w:tcPr>
            <w:tcW w:w="709" w:type="dxa"/>
            <w:tcBorders>
              <w:top w:val="single" w:color="auto" w:sz="4" w:space="0"/>
              <w:left w:val="single" w:color="auto" w:sz="4" w:space="0"/>
              <w:right w:val="single" w:color="auto" w:sz="4" w:space="0"/>
            </w:tcBorders>
            <w:vAlign w:val="center"/>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134" w:type="dxa"/>
            <w:tcBorders>
              <w:top w:val="single" w:color="auto" w:sz="4" w:space="0"/>
              <w:left w:val="single" w:color="auto" w:sz="4" w:space="0"/>
              <w:right w:val="single" w:color="auto" w:sz="4" w:space="0"/>
            </w:tcBorders>
            <w:vAlign w:val="center"/>
          </w:tcPr>
          <w:p>
            <w:pPr>
              <w:widowControl/>
              <w:snapToGrid w:val="0"/>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节能、环境标志、无线局域网产品</w:t>
            </w:r>
          </w:p>
          <w:p>
            <w:pPr>
              <w:widowControl/>
              <w:snapToGrid w:val="0"/>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51" w:type="dxa"/>
            <w:tcBorders>
              <w:top w:val="single" w:color="auto" w:sz="4" w:space="0"/>
              <w:left w:val="single" w:color="auto" w:sz="4" w:space="0"/>
              <w:right w:val="single" w:color="auto" w:sz="4" w:space="0"/>
            </w:tcBorders>
            <w:vAlign w:val="center"/>
          </w:tcPr>
          <w:p>
            <w:pPr>
              <w:widowControl/>
              <w:snapToGrid w:val="0"/>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节能、环境标志、无线局域网产品</w:t>
            </w:r>
          </w:p>
          <w:p>
            <w:pPr>
              <w:widowControl/>
              <w:snapToGrid w:val="0"/>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2分</w:t>
            </w:r>
          </w:p>
        </w:tc>
        <w:tc>
          <w:tcPr>
            <w:tcW w:w="6237" w:type="dxa"/>
            <w:tcBorders>
              <w:top w:val="single" w:color="auto" w:sz="4" w:space="0"/>
              <w:left w:val="single" w:color="auto" w:sz="4" w:space="0"/>
              <w:right w:val="single" w:color="auto" w:sz="4" w:space="0"/>
            </w:tcBorders>
          </w:tcPr>
          <w:p>
            <w:pPr>
              <w:widowControl/>
              <w:snapToGrid w:val="0"/>
              <w:spacing w:line="400" w:lineRule="atLeas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投标产品中属于国家优先采购范围的，则每有一项为政府采购节能产品或者环境标志产品、无线局域网产品的得 1分，非政府采购节能、环境标志产品、无线局域网产品的不得分。本项最多得2分</w:t>
            </w:r>
          </w:p>
          <w:p>
            <w:pPr>
              <w:widowControl/>
              <w:snapToGrid w:val="0"/>
              <w:spacing w:line="400" w:lineRule="atLeas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注：1、按照《关于调整优化节能产品、环境标志产品政府采购执行机制的通知》（财库〔2019〕9 号）、《关于印发环境标志产品政府采购品目清单的通知》财库〔2019〕18号、《关于印发节能产品政府采购品目清单的通知》财库〔2019〕19号的规定，属于政府优先采购的品目清单范围的，提供国家确定的认证机构出具的、处于有效期之内的节能产品、环境标志产品认证证书复印件加盖公章。</w:t>
            </w:r>
          </w:p>
          <w:p>
            <w:pPr>
              <w:widowControl/>
              <w:snapToGrid w:val="0"/>
              <w:spacing w:line="400" w:lineRule="atLeast"/>
              <w:ind w:firstLine="210" w:firstLineChars="100"/>
              <w:rPr>
                <w:rFonts w:ascii="宋体" w:hAnsi="宋体" w:cs="宋体"/>
                <w:b/>
                <w:bCs/>
                <w:color w:val="auto"/>
                <w:kern w:val="0"/>
                <w:szCs w:val="21"/>
                <w:highlight w:val="none"/>
              </w:rPr>
            </w:pPr>
            <w:r>
              <w:rPr>
                <w:rFonts w:hint="eastAsia" w:ascii="宋体" w:hAnsi="宋体" w:cs="宋体"/>
                <w:color w:val="auto"/>
                <w:kern w:val="0"/>
                <w:szCs w:val="21"/>
                <w:highlight w:val="none"/>
              </w:rPr>
              <w:t>2、无线局域网产品以《中国政府采购网》最新颁布清单为准提供证书复印件加盖公章。</w:t>
            </w:r>
          </w:p>
        </w:tc>
        <w:tc>
          <w:tcPr>
            <w:tcW w:w="850" w:type="dxa"/>
            <w:tcBorders>
              <w:top w:val="single" w:color="auto" w:sz="4" w:space="0"/>
              <w:left w:val="single" w:color="auto" w:sz="4" w:space="0"/>
              <w:right w:val="single" w:color="auto" w:sz="4" w:space="0"/>
            </w:tcBorders>
            <w:vAlign w:val="center"/>
          </w:tcPr>
          <w:p>
            <w:pPr>
              <w:widowControl/>
              <w:snapToGrid w:val="0"/>
              <w:spacing w:line="400" w:lineRule="atLeast"/>
              <w:jc w:val="center"/>
              <w:rPr>
                <w:rFonts w:ascii="宋体" w:hAnsi="宋体" w:cs="宋体"/>
                <w:snapToGrid w:val="0"/>
                <w:color w:val="auto"/>
                <w:kern w:val="0"/>
                <w:szCs w:val="21"/>
                <w:highlight w:val="none"/>
              </w:rPr>
            </w:pPr>
            <w:r>
              <w:rPr>
                <w:rFonts w:hint="eastAsia" w:ascii="宋体" w:hAnsi="宋体" w:cs="宋体"/>
                <w:snapToGrid w:val="0"/>
                <w:color w:val="auto"/>
                <w:szCs w:val="21"/>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投标文件的规范性</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投标文件的规范性</w:t>
            </w:r>
          </w:p>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rPr>
                <w:rFonts w:ascii="宋体" w:hAnsi="宋体" w:cs="宋体"/>
                <w:color w:val="auto"/>
                <w:kern w:val="0"/>
                <w:szCs w:val="21"/>
                <w:highlight w:val="none"/>
              </w:rPr>
            </w:pPr>
            <w:r>
              <w:rPr>
                <w:rFonts w:hint="eastAsia" w:ascii="宋体" w:hAnsi="宋体" w:cs="宋体"/>
                <w:color w:val="auto"/>
                <w:kern w:val="0"/>
                <w:szCs w:val="21"/>
                <w:highlight w:val="none"/>
              </w:rPr>
              <w:t>投标文件制作规范，没有细微偏差情形的得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分，每有一项细微偏差扣</w:t>
            </w:r>
            <w:r>
              <w:rPr>
                <w:rFonts w:hint="eastAsia" w:ascii="宋体" w:hAnsi="宋体" w:cs="宋体"/>
                <w:color w:val="auto"/>
                <w:kern w:val="0"/>
                <w:szCs w:val="21"/>
                <w:highlight w:val="none"/>
                <w:lang w:val="en-US" w:eastAsia="zh-CN"/>
              </w:rPr>
              <w:t>0.5</w:t>
            </w:r>
            <w:r>
              <w:rPr>
                <w:rFonts w:hint="eastAsia" w:ascii="宋体" w:hAnsi="宋体" w:cs="宋体"/>
                <w:color w:val="auto"/>
                <w:kern w:val="0"/>
                <w:szCs w:val="21"/>
                <w:highlight w:val="none"/>
              </w:rPr>
              <w:t>分，直到该项分值扣完为止。</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共同评审因素</w:t>
            </w:r>
          </w:p>
        </w:tc>
      </w:tr>
    </w:tbl>
    <w:p>
      <w:pPr>
        <w:pStyle w:val="13"/>
        <w:tabs>
          <w:tab w:val="left" w:pos="600"/>
        </w:tabs>
        <w:spacing w:line="440" w:lineRule="exact"/>
        <w:ind w:left="723" w:hanging="723" w:hangingChars="300"/>
        <w:rPr>
          <w:rFonts w:ascii="宋体" w:hAnsi="宋体" w:cs="宋体"/>
          <w:b/>
          <w:bCs/>
          <w:color w:val="auto"/>
          <w:sz w:val="24"/>
          <w:szCs w:val="24"/>
          <w:highlight w:val="none"/>
        </w:rPr>
      </w:pPr>
      <w:r>
        <w:rPr>
          <w:rFonts w:hint="eastAsia" w:ascii="宋体" w:hAnsi="宋体" w:cs="宋体"/>
          <w:b/>
          <w:bCs/>
          <w:color w:val="auto"/>
          <w:sz w:val="24"/>
          <w:szCs w:val="24"/>
          <w:highlight w:val="none"/>
        </w:rPr>
        <w:t>注：评分的取值按四舍五入法，保留小数点后两位。</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4.3.4 本次综合评分法由评标委员会各成员独立对通过初审（资格检查和符合性检查）的投标人的投标文件进行评审和打分，评标得分＝（A1＋A2＋……＋An）/NA＋（B1＋B2＋……＋Bn）/ NB＋（C1＋C2＋……＋Cn）/ NC＋（D1＋D2＋……＋Dn）/ ND</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A1、A2……An分别为每个经济类评委（经济类专家）的打分，NA为经济类评委（经济类专家）人数；B1、B2＋……Bn 分别为每个技术类评委（技术类专家和采购人代表）的打分，NB为技术类评委（技术类专家和采购人代表）人数；C1、C2……Cn 分别为每个政策合同类评委（法律类专家）的打分，NC为政策合同类评委（法律类专家）人数；D1、D2……Dn 分别为评审委员会每个成员的打分（共同评分类），ND为评标委员会人数。    </w:t>
      </w:r>
      <w:bookmarkStart w:id="198" w:name="_Toc217446060"/>
    </w:p>
    <w:p>
      <w:pPr>
        <w:pStyle w:val="4"/>
        <w:spacing w:before="0" w:after="0" w:line="440" w:lineRule="exact"/>
        <w:ind w:firstLine="472" w:firstLineChars="1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 废 标</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5.1本次政府采购活动中，出现下列情形之一的，予以废标：</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（1）符合专业条件的投标人或者对招标文件作实质响应的投标人不足三家的；</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（2）出现影响采购公正的违法、违规行为的；</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（3）投标人的报价均超过了采购预算，采购人不能支付的；</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（4）因重大变故，采购任务取消的。</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废标后，采购代理机构应在四川政府采购网上公告，并公告废标的情形。投标人需要知晓导致废标情形的具体原因和理由的，可以通过书面形式询问招标采购单位。</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5.2对于评标过程中废标的采购项目，评标委员会应当对招标文件是否存在倾向性和歧视性、是否存在不合理条款进行论证，并出具书面论证意见。</w:t>
      </w:r>
    </w:p>
    <w:p>
      <w:pPr>
        <w:pStyle w:val="4"/>
        <w:spacing w:before="0" w:after="0" w:line="440" w:lineRule="exact"/>
        <w:ind w:firstLine="472" w:firstLineChars="1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6、定标</w:t>
      </w:r>
      <w:bookmarkEnd w:id="198"/>
      <w:bookmarkStart w:id="199" w:name="_Toc217446061"/>
    </w:p>
    <w:bookmarkEnd w:id="199"/>
    <w:p>
      <w:pPr>
        <w:spacing w:line="440" w:lineRule="exact"/>
        <w:ind w:firstLine="480" w:firstLineChars="200"/>
        <w:rPr>
          <w:rFonts w:ascii="宋体" w:hAnsi="宋体" w:cs="宋体"/>
          <w:color w:val="auto"/>
          <w:sz w:val="24"/>
          <w:highlight w:val="none"/>
        </w:rPr>
      </w:pPr>
      <w:bookmarkStart w:id="200" w:name="_Toc217446105"/>
      <w:bookmarkStart w:id="201" w:name="_Toc183682432"/>
      <w:bookmarkStart w:id="202" w:name="_Toc208849022"/>
      <w:bookmarkStart w:id="203" w:name="_Toc183582297"/>
      <w:r>
        <w:rPr>
          <w:rFonts w:hint="eastAsia" w:ascii="宋体" w:hAnsi="宋体" w:cs="宋体"/>
          <w:color w:val="auto"/>
          <w:sz w:val="24"/>
          <w:highlight w:val="none"/>
        </w:rPr>
        <w:t>6.1. 定标原则：本项目根据评标委员会推荐的中标候选供应商名单，按顺序确定中标供应商。</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6.2. 定标程序</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6.2.1 评标委员会将评标情况写出书面报告，推荐中标候选供应商。</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6.2.2 采购代理机构在评标结束后2个工作日内将评标报告送采购人。</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6.2.3 采购人在收到评标报告后 5 个工作日内，按照评标报告中推荐的中标候选供应商顺序确定中标供应商。中标候选供应商并列的，由采购人自主采取公平、择优的方式选择中标供应商。</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注意，采购人按照推荐的中标候选供应商顺序确定中标供应商，不能认为采购人只能确定第一中标候选供应商为中标供应商，采购人有正当理由的，可以确定后一顺序中标候选供应商为中标供应商，依次类推。</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6.2.4 根据采购人确定的中标供应商，采购代理机构在四川政府采购网上发布中标公告，并自采购人确定中标之日起2个工作日内向中标供应商发出中标通知书。</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6.2.5 招标采购单位不退回投标人投标文件和其他投标资料。</w:t>
      </w:r>
    </w:p>
    <w:p>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7. </w:t>
      </w:r>
      <w:bookmarkEnd w:id="200"/>
      <w:bookmarkEnd w:id="201"/>
      <w:bookmarkEnd w:id="202"/>
      <w:bookmarkEnd w:id="203"/>
      <w:r>
        <w:rPr>
          <w:rFonts w:hint="eastAsia" w:ascii="宋体" w:hAnsi="宋体" w:cs="宋体"/>
          <w:b/>
          <w:bCs/>
          <w:color w:val="auto"/>
          <w:sz w:val="24"/>
          <w:highlight w:val="none"/>
        </w:rPr>
        <w:t>评标专家在政府采购活动中承担以下义务：</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（一）遵守评审工作纪律； </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（二）按照客观、公正、审慎的原则，根据采购文件规定的评审程序、评审方法和评审标准进行独立评审；</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（三）不得泄露评审文件、评审情况和在评审过程中获悉的商业秘密；</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（四）及时向监督部门报告评审过程中采购组织单位向评审专家做倾向性、误导性的解释或者说明，投标人行贿、提供虚假材料或者串通、受到的非法干预情况等违法违规行为；</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（五）发现采购文件内容违反国家有关强制性规定或者存在歧义、重大缺陷导致评审工作无法进行时，停止评审并向采购组织单位书面说明情况；</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（六）配合答复处理投标人的询问、质疑和投诉等事项；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（七）法律、法规和规章规定的其他义务。</w:t>
      </w:r>
    </w:p>
    <w:p>
      <w:pPr>
        <w:pStyle w:val="4"/>
        <w:spacing w:before="0" w:after="0" w:line="440" w:lineRule="exact"/>
        <w:ind w:firstLine="482" w:firstLineChars="200"/>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8.评标专家在政府采购活动中应当遵守以下工作纪律：</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（一）遵行《政府采购法》第十二条和《政府采购法实施条例》第九条及财政部关于回避的规定。</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（二）评标前，应当将通讯工具或者相关电子设备交由招标采购单位统一保管。</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（三）评标过程中，不得与外界联系，因发生不可预见情况，确实需要与外界联系的，应当在监督人员监督之下办理。</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（五）在评标过程中和评标结束后，不得记录、复制或带走任何评标资料，除因规定的义务外，不得向外界透露评标内容。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（六）服从评标现场招标采购单位的现场秩序管理，接受评标现场监督人员的合法监督。</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（七）遵守有关廉洁自律规定，不得私下接触投标人，不得收受投标人及有关业务单位和个人的财物或好处，不得接受采购组织单位的请托。</w:t>
      </w:r>
    </w:p>
    <w:p>
      <w:pPr>
        <w:pStyle w:val="3"/>
        <w:spacing w:line="400" w:lineRule="exact"/>
        <w:jc w:val="center"/>
        <w:rPr>
          <w:rFonts w:ascii="宋体" w:hAnsi="宋体" w:cs="宋体"/>
          <w:color w:val="auto"/>
          <w:sz w:val="36"/>
          <w:szCs w:val="36"/>
          <w:highlight w:val="none"/>
        </w:rPr>
      </w:pPr>
      <w:r>
        <w:rPr>
          <w:rFonts w:hint="eastAsia" w:ascii="宋体" w:hAnsi="宋体" w:cs="宋体"/>
          <w:color w:val="auto"/>
          <w:sz w:val="36"/>
          <w:szCs w:val="36"/>
          <w:highlight w:val="none"/>
        </w:rPr>
        <w:br w:type="page"/>
      </w:r>
      <w:r>
        <w:rPr>
          <w:rFonts w:hint="eastAsia" w:ascii="宋体" w:hAnsi="宋体" w:cs="宋体"/>
          <w:color w:val="auto"/>
          <w:sz w:val="36"/>
          <w:szCs w:val="36"/>
          <w:highlight w:val="none"/>
        </w:rPr>
        <w:t>第八章  政府采购合同</w:t>
      </w:r>
      <w:bookmarkEnd w:id="196"/>
      <w:bookmarkEnd w:id="197"/>
      <w:r>
        <w:rPr>
          <w:rFonts w:hint="eastAsia" w:ascii="宋体" w:hAnsi="宋体" w:cs="宋体"/>
          <w:color w:val="auto"/>
          <w:sz w:val="36"/>
          <w:szCs w:val="36"/>
          <w:highlight w:val="none"/>
        </w:rPr>
        <w:t>（草案）</w:t>
      </w:r>
    </w:p>
    <w:p>
      <w:pPr>
        <w:spacing w:line="400" w:lineRule="exact"/>
        <w:rPr>
          <w:rFonts w:ascii="宋体" w:hAnsi="宋体" w:cs="宋体"/>
          <w:color w:val="auto"/>
          <w:highlight w:val="none"/>
        </w:rPr>
      </w:pPr>
    </w:p>
    <w:bookmarkEnd w:id="183"/>
    <w:p>
      <w:pPr>
        <w:spacing w:line="360" w:lineRule="auto"/>
        <w:ind w:firstLine="480" w:firstLineChars="200"/>
        <w:rPr>
          <w:rFonts w:ascii="宋体" w:hAnsi="宋体" w:cs="宋体"/>
          <w:color w:val="auto"/>
          <w:sz w:val="28"/>
          <w:szCs w:val="28"/>
          <w:highlight w:val="none"/>
        </w:rPr>
      </w:pPr>
      <w:r>
        <w:rPr>
          <w:rFonts w:hint="eastAsia" w:ascii="宋体" w:hAnsi="宋体" w:cs="宋体"/>
          <w:color w:val="auto"/>
          <w:sz w:val="24"/>
          <w:highlight w:val="none"/>
        </w:rPr>
        <w:br w:type="textWrapping"/>
      </w:r>
      <w:r>
        <w:rPr>
          <w:rFonts w:hint="eastAsia" w:ascii="宋体" w:hAnsi="宋体" w:cs="宋体"/>
          <w:color w:val="auto"/>
          <w:sz w:val="24"/>
          <w:highlight w:val="none"/>
        </w:rPr>
        <w:t>合同编号：</w:t>
      </w:r>
      <w:r>
        <w:rPr>
          <w:rFonts w:hint="eastAsia" w:ascii="宋体" w:hAnsi="宋体" w:cs="宋体"/>
          <w:color w:val="auto"/>
          <w:sz w:val="28"/>
          <w:szCs w:val="28"/>
          <w:highlight w:val="none"/>
        </w:rPr>
        <w:t>XXXX。</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签订地点：XXXX。</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签订时间：XXXX年XX月XX日。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采购人（甲方）：</w:t>
      </w:r>
      <w:r>
        <w:rPr>
          <w:rFonts w:hint="eastAsia" w:ascii="宋体" w:hAnsi="宋体" w:cs="宋体"/>
          <w:color w:val="auto"/>
          <w:sz w:val="24"/>
          <w:highlight w:val="none"/>
          <w:u w:val="singl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供应商（乙方）：</w:t>
      </w:r>
      <w:r>
        <w:rPr>
          <w:rFonts w:hint="eastAsia" w:ascii="宋体" w:hAnsi="宋体" w:cs="宋体"/>
          <w:color w:val="auto"/>
          <w:sz w:val="24"/>
          <w:highlight w:val="none"/>
          <w:u w:val="single"/>
        </w:rPr>
        <w:t xml:space="preserve">                              </w:t>
      </w:r>
      <w:r>
        <w:rPr>
          <w:rFonts w:hint="eastAsia" w:ascii="宋体" w:hAnsi="宋体" w:cs="宋体"/>
          <w:color w:val="auto"/>
          <w:highlight w:val="none"/>
        </w:rPr>
        <w:t xml:space="preserve">                                       </w:t>
      </w:r>
    </w:p>
    <w:p>
      <w:pPr>
        <w:pStyle w:val="62"/>
        <w:ind w:firstLine="480"/>
        <w:rPr>
          <w:rFonts w:ascii="宋体" w:hAnsi="宋体"/>
          <w:color w:val="auto"/>
          <w:highlight w:val="none"/>
        </w:rPr>
      </w:pPr>
      <w:r>
        <w:rPr>
          <w:rFonts w:hint="eastAsia" w:ascii="宋体" w:hAnsi="宋体"/>
          <w:color w:val="auto"/>
          <w:highlight w:val="none"/>
        </w:rPr>
        <w:t>根据《中华人民共和国政府采购法》、《中华人民共和国合同法》及</w:t>
      </w:r>
      <w:r>
        <w:rPr>
          <w:rFonts w:hint="eastAsia" w:ascii="宋体" w:hAnsi="宋体"/>
          <w:color w:val="auto"/>
          <w:szCs w:val="21"/>
          <w:highlight w:val="none"/>
        </w:rPr>
        <w:t>XX</w:t>
      </w:r>
      <w:r>
        <w:rPr>
          <w:rFonts w:hint="eastAsia" w:ascii="宋体" w:hAnsi="宋体"/>
          <w:color w:val="auto"/>
          <w:highlight w:val="none"/>
        </w:rPr>
        <w:t>公司</w:t>
      </w:r>
      <w:r>
        <w:rPr>
          <w:rFonts w:hint="eastAsia" w:ascii="宋体" w:hAnsi="宋体"/>
          <w:color w:val="auto"/>
          <w:highlight w:val="none"/>
          <w:u w:val="single"/>
        </w:rPr>
        <w:t xml:space="preserve">         </w:t>
      </w:r>
      <w:r>
        <w:rPr>
          <w:rFonts w:hint="eastAsia" w:ascii="宋体" w:hAnsi="宋体"/>
          <w:color w:val="auto"/>
          <w:highlight w:val="none"/>
        </w:rPr>
        <w:t>采购项目（项目编号：</w:t>
      </w:r>
      <w:r>
        <w:rPr>
          <w:rFonts w:hint="eastAsia" w:ascii="宋体" w:hAnsi="宋体"/>
          <w:color w:val="auto"/>
          <w:szCs w:val="21"/>
          <w:highlight w:val="none"/>
        </w:rPr>
        <w:t>XX</w:t>
      </w:r>
      <w:r>
        <w:rPr>
          <w:rFonts w:hint="eastAsia" w:ascii="宋体" w:hAnsi="宋体"/>
          <w:color w:val="auto"/>
          <w:highlight w:val="none"/>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4"/>
        <w:spacing w:line="400" w:lineRule="exact"/>
        <w:ind w:firstLine="482" w:firstLineChars="200"/>
        <w:rPr>
          <w:rFonts w:ascii="宋体" w:hAnsi="宋体" w:eastAsia="宋体" w:cs="宋体"/>
          <w:color w:val="auto"/>
          <w:sz w:val="24"/>
          <w:szCs w:val="24"/>
          <w:highlight w:val="none"/>
        </w:rPr>
      </w:pPr>
      <w:bookmarkStart w:id="204" w:name="_Toc217446107"/>
      <w:r>
        <w:rPr>
          <w:rFonts w:hint="eastAsia" w:ascii="宋体" w:hAnsi="宋体" w:eastAsia="宋体" w:cs="宋体"/>
          <w:color w:val="auto"/>
          <w:sz w:val="24"/>
          <w:szCs w:val="24"/>
          <w:highlight w:val="none"/>
        </w:rPr>
        <w:t>一、合同货物</w:t>
      </w:r>
      <w:bookmarkEnd w:id="204"/>
    </w:p>
    <w:tbl>
      <w:tblPr>
        <w:tblStyle w:val="32"/>
        <w:tblW w:w="0" w:type="auto"/>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货物品名</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规格</w:t>
            </w:r>
          </w:p>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型号</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单位</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jc w:val="center"/>
              <w:rPr>
                <w:rFonts w:ascii="宋体" w:hAnsi="宋体" w:cs="宋体"/>
                <w:color w:val="auto"/>
                <w:sz w:val="24"/>
                <w:highlight w:val="none"/>
              </w:rPr>
            </w:pPr>
            <w:r>
              <w:rPr>
                <w:rFonts w:hint="eastAsia" w:ascii="宋体" w:hAnsi="宋体" w:cs="宋体"/>
                <w:color w:val="auto"/>
                <w:sz w:val="24"/>
                <w:highlight w:val="none"/>
              </w:rPr>
              <w:t>单价</w:t>
            </w:r>
          </w:p>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总价</w:t>
            </w:r>
          </w:p>
          <w:p>
            <w:pPr>
              <w:spacing w:line="400" w:lineRule="exact"/>
              <w:rPr>
                <w:rFonts w:ascii="宋体" w:hAnsi="宋体" w:cs="宋体"/>
                <w:color w:val="auto"/>
                <w:sz w:val="24"/>
                <w:highlight w:val="none"/>
              </w:rPr>
            </w:pPr>
            <w:r>
              <w:rPr>
                <w:rFonts w:hint="eastAsia" w:ascii="宋体" w:hAnsi="宋体" w:cs="宋体"/>
                <w:color w:val="auto"/>
                <w:sz w:val="24"/>
                <w:highlight w:val="none"/>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随机</w:t>
            </w:r>
          </w:p>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配件</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w:t>
            </w:r>
          </w:p>
        </w:tc>
      </w:tr>
    </w:tbl>
    <w:p>
      <w:pPr>
        <w:pStyle w:val="4"/>
        <w:spacing w:line="400" w:lineRule="exact"/>
        <w:ind w:firstLine="482" w:firstLineChars="200"/>
        <w:rPr>
          <w:rFonts w:ascii="宋体" w:hAnsi="宋体" w:eastAsia="宋体" w:cs="宋体"/>
          <w:color w:val="auto"/>
          <w:sz w:val="24"/>
          <w:szCs w:val="24"/>
          <w:highlight w:val="none"/>
        </w:rPr>
      </w:pPr>
      <w:bookmarkStart w:id="205" w:name="_Toc217446108"/>
      <w:r>
        <w:rPr>
          <w:rFonts w:hint="eastAsia" w:ascii="宋体" w:hAnsi="宋体" w:eastAsia="宋体" w:cs="宋体"/>
          <w:color w:val="auto"/>
          <w:sz w:val="24"/>
          <w:szCs w:val="24"/>
          <w:highlight w:val="none"/>
        </w:rPr>
        <w:t>二、合同总价</w:t>
      </w:r>
      <w:bookmarkEnd w:id="205"/>
    </w:p>
    <w:p>
      <w:pPr>
        <w:pStyle w:val="9"/>
        <w:spacing w:line="40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合同总价为人民币大写：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元，即RMB￥</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4"/>
        <w:spacing w:line="400" w:lineRule="exact"/>
        <w:ind w:firstLine="482" w:firstLineChars="200"/>
        <w:rPr>
          <w:rFonts w:ascii="宋体" w:hAnsi="宋体" w:eastAsia="宋体" w:cs="宋体"/>
          <w:color w:val="auto"/>
          <w:sz w:val="24"/>
          <w:szCs w:val="24"/>
          <w:highlight w:val="none"/>
        </w:rPr>
      </w:pPr>
      <w:bookmarkStart w:id="206" w:name="_Toc217446109"/>
      <w:r>
        <w:rPr>
          <w:rFonts w:hint="eastAsia" w:ascii="宋体" w:hAnsi="宋体" w:eastAsia="宋体" w:cs="宋体"/>
          <w:color w:val="auto"/>
          <w:sz w:val="24"/>
          <w:szCs w:val="24"/>
          <w:highlight w:val="none"/>
        </w:rPr>
        <w:t>三、质量要求</w:t>
      </w:r>
      <w:bookmarkEnd w:id="206"/>
    </w:p>
    <w:p>
      <w:pPr>
        <w:pStyle w:val="62"/>
        <w:ind w:firstLine="480"/>
        <w:rPr>
          <w:rFonts w:ascii="宋体" w:hAnsi="宋体"/>
          <w:color w:val="auto"/>
          <w:highlight w:val="none"/>
        </w:rPr>
      </w:pPr>
      <w:r>
        <w:rPr>
          <w:rFonts w:hint="eastAsia" w:ascii="宋体" w:hAnsi="宋体"/>
          <w:color w:val="auto"/>
          <w:highlight w:val="none"/>
        </w:rPr>
        <w:t>1、乙方须提供全新的货物（含零部件、配件等），表面无划伤、无碰撞痕迹，且权属清楚，不得侵害他人的知识产权。</w:t>
      </w:r>
    </w:p>
    <w:p>
      <w:pPr>
        <w:pStyle w:val="62"/>
        <w:ind w:firstLine="480"/>
        <w:rPr>
          <w:rFonts w:ascii="宋体" w:hAnsi="宋体"/>
          <w:color w:val="auto"/>
          <w:highlight w:val="none"/>
        </w:rPr>
      </w:pPr>
      <w:r>
        <w:rPr>
          <w:rFonts w:hint="eastAsia" w:ascii="宋体" w:hAnsi="宋体"/>
          <w:color w:val="auto"/>
          <w:highlight w:val="none"/>
        </w:rPr>
        <w:t>2、货物必须符合或优于国家（行业）</w:t>
      </w:r>
      <w:r>
        <w:rPr>
          <w:rFonts w:hint="eastAsia" w:ascii="宋体" w:hAnsi="宋体"/>
          <w:color w:val="auto"/>
          <w:highlight w:val="none"/>
          <w:u w:val="single"/>
        </w:rPr>
        <w:t xml:space="preserve">          </w:t>
      </w:r>
      <w:r>
        <w:rPr>
          <w:rFonts w:hint="eastAsia" w:ascii="宋体" w:hAnsi="宋体"/>
          <w:color w:val="auto"/>
          <w:highlight w:val="none"/>
        </w:rPr>
        <w:t>标准，以及本项目招标文件的质量要求和技术指标与出厂标准。</w:t>
      </w:r>
    </w:p>
    <w:p>
      <w:pPr>
        <w:pStyle w:val="62"/>
        <w:ind w:firstLine="480"/>
        <w:rPr>
          <w:rFonts w:ascii="宋体" w:hAnsi="宋体"/>
          <w:color w:val="auto"/>
          <w:highlight w:val="none"/>
        </w:rPr>
      </w:pPr>
      <w:r>
        <w:rPr>
          <w:rFonts w:hint="eastAsia" w:ascii="宋体" w:hAnsi="宋体"/>
          <w:color w:val="auto"/>
          <w:highlight w:val="none"/>
        </w:rPr>
        <w:t>3、乙方须在本合同签订之日起</w:t>
      </w:r>
      <w:r>
        <w:rPr>
          <w:rFonts w:hint="eastAsia" w:ascii="宋体" w:hAnsi="宋体"/>
          <w:color w:val="auto"/>
          <w:highlight w:val="none"/>
          <w:u w:val="single"/>
        </w:rPr>
        <w:t xml:space="preserve">   </w:t>
      </w:r>
      <w:r>
        <w:rPr>
          <w:rFonts w:hint="eastAsia" w:ascii="宋体" w:hAnsi="宋体"/>
          <w:color w:val="auto"/>
          <w:highlight w:val="none"/>
        </w:rPr>
        <w:t>日内送交货物给甲方，每台货物上均应有产品质量检验合格标志。</w:t>
      </w:r>
    </w:p>
    <w:p>
      <w:pPr>
        <w:pStyle w:val="62"/>
        <w:ind w:firstLine="480"/>
        <w:rPr>
          <w:rFonts w:ascii="宋体" w:hAnsi="宋体"/>
          <w:color w:val="auto"/>
          <w:highlight w:val="none"/>
        </w:rPr>
      </w:pPr>
      <w:r>
        <w:rPr>
          <w:rFonts w:hint="eastAsia" w:ascii="宋体" w:hAnsi="宋体"/>
          <w:color w:val="auto"/>
          <w:highlight w:val="none"/>
        </w:rPr>
        <w:t>4、货物制造质量出现问题，乙方应负责三包（包修、包换、包退），费用由乙方负担，甲方有权到乙方生产场地检查货物质量和生产进度。</w:t>
      </w:r>
    </w:p>
    <w:p>
      <w:pPr>
        <w:pStyle w:val="62"/>
        <w:ind w:firstLine="480"/>
        <w:rPr>
          <w:rFonts w:ascii="宋体" w:hAnsi="宋体"/>
          <w:color w:val="auto"/>
          <w:highlight w:val="none"/>
        </w:rPr>
      </w:pPr>
      <w:r>
        <w:rPr>
          <w:rFonts w:hint="eastAsia" w:ascii="宋体" w:hAnsi="宋体"/>
          <w:color w:val="auto"/>
          <w:highlight w:val="none"/>
        </w:rPr>
        <w:t>5、货到现场后由于甲方保管不当造成的质量问题，乙方亦应负责修理，但费用由甲方负担。</w:t>
      </w:r>
    </w:p>
    <w:p>
      <w:pPr>
        <w:pStyle w:val="4"/>
        <w:spacing w:line="400" w:lineRule="exact"/>
        <w:ind w:firstLine="482" w:firstLineChars="200"/>
        <w:rPr>
          <w:rFonts w:ascii="宋体" w:hAnsi="宋体" w:eastAsia="宋体" w:cs="宋体"/>
          <w:color w:val="auto"/>
          <w:sz w:val="24"/>
          <w:szCs w:val="24"/>
          <w:highlight w:val="none"/>
        </w:rPr>
      </w:pPr>
      <w:bookmarkStart w:id="207" w:name="_Toc217446110"/>
      <w:r>
        <w:rPr>
          <w:rFonts w:hint="eastAsia" w:ascii="宋体" w:hAnsi="宋体" w:eastAsia="宋体" w:cs="宋体"/>
          <w:color w:val="auto"/>
          <w:sz w:val="24"/>
          <w:szCs w:val="24"/>
          <w:highlight w:val="none"/>
        </w:rPr>
        <w:t>四、交货及验收</w:t>
      </w:r>
      <w:bookmarkEnd w:id="207"/>
    </w:p>
    <w:p>
      <w:pPr>
        <w:pStyle w:val="62"/>
        <w:ind w:firstLine="480"/>
        <w:rPr>
          <w:rFonts w:ascii="宋体" w:hAnsi="宋体"/>
          <w:color w:val="auto"/>
          <w:highlight w:val="none"/>
        </w:rPr>
      </w:pPr>
      <w:r>
        <w:rPr>
          <w:rFonts w:hint="eastAsia" w:ascii="宋体" w:hAnsi="宋体"/>
          <w:color w:val="auto"/>
          <w:highlight w:val="none"/>
        </w:rPr>
        <w:t>1、乙方交货期限为合同签订生效后的</w:t>
      </w:r>
      <w:r>
        <w:rPr>
          <w:rFonts w:hint="eastAsia" w:ascii="宋体" w:hAnsi="宋体"/>
          <w:color w:val="auto"/>
          <w:szCs w:val="21"/>
          <w:highlight w:val="none"/>
        </w:rPr>
        <w:t>XX</w:t>
      </w:r>
      <w:r>
        <w:rPr>
          <w:rFonts w:hint="eastAsia" w:ascii="宋体" w:hAnsi="宋体"/>
          <w:color w:val="auto"/>
          <w:highlight w:val="none"/>
        </w:rPr>
        <w:t>日内，在合同签订生效之日起</w:t>
      </w:r>
      <w:r>
        <w:rPr>
          <w:rFonts w:hint="eastAsia" w:ascii="宋体" w:hAnsi="宋体"/>
          <w:color w:val="auto"/>
          <w:szCs w:val="21"/>
          <w:highlight w:val="none"/>
        </w:rPr>
        <w:t>XX</w:t>
      </w:r>
      <w:r>
        <w:rPr>
          <w:rFonts w:hint="eastAsia" w:ascii="宋体" w:hAnsi="宋体"/>
          <w:color w:val="auto"/>
          <w:highlight w:val="none"/>
        </w:rPr>
        <w:t>天内交货到甲方指定地点，随即在</w:t>
      </w:r>
      <w:r>
        <w:rPr>
          <w:rFonts w:hint="eastAsia" w:ascii="宋体" w:hAnsi="宋体"/>
          <w:color w:val="auto"/>
          <w:szCs w:val="21"/>
          <w:highlight w:val="none"/>
        </w:rPr>
        <w:t>XX</w:t>
      </w:r>
      <w:r>
        <w:rPr>
          <w:rFonts w:hint="eastAsia" w:ascii="宋体" w:hAnsi="宋体"/>
          <w:color w:val="auto"/>
          <w:highlight w:val="none"/>
        </w:rPr>
        <w:t>日内全部完成安装调试验收合格交付使用，并且最迟应在</w:t>
      </w:r>
      <w:r>
        <w:rPr>
          <w:rFonts w:hint="eastAsia" w:ascii="宋体" w:hAnsi="宋体"/>
          <w:color w:val="auto"/>
          <w:szCs w:val="21"/>
          <w:highlight w:val="none"/>
        </w:rPr>
        <w:t>XX</w:t>
      </w:r>
      <w:r>
        <w:rPr>
          <w:rFonts w:hint="eastAsia" w:ascii="宋体" w:hAnsi="宋体"/>
          <w:color w:val="auto"/>
          <w:highlight w:val="none"/>
        </w:rPr>
        <w:t>年</w:t>
      </w:r>
      <w:r>
        <w:rPr>
          <w:rFonts w:hint="eastAsia" w:ascii="宋体" w:hAnsi="宋体"/>
          <w:color w:val="auto"/>
          <w:szCs w:val="21"/>
          <w:highlight w:val="none"/>
        </w:rPr>
        <w:t>XX</w:t>
      </w:r>
      <w:r>
        <w:rPr>
          <w:rFonts w:hint="eastAsia" w:ascii="宋体" w:hAnsi="宋体"/>
          <w:color w:val="auto"/>
          <w:highlight w:val="none"/>
        </w:rPr>
        <w:t>月</w:t>
      </w:r>
      <w:r>
        <w:rPr>
          <w:rFonts w:hint="eastAsia" w:ascii="宋体" w:hAnsi="宋体"/>
          <w:color w:val="auto"/>
          <w:szCs w:val="21"/>
          <w:highlight w:val="none"/>
        </w:rPr>
        <w:t>XX</w:t>
      </w:r>
      <w:r>
        <w:rPr>
          <w:rFonts w:hint="eastAsia" w:ascii="宋体" w:hAnsi="宋体"/>
          <w:color w:val="auto"/>
          <w:highlight w:val="none"/>
        </w:rPr>
        <w:t>日前全部完成安装调试验收合格交付使用(如由于采购人的原因造成合同延迟签订或验收的，时间顺延)。交货验收时须提供产品质检部门从同类产品中抽样检查合格的检测报告。</w:t>
      </w:r>
    </w:p>
    <w:p>
      <w:pPr>
        <w:pStyle w:val="62"/>
        <w:ind w:firstLine="480"/>
        <w:rPr>
          <w:rFonts w:ascii="宋体" w:hAnsi="宋体"/>
          <w:color w:val="auto"/>
          <w:highlight w:val="none"/>
        </w:rPr>
      </w:pPr>
      <w:r>
        <w:rPr>
          <w:rFonts w:hint="eastAsia" w:ascii="宋体" w:hAnsi="宋体"/>
          <w:color w:val="auto"/>
          <w:highlight w:val="none"/>
        </w:rPr>
        <w:t>2、验收由甲方组织，乙方配合进行：</w:t>
      </w:r>
    </w:p>
    <w:p>
      <w:pPr>
        <w:pStyle w:val="62"/>
        <w:ind w:firstLine="480"/>
        <w:rPr>
          <w:rFonts w:ascii="宋体" w:hAnsi="宋体"/>
          <w:color w:val="auto"/>
          <w:highlight w:val="none"/>
        </w:rPr>
      </w:pPr>
      <w:r>
        <w:rPr>
          <w:rFonts w:hint="eastAsia" w:ascii="宋体" w:hAnsi="宋体"/>
          <w:color w:val="auto"/>
          <w:highlight w:val="none"/>
        </w:rPr>
        <w:t>(1) 货物在乙方通知安装调试完毕后</w:t>
      </w:r>
      <w:r>
        <w:rPr>
          <w:rFonts w:hint="eastAsia" w:ascii="宋体" w:hAnsi="宋体"/>
          <w:color w:val="auto"/>
          <w:highlight w:val="none"/>
          <w:u w:val="single"/>
        </w:rPr>
        <w:t xml:space="preserve">    </w:t>
      </w:r>
      <w:r>
        <w:rPr>
          <w:rFonts w:hint="eastAsia" w:ascii="宋体" w:hAnsi="宋体"/>
          <w:color w:val="auto"/>
          <w:highlight w:val="none"/>
        </w:rPr>
        <w:t>日内初步验收。初步验收合格后，进入</w:t>
      </w:r>
      <w:r>
        <w:rPr>
          <w:rFonts w:hint="eastAsia" w:ascii="宋体" w:hAnsi="宋体"/>
          <w:color w:val="auto"/>
          <w:highlight w:val="none"/>
          <w:u w:val="single"/>
        </w:rPr>
        <w:t xml:space="preserve">    </w:t>
      </w:r>
      <w:r>
        <w:rPr>
          <w:rFonts w:hint="eastAsia" w:ascii="宋体" w:hAnsi="宋体"/>
          <w:color w:val="auto"/>
          <w:highlight w:val="none"/>
        </w:rPr>
        <w:t>试用期；试用期间发生重大质量问题，修复后试用相应顺延；试用期结束后</w:t>
      </w:r>
      <w:r>
        <w:rPr>
          <w:rFonts w:hint="eastAsia" w:ascii="宋体" w:hAnsi="宋体"/>
          <w:color w:val="auto"/>
          <w:highlight w:val="none"/>
          <w:u w:val="single"/>
        </w:rPr>
        <w:t xml:space="preserve">    </w:t>
      </w:r>
      <w:r>
        <w:rPr>
          <w:rFonts w:hint="eastAsia" w:ascii="宋体" w:hAnsi="宋体"/>
          <w:color w:val="auto"/>
          <w:highlight w:val="none"/>
        </w:rPr>
        <w:t>日内完成最终验收；</w:t>
      </w:r>
    </w:p>
    <w:p>
      <w:pPr>
        <w:pStyle w:val="62"/>
        <w:ind w:firstLine="480"/>
        <w:rPr>
          <w:rFonts w:ascii="宋体" w:hAnsi="宋体"/>
          <w:color w:val="auto"/>
          <w:highlight w:val="none"/>
        </w:rPr>
      </w:pPr>
      <w:r>
        <w:rPr>
          <w:rFonts w:hint="eastAsia" w:ascii="宋体" w:hAnsi="宋体"/>
          <w:color w:val="auto"/>
          <w:highlight w:val="none"/>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62"/>
        <w:ind w:firstLine="480"/>
        <w:rPr>
          <w:rFonts w:ascii="宋体" w:hAnsi="宋体"/>
          <w:color w:val="auto"/>
          <w:highlight w:val="none"/>
        </w:rPr>
      </w:pPr>
      <w:r>
        <w:rPr>
          <w:rFonts w:hint="eastAsia" w:ascii="宋体" w:hAnsi="宋体"/>
          <w:color w:val="auto"/>
          <w:highlight w:val="none"/>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62"/>
        <w:ind w:firstLine="480"/>
        <w:rPr>
          <w:rFonts w:ascii="宋体" w:hAnsi="宋体"/>
          <w:color w:val="auto"/>
          <w:highlight w:val="none"/>
        </w:rPr>
      </w:pPr>
      <w:r>
        <w:rPr>
          <w:rFonts w:hint="eastAsia" w:ascii="宋体" w:hAnsi="宋体"/>
          <w:color w:val="auto"/>
          <w:highlight w:val="none"/>
        </w:rPr>
        <w:t>(4) 如质量验收合格，双方签署质量验收报告。</w:t>
      </w:r>
    </w:p>
    <w:p>
      <w:pPr>
        <w:pStyle w:val="62"/>
        <w:ind w:firstLine="480"/>
        <w:rPr>
          <w:rFonts w:ascii="宋体" w:hAnsi="宋体"/>
          <w:color w:val="auto"/>
          <w:highlight w:val="none"/>
        </w:rPr>
      </w:pPr>
      <w:r>
        <w:rPr>
          <w:rFonts w:hint="eastAsia" w:ascii="宋体" w:hAnsi="宋体"/>
          <w:color w:val="auto"/>
          <w:highlight w:val="none"/>
        </w:rPr>
        <w:t>3、货物安装完成后</w:t>
      </w:r>
      <w:r>
        <w:rPr>
          <w:rFonts w:hint="eastAsia" w:ascii="宋体" w:hAnsi="宋体"/>
          <w:color w:val="auto"/>
          <w:highlight w:val="none"/>
          <w:u w:val="single"/>
        </w:rPr>
        <w:t xml:space="preserve">     </w:t>
      </w:r>
      <w:r>
        <w:rPr>
          <w:rFonts w:hint="eastAsia" w:ascii="宋体" w:hAnsi="宋体"/>
          <w:color w:val="auto"/>
          <w:highlight w:val="none"/>
        </w:rPr>
        <w:t>日内，甲方无故不进行验收工作并已使用货物的，视同已安装调试完成并验收合格。</w:t>
      </w:r>
    </w:p>
    <w:p>
      <w:pPr>
        <w:pStyle w:val="62"/>
        <w:ind w:firstLine="480"/>
        <w:rPr>
          <w:rFonts w:ascii="宋体" w:hAnsi="宋体"/>
          <w:color w:val="auto"/>
          <w:highlight w:val="none"/>
        </w:rPr>
      </w:pPr>
      <w:r>
        <w:rPr>
          <w:rFonts w:hint="eastAsia" w:ascii="宋体" w:hAnsi="宋体"/>
          <w:color w:val="auto"/>
          <w:highlight w:val="none"/>
        </w:rPr>
        <w:t>4、乙方应将所提供货物的装箱清单、配件、随机工具、用户使用手册、原厂保修卡等资料交付给甲方；乙方不能完整交付货物及本款规定的单证和工具的，必须负责补齐，否则视为未按合同约定交货。</w:t>
      </w:r>
    </w:p>
    <w:p>
      <w:pPr>
        <w:pStyle w:val="62"/>
        <w:ind w:firstLine="480"/>
        <w:rPr>
          <w:rFonts w:ascii="宋体" w:hAnsi="宋体"/>
          <w:color w:val="auto"/>
          <w:highlight w:val="none"/>
        </w:rPr>
      </w:pPr>
      <w:r>
        <w:rPr>
          <w:rFonts w:hint="eastAsia" w:ascii="宋体" w:hAnsi="宋体"/>
          <w:color w:val="auto"/>
          <w:highlight w:val="none"/>
        </w:rPr>
        <w:t>5、如货物经乙方</w:t>
      </w:r>
      <w:r>
        <w:rPr>
          <w:rFonts w:hint="eastAsia" w:ascii="宋体" w:hAnsi="宋体"/>
          <w:color w:val="auto"/>
          <w:highlight w:val="none"/>
          <w:u w:val="single"/>
        </w:rPr>
        <w:t xml:space="preserve">   </w:t>
      </w:r>
      <w:r>
        <w:rPr>
          <w:rFonts w:hint="eastAsia" w:ascii="宋体" w:hAnsi="宋体"/>
          <w:color w:val="auto"/>
          <w:highlight w:val="none"/>
        </w:rPr>
        <w:t>次维修仍不能达到合同约定的质量标准，甲方有权退货，并视作乙方不能交付货物而须支付违约赔偿金给甲方，甲方还可依法追究乙方的违约责任。 </w:t>
      </w:r>
    </w:p>
    <w:p>
      <w:pPr>
        <w:pStyle w:val="62"/>
        <w:ind w:firstLine="480"/>
        <w:rPr>
          <w:rFonts w:ascii="宋体" w:hAnsi="宋体"/>
          <w:color w:val="auto"/>
          <w:highlight w:val="none"/>
        </w:rPr>
      </w:pPr>
      <w:r>
        <w:rPr>
          <w:rFonts w:hint="eastAsia" w:ascii="宋体" w:hAnsi="宋体"/>
          <w:color w:val="auto"/>
          <w:highlight w:val="none"/>
        </w:rPr>
        <w:t>6、其他未尽事宜应严格按照《四川省财政厅关于印发〈四川省政府采购项目需求论证和履约验收管理办法〉的通知》（川财采〔2015〕32号）的要求进行。</w:t>
      </w:r>
    </w:p>
    <w:p>
      <w:pPr>
        <w:pStyle w:val="4"/>
        <w:spacing w:line="400" w:lineRule="exact"/>
        <w:ind w:firstLine="482" w:firstLineChars="200"/>
        <w:rPr>
          <w:rFonts w:ascii="宋体" w:hAnsi="宋体" w:eastAsia="宋体" w:cs="宋体"/>
          <w:color w:val="auto"/>
          <w:sz w:val="24"/>
          <w:szCs w:val="24"/>
          <w:highlight w:val="none"/>
        </w:rPr>
      </w:pPr>
      <w:bookmarkStart w:id="208" w:name="_Toc217446111"/>
      <w:r>
        <w:rPr>
          <w:rFonts w:hint="eastAsia" w:ascii="宋体" w:hAnsi="宋体" w:eastAsia="宋体" w:cs="宋体"/>
          <w:color w:val="auto"/>
          <w:sz w:val="24"/>
          <w:szCs w:val="24"/>
          <w:highlight w:val="none"/>
        </w:rPr>
        <w:t>五、付款方式</w:t>
      </w:r>
      <w:bookmarkEnd w:id="208"/>
    </w:p>
    <w:p>
      <w:pPr>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1、甲方在本合同签订生效之日起接到乙方通知和票据凭证资料以及乙方交给甲方的合同履约保证金（按合同总价的百分之</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计算款额¥</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元，人民币大写：</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元整）后的</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日内支付合同金额百分之</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的价款；</w:t>
      </w:r>
    </w:p>
    <w:p>
      <w:pPr>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2、全部货物安装调试完毕并验收合格之日起，甲方接到乙方通知与票据凭证资料以后的</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日内，提交支付凭证资料给</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财政国库支付执行机构办理财政国库支付手续，并由其向乙方核拨合同总价的百分之</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 xml:space="preserve"> 计算款额¥</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元，人民币大写：</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元整；</w:t>
      </w:r>
    </w:p>
    <w:p>
      <w:pPr>
        <w:pStyle w:val="62"/>
        <w:ind w:firstLine="480"/>
        <w:rPr>
          <w:rFonts w:ascii="宋体" w:hAnsi="宋体"/>
          <w:color w:val="auto"/>
          <w:highlight w:val="none"/>
        </w:rPr>
      </w:pPr>
      <w:r>
        <w:rPr>
          <w:rFonts w:hint="eastAsia" w:ascii="宋体" w:hAnsi="宋体"/>
          <w:color w:val="auto"/>
          <w:highlight w:val="none"/>
        </w:rPr>
        <w:t>3、合同履约保证金：在货物验收合格后，采购代理机构接到乙方通知，以及由甲方确认本合同货物质量与服务等约定事项已经履行完毕的正式书面文件后的</w:t>
      </w:r>
      <w:r>
        <w:rPr>
          <w:rFonts w:hint="eastAsia" w:ascii="宋体" w:hAnsi="宋体"/>
          <w:color w:val="auto"/>
          <w:highlight w:val="none"/>
          <w:u w:val="single"/>
        </w:rPr>
        <w:t xml:space="preserve">     </w:t>
      </w:r>
      <w:r>
        <w:rPr>
          <w:rFonts w:hint="eastAsia" w:ascii="宋体" w:hAnsi="宋体"/>
          <w:color w:val="auto"/>
          <w:highlight w:val="none"/>
        </w:rPr>
        <w:t>日内由其向乙方退付履约保证金￥</w:t>
      </w:r>
      <w:r>
        <w:rPr>
          <w:rFonts w:hint="eastAsia" w:ascii="宋体" w:hAnsi="宋体"/>
          <w:color w:val="auto"/>
          <w:highlight w:val="none"/>
          <w:u w:val="single"/>
        </w:rPr>
        <w:t xml:space="preserve">      </w:t>
      </w:r>
      <w:r>
        <w:rPr>
          <w:rFonts w:hint="eastAsia" w:ascii="宋体" w:hAnsi="宋体"/>
          <w:color w:val="auto"/>
          <w:highlight w:val="none"/>
        </w:rPr>
        <w:t>元， 人民币大写：</w:t>
      </w:r>
      <w:r>
        <w:rPr>
          <w:rFonts w:hint="eastAsia" w:ascii="宋体" w:hAnsi="宋体"/>
          <w:color w:val="auto"/>
          <w:highlight w:val="none"/>
          <w:u w:val="single"/>
        </w:rPr>
        <w:t xml:space="preserve">              </w:t>
      </w:r>
      <w:r>
        <w:rPr>
          <w:rFonts w:hint="eastAsia" w:ascii="宋体" w:hAnsi="宋体"/>
          <w:color w:val="auto"/>
          <w:highlight w:val="none"/>
        </w:rPr>
        <w:t>元整；</w:t>
      </w:r>
    </w:p>
    <w:p>
      <w:pPr>
        <w:pStyle w:val="62"/>
        <w:ind w:firstLine="480"/>
        <w:rPr>
          <w:rFonts w:ascii="宋体" w:hAnsi="宋体"/>
          <w:color w:val="auto"/>
          <w:highlight w:val="none"/>
        </w:rPr>
      </w:pPr>
      <w:r>
        <w:rPr>
          <w:rFonts w:hint="eastAsia" w:ascii="宋体" w:hAnsi="宋体"/>
          <w:color w:val="auto"/>
          <w:highlight w:val="none"/>
        </w:rPr>
        <w:t>4、乙方须向甲方出具合法有效完整的完税发票及凭证资料进行支付结算。</w:t>
      </w:r>
    </w:p>
    <w:p>
      <w:pPr>
        <w:pStyle w:val="4"/>
        <w:spacing w:line="400" w:lineRule="exact"/>
        <w:ind w:firstLine="482" w:firstLineChars="200"/>
        <w:rPr>
          <w:rFonts w:ascii="宋体" w:hAnsi="宋体" w:eastAsia="宋体" w:cs="宋体"/>
          <w:color w:val="auto"/>
          <w:sz w:val="24"/>
          <w:szCs w:val="24"/>
          <w:highlight w:val="none"/>
        </w:rPr>
      </w:pPr>
      <w:bookmarkStart w:id="209" w:name="_Toc217446112"/>
      <w:r>
        <w:rPr>
          <w:rFonts w:hint="eastAsia" w:ascii="宋体" w:hAnsi="宋体" w:eastAsia="宋体" w:cs="宋体"/>
          <w:color w:val="auto"/>
          <w:sz w:val="24"/>
          <w:szCs w:val="24"/>
          <w:highlight w:val="none"/>
        </w:rPr>
        <w:t>六、售后服务</w:t>
      </w:r>
      <w:bookmarkEnd w:id="209"/>
    </w:p>
    <w:p>
      <w:pPr>
        <w:pStyle w:val="62"/>
        <w:ind w:firstLine="480"/>
        <w:rPr>
          <w:rFonts w:ascii="宋体" w:hAnsi="宋体"/>
          <w:color w:val="auto"/>
          <w:highlight w:val="none"/>
        </w:rPr>
      </w:pPr>
      <w:r>
        <w:rPr>
          <w:rFonts w:hint="eastAsia" w:ascii="宋体" w:hAnsi="宋体"/>
          <w:color w:val="auto"/>
          <w:highlight w:val="none"/>
        </w:rPr>
        <w:t>1、质保期为验收合格后</w:t>
      </w:r>
      <w:r>
        <w:rPr>
          <w:rFonts w:hint="eastAsia" w:ascii="宋体" w:hAnsi="宋体"/>
          <w:color w:val="auto"/>
          <w:szCs w:val="21"/>
          <w:highlight w:val="none"/>
        </w:rPr>
        <w:t>XX</w:t>
      </w:r>
      <w:r>
        <w:rPr>
          <w:rFonts w:hint="eastAsia" w:ascii="宋体" w:hAnsi="宋体"/>
          <w:color w:val="auto"/>
          <w:highlight w:val="none"/>
        </w:rPr>
        <w:t>年，质保期内出现质量问题，乙方在接到通知后</w:t>
      </w:r>
      <w:r>
        <w:rPr>
          <w:rFonts w:hint="eastAsia" w:ascii="宋体" w:hAnsi="宋体"/>
          <w:color w:val="auto"/>
          <w:highlight w:val="none"/>
          <w:u w:val="single"/>
        </w:rPr>
        <w:t xml:space="preserve">   </w:t>
      </w:r>
      <w:r>
        <w:rPr>
          <w:rFonts w:hint="eastAsia" w:ascii="宋体" w:hAnsi="宋体"/>
          <w:color w:val="auto"/>
          <w:highlight w:val="none"/>
        </w:rPr>
        <w:t>小时内响应到场，</w:t>
      </w:r>
      <w:r>
        <w:rPr>
          <w:rFonts w:hint="eastAsia" w:ascii="宋体" w:hAnsi="宋体"/>
          <w:color w:val="auto"/>
          <w:highlight w:val="none"/>
          <w:u w:val="single"/>
        </w:rPr>
        <w:t xml:space="preserve">    </w:t>
      </w:r>
      <w:r>
        <w:rPr>
          <w:rFonts w:hint="eastAsia" w:ascii="宋体" w:hAnsi="宋体"/>
          <w:color w:val="auto"/>
          <w:highlight w:val="none"/>
        </w:rPr>
        <w:t>小时内完成维修或更换，并承担修理调换的费用；如货物经乙方</w:t>
      </w:r>
      <w:r>
        <w:rPr>
          <w:rFonts w:hint="eastAsia" w:ascii="宋体" w:hAnsi="宋体"/>
          <w:color w:val="auto"/>
          <w:highlight w:val="none"/>
          <w:u w:val="single"/>
        </w:rPr>
        <w:t xml:space="preserve">   </w:t>
      </w:r>
      <w:r>
        <w:rPr>
          <w:rFonts w:hint="eastAsia" w:ascii="宋体" w:hAnsi="宋体"/>
          <w:color w:val="auto"/>
          <w:highlight w:val="none"/>
        </w:rPr>
        <w:t>次维修仍不能达到本合同约定的质量标准，视作乙方未能按时交货，甲方有权退货并追究乙方的违约责任。货到现场后由于甲方保管不当造成的问题，乙方亦应负责修复，但费用由甲方负担。</w:t>
      </w:r>
    </w:p>
    <w:p>
      <w:pPr>
        <w:pStyle w:val="62"/>
        <w:ind w:firstLine="480"/>
        <w:rPr>
          <w:rFonts w:ascii="宋体" w:hAnsi="宋体"/>
          <w:color w:val="auto"/>
          <w:highlight w:val="none"/>
        </w:rPr>
      </w:pPr>
      <w:r>
        <w:rPr>
          <w:rFonts w:hint="eastAsia" w:ascii="宋体" w:hAnsi="宋体"/>
          <w:color w:val="auto"/>
          <w:highlight w:val="none"/>
        </w:rPr>
        <w:t>2、乙方须指派专人负责与甲方联系售后服务事宜。 </w:t>
      </w:r>
    </w:p>
    <w:p>
      <w:pPr>
        <w:pStyle w:val="4"/>
        <w:spacing w:line="400" w:lineRule="exact"/>
        <w:ind w:firstLine="482" w:firstLineChars="200"/>
        <w:rPr>
          <w:rFonts w:ascii="宋体" w:hAnsi="宋体" w:eastAsia="宋体" w:cs="宋体"/>
          <w:color w:val="auto"/>
          <w:sz w:val="24"/>
          <w:szCs w:val="24"/>
          <w:highlight w:val="none"/>
        </w:rPr>
      </w:pPr>
      <w:bookmarkStart w:id="210" w:name="_Toc217446113"/>
      <w:r>
        <w:rPr>
          <w:rFonts w:hint="eastAsia" w:ascii="宋体" w:hAnsi="宋体" w:eastAsia="宋体" w:cs="宋体"/>
          <w:color w:val="auto"/>
          <w:sz w:val="24"/>
          <w:szCs w:val="24"/>
          <w:highlight w:val="none"/>
        </w:rPr>
        <w:t>七、违约责任</w:t>
      </w:r>
      <w:bookmarkEnd w:id="210"/>
    </w:p>
    <w:p>
      <w:pPr>
        <w:pStyle w:val="62"/>
        <w:ind w:firstLine="480"/>
        <w:rPr>
          <w:rFonts w:ascii="宋体" w:hAnsi="宋体"/>
          <w:color w:val="auto"/>
          <w:highlight w:val="none"/>
        </w:rPr>
      </w:pPr>
      <w:r>
        <w:rPr>
          <w:rFonts w:hint="eastAsia" w:ascii="宋体" w:hAnsi="宋体"/>
          <w:color w:val="auto"/>
          <w:highlight w:val="none"/>
        </w:rPr>
        <w:t>1、甲方违约责任</w:t>
      </w:r>
    </w:p>
    <w:p>
      <w:pPr>
        <w:pStyle w:val="62"/>
        <w:ind w:firstLine="480"/>
        <w:rPr>
          <w:rFonts w:ascii="宋体" w:hAnsi="宋体"/>
          <w:color w:val="auto"/>
          <w:highlight w:val="none"/>
        </w:rPr>
      </w:pPr>
      <w:r>
        <w:rPr>
          <w:rFonts w:hint="eastAsia" w:ascii="宋体" w:hAnsi="宋体"/>
          <w:color w:val="auto"/>
          <w:highlight w:val="none"/>
        </w:rPr>
        <w:t>（1） 甲方无正当理由拒收货物的，甲方应偿付合同总价百分之</w:t>
      </w:r>
      <w:r>
        <w:rPr>
          <w:rFonts w:hint="eastAsia" w:ascii="宋体" w:hAnsi="宋体"/>
          <w:color w:val="auto"/>
          <w:highlight w:val="none"/>
          <w:u w:val="single"/>
        </w:rPr>
        <w:t xml:space="preserve">  </w:t>
      </w:r>
      <w:r>
        <w:rPr>
          <w:rFonts w:hint="eastAsia" w:ascii="宋体" w:hAnsi="宋体"/>
          <w:color w:val="auto"/>
          <w:highlight w:val="none"/>
        </w:rPr>
        <w:t>的违约金；</w:t>
      </w:r>
    </w:p>
    <w:p>
      <w:pPr>
        <w:pStyle w:val="62"/>
        <w:ind w:firstLine="480"/>
        <w:rPr>
          <w:rFonts w:ascii="宋体" w:hAnsi="宋体"/>
          <w:color w:val="auto"/>
          <w:highlight w:val="none"/>
        </w:rPr>
      </w:pPr>
      <w:r>
        <w:rPr>
          <w:rFonts w:hint="eastAsia" w:ascii="宋体" w:hAnsi="宋体"/>
          <w:color w:val="auto"/>
          <w:highlight w:val="none"/>
        </w:rPr>
        <w:t>（2） 甲方逾期支付货款的，除应及时付足货款外，应向乙方偿付欠款总额万分之</w:t>
      </w:r>
      <w:r>
        <w:rPr>
          <w:rFonts w:hint="eastAsia" w:ascii="宋体" w:hAnsi="宋体"/>
          <w:color w:val="auto"/>
          <w:highlight w:val="none"/>
          <w:u w:val="single"/>
        </w:rPr>
        <w:t xml:space="preserve">  </w:t>
      </w:r>
      <w:r>
        <w:rPr>
          <w:rFonts w:hint="eastAsia" w:ascii="宋体" w:hAnsi="宋体"/>
          <w:color w:val="auto"/>
          <w:highlight w:val="none"/>
        </w:rPr>
        <w:t xml:space="preserve"> /天的违约金；逾期付款超过</w:t>
      </w:r>
      <w:r>
        <w:rPr>
          <w:rFonts w:hint="eastAsia" w:ascii="宋体" w:hAnsi="宋体"/>
          <w:color w:val="auto"/>
          <w:highlight w:val="none"/>
          <w:u w:val="single"/>
        </w:rPr>
        <w:t xml:space="preserve">  </w:t>
      </w:r>
      <w:r>
        <w:rPr>
          <w:rFonts w:hint="eastAsia" w:ascii="宋体" w:hAnsi="宋体"/>
          <w:color w:val="auto"/>
          <w:highlight w:val="none"/>
        </w:rPr>
        <w:t>天的，乙方有权终止合同；</w:t>
      </w:r>
    </w:p>
    <w:p>
      <w:pPr>
        <w:pStyle w:val="62"/>
        <w:ind w:firstLine="480"/>
        <w:rPr>
          <w:rFonts w:ascii="宋体" w:hAnsi="宋体"/>
          <w:color w:val="auto"/>
          <w:highlight w:val="none"/>
        </w:rPr>
      </w:pPr>
      <w:r>
        <w:rPr>
          <w:rFonts w:hint="eastAsia" w:ascii="宋体" w:hAnsi="宋体"/>
          <w:color w:val="auto"/>
          <w:highlight w:val="none"/>
        </w:rPr>
        <w:t>（3） 甲方偿付的违约金不足以弥补乙方损失的，还应按乙方损失尚未弥补的部分，支付赔偿金给乙方。</w:t>
      </w:r>
    </w:p>
    <w:p>
      <w:pPr>
        <w:pStyle w:val="62"/>
        <w:ind w:firstLine="480"/>
        <w:rPr>
          <w:rFonts w:ascii="宋体" w:hAnsi="宋体"/>
          <w:color w:val="auto"/>
          <w:highlight w:val="none"/>
        </w:rPr>
      </w:pPr>
      <w:r>
        <w:rPr>
          <w:rFonts w:hint="eastAsia" w:ascii="宋体" w:hAnsi="宋体"/>
          <w:color w:val="auto"/>
          <w:highlight w:val="none"/>
        </w:rPr>
        <w:t>2、乙方违约责任</w:t>
      </w:r>
    </w:p>
    <w:p>
      <w:pPr>
        <w:pStyle w:val="62"/>
        <w:ind w:firstLine="480"/>
        <w:rPr>
          <w:rFonts w:ascii="宋体" w:hAnsi="宋体"/>
          <w:color w:val="auto"/>
          <w:highlight w:val="none"/>
        </w:rPr>
      </w:pPr>
      <w:r>
        <w:rPr>
          <w:rFonts w:hint="eastAsia" w:ascii="宋体" w:hAnsi="宋体"/>
          <w:color w:val="auto"/>
          <w:highlight w:val="none"/>
        </w:rPr>
        <w:t>（1）乙方交付的货物质量不符合合同规定的，乙方应向甲方支付合同总价的百分之</w:t>
      </w:r>
      <w:r>
        <w:rPr>
          <w:rFonts w:hint="eastAsia" w:ascii="宋体" w:hAnsi="宋体"/>
          <w:color w:val="auto"/>
          <w:highlight w:val="none"/>
          <w:u w:val="single"/>
        </w:rPr>
        <w:t xml:space="preserve">  </w:t>
      </w:r>
      <w:r>
        <w:rPr>
          <w:rFonts w:hint="eastAsia" w:ascii="宋体" w:hAnsi="宋体"/>
          <w:color w:val="auto"/>
          <w:highlight w:val="none"/>
        </w:rPr>
        <w:t>的违约金，并须在合同规定的交货时间内更换合格的货物给甲方，否则，视作乙方不能交付货物而违约，按本条本款下述第“（2）”项规定由乙方偿付违约赔偿金给甲方。</w:t>
      </w:r>
    </w:p>
    <w:p>
      <w:pPr>
        <w:pStyle w:val="62"/>
        <w:ind w:firstLine="480"/>
        <w:rPr>
          <w:rFonts w:ascii="宋体" w:hAnsi="宋体"/>
          <w:color w:val="auto"/>
          <w:highlight w:val="none"/>
        </w:rPr>
      </w:pPr>
      <w:r>
        <w:rPr>
          <w:rFonts w:hint="eastAsia" w:ascii="宋体" w:hAnsi="宋体"/>
          <w:color w:val="auto"/>
          <w:highlight w:val="none"/>
        </w:rPr>
        <w:t>（2）乙方不能交付货物或逾期交付货物而违约的，除应及时交足货物外，应向甲方偿付逾期交货部分货款总额的万分之</w:t>
      </w:r>
      <w:r>
        <w:rPr>
          <w:rFonts w:hint="eastAsia" w:ascii="宋体" w:hAnsi="宋体"/>
          <w:color w:val="auto"/>
          <w:highlight w:val="none"/>
          <w:u w:val="single"/>
        </w:rPr>
        <w:t xml:space="preserve">  </w:t>
      </w:r>
      <w:r>
        <w:rPr>
          <w:rFonts w:hint="eastAsia" w:ascii="宋体" w:hAnsi="宋体"/>
          <w:color w:val="auto"/>
          <w:highlight w:val="none"/>
        </w:rPr>
        <w:t xml:space="preserve"> /天的违约金；逾期交货超过</w:t>
      </w:r>
      <w:r>
        <w:rPr>
          <w:rFonts w:hint="eastAsia" w:ascii="宋体" w:hAnsi="宋体"/>
          <w:color w:val="auto"/>
          <w:szCs w:val="21"/>
          <w:highlight w:val="none"/>
        </w:rPr>
        <w:t>XX</w:t>
      </w:r>
      <w:r>
        <w:rPr>
          <w:rFonts w:hint="eastAsia" w:ascii="宋体" w:hAnsi="宋体"/>
          <w:color w:val="auto"/>
          <w:highlight w:val="none"/>
        </w:rPr>
        <w:t>天，甲方有权终止合同，乙方则应按合同总价的百分之</w:t>
      </w:r>
      <w:r>
        <w:rPr>
          <w:rFonts w:hint="eastAsia" w:ascii="宋体" w:hAnsi="宋体"/>
          <w:color w:val="auto"/>
          <w:highlight w:val="none"/>
          <w:u w:val="single"/>
        </w:rPr>
        <w:t xml:space="preserve">  </w:t>
      </w:r>
      <w:r>
        <w:rPr>
          <w:rFonts w:hint="eastAsia" w:ascii="宋体" w:hAnsi="宋体"/>
          <w:color w:val="auto"/>
          <w:highlight w:val="none"/>
        </w:rPr>
        <w:t>的款额向甲方偿付赔偿金，并须全额退还甲方已经付给乙方的货款及其利息。</w:t>
      </w:r>
    </w:p>
    <w:p>
      <w:pPr>
        <w:pStyle w:val="62"/>
        <w:ind w:firstLine="480"/>
        <w:rPr>
          <w:rFonts w:ascii="宋体" w:hAnsi="宋体"/>
          <w:color w:val="auto"/>
          <w:highlight w:val="none"/>
        </w:rPr>
      </w:pPr>
      <w:r>
        <w:rPr>
          <w:rFonts w:hint="eastAsia" w:ascii="宋体" w:hAnsi="宋体"/>
          <w:color w:val="auto"/>
          <w:highlight w:val="none"/>
        </w:rPr>
        <w:t>（3）乙方货物经甲方送交具有法定资格条件的质量技术监督机构检测后，如检测结果认定货物质量不符合本合同规定标准的，则视为乙方没有按时交货而违约，乙方须在</w:t>
      </w:r>
      <w:r>
        <w:rPr>
          <w:rFonts w:hint="eastAsia" w:ascii="宋体" w:hAnsi="宋体"/>
          <w:color w:val="auto"/>
          <w:highlight w:val="none"/>
          <w:u w:val="single"/>
        </w:rPr>
        <w:t xml:space="preserve">   </w:t>
      </w:r>
      <w:r>
        <w:rPr>
          <w:rFonts w:hint="eastAsia" w:ascii="宋体" w:hAnsi="宋体"/>
          <w:color w:val="auto"/>
          <w:highlight w:val="none"/>
        </w:rPr>
        <w:t>天内无条件更换合格的货物，如逾期不能更换合格的货物，甲方有权终止本合同，乙方应另付合同总价的百分之</w:t>
      </w:r>
      <w:r>
        <w:rPr>
          <w:rFonts w:hint="eastAsia" w:ascii="宋体" w:hAnsi="宋体"/>
          <w:color w:val="auto"/>
          <w:highlight w:val="none"/>
          <w:u w:val="single"/>
        </w:rPr>
        <w:t xml:space="preserve">   </w:t>
      </w:r>
      <w:r>
        <w:rPr>
          <w:rFonts w:hint="eastAsia" w:ascii="宋体" w:hAnsi="宋体"/>
          <w:color w:val="auto"/>
          <w:highlight w:val="none"/>
        </w:rPr>
        <w:t>的赔偿金给甲方。</w:t>
      </w:r>
    </w:p>
    <w:p>
      <w:pPr>
        <w:pStyle w:val="62"/>
        <w:ind w:firstLine="480"/>
        <w:rPr>
          <w:rFonts w:ascii="宋体" w:hAnsi="宋体"/>
          <w:color w:val="auto"/>
          <w:highlight w:val="none"/>
        </w:rPr>
      </w:pPr>
      <w:r>
        <w:rPr>
          <w:rFonts w:hint="eastAsia" w:ascii="宋体" w:hAnsi="宋体"/>
          <w:color w:val="auto"/>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宋体" w:hAnsi="宋体"/>
          <w:color w:val="auto"/>
          <w:highlight w:val="none"/>
          <w:u w:val="single"/>
        </w:rPr>
        <w:t xml:space="preserve">   </w:t>
      </w:r>
      <w:r>
        <w:rPr>
          <w:rFonts w:hint="eastAsia" w:ascii="宋体" w:hAnsi="宋体"/>
          <w:color w:val="auto"/>
          <w:highlight w:val="none"/>
        </w:rPr>
        <w:t>向甲方支付违约金并赔偿因此给甲方造成的一切损失。</w:t>
      </w:r>
    </w:p>
    <w:p>
      <w:pPr>
        <w:pStyle w:val="62"/>
        <w:ind w:firstLine="480"/>
        <w:rPr>
          <w:rFonts w:ascii="宋体" w:hAnsi="宋体"/>
          <w:color w:val="auto"/>
          <w:highlight w:val="none"/>
        </w:rPr>
      </w:pPr>
      <w:r>
        <w:rPr>
          <w:rFonts w:hint="eastAsia" w:ascii="宋体" w:hAnsi="宋体"/>
          <w:color w:val="auto"/>
          <w:highlight w:val="none"/>
        </w:rPr>
        <w:t>（5）乙方偿付的违约金不足以弥补甲方损失的，还应按甲方损失尚未弥补的部分，支付赔偿金给甲方。</w:t>
      </w:r>
    </w:p>
    <w:p>
      <w:pPr>
        <w:pStyle w:val="4"/>
        <w:spacing w:line="400" w:lineRule="exact"/>
        <w:ind w:firstLine="482" w:firstLineChars="200"/>
        <w:rPr>
          <w:rFonts w:ascii="宋体" w:hAnsi="宋体" w:eastAsia="宋体" w:cs="宋体"/>
          <w:color w:val="auto"/>
          <w:sz w:val="24"/>
          <w:szCs w:val="24"/>
          <w:highlight w:val="none"/>
        </w:rPr>
      </w:pPr>
      <w:bookmarkStart w:id="211" w:name="_Toc217446114"/>
      <w:r>
        <w:rPr>
          <w:rFonts w:hint="eastAsia" w:ascii="宋体" w:hAnsi="宋体" w:eastAsia="宋体" w:cs="宋体"/>
          <w:color w:val="auto"/>
          <w:sz w:val="24"/>
          <w:szCs w:val="24"/>
          <w:highlight w:val="none"/>
        </w:rPr>
        <w:t>八、争议解决办法</w:t>
      </w:r>
      <w:bookmarkEnd w:id="211"/>
    </w:p>
    <w:p>
      <w:pPr>
        <w:pStyle w:val="62"/>
        <w:ind w:firstLine="480"/>
        <w:rPr>
          <w:rFonts w:ascii="宋体" w:hAnsi="宋体"/>
          <w:color w:val="auto"/>
          <w:highlight w:val="none"/>
        </w:rPr>
      </w:pPr>
      <w:r>
        <w:rPr>
          <w:rFonts w:hint="eastAsia" w:ascii="宋体" w:hAnsi="宋体"/>
          <w:color w:val="auto"/>
          <w:highlight w:val="none"/>
        </w:rPr>
        <w:t>1、因货物的质量问题发生争议，由质量技术监督部门或其指定的质量鉴定机构进行质量鉴定。货物符合标准的，鉴定费由甲方承担；货物不符合质量标准的，鉴定费由乙方承担。</w:t>
      </w:r>
    </w:p>
    <w:p>
      <w:pPr>
        <w:pStyle w:val="62"/>
        <w:ind w:firstLine="480"/>
        <w:rPr>
          <w:rFonts w:ascii="宋体" w:hAnsi="宋体"/>
          <w:color w:val="auto"/>
          <w:highlight w:val="none"/>
        </w:rPr>
      </w:pPr>
      <w:r>
        <w:rPr>
          <w:rFonts w:hint="eastAsia" w:ascii="宋体" w:hAnsi="宋体"/>
          <w:color w:val="auto"/>
          <w:highlight w:val="none"/>
        </w:rPr>
        <w:t>2、合同履行期间,若双方发生争议，可协商或由有关部门调解解决，协商或调解不成的，由当事人依法维护其合法权益。</w:t>
      </w:r>
    </w:p>
    <w:p>
      <w:pPr>
        <w:pStyle w:val="4"/>
        <w:spacing w:line="400" w:lineRule="exact"/>
        <w:ind w:firstLine="482" w:firstLineChars="200"/>
        <w:rPr>
          <w:rFonts w:ascii="宋体" w:hAnsi="宋体" w:eastAsia="宋体" w:cs="宋体"/>
          <w:color w:val="auto"/>
          <w:sz w:val="24"/>
          <w:szCs w:val="24"/>
          <w:highlight w:val="none"/>
        </w:rPr>
      </w:pPr>
      <w:bookmarkStart w:id="212" w:name="_Toc217446115"/>
      <w:r>
        <w:rPr>
          <w:rFonts w:hint="eastAsia" w:ascii="宋体" w:hAnsi="宋体" w:eastAsia="宋体" w:cs="宋体"/>
          <w:color w:val="auto"/>
          <w:sz w:val="24"/>
          <w:szCs w:val="24"/>
          <w:highlight w:val="none"/>
        </w:rPr>
        <w:t>九、其他</w:t>
      </w:r>
      <w:bookmarkEnd w:id="212"/>
    </w:p>
    <w:p>
      <w:pPr>
        <w:pStyle w:val="62"/>
        <w:ind w:firstLine="480"/>
        <w:rPr>
          <w:rFonts w:ascii="宋体" w:hAnsi="宋体"/>
          <w:color w:val="auto"/>
          <w:highlight w:val="none"/>
        </w:rPr>
      </w:pPr>
      <w:r>
        <w:rPr>
          <w:rFonts w:hint="eastAsia" w:ascii="宋体" w:hAnsi="宋体"/>
          <w:color w:val="auto"/>
          <w:highlight w:val="none"/>
        </w:rPr>
        <w:t>1、如有未尽事宜，由双方依法订立补充合同。</w:t>
      </w:r>
    </w:p>
    <w:p>
      <w:pPr>
        <w:pStyle w:val="62"/>
        <w:ind w:firstLine="480"/>
        <w:rPr>
          <w:rFonts w:ascii="宋体" w:hAnsi="宋体"/>
          <w:color w:val="auto"/>
          <w:highlight w:val="none"/>
        </w:rPr>
      </w:pPr>
      <w:r>
        <w:rPr>
          <w:rFonts w:hint="eastAsia" w:ascii="宋体" w:hAnsi="宋体"/>
          <w:color w:val="auto"/>
          <w:highlight w:val="none"/>
        </w:rPr>
        <w:t>2、本合同一式六份，自双方签章之日起生效。甲方三份，乙方、政府采购管理部门、采购代理机构各一份。</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甲方：   （盖章）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乙方：   （盖章）</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法定代表人（授权代表）：            法定代表人（授权代表）：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    址：                         地    址：</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账号：                             账号：</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传    真：                         传    真：</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签约日期：XX年XX月XX日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签约日期：XX年XX月XX日</w:t>
      </w:r>
    </w:p>
    <w:p>
      <w:pPr>
        <w:spacing w:line="360" w:lineRule="auto"/>
        <w:rPr>
          <w:rFonts w:ascii="宋体" w:hAnsi="宋体" w:cs="宋体"/>
          <w:color w:val="auto"/>
          <w:sz w:val="24"/>
          <w:highlight w:val="none"/>
        </w:rPr>
      </w:pPr>
    </w:p>
    <w:p>
      <w:pPr>
        <w:spacing w:line="360" w:lineRule="auto"/>
        <w:ind w:firstLine="480" w:firstLineChars="200"/>
        <w:jc w:val="left"/>
        <w:rPr>
          <w:rFonts w:ascii="宋体" w:hAnsi="宋体" w:cs="宋体"/>
          <w:color w:val="auto"/>
          <w:highlight w:val="none"/>
        </w:rPr>
      </w:pPr>
      <w:r>
        <w:rPr>
          <w:rFonts w:hint="eastAsia" w:ascii="宋体" w:hAnsi="宋体" w:cs="宋体"/>
          <w:color w:val="auto"/>
          <w:sz w:val="24"/>
          <w:highlight w:val="none"/>
        </w:rPr>
        <w:br w:type="textWrapping"/>
      </w:r>
    </w:p>
    <w:p>
      <w:pPr>
        <w:spacing w:line="360" w:lineRule="auto"/>
        <w:rPr>
          <w:rFonts w:ascii="宋体" w:hAnsi="宋体" w:cs="宋体"/>
          <w:color w:val="auto"/>
          <w:sz w:val="24"/>
          <w:highlight w:val="none"/>
        </w:rPr>
      </w:pPr>
    </w:p>
    <w:sectPr>
      <w:pgSz w:w="11905" w:h="16838"/>
      <w:pgMar w:top="1440" w:right="1474" w:bottom="1440" w:left="1474" w:header="851" w:footer="992" w:gutter="0"/>
      <w:cols w:space="720" w:num="1"/>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Eʩ">
    <w:altName w:val="微软雅黑"/>
    <w:panose1 w:val="00000000000000000000"/>
    <w:charset w:val="00"/>
    <w:family w:val="auto"/>
    <w:pitch w:val="default"/>
    <w:sig w:usb0="00000000" w:usb1="00000000" w:usb2="00000000" w:usb3="00000000" w:csb0="00040001" w:csb1="00000000"/>
  </w:font>
  <w:font w:name="CIDFont + F2">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IDFont + F1">
    <w:altName w:val="Segoe Print"/>
    <w:panose1 w:val="00000000000000000000"/>
    <w:charset w:val="00"/>
    <w:family w:val="auto"/>
    <w:pitch w:val="default"/>
    <w:sig w:usb0="00000000" w:usb1="00000000" w:usb2="00000000" w:usb3="00000000" w:csb0="00040001" w:csb1="00000000"/>
  </w:font>
  <w:font w:name="方正仿宋">
    <w:altName w:val="仿宋"/>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after="0" w:line="240" w:lineRule="auto"/>
      <w:rPr>
        <w:rFonts w:eastAsia="方正仿宋"/>
        <w:b/>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rPr>
                              <w:rFonts w:hint="eastAsia"/>
                            </w:rPr>
                            <w:t>1</w:t>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1lhN8QBAACQAwAADgAAAGRycy9lMm9Eb2MueG1srVPBbtswDL0P6D8I&#10;ujdychgyI07RIuhQoNgGdPsARZZjAZIoiErs/MD2Bzvtsvu+K98xynbSrbv0sItMkdQj3yO9uumd&#10;ZQcd0YCv+HxWcKa9gtr4XcW/fL6/XnKGSfpaWvC64keN/GZ99WbVhVIvoAVb68gIxGPZhYq3KYVS&#10;CFStdhJnELSnYAPRyUTXuBN1lB2hOysWRfFWdBDrEEFpRPJuxiCfEONrAKFpjNIbUHunfRpRo7Yy&#10;ESVsTUC+HrptGq3Sx6ZBnZitODFNw0lFyN7mU6xXstxFGVqjphbka1p4wclJ46noBWojk2T7aP6B&#10;ckZFQGjSTIETI5FBEWIxL15o89TKoAcuJDWGi+j4/2DVh8OnyExNm8CZl44Gfvr+7fTj1+nnVzYv&#10;Fu+yQl3AkhKfAqWm/g76nD35kZyZeN9El79EiVGc9D1e9NV9Yio/Wi6Wy4JCimLnC+GI5+chYnqv&#10;wbFsVDzSAAdd5eER05h6TsnVPNwba8kvS+v/chBm9ojc+9hjtlK/7afGt1AfiU9Hs6+4p1XnzD54&#10;kjavydmIZ2M7GbkGhtt9osJDPxl1hJqK0aAGRtNS5U348z5kPf9I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W1lhN8QBAACQAwAADgAAAAAAAAABACAAAAAeAQAAZHJzL2Uyb0RvYy54bWxQ&#10;SwUGAAAAAAYABgBZAQAAVAUAAAAA&#10;">
              <v:fill on="f" focussize="0,0"/>
              <v:stroke on="f"/>
              <v:imagedata o:title=""/>
              <o:lock v:ext="edit" aspectratio="f"/>
              <v:textbox inset="0mm,0mm,0mm,0mm" style="mso-fit-shape-to-text:t;">
                <w:txbxContent>
                  <w:p>
                    <w:pPr>
                      <w:pStyle w:val="20"/>
                    </w:pPr>
                    <w:r>
                      <w:rPr>
                        <w:rFonts w:hint="eastAsia"/>
                      </w:rPr>
                      <w:t>1</w:t>
                    </w:r>
                  </w:p>
                </w:txbxContent>
              </v:textbox>
            </v:shape>
          </w:pict>
        </mc:Fallback>
      </mc:AlternateContent>
    </w:r>
    <w:r>
      <w:rPr>
        <w:rFonts w:hint="eastAsia" w:eastAsia="方正仿宋"/>
        <w:b/>
      </w:rPr>
      <w:t>业务咨询：028-86958918    投诉建议：028-61195711</w:t>
    </w:r>
  </w:p>
  <w:p>
    <w:pPr>
      <w:pStyle w:val="20"/>
      <w:spacing w:after="0" w:line="240" w:lineRule="auto"/>
      <w:rPr>
        <w:rFonts w:eastAsia="方正仿宋"/>
        <w:b/>
      </w:rPr>
    </w:pPr>
    <w:r>
      <w:rPr>
        <w:rFonts w:hint="eastAsia" w:eastAsia="方正仿宋"/>
        <w:b/>
      </w:rPr>
      <w:t>地址：四川省成都市武侯区武科东四路18号联邦财富中心1-2-1005（C）</w:t>
    </w:r>
  </w:p>
  <w:p>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after="0" w:line="240" w:lineRule="auto"/>
      <w:rPr>
        <w:rFonts w:eastAsia="方正仿宋"/>
        <w:b/>
      </w:rPr>
    </w:pPr>
    <w:r>
      <w:rPr>
        <w:rFonts w:hint="eastAsia" w:eastAsia="方正仿宋"/>
        <w:b/>
      </w:rPr>
      <w:t>业务咨询：028-86958918                                                       投诉建议：028-61195711</w:t>
    </w:r>
  </w:p>
  <w:p>
    <w:pPr>
      <w:pStyle w:val="20"/>
      <w:spacing w:after="0" w:line="240" w:lineRule="auto"/>
      <w:rPr>
        <w:rFonts w:eastAsia="方正仿宋"/>
      </w:rPr>
    </w:pPr>
    <w:r>
      <w:rPr>
        <w:rFonts w:hint="eastAsia" w:eastAsia="方正仿宋"/>
        <w:b/>
      </w:rPr>
      <w:t>地址：四川省成都市武侯区武科东四路18号联邦财富中心1-2-1005（C）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after="0" w:line="240" w:lineRule="auto"/>
      <w:rPr>
        <w:rFonts w:eastAsia="方正仿宋"/>
        <w:b/>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wrap="none" lIns="0" tIns="0" rIns="0" bIns="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bx9jcMBAACOAwAADgAAAGRycy9lMm9Eb2MueG1srVPNjtMwEL4j8Q6W&#10;79TZLkJ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68pcdziwM8/vp9//j7/+kau&#10;X2d9+gA1pt0HTEzDWz/g1sx+QGemPaho8xcJEYyjuqeLunJIRORHq+VqVWFIYGy+ID57eB4ipHfS&#10;W5KNhkYcX1GVHz9AGlPnlFzN+TttTBmhcf84EDN7WO597DFbadgNE6Gdb0/Ip8fJN9TholNi3jsU&#10;Ni/JbMTZ2E1GrgHh9pCwcOkno45QUzEcU2E0rVTeg7/vJevhN9r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BvH2NwwEAAI4DAAAOAAAAAAAAAAEAIAAAAB4BAABkcnMvZTJvRG9jLnhtbFBL&#10;BQYAAAAABgAGAFkBAABTBQ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rPr>
                              <w:rFonts w:hint="eastAsia"/>
                            </w:rPr>
                            <w:t>1</w:t>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2zJosQBAACQAwAADgAAAGRycy9lMm9Eb2MueG1srVNLbtswEN0XyB0I&#10;7mPKWhSu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MlIN8LeHiIVzPwl1hJqK4aAyo2mp0ib8ec9Zzz/S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s2zJosQBAACQAwAADgAAAAAAAAABACAAAAAeAQAAZHJzL2Uyb0RvYy54bWxQ&#10;SwUGAAAAAAYABgBZAQAAVAUAAAAA&#10;">
              <v:fill on="f" focussize="0,0"/>
              <v:stroke on="f"/>
              <v:imagedata o:title=""/>
              <o:lock v:ext="edit" aspectratio="f"/>
              <v:textbox inset="0mm,0mm,0mm,0mm" style="mso-fit-shape-to-text:t;">
                <w:txbxContent>
                  <w:p>
                    <w:pPr>
                      <w:pStyle w:val="20"/>
                    </w:pPr>
                    <w:r>
                      <w:rPr>
                        <w:rFonts w:hint="eastAsia"/>
                      </w:rPr>
                      <w:t>1</w:t>
                    </w:r>
                  </w:p>
                </w:txbxContent>
              </v:textbox>
            </v:shape>
          </w:pict>
        </mc:Fallback>
      </mc:AlternateContent>
    </w:r>
    <w:r>
      <w:rPr>
        <w:rFonts w:hint="eastAsia" w:eastAsia="方正仿宋"/>
        <w:b/>
      </w:rPr>
      <w:t>业务咨询：028-86958918    投诉建议：028-61195711</w:t>
    </w:r>
  </w:p>
  <w:p>
    <w:pPr>
      <w:pStyle w:val="20"/>
      <w:spacing w:after="0" w:line="240" w:lineRule="auto"/>
      <w:rPr>
        <w:rFonts w:eastAsia="方正仿宋"/>
        <w:b/>
      </w:rPr>
    </w:pPr>
    <w:r>
      <w:rPr>
        <w:rFonts w:hint="eastAsia" w:eastAsia="方正仿宋"/>
        <w:b/>
      </w:rPr>
      <w:t>地址：四川省成都市武侯区武科东四路18号联邦财富中心1-2-1005（C）</w:t>
    </w:r>
  </w:p>
  <w:p>
    <w:pPr>
      <w:pStyle w:val="2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after="0" w:line="240" w:lineRule="auto"/>
      <w:rPr>
        <w:rFonts w:eastAsia="方正仿宋"/>
        <w:b/>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4PQucMBAACOAwAADgAAAGRycy9lMm9Eb2MueG1srVPNjtMwEL4j8Q6W&#10;79TZ8qMqaroCVYuQECAtPIDr2I0l/8njNukLwBtw4sKd5+pzMHaSLuxe9rAXZzwz/ma+bybr68Ea&#10;cpQRtHcNvVpUlEgnfKvdvqHfvt68WFECibuWG+9kQ08S6PXm+bN1H2q59J03rYwEQRzUfWhol1Ko&#10;GQPRScth4YN0GFQ+Wp7wGvesjbxHdGvYsqresN7HNkQvJAB6t2OQTojxMYBeKS3k1ouDlS6NqFEa&#10;npASdDoA3ZRulZIifVYKZCKmocg0lROLoL3LJ9useb2PPHRaTC3wx7Rwj5Pl2mHRC9SWJ04OUT+A&#10;slpED16lhfCWjUSKIsjiqrqnzW3HgyxcUGoIF9Hh6WDFp+OXSHTb0FeUOG5x4OefP86//px/fycv&#10;X2d9+gA1pt0GTEzDOz/g1sx+QGemPaho8xcJEYyjuqeLunJIRORHq+VqVWFIYGy+ID67ex4ipPfS&#10;W5KNhkYcX1GVHz9CGlPnlFzN+RttTBmhcf85EDN7WO597DFbadgNE6Gdb0/Ip8fJN9TholNiPjgU&#10;Ni/JbMTZ2E1GrgHh7SFh4dJPRh2hpmI4psJoWqm8B//eS9bdb7T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ng9C5wwEAAI4DAAAOAAAAAAAAAAEAIAAAAB4BAABkcnMvZTJvRG9jLnhtbFBL&#10;BQYAAAAABgAGAFkBAABTBQ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eastAsia="方正仿宋"/>
        <w:b/>
      </w:rPr>
      <w:t>业务咨询：028-86958918                                                       投诉建议：028-61195711</w:t>
    </w:r>
  </w:p>
  <w:p>
    <w:pPr>
      <w:pStyle w:val="20"/>
      <w:spacing w:after="0" w:line="240" w:lineRule="auto"/>
      <w:rPr>
        <w:rFonts w:eastAsia="方正仿宋"/>
      </w:rPr>
    </w:pPr>
    <w:r>
      <w:rPr>
        <w:rFonts w:hint="eastAsia" w:eastAsia="方正仿宋"/>
        <w:b/>
      </w:rPr>
      <w:t>地址：四川省成都市武侯区武科东四路18号联邦财富中心1-2-1005（C）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v0otMMBAACOAwAADgAAAGRycy9lMm9Eb2MueG1srVPNjtMwEL4j8Q6W&#10;79TZI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W8ocdziwM8/vp9//j7/+kZe&#10;X2d9+gA1pt0HTEzDWz/g1sx+QGemPaho8xcJEYyjuqeLunJIRORHq+VqVWFIYGy+ID57eB4ipHfS&#10;W5KNhkYcX1GVHz9AGlPnlFzN+TttTBmhcf84EDN7WO597DFbadgNE6Gdb0/Ip8fJN9TholNi3jsU&#10;Ni/JbMTZ2E1GrgHh9pCwcOkno45QUzEcU2E0rVTeg7/vJevhN9r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e/Si0wwEAAI4DAAAOAAAAAAAAAAEAIAAAAB4BAABkcnMvZTJvRG9jLnhtbFBL&#10;BQYAAAAABgAGAFkBAABTBQ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d46RcMBAACOAwAADgAAAGRycy9lMm9Eb2MueG1srVPNjtMwEL4j8Q6W&#10;79TZIi1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deUOG5x4Ocf388/f59/fSOv&#10;32R9+gA1pt0HTEzDWz/g1sx+QGemPaho8xcJEYyjuqeLunJIRORHq+VqVWFIYGy+ID57eB4ipHfS&#10;W5KNhkYcX1GVHz9AGlPnlFzN+TttTBmhcf84EDN7WO597DFbadgNE6Gdb0/Ip8fJN9TholNi3jsU&#10;Ni/JbMTZ2E1GrgHh9pCwcOkno45QUzEcU2E0rVTeg7/vJevhN9r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R3jpFwwEAAI4DAAAOAAAAAAAAAAEAIAAAAB4BAABkcnMvZTJvRG9jLnhtbFBL&#10;BQYAAAAABgAGAFkBAABTBQ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UWcusMBAACOAwAADgAAAGRycy9lMm9Eb2MueG1srVNLbtswEN0X6B0I&#10;7mMqDtAKguWghZGiQNEWSHMAmqIsAvyBQ1vyBdobdNVN9z2Xz9EhJTm/TRbZUMOZ4Zt5b0ar68Fo&#10;cpABlLM1vVwUlEgrXKPsrqZ3P24uSkogcttw7ays6VECvV6/fbPqfSWXrnO6kYEgiIWq9zXtYvQV&#10;YyA6aTgsnJcWg60Lhke8hh1rAu8R3Wi2LIp3rHeh8cEJCYDezRikE2J4CaBrWyXkxom9kTaOqEFq&#10;HpESdMoDXedu21aK+K1tQUaia4pMYz6xCNrbdLL1ile7wH2nxNQCf0kLTzgZriwWPUNteORkH9Qz&#10;KKNEcODauBDOsJFIVgRZXBZPtLntuJeZC0oN/iw6vB6s+Hr4HohqavqeEssNDvz0+9fpz7/T35/k&#10;qkz69B4qTLv1mBiHj27ArZn9gM5Ee2iDSV8kRDCO6h7P6sohEpEelcuyLDAkMDZfEJ/dP/cB4ifp&#10;DElGTQOOL6vKD18gjqlzSqpm3Y3SOo9Q20cOxEwelnofe0xWHLbDRGjrmiPy6XHyNbW46JTozxaF&#10;TUsyG2E2tpORaoD/sI9YOPeTUEeoqRiOKTOaVirtwcN7zrr/jdb/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lRZy6wwEAAI4DAAAOAAAAAAAAAAEAIAAAAB4BAABkcnMvZTJvRG9jLnhtbFBL&#10;BQYAAAAABgAGAFkBAABTBQ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left="6300" w:hanging="6300" w:hangingChars="350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a:spAutoFit/>
                    </wps:bodyPr>
                  </wps:wsp>
                </a:graphicData>
              </a:graphic>
            </wp:anchor>
          </w:drawing>
        </mc:Choice>
        <mc:Fallback>
          <w:pict>
            <v:shape id="文本框 3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EQ+3sIBAACO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UBy74xYHfv754/zrz/n3d/L6&#10;bdanD1Bj2m3AxDS89wNuzewHdGbag4o2f5EQwTiqe7qoK4dERH60Wq5WFYYExuYL4rP75yFC+iC9&#10;JdloaMTxFVX58ROkMXVOydWcv9HGlBEa958DMbOH5d7HHrOVht0wEdr59oR8epx8Qx0uOiXmo0Nh&#10;85LMRpyN3WTkGhDeHRIWLv1k1BFqKoZjKoymlcp78O+9ZN3/Rp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BEPt7CAQAAjgMAAA4AAAAAAAAAAQAgAAAAHgEAAGRycy9lMm9Eb2MueG1sUEsF&#10;BgAAAAAGAAYAWQEAAFIFA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tabs>
        <w:tab w:val="left" w:pos="1190"/>
      </w:tabs>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r>
      <w:rPr>
        <w:rFonts w:hint="eastAsia" w:ascii="宋体" w:hAnsi="宋体" w:cs="宋体"/>
        <w:color w:val="000000"/>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A4A5B"/>
    <w:multiLevelType w:val="singleLevel"/>
    <w:tmpl w:val="9D0A4A5B"/>
    <w:lvl w:ilvl="0" w:tentative="0">
      <w:start w:val="4"/>
      <w:numFmt w:val="chineseCounting"/>
      <w:suff w:val="nothing"/>
      <w:lvlText w:val="%1、"/>
      <w:lvlJc w:val="left"/>
      <w:rPr>
        <w:rFonts w:hint="eastAsia"/>
      </w:rPr>
    </w:lvl>
  </w:abstractNum>
  <w:abstractNum w:abstractNumId="1">
    <w:nsid w:val="587D89C6"/>
    <w:multiLevelType w:val="singleLevel"/>
    <w:tmpl w:val="587D89C6"/>
    <w:lvl w:ilvl="0" w:tentative="0">
      <w:start w:val="1"/>
      <w:numFmt w:val="decimal"/>
      <w:suff w:val="nothing"/>
      <w:lvlText w:val="%1、"/>
      <w:lvlJc w:val="left"/>
    </w:lvl>
  </w:abstractNum>
  <w:abstractNum w:abstractNumId="2">
    <w:nsid w:val="58807131"/>
    <w:multiLevelType w:val="singleLevel"/>
    <w:tmpl w:val="58807131"/>
    <w:lvl w:ilvl="0" w:tentative="0">
      <w:start w:val="1"/>
      <w:numFmt w:val="decimal"/>
      <w:suff w:val="nothing"/>
      <w:lvlText w:val="%1、"/>
      <w:lvlJc w:val="left"/>
    </w:lvl>
  </w:abstractNum>
  <w:abstractNum w:abstractNumId="3">
    <w:nsid w:val="58EC9FF9"/>
    <w:multiLevelType w:val="singleLevel"/>
    <w:tmpl w:val="58EC9FF9"/>
    <w:lvl w:ilvl="0" w:tentative="0">
      <w:start w:val="2"/>
      <w:numFmt w:val="decimal"/>
      <w:suff w:val="nothing"/>
      <w:lvlText w:val="%1、"/>
      <w:lvlJc w:val="left"/>
    </w:lvl>
  </w:abstractNum>
  <w:abstractNum w:abstractNumId="4">
    <w:nsid w:val="59C07086"/>
    <w:multiLevelType w:val="multilevel"/>
    <w:tmpl w:val="59C07086"/>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5">
    <w:nsid w:val="62C16504"/>
    <w:multiLevelType w:val="multilevel"/>
    <w:tmpl w:val="62C165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evenAndOddHeaders w:val="1"/>
  <w:drawingGridHorizontalSpacing w:val="210"/>
  <w:drawingGridVerticalSpacing w:val="-794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E81"/>
    <w:rsid w:val="00007AD8"/>
    <w:rsid w:val="00016DF6"/>
    <w:rsid w:val="00017150"/>
    <w:rsid w:val="00022E18"/>
    <w:rsid w:val="00026152"/>
    <w:rsid w:val="00031B04"/>
    <w:rsid w:val="00036751"/>
    <w:rsid w:val="00036D17"/>
    <w:rsid w:val="00036EEF"/>
    <w:rsid w:val="0004208F"/>
    <w:rsid w:val="00060BF7"/>
    <w:rsid w:val="000625D4"/>
    <w:rsid w:val="00062AA7"/>
    <w:rsid w:val="00063B2E"/>
    <w:rsid w:val="000705EB"/>
    <w:rsid w:val="00072E9C"/>
    <w:rsid w:val="00075C5E"/>
    <w:rsid w:val="000760E2"/>
    <w:rsid w:val="00090B42"/>
    <w:rsid w:val="000912B1"/>
    <w:rsid w:val="00091BAB"/>
    <w:rsid w:val="00093327"/>
    <w:rsid w:val="000934AD"/>
    <w:rsid w:val="00095107"/>
    <w:rsid w:val="000965E1"/>
    <w:rsid w:val="000A133D"/>
    <w:rsid w:val="000A1509"/>
    <w:rsid w:val="000A246A"/>
    <w:rsid w:val="000A2A8E"/>
    <w:rsid w:val="000A3056"/>
    <w:rsid w:val="000A3DA2"/>
    <w:rsid w:val="000A70F2"/>
    <w:rsid w:val="000B2499"/>
    <w:rsid w:val="000B36E8"/>
    <w:rsid w:val="000B4220"/>
    <w:rsid w:val="000C297C"/>
    <w:rsid w:val="000C64E9"/>
    <w:rsid w:val="000C6FE5"/>
    <w:rsid w:val="000D22E0"/>
    <w:rsid w:val="000D2B0E"/>
    <w:rsid w:val="000D5B03"/>
    <w:rsid w:val="000D717B"/>
    <w:rsid w:val="000D7649"/>
    <w:rsid w:val="000F363F"/>
    <w:rsid w:val="000F7505"/>
    <w:rsid w:val="001040AB"/>
    <w:rsid w:val="001068FD"/>
    <w:rsid w:val="00114138"/>
    <w:rsid w:val="0011592E"/>
    <w:rsid w:val="001169EC"/>
    <w:rsid w:val="001300AD"/>
    <w:rsid w:val="001324D0"/>
    <w:rsid w:val="0014031B"/>
    <w:rsid w:val="001406AF"/>
    <w:rsid w:val="00142926"/>
    <w:rsid w:val="00146F4B"/>
    <w:rsid w:val="001471B2"/>
    <w:rsid w:val="00151BF2"/>
    <w:rsid w:val="001635E5"/>
    <w:rsid w:val="00171EB2"/>
    <w:rsid w:val="00172A27"/>
    <w:rsid w:val="0017346E"/>
    <w:rsid w:val="0017673A"/>
    <w:rsid w:val="00177C67"/>
    <w:rsid w:val="00181D0E"/>
    <w:rsid w:val="00190666"/>
    <w:rsid w:val="0019289D"/>
    <w:rsid w:val="00192AE7"/>
    <w:rsid w:val="00194C80"/>
    <w:rsid w:val="00194D30"/>
    <w:rsid w:val="00194FCB"/>
    <w:rsid w:val="00197444"/>
    <w:rsid w:val="0019755D"/>
    <w:rsid w:val="001A34F3"/>
    <w:rsid w:val="001A6131"/>
    <w:rsid w:val="001B171B"/>
    <w:rsid w:val="001B1735"/>
    <w:rsid w:val="001B3EC5"/>
    <w:rsid w:val="001B6CE3"/>
    <w:rsid w:val="001C03A0"/>
    <w:rsid w:val="001C4A73"/>
    <w:rsid w:val="001C6129"/>
    <w:rsid w:val="001C6ECA"/>
    <w:rsid w:val="001D4748"/>
    <w:rsid w:val="001D4C75"/>
    <w:rsid w:val="001E69D8"/>
    <w:rsid w:val="001E7DDD"/>
    <w:rsid w:val="001F16B7"/>
    <w:rsid w:val="001F1BA6"/>
    <w:rsid w:val="001F7393"/>
    <w:rsid w:val="001F76E7"/>
    <w:rsid w:val="0020039F"/>
    <w:rsid w:val="00202A19"/>
    <w:rsid w:val="00203A74"/>
    <w:rsid w:val="0020598C"/>
    <w:rsid w:val="002120E1"/>
    <w:rsid w:val="002129B6"/>
    <w:rsid w:val="00213269"/>
    <w:rsid w:val="0021461E"/>
    <w:rsid w:val="00216109"/>
    <w:rsid w:val="00217312"/>
    <w:rsid w:val="0022001E"/>
    <w:rsid w:val="00227396"/>
    <w:rsid w:val="002345F1"/>
    <w:rsid w:val="00234CA2"/>
    <w:rsid w:val="0023577B"/>
    <w:rsid w:val="00237A7C"/>
    <w:rsid w:val="00261999"/>
    <w:rsid w:val="002636ED"/>
    <w:rsid w:val="0026479C"/>
    <w:rsid w:val="00266675"/>
    <w:rsid w:val="002703ED"/>
    <w:rsid w:val="00276E6C"/>
    <w:rsid w:val="002967CE"/>
    <w:rsid w:val="00297306"/>
    <w:rsid w:val="00297E79"/>
    <w:rsid w:val="002A3283"/>
    <w:rsid w:val="002A42CB"/>
    <w:rsid w:val="002B0731"/>
    <w:rsid w:val="002B1E39"/>
    <w:rsid w:val="002B2897"/>
    <w:rsid w:val="002B3F90"/>
    <w:rsid w:val="002B734E"/>
    <w:rsid w:val="002C195F"/>
    <w:rsid w:val="002C3D95"/>
    <w:rsid w:val="002C4334"/>
    <w:rsid w:val="002D042C"/>
    <w:rsid w:val="002D4ECA"/>
    <w:rsid w:val="002E001F"/>
    <w:rsid w:val="002E1BC2"/>
    <w:rsid w:val="002E328B"/>
    <w:rsid w:val="002E4062"/>
    <w:rsid w:val="002F2798"/>
    <w:rsid w:val="00301A28"/>
    <w:rsid w:val="003070DB"/>
    <w:rsid w:val="003073D8"/>
    <w:rsid w:val="00307829"/>
    <w:rsid w:val="00313703"/>
    <w:rsid w:val="00313DC0"/>
    <w:rsid w:val="00314A71"/>
    <w:rsid w:val="00316EB4"/>
    <w:rsid w:val="003226A5"/>
    <w:rsid w:val="0032327E"/>
    <w:rsid w:val="003236C6"/>
    <w:rsid w:val="003300C6"/>
    <w:rsid w:val="003300EE"/>
    <w:rsid w:val="00330FC4"/>
    <w:rsid w:val="00331608"/>
    <w:rsid w:val="003354C8"/>
    <w:rsid w:val="00336716"/>
    <w:rsid w:val="00346B52"/>
    <w:rsid w:val="00347D55"/>
    <w:rsid w:val="003503B7"/>
    <w:rsid w:val="00351DDE"/>
    <w:rsid w:val="00354F55"/>
    <w:rsid w:val="00360B05"/>
    <w:rsid w:val="00362342"/>
    <w:rsid w:val="00363398"/>
    <w:rsid w:val="0036414E"/>
    <w:rsid w:val="003651A1"/>
    <w:rsid w:val="00367B8E"/>
    <w:rsid w:val="00370B3A"/>
    <w:rsid w:val="003733EE"/>
    <w:rsid w:val="003738E0"/>
    <w:rsid w:val="00374339"/>
    <w:rsid w:val="00374A00"/>
    <w:rsid w:val="003759E8"/>
    <w:rsid w:val="00376884"/>
    <w:rsid w:val="00394D48"/>
    <w:rsid w:val="00397B80"/>
    <w:rsid w:val="00397CB0"/>
    <w:rsid w:val="003A071A"/>
    <w:rsid w:val="003A079A"/>
    <w:rsid w:val="003A32A6"/>
    <w:rsid w:val="003A6A7E"/>
    <w:rsid w:val="003B3C8F"/>
    <w:rsid w:val="003B4CC0"/>
    <w:rsid w:val="003C6641"/>
    <w:rsid w:val="003D09DE"/>
    <w:rsid w:val="003D2186"/>
    <w:rsid w:val="003D3C37"/>
    <w:rsid w:val="003E03F4"/>
    <w:rsid w:val="003E15DF"/>
    <w:rsid w:val="003E1ABC"/>
    <w:rsid w:val="003E2FE1"/>
    <w:rsid w:val="003F4966"/>
    <w:rsid w:val="00414E18"/>
    <w:rsid w:val="00415F60"/>
    <w:rsid w:val="00416ED9"/>
    <w:rsid w:val="00431D6C"/>
    <w:rsid w:val="00434342"/>
    <w:rsid w:val="00437902"/>
    <w:rsid w:val="00445E84"/>
    <w:rsid w:val="004476A3"/>
    <w:rsid w:val="00447BA7"/>
    <w:rsid w:val="00450051"/>
    <w:rsid w:val="0045177D"/>
    <w:rsid w:val="004557B0"/>
    <w:rsid w:val="004559DA"/>
    <w:rsid w:val="00460537"/>
    <w:rsid w:val="0046292E"/>
    <w:rsid w:val="0046576B"/>
    <w:rsid w:val="0047571F"/>
    <w:rsid w:val="00481E74"/>
    <w:rsid w:val="00482AB7"/>
    <w:rsid w:val="004836E9"/>
    <w:rsid w:val="00485B22"/>
    <w:rsid w:val="0048685F"/>
    <w:rsid w:val="00494396"/>
    <w:rsid w:val="004A0508"/>
    <w:rsid w:val="004A30DB"/>
    <w:rsid w:val="004B0037"/>
    <w:rsid w:val="004B30A1"/>
    <w:rsid w:val="004B4A5A"/>
    <w:rsid w:val="004C42FC"/>
    <w:rsid w:val="004D1262"/>
    <w:rsid w:val="004D1906"/>
    <w:rsid w:val="004D3115"/>
    <w:rsid w:val="004D491F"/>
    <w:rsid w:val="004D5675"/>
    <w:rsid w:val="004E26F0"/>
    <w:rsid w:val="004E4B68"/>
    <w:rsid w:val="004E4E93"/>
    <w:rsid w:val="004F037A"/>
    <w:rsid w:val="004F5CFF"/>
    <w:rsid w:val="00503DB5"/>
    <w:rsid w:val="00505DD8"/>
    <w:rsid w:val="00506C10"/>
    <w:rsid w:val="00507FA7"/>
    <w:rsid w:val="00512424"/>
    <w:rsid w:val="00515E57"/>
    <w:rsid w:val="00516CD7"/>
    <w:rsid w:val="005212C2"/>
    <w:rsid w:val="0052133F"/>
    <w:rsid w:val="00521906"/>
    <w:rsid w:val="00522C34"/>
    <w:rsid w:val="00534D59"/>
    <w:rsid w:val="00535A0F"/>
    <w:rsid w:val="00536B6B"/>
    <w:rsid w:val="0053715A"/>
    <w:rsid w:val="00542838"/>
    <w:rsid w:val="00550AED"/>
    <w:rsid w:val="00551D4E"/>
    <w:rsid w:val="00553CAF"/>
    <w:rsid w:val="005551AD"/>
    <w:rsid w:val="00556240"/>
    <w:rsid w:val="00561BDA"/>
    <w:rsid w:val="00562C92"/>
    <w:rsid w:val="005717CE"/>
    <w:rsid w:val="0057230F"/>
    <w:rsid w:val="005724DC"/>
    <w:rsid w:val="00572826"/>
    <w:rsid w:val="00575FAE"/>
    <w:rsid w:val="00576A9F"/>
    <w:rsid w:val="00580755"/>
    <w:rsid w:val="00583F6C"/>
    <w:rsid w:val="00584A71"/>
    <w:rsid w:val="005853F1"/>
    <w:rsid w:val="00586BFF"/>
    <w:rsid w:val="005928EB"/>
    <w:rsid w:val="0059308F"/>
    <w:rsid w:val="005962C4"/>
    <w:rsid w:val="005A3B30"/>
    <w:rsid w:val="005A5D20"/>
    <w:rsid w:val="005A6B70"/>
    <w:rsid w:val="005B0162"/>
    <w:rsid w:val="005B2A38"/>
    <w:rsid w:val="005B383D"/>
    <w:rsid w:val="005C0469"/>
    <w:rsid w:val="005C0619"/>
    <w:rsid w:val="005C5F85"/>
    <w:rsid w:val="005C7DD5"/>
    <w:rsid w:val="005D07BF"/>
    <w:rsid w:val="005D2D57"/>
    <w:rsid w:val="005D3A0A"/>
    <w:rsid w:val="005D7308"/>
    <w:rsid w:val="005E112B"/>
    <w:rsid w:val="005E25EC"/>
    <w:rsid w:val="005E6359"/>
    <w:rsid w:val="005E709D"/>
    <w:rsid w:val="005E7A54"/>
    <w:rsid w:val="005F7EC2"/>
    <w:rsid w:val="00612300"/>
    <w:rsid w:val="00614A60"/>
    <w:rsid w:val="00614DC0"/>
    <w:rsid w:val="00615095"/>
    <w:rsid w:val="00615BEE"/>
    <w:rsid w:val="006163D9"/>
    <w:rsid w:val="00621550"/>
    <w:rsid w:val="006243C6"/>
    <w:rsid w:val="00627859"/>
    <w:rsid w:val="006310EB"/>
    <w:rsid w:val="00632B8B"/>
    <w:rsid w:val="00634B10"/>
    <w:rsid w:val="006363E3"/>
    <w:rsid w:val="00636410"/>
    <w:rsid w:val="00640A83"/>
    <w:rsid w:val="00661545"/>
    <w:rsid w:val="00672C40"/>
    <w:rsid w:val="00677595"/>
    <w:rsid w:val="00680D58"/>
    <w:rsid w:val="0068412C"/>
    <w:rsid w:val="00685341"/>
    <w:rsid w:val="006853DD"/>
    <w:rsid w:val="00690CCA"/>
    <w:rsid w:val="00693C6B"/>
    <w:rsid w:val="00696FA3"/>
    <w:rsid w:val="00697C2D"/>
    <w:rsid w:val="00697E69"/>
    <w:rsid w:val="006A2753"/>
    <w:rsid w:val="006A4F7D"/>
    <w:rsid w:val="006B1BDD"/>
    <w:rsid w:val="006B24F0"/>
    <w:rsid w:val="006B4813"/>
    <w:rsid w:val="006C20DB"/>
    <w:rsid w:val="006C34CB"/>
    <w:rsid w:val="006C5A79"/>
    <w:rsid w:val="006D76E4"/>
    <w:rsid w:val="006E2549"/>
    <w:rsid w:val="006E4C50"/>
    <w:rsid w:val="006E63B6"/>
    <w:rsid w:val="006E6822"/>
    <w:rsid w:val="006F1ACB"/>
    <w:rsid w:val="006F2FC8"/>
    <w:rsid w:val="006F52E3"/>
    <w:rsid w:val="006F6F3F"/>
    <w:rsid w:val="007014F1"/>
    <w:rsid w:val="00702C80"/>
    <w:rsid w:val="00702FC0"/>
    <w:rsid w:val="00704D34"/>
    <w:rsid w:val="00706260"/>
    <w:rsid w:val="0070720E"/>
    <w:rsid w:val="00707412"/>
    <w:rsid w:val="0070786A"/>
    <w:rsid w:val="00707A38"/>
    <w:rsid w:val="00712976"/>
    <w:rsid w:val="007164CD"/>
    <w:rsid w:val="007171DF"/>
    <w:rsid w:val="00721BDE"/>
    <w:rsid w:val="00727510"/>
    <w:rsid w:val="00731235"/>
    <w:rsid w:val="00732B25"/>
    <w:rsid w:val="007343BC"/>
    <w:rsid w:val="00737C32"/>
    <w:rsid w:val="00740837"/>
    <w:rsid w:val="0075240E"/>
    <w:rsid w:val="00756209"/>
    <w:rsid w:val="00757C61"/>
    <w:rsid w:val="00760C67"/>
    <w:rsid w:val="00771E82"/>
    <w:rsid w:val="00775E7A"/>
    <w:rsid w:val="00776BF1"/>
    <w:rsid w:val="0078341B"/>
    <w:rsid w:val="007935F3"/>
    <w:rsid w:val="0079593C"/>
    <w:rsid w:val="007A18B5"/>
    <w:rsid w:val="007A449D"/>
    <w:rsid w:val="007A683D"/>
    <w:rsid w:val="007A6B50"/>
    <w:rsid w:val="007A6B90"/>
    <w:rsid w:val="007B008A"/>
    <w:rsid w:val="007B6747"/>
    <w:rsid w:val="007D0FB9"/>
    <w:rsid w:val="007D1567"/>
    <w:rsid w:val="007D7C0B"/>
    <w:rsid w:val="007E2E12"/>
    <w:rsid w:val="007E472E"/>
    <w:rsid w:val="007E61D1"/>
    <w:rsid w:val="007F2892"/>
    <w:rsid w:val="007F4A47"/>
    <w:rsid w:val="007F4B05"/>
    <w:rsid w:val="007F4F82"/>
    <w:rsid w:val="007F5172"/>
    <w:rsid w:val="00800558"/>
    <w:rsid w:val="00806D28"/>
    <w:rsid w:val="00807ADB"/>
    <w:rsid w:val="008120D6"/>
    <w:rsid w:val="00813637"/>
    <w:rsid w:val="00814FCC"/>
    <w:rsid w:val="00817496"/>
    <w:rsid w:val="00817AAE"/>
    <w:rsid w:val="008244D1"/>
    <w:rsid w:val="00824A1E"/>
    <w:rsid w:val="00825333"/>
    <w:rsid w:val="00827C45"/>
    <w:rsid w:val="00827C4C"/>
    <w:rsid w:val="00827FA3"/>
    <w:rsid w:val="00830EB8"/>
    <w:rsid w:val="00835F45"/>
    <w:rsid w:val="0084076D"/>
    <w:rsid w:val="00840853"/>
    <w:rsid w:val="0084215B"/>
    <w:rsid w:val="00842B97"/>
    <w:rsid w:val="00845DDD"/>
    <w:rsid w:val="00852BD7"/>
    <w:rsid w:val="00855FB8"/>
    <w:rsid w:val="00863FD7"/>
    <w:rsid w:val="0087373B"/>
    <w:rsid w:val="00873D5F"/>
    <w:rsid w:val="00876DBD"/>
    <w:rsid w:val="0088474B"/>
    <w:rsid w:val="0088578D"/>
    <w:rsid w:val="00886019"/>
    <w:rsid w:val="0089237C"/>
    <w:rsid w:val="00893DAE"/>
    <w:rsid w:val="008970F1"/>
    <w:rsid w:val="008A2AF9"/>
    <w:rsid w:val="008A3EB0"/>
    <w:rsid w:val="008B1E46"/>
    <w:rsid w:val="008B5C9C"/>
    <w:rsid w:val="008D3BD8"/>
    <w:rsid w:val="008D68F9"/>
    <w:rsid w:val="008E349C"/>
    <w:rsid w:val="008E489D"/>
    <w:rsid w:val="008E5771"/>
    <w:rsid w:val="008F109B"/>
    <w:rsid w:val="008F1DDF"/>
    <w:rsid w:val="008F69DC"/>
    <w:rsid w:val="009035AC"/>
    <w:rsid w:val="00904A04"/>
    <w:rsid w:val="009056DE"/>
    <w:rsid w:val="00905E06"/>
    <w:rsid w:val="009069BA"/>
    <w:rsid w:val="00906E67"/>
    <w:rsid w:val="00906EFC"/>
    <w:rsid w:val="00907E27"/>
    <w:rsid w:val="00911B93"/>
    <w:rsid w:val="00912412"/>
    <w:rsid w:val="00912979"/>
    <w:rsid w:val="00913E3F"/>
    <w:rsid w:val="009164B3"/>
    <w:rsid w:val="009168D9"/>
    <w:rsid w:val="00916F97"/>
    <w:rsid w:val="00921587"/>
    <w:rsid w:val="009251C5"/>
    <w:rsid w:val="009255E4"/>
    <w:rsid w:val="009257B9"/>
    <w:rsid w:val="00933580"/>
    <w:rsid w:val="00935D90"/>
    <w:rsid w:val="0094114F"/>
    <w:rsid w:val="00944128"/>
    <w:rsid w:val="00947BCD"/>
    <w:rsid w:val="009533B5"/>
    <w:rsid w:val="00953456"/>
    <w:rsid w:val="009612DF"/>
    <w:rsid w:val="00964307"/>
    <w:rsid w:val="00964C19"/>
    <w:rsid w:val="00965B2F"/>
    <w:rsid w:val="009662BC"/>
    <w:rsid w:val="009667DB"/>
    <w:rsid w:val="009676AA"/>
    <w:rsid w:val="009777EC"/>
    <w:rsid w:val="00990D83"/>
    <w:rsid w:val="00992DFA"/>
    <w:rsid w:val="0099546F"/>
    <w:rsid w:val="00996F31"/>
    <w:rsid w:val="009979FD"/>
    <w:rsid w:val="009A0B08"/>
    <w:rsid w:val="009A3E04"/>
    <w:rsid w:val="009B1577"/>
    <w:rsid w:val="009B3F19"/>
    <w:rsid w:val="009B6D5B"/>
    <w:rsid w:val="009B7BA3"/>
    <w:rsid w:val="009C23E6"/>
    <w:rsid w:val="009C613A"/>
    <w:rsid w:val="009C7420"/>
    <w:rsid w:val="009D4088"/>
    <w:rsid w:val="009D5489"/>
    <w:rsid w:val="009D60C2"/>
    <w:rsid w:val="009E66AF"/>
    <w:rsid w:val="009F0956"/>
    <w:rsid w:val="009F0D87"/>
    <w:rsid w:val="009F20CB"/>
    <w:rsid w:val="009F4AFF"/>
    <w:rsid w:val="009F72AD"/>
    <w:rsid w:val="00A01D50"/>
    <w:rsid w:val="00A02ADE"/>
    <w:rsid w:val="00A0428C"/>
    <w:rsid w:val="00A12EDC"/>
    <w:rsid w:val="00A13781"/>
    <w:rsid w:val="00A20D61"/>
    <w:rsid w:val="00A214F2"/>
    <w:rsid w:val="00A23584"/>
    <w:rsid w:val="00A30A91"/>
    <w:rsid w:val="00A34123"/>
    <w:rsid w:val="00A40AE5"/>
    <w:rsid w:val="00A41976"/>
    <w:rsid w:val="00A42DA7"/>
    <w:rsid w:val="00A43E09"/>
    <w:rsid w:val="00A44B42"/>
    <w:rsid w:val="00A44C13"/>
    <w:rsid w:val="00A51E44"/>
    <w:rsid w:val="00A53201"/>
    <w:rsid w:val="00A55B4C"/>
    <w:rsid w:val="00A57FAB"/>
    <w:rsid w:val="00A61AC1"/>
    <w:rsid w:val="00A62DC1"/>
    <w:rsid w:val="00A63261"/>
    <w:rsid w:val="00A632E6"/>
    <w:rsid w:val="00A64A7B"/>
    <w:rsid w:val="00A66FE3"/>
    <w:rsid w:val="00A73275"/>
    <w:rsid w:val="00A73AA3"/>
    <w:rsid w:val="00A73C7A"/>
    <w:rsid w:val="00A75066"/>
    <w:rsid w:val="00A77BAE"/>
    <w:rsid w:val="00A82D03"/>
    <w:rsid w:val="00A846E6"/>
    <w:rsid w:val="00A95415"/>
    <w:rsid w:val="00AA1C81"/>
    <w:rsid w:val="00AA3393"/>
    <w:rsid w:val="00AB0302"/>
    <w:rsid w:val="00AB40B8"/>
    <w:rsid w:val="00AB4DF1"/>
    <w:rsid w:val="00AB7BF3"/>
    <w:rsid w:val="00AC3E85"/>
    <w:rsid w:val="00AC5321"/>
    <w:rsid w:val="00AC6736"/>
    <w:rsid w:val="00AD0386"/>
    <w:rsid w:val="00AD0A60"/>
    <w:rsid w:val="00AD40EC"/>
    <w:rsid w:val="00AD76EC"/>
    <w:rsid w:val="00AE3136"/>
    <w:rsid w:val="00AE5163"/>
    <w:rsid w:val="00AE55DC"/>
    <w:rsid w:val="00AF15D1"/>
    <w:rsid w:val="00AF220B"/>
    <w:rsid w:val="00AF5D9A"/>
    <w:rsid w:val="00AF5EB2"/>
    <w:rsid w:val="00AF71D5"/>
    <w:rsid w:val="00B122D1"/>
    <w:rsid w:val="00B2007F"/>
    <w:rsid w:val="00B238C8"/>
    <w:rsid w:val="00B243DE"/>
    <w:rsid w:val="00B253EC"/>
    <w:rsid w:val="00B27E55"/>
    <w:rsid w:val="00B354C2"/>
    <w:rsid w:val="00B403EC"/>
    <w:rsid w:val="00B40FD2"/>
    <w:rsid w:val="00B50895"/>
    <w:rsid w:val="00B50900"/>
    <w:rsid w:val="00B50E3A"/>
    <w:rsid w:val="00B5278E"/>
    <w:rsid w:val="00B52A1D"/>
    <w:rsid w:val="00B54097"/>
    <w:rsid w:val="00B57B8A"/>
    <w:rsid w:val="00B67AD7"/>
    <w:rsid w:val="00B76F0A"/>
    <w:rsid w:val="00B80536"/>
    <w:rsid w:val="00B81FB4"/>
    <w:rsid w:val="00B8457B"/>
    <w:rsid w:val="00B849AD"/>
    <w:rsid w:val="00B87940"/>
    <w:rsid w:val="00B919BB"/>
    <w:rsid w:val="00B95CA4"/>
    <w:rsid w:val="00B95CB7"/>
    <w:rsid w:val="00B95F58"/>
    <w:rsid w:val="00B97136"/>
    <w:rsid w:val="00B9715A"/>
    <w:rsid w:val="00BA157F"/>
    <w:rsid w:val="00BA3C31"/>
    <w:rsid w:val="00BA56EA"/>
    <w:rsid w:val="00BA5A1E"/>
    <w:rsid w:val="00BA6484"/>
    <w:rsid w:val="00BA6D4C"/>
    <w:rsid w:val="00BA7FD5"/>
    <w:rsid w:val="00BB165D"/>
    <w:rsid w:val="00BB3849"/>
    <w:rsid w:val="00BB5969"/>
    <w:rsid w:val="00BC1700"/>
    <w:rsid w:val="00BC5BF2"/>
    <w:rsid w:val="00BC5FFF"/>
    <w:rsid w:val="00BD1005"/>
    <w:rsid w:val="00BD577F"/>
    <w:rsid w:val="00BE6518"/>
    <w:rsid w:val="00BE71D3"/>
    <w:rsid w:val="00C01ECC"/>
    <w:rsid w:val="00C027CC"/>
    <w:rsid w:val="00C0428D"/>
    <w:rsid w:val="00C049EB"/>
    <w:rsid w:val="00C06829"/>
    <w:rsid w:val="00C076EC"/>
    <w:rsid w:val="00C100AD"/>
    <w:rsid w:val="00C124C9"/>
    <w:rsid w:val="00C12F19"/>
    <w:rsid w:val="00C16C1B"/>
    <w:rsid w:val="00C177A5"/>
    <w:rsid w:val="00C21D6F"/>
    <w:rsid w:val="00C22B09"/>
    <w:rsid w:val="00C2388F"/>
    <w:rsid w:val="00C251CE"/>
    <w:rsid w:val="00C255F0"/>
    <w:rsid w:val="00C351E4"/>
    <w:rsid w:val="00C35DF4"/>
    <w:rsid w:val="00C36C73"/>
    <w:rsid w:val="00C421B6"/>
    <w:rsid w:val="00C5022C"/>
    <w:rsid w:val="00C508C1"/>
    <w:rsid w:val="00C54028"/>
    <w:rsid w:val="00C54267"/>
    <w:rsid w:val="00C573F3"/>
    <w:rsid w:val="00C63A38"/>
    <w:rsid w:val="00C71858"/>
    <w:rsid w:val="00C72D09"/>
    <w:rsid w:val="00C75F06"/>
    <w:rsid w:val="00C8585D"/>
    <w:rsid w:val="00C85F4E"/>
    <w:rsid w:val="00C865EB"/>
    <w:rsid w:val="00C955E0"/>
    <w:rsid w:val="00CA0C1A"/>
    <w:rsid w:val="00CA67F2"/>
    <w:rsid w:val="00CA78AF"/>
    <w:rsid w:val="00CB1E84"/>
    <w:rsid w:val="00CB1FBF"/>
    <w:rsid w:val="00CB41D2"/>
    <w:rsid w:val="00CB48DC"/>
    <w:rsid w:val="00CC5F99"/>
    <w:rsid w:val="00CD23C8"/>
    <w:rsid w:val="00CD53E4"/>
    <w:rsid w:val="00CE1B22"/>
    <w:rsid w:val="00CE4310"/>
    <w:rsid w:val="00CE4D93"/>
    <w:rsid w:val="00CF0296"/>
    <w:rsid w:val="00CF14CB"/>
    <w:rsid w:val="00CF1560"/>
    <w:rsid w:val="00CF27A1"/>
    <w:rsid w:val="00CF3CD2"/>
    <w:rsid w:val="00D000EC"/>
    <w:rsid w:val="00D01A9B"/>
    <w:rsid w:val="00D05321"/>
    <w:rsid w:val="00D06F43"/>
    <w:rsid w:val="00D102D1"/>
    <w:rsid w:val="00D13549"/>
    <w:rsid w:val="00D161C7"/>
    <w:rsid w:val="00D209AB"/>
    <w:rsid w:val="00D2353A"/>
    <w:rsid w:val="00D2666D"/>
    <w:rsid w:val="00D26877"/>
    <w:rsid w:val="00D27F60"/>
    <w:rsid w:val="00D316C7"/>
    <w:rsid w:val="00D3319D"/>
    <w:rsid w:val="00D35E79"/>
    <w:rsid w:val="00D42338"/>
    <w:rsid w:val="00D42F50"/>
    <w:rsid w:val="00D453B3"/>
    <w:rsid w:val="00D457E7"/>
    <w:rsid w:val="00D52173"/>
    <w:rsid w:val="00D53546"/>
    <w:rsid w:val="00D614F0"/>
    <w:rsid w:val="00D61F65"/>
    <w:rsid w:val="00D67157"/>
    <w:rsid w:val="00D7091B"/>
    <w:rsid w:val="00D73B4C"/>
    <w:rsid w:val="00D7441E"/>
    <w:rsid w:val="00D773C7"/>
    <w:rsid w:val="00D805D4"/>
    <w:rsid w:val="00D868C4"/>
    <w:rsid w:val="00D90F59"/>
    <w:rsid w:val="00D9143C"/>
    <w:rsid w:val="00D928EB"/>
    <w:rsid w:val="00DA1E5D"/>
    <w:rsid w:val="00DA4A29"/>
    <w:rsid w:val="00DA51BA"/>
    <w:rsid w:val="00DA6C14"/>
    <w:rsid w:val="00DC09C7"/>
    <w:rsid w:val="00DC103C"/>
    <w:rsid w:val="00DC1A76"/>
    <w:rsid w:val="00DC57D7"/>
    <w:rsid w:val="00DD15DA"/>
    <w:rsid w:val="00DD1DBE"/>
    <w:rsid w:val="00DD4C4F"/>
    <w:rsid w:val="00DD5BDA"/>
    <w:rsid w:val="00DE25B3"/>
    <w:rsid w:val="00DE3B1C"/>
    <w:rsid w:val="00DE40E4"/>
    <w:rsid w:val="00DE44FF"/>
    <w:rsid w:val="00DE4D28"/>
    <w:rsid w:val="00DF22C7"/>
    <w:rsid w:val="00E01326"/>
    <w:rsid w:val="00E01F8E"/>
    <w:rsid w:val="00E04E6B"/>
    <w:rsid w:val="00E14F06"/>
    <w:rsid w:val="00E17D3C"/>
    <w:rsid w:val="00E21EEB"/>
    <w:rsid w:val="00E24681"/>
    <w:rsid w:val="00E275F6"/>
    <w:rsid w:val="00E310A1"/>
    <w:rsid w:val="00E340AB"/>
    <w:rsid w:val="00E35AE6"/>
    <w:rsid w:val="00E36B20"/>
    <w:rsid w:val="00E36E25"/>
    <w:rsid w:val="00E3759D"/>
    <w:rsid w:val="00E46283"/>
    <w:rsid w:val="00E47B16"/>
    <w:rsid w:val="00E51527"/>
    <w:rsid w:val="00E51D6C"/>
    <w:rsid w:val="00E55CA7"/>
    <w:rsid w:val="00E55E19"/>
    <w:rsid w:val="00E61C9F"/>
    <w:rsid w:val="00E62188"/>
    <w:rsid w:val="00E64F68"/>
    <w:rsid w:val="00E67189"/>
    <w:rsid w:val="00E7037D"/>
    <w:rsid w:val="00E716D6"/>
    <w:rsid w:val="00E71735"/>
    <w:rsid w:val="00E75990"/>
    <w:rsid w:val="00E77958"/>
    <w:rsid w:val="00E81B9F"/>
    <w:rsid w:val="00E837A1"/>
    <w:rsid w:val="00E83889"/>
    <w:rsid w:val="00E83AF9"/>
    <w:rsid w:val="00E85162"/>
    <w:rsid w:val="00E8533C"/>
    <w:rsid w:val="00E863AF"/>
    <w:rsid w:val="00E868B6"/>
    <w:rsid w:val="00E86ED2"/>
    <w:rsid w:val="00E90175"/>
    <w:rsid w:val="00E902A4"/>
    <w:rsid w:val="00E902A6"/>
    <w:rsid w:val="00EA1D02"/>
    <w:rsid w:val="00EB54DE"/>
    <w:rsid w:val="00EB6A49"/>
    <w:rsid w:val="00EC166C"/>
    <w:rsid w:val="00EC4AC3"/>
    <w:rsid w:val="00EC76C3"/>
    <w:rsid w:val="00EC7CA0"/>
    <w:rsid w:val="00ED24E1"/>
    <w:rsid w:val="00ED2CAD"/>
    <w:rsid w:val="00ED46D0"/>
    <w:rsid w:val="00ED4D98"/>
    <w:rsid w:val="00ED661A"/>
    <w:rsid w:val="00F065FB"/>
    <w:rsid w:val="00F148EA"/>
    <w:rsid w:val="00F23AE8"/>
    <w:rsid w:val="00F24508"/>
    <w:rsid w:val="00F269E0"/>
    <w:rsid w:val="00F26FBC"/>
    <w:rsid w:val="00F308BA"/>
    <w:rsid w:val="00F32C53"/>
    <w:rsid w:val="00F35FB1"/>
    <w:rsid w:val="00F373BE"/>
    <w:rsid w:val="00F37BFA"/>
    <w:rsid w:val="00F42037"/>
    <w:rsid w:val="00F43258"/>
    <w:rsid w:val="00F43C59"/>
    <w:rsid w:val="00F442DF"/>
    <w:rsid w:val="00F479E6"/>
    <w:rsid w:val="00F55083"/>
    <w:rsid w:val="00F57C99"/>
    <w:rsid w:val="00F63291"/>
    <w:rsid w:val="00F6393F"/>
    <w:rsid w:val="00F67E3B"/>
    <w:rsid w:val="00F75689"/>
    <w:rsid w:val="00F76C36"/>
    <w:rsid w:val="00F77320"/>
    <w:rsid w:val="00F81882"/>
    <w:rsid w:val="00F86BF0"/>
    <w:rsid w:val="00F876B1"/>
    <w:rsid w:val="00F93F50"/>
    <w:rsid w:val="00F94479"/>
    <w:rsid w:val="00F95A37"/>
    <w:rsid w:val="00F95AC4"/>
    <w:rsid w:val="00F9604B"/>
    <w:rsid w:val="00FA167B"/>
    <w:rsid w:val="00FA3199"/>
    <w:rsid w:val="00FA3562"/>
    <w:rsid w:val="00FA4264"/>
    <w:rsid w:val="00FA6D82"/>
    <w:rsid w:val="00FB0145"/>
    <w:rsid w:val="00FB01D1"/>
    <w:rsid w:val="00FB1B06"/>
    <w:rsid w:val="00FB1D0A"/>
    <w:rsid w:val="00FB6C34"/>
    <w:rsid w:val="00FB7E82"/>
    <w:rsid w:val="00FC1AB5"/>
    <w:rsid w:val="00FC5AC5"/>
    <w:rsid w:val="00FC6E32"/>
    <w:rsid w:val="00FD14A7"/>
    <w:rsid w:val="00FE0947"/>
    <w:rsid w:val="00FE31E8"/>
    <w:rsid w:val="00FE45BA"/>
    <w:rsid w:val="00FE5A31"/>
    <w:rsid w:val="00FE6AA7"/>
    <w:rsid w:val="00FE6B0B"/>
    <w:rsid w:val="00FF1086"/>
    <w:rsid w:val="00FF1FF8"/>
    <w:rsid w:val="00FF5BBD"/>
    <w:rsid w:val="00FF658A"/>
    <w:rsid w:val="00FF7B67"/>
    <w:rsid w:val="01013085"/>
    <w:rsid w:val="01026CEE"/>
    <w:rsid w:val="010C48E6"/>
    <w:rsid w:val="01134992"/>
    <w:rsid w:val="0122639E"/>
    <w:rsid w:val="01330567"/>
    <w:rsid w:val="01370921"/>
    <w:rsid w:val="01385B54"/>
    <w:rsid w:val="01415CE4"/>
    <w:rsid w:val="0146260F"/>
    <w:rsid w:val="0157552E"/>
    <w:rsid w:val="016B3CA6"/>
    <w:rsid w:val="016B519F"/>
    <w:rsid w:val="017C2E0A"/>
    <w:rsid w:val="017C6642"/>
    <w:rsid w:val="01873793"/>
    <w:rsid w:val="019413EA"/>
    <w:rsid w:val="01AD30D5"/>
    <w:rsid w:val="01B804CF"/>
    <w:rsid w:val="01BC06F5"/>
    <w:rsid w:val="01CD7511"/>
    <w:rsid w:val="01EB3965"/>
    <w:rsid w:val="01F278AF"/>
    <w:rsid w:val="01F549B1"/>
    <w:rsid w:val="02023B35"/>
    <w:rsid w:val="02273EA6"/>
    <w:rsid w:val="022E5752"/>
    <w:rsid w:val="022E6D4C"/>
    <w:rsid w:val="02317836"/>
    <w:rsid w:val="02384328"/>
    <w:rsid w:val="023870D5"/>
    <w:rsid w:val="02430B2B"/>
    <w:rsid w:val="02CB010E"/>
    <w:rsid w:val="02D74AE2"/>
    <w:rsid w:val="02DD5E1B"/>
    <w:rsid w:val="02E836CB"/>
    <w:rsid w:val="02ED536D"/>
    <w:rsid w:val="03067851"/>
    <w:rsid w:val="030B2F48"/>
    <w:rsid w:val="031D3329"/>
    <w:rsid w:val="032439EB"/>
    <w:rsid w:val="03386882"/>
    <w:rsid w:val="03453DBA"/>
    <w:rsid w:val="035201BC"/>
    <w:rsid w:val="035C771E"/>
    <w:rsid w:val="038C23AD"/>
    <w:rsid w:val="038E1CF6"/>
    <w:rsid w:val="03905EF7"/>
    <w:rsid w:val="039256A0"/>
    <w:rsid w:val="0397266F"/>
    <w:rsid w:val="03A23D2F"/>
    <w:rsid w:val="03B91B3C"/>
    <w:rsid w:val="03C54AC3"/>
    <w:rsid w:val="03C93DE4"/>
    <w:rsid w:val="03CA7E34"/>
    <w:rsid w:val="03CF276F"/>
    <w:rsid w:val="03D63045"/>
    <w:rsid w:val="03ED6221"/>
    <w:rsid w:val="03F80D32"/>
    <w:rsid w:val="03FE7515"/>
    <w:rsid w:val="04025F44"/>
    <w:rsid w:val="04034241"/>
    <w:rsid w:val="04104985"/>
    <w:rsid w:val="042824FE"/>
    <w:rsid w:val="044B10C4"/>
    <w:rsid w:val="044E155E"/>
    <w:rsid w:val="04570914"/>
    <w:rsid w:val="045C0CEE"/>
    <w:rsid w:val="045E4EDD"/>
    <w:rsid w:val="047D5E4D"/>
    <w:rsid w:val="048513AA"/>
    <w:rsid w:val="04987E1C"/>
    <w:rsid w:val="04A72269"/>
    <w:rsid w:val="04A92344"/>
    <w:rsid w:val="04B36BC5"/>
    <w:rsid w:val="04C06869"/>
    <w:rsid w:val="04CA1B10"/>
    <w:rsid w:val="04CA7893"/>
    <w:rsid w:val="04CD77D3"/>
    <w:rsid w:val="04CF60EB"/>
    <w:rsid w:val="04D83193"/>
    <w:rsid w:val="04D83B1F"/>
    <w:rsid w:val="04E21633"/>
    <w:rsid w:val="05052E25"/>
    <w:rsid w:val="05063A78"/>
    <w:rsid w:val="050A22FA"/>
    <w:rsid w:val="051670C4"/>
    <w:rsid w:val="05382A14"/>
    <w:rsid w:val="053E2B59"/>
    <w:rsid w:val="05411AD3"/>
    <w:rsid w:val="05502FA3"/>
    <w:rsid w:val="056E2C91"/>
    <w:rsid w:val="05725509"/>
    <w:rsid w:val="05783E88"/>
    <w:rsid w:val="057A3C32"/>
    <w:rsid w:val="058034C6"/>
    <w:rsid w:val="058412E9"/>
    <w:rsid w:val="05A6082B"/>
    <w:rsid w:val="05AB4904"/>
    <w:rsid w:val="05AF381B"/>
    <w:rsid w:val="05C16AF2"/>
    <w:rsid w:val="05CB75E9"/>
    <w:rsid w:val="05DC2BBB"/>
    <w:rsid w:val="05E46D58"/>
    <w:rsid w:val="05F6450D"/>
    <w:rsid w:val="05FC663F"/>
    <w:rsid w:val="06141A6B"/>
    <w:rsid w:val="061E5CE3"/>
    <w:rsid w:val="062126EF"/>
    <w:rsid w:val="062D26E7"/>
    <w:rsid w:val="064D5DB2"/>
    <w:rsid w:val="06516152"/>
    <w:rsid w:val="065338D6"/>
    <w:rsid w:val="0662250D"/>
    <w:rsid w:val="06640854"/>
    <w:rsid w:val="066E30A6"/>
    <w:rsid w:val="066F2F33"/>
    <w:rsid w:val="06706677"/>
    <w:rsid w:val="06787103"/>
    <w:rsid w:val="069756C9"/>
    <w:rsid w:val="06C82859"/>
    <w:rsid w:val="06C877A7"/>
    <w:rsid w:val="06D465BF"/>
    <w:rsid w:val="06DB68AF"/>
    <w:rsid w:val="06E028A2"/>
    <w:rsid w:val="06E52D3A"/>
    <w:rsid w:val="06E77423"/>
    <w:rsid w:val="06EA41D2"/>
    <w:rsid w:val="06F663E6"/>
    <w:rsid w:val="06F82B78"/>
    <w:rsid w:val="06FC5E27"/>
    <w:rsid w:val="070278E8"/>
    <w:rsid w:val="07047E71"/>
    <w:rsid w:val="07075B45"/>
    <w:rsid w:val="072A0B34"/>
    <w:rsid w:val="072E42E3"/>
    <w:rsid w:val="073825BE"/>
    <w:rsid w:val="073E0688"/>
    <w:rsid w:val="074E3A40"/>
    <w:rsid w:val="0752235A"/>
    <w:rsid w:val="07526140"/>
    <w:rsid w:val="075A293D"/>
    <w:rsid w:val="0765294B"/>
    <w:rsid w:val="076C3C4A"/>
    <w:rsid w:val="07715CD8"/>
    <w:rsid w:val="077544AB"/>
    <w:rsid w:val="0781084D"/>
    <w:rsid w:val="0785026F"/>
    <w:rsid w:val="078F2ADC"/>
    <w:rsid w:val="0791298C"/>
    <w:rsid w:val="079A32CD"/>
    <w:rsid w:val="079E4C07"/>
    <w:rsid w:val="07B23C75"/>
    <w:rsid w:val="07BC438E"/>
    <w:rsid w:val="07CC2FE1"/>
    <w:rsid w:val="07D3402A"/>
    <w:rsid w:val="07D729CE"/>
    <w:rsid w:val="07DB3765"/>
    <w:rsid w:val="07DE0DB6"/>
    <w:rsid w:val="07EB2D41"/>
    <w:rsid w:val="07EB67E4"/>
    <w:rsid w:val="08050839"/>
    <w:rsid w:val="08097AE0"/>
    <w:rsid w:val="081324F5"/>
    <w:rsid w:val="0814516B"/>
    <w:rsid w:val="081757A0"/>
    <w:rsid w:val="08187EF8"/>
    <w:rsid w:val="081C5996"/>
    <w:rsid w:val="0826455E"/>
    <w:rsid w:val="08404482"/>
    <w:rsid w:val="084423AA"/>
    <w:rsid w:val="0862065A"/>
    <w:rsid w:val="087F2248"/>
    <w:rsid w:val="08B40626"/>
    <w:rsid w:val="08B8786B"/>
    <w:rsid w:val="08BD1035"/>
    <w:rsid w:val="08CB6C96"/>
    <w:rsid w:val="08DB24E9"/>
    <w:rsid w:val="08E62770"/>
    <w:rsid w:val="08F050E1"/>
    <w:rsid w:val="08F2607C"/>
    <w:rsid w:val="08F75D11"/>
    <w:rsid w:val="090B4E48"/>
    <w:rsid w:val="091073AF"/>
    <w:rsid w:val="0919238D"/>
    <w:rsid w:val="092905AD"/>
    <w:rsid w:val="092F5CE6"/>
    <w:rsid w:val="093A1887"/>
    <w:rsid w:val="09483611"/>
    <w:rsid w:val="095B610A"/>
    <w:rsid w:val="0963253F"/>
    <w:rsid w:val="0968446C"/>
    <w:rsid w:val="096A0F44"/>
    <w:rsid w:val="096A16B9"/>
    <w:rsid w:val="09782052"/>
    <w:rsid w:val="098133CF"/>
    <w:rsid w:val="09814D2D"/>
    <w:rsid w:val="09880AD8"/>
    <w:rsid w:val="098C4C6A"/>
    <w:rsid w:val="09913808"/>
    <w:rsid w:val="099A627C"/>
    <w:rsid w:val="09BF187C"/>
    <w:rsid w:val="09ED0B00"/>
    <w:rsid w:val="09F20D4E"/>
    <w:rsid w:val="09F85994"/>
    <w:rsid w:val="09FF1592"/>
    <w:rsid w:val="0A091666"/>
    <w:rsid w:val="0A0B309F"/>
    <w:rsid w:val="0A1C381B"/>
    <w:rsid w:val="0A3E0969"/>
    <w:rsid w:val="0A3F3442"/>
    <w:rsid w:val="0A4D182C"/>
    <w:rsid w:val="0A4D328C"/>
    <w:rsid w:val="0A57126F"/>
    <w:rsid w:val="0A5A0D29"/>
    <w:rsid w:val="0A655CAC"/>
    <w:rsid w:val="0A66165C"/>
    <w:rsid w:val="0A6A11A3"/>
    <w:rsid w:val="0A6F411F"/>
    <w:rsid w:val="0A7411D0"/>
    <w:rsid w:val="0A775787"/>
    <w:rsid w:val="0A791F63"/>
    <w:rsid w:val="0A7D423B"/>
    <w:rsid w:val="0AA5328F"/>
    <w:rsid w:val="0AAD11BF"/>
    <w:rsid w:val="0AD66BE1"/>
    <w:rsid w:val="0AE05766"/>
    <w:rsid w:val="0AF91DE5"/>
    <w:rsid w:val="0B0E150E"/>
    <w:rsid w:val="0B134589"/>
    <w:rsid w:val="0B2B0345"/>
    <w:rsid w:val="0B444A47"/>
    <w:rsid w:val="0B4B5A62"/>
    <w:rsid w:val="0B54088C"/>
    <w:rsid w:val="0B650FEE"/>
    <w:rsid w:val="0B7B6DAD"/>
    <w:rsid w:val="0B7E48FD"/>
    <w:rsid w:val="0B802E51"/>
    <w:rsid w:val="0B964C0D"/>
    <w:rsid w:val="0B9902AB"/>
    <w:rsid w:val="0BB24BF5"/>
    <w:rsid w:val="0BC25087"/>
    <w:rsid w:val="0BD16D1B"/>
    <w:rsid w:val="0BDC583F"/>
    <w:rsid w:val="0BFB0153"/>
    <w:rsid w:val="0BFE0C63"/>
    <w:rsid w:val="0C102AD4"/>
    <w:rsid w:val="0C103A4C"/>
    <w:rsid w:val="0C1E6C1A"/>
    <w:rsid w:val="0C397235"/>
    <w:rsid w:val="0C5E7C0C"/>
    <w:rsid w:val="0C7D01B8"/>
    <w:rsid w:val="0C8675B4"/>
    <w:rsid w:val="0C8F3B61"/>
    <w:rsid w:val="0C934D50"/>
    <w:rsid w:val="0CA00E3D"/>
    <w:rsid w:val="0CA62292"/>
    <w:rsid w:val="0CA63802"/>
    <w:rsid w:val="0CAA4EE5"/>
    <w:rsid w:val="0CB127FE"/>
    <w:rsid w:val="0CB7728C"/>
    <w:rsid w:val="0CC63BDB"/>
    <w:rsid w:val="0CEE7E04"/>
    <w:rsid w:val="0CF13C09"/>
    <w:rsid w:val="0CFC2EE8"/>
    <w:rsid w:val="0D00116A"/>
    <w:rsid w:val="0D0274C2"/>
    <w:rsid w:val="0D2B6ABF"/>
    <w:rsid w:val="0D306576"/>
    <w:rsid w:val="0D3A3EAC"/>
    <w:rsid w:val="0D417D41"/>
    <w:rsid w:val="0D433AA0"/>
    <w:rsid w:val="0D465768"/>
    <w:rsid w:val="0D612593"/>
    <w:rsid w:val="0D6B3B83"/>
    <w:rsid w:val="0D7C1068"/>
    <w:rsid w:val="0D7F4C47"/>
    <w:rsid w:val="0D915921"/>
    <w:rsid w:val="0D981B47"/>
    <w:rsid w:val="0D986634"/>
    <w:rsid w:val="0DA1235F"/>
    <w:rsid w:val="0DA15EF5"/>
    <w:rsid w:val="0DDD13BC"/>
    <w:rsid w:val="0DF765F0"/>
    <w:rsid w:val="0E0F1D7E"/>
    <w:rsid w:val="0E1460B1"/>
    <w:rsid w:val="0E1C2C30"/>
    <w:rsid w:val="0E2B000D"/>
    <w:rsid w:val="0E2C60D4"/>
    <w:rsid w:val="0E2F068D"/>
    <w:rsid w:val="0E324232"/>
    <w:rsid w:val="0E4908E1"/>
    <w:rsid w:val="0E4C140A"/>
    <w:rsid w:val="0E4F090C"/>
    <w:rsid w:val="0E507C9E"/>
    <w:rsid w:val="0E5215C6"/>
    <w:rsid w:val="0E545AFA"/>
    <w:rsid w:val="0E5B6961"/>
    <w:rsid w:val="0E7817F2"/>
    <w:rsid w:val="0E902B91"/>
    <w:rsid w:val="0EAB56FA"/>
    <w:rsid w:val="0EBC29C0"/>
    <w:rsid w:val="0EC068FA"/>
    <w:rsid w:val="0EDF1628"/>
    <w:rsid w:val="0EF60127"/>
    <w:rsid w:val="0EFB7B43"/>
    <w:rsid w:val="0F115B22"/>
    <w:rsid w:val="0F1C20D8"/>
    <w:rsid w:val="0F1C7DE8"/>
    <w:rsid w:val="0F1D36AB"/>
    <w:rsid w:val="0F2C2940"/>
    <w:rsid w:val="0F371627"/>
    <w:rsid w:val="0F4628FA"/>
    <w:rsid w:val="0F522FC4"/>
    <w:rsid w:val="0F545F72"/>
    <w:rsid w:val="0F594D76"/>
    <w:rsid w:val="0F815D2D"/>
    <w:rsid w:val="0F827701"/>
    <w:rsid w:val="0F83442B"/>
    <w:rsid w:val="0F904D67"/>
    <w:rsid w:val="0F9B2B5E"/>
    <w:rsid w:val="0F9D677E"/>
    <w:rsid w:val="0FA53B17"/>
    <w:rsid w:val="0FA545FD"/>
    <w:rsid w:val="0FA64AC6"/>
    <w:rsid w:val="0FB33140"/>
    <w:rsid w:val="0FB34829"/>
    <w:rsid w:val="0FB52900"/>
    <w:rsid w:val="0FD13773"/>
    <w:rsid w:val="0FD169F5"/>
    <w:rsid w:val="0FE5365D"/>
    <w:rsid w:val="0FEC03C2"/>
    <w:rsid w:val="0FF24AF1"/>
    <w:rsid w:val="0FF95DE7"/>
    <w:rsid w:val="100E5CEF"/>
    <w:rsid w:val="1014423A"/>
    <w:rsid w:val="101B493E"/>
    <w:rsid w:val="10222256"/>
    <w:rsid w:val="102260FD"/>
    <w:rsid w:val="10297136"/>
    <w:rsid w:val="10412940"/>
    <w:rsid w:val="104D181A"/>
    <w:rsid w:val="105B1875"/>
    <w:rsid w:val="105B51DC"/>
    <w:rsid w:val="107441B9"/>
    <w:rsid w:val="10790AA9"/>
    <w:rsid w:val="10B02E63"/>
    <w:rsid w:val="10C14D02"/>
    <w:rsid w:val="10C71650"/>
    <w:rsid w:val="10CD0D85"/>
    <w:rsid w:val="10CD43F4"/>
    <w:rsid w:val="10D908CB"/>
    <w:rsid w:val="10E21E6E"/>
    <w:rsid w:val="10EB651F"/>
    <w:rsid w:val="10ED26B5"/>
    <w:rsid w:val="10F3655C"/>
    <w:rsid w:val="10FF4530"/>
    <w:rsid w:val="11073CF2"/>
    <w:rsid w:val="1111423D"/>
    <w:rsid w:val="111A460A"/>
    <w:rsid w:val="112D4477"/>
    <w:rsid w:val="112F4AE9"/>
    <w:rsid w:val="11337487"/>
    <w:rsid w:val="113623C9"/>
    <w:rsid w:val="113908EF"/>
    <w:rsid w:val="113B7916"/>
    <w:rsid w:val="11455762"/>
    <w:rsid w:val="11487867"/>
    <w:rsid w:val="11494B01"/>
    <w:rsid w:val="115B249A"/>
    <w:rsid w:val="11683F1A"/>
    <w:rsid w:val="11790FE8"/>
    <w:rsid w:val="117F4415"/>
    <w:rsid w:val="11821790"/>
    <w:rsid w:val="119A6D69"/>
    <w:rsid w:val="119B2124"/>
    <w:rsid w:val="11A11E0E"/>
    <w:rsid w:val="11A35B8C"/>
    <w:rsid w:val="11A73FB9"/>
    <w:rsid w:val="11A96BAA"/>
    <w:rsid w:val="11AC2E0C"/>
    <w:rsid w:val="11B84AC7"/>
    <w:rsid w:val="11C22947"/>
    <w:rsid w:val="11C3652A"/>
    <w:rsid w:val="11C96F3F"/>
    <w:rsid w:val="11D00368"/>
    <w:rsid w:val="12015A61"/>
    <w:rsid w:val="12050FC3"/>
    <w:rsid w:val="120A13A9"/>
    <w:rsid w:val="12245DD7"/>
    <w:rsid w:val="124F7D43"/>
    <w:rsid w:val="1252593D"/>
    <w:rsid w:val="125743F7"/>
    <w:rsid w:val="125B3675"/>
    <w:rsid w:val="125C7835"/>
    <w:rsid w:val="126126C8"/>
    <w:rsid w:val="12715567"/>
    <w:rsid w:val="12723897"/>
    <w:rsid w:val="1288242B"/>
    <w:rsid w:val="128F73C9"/>
    <w:rsid w:val="12A0584F"/>
    <w:rsid w:val="12A648D6"/>
    <w:rsid w:val="12AA2431"/>
    <w:rsid w:val="12AC31A8"/>
    <w:rsid w:val="12B040DE"/>
    <w:rsid w:val="12C53768"/>
    <w:rsid w:val="12CB7608"/>
    <w:rsid w:val="12D15F04"/>
    <w:rsid w:val="12D44A5C"/>
    <w:rsid w:val="12DB20B4"/>
    <w:rsid w:val="12F267C0"/>
    <w:rsid w:val="12F3007B"/>
    <w:rsid w:val="12FB1F8A"/>
    <w:rsid w:val="1308440F"/>
    <w:rsid w:val="13161F60"/>
    <w:rsid w:val="131715E5"/>
    <w:rsid w:val="13286697"/>
    <w:rsid w:val="132D0709"/>
    <w:rsid w:val="13352658"/>
    <w:rsid w:val="133B1B6C"/>
    <w:rsid w:val="133B500E"/>
    <w:rsid w:val="13404493"/>
    <w:rsid w:val="135607B7"/>
    <w:rsid w:val="135A3959"/>
    <w:rsid w:val="13853355"/>
    <w:rsid w:val="13B6593C"/>
    <w:rsid w:val="13B77017"/>
    <w:rsid w:val="13BB5EEE"/>
    <w:rsid w:val="13BF5EDE"/>
    <w:rsid w:val="13D71802"/>
    <w:rsid w:val="13E525DD"/>
    <w:rsid w:val="13E612F8"/>
    <w:rsid w:val="13E96176"/>
    <w:rsid w:val="14023CFB"/>
    <w:rsid w:val="140A7E5A"/>
    <w:rsid w:val="1411229F"/>
    <w:rsid w:val="142B45E1"/>
    <w:rsid w:val="14537884"/>
    <w:rsid w:val="14593BBF"/>
    <w:rsid w:val="146E5817"/>
    <w:rsid w:val="1479313F"/>
    <w:rsid w:val="147D32CD"/>
    <w:rsid w:val="147D5E67"/>
    <w:rsid w:val="148C0DAF"/>
    <w:rsid w:val="14AC25A8"/>
    <w:rsid w:val="14B538EB"/>
    <w:rsid w:val="14B75A39"/>
    <w:rsid w:val="14C20518"/>
    <w:rsid w:val="14C77579"/>
    <w:rsid w:val="14CF5D8A"/>
    <w:rsid w:val="14D56C28"/>
    <w:rsid w:val="14DA3035"/>
    <w:rsid w:val="14F144BE"/>
    <w:rsid w:val="15007D9F"/>
    <w:rsid w:val="15042567"/>
    <w:rsid w:val="151C338A"/>
    <w:rsid w:val="15355300"/>
    <w:rsid w:val="154B2DAB"/>
    <w:rsid w:val="15531CFF"/>
    <w:rsid w:val="155533E8"/>
    <w:rsid w:val="155A1D05"/>
    <w:rsid w:val="1565002B"/>
    <w:rsid w:val="157C5E2B"/>
    <w:rsid w:val="157E6F53"/>
    <w:rsid w:val="15917A76"/>
    <w:rsid w:val="159F60F2"/>
    <w:rsid w:val="15A92F81"/>
    <w:rsid w:val="15CF20FE"/>
    <w:rsid w:val="15D263B4"/>
    <w:rsid w:val="15DC6D73"/>
    <w:rsid w:val="15E45DCF"/>
    <w:rsid w:val="15F3229E"/>
    <w:rsid w:val="161130AA"/>
    <w:rsid w:val="16126AFB"/>
    <w:rsid w:val="161F5115"/>
    <w:rsid w:val="16220221"/>
    <w:rsid w:val="16364E1F"/>
    <w:rsid w:val="164973BC"/>
    <w:rsid w:val="164F3F78"/>
    <w:rsid w:val="16661575"/>
    <w:rsid w:val="16692B56"/>
    <w:rsid w:val="1677408E"/>
    <w:rsid w:val="16861ABD"/>
    <w:rsid w:val="168C708B"/>
    <w:rsid w:val="16A73A2B"/>
    <w:rsid w:val="16AD3CD4"/>
    <w:rsid w:val="16B62A33"/>
    <w:rsid w:val="16C00EBC"/>
    <w:rsid w:val="16C612DB"/>
    <w:rsid w:val="16D229E9"/>
    <w:rsid w:val="16DE249F"/>
    <w:rsid w:val="16DF18EC"/>
    <w:rsid w:val="16E565F3"/>
    <w:rsid w:val="17166217"/>
    <w:rsid w:val="17224DE8"/>
    <w:rsid w:val="1737783E"/>
    <w:rsid w:val="173D66F2"/>
    <w:rsid w:val="173D683E"/>
    <w:rsid w:val="17430389"/>
    <w:rsid w:val="174A18A6"/>
    <w:rsid w:val="175C0959"/>
    <w:rsid w:val="17623010"/>
    <w:rsid w:val="176612DF"/>
    <w:rsid w:val="176C2709"/>
    <w:rsid w:val="176F52A6"/>
    <w:rsid w:val="1776117C"/>
    <w:rsid w:val="177941D0"/>
    <w:rsid w:val="179C6D8C"/>
    <w:rsid w:val="17A45E7B"/>
    <w:rsid w:val="17A75D68"/>
    <w:rsid w:val="17B10847"/>
    <w:rsid w:val="17BD2EB0"/>
    <w:rsid w:val="17C27A28"/>
    <w:rsid w:val="17DC532F"/>
    <w:rsid w:val="17EE366C"/>
    <w:rsid w:val="17EF566D"/>
    <w:rsid w:val="17F71F9A"/>
    <w:rsid w:val="17F814B2"/>
    <w:rsid w:val="17FB2B1F"/>
    <w:rsid w:val="180012E1"/>
    <w:rsid w:val="18001599"/>
    <w:rsid w:val="1807539F"/>
    <w:rsid w:val="18082AA7"/>
    <w:rsid w:val="181D645E"/>
    <w:rsid w:val="182401EF"/>
    <w:rsid w:val="18262330"/>
    <w:rsid w:val="183C5C3C"/>
    <w:rsid w:val="184109D1"/>
    <w:rsid w:val="18436941"/>
    <w:rsid w:val="1844049E"/>
    <w:rsid w:val="18541FAF"/>
    <w:rsid w:val="18800267"/>
    <w:rsid w:val="18947D08"/>
    <w:rsid w:val="1897629C"/>
    <w:rsid w:val="189A7F08"/>
    <w:rsid w:val="18BC2182"/>
    <w:rsid w:val="18D0130A"/>
    <w:rsid w:val="18F23922"/>
    <w:rsid w:val="18F459AE"/>
    <w:rsid w:val="18F50FFE"/>
    <w:rsid w:val="190C2050"/>
    <w:rsid w:val="19201D08"/>
    <w:rsid w:val="19234E06"/>
    <w:rsid w:val="192813B2"/>
    <w:rsid w:val="19355020"/>
    <w:rsid w:val="19395F73"/>
    <w:rsid w:val="19486C08"/>
    <w:rsid w:val="194A4017"/>
    <w:rsid w:val="195E3790"/>
    <w:rsid w:val="19687C64"/>
    <w:rsid w:val="19731B79"/>
    <w:rsid w:val="1976490B"/>
    <w:rsid w:val="198122A9"/>
    <w:rsid w:val="19831904"/>
    <w:rsid w:val="19A1592C"/>
    <w:rsid w:val="19A95C4E"/>
    <w:rsid w:val="19B812D7"/>
    <w:rsid w:val="19BF3E2F"/>
    <w:rsid w:val="19CA3738"/>
    <w:rsid w:val="19CA4CA2"/>
    <w:rsid w:val="19DD5149"/>
    <w:rsid w:val="19E94079"/>
    <w:rsid w:val="19E942A1"/>
    <w:rsid w:val="1A020D22"/>
    <w:rsid w:val="1A024AC4"/>
    <w:rsid w:val="1A1B258C"/>
    <w:rsid w:val="1A1E3558"/>
    <w:rsid w:val="1A2151FC"/>
    <w:rsid w:val="1A2674F5"/>
    <w:rsid w:val="1A2F6301"/>
    <w:rsid w:val="1A4341F7"/>
    <w:rsid w:val="1A5A5BCB"/>
    <w:rsid w:val="1A731718"/>
    <w:rsid w:val="1A7604BD"/>
    <w:rsid w:val="1A8C353C"/>
    <w:rsid w:val="1A913911"/>
    <w:rsid w:val="1AA479FF"/>
    <w:rsid w:val="1AA57B5F"/>
    <w:rsid w:val="1AAF1051"/>
    <w:rsid w:val="1AB56528"/>
    <w:rsid w:val="1AB73C65"/>
    <w:rsid w:val="1AC70353"/>
    <w:rsid w:val="1ACB1620"/>
    <w:rsid w:val="1ADA0A43"/>
    <w:rsid w:val="1AE76CB6"/>
    <w:rsid w:val="1AEB134A"/>
    <w:rsid w:val="1AEF5C58"/>
    <w:rsid w:val="1AF76F0C"/>
    <w:rsid w:val="1B06175A"/>
    <w:rsid w:val="1B0E40E6"/>
    <w:rsid w:val="1B1B7ED4"/>
    <w:rsid w:val="1B260840"/>
    <w:rsid w:val="1B2B28DA"/>
    <w:rsid w:val="1B383CC3"/>
    <w:rsid w:val="1B4158E0"/>
    <w:rsid w:val="1B463433"/>
    <w:rsid w:val="1B777ADF"/>
    <w:rsid w:val="1B8E24F5"/>
    <w:rsid w:val="1B9B52F9"/>
    <w:rsid w:val="1BA9113A"/>
    <w:rsid w:val="1BB32BCC"/>
    <w:rsid w:val="1BBA6850"/>
    <w:rsid w:val="1BD16D77"/>
    <w:rsid w:val="1BD87930"/>
    <w:rsid w:val="1BE104A6"/>
    <w:rsid w:val="1BE22126"/>
    <w:rsid w:val="1BE31524"/>
    <w:rsid w:val="1BE45389"/>
    <w:rsid w:val="1BE761D2"/>
    <w:rsid w:val="1BE868FD"/>
    <w:rsid w:val="1BF34E6F"/>
    <w:rsid w:val="1C021033"/>
    <w:rsid w:val="1C04741A"/>
    <w:rsid w:val="1C094D0D"/>
    <w:rsid w:val="1C0A6B40"/>
    <w:rsid w:val="1C2407D2"/>
    <w:rsid w:val="1C281B46"/>
    <w:rsid w:val="1C296458"/>
    <w:rsid w:val="1C333372"/>
    <w:rsid w:val="1C392717"/>
    <w:rsid w:val="1C444D19"/>
    <w:rsid w:val="1C532361"/>
    <w:rsid w:val="1C856DBA"/>
    <w:rsid w:val="1C877857"/>
    <w:rsid w:val="1C8A01B1"/>
    <w:rsid w:val="1C8E7C6B"/>
    <w:rsid w:val="1C9A2A3A"/>
    <w:rsid w:val="1CA405D1"/>
    <w:rsid w:val="1CAA7BB7"/>
    <w:rsid w:val="1CAF2CFC"/>
    <w:rsid w:val="1CB15596"/>
    <w:rsid w:val="1CB40B32"/>
    <w:rsid w:val="1CBA1656"/>
    <w:rsid w:val="1CBF0D38"/>
    <w:rsid w:val="1CC832FF"/>
    <w:rsid w:val="1CC938FB"/>
    <w:rsid w:val="1CD30123"/>
    <w:rsid w:val="1CDF69BA"/>
    <w:rsid w:val="1CE23879"/>
    <w:rsid w:val="1CEA4F60"/>
    <w:rsid w:val="1CEC4218"/>
    <w:rsid w:val="1D04675B"/>
    <w:rsid w:val="1D0E16EF"/>
    <w:rsid w:val="1D185C1D"/>
    <w:rsid w:val="1D2E5255"/>
    <w:rsid w:val="1D314742"/>
    <w:rsid w:val="1D350954"/>
    <w:rsid w:val="1D3F2B5D"/>
    <w:rsid w:val="1D4970FF"/>
    <w:rsid w:val="1D604C74"/>
    <w:rsid w:val="1D6310A3"/>
    <w:rsid w:val="1D651AAE"/>
    <w:rsid w:val="1D8B33E7"/>
    <w:rsid w:val="1D9B47A8"/>
    <w:rsid w:val="1DAF27FB"/>
    <w:rsid w:val="1DB50E09"/>
    <w:rsid w:val="1DB73C31"/>
    <w:rsid w:val="1DE06BF3"/>
    <w:rsid w:val="1DE60F60"/>
    <w:rsid w:val="1DEC28C0"/>
    <w:rsid w:val="1DEC3758"/>
    <w:rsid w:val="1DF12E89"/>
    <w:rsid w:val="1DF40560"/>
    <w:rsid w:val="1E010EBE"/>
    <w:rsid w:val="1E0F305B"/>
    <w:rsid w:val="1E150677"/>
    <w:rsid w:val="1E1F519C"/>
    <w:rsid w:val="1E24278C"/>
    <w:rsid w:val="1E281BF4"/>
    <w:rsid w:val="1E307644"/>
    <w:rsid w:val="1E32267F"/>
    <w:rsid w:val="1E330840"/>
    <w:rsid w:val="1E376483"/>
    <w:rsid w:val="1E3777D5"/>
    <w:rsid w:val="1E4E1768"/>
    <w:rsid w:val="1E5006DD"/>
    <w:rsid w:val="1E5F2A51"/>
    <w:rsid w:val="1E626810"/>
    <w:rsid w:val="1E731D60"/>
    <w:rsid w:val="1E7A1FFD"/>
    <w:rsid w:val="1E7C1444"/>
    <w:rsid w:val="1E7E4C01"/>
    <w:rsid w:val="1E8E0A05"/>
    <w:rsid w:val="1E8F538F"/>
    <w:rsid w:val="1E953E48"/>
    <w:rsid w:val="1E980A5A"/>
    <w:rsid w:val="1E9A5ADB"/>
    <w:rsid w:val="1E9F7740"/>
    <w:rsid w:val="1EA125B0"/>
    <w:rsid w:val="1EA857ED"/>
    <w:rsid w:val="1EAE367B"/>
    <w:rsid w:val="1EB34DE5"/>
    <w:rsid w:val="1EBB3128"/>
    <w:rsid w:val="1ED85B53"/>
    <w:rsid w:val="1EE44777"/>
    <w:rsid w:val="1EEE5054"/>
    <w:rsid w:val="1EEF4AE1"/>
    <w:rsid w:val="1EF25607"/>
    <w:rsid w:val="1EFF2A7A"/>
    <w:rsid w:val="1F0C05FD"/>
    <w:rsid w:val="1F103597"/>
    <w:rsid w:val="1F196C73"/>
    <w:rsid w:val="1F1A4506"/>
    <w:rsid w:val="1F291714"/>
    <w:rsid w:val="1F36091A"/>
    <w:rsid w:val="1F3A1F0D"/>
    <w:rsid w:val="1F3E349D"/>
    <w:rsid w:val="1F401E05"/>
    <w:rsid w:val="1F4421CA"/>
    <w:rsid w:val="1F515A41"/>
    <w:rsid w:val="1F5F2472"/>
    <w:rsid w:val="1F6C5517"/>
    <w:rsid w:val="1F7A3A08"/>
    <w:rsid w:val="1F7B5D54"/>
    <w:rsid w:val="1F8331BE"/>
    <w:rsid w:val="1F9425B4"/>
    <w:rsid w:val="1FA74168"/>
    <w:rsid w:val="1FB500D3"/>
    <w:rsid w:val="1FB853F8"/>
    <w:rsid w:val="1FC42F9A"/>
    <w:rsid w:val="1FEB460A"/>
    <w:rsid w:val="200D398E"/>
    <w:rsid w:val="203E7975"/>
    <w:rsid w:val="20436973"/>
    <w:rsid w:val="20474080"/>
    <w:rsid w:val="20520A4C"/>
    <w:rsid w:val="20720CA7"/>
    <w:rsid w:val="207C482E"/>
    <w:rsid w:val="2088142C"/>
    <w:rsid w:val="208824FA"/>
    <w:rsid w:val="208A1F8E"/>
    <w:rsid w:val="208E2D86"/>
    <w:rsid w:val="208E51B8"/>
    <w:rsid w:val="20A41BDD"/>
    <w:rsid w:val="20A83B55"/>
    <w:rsid w:val="20AC0DD3"/>
    <w:rsid w:val="20BC7CD5"/>
    <w:rsid w:val="20C211B8"/>
    <w:rsid w:val="20CD18BA"/>
    <w:rsid w:val="20D7748C"/>
    <w:rsid w:val="20E84590"/>
    <w:rsid w:val="20F249D0"/>
    <w:rsid w:val="211D6271"/>
    <w:rsid w:val="211F288A"/>
    <w:rsid w:val="21354379"/>
    <w:rsid w:val="2138294E"/>
    <w:rsid w:val="213D4DAF"/>
    <w:rsid w:val="21432F64"/>
    <w:rsid w:val="21463D25"/>
    <w:rsid w:val="21467999"/>
    <w:rsid w:val="21482424"/>
    <w:rsid w:val="214E6E98"/>
    <w:rsid w:val="21567657"/>
    <w:rsid w:val="21692D4D"/>
    <w:rsid w:val="217116BD"/>
    <w:rsid w:val="2178685E"/>
    <w:rsid w:val="21795E7F"/>
    <w:rsid w:val="217A6864"/>
    <w:rsid w:val="218006FA"/>
    <w:rsid w:val="21906116"/>
    <w:rsid w:val="21940836"/>
    <w:rsid w:val="219C5CDE"/>
    <w:rsid w:val="21A9259A"/>
    <w:rsid w:val="21BE341D"/>
    <w:rsid w:val="21C1584C"/>
    <w:rsid w:val="21D218F6"/>
    <w:rsid w:val="21EE38EF"/>
    <w:rsid w:val="21F22679"/>
    <w:rsid w:val="22064F2D"/>
    <w:rsid w:val="22143D47"/>
    <w:rsid w:val="221F4D5A"/>
    <w:rsid w:val="222213C4"/>
    <w:rsid w:val="22357309"/>
    <w:rsid w:val="223B48E1"/>
    <w:rsid w:val="2248172E"/>
    <w:rsid w:val="224A72AF"/>
    <w:rsid w:val="224F57E1"/>
    <w:rsid w:val="22547760"/>
    <w:rsid w:val="22574686"/>
    <w:rsid w:val="226558BF"/>
    <w:rsid w:val="226F17D0"/>
    <w:rsid w:val="22723839"/>
    <w:rsid w:val="22783AD6"/>
    <w:rsid w:val="229C513B"/>
    <w:rsid w:val="22CA0A09"/>
    <w:rsid w:val="22DC6F33"/>
    <w:rsid w:val="22E0364C"/>
    <w:rsid w:val="2302114E"/>
    <w:rsid w:val="230B6C59"/>
    <w:rsid w:val="230D3280"/>
    <w:rsid w:val="23105A21"/>
    <w:rsid w:val="23260C4A"/>
    <w:rsid w:val="23330404"/>
    <w:rsid w:val="2333418D"/>
    <w:rsid w:val="233F1075"/>
    <w:rsid w:val="23445AED"/>
    <w:rsid w:val="23452920"/>
    <w:rsid w:val="23707C9C"/>
    <w:rsid w:val="23730A57"/>
    <w:rsid w:val="2388769D"/>
    <w:rsid w:val="23AE4CDB"/>
    <w:rsid w:val="23B02D02"/>
    <w:rsid w:val="23B137C0"/>
    <w:rsid w:val="23C45C56"/>
    <w:rsid w:val="23C468AB"/>
    <w:rsid w:val="23C823BC"/>
    <w:rsid w:val="23DE4234"/>
    <w:rsid w:val="23E96CAA"/>
    <w:rsid w:val="23FE0374"/>
    <w:rsid w:val="23FF7858"/>
    <w:rsid w:val="24003DF0"/>
    <w:rsid w:val="240054CF"/>
    <w:rsid w:val="24057464"/>
    <w:rsid w:val="240A249B"/>
    <w:rsid w:val="241246D1"/>
    <w:rsid w:val="2412783F"/>
    <w:rsid w:val="24193ECA"/>
    <w:rsid w:val="241C510E"/>
    <w:rsid w:val="241E6BE3"/>
    <w:rsid w:val="242F0283"/>
    <w:rsid w:val="2434325F"/>
    <w:rsid w:val="24391D0C"/>
    <w:rsid w:val="244A75AE"/>
    <w:rsid w:val="245942CA"/>
    <w:rsid w:val="245E1F41"/>
    <w:rsid w:val="2463183F"/>
    <w:rsid w:val="24753095"/>
    <w:rsid w:val="247D2C7A"/>
    <w:rsid w:val="247F2A23"/>
    <w:rsid w:val="24A01927"/>
    <w:rsid w:val="24A42D4D"/>
    <w:rsid w:val="24A80E62"/>
    <w:rsid w:val="24AC50AF"/>
    <w:rsid w:val="24AD018D"/>
    <w:rsid w:val="24C001F5"/>
    <w:rsid w:val="24CA25C6"/>
    <w:rsid w:val="24D34D10"/>
    <w:rsid w:val="24D453A9"/>
    <w:rsid w:val="24D65DC2"/>
    <w:rsid w:val="24E02B05"/>
    <w:rsid w:val="24E943B4"/>
    <w:rsid w:val="24F46692"/>
    <w:rsid w:val="25101B5F"/>
    <w:rsid w:val="25207AC8"/>
    <w:rsid w:val="252A626F"/>
    <w:rsid w:val="25421E38"/>
    <w:rsid w:val="25522A88"/>
    <w:rsid w:val="25851718"/>
    <w:rsid w:val="258B732C"/>
    <w:rsid w:val="25926AAB"/>
    <w:rsid w:val="25A2768D"/>
    <w:rsid w:val="25A6538E"/>
    <w:rsid w:val="25CB05EE"/>
    <w:rsid w:val="25CE6460"/>
    <w:rsid w:val="25D57113"/>
    <w:rsid w:val="25D71521"/>
    <w:rsid w:val="25D95A4A"/>
    <w:rsid w:val="25F80423"/>
    <w:rsid w:val="260823F1"/>
    <w:rsid w:val="261654C8"/>
    <w:rsid w:val="261D44FE"/>
    <w:rsid w:val="263932A5"/>
    <w:rsid w:val="263F298B"/>
    <w:rsid w:val="264B7D93"/>
    <w:rsid w:val="26810675"/>
    <w:rsid w:val="269A221E"/>
    <w:rsid w:val="269E3372"/>
    <w:rsid w:val="26AC7007"/>
    <w:rsid w:val="26AE7648"/>
    <w:rsid w:val="26AF06E7"/>
    <w:rsid w:val="26B0450A"/>
    <w:rsid w:val="26B55799"/>
    <w:rsid w:val="26B614C0"/>
    <w:rsid w:val="26C77F97"/>
    <w:rsid w:val="26D03CBF"/>
    <w:rsid w:val="26D60601"/>
    <w:rsid w:val="26DE03AD"/>
    <w:rsid w:val="26E51EF5"/>
    <w:rsid w:val="26F066B5"/>
    <w:rsid w:val="26F15C9F"/>
    <w:rsid w:val="26FE01DA"/>
    <w:rsid w:val="26FE5FDD"/>
    <w:rsid w:val="270014A5"/>
    <w:rsid w:val="27154A27"/>
    <w:rsid w:val="272B72F0"/>
    <w:rsid w:val="27314232"/>
    <w:rsid w:val="274517CB"/>
    <w:rsid w:val="27501310"/>
    <w:rsid w:val="275D3ADC"/>
    <w:rsid w:val="275E50CD"/>
    <w:rsid w:val="27620A0D"/>
    <w:rsid w:val="27795260"/>
    <w:rsid w:val="2783700B"/>
    <w:rsid w:val="27863B4D"/>
    <w:rsid w:val="27873766"/>
    <w:rsid w:val="278A5AB1"/>
    <w:rsid w:val="27A43BD0"/>
    <w:rsid w:val="27A8142B"/>
    <w:rsid w:val="27AD49FE"/>
    <w:rsid w:val="27B21B55"/>
    <w:rsid w:val="27CF20B9"/>
    <w:rsid w:val="27D917EC"/>
    <w:rsid w:val="27E64ED8"/>
    <w:rsid w:val="2801126F"/>
    <w:rsid w:val="28012834"/>
    <w:rsid w:val="28017784"/>
    <w:rsid w:val="281037EF"/>
    <w:rsid w:val="281D28CF"/>
    <w:rsid w:val="2829706B"/>
    <w:rsid w:val="28391FBB"/>
    <w:rsid w:val="28396E5C"/>
    <w:rsid w:val="28412590"/>
    <w:rsid w:val="28462817"/>
    <w:rsid w:val="28466A33"/>
    <w:rsid w:val="284D7D94"/>
    <w:rsid w:val="284E7F3C"/>
    <w:rsid w:val="285F1178"/>
    <w:rsid w:val="2878663A"/>
    <w:rsid w:val="287F157E"/>
    <w:rsid w:val="2895395F"/>
    <w:rsid w:val="28986E3A"/>
    <w:rsid w:val="28C64794"/>
    <w:rsid w:val="28D41922"/>
    <w:rsid w:val="28D96423"/>
    <w:rsid w:val="28DB06BE"/>
    <w:rsid w:val="28DD78F7"/>
    <w:rsid w:val="28F05B1C"/>
    <w:rsid w:val="28F956F4"/>
    <w:rsid w:val="29062564"/>
    <w:rsid w:val="29142D75"/>
    <w:rsid w:val="29273F50"/>
    <w:rsid w:val="29422D70"/>
    <w:rsid w:val="2942491D"/>
    <w:rsid w:val="296B5029"/>
    <w:rsid w:val="297E5D09"/>
    <w:rsid w:val="29846EE4"/>
    <w:rsid w:val="298C577B"/>
    <w:rsid w:val="29982B38"/>
    <w:rsid w:val="29A54815"/>
    <w:rsid w:val="29A64DD8"/>
    <w:rsid w:val="29AA5BF6"/>
    <w:rsid w:val="29B716DE"/>
    <w:rsid w:val="29B95F40"/>
    <w:rsid w:val="29C20015"/>
    <w:rsid w:val="29CC726F"/>
    <w:rsid w:val="29D5537D"/>
    <w:rsid w:val="29D65A2D"/>
    <w:rsid w:val="29F65440"/>
    <w:rsid w:val="2A051FDF"/>
    <w:rsid w:val="2A157B45"/>
    <w:rsid w:val="2A1B685D"/>
    <w:rsid w:val="2A1C363C"/>
    <w:rsid w:val="2A247D3C"/>
    <w:rsid w:val="2A3C0B5C"/>
    <w:rsid w:val="2A482CCF"/>
    <w:rsid w:val="2A5B56DE"/>
    <w:rsid w:val="2A5B70D8"/>
    <w:rsid w:val="2A6445B7"/>
    <w:rsid w:val="2A742DAD"/>
    <w:rsid w:val="2A931233"/>
    <w:rsid w:val="2AA142F5"/>
    <w:rsid w:val="2AAB1CED"/>
    <w:rsid w:val="2AC65C5B"/>
    <w:rsid w:val="2ACB136F"/>
    <w:rsid w:val="2ACB2B8B"/>
    <w:rsid w:val="2ACF52EE"/>
    <w:rsid w:val="2AD02892"/>
    <w:rsid w:val="2AD42A06"/>
    <w:rsid w:val="2AE03A3A"/>
    <w:rsid w:val="2AE20364"/>
    <w:rsid w:val="2AE240B6"/>
    <w:rsid w:val="2AE56B04"/>
    <w:rsid w:val="2AED414D"/>
    <w:rsid w:val="2B060360"/>
    <w:rsid w:val="2B0C7D5E"/>
    <w:rsid w:val="2B1349B1"/>
    <w:rsid w:val="2B2A50C0"/>
    <w:rsid w:val="2B2D14E8"/>
    <w:rsid w:val="2B5B36D4"/>
    <w:rsid w:val="2B7A199A"/>
    <w:rsid w:val="2B7B6AD6"/>
    <w:rsid w:val="2B812B85"/>
    <w:rsid w:val="2B947D89"/>
    <w:rsid w:val="2BA735A5"/>
    <w:rsid w:val="2BA91A33"/>
    <w:rsid w:val="2BAA76F4"/>
    <w:rsid w:val="2BAC1F9C"/>
    <w:rsid w:val="2BAD2182"/>
    <w:rsid w:val="2BAD2E37"/>
    <w:rsid w:val="2BB97180"/>
    <w:rsid w:val="2BBE29CF"/>
    <w:rsid w:val="2BE143D6"/>
    <w:rsid w:val="2BE85D2A"/>
    <w:rsid w:val="2BF40686"/>
    <w:rsid w:val="2BFF396A"/>
    <w:rsid w:val="2C0D5679"/>
    <w:rsid w:val="2C222BBA"/>
    <w:rsid w:val="2C2706AD"/>
    <w:rsid w:val="2C270882"/>
    <w:rsid w:val="2C313011"/>
    <w:rsid w:val="2C3768AE"/>
    <w:rsid w:val="2C386A6F"/>
    <w:rsid w:val="2C3B553D"/>
    <w:rsid w:val="2C3F4676"/>
    <w:rsid w:val="2C421AAE"/>
    <w:rsid w:val="2C5113E8"/>
    <w:rsid w:val="2C5300D5"/>
    <w:rsid w:val="2C5C3FAD"/>
    <w:rsid w:val="2C68648C"/>
    <w:rsid w:val="2C74368C"/>
    <w:rsid w:val="2C787161"/>
    <w:rsid w:val="2C7A1FA2"/>
    <w:rsid w:val="2C90454D"/>
    <w:rsid w:val="2C9433A4"/>
    <w:rsid w:val="2C9449DA"/>
    <w:rsid w:val="2C967056"/>
    <w:rsid w:val="2C996BCA"/>
    <w:rsid w:val="2C9F5CFD"/>
    <w:rsid w:val="2CA0213A"/>
    <w:rsid w:val="2CAF13D4"/>
    <w:rsid w:val="2CB4139C"/>
    <w:rsid w:val="2CBA4287"/>
    <w:rsid w:val="2CBB701C"/>
    <w:rsid w:val="2CBF734F"/>
    <w:rsid w:val="2CCD2E91"/>
    <w:rsid w:val="2CD30739"/>
    <w:rsid w:val="2CDB40E9"/>
    <w:rsid w:val="2D075F78"/>
    <w:rsid w:val="2D135D54"/>
    <w:rsid w:val="2D1405FA"/>
    <w:rsid w:val="2D1C0BCC"/>
    <w:rsid w:val="2D242BEB"/>
    <w:rsid w:val="2D2864D4"/>
    <w:rsid w:val="2D48595B"/>
    <w:rsid w:val="2D61222D"/>
    <w:rsid w:val="2D6405B3"/>
    <w:rsid w:val="2D79651E"/>
    <w:rsid w:val="2D892141"/>
    <w:rsid w:val="2D940FD5"/>
    <w:rsid w:val="2D971852"/>
    <w:rsid w:val="2D9C7120"/>
    <w:rsid w:val="2DA06BAD"/>
    <w:rsid w:val="2DAA40C0"/>
    <w:rsid w:val="2DAF32D6"/>
    <w:rsid w:val="2DD30493"/>
    <w:rsid w:val="2DD32383"/>
    <w:rsid w:val="2DE04723"/>
    <w:rsid w:val="2DE50909"/>
    <w:rsid w:val="2DF71E8F"/>
    <w:rsid w:val="2E3B6D24"/>
    <w:rsid w:val="2E413C6F"/>
    <w:rsid w:val="2E446B65"/>
    <w:rsid w:val="2E70660F"/>
    <w:rsid w:val="2E7B301F"/>
    <w:rsid w:val="2E7F7B08"/>
    <w:rsid w:val="2E917FC7"/>
    <w:rsid w:val="2E9645DE"/>
    <w:rsid w:val="2EA0753C"/>
    <w:rsid w:val="2EA3576A"/>
    <w:rsid w:val="2EB1759E"/>
    <w:rsid w:val="2EBB6D73"/>
    <w:rsid w:val="2EC203D7"/>
    <w:rsid w:val="2EC41CCC"/>
    <w:rsid w:val="2EC50EC9"/>
    <w:rsid w:val="2EDE7F03"/>
    <w:rsid w:val="2EE72320"/>
    <w:rsid w:val="2EE8455C"/>
    <w:rsid w:val="2EEF03F2"/>
    <w:rsid w:val="2EF019F1"/>
    <w:rsid w:val="2F024BFA"/>
    <w:rsid w:val="2F055F80"/>
    <w:rsid w:val="2F2F7232"/>
    <w:rsid w:val="2F30338E"/>
    <w:rsid w:val="2F4B0F2A"/>
    <w:rsid w:val="2F5E400F"/>
    <w:rsid w:val="2F764145"/>
    <w:rsid w:val="2F8350AC"/>
    <w:rsid w:val="2F8A7D5B"/>
    <w:rsid w:val="2F8C5859"/>
    <w:rsid w:val="2F984435"/>
    <w:rsid w:val="2FA75E37"/>
    <w:rsid w:val="2FB2792D"/>
    <w:rsid w:val="2FBD02EA"/>
    <w:rsid w:val="2FC414F3"/>
    <w:rsid w:val="2FD36A63"/>
    <w:rsid w:val="2FE60929"/>
    <w:rsid w:val="2FE97B40"/>
    <w:rsid w:val="2FF058D0"/>
    <w:rsid w:val="2FF26866"/>
    <w:rsid w:val="2FF6170A"/>
    <w:rsid w:val="2FF851E8"/>
    <w:rsid w:val="2FFA1C7E"/>
    <w:rsid w:val="30012B50"/>
    <w:rsid w:val="301771A1"/>
    <w:rsid w:val="301B3C70"/>
    <w:rsid w:val="30290BC6"/>
    <w:rsid w:val="302E4809"/>
    <w:rsid w:val="303E6CFF"/>
    <w:rsid w:val="30451584"/>
    <w:rsid w:val="307416F9"/>
    <w:rsid w:val="307E3270"/>
    <w:rsid w:val="30803E4C"/>
    <w:rsid w:val="309453D0"/>
    <w:rsid w:val="30B04CE0"/>
    <w:rsid w:val="30B05BC8"/>
    <w:rsid w:val="30B93530"/>
    <w:rsid w:val="30CD219E"/>
    <w:rsid w:val="30D70117"/>
    <w:rsid w:val="30DC79DB"/>
    <w:rsid w:val="30E42F09"/>
    <w:rsid w:val="30E83E0B"/>
    <w:rsid w:val="30ED19A4"/>
    <w:rsid w:val="30F23A38"/>
    <w:rsid w:val="3109342A"/>
    <w:rsid w:val="31150223"/>
    <w:rsid w:val="31274B61"/>
    <w:rsid w:val="313C1DEF"/>
    <w:rsid w:val="313D08E8"/>
    <w:rsid w:val="313F6FA8"/>
    <w:rsid w:val="31422A25"/>
    <w:rsid w:val="31466DD6"/>
    <w:rsid w:val="314B29C9"/>
    <w:rsid w:val="315870F0"/>
    <w:rsid w:val="316B6875"/>
    <w:rsid w:val="31782AB6"/>
    <w:rsid w:val="317C1A0C"/>
    <w:rsid w:val="31853BF2"/>
    <w:rsid w:val="318F6B49"/>
    <w:rsid w:val="31922776"/>
    <w:rsid w:val="319367A7"/>
    <w:rsid w:val="31987D79"/>
    <w:rsid w:val="31B441AF"/>
    <w:rsid w:val="31BC4955"/>
    <w:rsid w:val="31BD13E1"/>
    <w:rsid w:val="31DB567B"/>
    <w:rsid w:val="31E03F3B"/>
    <w:rsid w:val="31FF200C"/>
    <w:rsid w:val="32035372"/>
    <w:rsid w:val="32153829"/>
    <w:rsid w:val="32161B9F"/>
    <w:rsid w:val="321F0BAD"/>
    <w:rsid w:val="32203DC9"/>
    <w:rsid w:val="322C0719"/>
    <w:rsid w:val="32417B4E"/>
    <w:rsid w:val="32577650"/>
    <w:rsid w:val="32696532"/>
    <w:rsid w:val="326E19A7"/>
    <w:rsid w:val="32877BD6"/>
    <w:rsid w:val="3291167C"/>
    <w:rsid w:val="32A81084"/>
    <w:rsid w:val="32A973A5"/>
    <w:rsid w:val="32AB7B8B"/>
    <w:rsid w:val="32AD5EDE"/>
    <w:rsid w:val="32CA5C1A"/>
    <w:rsid w:val="32D11E24"/>
    <w:rsid w:val="32D67EF0"/>
    <w:rsid w:val="32D70991"/>
    <w:rsid w:val="32E23E37"/>
    <w:rsid w:val="32F928CF"/>
    <w:rsid w:val="32FC61EC"/>
    <w:rsid w:val="330F262B"/>
    <w:rsid w:val="330F7683"/>
    <w:rsid w:val="33137D8C"/>
    <w:rsid w:val="33143062"/>
    <w:rsid w:val="33163DDD"/>
    <w:rsid w:val="33324498"/>
    <w:rsid w:val="334065FE"/>
    <w:rsid w:val="3375365E"/>
    <w:rsid w:val="33776CED"/>
    <w:rsid w:val="339E5DC3"/>
    <w:rsid w:val="33B2679E"/>
    <w:rsid w:val="33B96F0B"/>
    <w:rsid w:val="33BE38D0"/>
    <w:rsid w:val="33DB06CE"/>
    <w:rsid w:val="33DC14FA"/>
    <w:rsid w:val="33E72930"/>
    <w:rsid w:val="34343043"/>
    <w:rsid w:val="343C0FEA"/>
    <w:rsid w:val="344F2616"/>
    <w:rsid w:val="34523A37"/>
    <w:rsid w:val="345A55DE"/>
    <w:rsid w:val="345D40FE"/>
    <w:rsid w:val="3463388A"/>
    <w:rsid w:val="346D041B"/>
    <w:rsid w:val="34753568"/>
    <w:rsid w:val="347F1A56"/>
    <w:rsid w:val="34827529"/>
    <w:rsid w:val="3483072E"/>
    <w:rsid w:val="348366C0"/>
    <w:rsid w:val="34863703"/>
    <w:rsid w:val="34936990"/>
    <w:rsid w:val="34AC1858"/>
    <w:rsid w:val="34AE31BF"/>
    <w:rsid w:val="34B70BE2"/>
    <w:rsid w:val="34B845A0"/>
    <w:rsid w:val="34C11CB8"/>
    <w:rsid w:val="34D822BA"/>
    <w:rsid w:val="34D915C0"/>
    <w:rsid w:val="34E53DD0"/>
    <w:rsid w:val="34F34C56"/>
    <w:rsid w:val="34F72FF9"/>
    <w:rsid w:val="3512139F"/>
    <w:rsid w:val="35190368"/>
    <w:rsid w:val="351B3C96"/>
    <w:rsid w:val="352743D0"/>
    <w:rsid w:val="35465E39"/>
    <w:rsid w:val="35481FCA"/>
    <w:rsid w:val="355173B6"/>
    <w:rsid w:val="35680A80"/>
    <w:rsid w:val="35781AD4"/>
    <w:rsid w:val="357A5788"/>
    <w:rsid w:val="357B08E5"/>
    <w:rsid w:val="357D4461"/>
    <w:rsid w:val="357F0E9E"/>
    <w:rsid w:val="35836E7E"/>
    <w:rsid w:val="358A5B7F"/>
    <w:rsid w:val="35901FCA"/>
    <w:rsid w:val="35945B38"/>
    <w:rsid w:val="35AA5D05"/>
    <w:rsid w:val="35AC33F0"/>
    <w:rsid w:val="35BA3578"/>
    <w:rsid w:val="35C61AA4"/>
    <w:rsid w:val="35C820C9"/>
    <w:rsid w:val="35CF4D55"/>
    <w:rsid w:val="35D07833"/>
    <w:rsid w:val="35D44633"/>
    <w:rsid w:val="35F55C67"/>
    <w:rsid w:val="360308BC"/>
    <w:rsid w:val="36121C74"/>
    <w:rsid w:val="36147632"/>
    <w:rsid w:val="363A3E18"/>
    <w:rsid w:val="363D0458"/>
    <w:rsid w:val="36403E9E"/>
    <w:rsid w:val="364E6732"/>
    <w:rsid w:val="365202F1"/>
    <w:rsid w:val="36530971"/>
    <w:rsid w:val="36561BAE"/>
    <w:rsid w:val="36610C56"/>
    <w:rsid w:val="366B24CA"/>
    <w:rsid w:val="36AA32DA"/>
    <w:rsid w:val="36AC1A8F"/>
    <w:rsid w:val="36B05D97"/>
    <w:rsid w:val="36C83099"/>
    <w:rsid w:val="36D13F37"/>
    <w:rsid w:val="36D32994"/>
    <w:rsid w:val="36FC5304"/>
    <w:rsid w:val="37015D0F"/>
    <w:rsid w:val="370713C0"/>
    <w:rsid w:val="370A390E"/>
    <w:rsid w:val="37133678"/>
    <w:rsid w:val="371E1053"/>
    <w:rsid w:val="37245EA8"/>
    <w:rsid w:val="37273D38"/>
    <w:rsid w:val="372D05EA"/>
    <w:rsid w:val="37344667"/>
    <w:rsid w:val="373A7BA8"/>
    <w:rsid w:val="376916D4"/>
    <w:rsid w:val="376E6E4C"/>
    <w:rsid w:val="37812A3F"/>
    <w:rsid w:val="37885CAD"/>
    <w:rsid w:val="37A14E57"/>
    <w:rsid w:val="37CA515A"/>
    <w:rsid w:val="37CE06FA"/>
    <w:rsid w:val="37D64BEB"/>
    <w:rsid w:val="37E961E3"/>
    <w:rsid w:val="37EB56A4"/>
    <w:rsid w:val="37FB1D59"/>
    <w:rsid w:val="37FE287E"/>
    <w:rsid w:val="3801170A"/>
    <w:rsid w:val="3805601E"/>
    <w:rsid w:val="38080105"/>
    <w:rsid w:val="38095396"/>
    <w:rsid w:val="38182FE6"/>
    <w:rsid w:val="38221433"/>
    <w:rsid w:val="382232A2"/>
    <w:rsid w:val="38223BD2"/>
    <w:rsid w:val="3837347B"/>
    <w:rsid w:val="384B346D"/>
    <w:rsid w:val="384F7912"/>
    <w:rsid w:val="385666E5"/>
    <w:rsid w:val="386045E6"/>
    <w:rsid w:val="38646A8C"/>
    <w:rsid w:val="38693F3A"/>
    <w:rsid w:val="386B01E7"/>
    <w:rsid w:val="386C2500"/>
    <w:rsid w:val="388010D4"/>
    <w:rsid w:val="38B463B7"/>
    <w:rsid w:val="38B66C0E"/>
    <w:rsid w:val="38B71B7A"/>
    <w:rsid w:val="38CE1185"/>
    <w:rsid w:val="38D66C88"/>
    <w:rsid w:val="38DB70E7"/>
    <w:rsid w:val="38DE4131"/>
    <w:rsid w:val="38DE42C4"/>
    <w:rsid w:val="38EF3403"/>
    <w:rsid w:val="38F72871"/>
    <w:rsid w:val="38FA0F2F"/>
    <w:rsid w:val="38FC1CDD"/>
    <w:rsid w:val="39432F1D"/>
    <w:rsid w:val="394D4072"/>
    <w:rsid w:val="3959599F"/>
    <w:rsid w:val="39646F5D"/>
    <w:rsid w:val="39653F24"/>
    <w:rsid w:val="396B548A"/>
    <w:rsid w:val="396D7A4B"/>
    <w:rsid w:val="39846D37"/>
    <w:rsid w:val="399979C8"/>
    <w:rsid w:val="399D1F7D"/>
    <w:rsid w:val="39A645A8"/>
    <w:rsid w:val="39A66F79"/>
    <w:rsid w:val="39B35135"/>
    <w:rsid w:val="39C3536C"/>
    <w:rsid w:val="39D446E4"/>
    <w:rsid w:val="39D4492F"/>
    <w:rsid w:val="3A0E44A8"/>
    <w:rsid w:val="3A1E5444"/>
    <w:rsid w:val="3A58496D"/>
    <w:rsid w:val="3A6108F5"/>
    <w:rsid w:val="3A625DDC"/>
    <w:rsid w:val="3A666D62"/>
    <w:rsid w:val="3A6C1B8E"/>
    <w:rsid w:val="3A6F6E97"/>
    <w:rsid w:val="3A6F7C8C"/>
    <w:rsid w:val="3A740E70"/>
    <w:rsid w:val="3A917826"/>
    <w:rsid w:val="3A993081"/>
    <w:rsid w:val="3A9E4A11"/>
    <w:rsid w:val="3AA47B52"/>
    <w:rsid w:val="3AA74A54"/>
    <w:rsid w:val="3AB36C2E"/>
    <w:rsid w:val="3AB6023E"/>
    <w:rsid w:val="3AC06832"/>
    <w:rsid w:val="3AC85739"/>
    <w:rsid w:val="3AD16F1E"/>
    <w:rsid w:val="3ADE7934"/>
    <w:rsid w:val="3AE5607D"/>
    <w:rsid w:val="3AED0784"/>
    <w:rsid w:val="3B0C1937"/>
    <w:rsid w:val="3B1416BA"/>
    <w:rsid w:val="3B192EFF"/>
    <w:rsid w:val="3B1F0B28"/>
    <w:rsid w:val="3B2F2EC8"/>
    <w:rsid w:val="3B3171F9"/>
    <w:rsid w:val="3B4B1E3B"/>
    <w:rsid w:val="3B4D7937"/>
    <w:rsid w:val="3B507756"/>
    <w:rsid w:val="3B5356F2"/>
    <w:rsid w:val="3B5B163C"/>
    <w:rsid w:val="3B6E00E7"/>
    <w:rsid w:val="3B840F75"/>
    <w:rsid w:val="3BB42F1B"/>
    <w:rsid w:val="3BC141CC"/>
    <w:rsid w:val="3BCB385D"/>
    <w:rsid w:val="3BCE25E6"/>
    <w:rsid w:val="3BD2206E"/>
    <w:rsid w:val="3BD710E2"/>
    <w:rsid w:val="3BDE70EF"/>
    <w:rsid w:val="3BF001F9"/>
    <w:rsid w:val="3BF409E6"/>
    <w:rsid w:val="3BFA6F2F"/>
    <w:rsid w:val="3BFE6A66"/>
    <w:rsid w:val="3C1B106D"/>
    <w:rsid w:val="3C242777"/>
    <w:rsid w:val="3C265604"/>
    <w:rsid w:val="3C425EA1"/>
    <w:rsid w:val="3C4D6552"/>
    <w:rsid w:val="3C591714"/>
    <w:rsid w:val="3C5B3EB5"/>
    <w:rsid w:val="3C687DAA"/>
    <w:rsid w:val="3C690D2F"/>
    <w:rsid w:val="3C6C1F58"/>
    <w:rsid w:val="3C8429F6"/>
    <w:rsid w:val="3C8E0214"/>
    <w:rsid w:val="3CA34BF4"/>
    <w:rsid w:val="3CA522AE"/>
    <w:rsid w:val="3CAC1951"/>
    <w:rsid w:val="3CB01EA8"/>
    <w:rsid w:val="3CB26455"/>
    <w:rsid w:val="3CC1134E"/>
    <w:rsid w:val="3CE17722"/>
    <w:rsid w:val="3CE813D9"/>
    <w:rsid w:val="3CEA2ACF"/>
    <w:rsid w:val="3CF17CB4"/>
    <w:rsid w:val="3CF379F4"/>
    <w:rsid w:val="3CF53B4D"/>
    <w:rsid w:val="3D0C77C5"/>
    <w:rsid w:val="3D1364CE"/>
    <w:rsid w:val="3D1E1E81"/>
    <w:rsid w:val="3D221BDD"/>
    <w:rsid w:val="3D292B8E"/>
    <w:rsid w:val="3D3777C3"/>
    <w:rsid w:val="3D48523F"/>
    <w:rsid w:val="3D5916C4"/>
    <w:rsid w:val="3D5A7D44"/>
    <w:rsid w:val="3D5C08F2"/>
    <w:rsid w:val="3D667C36"/>
    <w:rsid w:val="3D751828"/>
    <w:rsid w:val="3D7B044B"/>
    <w:rsid w:val="3D8072A0"/>
    <w:rsid w:val="3D883975"/>
    <w:rsid w:val="3D8846EB"/>
    <w:rsid w:val="3D8B06B4"/>
    <w:rsid w:val="3DB6641F"/>
    <w:rsid w:val="3DC46A40"/>
    <w:rsid w:val="3DD70059"/>
    <w:rsid w:val="3DDB2EF4"/>
    <w:rsid w:val="3DE86D04"/>
    <w:rsid w:val="3DF46EDF"/>
    <w:rsid w:val="3E240644"/>
    <w:rsid w:val="3E29153A"/>
    <w:rsid w:val="3E2C136C"/>
    <w:rsid w:val="3E31466F"/>
    <w:rsid w:val="3E5C36DE"/>
    <w:rsid w:val="3E665F21"/>
    <w:rsid w:val="3E6E40BE"/>
    <w:rsid w:val="3E712FE9"/>
    <w:rsid w:val="3E736562"/>
    <w:rsid w:val="3E75370D"/>
    <w:rsid w:val="3E903D5C"/>
    <w:rsid w:val="3E9660C3"/>
    <w:rsid w:val="3ECA487D"/>
    <w:rsid w:val="3ECB1596"/>
    <w:rsid w:val="3ECD3048"/>
    <w:rsid w:val="3EF929AF"/>
    <w:rsid w:val="3F024C7A"/>
    <w:rsid w:val="3F091AD3"/>
    <w:rsid w:val="3F0A45E0"/>
    <w:rsid w:val="3F0C3DC1"/>
    <w:rsid w:val="3F190FF7"/>
    <w:rsid w:val="3F235E9D"/>
    <w:rsid w:val="3F2F25F2"/>
    <w:rsid w:val="3F3618F0"/>
    <w:rsid w:val="3F397C15"/>
    <w:rsid w:val="3F3F3D0D"/>
    <w:rsid w:val="3F424756"/>
    <w:rsid w:val="3F6462AC"/>
    <w:rsid w:val="3F7943CC"/>
    <w:rsid w:val="3F8653B7"/>
    <w:rsid w:val="3F8A1A1D"/>
    <w:rsid w:val="3F8D1F08"/>
    <w:rsid w:val="3F8E0861"/>
    <w:rsid w:val="3F8E7506"/>
    <w:rsid w:val="3F8E7D43"/>
    <w:rsid w:val="3F960481"/>
    <w:rsid w:val="3F9A6E78"/>
    <w:rsid w:val="3FA06B88"/>
    <w:rsid w:val="3FA1773A"/>
    <w:rsid w:val="3FB143B4"/>
    <w:rsid w:val="3FB24A8D"/>
    <w:rsid w:val="3FC05EA5"/>
    <w:rsid w:val="3FC14E74"/>
    <w:rsid w:val="3FD6022A"/>
    <w:rsid w:val="3FD64838"/>
    <w:rsid w:val="3FDB1D73"/>
    <w:rsid w:val="3FE04ECA"/>
    <w:rsid w:val="3FE7352E"/>
    <w:rsid w:val="3FEE6AFC"/>
    <w:rsid w:val="3FF27CF4"/>
    <w:rsid w:val="3FF6756F"/>
    <w:rsid w:val="400240CD"/>
    <w:rsid w:val="400F11F7"/>
    <w:rsid w:val="401E60CB"/>
    <w:rsid w:val="40275E65"/>
    <w:rsid w:val="403B63DA"/>
    <w:rsid w:val="4045044D"/>
    <w:rsid w:val="40457192"/>
    <w:rsid w:val="404A6865"/>
    <w:rsid w:val="404C376E"/>
    <w:rsid w:val="4067571A"/>
    <w:rsid w:val="406903B5"/>
    <w:rsid w:val="406C14B4"/>
    <w:rsid w:val="406D791B"/>
    <w:rsid w:val="40731D0B"/>
    <w:rsid w:val="40782CA9"/>
    <w:rsid w:val="40852590"/>
    <w:rsid w:val="4094330D"/>
    <w:rsid w:val="409F1835"/>
    <w:rsid w:val="40A129A5"/>
    <w:rsid w:val="40A77015"/>
    <w:rsid w:val="40A82EAB"/>
    <w:rsid w:val="40B5140E"/>
    <w:rsid w:val="40BC008B"/>
    <w:rsid w:val="40BD25B1"/>
    <w:rsid w:val="40C92D87"/>
    <w:rsid w:val="40E365A1"/>
    <w:rsid w:val="40E50045"/>
    <w:rsid w:val="40EA4E36"/>
    <w:rsid w:val="40F76E62"/>
    <w:rsid w:val="40FD552D"/>
    <w:rsid w:val="40FE3EFE"/>
    <w:rsid w:val="41067054"/>
    <w:rsid w:val="41117860"/>
    <w:rsid w:val="411905DA"/>
    <w:rsid w:val="412B44BC"/>
    <w:rsid w:val="412D492D"/>
    <w:rsid w:val="413367ED"/>
    <w:rsid w:val="413A1DED"/>
    <w:rsid w:val="41437D2F"/>
    <w:rsid w:val="414C54D3"/>
    <w:rsid w:val="41540A99"/>
    <w:rsid w:val="417C3E8B"/>
    <w:rsid w:val="4190739B"/>
    <w:rsid w:val="41A3372E"/>
    <w:rsid w:val="41BC1F10"/>
    <w:rsid w:val="41BC6354"/>
    <w:rsid w:val="41C61DAF"/>
    <w:rsid w:val="41CC13ED"/>
    <w:rsid w:val="41DB4806"/>
    <w:rsid w:val="41E712BA"/>
    <w:rsid w:val="41EC3377"/>
    <w:rsid w:val="41F054AA"/>
    <w:rsid w:val="41F271C5"/>
    <w:rsid w:val="41FD7C70"/>
    <w:rsid w:val="4205216F"/>
    <w:rsid w:val="420A792C"/>
    <w:rsid w:val="42151B54"/>
    <w:rsid w:val="42192D94"/>
    <w:rsid w:val="421D365B"/>
    <w:rsid w:val="42252A4D"/>
    <w:rsid w:val="422D4402"/>
    <w:rsid w:val="42371B75"/>
    <w:rsid w:val="42383770"/>
    <w:rsid w:val="423C2A64"/>
    <w:rsid w:val="423E154C"/>
    <w:rsid w:val="424748BB"/>
    <w:rsid w:val="424B3AFB"/>
    <w:rsid w:val="424E3661"/>
    <w:rsid w:val="424E7ACB"/>
    <w:rsid w:val="425365D4"/>
    <w:rsid w:val="42617D31"/>
    <w:rsid w:val="42690BA6"/>
    <w:rsid w:val="427563D2"/>
    <w:rsid w:val="428D5AED"/>
    <w:rsid w:val="42AC6CA7"/>
    <w:rsid w:val="42AD1D83"/>
    <w:rsid w:val="42CE72D8"/>
    <w:rsid w:val="42E250CC"/>
    <w:rsid w:val="42E42766"/>
    <w:rsid w:val="431D50CD"/>
    <w:rsid w:val="432150C7"/>
    <w:rsid w:val="432637C1"/>
    <w:rsid w:val="43332397"/>
    <w:rsid w:val="433E00E5"/>
    <w:rsid w:val="4342238A"/>
    <w:rsid w:val="434E1A54"/>
    <w:rsid w:val="43510DE6"/>
    <w:rsid w:val="435A45D7"/>
    <w:rsid w:val="4367560C"/>
    <w:rsid w:val="43765341"/>
    <w:rsid w:val="437C7AF3"/>
    <w:rsid w:val="437D74F7"/>
    <w:rsid w:val="43881A6F"/>
    <w:rsid w:val="43944280"/>
    <w:rsid w:val="43967B2D"/>
    <w:rsid w:val="43972560"/>
    <w:rsid w:val="43A146C4"/>
    <w:rsid w:val="43BA4725"/>
    <w:rsid w:val="43BD74AE"/>
    <w:rsid w:val="43C40826"/>
    <w:rsid w:val="440402C0"/>
    <w:rsid w:val="440B74D7"/>
    <w:rsid w:val="44144F96"/>
    <w:rsid w:val="44243E48"/>
    <w:rsid w:val="4426029F"/>
    <w:rsid w:val="443049A4"/>
    <w:rsid w:val="4435190D"/>
    <w:rsid w:val="444006F0"/>
    <w:rsid w:val="4449763C"/>
    <w:rsid w:val="4466523D"/>
    <w:rsid w:val="449C2209"/>
    <w:rsid w:val="449E0B3D"/>
    <w:rsid w:val="44A15B22"/>
    <w:rsid w:val="44AB5380"/>
    <w:rsid w:val="44AD44E7"/>
    <w:rsid w:val="44C21393"/>
    <w:rsid w:val="44E311EC"/>
    <w:rsid w:val="44E97B1A"/>
    <w:rsid w:val="44FA2F7D"/>
    <w:rsid w:val="451C1B30"/>
    <w:rsid w:val="45247151"/>
    <w:rsid w:val="452A0B65"/>
    <w:rsid w:val="45307882"/>
    <w:rsid w:val="4541764E"/>
    <w:rsid w:val="45445522"/>
    <w:rsid w:val="45517DBD"/>
    <w:rsid w:val="455D136A"/>
    <w:rsid w:val="455D2ED5"/>
    <w:rsid w:val="45625743"/>
    <w:rsid w:val="456C27E8"/>
    <w:rsid w:val="45831004"/>
    <w:rsid w:val="45853908"/>
    <w:rsid w:val="459709E9"/>
    <w:rsid w:val="45A04E1C"/>
    <w:rsid w:val="45A32CF0"/>
    <w:rsid w:val="45AA2A4C"/>
    <w:rsid w:val="45C004C1"/>
    <w:rsid w:val="45C40157"/>
    <w:rsid w:val="45C906E8"/>
    <w:rsid w:val="45CC7492"/>
    <w:rsid w:val="45E36B41"/>
    <w:rsid w:val="45E60474"/>
    <w:rsid w:val="45EF017B"/>
    <w:rsid w:val="45EF114F"/>
    <w:rsid w:val="45F90666"/>
    <w:rsid w:val="45FA6589"/>
    <w:rsid w:val="4607164D"/>
    <w:rsid w:val="46114F10"/>
    <w:rsid w:val="461A6769"/>
    <w:rsid w:val="461B41AD"/>
    <w:rsid w:val="46265848"/>
    <w:rsid w:val="4629239A"/>
    <w:rsid w:val="4634391B"/>
    <w:rsid w:val="46425126"/>
    <w:rsid w:val="4645223D"/>
    <w:rsid w:val="464636AA"/>
    <w:rsid w:val="46531A74"/>
    <w:rsid w:val="4657345C"/>
    <w:rsid w:val="465F13BF"/>
    <w:rsid w:val="466E1F24"/>
    <w:rsid w:val="46790382"/>
    <w:rsid w:val="46886E13"/>
    <w:rsid w:val="469E56A2"/>
    <w:rsid w:val="46A91E23"/>
    <w:rsid w:val="46AA2C2E"/>
    <w:rsid w:val="46AF0EAA"/>
    <w:rsid w:val="46AF3F90"/>
    <w:rsid w:val="46C1077C"/>
    <w:rsid w:val="46CE0949"/>
    <w:rsid w:val="46D252DD"/>
    <w:rsid w:val="470F5E78"/>
    <w:rsid w:val="47165F77"/>
    <w:rsid w:val="471D3A77"/>
    <w:rsid w:val="473668DE"/>
    <w:rsid w:val="475C0DD0"/>
    <w:rsid w:val="47617A24"/>
    <w:rsid w:val="476756F9"/>
    <w:rsid w:val="476D7AC9"/>
    <w:rsid w:val="47721F65"/>
    <w:rsid w:val="47756B56"/>
    <w:rsid w:val="478F3EA7"/>
    <w:rsid w:val="47A03D75"/>
    <w:rsid w:val="47AD3726"/>
    <w:rsid w:val="47AD3F78"/>
    <w:rsid w:val="47AE7E5F"/>
    <w:rsid w:val="47B36BA2"/>
    <w:rsid w:val="47B91C73"/>
    <w:rsid w:val="47C95536"/>
    <w:rsid w:val="47DB7383"/>
    <w:rsid w:val="47E06033"/>
    <w:rsid w:val="47ED4953"/>
    <w:rsid w:val="47F25461"/>
    <w:rsid w:val="481222FA"/>
    <w:rsid w:val="482A1947"/>
    <w:rsid w:val="482A4D35"/>
    <w:rsid w:val="482B5C12"/>
    <w:rsid w:val="483428C5"/>
    <w:rsid w:val="483D6CA0"/>
    <w:rsid w:val="483F7648"/>
    <w:rsid w:val="485D2A1D"/>
    <w:rsid w:val="48747A54"/>
    <w:rsid w:val="48785B3B"/>
    <w:rsid w:val="4881044E"/>
    <w:rsid w:val="488F0127"/>
    <w:rsid w:val="4896596E"/>
    <w:rsid w:val="48A06535"/>
    <w:rsid w:val="48A47848"/>
    <w:rsid w:val="48B83807"/>
    <w:rsid w:val="48B86EAD"/>
    <w:rsid w:val="48BF22C3"/>
    <w:rsid w:val="48C2533A"/>
    <w:rsid w:val="48DE4623"/>
    <w:rsid w:val="48F0098A"/>
    <w:rsid w:val="48F63C0D"/>
    <w:rsid w:val="48F753BD"/>
    <w:rsid w:val="48FF1255"/>
    <w:rsid w:val="49082337"/>
    <w:rsid w:val="492C3528"/>
    <w:rsid w:val="494E2C1D"/>
    <w:rsid w:val="4965404C"/>
    <w:rsid w:val="49A11EA2"/>
    <w:rsid w:val="49AA58A9"/>
    <w:rsid w:val="49B434AB"/>
    <w:rsid w:val="49B44A63"/>
    <w:rsid w:val="49B4651F"/>
    <w:rsid w:val="49B661CC"/>
    <w:rsid w:val="49B75858"/>
    <w:rsid w:val="49BB2538"/>
    <w:rsid w:val="49BE0360"/>
    <w:rsid w:val="49BE45BC"/>
    <w:rsid w:val="49C523D7"/>
    <w:rsid w:val="49D066E0"/>
    <w:rsid w:val="49D639C4"/>
    <w:rsid w:val="49E329B9"/>
    <w:rsid w:val="49E43F03"/>
    <w:rsid w:val="49E57D00"/>
    <w:rsid w:val="49EB3E39"/>
    <w:rsid w:val="49EF1540"/>
    <w:rsid w:val="4A035301"/>
    <w:rsid w:val="4A036078"/>
    <w:rsid w:val="4A2730EC"/>
    <w:rsid w:val="4A2A2ADE"/>
    <w:rsid w:val="4A306E6B"/>
    <w:rsid w:val="4A41283A"/>
    <w:rsid w:val="4A421E4F"/>
    <w:rsid w:val="4A597B81"/>
    <w:rsid w:val="4A9C1DE8"/>
    <w:rsid w:val="4A9C7443"/>
    <w:rsid w:val="4AA63B10"/>
    <w:rsid w:val="4AA660AE"/>
    <w:rsid w:val="4AB85651"/>
    <w:rsid w:val="4ADC3768"/>
    <w:rsid w:val="4ADE6F9E"/>
    <w:rsid w:val="4AE5158A"/>
    <w:rsid w:val="4AED1B3A"/>
    <w:rsid w:val="4AFE364B"/>
    <w:rsid w:val="4B0258D9"/>
    <w:rsid w:val="4B081EFF"/>
    <w:rsid w:val="4B116A06"/>
    <w:rsid w:val="4B206543"/>
    <w:rsid w:val="4B2B3F00"/>
    <w:rsid w:val="4B3C69C8"/>
    <w:rsid w:val="4B3D000E"/>
    <w:rsid w:val="4B3D539F"/>
    <w:rsid w:val="4B4B1AF7"/>
    <w:rsid w:val="4B4B6C97"/>
    <w:rsid w:val="4B5A0AE6"/>
    <w:rsid w:val="4B633A19"/>
    <w:rsid w:val="4B6407F8"/>
    <w:rsid w:val="4B653FF7"/>
    <w:rsid w:val="4BAE0D59"/>
    <w:rsid w:val="4BBC0D26"/>
    <w:rsid w:val="4BBF212E"/>
    <w:rsid w:val="4BC116CC"/>
    <w:rsid w:val="4BDB0205"/>
    <w:rsid w:val="4BE81E33"/>
    <w:rsid w:val="4BED6294"/>
    <w:rsid w:val="4BF663E3"/>
    <w:rsid w:val="4C000234"/>
    <w:rsid w:val="4C102284"/>
    <w:rsid w:val="4C1952AE"/>
    <w:rsid w:val="4C1A2A29"/>
    <w:rsid w:val="4C1D360D"/>
    <w:rsid w:val="4C3339CD"/>
    <w:rsid w:val="4C3B278B"/>
    <w:rsid w:val="4C3F421C"/>
    <w:rsid w:val="4C4467D9"/>
    <w:rsid w:val="4C4728CE"/>
    <w:rsid w:val="4C7F384D"/>
    <w:rsid w:val="4C88440E"/>
    <w:rsid w:val="4C985F14"/>
    <w:rsid w:val="4C9D6109"/>
    <w:rsid w:val="4CA04AFD"/>
    <w:rsid w:val="4CA31FFF"/>
    <w:rsid w:val="4CBD62CC"/>
    <w:rsid w:val="4CCA56B5"/>
    <w:rsid w:val="4CDD4E01"/>
    <w:rsid w:val="4CE55070"/>
    <w:rsid w:val="4CE6400E"/>
    <w:rsid w:val="4CF906E8"/>
    <w:rsid w:val="4CF954CC"/>
    <w:rsid w:val="4D08178D"/>
    <w:rsid w:val="4D106AE6"/>
    <w:rsid w:val="4D110E1D"/>
    <w:rsid w:val="4D1A0B3D"/>
    <w:rsid w:val="4D1B1A0D"/>
    <w:rsid w:val="4D217EC8"/>
    <w:rsid w:val="4D307308"/>
    <w:rsid w:val="4D336E15"/>
    <w:rsid w:val="4D360D42"/>
    <w:rsid w:val="4D52003F"/>
    <w:rsid w:val="4D5648EE"/>
    <w:rsid w:val="4D5670A7"/>
    <w:rsid w:val="4D57752D"/>
    <w:rsid w:val="4D5D1F52"/>
    <w:rsid w:val="4D6D3D6D"/>
    <w:rsid w:val="4DBC63C0"/>
    <w:rsid w:val="4DDB3C76"/>
    <w:rsid w:val="4DE07446"/>
    <w:rsid w:val="4DE91412"/>
    <w:rsid w:val="4DEE6E7A"/>
    <w:rsid w:val="4E010C97"/>
    <w:rsid w:val="4E0F0887"/>
    <w:rsid w:val="4E146F62"/>
    <w:rsid w:val="4E1E2B7C"/>
    <w:rsid w:val="4E3932FE"/>
    <w:rsid w:val="4E3951B3"/>
    <w:rsid w:val="4E424447"/>
    <w:rsid w:val="4E540763"/>
    <w:rsid w:val="4E5A15EC"/>
    <w:rsid w:val="4E6052BC"/>
    <w:rsid w:val="4E606AD6"/>
    <w:rsid w:val="4E61341B"/>
    <w:rsid w:val="4E6231C0"/>
    <w:rsid w:val="4E675C92"/>
    <w:rsid w:val="4E6E4246"/>
    <w:rsid w:val="4E6F1897"/>
    <w:rsid w:val="4E72442D"/>
    <w:rsid w:val="4E733CEF"/>
    <w:rsid w:val="4E7F784A"/>
    <w:rsid w:val="4E922E36"/>
    <w:rsid w:val="4E966FB4"/>
    <w:rsid w:val="4E9C709C"/>
    <w:rsid w:val="4EAC5018"/>
    <w:rsid w:val="4EB0364A"/>
    <w:rsid w:val="4EB300D7"/>
    <w:rsid w:val="4EB75AA0"/>
    <w:rsid w:val="4EC7799A"/>
    <w:rsid w:val="4ECC0F89"/>
    <w:rsid w:val="4EEA50A8"/>
    <w:rsid w:val="4EEB64B9"/>
    <w:rsid w:val="4EEE7A40"/>
    <w:rsid w:val="4EFE690E"/>
    <w:rsid w:val="4F092D97"/>
    <w:rsid w:val="4F252E6F"/>
    <w:rsid w:val="4F3C67B4"/>
    <w:rsid w:val="4F575402"/>
    <w:rsid w:val="4F5D7111"/>
    <w:rsid w:val="4F6439EA"/>
    <w:rsid w:val="4F704588"/>
    <w:rsid w:val="4F732434"/>
    <w:rsid w:val="4F7D707B"/>
    <w:rsid w:val="4F8E36B5"/>
    <w:rsid w:val="4FA45F82"/>
    <w:rsid w:val="4FB31915"/>
    <w:rsid w:val="4FBE2F4A"/>
    <w:rsid w:val="4FC02274"/>
    <w:rsid w:val="4FC20AA7"/>
    <w:rsid w:val="4FC32C8F"/>
    <w:rsid w:val="4FD02D57"/>
    <w:rsid w:val="4FD47EE1"/>
    <w:rsid w:val="4FD55148"/>
    <w:rsid w:val="4FE22064"/>
    <w:rsid w:val="4FE74552"/>
    <w:rsid w:val="4FE80B78"/>
    <w:rsid w:val="4FF026F6"/>
    <w:rsid w:val="4FF26394"/>
    <w:rsid w:val="5001585B"/>
    <w:rsid w:val="500A13EB"/>
    <w:rsid w:val="50357810"/>
    <w:rsid w:val="503D7C8E"/>
    <w:rsid w:val="503E3FB8"/>
    <w:rsid w:val="50406DFD"/>
    <w:rsid w:val="50435C3E"/>
    <w:rsid w:val="50440753"/>
    <w:rsid w:val="50487AE4"/>
    <w:rsid w:val="505F1EFD"/>
    <w:rsid w:val="50806437"/>
    <w:rsid w:val="509538FF"/>
    <w:rsid w:val="509B0283"/>
    <w:rsid w:val="50AB3E8C"/>
    <w:rsid w:val="50B22C9E"/>
    <w:rsid w:val="50B37962"/>
    <w:rsid w:val="50B70587"/>
    <w:rsid w:val="50C57D2E"/>
    <w:rsid w:val="50CF66BE"/>
    <w:rsid w:val="50DA069B"/>
    <w:rsid w:val="50EE2B40"/>
    <w:rsid w:val="50F2027E"/>
    <w:rsid w:val="50FE7A2A"/>
    <w:rsid w:val="5106388B"/>
    <w:rsid w:val="51146BDF"/>
    <w:rsid w:val="51171E53"/>
    <w:rsid w:val="511B29C3"/>
    <w:rsid w:val="511E5918"/>
    <w:rsid w:val="513D1102"/>
    <w:rsid w:val="513D4202"/>
    <w:rsid w:val="513F6C20"/>
    <w:rsid w:val="51400C97"/>
    <w:rsid w:val="514C75AC"/>
    <w:rsid w:val="516D502A"/>
    <w:rsid w:val="5184465B"/>
    <w:rsid w:val="519A03E7"/>
    <w:rsid w:val="51A662A9"/>
    <w:rsid w:val="51A84B86"/>
    <w:rsid w:val="51AC264F"/>
    <w:rsid w:val="51AD2F5D"/>
    <w:rsid w:val="51AF23DD"/>
    <w:rsid w:val="51C30F78"/>
    <w:rsid w:val="51CC4912"/>
    <w:rsid w:val="51E648F7"/>
    <w:rsid w:val="51F46A11"/>
    <w:rsid w:val="51F75C8F"/>
    <w:rsid w:val="51FA7F99"/>
    <w:rsid w:val="520B4626"/>
    <w:rsid w:val="521024B8"/>
    <w:rsid w:val="521305F8"/>
    <w:rsid w:val="523978C1"/>
    <w:rsid w:val="524063FC"/>
    <w:rsid w:val="5248283D"/>
    <w:rsid w:val="524B4105"/>
    <w:rsid w:val="524D25C2"/>
    <w:rsid w:val="52704611"/>
    <w:rsid w:val="52755A25"/>
    <w:rsid w:val="527A5D52"/>
    <w:rsid w:val="527B4A16"/>
    <w:rsid w:val="5285369E"/>
    <w:rsid w:val="528558D7"/>
    <w:rsid w:val="52995B79"/>
    <w:rsid w:val="52A2118F"/>
    <w:rsid w:val="52AA36BD"/>
    <w:rsid w:val="52AC1E73"/>
    <w:rsid w:val="52B4386A"/>
    <w:rsid w:val="52B50348"/>
    <w:rsid w:val="52C77C3F"/>
    <w:rsid w:val="52D01026"/>
    <w:rsid w:val="52DD0A68"/>
    <w:rsid w:val="52E315A9"/>
    <w:rsid w:val="52E35EDB"/>
    <w:rsid w:val="52EC7E76"/>
    <w:rsid w:val="532F58B4"/>
    <w:rsid w:val="533376ED"/>
    <w:rsid w:val="5345588D"/>
    <w:rsid w:val="5353008A"/>
    <w:rsid w:val="53645582"/>
    <w:rsid w:val="53733074"/>
    <w:rsid w:val="53873A8B"/>
    <w:rsid w:val="53A6567A"/>
    <w:rsid w:val="53A715A8"/>
    <w:rsid w:val="53B034DF"/>
    <w:rsid w:val="53B415F6"/>
    <w:rsid w:val="53B94A9E"/>
    <w:rsid w:val="53BD782E"/>
    <w:rsid w:val="53D31790"/>
    <w:rsid w:val="53E27FD2"/>
    <w:rsid w:val="53F26A70"/>
    <w:rsid w:val="53FE1061"/>
    <w:rsid w:val="5448025A"/>
    <w:rsid w:val="54590F8C"/>
    <w:rsid w:val="545955A0"/>
    <w:rsid w:val="546B02A8"/>
    <w:rsid w:val="54747189"/>
    <w:rsid w:val="54A02F80"/>
    <w:rsid w:val="54AF26F6"/>
    <w:rsid w:val="54B12719"/>
    <w:rsid w:val="54B9788B"/>
    <w:rsid w:val="54BD3E8D"/>
    <w:rsid w:val="54CD5166"/>
    <w:rsid w:val="54CE5B21"/>
    <w:rsid w:val="54D34CCA"/>
    <w:rsid w:val="54DE0F4F"/>
    <w:rsid w:val="54E53259"/>
    <w:rsid w:val="54E97D97"/>
    <w:rsid w:val="54EC38D5"/>
    <w:rsid w:val="54F0514B"/>
    <w:rsid w:val="54F25FA5"/>
    <w:rsid w:val="54F565BD"/>
    <w:rsid w:val="55140ECC"/>
    <w:rsid w:val="55162FFA"/>
    <w:rsid w:val="5518142E"/>
    <w:rsid w:val="55300B07"/>
    <w:rsid w:val="554173CA"/>
    <w:rsid w:val="554736F3"/>
    <w:rsid w:val="55486428"/>
    <w:rsid w:val="55674FE1"/>
    <w:rsid w:val="559E17FC"/>
    <w:rsid w:val="55B769EE"/>
    <w:rsid w:val="55B818D5"/>
    <w:rsid w:val="55BA62DD"/>
    <w:rsid w:val="55BF217D"/>
    <w:rsid w:val="55C11051"/>
    <w:rsid w:val="55C50CC5"/>
    <w:rsid w:val="55E4217B"/>
    <w:rsid w:val="55EE10FA"/>
    <w:rsid w:val="560B1770"/>
    <w:rsid w:val="560C6887"/>
    <w:rsid w:val="56173D08"/>
    <w:rsid w:val="56297E35"/>
    <w:rsid w:val="562F0882"/>
    <w:rsid w:val="5631512E"/>
    <w:rsid w:val="563B36B3"/>
    <w:rsid w:val="563D07A6"/>
    <w:rsid w:val="56451A85"/>
    <w:rsid w:val="564A65AB"/>
    <w:rsid w:val="56626E88"/>
    <w:rsid w:val="566819BD"/>
    <w:rsid w:val="566D578D"/>
    <w:rsid w:val="56713329"/>
    <w:rsid w:val="56742BB1"/>
    <w:rsid w:val="56817482"/>
    <w:rsid w:val="568527A9"/>
    <w:rsid w:val="56920834"/>
    <w:rsid w:val="56962826"/>
    <w:rsid w:val="56AB00A2"/>
    <w:rsid w:val="56AB16E5"/>
    <w:rsid w:val="56B37CED"/>
    <w:rsid w:val="56B834EF"/>
    <w:rsid w:val="56C221C9"/>
    <w:rsid w:val="56C55530"/>
    <w:rsid w:val="56C636FA"/>
    <w:rsid w:val="56C94BF9"/>
    <w:rsid w:val="56D05861"/>
    <w:rsid w:val="56D45CA9"/>
    <w:rsid w:val="56F4533A"/>
    <w:rsid w:val="56FA03C7"/>
    <w:rsid w:val="56FB4DE2"/>
    <w:rsid w:val="570842DA"/>
    <w:rsid w:val="57085DC2"/>
    <w:rsid w:val="570C40BB"/>
    <w:rsid w:val="57192219"/>
    <w:rsid w:val="571D01F5"/>
    <w:rsid w:val="573E3856"/>
    <w:rsid w:val="574A063A"/>
    <w:rsid w:val="574B4E67"/>
    <w:rsid w:val="575B0D0F"/>
    <w:rsid w:val="57787D9B"/>
    <w:rsid w:val="577C1E80"/>
    <w:rsid w:val="578022C5"/>
    <w:rsid w:val="57845D4F"/>
    <w:rsid w:val="57893997"/>
    <w:rsid w:val="579E6879"/>
    <w:rsid w:val="57A81958"/>
    <w:rsid w:val="57AA2B4F"/>
    <w:rsid w:val="57AA433D"/>
    <w:rsid w:val="57D10C5C"/>
    <w:rsid w:val="57D54703"/>
    <w:rsid w:val="57E37C8C"/>
    <w:rsid w:val="57EF7082"/>
    <w:rsid w:val="57F968CB"/>
    <w:rsid w:val="580216F7"/>
    <w:rsid w:val="58047410"/>
    <w:rsid w:val="58217F2D"/>
    <w:rsid w:val="5835489E"/>
    <w:rsid w:val="585D727E"/>
    <w:rsid w:val="586A35E7"/>
    <w:rsid w:val="586F2102"/>
    <w:rsid w:val="5889717D"/>
    <w:rsid w:val="588C0AAD"/>
    <w:rsid w:val="58904C22"/>
    <w:rsid w:val="589301A3"/>
    <w:rsid w:val="58AA3B72"/>
    <w:rsid w:val="58AC0730"/>
    <w:rsid w:val="58AD6992"/>
    <w:rsid w:val="58BF43B3"/>
    <w:rsid w:val="58D257BC"/>
    <w:rsid w:val="58DB13F7"/>
    <w:rsid w:val="58EB6BD7"/>
    <w:rsid w:val="58F05AD9"/>
    <w:rsid w:val="58F34C8B"/>
    <w:rsid w:val="590038C7"/>
    <w:rsid w:val="59036554"/>
    <w:rsid w:val="590B2F9F"/>
    <w:rsid w:val="59141D1D"/>
    <w:rsid w:val="59154B4B"/>
    <w:rsid w:val="59200143"/>
    <w:rsid w:val="59384F27"/>
    <w:rsid w:val="595B15F3"/>
    <w:rsid w:val="595E7351"/>
    <w:rsid w:val="595F46D9"/>
    <w:rsid w:val="596D5071"/>
    <w:rsid w:val="597309DE"/>
    <w:rsid w:val="599165E0"/>
    <w:rsid w:val="59BB0BFB"/>
    <w:rsid w:val="59C41DE5"/>
    <w:rsid w:val="59CC6DAC"/>
    <w:rsid w:val="59D271D8"/>
    <w:rsid w:val="59D27AD4"/>
    <w:rsid w:val="59D36EA0"/>
    <w:rsid w:val="59D815DB"/>
    <w:rsid w:val="59F765FA"/>
    <w:rsid w:val="5A030DFF"/>
    <w:rsid w:val="5A34205F"/>
    <w:rsid w:val="5A460D6D"/>
    <w:rsid w:val="5A5639B2"/>
    <w:rsid w:val="5A620185"/>
    <w:rsid w:val="5A665A46"/>
    <w:rsid w:val="5A6A7149"/>
    <w:rsid w:val="5A7522DA"/>
    <w:rsid w:val="5A770CF9"/>
    <w:rsid w:val="5A7A02EF"/>
    <w:rsid w:val="5A812E59"/>
    <w:rsid w:val="5A866A24"/>
    <w:rsid w:val="5A892020"/>
    <w:rsid w:val="5A964728"/>
    <w:rsid w:val="5A995DAB"/>
    <w:rsid w:val="5A9A6055"/>
    <w:rsid w:val="5AA30212"/>
    <w:rsid w:val="5ABA7460"/>
    <w:rsid w:val="5ABF79E5"/>
    <w:rsid w:val="5ACD39D7"/>
    <w:rsid w:val="5ADF4097"/>
    <w:rsid w:val="5AE46F3E"/>
    <w:rsid w:val="5AF56C79"/>
    <w:rsid w:val="5AF779F8"/>
    <w:rsid w:val="5AFE5AC3"/>
    <w:rsid w:val="5B0C6565"/>
    <w:rsid w:val="5B0F34D8"/>
    <w:rsid w:val="5B205BDA"/>
    <w:rsid w:val="5B2A5542"/>
    <w:rsid w:val="5B350752"/>
    <w:rsid w:val="5B3B133C"/>
    <w:rsid w:val="5B3D254F"/>
    <w:rsid w:val="5B411674"/>
    <w:rsid w:val="5B456019"/>
    <w:rsid w:val="5B4704FB"/>
    <w:rsid w:val="5B5C31EC"/>
    <w:rsid w:val="5B633BA5"/>
    <w:rsid w:val="5B8253D3"/>
    <w:rsid w:val="5B84294A"/>
    <w:rsid w:val="5B887C65"/>
    <w:rsid w:val="5B8D332B"/>
    <w:rsid w:val="5B93778C"/>
    <w:rsid w:val="5B9C24F1"/>
    <w:rsid w:val="5B9E50D3"/>
    <w:rsid w:val="5BB31BB3"/>
    <w:rsid w:val="5BB46CAC"/>
    <w:rsid w:val="5BBA77E4"/>
    <w:rsid w:val="5BC41E3D"/>
    <w:rsid w:val="5BC6559D"/>
    <w:rsid w:val="5BEB64AE"/>
    <w:rsid w:val="5BED38B8"/>
    <w:rsid w:val="5BF73203"/>
    <w:rsid w:val="5C105F94"/>
    <w:rsid w:val="5C251D7A"/>
    <w:rsid w:val="5C274120"/>
    <w:rsid w:val="5C300AD5"/>
    <w:rsid w:val="5C3233B1"/>
    <w:rsid w:val="5C356E35"/>
    <w:rsid w:val="5C420189"/>
    <w:rsid w:val="5C480496"/>
    <w:rsid w:val="5C4B7271"/>
    <w:rsid w:val="5C50739B"/>
    <w:rsid w:val="5C5B4F61"/>
    <w:rsid w:val="5C6B5283"/>
    <w:rsid w:val="5C73209D"/>
    <w:rsid w:val="5C8C5EE1"/>
    <w:rsid w:val="5C8E03B2"/>
    <w:rsid w:val="5C931EE8"/>
    <w:rsid w:val="5C964CD3"/>
    <w:rsid w:val="5CAA5077"/>
    <w:rsid w:val="5CBF064C"/>
    <w:rsid w:val="5CD2706B"/>
    <w:rsid w:val="5CFA1CEF"/>
    <w:rsid w:val="5D043F94"/>
    <w:rsid w:val="5D0C6787"/>
    <w:rsid w:val="5D1E115B"/>
    <w:rsid w:val="5D203B82"/>
    <w:rsid w:val="5D227CF0"/>
    <w:rsid w:val="5D253CC9"/>
    <w:rsid w:val="5D261D9B"/>
    <w:rsid w:val="5D2C49EA"/>
    <w:rsid w:val="5D2D5BE0"/>
    <w:rsid w:val="5D302920"/>
    <w:rsid w:val="5D371418"/>
    <w:rsid w:val="5D397E02"/>
    <w:rsid w:val="5D487EDE"/>
    <w:rsid w:val="5D5C1274"/>
    <w:rsid w:val="5D621002"/>
    <w:rsid w:val="5D851321"/>
    <w:rsid w:val="5D8D4BFD"/>
    <w:rsid w:val="5DA42DB3"/>
    <w:rsid w:val="5DAA7EBB"/>
    <w:rsid w:val="5DB04190"/>
    <w:rsid w:val="5DB147B0"/>
    <w:rsid w:val="5DB5472D"/>
    <w:rsid w:val="5DB63D20"/>
    <w:rsid w:val="5DB73653"/>
    <w:rsid w:val="5DB82CD9"/>
    <w:rsid w:val="5DB932D4"/>
    <w:rsid w:val="5DD91F9D"/>
    <w:rsid w:val="5DE44F8E"/>
    <w:rsid w:val="5E045938"/>
    <w:rsid w:val="5E096B80"/>
    <w:rsid w:val="5E124AF1"/>
    <w:rsid w:val="5E1F374F"/>
    <w:rsid w:val="5E207926"/>
    <w:rsid w:val="5E2F576D"/>
    <w:rsid w:val="5E4029A9"/>
    <w:rsid w:val="5E4274C8"/>
    <w:rsid w:val="5E4B702F"/>
    <w:rsid w:val="5E512996"/>
    <w:rsid w:val="5E592FD5"/>
    <w:rsid w:val="5E5D519E"/>
    <w:rsid w:val="5E6272E7"/>
    <w:rsid w:val="5E7553EA"/>
    <w:rsid w:val="5E7677AE"/>
    <w:rsid w:val="5E776FFA"/>
    <w:rsid w:val="5E7E00CA"/>
    <w:rsid w:val="5E87183D"/>
    <w:rsid w:val="5EAE4F00"/>
    <w:rsid w:val="5EAF603F"/>
    <w:rsid w:val="5EB21F1C"/>
    <w:rsid w:val="5EB83385"/>
    <w:rsid w:val="5EC82C37"/>
    <w:rsid w:val="5EF210D2"/>
    <w:rsid w:val="5EF431CA"/>
    <w:rsid w:val="5F042BD4"/>
    <w:rsid w:val="5F062579"/>
    <w:rsid w:val="5F0938A4"/>
    <w:rsid w:val="5F096B3C"/>
    <w:rsid w:val="5F10125D"/>
    <w:rsid w:val="5F230F76"/>
    <w:rsid w:val="5F2447E2"/>
    <w:rsid w:val="5F2E61C1"/>
    <w:rsid w:val="5F34292C"/>
    <w:rsid w:val="5F560C58"/>
    <w:rsid w:val="5F5E60F4"/>
    <w:rsid w:val="5F737748"/>
    <w:rsid w:val="5F8748CF"/>
    <w:rsid w:val="5FB160B4"/>
    <w:rsid w:val="5FB76C5B"/>
    <w:rsid w:val="5FCB3796"/>
    <w:rsid w:val="5FD06102"/>
    <w:rsid w:val="5FD459E5"/>
    <w:rsid w:val="5FEA708D"/>
    <w:rsid w:val="5FF2381F"/>
    <w:rsid w:val="600C3016"/>
    <w:rsid w:val="600F523D"/>
    <w:rsid w:val="601463F3"/>
    <w:rsid w:val="601A13C0"/>
    <w:rsid w:val="602A170A"/>
    <w:rsid w:val="60326243"/>
    <w:rsid w:val="60343173"/>
    <w:rsid w:val="60437933"/>
    <w:rsid w:val="605A28BD"/>
    <w:rsid w:val="605A3719"/>
    <w:rsid w:val="605D4EBF"/>
    <w:rsid w:val="60687751"/>
    <w:rsid w:val="6073352C"/>
    <w:rsid w:val="60752AF5"/>
    <w:rsid w:val="60755F9A"/>
    <w:rsid w:val="608347E2"/>
    <w:rsid w:val="60872428"/>
    <w:rsid w:val="609A596D"/>
    <w:rsid w:val="60A24164"/>
    <w:rsid w:val="60BE2982"/>
    <w:rsid w:val="60C4634D"/>
    <w:rsid w:val="60D23441"/>
    <w:rsid w:val="60D54BF1"/>
    <w:rsid w:val="60E020A8"/>
    <w:rsid w:val="60F278B2"/>
    <w:rsid w:val="610B183C"/>
    <w:rsid w:val="611F5F5D"/>
    <w:rsid w:val="61217776"/>
    <w:rsid w:val="61222AF3"/>
    <w:rsid w:val="612D009F"/>
    <w:rsid w:val="61321621"/>
    <w:rsid w:val="61384C0F"/>
    <w:rsid w:val="613E220A"/>
    <w:rsid w:val="614312D1"/>
    <w:rsid w:val="615E12B6"/>
    <w:rsid w:val="61613AC5"/>
    <w:rsid w:val="61AC1020"/>
    <w:rsid w:val="61AD34D8"/>
    <w:rsid w:val="61BE3D99"/>
    <w:rsid w:val="61C47FEB"/>
    <w:rsid w:val="61D137D8"/>
    <w:rsid w:val="61D20605"/>
    <w:rsid w:val="61D640C8"/>
    <w:rsid w:val="61DE3E33"/>
    <w:rsid w:val="61E32471"/>
    <w:rsid w:val="61E35D90"/>
    <w:rsid w:val="61EA31BE"/>
    <w:rsid w:val="61F822DD"/>
    <w:rsid w:val="61F95111"/>
    <w:rsid w:val="61FB6AD0"/>
    <w:rsid w:val="61FE247D"/>
    <w:rsid w:val="62137C8D"/>
    <w:rsid w:val="621D5FD0"/>
    <w:rsid w:val="62341344"/>
    <w:rsid w:val="623914B9"/>
    <w:rsid w:val="62401F4A"/>
    <w:rsid w:val="62412998"/>
    <w:rsid w:val="624C44A9"/>
    <w:rsid w:val="625351F3"/>
    <w:rsid w:val="62553A9B"/>
    <w:rsid w:val="62675F2B"/>
    <w:rsid w:val="626B0910"/>
    <w:rsid w:val="626B1506"/>
    <w:rsid w:val="628643F9"/>
    <w:rsid w:val="62A32FEF"/>
    <w:rsid w:val="62A542A4"/>
    <w:rsid w:val="62A954D2"/>
    <w:rsid w:val="62AE3528"/>
    <w:rsid w:val="62B35B62"/>
    <w:rsid w:val="62C727F3"/>
    <w:rsid w:val="62CB25A5"/>
    <w:rsid w:val="62D91687"/>
    <w:rsid w:val="62E04105"/>
    <w:rsid w:val="62E7195B"/>
    <w:rsid w:val="62F4295B"/>
    <w:rsid w:val="630A22CD"/>
    <w:rsid w:val="630E7025"/>
    <w:rsid w:val="631655D1"/>
    <w:rsid w:val="631B6276"/>
    <w:rsid w:val="633476CC"/>
    <w:rsid w:val="63450509"/>
    <w:rsid w:val="634E2831"/>
    <w:rsid w:val="635416C9"/>
    <w:rsid w:val="63581D81"/>
    <w:rsid w:val="63686224"/>
    <w:rsid w:val="637F4492"/>
    <w:rsid w:val="6394647C"/>
    <w:rsid w:val="6396427A"/>
    <w:rsid w:val="639A417A"/>
    <w:rsid w:val="63AA0E0D"/>
    <w:rsid w:val="63D66D3A"/>
    <w:rsid w:val="63E447DD"/>
    <w:rsid w:val="63E9760A"/>
    <w:rsid w:val="640E572E"/>
    <w:rsid w:val="642205FF"/>
    <w:rsid w:val="64224828"/>
    <w:rsid w:val="6433771F"/>
    <w:rsid w:val="6445786C"/>
    <w:rsid w:val="644A0CA4"/>
    <w:rsid w:val="645128D2"/>
    <w:rsid w:val="64517080"/>
    <w:rsid w:val="645341AD"/>
    <w:rsid w:val="645E250C"/>
    <w:rsid w:val="64645A1A"/>
    <w:rsid w:val="64684CE2"/>
    <w:rsid w:val="647154E5"/>
    <w:rsid w:val="647B3297"/>
    <w:rsid w:val="647D0F82"/>
    <w:rsid w:val="647D1E76"/>
    <w:rsid w:val="648E4718"/>
    <w:rsid w:val="64957EAC"/>
    <w:rsid w:val="649642AA"/>
    <w:rsid w:val="64973D71"/>
    <w:rsid w:val="64990A35"/>
    <w:rsid w:val="64A24B0C"/>
    <w:rsid w:val="64AD1962"/>
    <w:rsid w:val="64AD3CBD"/>
    <w:rsid w:val="64B63665"/>
    <w:rsid w:val="64B862CD"/>
    <w:rsid w:val="64BD31F5"/>
    <w:rsid w:val="64C14E71"/>
    <w:rsid w:val="64EF6713"/>
    <w:rsid w:val="64F26961"/>
    <w:rsid w:val="64FB07AF"/>
    <w:rsid w:val="64FD1EC0"/>
    <w:rsid w:val="65034587"/>
    <w:rsid w:val="650F6A18"/>
    <w:rsid w:val="65377560"/>
    <w:rsid w:val="65494C59"/>
    <w:rsid w:val="65494E43"/>
    <w:rsid w:val="65674C07"/>
    <w:rsid w:val="6582305E"/>
    <w:rsid w:val="65850CF1"/>
    <w:rsid w:val="658E21E1"/>
    <w:rsid w:val="658E6829"/>
    <w:rsid w:val="65985849"/>
    <w:rsid w:val="659F5416"/>
    <w:rsid w:val="65A652A3"/>
    <w:rsid w:val="65AE6F2E"/>
    <w:rsid w:val="65C02314"/>
    <w:rsid w:val="65C821A1"/>
    <w:rsid w:val="65CE106D"/>
    <w:rsid w:val="65D106CD"/>
    <w:rsid w:val="65DC7EDF"/>
    <w:rsid w:val="65DF311C"/>
    <w:rsid w:val="65FA5B9B"/>
    <w:rsid w:val="65FD2AF0"/>
    <w:rsid w:val="6604486E"/>
    <w:rsid w:val="662130BD"/>
    <w:rsid w:val="66415810"/>
    <w:rsid w:val="66481A85"/>
    <w:rsid w:val="664B0459"/>
    <w:rsid w:val="66514EE9"/>
    <w:rsid w:val="66645237"/>
    <w:rsid w:val="66687040"/>
    <w:rsid w:val="666D33B9"/>
    <w:rsid w:val="6673778C"/>
    <w:rsid w:val="667D7DCA"/>
    <w:rsid w:val="668B68DE"/>
    <w:rsid w:val="668D2C7B"/>
    <w:rsid w:val="668F3704"/>
    <w:rsid w:val="669468B3"/>
    <w:rsid w:val="669701A7"/>
    <w:rsid w:val="66A81CB0"/>
    <w:rsid w:val="66BB72D1"/>
    <w:rsid w:val="66D024B8"/>
    <w:rsid w:val="66D12A14"/>
    <w:rsid w:val="66E45C68"/>
    <w:rsid w:val="66EF7263"/>
    <w:rsid w:val="67000E4F"/>
    <w:rsid w:val="671D108D"/>
    <w:rsid w:val="672B14CD"/>
    <w:rsid w:val="673C3BCB"/>
    <w:rsid w:val="67495819"/>
    <w:rsid w:val="67530BDB"/>
    <w:rsid w:val="67557264"/>
    <w:rsid w:val="675D08B2"/>
    <w:rsid w:val="67633500"/>
    <w:rsid w:val="676F1BE3"/>
    <w:rsid w:val="6778118D"/>
    <w:rsid w:val="6785591F"/>
    <w:rsid w:val="678647A2"/>
    <w:rsid w:val="67874FCA"/>
    <w:rsid w:val="67894173"/>
    <w:rsid w:val="6796691B"/>
    <w:rsid w:val="67A53B58"/>
    <w:rsid w:val="67AB459D"/>
    <w:rsid w:val="67AC14B0"/>
    <w:rsid w:val="67CC6AA3"/>
    <w:rsid w:val="67D34025"/>
    <w:rsid w:val="67D5777B"/>
    <w:rsid w:val="67E14316"/>
    <w:rsid w:val="67EC695F"/>
    <w:rsid w:val="67F26B76"/>
    <w:rsid w:val="67F86FEB"/>
    <w:rsid w:val="681000C3"/>
    <w:rsid w:val="68194AEB"/>
    <w:rsid w:val="681D2823"/>
    <w:rsid w:val="682C54CF"/>
    <w:rsid w:val="682F75EC"/>
    <w:rsid w:val="68335938"/>
    <w:rsid w:val="684A0ED5"/>
    <w:rsid w:val="68517281"/>
    <w:rsid w:val="68567627"/>
    <w:rsid w:val="68612FCD"/>
    <w:rsid w:val="6869021B"/>
    <w:rsid w:val="689658DF"/>
    <w:rsid w:val="68B1635C"/>
    <w:rsid w:val="68BC357B"/>
    <w:rsid w:val="68C65B73"/>
    <w:rsid w:val="68C82166"/>
    <w:rsid w:val="68C961D1"/>
    <w:rsid w:val="68D25D8C"/>
    <w:rsid w:val="68D733A2"/>
    <w:rsid w:val="68DB5FE0"/>
    <w:rsid w:val="68E12804"/>
    <w:rsid w:val="68F63212"/>
    <w:rsid w:val="68FD0BFF"/>
    <w:rsid w:val="6900291C"/>
    <w:rsid w:val="6904517F"/>
    <w:rsid w:val="691040E8"/>
    <w:rsid w:val="691B34C5"/>
    <w:rsid w:val="69247457"/>
    <w:rsid w:val="692F5104"/>
    <w:rsid w:val="69307E26"/>
    <w:rsid w:val="69481337"/>
    <w:rsid w:val="69770DB3"/>
    <w:rsid w:val="697960CD"/>
    <w:rsid w:val="698A2325"/>
    <w:rsid w:val="698A4060"/>
    <w:rsid w:val="699339F3"/>
    <w:rsid w:val="69DF312D"/>
    <w:rsid w:val="69E14866"/>
    <w:rsid w:val="69EE2F6F"/>
    <w:rsid w:val="6A046A42"/>
    <w:rsid w:val="6A093453"/>
    <w:rsid w:val="6A1319A6"/>
    <w:rsid w:val="6A2219D0"/>
    <w:rsid w:val="6A237F84"/>
    <w:rsid w:val="6A2C71E7"/>
    <w:rsid w:val="6A301EF2"/>
    <w:rsid w:val="6A30573D"/>
    <w:rsid w:val="6A367931"/>
    <w:rsid w:val="6A3B5037"/>
    <w:rsid w:val="6A5C1D8E"/>
    <w:rsid w:val="6A7149AE"/>
    <w:rsid w:val="6A734E26"/>
    <w:rsid w:val="6A7A4E81"/>
    <w:rsid w:val="6A825507"/>
    <w:rsid w:val="6A8E73EE"/>
    <w:rsid w:val="6A8F4B93"/>
    <w:rsid w:val="6AB31892"/>
    <w:rsid w:val="6ABC1881"/>
    <w:rsid w:val="6AC716C5"/>
    <w:rsid w:val="6AD01EB5"/>
    <w:rsid w:val="6AD0510C"/>
    <w:rsid w:val="6AD440B1"/>
    <w:rsid w:val="6ADB252D"/>
    <w:rsid w:val="6AF17F04"/>
    <w:rsid w:val="6B0236F7"/>
    <w:rsid w:val="6B1E0F16"/>
    <w:rsid w:val="6B2467A4"/>
    <w:rsid w:val="6B3A16D3"/>
    <w:rsid w:val="6B4E6A71"/>
    <w:rsid w:val="6B7867DE"/>
    <w:rsid w:val="6B7E5E22"/>
    <w:rsid w:val="6B8628CB"/>
    <w:rsid w:val="6B876779"/>
    <w:rsid w:val="6B9B17A8"/>
    <w:rsid w:val="6B9F6ED0"/>
    <w:rsid w:val="6BA10731"/>
    <w:rsid w:val="6BA90006"/>
    <w:rsid w:val="6BA94D9D"/>
    <w:rsid w:val="6BB67CF9"/>
    <w:rsid w:val="6BBF5B32"/>
    <w:rsid w:val="6BC86E46"/>
    <w:rsid w:val="6BE92DEA"/>
    <w:rsid w:val="6BF06452"/>
    <w:rsid w:val="6BF65381"/>
    <w:rsid w:val="6BF85E65"/>
    <w:rsid w:val="6BFC2B07"/>
    <w:rsid w:val="6C00234C"/>
    <w:rsid w:val="6C106D83"/>
    <w:rsid w:val="6C161E18"/>
    <w:rsid w:val="6C331839"/>
    <w:rsid w:val="6C4B6295"/>
    <w:rsid w:val="6C51610B"/>
    <w:rsid w:val="6C5551D5"/>
    <w:rsid w:val="6C563D88"/>
    <w:rsid w:val="6C6A3DF2"/>
    <w:rsid w:val="6C720DEF"/>
    <w:rsid w:val="6C8E4A94"/>
    <w:rsid w:val="6C91507E"/>
    <w:rsid w:val="6C997F1E"/>
    <w:rsid w:val="6CA11ACF"/>
    <w:rsid w:val="6CA365EA"/>
    <w:rsid w:val="6CBB08C6"/>
    <w:rsid w:val="6CBF1789"/>
    <w:rsid w:val="6CD27393"/>
    <w:rsid w:val="6CE40597"/>
    <w:rsid w:val="6CE9088A"/>
    <w:rsid w:val="6CEC4F2B"/>
    <w:rsid w:val="6CF66267"/>
    <w:rsid w:val="6CFD354C"/>
    <w:rsid w:val="6D0B6791"/>
    <w:rsid w:val="6D22549E"/>
    <w:rsid w:val="6D2279A7"/>
    <w:rsid w:val="6D25479D"/>
    <w:rsid w:val="6D2A351D"/>
    <w:rsid w:val="6D2C5AA6"/>
    <w:rsid w:val="6D503FA9"/>
    <w:rsid w:val="6D7746F0"/>
    <w:rsid w:val="6D7B1881"/>
    <w:rsid w:val="6D81251C"/>
    <w:rsid w:val="6D821E35"/>
    <w:rsid w:val="6D9075A3"/>
    <w:rsid w:val="6D9A0E58"/>
    <w:rsid w:val="6DA33374"/>
    <w:rsid w:val="6DBF37F8"/>
    <w:rsid w:val="6DD0119D"/>
    <w:rsid w:val="6DEF44E6"/>
    <w:rsid w:val="6E076D09"/>
    <w:rsid w:val="6E085603"/>
    <w:rsid w:val="6E0E7A5D"/>
    <w:rsid w:val="6E123949"/>
    <w:rsid w:val="6E201552"/>
    <w:rsid w:val="6E240FF5"/>
    <w:rsid w:val="6E282D89"/>
    <w:rsid w:val="6E30282C"/>
    <w:rsid w:val="6E3431D3"/>
    <w:rsid w:val="6E435EF6"/>
    <w:rsid w:val="6E444228"/>
    <w:rsid w:val="6E507D56"/>
    <w:rsid w:val="6E5716EC"/>
    <w:rsid w:val="6E5D2FD3"/>
    <w:rsid w:val="6E6A318F"/>
    <w:rsid w:val="6E71190D"/>
    <w:rsid w:val="6E74169D"/>
    <w:rsid w:val="6E813FBC"/>
    <w:rsid w:val="6E815E20"/>
    <w:rsid w:val="6E846FC2"/>
    <w:rsid w:val="6E873956"/>
    <w:rsid w:val="6E8C7D32"/>
    <w:rsid w:val="6E8E51D4"/>
    <w:rsid w:val="6E99625F"/>
    <w:rsid w:val="6E9D71F7"/>
    <w:rsid w:val="6EA01FB4"/>
    <w:rsid w:val="6EC35D97"/>
    <w:rsid w:val="6EC6118B"/>
    <w:rsid w:val="6EE80A35"/>
    <w:rsid w:val="6EEB5A7B"/>
    <w:rsid w:val="6F0A0282"/>
    <w:rsid w:val="6F0B0584"/>
    <w:rsid w:val="6F257D6B"/>
    <w:rsid w:val="6F2F1E28"/>
    <w:rsid w:val="6F312092"/>
    <w:rsid w:val="6F522BD7"/>
    <w:rsid w:val="6F5537CA"/>
    <w:rsid w:val="6F632640"/>
    <w:rsid w:val="6F6E6C68"/>
    <w:rsid w:val="6F776B63"/>
    <w:rsid w:val="6F7A1C54"/>
    <w:rsid w:val="6F7A466C"/>
    <w:rsid w:val="6F80592D"/>
    <w:rsid w:val="6F827E1F"/>
    <w:rsid w:val="6F8C63EC"/>
    <w:rsid w:val="6F9C10D6"/>
    <w:rsid w:val="6FA0079A"/>
    <w:rsid w:val="6FA41A9E"/>
    <w:rsid w:val="6FAF6A61"/>
    <w:rsid w:val="6FBB4C43"/>
    <w:rsid w:val="6FBE33DD"/>
    <w:rsid w:val="6FCF2E2C"/>
    <w:rsid w:val="6FF77CA8"/>
    <w:rsid w:val="700131E0"/>
    <w:rsid w:val="70210CA6"/>
    <w:rsid w:val="702A379F"/>
    <w:rsid w:val="703C1F2E"/>
    <w:rsid w:val="703E2540"/>
    <w:rsid w:val="70404C36"/>
    <w:rsid w:val="704C288C"/>
    <w:rsid w:val="705944D6"/>
    <w:rsid w:val="70676F35"/>
    <w:rsid w:val="70695629"/>
    <w:rsid w:val="7080748C"/>
    <w:rsid w:val="708D60E1"/>
    <w:rsid w:val="70925CFA"/>
    <w:rsid w:val="7098652B"/>
    <w:rsid w:val="709C790E"/>
    <w:rsid w:val="70AE1C59"/>
    <w:rsid w:val="70EF496F"/>
    <w:rsid w:val="70F9562A"/>
    <w:rsid w:val="71041259"/>
    <w:rsid w:val="71080563"/>
    <w:rsid w:val="710D7A61"/>
    <w:rsid w:val="71274D73"/>
    <w:rsid w:val="7144796E"/>
    <w:rsid w:val="71503C8F"/>
    <w:rsid w:val="715218D2"/>
    <w:rsid w:val="716375EE"/>
    <w:rsid w:val="716E24BD"/>
    <w:rsid w:val="717F0491"/>
    <w:rsid w:val="7187629B"/>
    <w:rsid w:val="71944FF1"/>
    <w:rsid w:val="71A949BF"/>
    <w:rsid w:val="71B20ECB"/>
    <w:rsid w:val="71BF036E"/>
    <w:rsid w:val="71C16B20"/>
    <w:rsid w:val="71C9438B"/>
    <w:rsid w:val="71CE1483"/>
    <w:rsid w:val="71D461C9"/>
    <w:rsid w:val="71EB232F"/>
    <w:rsid w:val="71EC4DF8"/>
    <w:rsid w:val="71EE4CD4"/>
    <w:rsid w:val="71F22395"/>
    <w:rsid w:val="720543F2"/>
    <w:rsid w:val="72096C20"/>
    <w:rsid w:val="72270962"/>
    <w:rsid w:val="72346B69"/>
    <w:rsid w:val="72424D68"/>
    <w:rsid w:val="72542A7C"/>
    <w:rsid w:val="7255349C"/>
    <w:rsid w:val="72B839A0"/>
    <w:rsid w:val="72CD073C"/>
    <w:rsid w:val="72D73A48"/>
    <w:rsid w:val="72DE3766"/>
    <w:rsid w:val="72E03AF4"/>
    <w:rsid w:val="72FE7B43"/>
    <w:rsid w:val="730312E7"/>
    <w:rsid w:val="731513D9"/>
    <w:rsid w:val="73203C07"/>
    <w:rsid w:val="73235C97"/>
    <w:rsid w:val="732D524C"/>
    <w:rsid w:val="732F3A9D"/>
    <w:rsid w:val="73300CCE"/>
    <w:rsid w:val="73310943"/>
    <w:rsid w:val="73500390"/>
    <w:rsid w:val="73520EE2"/>
    <w:rsid w:val="735C255F"/>
    <w:rsid w:val="7362558B"/>
    <w:rsid w:val="736A02C1"/>
    <w:rsid w:val="736E713E"/>
    <w:rsid w:val="73821076"/>
    <w:rsid w:val="7398397D"/>
    <w:rsid w:val="739F61B7"/>
    <w:rsid w:val="73A11B75"/>
    <w:rsid w:val="73A50D9F"/>
    <w:rsid w:val="73AA2969"/>
    <w:rsid w:val="73B22405"/>
    <w:rsid w:val="73C65AB7"/>
    <w:rsid w:val="73CA63F1"/>
    <w:rsid w:val="73CF1F2D"/>
    <w:rsid w:val="73D968DB"/>
    <w:rsid w:val="73E64F8D"/>
    <w:rsid w:val="73E907E3"/>
    <w:rsid w:val="73F614F7"/>
    <w:rsid w:val="73FC1BEE"/>
    <w:rsid w:val="74280B19"/>
    <w:rsid w:val="74290747"/>
    <w:rsid w:val="742E3BE8"/>
    <w:rsid w:val="742E3CF2"/>
    <w:rsid w:val="74303B4F"/>
    <w:rsid w:val="743379FF"/>
    <w:rsid w:val="7437013E"/>
    <w:rsid w:val="743F226B"/>
    <w:rsid w:val="74585DF2"/>
    <w:rsid w:val="745D697F"/>
    <w:rsid w:val="7461509A"/>
    <w:rsid w:val="74621DBA"/>
    <w:rsid w:val="747A35AC"/>
    <w:rsid w:val="74822716"/>
    <w:rsid w:val="748269EE"/>
    <w:rsid w:val="74951B93"/>
    <w:rsid w:val="74A77D79"/>
    <w:rsid w:val="74B1659A"/>
    <w:rsid w:val="74B60DD8"/>
    <w:rsid w:val="74BB2C8C"/>
    <w:rsid w:val="74BF5431"/>
    <w:rsid w:val="74D9493F"/>
    <w:rsid w:val="74E875DD"/>
    <w:rsid w:val="74EE2280"/>
    <w:rsid w:val="74F07870"/>
    <w:rsid w:val="74F348CB"/>
    <w:rsid w:val="74FB0341"/>
    <w:rsid w:val="750D3D28"/>
    <w:rsid w:val="751B08F6"/>
    <w:rsid w:val="752E5761"/>
    <w:rsid w:val="752F50A9"/>
    <w:rsid w:val="753809DC"/>
    <w:rsid w:val="753F3004"/>
    <w:rsid w:val="754D6C74"/>
    <w:rsid w:val="754F17F6"/>
    <w:rsid w:val="75586658"/>
    <w:rsid w:val="756176A1"/>
    <w:rsid w:val="756225DF"/>
    <w:rsid w:val="757A2688"/>
    <w:rsid w:val="758344CF"/>
    <w:rsid w:val="75882CC7"/>
    <w:rsid w:val="7591718D"/>
    <w:rsid w:val="759221A0"/>
    <w:rsid w:val="759263B5"/>
    <w:rsid w:val="75947512"/>
    <w:rsid w:val="75A53054"/>
    <w:rsid w:val="75AB24C3"/>
    <w:rsid w:val="75B22EEF"/>
    <w:rsid w:val="75C5459B"/>
    <w:rsid w:val="75D151F9"/>
    <w:rsid w:val="75E55BDE"/>
    <w:rsid w:val="75FC60C5"/>
    <w:rsid w:val="76205CF2"/>
    <w:rsid w:val="7621620E"/>
    <w:rsid w:val="76290345"/>
    <w:rsid w:val="762A17F6"/>
    <w:rsid w:val="7646755F"/>
    <w:rsid w:val="764D4936"/>
    <w:rsid w:val="76552DD9"/>
    <w:rsid w:val="765866EF"/>
    <w:rsid w:val="76632B67"/>
    <w:rsid w:val="766429FA"/>
    <w:rsid w:val="76690F46"/>
    <w:rsid w:val="767B7C4E"/>
    <w:rsid w:val="767F407C"/>
    <w:rsid w:val="76856568"/>
    <w:rsid w:val="76874A07"/>
    <w:rsid w:val="769A33A3"/>
    <w:rsid w:val="769B5A9A"/>
    <w:rsid w:val="76C73420"/>
    <w:rsid w:val="76CE58B1"/>
    <w:rsid w:val="76D45B66"/>
    <w:rsid w:val="76DB75E4"/>
    <w:rsid w:val="76E9071F"/>
    <w:rsid w:val="76ED0192"/>
    <w:rsid w:val="76FE2417"/>
    <w:rsid w:val="77044BD8"/>
    <w:rsid w:val="771A07C2"/>
    <w:rsid w:val="771E653D"/>
    <w:rsid w:val="77204751"/>
    <w:rsid w:val="77222009"/>
    <w:rsid w:val="77283052"/>
    <w:rsid w:val="773C057B"/>
    <w:rsid w:val="77412D97"/>
    <w:rsid w:val="774C0824"/>
    <w:rsid w:val="77612D58"/>
    <w:rsid w:val="7761645E"/>
    <w:rsid w:val="7763578D"/>
    <w:rsid w:val="777D278E"/>
    <w:rsid w:val="77805FB2"/>
    <w:rsid w:val="77AC127E"/>
    <w:rsid w:val="77B52BFD"/>
    <w:rsid w:val="77B569D0"/>
    <w:rsid w:val="77D564DF"/>
    <w:rsid w:val="77DE2110"/>
    <w:rsid w:val="77E737DA"/>
    <w:rsid w:val="77ED5420"/>
    <w:rsid w:val="77EE34EF"/>
    <w:rsid w:val="77F846C8"/>
    <w:rsid w:val="78060E54"/>
    <w:rsid w:val="78116E6B"/>
    <w:rsid w:val="781F2DF3"/>
    <w:rsid w:val="7823174E"/>
    <w:rsid w:val="783653B8"/>
    <w:rsid w:val="783B7C44"/>
    <w:rsid w:val="78436A2D"/>
    <w:rsid w:val="78465C36"/>
    <w:rsid w:val="784A424F"/>
    <w:rsid w:val="785F6689"/>
    <w:rsid w:val="78850450"/>
    <w:rsid w:val="788E700F"/>
    <w:rsid w:val="78922652"/>
    <w:rsid w:val="78A40007"/>
    <w:rsid w:val="78A979EC"/>
    <w:rsid w:val="78DB4937"/>
    <w:rsid w:val="78DD7963"/>
    <w:rsid w:val="78F800AB"/>
    <w:rsid w:val="78FF7792"/>
    <w:rsid w:val="79174ED4"/>
    <w:rsid w:val="791A6989"/>
    <w:rsid w:val="79265011"/>
    <w:rsid w:val="79285D65"/>
    <w:rsid w:val="7929610B"/>
    <w:rsid w:val="792B3C69"/>
    <w:rsid w:val="792C050F"/>
    <w:rsid w:val="793C64D0"/>
    <w:rsid w:val="794006DB"/>
    <w:rsid w:val="79460EC0"/>
    <w:rsid w:val="79560108"/>
    <w:rsid w:val="79571FA8"/>
    <w:rsid w:val="79576E0C"/>
    <w:rsid w:val="79630A81"/>
    <w:rsid w:val="797508A8"/>
    <w:rsid w:val="79756FD0"/>
    <w:rsid w:val="799B5607"/>
    <w:rsid w:val="79C15379"/>
    <w:rsid w:val="79C56286"/>
    <w:rsid w:val="79C64173"/>
    <w:rsid w:val="79D213D2"/>
    <w:rsid w:val="79D85CE8"/>
    <w:rsid w:val="79E96887"/>
    <w:rsid w:val="7A05031E"/>
    <w:rsid w:val="7A0F4FFD"/>
    <w:rsid w:val="7A1E0BB7"/>
    <w:rsid w:val="7A2C576C"/>
    <w:rsid w:val="7A322C02"/>
    <w:rsid w:val="7A4C4072"/>
    <w:rsid w:val="7A563EFA"/>
    <w:rsid w:val="7A85154F"/>
    <w:rsid w:val="7A8E2140"/>
    <w:rsid w:val="7A8E6B8F"/>
    <w:rsid w:val="7AA10C9F"/>
    <w:rsid w:val="7AA92134"/>
    <w:rsid w:val="7AB21C28"/>
    <w:rsid w:val="7ABC2D63"/>
    <w:rsid w:val="7AC961C4"/>
    <w:rsid w:val="7ADA2064"/>
    <w:rsid w:val="7ADF4A3D"/>
    <w:rsid w:val="7AE25E8A"/>
    <w:rsid w:val="7AEC5A8F"/>
    <w:rsid w:val="7AF30FE9"/>
    <w:rsid w:val="7AF65F04"/>
    <w:rsid w:val="7B040E1B"/>
    <w:rsid w:val="7B052BD7"/>
    <w:rsid w:val="7B072853"/>
    <w:rsid w:val="7B2531EE"/>
    <w:rsid w:val="7B284CDE"/>
    <w:rsid w:val="7B2C2F0F"/>
    <w:rsid w:val="7B321EC2"/>
    <w:rsid w:val="7B324B68"/>
    <w:rsid w:val="7B4013EA"/>
    <w:rsid w:val="7B4D3C2E"/>
    <w:rsid w:val="7B5B2FAF"/>
    <w:rsid w:val="7B5E23C6"/>
    <w:rsid w:val="7B5E34B6"/>
    <w:rsid w:val="7B65213D"/>
    <w:rsid w:val="7B7264ED"/>
    <w:rsid w:val="7B7B256C"/>
    <w:rsid w:val="7B846C60"/>
    <w:rsid w:val="7B947F8E"/>
    <w:rsid w:val="7B973A32"/>
    <w:rsid w:val="7BA10F88"/>
    <w:rsid w:val="7BA821C3"/>
    <w:rsid w:val="7BB93CE9"/>
    <w:rsid w:val="7BB96BA2"/>
    <w:rsid w:val="7BC44F00"/>
    <w:rsid w:val="7BCC655D"/>
    <w:rsid w:val="7BDD6A96"/>
    <w:rsid w:val="7BF64461"/>
    <w:rsid w:val="7BFE1E4D"/>
    <w:rsid w:val="7C011231"/>
    <w:rsid w:val="7C0E5F0D"/>
    <w:rsid w:val="7C116D89"/>
    <w:rsid w:val="7C252691"/>
    <w:rsid w:val="7C305903"/>
    <w:rsid w:val="7C370485"/>
    <w:rsid w:val="7C4E29AD"/>
    <w:rsid w:val="7C4F0911"/>
    <w:rsid w:val="7C56418C"/>
    <w:rsid w:val="7C5A248A"/>
    <w:rsid w:val="7C5B241C"/>
    <w:rsid w:val="7C731B11"/>
    <w:rsid w:val="7C731C66"/>
    <w:rsid w:val="7C8E7B77"/>
    <w:rsid w:val="7C9B0739"/>
    <w:rsid w:val="7CA44252"/>
    <w:rsid w:val="7CA81DA2"/>
    <w:rsid w:val="7CD47AA9"/>
    <w:rsid w:val="7CD62259"/>
    <w:rsid w:val="7CD62279"/>
    <w:rsid w:val="7CF44696"/>
    <w:rsid w:val="7CF76563"/>
    <w:rsid w:val="7D007860"/>
    <w:rsid w:val="7D04563B"/>
    <w:rsid w:val="7D051115"/>
    <w:rsid w:val="7D0A470F"/>
    <w:rsid w:val="7D1768FC"/>
    <w:rsid w:val="7D1C3658"/>
    <w:rsid w:val="7D2737C1"/>
    <w:rsid w:val="7D2F2A23"/>
    <w:rsid w:val="7D450A05"/>
    <w:rsid w:val="7D507DB8"/>
    <w:rsid w:val="7D5A5A00"/>
    <w:rsid w:val="7D653CAF"/>
    <w:rsid w:val="7D851240"/>
    <w:rsid w:val="7D8709CC"/>
    <w:rsid w:val="7D8E623A"/>
    <w:rsid w:val="7D9A7192"/>
    <w:rsid w:val="7DA40457"/>
    <w:rsid w:val="7DB479EE"/>
    <w:rsid w:val="7DB85F09"/>
    <w:rsid w:val="7DCB16BB"/>
    <w:rsid w:val="7DCD6635"/>
    <w:rsid w:val="7DCF7201"/>
    <w:rsid w:val="7DE0197B"/>
    <w:rsid w:val="7DE326A2"/>
    <w:rsid w:val="7DFE58EF"/>
    <w:rsid w:val="7DFF22F2"/>
    <w:rsid w:val="7E0072DF"/>
    <w:rsid w:val="7E1005C0"/>
    <w:rsid w:val="7E107B80"/>
    <w:rsid w:val="7E2F4E73"/>
    <w:rsid w:val="7E34550A"/>
    <w:rsid w:val="7E450024"/>
    <w:rsid w:val="7E461AAE"/>
    <w:rsid w:val="7E494DCC"/>
    <w:rsid w:val="7E4F60A8"/>
    <w:rsid w:val="7E872A65"/>
    <w:rsid w:val="7E8C0755"/>
    <w:rsid w:val="7E906B2B"/>
    <w:rsid w:val="7E942ECD"/>
    <w:rsid w:val="7E964469"/>
    <w:rsid w:val="7E9C1324"/>
    <w:rsid w:val="7EAB3BDA"/>
    <w:rsid w:val="7EAC4F63"/>
    <w:rsid w:val="7EE36967"/>
    <w:rsid w:val="7EE66BC7"/>
    <w:rsid w:val="7EEB0DDA"/>
    <w:rsid w:val="7EFE08AC"/>
    <w:rsid w:val="7F014F09"/>
    <w:rsid w:val="7F10512C"/>
    <w:rsid w:val="7F1321A2"/>
    <w:rsid w:val="7F1F5202"/>
    <w:rsid w:val="7F2A157F"/>
    <w:rsid w:val="7F312A5E"/>
    <w:rsid w:val="7F4108E0"/>
    <w:rsid w:val="7F471BF6"/>
    <w:rsid w:val="7F5305E7"/>
    <w:rsid w:val="7F5F37F1"/>
    <w:rsid w:val="7F620E44"/>
    <w:rsid w:val="7F6C5370"/>
    <w:rsid w:val="7F7372DB"/>
    <w:rsid w:val="7F77560A"/>
    <w:rsid w:val="7F9663C3"/>
    <w:rsid w:val="7FA345E5"/>
    <w:rsid w:val="7FB74444"/>
    <w:rsid w:val="7FBE0FFC"/>
    <w:rsid w:val="7FDD119E"/>
    <w:rsid w:val="7FE5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40"/>
    <w:qFormat/>
    <w:uiPriority w:val="0"/>
    <w:pPr>
      <w:keepNext/>
      <w:keepLines/>
      <w:spacing w:before="260" w:after="260" w:line="415" w:lineRule="auto"/>
      <w:outlineLvl w:val="2"/>
    </w:pPr>
    <w:rPr>
      <w:b/>
      <w:bCs/>
      <w:kern w:val="0"/>
      <w:sz w:val="32"/>
      <w:szCs w:val="32"/>
    </w:rPr>
  </w:style>
  <w:style w:type="paragraph" w:styleId="2">
    <w:name w:val="heading 4"/>
    <w:basedOn w:val="1"/>
    <w:next w:val="1"/>
    <w:link w:val="41"/>
    <w:qFormat/>
    <w:uiPriority w:val="0"/>
    <w:pPr>
      <w:keepNext/>
      <w:keepLines/>
      <w:spacing w:before="280" w:after="290" w:line="376" w:lineRule="auto"/>
      <w:outlineLvl w:val="3"/>
    </w:pPr>
    <w:rPr>
      <w:rFonts w:ascii="Calibri Light" w:hAnsi="Calibri Light"/>
      <w:b/>
      <w:bCs/>
      <w:sz w:val="28"/>
      <w:szCs w:val="28"/>
    </w:rPr>
  </w:style>
  <w:style w:type="paragraph" w:styleId="6">
    <w:name w:val="heading 6"/>
    <w:basedOn w:val="1"/>
    <w:next w:val="1"/>
    <w:qFormat/>
    <w:uiPriority w:val="1"/>
    <w:pPr>
      <w:ind w:left="1153"/>
      <w:outlineLvl w:val="5"/>
    </w:pPr>
    <w:rPr>
      <w:b/>
      <w:bCs/>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2520" w:leftChars="1200"/>
    </w:pPr>
  </w:style>
  <w:style w:type="paragraph" w:styleId="8">
    <w:name w:val="index 8"/>
    <w:basedOn w:val="1"/>
    <w:next w:val="1"/>
    <w:qFormat/>
    <w:uiPriority w:val="0"/>
    <w:pPr>
      <w:spacing w:line="276" w:lineRule="auto"/>
      <w:jc w:val="left"/>
    </w:pPr>
    <w:rPr>
      <w:rFonts w:ascii="宋体" w:hAnsi="宋体"/>
      <w:color w:val="FF0000"/>
      <w:szCs w:val="21"/>
    </w:rPr>
  </w:style>
  <w:style w:type="paragraph" w:styleId="9">
    <w:name w:val="Normal Indent"/>
    <w:basedOn w:val="1"/>
    <w:qFormat/>
    <w:uiPriority w:val="0"/>
    <w:pPr>
      <w:ind w:firstLine="200" w:firstLineChars="200"/>
    </w:pPr>
  </w:style>
  <w:style w:type="paragraph" w:styleId="10">
    <w:name w:val="Document Map"/>
    <w:basedOn w:val="1"/>
    <w:link w:val="42"/>
    <w:qFormat/>
    <w:uiPriority w:val="0"/>
    <w:rPr>
      <w:rFonts w:ascii="宋体"/>
      <w:sz w:val="18"/>
      <w:szCs w:val="18"/>
    </w:rPr>
  </w:style>
  <w:style w:type="paragraph" w:styleId="11">
    <w:name w:val="annotation text"/>
    <w:basedOn w:val="1"/>
    <w:link w:val="43"/>
    <w:qFormat/>
    <w:uiPriority w:val="0"/>
    <w:pPr>
      <w:jc w:val="left"/>
    </w:pPr>
  </w:style>
  <w:style w:type="paragraph" w:styleId="12">
    <w:name w:val="Body Text"/>
    <w:basedOn w:val="1"/>
    <w:next w:val="1"/>
    <w:qFormat/>
    <w:uiPriority w:val="0"/>
    <w:pPr>
      <w:spacing w:after="120"/>
    </w:pPr>
    <w:rPr>
      <w:rFonts w:ascii="Times New Roman" w:hAnsi="Times New Roman"/>
    </w:rPr>
  </w:style>
  <w:style w:type="paragraph" w:styleId="13">
    <w:name w:val="Body Text Indent"/>
    <w:basedOn w:val="1"/>
    <w:qFormat/>
    <w:uiPriority w:val="0"/>
    <w:pPr>
      <w:ind w:firstLine="630"/>
    </w:pPr>
    <w:rPr>
      <w:sz w:val="32"/>
      <w:szCs w:val="20"/>
    </w:rPr>
  </w:style>
  <w:style w:type="paragraph" w:styleId="14">
    <w:name w:val="toc 5"/>
    <w:basedOn w:val="1"/>
    <w:next w:val="1"/>
    <w:qFormat/>
    <w:uiPriority w:val="0"/>
    <w:pPr>
      <w:ind w:left="1680" w:leftChars="800"/>
    </w:pPr>
  </w:style>
  <w:style w:type="paragraph" w:styleId="15">
    <w:name w:val="toc 3"/>
    <w:basedOn w:val="1"/>
    <w:next w:val="1"/>
    <w:qFormat/>
    <w:uiPriority w:val="0"/>
    <w:pPr>
      <w:ind w:left="840" w:leftChars="400"/>
    </w:pPr>
  </w:style>
  <w:style w:type="paragraph" w:styleId="16">
    <w:name w:val="Plain Text"/>
    <w:basedOn w:val="1"/>
    <w:qFormat/>
    <w:uiPriority w:val="0"/>
    <w:rPr>
      <w:rFonts w:hAnsi="Courier New"/>
      <w:szCs w:val="20"/>
    </w:rPr>
  </w:style>
  <w:style w:type="paragraph" w:styleId="17">
    <w:name w:val="toc 8"/>
    <w:basedOn w:val="1"/>
    <w:next w:val="1"/>
    <w:qFormat/>
    <w:uiPriority w:val="0"/>
    <w:pPr>
      <w:ind w:left="2940" w:leftChars="1400"/>
    </w:pPr>
  </w:style>
  <w:style w:type="paragraph" w:styleId="18">
    <w:name w:val="Date"/>
    <w:basedOn w:val="1"/>
    <w:next w:val="1"/>
    <w:link w:val="66"/>
    <w:qFormat/>
    <w:uiPriority w:val="0"/>
    <w:pPr>
      <w:ind w:left="100" w:leftChars="2500"/>
    </w:pPr>
  </w:style>
  <w:style w:type="paragraph" w:styleId="19">
    <w:name w:val="Balloon Text"/>
    <w:basedOn w:val="1"/>
    <w:link w:val="44"/>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20"/>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2">
    <w:name w:val="toc 1"/>
    <w:basedOn w:val="1"/>
    <w:next w:val="1"/>
    <w:qFormat/>
    <w:uiPriority w:val="39"/>
  </w:style>
  <w:style w:type="paragraph" w:styleId="23">
    <w:name w:val="toc 4"/>
    <w:basedOn w:val="1"/>
    <w:next w:val="1"/>
    <w:qFormat/>
    <w:uiPriority w:val="0"/>
    <w:pPr>
      <w:ind w:left="1260" w:leftChars="600"/>
    </w:pPr>
  </w:style>
  <w:style w:type="paragraph" w:styleId="24">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25">
    <w:name w:val="footnote text"/>
    <w:basedOn w:val="1"/>
    <w:unhideWhenUsed/>
    <w:qFormat/>
    <w:uiPriority w:val="0"/>
    <w:pPr>
      <w:snapToGrid w:val="0"/>
      <w:spacing w:line="360" w:lineRule="auto"/>
      <w:ind w:firstLine="200" w:firstLineChars="200"/>
      <w:jc w:val="left"/>
    </w:pPr>
    <w:rPr>
      <w:rFonts w:ascii="宋体" w:hAnsi="Times New Roman"/>
      <w:sz w:val="18"/>
      <w:szCs w:val="18"/>
    </w:rPr>
  </w:style>
  <w:style w:type="paragraph" w:styleId="26">
    <w:name w:val="toc 6"/>
    <w:basedOn w:val="1"/>
    <w:next w:val="1"/>
    <w:qFormat/>
    <w:uiPriority w:val="0"/>
    <w:pPr>
      <w:ind w:left="2100" w:leftChars="1000"/>
    </w:pPr>
  </w:style>
  <w:style w:type="paragraph" w:styleId="27">
    <w:name w:val="toc 2"/>
    <w:basedOn w:val="1"/>
    <w:next w:val="1"/>
    <w:qFormat/>
    <w:uiPriority w:val="0"/>
    <w:pPr>
      <w:ind w:left="420" w:leftChars="200"/>
    </w:pPr>
  </w:style>
  <w:style w:type="paragraph" w:styleId="28">
    <w:name w:val="toc 9"/>
    <w:basedOn w:val="1"/>
    <w:next w:val="1"/>
    <w:qFormat/>
    <w:uiPriority w:val="0"/>
    <w:pPr>
      <w:ind w:left="3360" w:leftChars="1600"/>
    </w:pPr>
  </w:style>
  <w:style w:type="paragraph" w:styleId="29">
    <w:name w:val="Normal (Web)"/>
    <w:basedOn w:val="1"/>
    <w:qFormat/>
    <w:uiPriority w:val="0"/>
    <w:pPr>
      <w:widowControl/>
      <w:spacing w:before="100" w:beforeAutospacing="1" w:after="100" w:afterAutospacing="1"/>
      <w:jc w:val="left"/>
    </w:pPr>
    <w:rPr>
      <w:rFonts w:ascii="宋体"/>
      <w:kern w:val="0"/>
      <w:sz w:val="18"/>
      <w:szCs w:val="18"/>
    </w:rPr>
  </w:style>
  <w:style w:type="paragraph" w:styleId="30">
    <w:name w:val="annotation subject"/>
    <w:basedOn w:val="11"/>
    <w:next w:val="11"/>
    <w:link w:val="45"/>
    <w:qFormat/>
    <w:uiPriority w:val="0"/>
    <w:rPr>
      <w:b/>
      <w:bCs/>
    </w:rPr>
  </w:style>
  <w:style w:type="paragraph" w:styleId="31">
    <w:name w:val="Body Text First Indent"/>
    <w:basedOn w:val="12"/>
    <w:qFormat/>
    <w:uiPriority w:val="0"/>
    <w:pPr>
      <w:ind w:firstLine="420" w:firstLineChars="100"/>
    </w:pPr>
  </w:style>
  <w:style w:type="table" w:styleId="33">
    <w:name w:val="Table Grid"/>
    <w:basedOn w:val="32"/>
    <w:qFormat/>
    <w:uiPriority w:val="59"/>
    <w:pPr>
      <w:widowControl w:val="0"/>
      <w:jc w:val="both"/>
    </w:pPr>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page number"/>
    <w:qFormat/>
    <w:uiPriority w:val="0"/>
  </w:style>
  <w:style w:type="character" w:styleId="36">
    <w:name w:val="FollowedHyperlink"/>
    <w:unhideWhenUsed/>
    <w:qFormat/>
    <w:uiPriority w:val="0"/>
    <w:rPr>
      <w:color w:val="954F72"/>
      <w:u w:val="single"/>
    </w:rPr>
  </w:style>
  <w:style w:type="character" w:styleId="37">
    <w:name w:val="Hyperlink"/>
    <w:unhideWhenUsed/>
    <w:qFormat/>
    <w:uiPriority w:val="99"/>
    <w:rPr>
      <w:color w:val="0563C1"/>
      <w:u w:val="single"/>
    </w:rPr>
  </w:style>
  <w:style w:type="character" w:styleId="38">
    <w:name w:val="annotation reference"/>
    <w:qFormat/>
    <w:uiPriority w:val="0"/>
    <w:rPr>
      <w:sz w:val="21"/>
      <w:szCs w:val="21"/>
    </w:rPr>
  </w:style>
  <w:style w:type="character" w:customStyle="1" w:styleId="39">
    <w:name w:val="标题 1 字符"/>
    <w:link w:val="3"/>
    <w:qFormat/>
    <w:uiPriority w:val="0"/>
    <w:rPr>
      <w:b/>
      <w:bCs/>
      <w:kern w:val="44"/>
      <w:sz w:val="44"/>
      <w:szCs w:val="44"/>
    </w:rPr>
  </w:style>
  <w:style w:type="character" w:customStyle="1" w:styleId="40">
    <w:name w:val="标题 3 字符"/>
    <w:link w:val="5"/>
    <w:qFormat/>
    <w:uiPriority w:val="0"/>
    <w:rPr>
      <w:b/>
      <w:bCs/>
      <w:sz w:val="32"/>
      <w:szCs w:val="32"/>
    </w:rPr>
  </w:style>
  <w:style w:type="character" w:customStyle="1" w:styleId="41">
    <w:name w:val="标题 4 字符"/>
    <w:link w:val="2"/>
    <w:semiHidden/>
    <w:qFormat/>
    <w:uiPriority w:val="0"/>
    <w:rPr>
      <w:rFonts w:ascii="Calibri Light" w:hAnsi="Calibri Light" w:eastAsia="宋体" w:cs="Times New Roman"/>
      <w:b/>
      <w:bCs/>
      <w:kern w:val="2"/>
      <w:sz w:val="28"/>
      <w:szCs w:val="28"/>
    </w:rPr>
  </w:style>
  <w:style w:type="character" w:customStyle="1" w:styleId="42">
    <w:name w:val="文档结构图 字符"/>
    <w:link w:val="10"/>
    <w:qFormat/>
    <w:uiPriority w:val="0"/>
    <w:rPr>
      <w:rFonts w:ascii="宋体"/>
      <w:kern w:val="2"/>
      <w:sz w:val="18"/>
      <w:szCs w:val="18"/>
    </w:rPr>
  </w:style>
  <w:style w:type="character" w:customStyle="1" w:styleId="43">
    <w:name w:val="批注文字 字符"/>
    <w:link w:val="11"/>
    <w:qFormat/>
    <w:uiPriority w:val="0"/>
    <w:rPr>
      <w:kern w:val="2"/>
      <w:sz w:val="21"/>
      <w:szCs w:val="24"/>
    </w:rPr>
  </w:style>
  <w:style w:type="character" w:customStyle="1" w:styleId="44">
    <w:name w:val="批注框文本 字符"/>
    <w:link w:val="19"/>
    <w:qFormat/>
    <w:uiPriority w:val="0"/>
    <w:rPr>
      <w:kern w:val="2"/>
      <w:sz w:val="18"/>
      <w:szCs w:val="18"/>
    </w:rPr>
  </w:style>
  <w:style w:type="character" w:customStyle="1" w:styleId="45">
    <w:name w:val="批注主题 字符"/>
    <w:link w:val="30"/>
    <w:qFormat/>
    <w:uiPriority w:val="0"/>
    <w:rPr>
      <w:b/>
      <w:bCs/>
      <w:kern w:val="2"/>
      <w:sz w:val="21"/>
      <w:szCs w:val="24"/>
    </w:rPr>
  </w:style>
  <w:style w:type="character" w:customStyle="1" w:styleId="46">
    <w:name w:val="font51"/>
    <w:qFormat/>
    <w:uiPriority w:val="0"/>
    <w:rPr>
      <w:rFonts w:ascii="微软雅黑" w:hAnsi="微软雅黑" w:eastAsia="微软雅黑" w:cs="微软雅黑"/>
      <w:color w:val="000000"/>
      <w:sz w:val="16"/>
      <w:szCs w:val="16"/>
      <w:u w:val="none"/>
    </w:rPr>
  </w:style>
  <w:style w:type="character" w:customStyle="1" w:styleId="47">
    <w:name w:val="font111"/>
    <w:qFormat/>
    <w:uiPriority w:val="0"/>
    <w:rPr>
      <w:rFonts w:hint="default" w:ascii="Eʩ" w:hAnsi="Eʩ" w:eastAsia="Eʩ" w:cs="Eʩ"/>
      <w:color w:val="000000"/>
      <w:sz w:val="21"/>
      <w:szCs w:val="21"/>
      <w:u w:val="single"/>
    </w:rPr>
  </w:style>
  <w:style w:type="character" w:customStyle="1" w:styleId="48">
    <w:name w:val="font91"/>
    <w:qFormat/>
    <w:uiPriority w:val="0"/>
    <w:rPr>
      <w:rFonts w:hint="eastAsia" w:ascii="宋体" w:hAnsi="宋体" w:eastAsia="宋体" w:cs="宋体"/>
      <w:color w:val="FF0000"/>
      <w:sz w:val="21"/>
      <w:szCs w:val="21"/>
      <w:u w:val="single"/>
    </w:rPr>
  </w:style>
  <w:style w:type="character" w:customStyle="1" w:styleId="49">
    <w:name w:val="fontstyle21"/>
    <w:basedOn w:val="34"/>
    <w:qFormat/>
    <w:uiPriority w:val="0"/>
    <w:rPr>
      <w:rFonts w:ascii="CIDFont + F2" w:hAnsi="CIDFont + F2" w:eastAsia="CIDFont + F2" w:cs="CIDFont + F2"/>
      <w:color w:val="000000"/>
      <w:sz w:val="22"/>
      <w:szCs w:val="22"/>
    </w:rPr>
  </w:style>
  <w:style w:type="character" w:customStyle="1" w:styleId="50">
    <w:name w:val="批注文字 Char1"/>
    <w:qFormat/>
    <w:uiPriority w:val="0"/>
    <w:rPr>
      <w:rFonts w:ascii="Times New Roman" w:hAnsi="Times New Roman" w:eastAsia="宋体" w:cs="Times New Roman"/>
      <w:szCs w:val="24"/>
    </w:rPr>
  </w:style>
  <w:style w:type="character" w:customStyle="1" w:styleId="51">
    <w:name w:val="font31"/>
    <w:qFormat/>
    <w:uiPriority w:val="0"/>
    <w:rPr>
      <w:rFonts w:hint="eastAsia" w:ascii="宋体" w:hAnsi="宋体" w:eastAsia="宋体" w:cs="宋体"/>
      <w:color w:val="000000"/>
      <w:sz w:val="21"/>
      <w:szCs w:val="21"/>
      <w:u w:val="none"/>
    </w:rPr>
  </w:style>
  <w:style w:type="character" w:customStyle="1" w:styleId="52">
    <w:name w:val="font101"/>
    <w:qFormat/>
    <w:uiPriority w:val="0"/>
    <w:rPr>
      <w:rFonts w:hint="eastAsia" w:ascii="宋体" w:hAnsi="宋体" w:eastAsia="宋体" w:cs="宋体"/>
      <w:color w:val="000000"/>
      <w:sz w:val="21"/>
      <w:szCs w:val="21"/>
      <w:u w:val="single"/>
    </w:rPr>
  </w:style>
  <w:style w:type="character" w:customStyle="1" w:styleId="53">
    <w:name w:val="fontstyle01"/>
    <w:basedOn w:val="34"/>
    <w:qFormat/>
    <w:uiPriority w:val="0"/>
    <w:rPr>
      <w:rFonts w:ascii="CIDFont + F1" w:hAnsi="CIDFont + F1" w:eastAsia="CIDFont + F1" w:cs="CIDFont + F1"/>
      <w:color w:val="000000"/>
      <w:sz w:val="22"/>
      <w:szCs w:val="22"/>
    </w:rPr>
  </w:style>
  <w:style w:type="paragraph" w:customStyle="1" w:styleId="54">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5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6">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57">
    <w:name w:val="_Style 55"/>
    <w:semiHidden/>
    <w:qFormat/>
    <w:uiPriority w:val="99"/>
    <w:rPr>
      <w:rFonts w:ascii="Calibri" w:hAnsi="Calibri" w:eastAsia="宋体" w:cs="Times New Roman"/>
      <w:kern w:val="2"/>
      <w:sz w:val="21"/>
      <w:szCs w:val="24"/>
      <w:lang w:val="en-US" w:eastAsia="zh-CN" w:bidi="ar-SA"/>
    </w:rPr>
  </w:style>
  <w:style w:type="paragraph" w:customStyle="1" w:styleId="58">
    <w:name w:val="Salutation1"/>
    <w:basedOn w:val="1"/>
    <w:next w:val="1"/>
    <w:qFormat/>
    <w:uiPriority w:val="0"/>
  </w:style>
  <w:style w:type="paragraph" w:styleId="5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0">
    <w:name w:val="！正文"/>
    <w:basedOn w:val="1"/>
    <w:qFormat/>
    <w:uiPriority w:val="0"/>
    <w:rPr>
      <w:rFonts w:cs="宋体"/>
      <w:szCs w:val="28"/>
    </w:rPr>
  </w:style>
  <w:style w:type="paragraph" w:customStyle="1" w:styleId="61">
    <w:name w:val="列出段落3"/>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paragraph" w:customStyle="1" w:styleId="62">
    <w:name w:val="样式 首行缩进:  2 字符"/>
    <w:basedOn w:val="1"/>
    <w:qFormat/>
    <w:uiPriority w:val="0"/>
    <w:pPr>
      <w:spacing w:line="400" w:lineRule="exact"/>
      <w:ind w:firstLine="200" w:firstLineChars="200"/>
    </w:pPr>
    <w:rPr>
      <w:rFonts w:cs="宋体"/>
      <w:sz w:val="24"/>
    </w:rPr>
  </w:style>
  <w:style w:type="paragraph" w:customStyle="1" w:styleId="63">
    <w:name w:val="修订1"/>
    <w:unhideWhenUsed/>
    <w:qFormat/>
    <w:uiPriority w:val="99"/>
    <w:rPr>
      <w:rFonts w:ascii="Calibri" w:hAnsi="Calibri" w:eastAsia="宋体" w:cs="Times New Roman"/>
      <w:kern w:val="2"/>
      <w:sz w:val="21"/>
      <w:szCs w:val="24"/>
      <w:lang w:val="en-US" w:eastAsia="zh-CN" w:bidi="ar-SA"/>
    </w:rPr>
  </w:style>
  <w:style w:type="paragraph" w:customStyle="1" w:styleId="64">
    <w:name w:val="正文首行缩进两字符"/>
    <w:basedOn w:val="1"/>
    <w:qFormat/>
    <w:uiPriority w:val="0"/>
    <w:pPr>
      <w:spacing w:line="360" w:lineRule="auto"/>
      <w:ind w:firstLine="200" w:firstLineChars="200"/>
    </w:pPr>
  </w:style>
  <w:style w:type="paragraph" w:styleId="65">
    <w:name w:val="List Paragraph"/>
    <w:basedOn w:val="1"/>
    <w:qFormat/>
    <w:uiPriority w:val="34"/>
    <w:pPr>
      <w:ind w:firstLine="420" w:firstLineChars="200"/>
    </w:pPr>
  </w:style>
  <w:style w:type="character" w:customStyle="1" w:styleId="66">
    <w:name w:val="日期 字符"/>
    <w:basedOn w:val="34"/>
    <w:link w:val="18"/>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7331</Words>
  <Characters>41792</Characters>
  <Lines>348</Lines>
  <Paragraphs>98</Paragraphs>
  <TotalTime>5</TotalTime>
  <ScaleCrop>false</ScaleCrop>
  <LinksUpToDate>false</LinksUpToDate>
  <CharactersWithSpaces>49025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2021-03-28T12:08:00Z</dcterms:created>
  <dc:creator>s</dc:creator>
  <cp:lastModifiedBy>JX</cp:lastModifiedBy>
  <cp:lastPrinted>2021-04-26T01:09:00Z</cp:lastPrinted>
  <dcterms:modified xsi:type="dcterms:W3CDTF">2021-04-30T02:11:00Z</dcterms:modified>
  <dc:title>招标编号：xxxx [xxxx] xx号</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7294B0C10D1A4F69B5624C13DE452815</vt:lpwstr>
  </property>
</Properties>
</file>