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宋体" w:hAnsi="宋体"/>
          <w:color w:val="000000" w:themeColor="text1"/>
          <w14:textFill>
            <w14:solidFill>
              <w14:schemeClr w14:val="tx1"/>
            </w14:solidFill>
          </w14:textFill>
        </w:rPr>
      </w:pPr>
    </w:p>
    <w:p>
      <w:pPr>
        <w:ind w:firstLine="298" w:firstLineChars="99"/>
        <w:jc w:val="left"/>
        <w:rPr>
          <w:rFonts w:hAnsi="宋体" w:cs="宋体"/>
          <w:b/>
          <w:color w:val="000000" w:themeColor="text1"/>
          <w:sz w:val="30"/>
          <w:szCs w:val="30"/>
          <w14:textFill>
            <w14:solidFill>
              <w14:schemeClr w14:val="tx1"/>
            </w14:solidFill>
          </w14:textFill>
        </w:rPr>
      </w:pPr>
      <w:r>
        <w:rPr>
          <w:rFonts w:hint="eastAsia" w:hAnsi="宋体" w:cs="宋体"/>
          <w:b/>
          <w:color w:val="000000" w:themeColor="text1"/>
          <w:sz w:val="30"/>
          <w:szCs w:val="30"/>
          <w14:textFill>
            <w14:solidFill>
              <w14:schemeClr w14:val="tx1"/>
            </w14:solidFill>
          </w14:textFill>
        </w:rPr>
        <w:t>项目编号：510129202200011</w:t>
      </w:r>
    </w:p>
    <w:p>
      <w:pPr>
        <w:spacing w:line="880" w:lineRule="exact"/>
        <w:jc w:val="center"/>
        <w:rPr>
          <w:rFonts w:hint="eastAsia" w:hAnsi="宋体" w:cs="宋体"/>
          <w:b/>
          <w:color w:val="auto"/>
          <w:sz w:val="52"/>
          <w:szCs w:val="52"/>
        </w:rPr>
      </w:pPr>
      <w:r>
        <w:rPr>
          <w:rFonts w:hint="eastAsia" w:hAnsi="宋体" w:cs="宋体"/>
          <w:b/>
          <w:color w:val="auto"/>
          <w:sz w:val="52"/>
          <w:szCs w:val="52"/>
        </w:rPr>
        <w:t>大邑县监察委员会监务辅助服务采购项目</w:t>
      </w:r>
    </w:p>
    <w:p>
      <w:pPr>
        <w:pStyle w:val="2"/>
      </w:pPr>
    </w:p>
    <w:p>
      <w:pPr>
        <w:spacing w:line="880" w:lineRule="exact"/>
        <w:jc w:val="center"/>
        <w:rPr>
          <w:rFonts w:hAnsi="宋体" w:cs="宋体"/>
          <w:b/>
          <w:color w:val="000000" w:themeColor="text1"/>
          <w:sz w:val="52"/>
          <w:szCs w:val="52"/>
          <w14:textFill>
            <w14:solidFill>
              <w14:schemeClr w14:val="tx1"/>
            </w14:solidFill>
          </w14:textFill>
        </w:rPr>
      </w:pPr>
      <w:r>
        <w:rPr>
          <w:rFonts w:hint="eastAsia" w:hAnsi="宋体" w:cs="宋体"/>
          <w:b/>
          <w:color w:val="000000" w:themeColor="text1"/>
          <w:sz w:val="52"/>
          <w:szCs w:val="52"/>
          <w14:textFill>
            <w14:solidFill>
              <w14:schemeClr w14:val="tx1"/>
            </w14:solidFill>
          </w14:textFill>
        </w:rPr>
        <w:t>竞</w:t>
      </w:r>
    </w:p>
    <w:p>
      <w:pPr>
        <w:spacing w:line="880" w:lineRule="exact"/>
        <w:jc w:val="center"/>
        <w:rPr>
          <w:rFonts w:hAnsi="宋体" w:cs="宋体"/>
          <w:b/>
          <w:color w:val="000000" w:themeColor="text1"/>
          <w:sz w:val="52"/>
          <w:szCs w:val="52"/>
          <w14:textFill>
            <w14:solidFill>
              <w14:schemeClr w14:val="tx1"/>
            </w14:solidFill>
          </w14:textFill>
        </w:rPr>
      </w:pPr>
      <w:r>
        <w:rPr>
          <w:rFonts w:hint="eastAsia" w:hAnsi="宋体" w:cs="宋体"/>
          <w:b/>
          <w:color w:val="000000" w:themeColor="text1"/>
          <w:sz w:val="52"/>
          <w:szCs w:val="52"/>
          <w14:textFill>
            <w14:solidFill>
              <w14:schemeClr w14:val="tx1"/>
            </w14:solidFill>
          </w14:textFill>
        </w:rPr>
        <w:t>争</w:t>
      </w:r>
    </w:p>
    <w:p>
      <w:pPr>
        <w:spacing w:line="880" w:lineRule="exact"/>
        <w:jc w:val="center"/>
        <w:rPr>
          <w:rFonts w:hAnsi="宋体" w:cs="宋体"/>
          <w:b/>
          <w:color w:val="000000" w:themeColor="text1"/>
          <w:sz w:val="52"/>
          <w:szCs w:val="52"/>
          <w14:textFill>
            <w14:solidFill>
              <w14:schemeClr w14:val="tx1"/>
            </w14:solidFill>
          </w14:textFill>
        </w:rPr>
      </w:pPr>
      <w:r>
        <w:rPr>
          <w:rFonts w:hint="eastAsia" w:hAnsi="宋体" w:cs="宋体"/>
          <w:b/>
          <w:color w:val="000000" w:themeColor="text1"/>
          <w:sz w:val="52"/>
          <w:szCs w:val="52"/>
          <w14:textFill>
            <w14:solidFill>
              <w14:schemeClr w14:val="tx1"/>
            </w14:solidFill>
          </w14:textFill>
        </w:rPr>
        <w:t>性</w:t>
      </w:r>
    </w:p>
    <w:p>
      <w:pPr>
        <w:spacing w:line="880" w:lineRule="exact"/>
        <w:jc w:val="center"/>
        <w:rPr>
          <w:rFonts w:hAnsi="宋体" w:cs="宋体"/>
          <w:b/>
          <w:color w:val="000000" w:themeColor="text1"/>
          <w:sz w:val="52"/>
          <w:szCs w:val="52"/>
          <w14:textFill>
            <w14:solidFill>
              <w14:schemeClr w14:val="tx1"/>
            </w14:solidFill>
          </w14:textFill>
        </w:rPr>
      </w:pPr>
      <w:r>
        <w:rPr>
          <w:rFonts w:hint="eastAsia" w:hAnsi="宋体" w:cs="宋体"/>
          <w:b/>
          <w:color w:val="000000" w:themeColor="text1"/>
          <w:sz w:val="52"/>
          <w:szCs w:val="52"/>
          <w14:textFill>
            <w14:solidFill>
              <w14:schemeClr w14:val="tx1"/>
            </w14:solidFill>
          </w14:textFill>
        </w:rPr>
        <w:t>磋</w:t>
      </w:r>
    </w:p>
    <w:p>
      <w:pPr>
        <w:spacing w:line="880" w:lineRule="exact"/>
        <w:jc w:val="center"/>
        <w:rPr>
          <w:rFonts w:hAnsi="宋体" w:cs="宋体"/>
          <w:b/>
          <w:color w:val="000000" w:themeColor="text1"/>
          <w:sz w:val="52"/>
          <w:szCs w:val="52"/>
          <w14:textFill>
            <w14:solidFill>
              <w14:schemeClr w14:val="tx1"/>
            </w14:solidFill>
          </w14:textFill>
        </w:rPr>
      </w:pPr>
      <w:r>
        <w:rPr>
          <w:rFonts w:hint="eastAsia" w:hAnsi="宋体" w:cs="宋体"/>
          <w:b/>
          <w:color w:val="000000" w:themeColor="text1"/>
          <w:sz w:val="52"/>
          <w:szCs w:val="52"/>
          <w14:textFill>
            <w14:solidFill>
              <w14:schemeClr w14:val="tx1"/>
            </w14:solidFill>
          </w14:textFill>
        </w:rPr>
        <w:t>商</w:t>
      </w:r>
    </w:p>
    <w:p>
      <w:pPr>
        <w:spacing w:line="880" w:lineRule="exact"/>
        <w:jc w:val="center"/>
        <w:rPr>
          <w:rFonts w:hAnsi="宋体" w:cs="宋体"/>
          <w:b/>
          <w:color w:val="000000" w:themeColor="text1"/>
          <w:sz w:val="52"/>
          <w:szCs w:val="52"/>
          <w14:textFill>
            <w14:solidFill>
              <w14:schemeClr w14:val="tx1"/>
            </w14:solidFill>
          </w14:textFill>
        </w:rPr>
      </w:pPr>
      <w:r>
        <w:rPr>
          <w:rFonts w:hint="eastAsia" w:hAnsi="宋体" w:cs="宋体"/>
          <w:b/>
          <w:color w:val="000000" w:themeColor="text1"/>
          <w:sz w:val="52"/>
          <w:szCs w:val="52"/>
          <w14:textFill>
            <w14:solidFill>
              <w14:schemeClr w14:val="tx1"/>
            </w14:solidFill>
          </w14:textFill>
        </w:rPr>
        <w:t>文</w:t>
      </w:r>
    </w:p>
    <w:p>
      <w:pPr>
        <w:spacing w:line="880" w:lineRule="exact"/>
        <w:jc w:val="center"/>
        <w:rPr>
          <w:color w:val="000000" w:themeColor="text1"/>
          <w14:textFill>
            <w14:solidFill>
              <w14:schemeClr w14:val="tx1"/>
            </w14:solidFill>
          </w14:textFill>
        </w:rPr>
      </w:pPr>
      <w:r>
        <w:rPr>
          <w:rFonts w:hint="eastAsia" w:hAnsi="宋体" w:cs="宋体"/>
          <w:b/>
          <w:color w:val="000000" w:themeColor="text1"/>
          <w:sz w:val="52"/>
          <w:szCs w:val="52"/>
          <w14:textFill>
            <w14:solidFill>
              <w14:schemeClr w14:val="tx1"/>
            </w14:solidFill>
          </w14:textFill>
        </w:rPr>
        <w:t>件</w:t>
      </w:r>
    </w:p>
    <w:p>
      <w:pPr>
        <w:pStyle w:val="2"/>
        <w:spacing w:line="560" w:lineRule="exact"/>
        <w:ind w:firstLine="560" w:firstLineChars="200"/>
        <w:jc w:val="both"/>
        <w:rPr>
          <w:rFonts w:hint="eastAsia" w:ascii="宋体" w:hAnsi="宋体" w:cs="宋体"/>
          <w:color w:val="000000" w:themeColor="text1"/>
          <w:sz w:val="28"/>
          <w:szCs w:val="28"/>
          <w14:textFill>
            <w14:solidFill>
              <w14:schemeClr w14:val="tx1"/>
            </w14:solidFill>
          </w14:textFill>
        </w:rPr>
      </w:pPr>
    </w:p>
    <w:p>
      <w:pPr>
        <w:pStyle w:val="2"/>
        <w:spacing w:line="560" w:lineRule="exact"/>
        <w:ind w:firstLine="560" w:firstLineChars="200"/>
        <w:jc w:val="both"/>
        <w:rPr>
          <w:rFonts w:hint="eastAsia" w:ascii="宋体" w:hAnsi="宋体" w:eastAsia="宋体" w:cs="宋体"/>
          <w:color w:val="auto"/>
          <w:sz w:val="28"/>
          <w:szCs w:val="28"/>
          <w:lang w:eastAsia="zh-CN"/>
        </w:rPr>
      </w:pPr>
      <w:r>
        <w:rPr>
          <w:rFonts w:hint="eastAsia" w:ascii="宋体" w:hAnsi="宋体" w:cs="宋体"/>
          <w:color w:val="auto"/>
          <w:sz w:val="28"/>
          <w:szCs w:val="28"/>
        </w:rPr>
        <w:t>采购人：大邑县监察委员会</w:t>
      </w:r>
    </w:p>
    <w:p>
      <w:pPr>
        <w:pStyle w:val="2"/>
        <w:spacing w:line="560" w:lineRule="exact"/>
        <w:ind w:firstLine="560" w:firstLineChars="200"/>
        <w:jc w:val="both"/>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采购代理机构：四川华韵新诚工程管理咨询有限公司</w:t>
      </w:r>
    </w:p>
    <w:p>
      <w:pPr>
        <w:pStyle w:val="2"/>
        <w:spacing w:line="560" w:lineRule="exact"/>
        <w:ind w:firstLine="560" w:firstLineChars="200"/>
        <w:jc w:val="both"/>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文件编制：采购人与采购代理机构共同编制</w:t>
      </w:r>
    </w:p>
    <w:p>
      <w:pPr>
        <w:pStyle w:val="4"/>
        <w:keepNext w:val="0"/>
        <w:keepLines w:val="0"/>
        <w:spacing w:line="360" w:lineRule="exact"/>
        <w:jc w:val="center"/>
        <w:rPr>
          <w:rFonts w:hint="eastAsia" w:hAnsi="宋体" w:cs="宋体"/>
          <w:bCs/>
          <w:color w:val="000000" w:themeColor="text1"/>
          <w:sz w:val="28"/>
          <w:szCs w:val="28"/>
          <w:lang w:val="zh-CN"/>
          <w14:textFill>
            <w14:solidFill>
              <w14:schemeClr w14:val="tx1"/>
            </w14:solidFill>
          </w14:textFill>
        </w:rPr>
        <w:sectPr>
          <w:headerReference r:id="rId4" w:type="first"/>
          <w:footerReference r:id="rId5" w:type="first"/>
          <w:headerReference r:id="rId3" w:type="default"/>
          <w:pgSz w:w="11906" w:h="16838"/>
          <w:pgMar w:top="1440" w:right="1800" w:bottom="1440" w:left="1800" w:header="851" w:footer="992" w:gutter="0"/>
          <w:pgNumType w:start="0"/>
          <w:cols w:space="720" w:num="1"/>
          <w:titlePg/>
          <w:docGrid w:type="lines" w:linePitch="462" w:charSpace="0"/>
        </w:sectPr>
      </w:pPr>
      <w:r>
        <w:rPr>
          <w:rFonts w:hint="eastAsia" w:hAnsi="宋体" w:cs="宋体"/>
          <w:bCs/>
          <w:color w:val="000000" w:themeColor="text1"/>
          <w:sz w:val="28"/>
          <w:szCs w:val="28"/>
          <w14:textFill>
            <w14:solidFill>
              <w14:schemeClr w14:val="tx1"/>
            </w14:solidFill>
          </w14:textFill>
        </w:rPr>
        <w:t>二0二</w:t>
      </w:r>
      <w:r>
        <w:rPr>
          <w:rFonts w:hint="eastAsia" w:hAnsi="宋体" w:cs="宋体"/>
          <w:bCs/>
          <w:color w:val="000000" w:themeColor="text1"/>
          <w:sz w:val="28"/>
          <w:szCs w:val="28"/>
          <w:lang w:val="en-US" w:eastAsia="zh-CN"/>
          <w14:textFill>
            <w14:solidFill>
              <w14:schemeClr w14:val="tx1"/>
            </w14:solidFill>
          </w14:textFill>
        </w:rPr>
        <w:t>二</w:t>
      </w:r>
      <w:r>
        <w:rPr>
          <w:rFonts w:hint="eastAsia" w:hAnsi="宋体" w:cs="宋体"/>
          <w:bCs/>
          <w:color w:val="000000" w:themeColor="text1"/>
          <w:sz w:val="28"/>
          <w:szCs w:val="28"/>
          <w:lang w:val="zh-CN"/>
          <w14:textFill>
            <w14:solidFill>
              <w14:schemeClr w14:val="tx1"/>
            </w14:solidFill>
          </w14:textFill>
        </w:rPr>
        <w:t>年</w:t>
      </w:r>
      <w:r>
        <w:rPr>
          <w:rFonts w:hint="eastAsia" w:hAnsi="宋体" w:cs="宋体"/>
          <w:bCs/>
          <w:color w:val="000000" w:themeColor="text1"/>
          <w:sz w:val="28"/>
          <w:szCs w:val="28"/>
          <w:lang w:val="en-US" w:eastAsia="zh-CN"/>
          <w14:textFill>
            <w14:solidFill>
              <w14:schemeClr w14:val="tx1"/>
            </w14:solidFill>
          </w14:textFill>
        </w:rPr>
        <w:t>二</w:t>
      </w:r>
      <w:r>
        <w:rPr>
          <w:rFonts w:hint="eastAsia" w:hAnsi="宋体" w:cs="宋体"/>
          <w:bCs/>
          <w:color w:val="000000" w:themeColor="text1"/>
          <w:sz w:val="28"/>
          <w:szCs w:val="28"/>
          <w:lang w:val="zh-CN"/>
          <w14:textFill>
            <w14:solidFill>
              <w14:schemeClr w14:val="tx1"/>
            </w14:solidFill>
          </w14:textFill>
        </w:rPr>
        <w:t>月</w:t>
      </w:r>
      <w:bookmarkStart w:id="0" w:name="BookMK1"/>
    </w:p>
    <w:p>
      <w:pPr>
        <w:pStyle w:val="4"/>
        <w:keepNext w:val="0"/>
        <w:keepLines w:val="0"/>
        <w:spacing w:line="360" w:lineRule="auto"/>
        <w:jc w:val="center"/>
        <w:rPr>
          <w:rFonts w:ascii="宋体" w:hAnsi="宋体" w:eastAsia="宋体" w:cs="宋体"/>
          <w:bCs w:val="0"/>
          <w:color w:val="000000" w:themeColor="text1"/>
          <w:sz w:val="36"/>
          <w:szCs w:val="36"/>
          <w14:textFill>
            <w14:solidFill>
              <w14:schemeClr w14:val="tx1"/>
            </w14:solidFill>
          </w14:textFill>
        </w:rPr>
      </w:pPr>
      <w:r>
        <w:rPr>
          <w:rFonts w:hint="eastAsia" w:ascii="宋体" w:hAnsi="宋体" w:eastAsia="宋体" w:cs="宋体"/>
          <w:bCs w:val="0"/>
          <w:color w:val="000000" w:themeColor="text1"/>
          <w:sz w:val="36"/>
          <w:szCs w:val="36"/>
          <w14:textFill>
            <w14:solidFill>
              <w14:schemeClr w14:val="tx1"/>
            </w14:solidFill>
          </w14:textFill>
        </w:rPr>
        <w:t>目 录</w:t>
      </w:r>
    </w:p>
    <w:bookmarkEnd w:id="0"/>
    <w:p>
      <w:pPr>
        <w:pStyle w:val="20"/>
        <w:tabs>
          <w:tab w:val="right" w:leader="dot" w:pos="8306"/>
        </w:tabs>
        <w:spacing w:line="520" w:lineRule="exact"/>
        <w:rPr>
          <w:bCs/>
          <w:color w:val="auto"/>
          <w:sz w:val="24"/>
          <w:szCs w:val="24"/>
          <w:highlight w:val="none"/>
        </w:rPr>
      </w:pPr>
      <w:bookmarkStart w:id="1" w:name="_Toc3991887"/>
      <w:r>
        <w:rPr>
          <w:color w:val="auto"/>
          <w:highlight w:val="none"/>
        </w:rPr>
        <w:fldChar w:fldCharType="begin"/>
      </w:r>
      <w:r>
        <w:rPr>
          <w:color w:val="auto"/>
          <w:highlight w:val="none"/>
        </w:rPr>
        <w:instrText xml:space="preserve"> HYPERLINK \l "_Toc24156" </w:instrText>
      </w:r>
      <w:r>
        <w:rPr>
          <w:color w:val="auto"/>
          <w:highlight w:val="none"/>
        </w:rPr>
        <w:fldChar w:fldCharType="separate"/>
      </w:r>
      <w:r>
        <w:rPr>
          <w:rFonts w:hint="eastAsia" w:hAnsi="宋体" w:cs="宋体"/>
          <w:bCs/>
          <w:color w:val="auto"/>
          <w:sz w:val="24"/>
          <w:szCs w:val="24"/>
          <w:highlight w:val="none"/>
        </w:rPr>
        <w:t>第一章 磋商邀请</w:t>
      </w:r>
      <w:r>
        <w:rPr>
          <w:bCs/>
          <w:color w:val="auto"/>
          <w:sz w:val="24"/>
          <w:szCs w:val="24"/>
          <w:highlight w:val="none"/>
        </w:rPr>
        <w:tab/>
      </w:r>
      <w:r>
        <w:rPr>
          <w:rFonts w:hint="eastAsia"/>
          <w:bCs/>
          <w:color w:val="auto"/>
          <w:sz w:val="24"/>
          <w:szCs w:val="24"/>
          <w:highlight w:val="none"/>
          <w:lang w:val="en-US" w:eastAsia="zh-CN"/>
        </w:rPr>
        <w:t>2</w:t>
      </w:r>
      <w:r>
        <w:rPr>
          <w:bCs/>
          <w:color w:val="auto"/>
          <w:sz w:val="24"/>
          <w:szCs w:val="24"/>
          <w:highlight w:val="none"/>
        </w:rPr>
        <w:fldChar w:fldCharType="end"/>
      </w:r>
    </w:p>
    <w:p>
      <w:pPr>
        <w:pStyle w:val="20"/>
        <w:tabs>
          <w:tab w:val="right" w:leader="dot" w:pos="8306"/>
        </w:tabs>
        <w:spacing w:line="520" w:lineRule="exact"/>
        <w:rPr>
          <w:bCs/>
          <w:color w:val="auto"/>
          <w:sz w:val="24"/>
          <w:szCs w:val="24"/>
          <w:highlight w:val="none"/>
        </w:rPr>
      </w:pPr>
      <w:r>
        <w:rPr>
          <w:color w:val="auto"/>
          <w:highlight w:val="none"/>
        </w:rPr>
        <w:fldChar w:fldCharType="begin"/>
      </w:r>
      <w:r>
        <w:rPr>
          <w:color w:val="auto"/>
          <w:highlight w:val="none"/>
        </w:rPr>
        <w:instrText xml:space="preserve"> HYPERLINK \l "_Toc777" </w:instrText>
      </w:r>
      <w:r>
        <w:rPr>
          <w:color w:val="auto"/>
          <w:highlight w:val="none"/>
        </w:rPr>
        <w:fldChar w:fldCharType="separate"/>
      </w:r>
      <w:r>
        <w:rPr>
          <w:rFonts w:hint="eastAsia" w:hAnsi="宋体" w:cs="宋体"/>
          <w:bCs/>
          <w:color w:val="auto"/>
          <w:sz w:val="24"/>
          <w:szCs w:val="24"/>
          <w:highlight w:val="none"/>
        </w:rPr>
        <w:t>第二章 磋商须知</w:t>
      </w:r>
      <w:r>
        <w:rPr>
          <w:bCs/>
          <w:color w:val="auto"/>
          <w:sz w:val="24"/>
          <w:szCs w:val="24"/>
          <w:highlight w:val="none"/>
        </w:rPr>
        <w:tab/>
      </w:r>
      <w:r>
        <w:rPr>
          <w:rFonts w:hint="eastAsia"/>
          <w:bCs/>
          <w:color w:val="auto"/>
          <w:sz w:val="24"/>
          <w:szCs w:val="24"/>
          <w:highlight w:val="none"/>
          <w:lang w:val="en-US" w:eastAsia="zh-CN"/>
        </w:rPr>
        <w:t>5</w:t>
      </w:r>
      <w:r>
        <w:rPr>
          <w:bCs/>
          <w:color w:val="auto"/>
          <w:sz w:val="24"/>
          <w:szCs w:val="24"/>
          <w:highlight w:val="none"/>
        </w:rPr>
        <w:fldChar w:fldCharType="end"/>
      </w:r>
    </w:p>
    <w:p>
      <w:pPr>
        <w:pStyle w:val="20"/>
        <w:tabs>
          <w:tab w:val="right" w:leader="dot" w:pos="8306"/>
        </w:tabs>
        <w:spacing w:line="520" w:lineRule="exact"/>
        <w:rPr>
          <w:rFonts w:hint="eastAsia" w:eastAsia="宋体"/>
          <w:bCs/>
          <w:color w:val="auto"/>
          <w:sz w:val="24"/>
          <w:szCs w:val="24"/>
          <w:highlight w:val="none"/>
          <w:lang w:val="en-US" w:eastAsia="zh-CN"/>
        </w:rPr>
      </w:pPr>
      <w:r>
        <w:rPr>
          <w:color w:val="auto"/>
          <w:highlight w:val="none"/>
        </w:rPr>
        <w:fldChar w:fldCharType="begin"/>
      </w:r>
      <w:r>
        <w:rPr>
          <w:color w:val="auto"/>
          <w:highlight w:val="none"/>
        </w:rPr>
        <w:instrText xml:space="preserve"> HYPERLINK \l "_Toc21125" </w:instrText>
      </w:r>
      <w:r>
        <w:rPr>
          <w:color w:val="auto"/>
          <w:highlight w:val="none"/>
        </w:rPr>
        <w:fldChar w:fldCharType="separate"/>
      </w:r>
      <w:r>
        <w:rPr>
          <w:rFonts w:hint="eastAsia" w:hAnsi="宋体" w:cs="宋体"/>
          <w:bCs/>
          <w:color w:val="auto"/>
          <w:sz w:val="24"/>
          <w:szCs w:val="24"/>
          <w:highlight w:val="none"/>
        </w:rPr>
        <w:t>第三章 供应商资格条件要求</w:t>
      </w:r>
      <w:r>
        <w:rPr>
          <w:bCs/>
          <w:color w:val="auto"/>
          <w:sz w:val="24"/>
          <w:szCs w:val="24"/>
          <w:highlight w:val="none"/>
        </w:rPr>
        <w:tab/>
      </w:r>
      <w:r>
        <w:rPr>
          <w:rFonts w:hint="eastAsia"/>
          <w:bCs/>
          <w:color w:val="auto"/>
          <w:sz w:val="24"/>
          <w:szCs w:val="24"/>
          <w:highlight w:val="none"/>
          <w:lang w:val="en-US" w:eastAsia="zh-CN"/>
        </w:rPr>
        <w:t>2</w:t>
      </w:r>
      <w:r>
        <w:rPr>
          <w:bCs/>
          <w:color w:val="auto"/>
          <w:sz w:val="24"/>
          <w:szCs w:val="24"/>
          <w:highlight w:val="none"/>
        </w:rPr>
        <w:fldChar w:fldCharType="end"/>
      </w:r>
      <w:r>
        <w:rPr>
          <w:rFonts w:hint="eastAsia"/>
          <w:bCs/>
          <w:color w:val="auto"/>
          <w:sz w:val="24"/>
          <w:szCs w:val="24"/>
          <w:highlight w:val="none"/>
          <w:lang w:val="en-US" w:eastAsia="zh-CN"/>
        </w:rPr>
        <w:t>6</w:t>
      </w:r>
    </w:p>
    <w:p>
      <w:pPr>
        <w:pStyle w:val="20"/>
        <w:tabs>
          <w:tab w:val="right" w:leader="dot" w:pos="8306"/>
        </w:tabs>
        <w:spacing w:line="520" w:lineRule="exact"/>
        <w:rPr>
          <w:rFonts w:hint="eastAsia" w:eastAsia="宋体"/>
          <w:bCs/>
          <w:color w:val="auto"/>
          <w:sz w:val="24"/>
          <w:szCs w:val="24"/>
          <w:highlight w:val="none"/>
          <w:lang w:val="en-US" w:eastAsia="zh-CN"/>
        </w:rPr>
      </w:pPr>
      <w:r>
        <w:rPr>
          <w:color w:val="auto"/>
          <w:highlight w:val="none"/>
        </w:rPr>
        <w:fldChar w:fldCharType="begin"/>
      </w:r>
      <w:r>
        <w:rPr>
          <w:color w:val="auto"/>
          <w:highlight w:val="none"/>
        </w:rPr>
        <w:instrText xml:space="preserve"> HYPERLINK \l "_Toc31230" </w:instrText>
      </w:r>
      <w:r>
        <w:rPr>
          <w:color w:val="auto"/>
          <w:highlight w:val="none"/>
        </w:rPr>
        <w:fldChar w:fldCharType="separate"/>
      </w:r>
      <w:r>
        <w:rPr>
          <w:rFonts w:hint="eastAsia" w:hAnsi="宋体" w:cs="宋体"/>
          <w:bCs/>
          <w:color w:val="auto"/>
          <w:sz w:val="24"/>
          <w:szCs w:val="24"/>
          <w:highlight w:val="none"/>
        </w:rPr>
        <w:t>第四章 供应商资格证明材料</w:t>
      </w:r>
      <w:r>
        <w:rPr>
          <w:bCs/>
          <w:color w:val="auto"/>
          <w:sz w:val="24"/>
          <w:szCs w:val="24"/>
          <w:highlight w:val="none"/>
        </w:rPr>
        <w:tab/>
      </w:r>
      <w:r>
        <w:rPr>
          <w:rFonts w:hint="eastAsia"/>
          <w:bCs/>
          <w:color w:val="auto"/>
          <w:sz w:val="24"/>
          <w:szCs w:val="24"/>
          <w:highlight w:val="none"/>
          <w:lang w:val="en-US" w:eastAsia="zh-CN"/>
        </w:rPr>
        <w:t>2</w:t>
      </w:r>
      <w:r>
        <w:rPr>
          <w:bCs/>
          <w:color w:val="auto"/>
          <w:sz w:val="24"/>
          <w:szCs w:val="24"/>
          <w:highlight w:val="none"/>
        </w:rPr>
        <w:fldChar w:fldCharType="end"/>
      </w:r>
      <w:r>
        <w:rPr>
          <w:rFonts w:hint="eastAsia"/>
          <w:bCs/>
          <w:color w:val="auto"/>
          <w:sz w:val="24"/>
          <w:szCs w:val="24"/>
          <w:highlight w:val="none"/>
          <w:lang w:val="en-US" w:eastAsia="zh-CN"/>
        </w:rPr>
        <w:t>8</w:t>
      </w:r>
    </w:p>
    <w:p>
      <w:pPr>
        <w:pStyle w:val="20"/>
        <w:tabs>
          <w:tab w:val="right" w:leader="dot" w:pos="8306"/>
        </w:tabs>
        <w:spacing w:line="520" w:lineRule="exact"/>
        <w:rPr>
          <w:rFonts w:hint="eastAsia" w:eastAsia="宋体"/>
          <w:bCs/>
          <w:color w:val="auto"/>
          <w:sz w:val="24"/>
          <w:szCs w:val="24"/>
          <w:highlight w:val="none"/>
          <w:lang w:val="en-US" w:eastAsia="zh-CN"/>
        </w:rPr>
      </w:pPr>
      <w:r>
        <w:rPr>
          <w:color w:val="auto"/>
          <w:highlight w:val="none"/>
        </w:rPr>
        <w:fldChar w:fldCharType="begin"/>
      </w:r>
      <w:r>
        <w:rPr>
          <w:color w:val="auto"/>
          <w:highlight w:val="none"/>
        </w:rPr>
        <w:instrText xml:space="preserve"> HYPERLINK \l "_Toc5753" </w:instrText>
      </w:r>
      <w:r>
        <w:rPr>
          <w:color w:val="auto"/>
          <w:highlight w:val="none"/>
        </w:rPr>
        <w:fldChar w:fldCharType="separate"/>
      </w:r>
      <w:r>
        <w:rPr>
          <w:rFonts w:hint="eastAsia" w:hAnsi="宋体" w:cs="宋体"/>
          <w:bCs/>
          <w:color w:val="auto"/>
          <w:sz w:val="24"/>
          <w:szCs w:val="24"/>
          <w:highlight w:val="none"/>
        </w:rPr>
        <w:t>第五章 采购项目服务及商务要求</w:t>
      </w:r>
      <w:r>
        <w:rPr>
          <w:bCs/>
          <w:color w:val="auto"/>
          <w:sz w:val="24"/>
          <w:szCs w:val="24"/>
          <w:highlight w:val="none"/>
        </w:rPr>
        <w:tab/>
      </w:r>
      <w:r>
        <w:rPr>
          <w:rFonts w:hint="eastAsia"/>
          <w:bCs/>
          <w:color w:val="auto"/>
          <w:sz w:val="24"/>
          <w:szCs w:val="24"/>
          <w:highlight w:val="none"/>
          <w:lang w:val="en-US" w:eastAsia="zh-CN"/>
        </w:rPr>
        <w:t>3</w:t>
      </w:r>
      <w:r>
        <w:rPr>
          <w:bCs/>
          <w:color w:val="auto"/>
          <w:sz w:val="24"/>
          <w:szCs w:val="24"/>
          <w:highlight w:val="none"/>
        </w:rPr>
        <w:fldChar w:fldCharType="end"/>
      </w:r>
      <w:r>
        <w:rPr>
          <w:rFonts w:hint="eastAsia"/>
          <w:bCs/>
          <w:color w:val="auto"/>
          <w:sz w:val="24"/>
          <w:szCs w:val="24"/>
          <w:highlight w:val="none"/>
          <w:lang w:val="en-US" w:eastAsia="zh-CN"/>
        </w:rPr>
        <w:t>1</w:t>
      </w:r>
    </w:p>
    <w:p>
      <w:pPr>
        <w:pStyle w:val="20"/>
        <w:tabs>
          <w:tab w:val="right" w:leader="dot" w:pos="8306"/>
        </w:tabs>
        <w:spacing w:line="520" w:lineRule="exact"/>
        <w:rPr>
          <w:rFonts w:hint="eastAsia" w:eastAsia="宋体"/>
          <w:bCs/>
          <w:color w:val="auto"/>
          <w:sz w:val="24"/>
          <w:szCs w:val="24"/>
          <w:highlight w:val="none"/>
          <w:lang w:val="en-US" w:eastAsia="zh-CN"/>
        </w:rPr>
      </w:pPr>
      <w:r>
        <w:rPr>
          <w:color w:val="auto"/>
          <w:highlight w:val="none"/>
        </w:rPr>
        <w:fldChar w:fldCharType="begin"/>
      </w:r>
      <w:r>
        <w:rPr>
          <w:color w:val="auto"/>
          <w:highlight w:val="none"/>
        </w:rPr>
        <w:instrText xml:space="preserve"> HYPERLINK \l "_Toc19010" </w:instrText>
      </w:r>
      <w:r>
        <w:rPr>
          <w:color w:val="auto"/>
          <w:highlight w:val="none"/>
        </w:rPr>
        <w:fldChar w:fldCharType="separate"/>
      </w:r>
      <w:r>
        <w:rPr>
          <w:rFonts w:hint="eastAsia" w:hAnsi="宋体" w:cs="宋体"/>
          <w:bCs/>
          <w:color w:val="auto"/>
          <w:sz w:val="24"/>
          <w:szCs w:val="24"/>
          <w:highlight w:val="none"/>
        </w:rPr>
        <w:t>第六章 采购项目实质性要求</w:t>
      </w:r>
      <w:r>
        <w:rPr>
          <w:bCs/>
          <w:color w:val="auto"/>
          <w:sz w:val="24"/>
          <w:szCs w:val="24"/>
          <w:highlight w:val="none"/>
        </w:rPr>
        <w:tab/>
      </w:r>
      <w:r>
        <w:rPr>
          <w:rFonts w:hint="eastAsia"/>
          <w:bCs/>
          <w:color w:val="auto"/>
          <w:sz w:val="24"/>
          <w:szCs w:val="24"/>
          <w:highlight w:val="none"/>
          <w:lang w:val="en-US" w:eastAsia="zh-CN"/>
        </w:rPr>
        <w:t>3</w:t>
      </w:r>
      <w:r>
        <w:rPr>
          <w:bCs/>
          <w:color w:val="auto"/>
          <w:sz w:val="24"/>
          <w:szCs w:val="24"/>
          <w:highlight w:val="none"/>
        </w:rPr>
        <w:fldChar w:fldCharType="end"/>
      </w:r>
      <w:r>
        <w:rPr>
          <w:rFonts w:hint="eastAsia"/>
          <w:bCs/>
          <w:color w:val="auto"/>
          <w:sz w:val="24"/>
          <w:szCs w:val="24"/>
          <w:highlight w:val="none"/>
          <w:lang w:val="en-US" w:eastAsia="zh-CN"/>
        </w:rPr>
        <w:t>6</w:t>
      </w:r>
    </w:p>
    <w:p>
      <w:pPr>
        <w:pStyle w:val="20"/>
        <w:tabs>
          <w:tab w:val="right" w:leader="dot" w:pos="8306"/>
        </w:tabs>
        <w:spacing w:line="520" w:lineRule="exact"/>
        <w:rPr>
          <w:rFonts w:hint="eastAsia" w:eastAsia="宋体"/>
          <w:bCs/>
          <w:color w:val="auto"/>
          <w:sz w:val="24"/>
          <w:szCs w:val="24"/>
          <w:highlight w:val="none"/>
          <w:lang w:val="en-US" w:eastAsia="zh-CN"/>
        </w:rPr>
      </w:pPr>
      <w:r>
        <w:rPr>
          <w:color w:val="auto"/>
          <w:highlight w:val="none"/>
        </w:rPr>
        <w:fldChar w:fldCharType="begin"/>
      </w:r>
      <w:r>
        <w:rPr>
          <w:color w:val="auto"/>
          <w:highlight w:val="none"/>
        </w:rPr>
        <w:instrText xml:space="preserve"> HYPERLINK \l "_Toc3436" </w:instrText>
      </w:r>
      <w:r>
        <w:rPr>
          <w:color w:val="auto"/>
          <w:highlight w:val="none"/>
        </w:rPr>
        <w:fldChar w:fldCharType="separate"/>
      </w:r>
      <w:r>
        <w:rPr>
          <w:rFonts w:hint="eastAsia" w:hAnsi="宋体" w:cs="宋体"/>
          <w:bCs/>
          <w:color w:val="auto"/>
          <w:sz w:val="24"/>
          <w:szCs w:val="24"/>
          <w:highlight w:val="none"/>
        </w:rPr>
        <w:t>第七章 磋商内容、磋商过程中可实质性变动的内容</w:t>
      </w:r>
      <w:r>
        <w:rPr>
          <w:bCs/>
          <w:color w:val="auto"/>
          <w:sz w:val="24"/>
          <w:szCs w:val="24"/>
          <w:highlight w:val="none"/>
        </w:rPr>
        <w:tab/>
      </w:r>
      <w:r>
        <w:rPr>
          <w:rFonts w:hint="eastAsia"/>
          <w:bCs/>
          <w:color w:val="auto"/>
          <w:sz w:val="24"/>
          <w:szCs w:val="24"/>
          <w:highlight w:val="none"/>
          <w:lang w:val="en-US" w:eastAsia="zh-CN"/>
        </w:rPr>
        <w:t>3</w:t>
      </w:r>
      <w:r>
        <w:rPr>
          <w:bCs/>
          <w:color w:val="auto"/>
          <w:sz w:val="24"/>
          <w:szCs w:val="24"/>
          <w:highlight w:val="none"/>
        </w:rPr>
        <w:fldChar w:fldCharType="end"/>
      </w:r>
      <w:r>
        <w:rPr>
          <w:rFonts w:hint="eastAsia"/>
          <w:bCs/>
          <w:color w:val="auto"/>
          <w:sz w:val="24"/>
          <w:szCs w:val="24"/>
          <w:highlight w:val="none"/>
          <w:lang w:val="en-US" w:eastAsia="zh-CN"/>
        </w:rPr>
        <w:t>7</w:t>
      </w:r>
    </w:p>
    <w:p>
      <w:pPr>
        <w:pStyle w:val="20"/>
        <w:tabs>
          <w:tab w:val="right" w:leader="dot" w:pos="8306"/>
        </w:tabs>
        <w:spacing w:line="520" w:lineRule="exact"/>
        <w:rPr>
          <w:rFonts w:hint="eastAsia" w:eastAsia="宋体"/>
          <w:bCs/>
          <w:color w:val="auto"/>
          <w:sz w:val="24"/>
          <w:szCs w:val="24"/>
          <w:highlight w:val="none"/>
          <w:lang w:val="en-US" w:eastAsia="zh-CN"/>
        </w:rPr>
      </w:pPr>
      <w:r>
        <w:rPr>
          <w:color w:val="auto"/>
          <w:highlight w:val="none"/>
        </w:rPr>
        <w:fldChar w:fldCharType="begin"/>
      </w:r>
      <w:r>
        <w:rPr>
          <w:color w:val="auto"/>
          <w:highlight w:val="none"/>
        </w:rPr>
        <w:instrText xml:space="preserve"> HYPERLINK \l "_Toc31182" </w:instrText>
      </w:r>
      <w:r>
        <w:rPr>
          <w:color w:val="auto"/>
          <w:highlight w:val="none"/>
        </w:rPr>
        <w:fldChar w:fldCharType="separate"/>
      </w:r>
      <w:r>
        <w:rPr>
          <w:rFonts w:hint="eastAsia" w:hAnsi="宋体" w:cs="宋体"/>
          <w:bCs/>
          <w:color w:val="auto"/>
          <w:sz w:val="24"/>
          <w:szCs w:val="24"/>
          <w:highlight w:val="none"/>
        </w:rPr>
        <w:t>第八章 响应文件格式</w:t>
      </w:r>
      <w:r>
        <w:rPr>
          <w:bCs/>
          <w:color w:val="auto"/>
          <w:sz w:val="24"/>
          <w:szCs w:val="24"/>
          <w:highlight w:val="none"/>
        </w:rPr>
        <w:tab/>
      </w:r>
      <w:r>
        <w:rPr>
          <w:rFonts w:hint="eastAsia"/>
          <w:bCs/>
          <w:color w:val="auto"/>
          <w:sz w:val="24"/>
          <w:szCs w:val="24"/>
          <w:highlight w:val="none"/>
          <w:lang w:val="en-US" w:eastAsia="zh-CN"/>
        </w:rPr>
        <w:t>3</w:t>
      </w:r>
      <w:r>
        <w:rPr>
          <w:bCs/>
          <w:color w:val="auto"/>
          <w:sz w:val="24"/>
          <w:szCs w:val="24"/>
          <w:highlight w:val="none"/>
        </w:rPr>
        <w:fldChar w:fldCharType="end"/>
      </w:r>
      <w:r>
        <w:rPr>
          <w:rFonts w:hint="eastAsia"/>
          <w:bCs/>
          <w:color w:val="auto"/>
          <w:sz w:val="24"/>
          <w:szCs w:val="24"/>
          <w:highlight w:val="none"/>
          <w:lang w:val="en-US" w:eastAsia="zh-CN"/>
        </w:rPr>
        <w:t>8</w:t>
      </w:r>
    </w:p>
    <w:p>
      <w:pPr>
        <w:pStyle w:val="20"/>
        <w:tabs>
          <w:tab w:val="right" w:leader="dot" w:pos="8306"/>
        </w:tabs>
        <w:spacing w:line="520" w:lineRule="exact"/>
        <w:rPr>
          <w:rFonts w:hint="eastAsia" w:eastAsia="宋体"/>
          <w:bCs/>
          <w:color w:val="auto"/>
          <w:sz w:val="24"/>
          <w:szCs w:val="24"/>
          <w:highlight w:val="none"/>
          <w:lang w:val="en-US" w:eastAsia="zh-CN"/>
        </w:rPr>
      </w:pPr>
      <w:r>
        <w:rPr>
          <w:color w:val="auto"/>
          <w:highlight w:val="none"/>
        </w:rPr>
        <w:fldChar w:fldCharType="begin"/>
      </w:r>
      <w:r>
        <w:rPr>
          <w:color w:val="auto"/>
          <w:highlight w:val="none"/>
        </w:rPr>
        <w:instrText xml:space="preserve"> HYPERLINK \l "_Toc3034" </w:instrText>
      </w:r>
      <w:r>
        <w:rPr>
          <w:color w:val="auto"/>
          <w:highlight w:val="none"/>
        </w:rPr>
        <w:fldChar w:fldCharType="separate"/>
      </w:r>
      <w:r>
        <w:rPr>
          <w:rFonts w:hint="eastAsia" w:hAnsi="宋体" w:cs="宋体"/>
          <w:bCs/>
          <w:color w:val="auto"/>
          <w:sz w:val="24"/>
          <w:szCs w:val="24"/>
          <w:highlight w:val="none"/>
        </w:rPr>
        <w:t>第九章 评审方法</w:t>
      </w:r>
      <w:r>
        <w:rPr>
          <w:bCs/>
          <w:color w:val="auto"/>
          <w:sz w:val="24"/>
          <w:szCs w:val="24"/>
          <w:highlight w:val="none"/>
        </w:rPr>
        <w:tab/>
      </w:r>
      <w:r>
        <w:rPr>
          <w:rFonts w:hint="eastAsia"/>
          <w:bCs/>
          <w:color w:val="auto"/>
          <w:sz w:val="24"/>
          <w:szCs w:val="24"/>
          <w:highlight w:val="none"/>
          <w:lang w:val="en-US" w:eastAsia="zh-CN"/>
        </w:rPr>
        <w:t>6</w:t>
      </w:r>
      <w:r>
        <w:rPr>
          <w:bCs/>
          <w:color w:val="auto"/>
          <w:sz w:val="24"/>
          <w:szCs w:val="24"/>
          <w:highlight w:val="none"/>
        </w:rPr>
        <w:fldChar w:fldCharType="end"/>
      </w:r>
      <w:r>
        <w:rPr>
          <w:rFonts w:hint="eastAsia"/>
          <w:bCs/>
          <w:color w:val="auto"/>
          <w:sz w:val="24"/>
          <w:szCs w:val="24"/>
          <w:highlight w:val="none"/>
          <w:lang w:val="en-US" w:eastAsia="zh-CN"/>
        </w:rPr>
        <w:t>3</w:t>
      </w:r>
    </w:p>
    <w:p>
      <w:pPr>
        <w:pStyle w:val="20"/>
        <w:tabs>
          <w:tab w:val="right" w:leader="dot" w:pos="8306"/>
        </w:tabs>
        <w:spacing w:line="520" w:lineRule="exact"/>
        <w:rPr>
          <w:rFonts w:hint="eastAsia"/>
          <w:bCs/>
          <w:color w:val="auto"/>
          <w:sz w:val="24"/>
          <w:szCs w:val="24"/>
          <w:highlight w:val="none"/>
          <w:lang w:val="en-US" w:eastAsia="zh-CN"/>
        </w:rPr>
      </w:pPr>
      <w:r>
        <w:rPr>
          <w:color w:val="auto"/>
          <w:highlight w:val="none"/>
        </w:rPr>
        <w:fldChar w:fldCharType="begin"/>
      </w:r>
      <w:r>
        <w:rPr>
          <w:color w:val="auto"/>
          <w:highlight w:val="none"/>
        </w:rPr>
        <w:instrText xml:space="preserve"> HYPERLINK \l "_Toc12723" </w:instrText>
      </w:r>
      <w:r>
        <w:rPr>
          <w:color w:val="auto"/>
          <w:highlight w:val="none"/>
        </w:rPr>
        <w:fldChar w:fldCharType="separate"/>
      </w:r>
      <w:r>
        <w:rPr>
          <w:rFonts w:hint="eastAsia" w:hAnsi="宋体" w:cs="宋体"/>
          <w:bCs/>
          <w:color w:val="auto"/>
          <w:sz w:val="24"/>
          <w:szCs w:val="24"/>
          <w:highlight w:val="none"/>
        </w:rPr>
        <w:t>第十章 政府采购合同（草案）</w:t>
      </w:r>
      <w:r>
        <w:rPr>
          <w:bCs/>
          <w:color w:val="auto"/>
          <w:sz w:val="24"/>
          <w:szCs w:val="24"/>
          <w:highlight w:val="none"/>
        </w:rPr>
        <w:tab/>
      </w:r>
      <w:r>
        <w:rPr>
          <w:rFonts w:hint="eastAsia"/>
          <w:bCs/>
          <w:color w:val="auto"/>
          <w:sz w:val="24"/>
          <w:szCs w:val="24"/>
          <w:highlight w:val="none"/>
          <w:lang w:val="en-US" w:eastAsia="zh-CN"/>
        </w:rPr>
        <w:t>7</w:t>
      </w:r>
      <w:r>
        <w:rPr>
          <w:bCs/>
          <w:color w:val="auto"/>
          <w:sz w:val="24"/>
          <w:szCs w:val="24"/>
          <w:highlight w:val="none"/>
        </w:rPr>
        <w:fldChar w:fldCharType="end"/>
      </w:r>
      <w:r>
        <w:rPr>
          <w:rFonts w:hint="eastAsia"/>
          <w:bCs/>
          <w:color w:val="auto"/>
          <w:sz w:val="24"/>
          <w:szCs w:val="24"/>
          <w:highlight w:val="none"/>
          <w:lang w:val="en-US" w:eastAsia="zh-CN"/>
        </w:rPr>
        <w:t>5</w:t>
      </w:r>
    </w:p>
    <w:p>
      <w:pPr>
        <w:pStyle w:val="20"/>
        <w:tabs>
          <w:tab w:val="right" w:leader="dot" w:pos="8306"/>
        </w:tabs>
        <w:spacing w:line="520" w:lineRule="exact"/>
        <w:rPr>
          <w:rFonts w:hint="default"/>
          <w:bCs/>
          <w:color w:val="auto"/>
          <w:sz w:val="24"/>
          <w:szCs w:val="24"/>
          <w:highlight w:val="none"/>
          <w:lang w:val="en-US" w:eastAsia="zh-CN"/>
        </w:rPr>
      </w:pPr>
      <w:r>
        <w:rPr>
          <w:color w:val="auto"/>
          <w:highlight w:val="none"/>
        </w:rPr>
        <w:fldChar w:fldCharType="begin"/>
      </w:r>
      <w:r>
        <w:rPr>
          <w:color w:val="auto"/>
          <w:highlight w:val="none"/>
        </w:rPr>
        <w:instrText xml:space="preserve"> HYPERLINK \l "_Toc12723" </w:instrText>
      </w:r>
      <w:r>
        <w:rPr>
          <w:color w:val="auto"/>
          <w:highlight w:val="none"/>
        </w:rPr>
        <w:fldChar w:fldCharType="separate"/>
      </w:r>
      <w:r>
        <w:rPr>
          <w:rFonts w:hint="eastAsia" w:hAnsi="宋体" w:cs="宋体"/>
          <w:bCs/>
          <w:color w:val="auto"/>
          <w:sz w:val="24"/>
          <w:szCs w:val="24"/>
          <w:highlight w:val="none"/>
        </w:rPr>
        <w:t>第十</w:t>
      </w:r>
      <w:r>
        <w:rPr>
          <w:rFonts w:hint="eastAsia" w:hAnsi="宋体" w:cs="宋体"/>
          <w:bCs/>
          <w:color w:val="auto"/>
          <w:sz w:val="24"/>
          <w:szCs w:val="24"/>
          <w:highlight w:val="none"/>
          <w:lang w:eastAsia="zh-CN"/>
        </w:rPr>
        <w:t>一</w:t>
      </w:r>
      <w:r>
        <w:rPr>
          <w:rFonts w:hint="eastAsia" w:hAnsi="宋体" w:cs="宋体"/>
          <w:bCs/>
          <w:color w:val="auto"/>
          <w:sz w:val="24"/>
          <w:szCs w:val="24"/>
          <w:highlight w:val="none"/>
        </w:rPr>
        <w:t xml:space="preserve">章 </w:t>
      </w:r>
      <w:r>
        <w:rPr>
          <w:rFonts w:hint="eastAsia" w:hAnsi="宋体" w:cs="宋体"/>
          <w:bCs/>
          <w:color w:val="auto"/>
          <w:sz w:val="24"/>
          <w:szCs w:val="24"/>
          <w:highlight w:val="none"/>
          <w:lang w:eastAsia="zh-CN"/>
        </w:rPr>
        <w:t>附件</w:t>
      </w:r>
      <w:r>
        <w:rPr>
          <w:bCs/>
          <w:color w:val="auto"/>
          <w:sz w:val="24"/>
          <w:szCs w:val="24"/>
          <w:highlight w:val="none"/>
        </w:rPr>
        <w:tab/>
      </w:r>
      <w:r>
        <w:rPr>
          <w:rFonts w:hint="eastAsia"/>
          <w:bCs/>
          <w:color w:val="auto"/>
          <w:sz w:val="24"/>
          <w:szCs w:val="24"/>
          <w:highlight w:val="none"/>
          <w:lang w:val="en-US" w:eastAsia="zh-CN"/>
        </w:rPr>
        <w:t>7</w:t>
      </w:r>
      <w:r>
        <w:rPr>
          <w:bCs/>
          <w:color w:val="auto"/>
          <w:sz w:val="24"/>
          <w:szCs w:val="24"/>
          <w:highlight w:val="none"/>
        </w:rPr>
        <w:fldChar w:fldCharType="end"/>
      </w:r>
      <w:r>
        <w:rPr>
          <w:rFonts w:hint="eastAsia"/>
          <w:bCs/>
          <w:color w:val="auto"/>
          <w:sz w:val="24"/>
          <w:szCs w:val="24"/>
          <w:highlight w:val="none"/>
          <w:lang w:val="en-US" w:eastAsia="zh-CN"/>
        </w:rPr>
        <w:t>9</w:t>
      </w:r>
      <w:bookmarkStart w:id="169" w:name="_GoBack"/>
      <w:bookmarkEnd w:id="169"/>
    </w:p>
    <w:p>
      <w:pPr>
        <w:pStyle w:val="3"/>
        <w:keepNext w:val="0"/>
        <w:keepLines w:val="0"/>
        <w:adjustRightInd w:val="0"/>
        <w:snapToGrid w:val="0"/>
        <w:spacing w:line="520" w:lineRule="exact"/>
        <w:jc w:val="center"/>
        <w:rPr>
          <w:rFonts w:hAnsi="宋体" w:cs="宋体"/>
          <w:color w:val="000000" w:themeColor="text1"/>
          <w:sz w:val="24"/>
          <w:szCs w:val="24"/>
          <w14:textFill>
            <w14:solidFill>
              <w14:schemeClr w14:val="tx1"/>
            </w14:solidFill>
          </w14:textFill>
        </w:rPr>
        <w:sectPr>
          <w:footerReference r:id="rId7" w:type="first"/>
          <w:footerReference r:id="rId6" w:type="default"/>
          <w:pgSz w:w="11906" w:h="16838"/>
          <w:pgMar w:top="1440" w:right="1800" w:bottom="1440" w:left="1800" w:header="851" w:footer="992" w:gutter="0"/>
          <w:pgNumType w:fmt="decimal" w:start="1"/>
          <w:cols w:space="720" w:num="1"/>
          <w:titlePg/>
          <w:docGrid w:type="lines" w:linePitch="462" w:charSpace="0"/>
        </w:sectPr>
      </w:pPr>
    </w:p>
    <w:p>
      <w:pPr>
        <w:rPr>
          <w:rFonts w:hAnsi="宋体" w:cs="宋体"/>
          <w:color w:val="000000" w:themeColor="text1"/>
          <w14:textFill>
            <w14:solidFill>
              <w14:schemeClr w14:val="tx1"/>
            </w14:solidFill>
          </w14:textFill>
        </w:rPr>
      </w:pPr>
    </w:p>
    <w:p>
      <w:pPr>
        <w:pStyle w:val="132"/>
        <w:rPr>
          <w:color w:val="000000" w:themeColor="text1"/>
          <w14:textFill>
            <w14:solidFill>
              <w14:schemeClr w14:val="tx1"/>
            </w14:solidFill>
          </w14:textFill>
        </w:rPr>
      </w:pPr>
      <w:bookmarkStart w:id="2" w:name="_Toc24156"/>
      <w:bookmarkStart w:id="3" w:name="BookMK2"/>
      <w:r>
        <w:rPr>
          <w:color w:val="000000" w:themeColor="text1"/>
          <w14:textFill>
            <w14:solidFill>
              <w14:schemeClr w14:val="tx1"/>
            </w14:solidFill>
          </w14:textFill>
        </w:rPr>
        <w:t>窗体顶端</w:t>
      </w:r>
    </w:p>
    <w:p>
      <w:pPr>
        <w:pStyle w:val="134"/>
        <w:rPr>
          <w:color w:val="000000" w:themeColor="text1"/>
          <w14:textFill>
            <w14:solidFill>
              <w14:schemeClr w14:val="tx1"/>
            </w14:solidFill>
          </w14:textFill>
        </w:rPr>
      </w:pPr>
      <w:r>
        <w:rPr>
          <w:color w:val="000000" w:themeColor="text1"/>
          <w14:textFill>
            <w14:solidFill>
              <w14:schemeClr w14:val="tx1"/>
            </w14:solidFill>
          </w14:textFill>
        </w:rPr>
        <w:t>窗体底端</w:t>
      </w:r>
    </w:p>
    <w:p>
      <w:pPr>
        <w:pStyle w:val="3"/>
        <w:keepNext w:val="0"/>
        <w:keepLines w:val="0"/>
        <w:spacing w:before="0" w:line="240" w:lineRule="atLeast"/>
        <w:jc w:val="center"/>
        <w:rPr>
          <w:rFonts w:hAnsi="宋体" w:cs="宋体"/>
          <w:color w:val="000000" w:themeColor="text1"/>
          <w:sz w:val="32"/>
          <w:szCs w:val="32"/>
          <w14:textFill>
            <w14:solidFill>
              <w14:schemeClr w14:val="tx1"/>
            </w14:solidFill>
          </w14:textFill>
        </w:rPr>
      </w:pPr>
      <w:r>
        <w:rPr>
          <w:rFonts w:hint="eastAsia" w:hAnsi="宋体" w:cs="宋体"/>
          <w:color w:val="000000" w:themeColor="text1"/>
          <w:sz w:val="32"/>
          <w:szCs w:val="32"/>
          <w14:textFill>
            <w14:solidFill>
              <w14:schemeClr w14:val="tx1"/>
            </w14:solidFill>
          </w14:textFill>
        </w:rPr>
        <w:t>第一章 磋商邀请</w:t>
      </w:r>
      <w:bookmarkEnd w:id="1"/>
      <w:bookmarkEnd w:id="2"/>
    </w:p>
    <w:bookmarkEnd w:id="3"/>
    <w:p>
      <w:pPr>
        <w:spacing w:line="480" w:lineRule="exact"/>
        <w:ind w:firstLine="537" w:firstLineChars="223"/>
        <w:rPr>
          <w:rFonts w:hAnsi="宋体" w:cs="宋体"/>
          <w:b/>
          <w:bCs/>
          <w:color w:val="auto"/>
          <w:sz w:val="24"/>
          <w:u w:val="single"/>
        </w:rPr>
      </w:pPr>
      <w:r>
        <w:rPr>
          <w:rFonts w:hint="eastAsia" w:hAnsi="宋体" w:cs="宋体"/>
          <w:b/>
          <w:bCs/>
          <w:color w:val="auto"/>
          <w:sz w:val="24"/>
          <w:u w:val="single"/>
        </w:rPr>
        <w:t>四川华韵新诚工程管理咨询有限公司</w:t>
      </w:r>
      <w:r>
        <w:rPr>
          <w:rFonts w:hint="eastAsia" w:hAnsi="宋体" w:cs="宋体"/>
          <w:color w:val="auto"/>
          <w:sz w:val="24"/>
        </w:rPr>
        <w:t>（采购代理机构）受</w:t>
      </w:r>
      <w:r>
        <w:rPr>
          <w:rFonts w:hint="eastAsia" w:hAnsi="宋体" w:cs="宋体"/>
          <w:b/>
          <w:bCs/>
          <w:color w:val="auto"/>
          <w:sz w:val="24"/>
          <w:u w:val="single"/>
          <w:lang w:eastAsia="zh-CN"/>
        </w:rPr>
        <w:t>大邑县监察委员会</w:t>
      </w:r>
      <w:r>
        <w:rPr>
          <w:rFonts w:hint="eastAsia" w:hAnsi="宋体" w:cs="宋体"/>
          <w:color w:val="auto"/>
          <w:sz w:val="24"/>
        </w:rPr>
        <w:t>（采购人）委托，拟对</w:t>
      </w:r>
      <w:r>
        <w:rPr>
          <w:rFonts w:hint="eastAsia" w:hAnsi="宋体" w:cs="宋体"/>
          <w:b/>
          <w:bCs/>
          <w:color w:val="auto"/>
          <w:sz w:val="24"/>
          <w:u w:val="single"/>
          <w:lang w:eastAsia="zh-CN"/>
        </w:rPr>
        <w:t>大邑县监察委员会监务辅助服务采购项目</w:t>
      </w:r>
      <w:r>
        <w:rPr>
          <w:rFonts w:hint="eastAsia" w:hAnsi="宋体" w:cs="宋体"/>
          <w:color w:val="auto"/>
          <w:sz w:val="24"/>
          <w:szCs w:val="32"/>
        </w:rPr>
        <w:t>采用</w:t>
      </w:r>
      <w:r>
        <w:rPr>
          <w:rFonts w:hint="eastAsia" w:hAnsi="宋体" w:cs="宋体"/>
          <w:b/>
          <w:bCs/>
          <w:color w:val="auto"/>
          <w:sz w:val="24"/>
          <w:szCs w:val="32"/>
          <w:u w:val="single"/>
        </w:rPr>
        <w:t>竞争性磋商</w:t>
      </w:r>
      <w:r>
        <w:rPr>
          <w:rFonts w:hint="eastAsia" w:hAnsi="宋体" w:cs="宋体"/>
          <w:color w:val="auto"/>
          <w:sz w:val="24"/>
          <w:szCs w:val="32"/>
        </w:rPr>
        <w:t>方式</w:t>
      </w:r>
      <w:r>
        <w:rPr>
          <w:rFonts w:hint="eastAsia" w:hAnsi="宋体" w:cs="宋体"/>
          <w:color w:val="auto"/>
          <w:sz w:val="24"/>
        </w:rPr>
        <w:t>进行采购，特</w:t>
      </w:r>
      <w:r>
        <w:rPr>
          <w:rFonts w:hint="eastAsia" w:hAnsi="宋体" w:cs="宋体"/>
          <w:color w:val="auto"/>
          <w:sz w:val="24"/>
          <w:szCs w:val="28"/>
        </w:rPr>
        <w:t>邀请符合本次采购要求的供应商参加</w:t>
      </w:r>
      <w:r>
        <w:rPr>
          <w:rFonts w:hint="eastAsia" w:hAnsi="宋体" w:cs="宋体"/>
          <w:color w:val="auto"/>
          <w:sz w:val="24"/>
        </w:rPr>
        <w:t>本项目的竞争性磋商</w:t>
      </w:r>
      <w:r>
        <w:rPr>
          <w:rFonts w:hint="eastAsia" w:hAnsi="宋体" w:cs="宋体"/>
          <w:color w:val="auto"/>
          <w:sz w:val="24"/>
          <w:szCs w:val="28"/>
        </w:rPr>
        <w:t>。</w:t>
      </w:r>
    </w:p>
    <w:p>
      <w:pPr>
        <w:spacing w:line="480" w:lineRule="exact"/>
        <w:ind w:firstLine="120" w:firstLineChars="50"/>
        <w:rPr>
          <w:rFonts w:hAnsi="宋体" w:cs="宋体"/>
          <w:b/>
          <w:bCs/>
          <w:color w:val="auto"/>
          <w:sz w:val="24"/>
        </w:rPr>
      </w:pPr>
      <w:r>
        <w:rPr>
          <w:rFonts w:hint="eastAsia" w:hAnsi="宋体" w:cs="宋体"/>
          <w:b/>
          <w:bCs/>
          <w:color w:val="auto"/>
          <w:sz w:val="24"/>
        </w:rPr>
        <w:t>一、采购项目基本情况</w:t>
      </w:r>
    </w:p>
    <w:p>
      <w:pPr>
        <w:widowControl/>
        <w:shd w:val="clear" w:color="auto" w:fill="FFFFFF"/>
        <w:spacing w:before="156" w:beforeLines="50"/>
        <w:ind w:firstLine="240" w:firstLineChars="100"/>
        <w:jc w:val="left"/>
        <w:rPr>
          <w:rFonts w:hint="eastAsia" w:hAnsi="宋体" w:eastAsia="宋体" w:cs="宋体"/>
          <w:color w:val="auto"/>
          <w:sz w:val="24"/>
          <w:szCs w:val="22"/>
          <w:lang w:eastAsia="zh-CN"/>
        </w:rPr>
      </w:pPr>
      <w:r>
        <w:rPr>
          <w:rFonts w:hint="eastAsia" w:hAnsi="宋体" w:cs="宋体"/>
          <w:color w:val="auto"/>
          <w:sz w:val="24"/>
          <w:szCs w:val="22"/>
        </w:rPr>
        <w:t>1、项目编号：510129202200011</w:t>
      </w:r>
      <w:r>
        <w:rPr>
          <w:rFonts w:hint="eastAsia" w:hAnsi="宋体" w:cs="宋体"/>
          <w:color w:val="auto"/>
          <w:sz w:val="24"/>
          <w:szCs w:val="22"/>
          <w:lang w:eastAsia="zh-CN"/>
        </w:rPr>
        <w:t>。</w:t>
      </w:r>
    </w:p>
    <w:p>
      <w:pPr>
        <w:spacing w:before="156" w:beforeLines="50" w:line="480" w:lineRule="exact"/>
        <w:ind w:firstLine="240" w:firstLineChars="100"/>
        <w:rPr>
          <w:rFonts w:hAnsi="宋体" w:cs="宋体"/>
          <w:color w:val="auto"/>
          <w:sz w:val="24"/>
          <w:szCs w:val="22"/>
        </w:rPr>
      </w:pPr>
      <w:r>
        <w:rPr>
          <w:rFonts w:hint="eastAsia" w:hAnsi="宋体" w:cs="宋体"/>
          <w:color w:val="auto"/>
          <w:sz w:val="24"/>
          <w:szCs w:val="22"/>
        </w:rPr>
        <w:t>2、项目名称：</w:t>
      </w:r>
      <w:r>
        <w:rPr>
          <w:rFonts w:hint="eastAsia" w:hAnsi="宋体" w:cs="宋体"/>
          <w:color w:val="auto"/>
          <w:sz w:val="24"/>
          <w:szCs w:val="22"/>
          <w:lang w:eastAsia="zh-CN"/>
        </w:rPr>
        <w:t>大邑县监察委员会监务辅助服务采购项目</w:t>
      </w:r>
      <w:r>
        <w:rPr>
          <w:rFonts w:hint="eastAsia" w:hAnsi="宋体" w:cs="宋体"/>
          <w:color w:val="auto"/>
          <w:sz w:val="24"/>
          <w:szCs w:val="22"/>
        </w:rPr>
        <w:t>。</w:t>
      </w:r>
    </w:p>
    <w:p>
      <w:pPr>
        <w:spacing w:line="480" w:lineRule="exact"/>
        <w:ind w:firstLine="120" w:firstLineChars="50"/>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二、资金情况</w:t>
      </w:r>
    </w:p>
    <w:p>
      <w:pPr>
        <w:spacing w:line="480" w:lineRule="exact"/>
        <w:ind w:firstLine="240" w:firstLineChars="100"/>
        <w:rPr>
          <w:rFonts w:hAnsi="宋体" w:cs="宋体"/>
          <w:color w:val="auto"/>
          <w:sz w:val="24"/>
          <w:szCs w:val="22"/>
        </w:rPr>
      </w:pPr>
      <w:r>
        <w:rPr>
          <w:rFonts w:hint="eastAsia" w:hAnsi="宋体" w:cs="宋体"/>
          <w:color w:val="auto"/>
          <w:sz w:val="24"/>
          <w:szCs w:val="22"/>
        </w:rPr>
        <w:t>1、采购预算:</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rPr>
        <w:t>万元</w:t>
      </w:r>
      <w:r>
        <w:rPr>
          <w:rFonts w:hint="eastAsia" w:ascii="宋体" w:hAnsi="宋体" w:eastAsia="宋体" w:cs="宋体"/>
          <w:color w:val="auto"/>
          <w:sz w:val="24"/>
          <w:szCs w:val="24"/>
          <w:lang w:val="en-US" w:eastAsia="zh-CN"/>
        </w:rPr>
        <w:t>/年</w:t>
      </w:r>
      <w:r>
        <w:rPr>
          <w:rFonts w:hint="eastAsia" w:hAnsi="宋体" w:cs="宋体"/>
          <w:color w:val="auto"/>
          <w:sz w:val="24"/>
          <w:szCs w:val="22"/>
        </w:rPr>
        <w:t>，资金已落实。</w:t>
      </w:r>
    </w:p>
    <w:p>
      <w:pPr>
        <w:spacing w:line="480" w:lineRule="exact"/>
        <w:ind w:firstLine="240" w:firstLineChars="100"/>
        <w:rPr>
          <w:rFonts w:hint="eastAsia" w:hAnsi="宋体" w:eastAsia="宋体" w:cs="宋体"/>
          <w:color w:val="auto"/>
          <w:sz w:val="24"/>
          <w:szCs w:val="22"/>
          <w:lang w:val="en-US" w:eastAsia="zh-CN"/>
        </w:rPr>
      </w:pPr>
      <w:r>
        <w:rPr>
          <w:rFonts w:hint="eastAsia" w:hAnsi="宋体" w:cs="宋体"/>
          <w:color w:val="auto"/>
          <w:sz w:val="24"/>
          <w:szCs w:val="22"/>
        </w:rPr>
        <w:t>2、计划备案号：</w:t>
      </w:r>
      <w:r>
        <w:rPr>
          <w:rFonts w:hint="eastAsia" w:hAnsi="宋体" w:cs="宋体"/>
          <w:color w:val="auto"/>
          <w:sz w:val="24"/>
          <w:szCs w:val="22"/>
          <w:lang w:val="en-US" w:eastAsia="zh-CN"/>
        </w:rPr>
        <w:t>51012922210200000015。</w:t>
      </w:r>
    </w:p>
    <w:p>
      <w:pPr>
        <w:spacing w:line="480" w:lineRule="exact"/>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三</w:t>
      </w:r>
      <w:r>
        <w:rPr>
          <w:rFonts w:hint="eastAsia" w:hAnsi="宋体" w:cs="宋体"/>
          <w:b/>
          <w:bCs/>
          <w:color w:val="000000" w:themeColor="text1"/>
          <w:sz w:val="24"/>
          <w14:textFill>
            <w14:solidFill>
              <w14:schemeClr w14:val="tx1"/>
            </w14:solidFill>
          </w14:textFill>
        </w:rPr>
        <w:t>、</w:t>
      </w:r>
      <w:r>
        <w:rPr>
          <w:rFonts w:hint="eastAsia" w:hAnsi="宋体" w:cs="宋体"/>
          <w:b/>
          <w:color w:val="000000" w:themeColor="text1"/>
          <w:sz w:val="24"/>
          <w14:textFill>
            <w14:solidFill>
              <w14:schemeClr w14:val="tx1"/>
            </w14:solidFill>
          </w14:textFill>
        </w:rPr>
        <w:t>采购项目简介：</w:t>
      </w:r>
    </w:p>
    <w:p>
      <w:pPr>
        <w:pStyle w:val="2"/>
        <w:spacing w:line="480" w:lineRule="exact"/>
        <w:ind w:firstLine="420"/>
        <w:rPr>
          <w:rFonts w:ascii="宋体" w:hAnsi="宋体" w:cs="宋体"/>
          <w:color w:val="auto"/>
          <w:szCs w:val="28"/>
        </w:rPr>
      </w:pPr>
      <w:r>
        <w:rPr>
          <w:rFonts w:hint="eastAsia" w:ascii="宋体" w:hAnsi="宋体" w:cs="宋体"/>
          <w:color w:val="auto"/>
          <w:szCs w:val="22"/>
          <w:lang w:eastAsia="zh-CN"/>
        </w:rPr>
        <w:t>大邑县监察委员会监务辅助服务采购项目</w:t>
      </w:r>
      <w:r>
        <w:rPr>
          <w:rFonts w:hint="eastAsia" w:ascii="宋体" w:hAnsi="宋体" w:cs="宋体"/>
          <w:bCs/>
          <w:color w:val="auto"/>
        </w:rPr>
        <w:t>。</w:t>
      </w:r>
      <w:r>
        <w:rPr>
          <w:rFonts w:hint="eastAsia" w:ascii="宋体" w:hAnsi="宋体" w:cs="宋体"/>
          <w:color w:val="auto"/>
          <w:spacing w:val="-4"/>
        </w:rPr>
        <w:t>（</w:t>
      </w:r>
      <w:r>
        <w:rPr>
          <w:rFonts w:hint="eastAsia" w:ascii="宋体" w:hAnsi="宋体" w:cs="宋体"/>
          <w:color w:val="auto"/>
          <w:szCs w:val="28"/>
        </w:rPr>
        <w:t>详见磋商文件第</w:t>
      </w:r>
      <w:r>
        <w:rPr>
          <w:rFonts w:hint="eastAsia" w:ascii="宋体" w:hAnsi="宋体" w:cs="宋体"/>
          <w:color w:val="auto"/>
        </w:rPr>
        <w:t>五</w:t>
      </w:r>
      <w:r>
        <w:rPr>
          <w:rFonts w:hint="eastAsia" w:ascii="宋体" w:hAnsi="宋体" w:cs="宋体"/>
          <w:color w:val="auto"/>
          <w:szCs w:val="28"/>
        </w:rPr>
        <w:t>章）</w:t>
      </w:r>
    </w:p>
    <w:p>
      <w:pPr>
        <w:spacing w:line="360" w:lineRule="auto"/>
        <w:rPr>
          <w:rFonts w:hAnsi="宋体" w:cs="宋体"/>
          <w:b/>
          <w:color w:val="000000" w:themeColor="text1"/>
          <w:sz w:val="24"/>
          <w:szCs w:val="22"/>
          <w14:textFill>
            <w14:solidFill>
              <w14:schemeClr w14:val="tx1"/>
            </w14:solidFill>
          </w14:textFill>
        </w:rPr>
      </w:pPr>
      <w:r>
        <w:rPr>
          <w:rFonts w:hint="eastAsia" w:hAnsi="宋体" w:cs="宋体"/>
          <w:b/>
          <w:color w:val="000000" w:themeColor="text1"/>
          <w:sz w:val="24"/>
          <w:szCs w:val="22"/>
          <w14:textFill>
            <w14:solidFill>
              <w14:schemeClr w14:val="tx1"/>
            </w14:solidFill>
          </w14:textFill>
        </w:rPr>
        <w:t>四、定向采购情况</w:t>
      </w:r>
    </w:p>
    <w:p>
      <w:pPr>
        <w:pStyle w:val="2"/>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w:t>
      </w:r>
      <w:r>
        <w:rPr>
          <w:rFonts w:hint="eastAsia" w:ascii="宋体" w:hAnsi="宋体" w:cs="宋体"/>
          <w:color w:val="000000" w:themeColor="text1"/>
          <w:szCs w:val="22"/>
          <w14:textFill>
            <w14:solidFill>
              <w14:schemeClr w14:val="tx1"/>
            </w14:solidFill>
          </w14:textFill>
        </w:rPr>
        <w:t>项目专门面向中小企业采购。</w:t>
      </w:r>
    </w:p>
    <w:p>
      <w:pPr>
        <w:spacing w:after="120" w:line="360" w:lineRule="auto"/>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五、供应商邀请方式</w:t>
      </w:r>
    </w:p>
    <w:p>
      <w:pPr>
        <w:spacing w:after="120" w:line="480" w:lineRule="exact"/>
        <w:ind w:firstLine="480" w:firstLineChars="200"/>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本次竞争性磋商在《四川政府采购网》上以发布公告的方式邀请供应商，公告期限自公告发布之日起</w:t>
      </w:r>
      <w:r>
        <w:rPr>
          <w:rFonts w:hint="eastAsia" w:hAnsi="宋体" w:cs="宋体"/>
          <w:bCs/>
          <w:color w:val="000000" w:themeColor="text1"/>
          <w:sz w:val="24"/>
          <w:lang w:val="en-US" w:eastAsia="zh-CN"/>
          <w14:textFill>
            <w14:solidFill>
              <w14:schemeClr w14:val="tx1"/>
            </w14:solidFill>
          </w14:textFill>
        </w:rPr>
        <w:t>3</w:t>
      </w:r>
      <w:r>
        <w:rPr>
          <w:rFonts w:hint="eastAsia" w:hAnsi="宋体" w:cs="宋体"/>
          <w:bCs/>
          <w:color w:val="000000" w:themeColor="text1"/>
          <w:sz w:val="24"/>
          <w:lang w:eastAsia="zh-CN"/>
          <w14:textFill>
            <w14:solidFill>
              <w14:schemeClr w14:val="tx1"/>
            </w14:solidFill>
          </w14:textFill>
        </w:rPr>
        <w:t>个</w:t>
      </w:r>
      <w:r>
        <w:rPr>
          <w:rFonts w:hint="eastAsia" w:hAnsi="宋体" w:cs="宋体"/>
          <w:bCs/>
          <w:color w:val="000000" w:themeColor="text1"/>
          <w:sz w:val="24"/>
          <w14:textFill>
            <w14:solidFill>
              <w14:schemeClr w14:val="tx1"/>
            </w14:solidFill>
          </w14:textFill>
        </w:rPr>
        <w:t>工作日。</w:t>
      </w:r>
    </w:p>
    <w:p>
      <w:pPr>
        <w:spacing w:after="120" w:line="480" w:lineRule="exact"/>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六、供应商参加本次政府采购活动应具备下列条件</w:t>
      </w:r>
    </w:p>
    <w:p>
      <w:pPr>
        <w:pStyle w:val="86"/>
        <w:spacing w:line="480" w:lineRule="exact"/>
        <w:ind w:firstLine="436" w:firstLineChars="182"/>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《中华人民共和国政府采购法》第二十二条第一款第1项至第6项规定的条件：</w:t>
      </w:r>
    </w:p>
    <w:p>
      <w:pPr>
        <w:pStyle w:val="86"/>
        <w:spacing w:line="480" w:lineRule="exact"/>
        <w:ind w:firstLine="436" w:firstLineChars="182"/>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1.具有独立承担民事责任的能力；</w:t>
      </w:r>
    </w:p>
    <w:p>
      <w:pPr>
        <w:pStyle w:val="86"/>
        <w:spacing w:line="480" w:lineRule="exact"/>
        <w:ind w:firstLine="436" w:firstLineChars="182"/>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2.具有良好的商业信誉和健全的财务会计制度；</w:t>
      </w:r>
    </w:p>
    <w:p>
      <w:pPr>
        <w:pStyle w:val="86"/>
        <w:spacing w:line="480" w:lineRule="exact"/>
        <w:ind w:firstLine="436" w:firstLineChars="182"/>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3.具有履行合同所必须的设备和专业技术能力；</w:t>
      </w:r>
    </w:p>
    <w:p>
      <w:pPr>
        <w:pStyle w:val="86"/>
        <w:spacing w:line="480" w:lineRule="exact"/>
        <w:ind w:firstLine="436" w:firstLineChars="182"/>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4.具有依法缴纳税收和社会保障资金的良好记录；</w:t>
      </w:r>
    </w:p>
    <w:p>
      <w:pPr>
        <w:pStyle w:val="86"/>
        <w:spacing w:line="480" w:lineRule="exact"/>
        <w:ind w:firstLine="436" w:firstLineChars="182"/>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5.参加本次政府采购活动前三年内，在经营活动中没有重大违法记录；</w:t>
      </w:r>
    </w:p>
    <w:p>
      <w:pPr>
        <w:pStyle w:val="86"/>
        <w:spacing w:line="480" w:lineRule="exact"/>
        <w:ind w:firstLine="436" w:firstLineChars="182"/>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6.法律、行政法规规定的其他条件：参加本项目政府采购活动的供应商单位及其现任法定代表人、主要负责人前3年内不得具有行贿犯罪记录；</w:t>
      </w:r>
    </w:p>
    <w:p>
      <w:pPr>
        <w:pStyle w:val="86"/>
        <w:spacing w:line="480" w:lineRule="exact"/>
        <w:ind w:firstLine="436" w:firstLineChars="182"/>
        <w:rPr>
          <w:rFonts w:hint="eastAsia" w:hAnsi="宋体" w:eastAsia="宋体" w:cs="宋体"/>
          <w:color w:val="auto"/>
          <w:sz w:val="24"/>
          <w:szCs w:val="22"/>
          <w:lang w:val="en-US" w:eastAsia="zh-CN"/>
        </w:rPr>
      </w:pPr>
      <w:r>
        <w:rPr>
          <w:rFonts w:hint="eastAsia" w:hAnsi="宋体" w:cs="宋体"/>
          <w:color w:val="auto"/>
          <w:sz w:val="24"/>
          <w:szCs w:val="22"/>
        </w:rPr>
        <w:t>7.根据项目特殊要求设置的特定条件：</w:t>
      </w:r>
      <w:r>
        <w:rPr>
          <w:rFonts w:hint="eastAsia" w:hAnsi="宋体" w:cs="宋体"/>
          <w:color w:val="auto"/>
          <w:sz w:val="24"/>
          <w:szCs w:val="22"/>
          <w:lang w:val="en-US" w:eastAsia="zh-CN"/>
        </w:rPr>
        <w:t>无；</w:t>
      </w:r>
    </w:p>
    <w:p>
      <w:pPr>
        <w:pStyle w:val="86"/>
        <w:spacing w:line="480" w:lineRule="exact"/>
        <w:ind w:firstLine="436" w:firstLineChars="182"/>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8.不接受联合体磋商；</w:t>
      </w:r>
    </w:p>
    <w:p>
      <w:pPr>
        <w:pStyle w:val="86"/>
        <w:spacing w:line="480" w:lineRule="exact"/>
        <w:ind w:firstLine="480"/>
        <w:rPr>
          <w:rFonts w:hAnsi="宋体" w:cs="宋体"/>
          <w:color w:val="auto"/>
          <w:sz w:val="24"/>
          <w:szCs w:val="22"/>
        </w:rPr>
      </w:pPr>
      <w:r>
        <w:rPr>
          <w:rFonts w:hint="eastAsia" w:hAnsi="宋体" w:cs="宋体"/>
          <w:color w:val="auto"/>
          <w:sz w:val="24"/>
          <w:szCs w:val="22"/>
        </w:rPr>
        <w:t>9.</w:t>
      </w:r>
      <w:r>
        <w:rPr>
          <w:rFonts w:hint="eastAsia" w:hAnsi="宋体" w:cs="宋体"/>
          <w:color w:val="auto"/>
          <w:sz w:val="24"/>
          <w:szCs w:val="22"/>
          <w:lang w:val="en-US" w:eastAsia="zh-CN"/>
        </w:rPr>
        <w:t>本项目</w:t>
      </w:r>
      <w:r>
        <w:rPr>
          <w:rFonts w:hint="eastAsia" w:hAnsi="宋体" w:cs="宋体"/>
          <w:color w:val="auto"/>
          <w:sz w:val="24"/>
          <w:szCs w:val="22"/>
        </w:rPr>
        <w:t>专门面向中小企业。</w:t>
      </w:r>
    </w:p>
    <w:p>
      <w:pPr>
        <w:pStyle w:val="86"/>
        <w:spacing w:line="480" w:lineRule="exact"/>
        <w:ind w:firstLine="0" w:firstLineChars="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七、禁止参加本次采购活动的供应商</w:t>
      </w:r>
    </w:p>
    <w:p>
      <w:pPr>
        <w:pStyle w:val="86"/>
        <w:spacing w:line="480" w:lineRule="exact"/>
        <w:ind w:firstLine="480"/>
        <w:rPr>
          <w:rFonts w:hAnsi="宋体" w:cs="宋体"/>
          <w:color w:val="000000" w:themeColor="text1"/>
          <w14:textFill>
            <w14:solidFill>
              <w14:schemeClr w14:val="tx1"/>
            </w14:solidFill>
          </w14:textFill>
        </w:rPr>
      </w:pPr>
      <w:r>
        <w:rPr>
          <w:rFonts w:hint="eastAsia" w:hAnsi="宋体" w:cs="宋体"/>
          <w:color w:val="000000" w:themeColor="text1"/>
          <w:sz w:val="24"/>
          <w:szCs w:val="22"/>
          <w14:textFill>
            <w14:solidFill>
              <w14:schemeClr w14:val="tx1"/>
            </w14:solidFill>
          </w14:textFill>
        </w:rPr>
        <w:t>1.根据《关于在政府采购活动中查询及使用信用记录有关问题的通知》（财库〔2016〕 125 号）的要求，采购代理机构将通过“信用中国”网站（www.creditchina.gov.cn）、 “中国政府采购网”网站（www.ccgp.gov.cn）等渠道查询供应商信用信息记录并保存信用记录结果网页截图，拒绝列入失信被执行人、重大 税收违法案件当事人名单、政府采购严重违法失信行为记录名单及其他不符合《中华人民共和国政府采购法》第二十二条规定条件的供应商参加本项目的采购活动。</w:t>
      </w:r>
    </w:p>
    <w:p>
      <w:pPr>
        <w:pStyle w:val="86"/>
        <w:spacing w:line="480" w:lineRule="exact"/>
        <w:ind w:firstLine="0" w:firstLineChars="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八、获取采购文件的时间期限、地点、方式及采购文件售价</w:t>
      </w:r>
    </w:p>
    <w:p>
      <w:pPr>
        <w:pStyle w:val="86"/>
        <w:spacing w:line="480" w:lineRule="exact"/>
        <w:ind w:firstLine="480"/>
        <w:rPr>
          <w:rFonts w:hAnsi="宋体" w:cs="宋体"/>
          <w:color w:val="000000" w:themeColor="text1"/>
          <w:sz w:val="24"/>
          <w:szCs w:val="22"/>
          <w14:textFill>
            <w14:solidFill>
              <w14:schemeClr w14:val="tx1"/>
            </w14:solidFill>
          </w14:textFill>
        </w:rPr>
      </w:pPr>
      <w:r>
        <w:rPr>
          <w:rFonts w:hint="eastAsia" w:hAnsi="宋体" w:cs="宋体"/>
          <w:color w:val="auto"/>
          <w:sz w:val="24"/>
          <w:szCs w:val="22"/>
        </w:rPr>
        <w:t>1.磋商文件的获取期限(报名时间)：202</w:t>
      </w:r>
      <w:r>
        <w:rPr>
          <w:rFonts w:hint="eastAsia" w:hAnsi="宋体" w:cs="宋体"/>
          <w:color w:val="auto"/>
          <w:sz w:val="24"/>
          <w:szCs w:val="22"/>
          <w:lang w:val="en-US" w:eastAsia="zh-CN"/>
        </w:rPr>
        <w:t>2</w:t>
      </w:r>
      <w:r>
        <w:rPr>
          <w:rFonts w:hint="eastAsia" w:hAnsi="宋体" w:cs="宋体"/>
          <w:color w:val="auto"/>
          <w:sz w:val="24"/>
          <w:szCs w:val="22"/>
        </w:rPr>
        <w:t>年</w:t>
      </w:r>
      <w:r>
        <w:rPr>
          <w:rFonts w:hint="eastAsia" w:hAnsi="宋体" w:cs="宋体"/>
          <w:color w:val="auto"/>
          <w:sz w:val="24"/>
          <w:szCs w:val="22"/>
          <w:lang w:val="en-US" w:eastAsia="zh-CN"/>
        </w:rPr>
        <w:t>2</w:t>
      </w:r>
      <w:r>
        <w:rPr>
          <w:rFonts w:hint="eastAsia" w:hAnsi="宋体" w:cs="宋体"/>
          <w:color w:val="auto"/>
          <w:sz w:val="24"/>
          <w:szCs w:val="22"/>
        </w:rPr>
        <w:t>月</w:t>
      </w:r>
      <w:r>
        <w:rPr>
          <w:rFonts w:hint="eastAsia" w:hAnsi="宋体" w:cs="宋体"/>
          <w:color w:val="auto"/>
          <w:sz w:val="24"/>
          <w:szCs w:val="22"/>
          <w:lang w:val="en-US" w:eastAsia="zh-CN"/>
        </w:rPr>
        <w:t>28</w:t>
      </w:r>
      <w:r>
        <w:rPr>
          <w:rFonts w:hint="eastAsia" w:hAnsi="宋体" w:cs="宋体"/>
          <w:color w:val="auto"/>
          <w:sz w:val="24"/>
          <w:szCs w:val="22"/>
        </w:rPr>
        <w:t>日至202</w:t>
      </w:r>
      <w:r>
        <w:rPr>
          <w:rFonts w:hint="eastAsia" w:hAnsi="宋体" w:cs="宋体"/>
          <w:color w:val="auto"/>
          <w:sz w:val="24"/>
          <w:szCs w:val="22"/>
          <w:lang w:val="en-US" w:eastAsia="zh-CN"/>
        </w:rPr>
        <w:t>2</w:t>
      </w:r>
      <w:r>
        <w:rPr>
          <w:rFonts w:hint="eastAsia" w:hAnsi="宋体" w:cs="宋体"/>
          <w:color w:val="auto"/>
          <w:sz w:val="24"/>
          <w:szCs w:val="22"/>
        </w:rPr>
        <w:t>年</w:t>
      </w:r>
      <w:r>
        <w:rPr>
          <w:rFonts w:hint="eastAsia" w:hAnsi="宋体" w:cs="宋体"/>
          <w:color w:val="auto"/>
          <w:sz w:val="24"/>
          <w:szCs w:val="22"/>
          <w:lang w:val="en-US" w:eastAsia="zh-CN"/>
        </w:rPr>
        <w:t>3</w:t>
      </w:r>
      <w:r>
        <w:rPr>
          <w:rFonts w:hint="eastAsia" w:hAnsi="宋体" w:cs="宋体"/>
          <w:color w:val="auto"/>
          <w:sz w:val="24"/>
          <w:szCs w:val="22"/>
        </w:rPr>
        <w:t>月</w:t>
      </w:r>
      <w:r>
        <w:rPr>
          <w:rFonts w:hint="eastAsia" w:hAnsi="宋体" w:cs="宋体"/>
          <w:color w:val="auto"/>
          <w:sz w:val="24"/>
          <w:szCs w:val="22"/>
          <w:lang w:val="en-US" w:eastAsia="zh-CN"/>
        </w:rPr>
        <w:t>7</w:t>
      </w:r>
      <w:r>
        <w:rPr>
          <w:rFonts w:hint="eastAsia" w:hAnsi="宋体" w:cs="宋体"/>
          <w:color w:val="auto"/>
          <w:sz w:val="24"/>
          <w:szCs w:val="22"/>
        </w:rPr>
        <w:t>日上午09时00</w:t>
      </w:r>
      <w:r>
        <w:rPr>
          <w:rFonts w:hint="eastAsia" w:hAnsi="宋体" w:cs="宋体"/>
          <w:color w:val="000000" w:themeColor="text1"/>
          <w:sz w:val="24"/>
          <w:szCs w:val="22"/>
          <w14:textFill>
            <w14:solidFill>
              <w14:schemeClr w14:val="tx1"/>
            </w14:solidFill>
          </w14:textFill>
        </w:rPr>
        <w:t>分至12时00分，下午14时00分至17时00分(北京时间、节假日除外)。</w:t>
      </w:r>
    </w:p>
    <w:p>
      <w:pPr>
        <w:pStyle w:val="86"/>
        <w:spacing w:line="480" w:lineRule="exact"/>
        <w:ind w:firstLine="48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2.磋商文件的获取地点：“政府采购云平台”。</w:t>
      </w:r>
    </w:p>
    <w:p>
      <w:pPr>
        <w:pStyle w:val="86"/>
        <w:spacing w:line="480" w:lineRule="exact"/>
        <w:ind w:firstLine="48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3.磋商文件的获取方式：供应商从“政府采购云平台”获取磋商文件（网址：https://www.zcygov.cn）。登录政府采购云平台—项目采购—获取磋商文件—申请获取磋商文件。</w:t>
      </w:r>
    </w:p>
    <w:p>
      <w:pPr>
        <w:pStyle w:val="86"/>
        <w:spacing w:line="480" w:lineRule="exact"/>
        <w:ind w:firstLine="480"/>
        <w:rPr>
          <w:rFonts w:hAnsi="宋体"/>
          <w:color w:val="000000" w:themeColor="text1"/>
          <w:sz w:val="24"/>
          <w:szCs w:val="24"/>
          <w14:textFill>
            <w14:solidFill>
              <w14:schemeClr w14:val="tx1"/>
            </w14:solidFill>
          </w14:textFill>
        </w:rPr>
      </w:pPr>
      <w:r>
        <w:rPr>
          <w:rFonts w:hint="eastAsia" w:hAnsi="宋体" w:cs="宋体"/>
          <w:color w:val="000000" w:themeColor="text1"/>
          <w:sz w:val="24"/>
          <w:szCs w:val="22"/>
          <w14:textFill>
            <w14:solidFill>
              <w14:schemeClr w14:val="tx1"/>
            </w14:solidFill>
          </w14:textFill>
        </w:rPr>
        <w:t>提示：（1）本项目磋商文件免费获取。（2）供应商只有在“政府采购云平台”完成获取磋商文件申请并下载磋商文件后才视作依法参与本项目。如未在“政府采购云平台”内完成相关流程，引起的投标无效责任自负。</w:t>
      </w:r>
    </w:p>
    <w:p>
      <w:pPr>
        <w:spacing w:after="120" w:line="480" w:lineRule="exact"/>
        <w:rPr>
          <w:rFonts w:hAnsi="宋体" w:cs="宋体"/>
          <w:b/>
          <w:bCs/>
          <w:color w:val="auto"/>
          <w:sz w:val="24"/>
        </w:rPr>
      </w:pPr>
      <w:r>
        <w:rPr>
          <w:rFonts w:hint="eastAsia" w:hAnsi="宋体" w:cs="宋体"/>
          <w:b/>
          <w:bCs/>
          <w:color w:val="auto"/>
          <w:sz w:val="24"/>
        </w:rPr>
        <w:t>九、磋商响应文件递交起止时间：</w:t>
      </w:r>
      <w:r>
        <w:rPr>
          <w:rFonts w:hint="eastAsia" w:hAnsi="宋体" w:cs="宋体"/>
          <w:bCs/>
          <w:color w:val="auto"/>
          <w:sz w:val="24"/>
        </w:rPr>
        <w:t>响应文件接收起止时间为202</w:t>
      </w:r>
      <w:r>
        <w:rPr>
          <w:rFonts w:hint="eastAsia" w:hAnsi="宋体" w:cs="宋体"/>
          <w:bCs/>
          <w:color w:val="auto"/>
          <w:sz w:val="24"/>
          <w:lang w:val="en-US" w:eastAsia="zh-CN"/>
        </w:rPr>
        <w:t>2</w:t>
      </w:r>
      <w:r>
        <w:rPr>
          <w:rFonts w:hint="eastAsia" w:hAnsi="宋体" w:cs="宋体"/>
          <w:bCs/>
          <w:color w:val="auto"/>
          <w:sz w:val="24"/>
        </w:rPr>
        <w:t>年</w:t>
      </w:r>
      <w:r>
        <w:rPr>
          <w:rFonts w:hint="eastAsia" w:hAnsi="宋体" w:cs="宋体"/>
          <w:bCs/>
          <w:color w:val="auto"/>
          <w:sz w:val="24"/>
          <w:lang w:val="en-US" w:eastAsia="zh-CN"/>
        </w:rPr>
        <w:t>3</w:t>
      </w:r>
      <w:r>
        <w:rPr>
          <w:rFonts w:hint="eastAsia" w:hAnsi="宋体" w:cs="宋体"/>
          <w:bCs/>
          <w:color w:val="auto"/>
          <w:sz w:val="24"/>
        </w:rPr>
        <w:t>月</w:t>
      </w:r>
      <w:r>
        <w:rPr>
          <w:rFonts w:hint="eastAsia" w:hAnsi="宋体" w:cs="宋体"/>
          <w:bCs/>
          <w:color w:val="auto"/>
          <w:sz w:val="24"/>
          <w:lang w:val="en-US" w:eastAsia="zh-CN"/>
        </w:rPr>
        <w:t>11</w:t>
      </w:r>
      <w:r>
        <w:rPr>
          <w:rFonts w:hint="eastAsia" w:hAnsi="宋体" w:cs="宋体"/>
          <w:bCs/>
          <w:color w:val="auto"/>
          <w:sz w:val="24"/>
        </w:rPr>
        <w:t>日</w:t>
      </w:r>
      <w:r>
        <w:rPr>
          <w:rFonts w:hAnsi="宋体" w:cs="宋体"/>
          <w:bCs/>
          <w:color w:val="auto"/>
          <w:sz w:val="24"/>
        </w:rPr>
        <w:t>10</w:t>
      </w:r>
      <w:r>
        <w:rPr>
          <w:rFonts w:hint="eastAsia" w:hAnsi="宋体" w:cs="宋体"/>
          <w:bCs/>
          <w:color w:val="auto"/>
          <w:sz w:val="24"/>
        </w:rPr>
        <w:t>时</w:t>
      </w:r>
      <w:r>
        <w:rPr>
          <w:rFonts w:hAnsi="宋体" w:cs="宋体"/>
          <w:bCs/>
          <w:color w:val="auto"/>
          <w:sz w:val="24"/>
        </w:rPr>
        <w:t>00</w:t>
      </w:r>
      <w:r>
        <w:rPr>
          <w:rFonts w:hint="eastAsia" w:hAnsi="宋体" w:cs="宋体"/>
          <w:bCs/>
          <w:color w:val="auto"/>
          <w:sz w:val="24"/>
        </w:rPr>
        <w:t>分至</w:t>
      </w:r>
      <w:r>
        <w:rPr>
          <w:rFonts w:hAnsi="宋体" w:cs="宋体"/>
          <w:bCs/>
          <w:color w:val="auto"/>
          <w:sz w:val="24"/>
        </w:rPr>
        <w:t>10</w:t>
      </w:r>
      <w:r>
        <w:rPr>
          <w:rFonts w:hint="eastAsia" w:hAnsi="宋体" w:cs="宋体"/>
          <w:bCs/>
          <w:color w:val="auto"/>
          <w:sz w:val="24"/>
        </w:rPr>
        <w:t>时</w:t>
      </w:r>
      <w:r>
        <w:rPr>
          <w:rFonts w:hAnsi="宋体" w:cs="宋体"/>
          <w:bCs/>
          <w:color w:val="auto"/>
          <w:sz w:val="24"/>
        </w:rPr>
        <w:t>3</w:t>
      </w:r>
      <w:r>
        <w:rPr>
          <w:rFonts w:hint="eastAsia" w:hAnsi="宋体" w:cs="宋体"/>
          <w:bCs/>
          <w:color w:val="auto"/>
          <w:sz w:val="24"/>
        </w:rPr>
        <w:t>0分（北京时间）。</w:t>
      </w:r>
    </w:p>
    <w:p>
      <w:pPr>
        <w:spacing w:after="120" w:line="480" w:lineRule="exact"/>
        <w:rPr>
          <w:rFonts w:hAnsi="宋体" w:cs="宋体"/>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十、磋商响应文件递交的地点：</w:t>
      </w:r>
      <w:r>
        <w:rPr>
          <w:rFonts w:hint="eastAsia" w:hAnsi="宋体"/>
          <w:color w:val="000000" w:themeColor="text1"/>
          <w:sz w:val="24"/>
          <w:szCs w:val="24"/>
          <w14:textFill>
            <w14:solidFill>
              <w14:schemeClr w14:val="tx1"/>
            </w14:solidFill>
          </w14:textFill>
        </w:rPr>
        <w:t>四川华韵新诚工程管理咨询有限公司（</w:t>
      </w:r>
      <w:r>
        <w:rPr>
          <w:rFonts w:hint="eastAsia" w:hAnsi="宋体" w:cs="宋体"/>
          <w:bCs/>
          <w:color w:val="000000" w:themeColor="text1"/>
          <w:sz w:val="24"/>
          <w:szCs w:val="24"/>
          <w14:textFill>
            <w14:solidFill>
              <w14:schemeClr w14:val="tx1"/>
            </w14:solidFill>
          </w14:textFill>
        </w:rPr>
        <w:t>成都市大邑县晋原镇邑新大道214号1栋2楼</w:t>
      </w:r>
      <w:r>
        <w:rPr>
          <w:rFonts w:hint="eastAsia" w:hAnsi="宋体"/>
          <w:color w:val="000000" w:themeColor="text1"/>
          <w:sz w:val="24"/>
          <w:szCs w:val="24"/>
          <w14:textFill>
            <w14:solidFill>
              <w14:schemeClr w14:val="tx1"/>
            </w14:solidFill>
          </w14:textFill>
        </w:rPr>
        <w:t>）</w:t>
      </w:r>
      <w:r>
        <w:rPr>
          <w:rFonts w:hint="eastAsia" w:hAnsi="宋体" w:cs="宋体"/>
          <w:bCs/>
          <w:color w:val="000000" w:themeColor="text1"/>
          <w:sz w:val="24"/>
          <w14:textFill>
            <w14:solidFill>
              <w14:schemeClr w14:val="tx1"/>
            </w14:solidFill>
          </w14:textFill>
        </w:rPr>
        <w:t>。供应商应当在磋商文件要求的截止时间前，将响应文件密封送达指定地点。在截止时间后送达的响应文件为无效文件，将被采购代理机构拒收。</w:t>
      </w:r>
    </w:p>
    <w:p>
      <w:pPr>
        <w:spacing w:after="120" w:line="480" w:lineRule="exact"/>
        <w:rPr>
          <w:rFonts w:hAnsi="宋体" w:cs="宋体"/>
          <w:bCs/>
          <w:color w:val="auto"/>
          <w:sz w:val="24"/>
        </w:rPr>
      </w:pPr>
      <w:r>
        <w:rPr>
          <w:rFonts w:hint="eastAsia" w:hAnsi="宋体" w:cs="宋体"/>
          <w:b/>
          <w:bCs/>
          <w:color w:val="auto"/>
          <w:sz w:val="24"/>
        </w:rPr>
        <w:t>十一、磋商响应文件开启时间及地点：</w:t>
      </w:r>
      <w:r>
        <w:rPr>
          <w:rFonts w:hint="eastAsia" w:hAnsi="宋体" w:cs="宋体"/>
          <w:bCs/>
          <w:color w:val="auto"/>
          <w:sz w:val="24"/>
        </w:rPr>
        <w:t>202</w:t>
      </w:r>
      <w:r>
        <w:rPr>
          <w:rFonts w:hint="eastAsia" w:hAnsi="宋体" w:cs="宋体"/>
          <w:bCs/>
          <w:color w:val="auto"/>
          <w:sz w:val="24"/>
          <w:lang w:val="en-US" w:eastAsia="zh-CN"/>
        </w:rPr>
        <w:t>2</w:t>
      </w:r>
      <w:r>
        <w:rPr>
          <w:rFonts w:hint="eastAsia" w:hAnsi="宋体" w:cs="宋体"/>
          <w:bCs/>
          <w:color w:val="auto"/>
          <w:sz w:val="24"/>
        </w:rPr>
        <w:t>年</w:t>
      </w:r>
      <w:r>
        <w:rPr>
          <w:rFonts w:hint="eastAsia" w:hAnsi="宋体" w:cs="宋体"/>
          <w:bCs/>
          <w:color w:val="auto"/>
          <w:sz w:val="24"/>
          <w:lang w:val="en-US" w:eastAsia="zh-CN"/>
        </w:rPr>
        <w:t>3</w:t>
      </w:r>
      <w:r>
        <w:rPr>
          <w:rFonts w:hint="eastAsia" w:hAnsi="宋体" w:cs="宋体"/>
          <w:bCs/>
          <w:color w:val="auto"/>
          <w:sz w:val="24"/>
        </w:rPr>
        <w:t>月</w:t>
      </w:r>
      <w:r>
        <w:rPr>
          <w:rFonts w:hint="eastAsia" w:hAnsi="宋体" w:cs="宋体"/>
          <w:bCs/>
          <w:color w:val="auto"/>
          <w:sz w:val="24"/>
          <w:lang w:val="en-US" w:eastAsia="zh-CN"/>
        </w:rPr>
        <w:t>11</w:t>
      </w:r>
      <w:r>
        <w:rPr>
          <w:rFonts w:hint="eastAsia" w:hAnsi="宋体" w:cs="宋体"/>
          <w:bCs/>
          <w:color w:val="auto"/>
          <w:sz w:val="24"/>
        </w:rPr>
        <w:t>日1</w:t>
      </w:r>
      <w:r>
        <w:rPr>
          <w:rFonts w:hAnsi="宋体" w:cs="宋体"/>
          <w:bCs/>
          <w:color w:val="auto"/>
          <w:sz w:val="24"/>
        </w:rPr>
        <w:t>0</w:t>
      </w:r>
      <w:r>
        <w:rPr>
          <w:rFonts w:hint="eastAsia" w:hAnsi="宋体" w:cs="宋体"/>
          <w:bCs/>
          <w:color w:val="auto"/>
          <w:sz w:val="24"/>
        </w:rPr>
        <w:t>时</w:t>
      </w:r>
      <w:r>
        <w:rPr>
          <w:rFonts w:hAnsi="宋体" w:cs="宋体"/>
          <w:bCs/>
          <w:color w:val="auto"/>
          <w:sz w:val="24"/>
        </w:rPr>
        <w:t>3</w:t>
      </w:r>
      <w:r>
        <w:rPr>
          <w:rFonts w:hint="eastAsia" w:hAnsi="宋体" w:cs="宋体"/>
          <w:bCs/>
          <w:color w:val="auto"/>
          <w:sz w:val="24"/>
        </w:rPr>
        <w:t>0分(北京时间)在磋商地点开启。</w:t>
      </w:r>
    </w:p>
    <w:p>
      <w:pPr>
        <w:spacing w:after="120" w:line="480" w:lineRule="exact"/>
        <w:rPr>
          <w:rFonts w:hAnsi="宋体" w:cs="宋体"/>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十二、磋商地点：</w:t>
      </w:r>
      <w:r>
        <w:rPr>
          <w:rFonts w:hint="eastAsia" w:hAnsi="宋体" w:cs="宋体"/>
          <w:color w:val="000000" w:themeColor="text1"/>
          <w:sz w:val="24"/>
          <w14:textFill>
            <w14:solidFill>
              <w14:schemeClr w14:val="tx1"/>
            </w14:solidFill>
          </w14:textFill>
        </w:rPr>
        <w:t>四川华韵新诚工程管理咨询有限公司（成都市大邑县晋原镇邑新大道214号1栋2楼）。</w:t>
      </w:r>
    </w:p>
    <w:p>
      <w:pPr>
        <w:spacing w:after="120" w:line="480" w:lineRule="exact"/>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十三、本项目支持中小企业信用融资（详见第二章磋商须知）</w:t>
      </w:r>
    </w:p>
    <w:p>
      <w:pPr>
        <w:spacing w:after="120" w:line="480" w:lineRule="exact"/>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十四、采购人及采购代理机构联系方式</w:t>
      </w:r>
    </w:p>
    <w:p>
      <w:pPr>
        <w:pStyle w:val="86"/>
        <w:tabs>
          <w:tab w:val="center" w:pos="4479"/>
        </w:tabs>
        <w:snapToGrid w:val="0"/>
        <w:spacing w:line="520" w:lineRule="exact"/>
        <w:ind w:firstLine="436" w:firstLineChars="181"/>
        <w:rPr>
          <w:rFonts w:hint="eastAsia" w:hAnsi="宋体" w:eastAsia="宋体" w:cs="宋体"/>
          <w:color w:val="auto"/>
          <w:sz w:val="24"/>
          <w:szCs w:val="24"/>
          <w:lang w:eastAsia="zh-CN"/>
        </w:rPr>
      </w:pPr>
      <w:r>
        <w:rPr>
          <w:rFonts w:hint="eastAsia" w:hAnsi="宋体" w:cs="宋体"/>
          <w:b/>
          <w:bCs/>
          <w:color w:val="auto"/>
          <w:sz w:val="24"/>
          <w:szCs w:val="24"/>
        </w:rPr>
        <w:t>采 购 人：</w:t>
      </w:r>
      <w:r>
        <w:rPr>
          <w:rFonts w:hint="eastAsia" w:hAnsi="宋体" w:cs="宋体"/>
          <w:color w:val="auto"/>
          <w:sz w:val="24"/>
          <w:szCs w:val="22"/>
          <w:lang w:eastAsia="zh-CN"/>
        </w:rPr>
        <w:t>大邑县监察委员会</w:t>
      </w:r>
    </w:p>
    <w:p>
      <w:pPr>
        <w:pStyle w:val="86"/>
        <w:tabs>
          <w:tab w:val="center" w:pos="4479"/>
        </w:tabs>
        <w:snapToGrid w:val="0"/>
        <w:spacing w:line="520" w:lineRule="exact"/>
        <w:ind w:firstLine="436" w:firstLineChars="181"/>
        <w:rPr>
          <w:rFonts w:hint="default" w:hAnsi="宋体" w:eastAsia="宋体" w:cs="宋体"/>
          <w:color w:val="auto"/>
          <w:sz w:val="24"/>
          <w:szCs w:val="24"/>
          <w:lang w:val="en-US" w:eastAsia="zh-CN"/>
        </w:rPr>
      </w:pPr>
      <w:r>
        <w:rPr>
          <w:rFonts w:hint="eastAsia" w:hAnsi="宋体" w:cs="宋体"/>
          <w:b/>
          <w:bCs/>
          <w:color w:val="auto"/>
          <w:sz w:val="24"/>
          <w:szCs w:val="24"/>
        </w:rPr>
        <w:t>地    址</w:t>
      </w:r>
      <w:r>
        <w:rPr>
          <w:rFonts w:hint="eastAsia" w:hAnsi="宋体" w:cs="宋体"/>
          <w:color w:val="auto"/>
          <w:sz w:val="24"/>
          <w:szCs w:val="22"/>
        </w:rPr>
        <w:t>：</w:t>
      </w:r>
      <w:r>
        <w:rPr>
          <w:rFonts w:hint="eastAsia" w:hAnsi="宋体" w:cs="宋体"/>
          <w:color w:val="auto"/>
          <w:sz w:val="24"/>
          <w:szCs w:val="22"/>
          <w:lang w:eastAsia="zh-CN"/>
        </w:rPr>
        <w:t>大邑县桃源大道</w:t>
      </w:r>
      <w:r>
        <w:rPr>
          <w:rFonts w:hint="eastAsia" w:hAnsi="宋体" w:cs="宋体"/>
          <w:color w:val="auto"/>
          <w:sz w:val="24"/>
          <w:szCs w:val="22"/>
          <w:lang w:val="en-US" w:eastAsia="zh-CN"/>
        </w:rPr>
        <w:t>66号</w:t>
      </w:r>
    </w:p>
    <w:p>
      <w:pPr>
        <w:pStyle w:val="86"/>
        <w:tabs>
          <w:tab w:val="center" w:pos="4479"/>
        </w:tabs>
        <w:snapToGrid w:val="0"/>
        <w:spacing w:line="520" w:lineRule="exact"/>
        <w:ind w:firstLine="436" w:firstLineChars="181"/>
        <w:rPr>
          <w:rFonts w:hint="default" w:hAnsi="宋体" w:eastAsia="宋体" w:cs="宋体"/>
          <w:color w:val="auto"/>
          <w:sz w:val="24"/>
          <w:szCs w:val="22"/>
          <w:lang w:val="en-US" w:eastAsia="zh-CN"/>
        </w:rPr>
      </w:pPr>
      <w:r>
        <w:rPr>
          <w:rFonts w:hint="eastAsia" w:hAnsi="宋体" w:cs="宋体"/>
          <w:b/>
          <w:bCs/>
          <w:color w:val="auto"/>
          <w:sz w:val="24"/>
          <w:szCs w:val="22"/>
        </w:rPr>
        <w:t>联 系 人</w:t>
      </w:r>
      <w:r>
        <w:rPr>
          <w:rFonts w:hint="eastAsia" w:hAnsi="宋体" w:cs="宋体"/>
          <w:color w:val="auto"/>
          <w:sz w:val="24"/>
          <w:szCs w:val="22"/>
        </w:rPr>
        <w:t>：</w:t>
      </w:r>
      <w:r>
        <w:rPr>
          <w:rFonts w:hint="eastAsia" w:hAnsi="宋体" w:cs="宋体"/>
          <w:color w:val="auto"/>
          <w:sz w:val="24"/>
          <w:szCs w:val="22"/>
          <w:lang w:val="en-US" w:eastAsia="zh-CN"/>
        </w:rPr>
        <w:t>黄老师</w:t>
      </w:r>
    </w:p>
    <w:p>
      <w:pPr>
        <w:pStyle w:val="86"/>
        <w:tabs>
          <w:tab w:val="center" w:pos="4479"/>
        </w:tabs>
        <w:snapToGrid w:val="0"/>
        <w:spacing w:line="520" w:lineRule="exact"/>
        <w:ind w:firstLine="436" w:firstLineChars="181"/>
        <w:rPr>
          <w:rFonts w:hAnsi="宋体" w:cs="宋体"/>
          <w:bCs/>
          <w:color w:val="000000" w:themeColor="text1"/>
          <w:sz w:val="24"/>
          <w14:textFill>
            <w14:solidFill>
              <w14:schemeClr w14:val="tx1"/>
            </w14:solidFill>
          </w14:textFill>
        </w:rPr>
      </w:pPr>
      <w:r>
        <w:rPr>
          <w:rFonts w:hint="eastAsia" w:hAnsi="宋体" w:cs="宋体"/>
          <w:b/>
          <w:bCs/>
          <w:color w:val="auto"/>
          <w:sz w:val="24"/>
          <w:szCs w:val="24"/>
        </w:rPr>
        <w:t>联系电话：</w:t>
      </w:r>
      <w:r>
        <w:rPr>
          <w:rFonts w:hint="eastAsia" w:hAnsi="宋体" w:cs="宋体"/>
          <w:b w:val="0"/>
          <w:bCs w:val="0"/>
          <w:color w:val="auto"/>
          <w:sz w:val="24"/>
          <w:szCs w:val="24"/>
          <w:lang w:val="en-US" w:eastAsia="zh-CN"/>
        </w:rPr>
        <w:t>13881815692</w:t>
      </w:r>
    </w:p>
    <w:p>
      <w:pPr>
        <w:spacing w:line="360" w:lineRule="auto"/>
        <w:ind w:firstLine="420"/>
        <w:rPr>
          <w:rFonts w:hAnsi="宋体" w:cs="宋体"/>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代理机构：</w:t>
      </w:r>
      <w:r>
        <w:rPr>
          <w:rFonts w:hint="eastAsia" w:hAnsi="宋体" w:cs="宋体"/>
          <w:bCs/>
          <w:color w:val="000000" w:themeColor="text1"/>
          <w:sz w:val="24"/>
          <w:szCs w:val="24"/>
          <w14:textFill>
            <w14:solidFill>
              <w14:schemeClr w14:val="tx1"/>
            </w14:solidFill>
          </w14:textFill>
        </w:rPr>
        <w:t>四川华韵新诚工程管理咨询有限公司</w:t>
      </w:r>
    </w:p>
    <w:p>
      <w:pPr>
        <w:spacing w:line="360" w:lineRule="auto"/>
        <w:ind w:firstLine="420"/>
        <w:rPr>
          <w:rFonts w:hAnsi="宋体" w:cs="宋体"/>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地    址：</w:t>
      </w:r>
      <w:r>
        <w:rPr>
          <w:rFonts w:hint="eastAsia" w:hAnsi="宋体" w:cs="宋体"/>
          <w:bCs/>
          <w:color w:val="000000" w:themeColor="text1"/>
          <w:sz w:val="24"/>
          <w:szCs w:val="24"/>
          <w14:textFill>
            <w14:solidFill>
              <w14:schemeClr w14:val="tx1"/>
            </w14:solidFill>
          </w14:textFill>
        </w:rPr>
        <w:t>成都市大邑县晋原镇邑新大道214号1栋2楼</w:t>
      </w:r>
    </w:p>
    <w:p>
      <w:pPr>
        <w:spacing w:line="360" w:lineRule="auto"/>
        <w:ind w:firstLine="420"/>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联 系 人：</w:t>
      </w:r>
      <w:r>
        <w:rPr>
          <w:rFonts w:hint="eastAsia" w:hAnsi="宋体" w:cs="宋体"/>
          <w:bCs/>
          <w:color w:val="000000" w:themeColor="text1"/>
          <w:sz w:val="24"/>
          <w:szCs w:val="24"/>
          <w14:textFill>
            <w14:solidFill>
              <w14:schemeClr w14:val="tx1"/>
            </w14:solidFill>
          </w14:textFill>
        </w:rPr>
        <w:t>刘女士</w:t>
      </w:r>
    </w:p>
    <w:p>
      <w:pPr>
        <w:spacing w:line="360" w:lineRule="auto"/>
        <w:ind w:firstLine="420"/>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联系电话：</w:t>
      </w:r>
      <w:r>
        <w:rPr>
          <w:rFonts w:hint="eastAsia" w:hAnsi="宋体" w:cs="宋体"/>
          <w:bCs/>
          <w:color w:val="000000" w:themeColor="text1"/>
          <w:sz w:val="24"/>
          <w:szCs w:val="24"/>
          <w14:textFill>
            <w14:solidFill>
              <w14:schemeClr w14:val="tx1"/>
            </w14:solidFill>
          </w14:textFill>
        </w:rPr>
        <w:t>028-88274419</w:t>
      </w:r>
    </w:p>
    <w:p>
      <w:pPr>
        <w:spacing w:line="440" w:lineRule="exact"/>
        <w:ind w:firstLine="420"/>
        <w:rPr>
          <w:rFonts w:hAnsi="宋体"/>
          <w:color w:val="000000" w:themeColor="text1"/>
          <w:sz w:val="24"/>
          <w:szCs w:val="24"/>
          <w14:textFill>
            <w14:solidFill>
              <w14:schemeClr w14:val="tx1"/>
            </w14:solidFill>
          </w14:textFill>
        </w:rPr>
      </w:pPr>
    </w:p>
    <w:p>
      <w:pPr>
        <w:pStyle w:val="86"/>
        <w:ind w:firstLine="0" w:firstLineChars="0"/>
        <w:rPr>
          <w:rFonts w:hAnsi="宋体" w:cs="宋体"/>
          <w:color w:val="000000" w:themeColor="text1"/>
          <w:sz w:val="24"/>
          <w14:textFill>
            <w14:solidFill>
              <w14:schemeClr w14:val="tx1"/>
            </w14:solidFill>
          </w14:textFill>
        </w:rPr>
      </w:pPr>
    </w:p>
    <w:p>
      <w:pPr>
        <w:pStyle w:val="3"/>
        <w:keepNext w:val="0"/>
        <w:keepLines w:val="0"/>
        <w:spacing w:before="0" w:line="240" w:lineRule="atLeast"/>
        <w:jc w:val="center"/>
        <w:rPr>
          <w:rFonts w:hAnsi="宋体" w:cs="宋体"/>
          <w:color w:val="000000" w:themeColor="text1"/>
          <w:sz w:val="32"/>
          <w:szCs w:val="32"/>
          <w14:textFill>
            <w14:solidFill>
              <w14:schemeClr w14:val="tx1"/>
            </w14:solidFill>
          </w14:textFill>
        </w:rPr>
      </w:pPr>
      <w:bookmarkStart w:id="4" w:name="_Toc3991888"/>
      <w:bookmarkStart w:id="5" w:name="_Toc213396759"/>
      <w:bookmarkStart w:id="6" w:name="_Toc213397009"/>
      <w:bookmarkStart w:id="7" w:name="_Toc777"/>
      <w:bookmarkStart w:id="8" w:name="_Toc213396945"/>
      <w:bookmarkStart w:id="9" w:name="_Toc213496267"/>
      <w:bookmarkStart w:id="10" w:name="_Toc217446031"/>
      <w:bookmarkStart w:id="11" w:name="BookMK3"/>
      <w:r>
        <w:rPr>
          <w:rFonts w:hint="eastAsia" w:hAnsi="宋体" w:cs="宋体"/>
          <w:color w:val="000000" w:themeColor="text1"/>
          <w:sz w:val="32"/>
          <w:szCs w:val="32"/>
          <w14:textFill>
            <w14:solidFill>
              <w14:schemeClr w14:val="tx1"/>
            </w14:solidFill>
          </w14:textFill>
        </w:rPr>
        <w:br w:type="page"/>
      </w:r>
      <w:r>
        <w:rPr>
          <w:rFonts w:hint="eastAsia" w:hAnsi="宋体" w:cs="宋体"/>
          <w:color w:val="000000" w:themeColor="text1"/>
          <w:sz w:val="32"/>
          <w:szCs w:val="32"/>
          <w14:textFill>
            <w14:solidFill>
              <w14:schemeClr w14:val="tx1"/>
            </w14:solidFill>
          </w14:textFill>
        </w:rPr>
        <w:t>第二章 磋商须知</w:t>
      </w:r>
      <w:bookmarkEnd w:id="4"/>
      <w:bookmarkEnd w:id="5"/>
      <w:bookmarkEnd w:id="6"/>
      <w:bookmarkEnd w:id="7"/>
      <w:bookmarkEnd w:id="8"/>
      <w:bookmarkEnd w:id="9"/>
      <w:bookmarkEnd w:id="10"/>
    </w:p>
    <w:bookmarkEnd w:id="11"/>
    <w:p>
      <w:pPr>
        <w:pStyle w:val="4"/>
        <w:keepNext w:val="0"/>
        <w:keepLines w:val="0"/>
        <w:spacing w:line="240" w:lineRule="atLeast"/>
        <w:jc w:val="center"/>
        <w:rPr>
          <w:rFonts w:ascii="宋体" w:hAnsi="宋体" w:eastAsia="宋体" w:cs="宋体"/>
          <w:color w:val="000000" w:themeColor="text1"/>
          <w:sz w:val="30"/>
          <w:szCs w:val="30"/>
          <w14:textFill>
            <w14:solidFill>
              <w14:schemeClr w14:val="tx1"/>
            </w14:solidFill>
          </w14:textFill>
        </w:rPr>
      </w:pPr>
      <w:bookmarkStart w:id="12" w:name="BookMK4"/>
      <w:r>
        <w:rPr>
          <w:rFonts w:hint="eastAsia" w:ascii="宋体" w:hAnsi="宋体" w:eastAsia="宋体" w:cs="宋体"/>
          <w:color w:val="000000" w:themeColor="text1"/>
          <w:sz w:val="30"/>
          <w:szCs w:val="30"/>
          <w14:textFill>
            <w14:solidFill>
              <w14:schemeClr w14:val="tx1"/>
            </w14:solidFill>
          </w14:textFill>
        </w:rPr>
        <w:t>一、供应商须知附表</w:t>
      </w:r>
    </w:p>
    <w:bookmarkEnd w:id="12"/>
    <w:tbl>
      <w:tblPr>
        <w:tblStyle w:val="32"/>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410"/>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10" w:type="dxa"/>
            <w:vAlign w:val="center"/>
          </w:tcPr>
          <w:p>
            <w:pPr>
              <w:autoSpaceDE w:val="0"/>
              <w:autoSpaceDN w:val="0"/>
              <w:adjustRightInd w:val="0"/>
              <w:spacing w:line="40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序号</w:t>
            </w:r>
          </w:p>
        </w:tc>
        <w:tc>
          <w:tcPr>
            <w:tcW w:w="2410" w:type="dxa"/>
            <w:vAlign w:val="center"/>
          </w:tcPr>
          <w:p>
            <w:pPr>
              <w:autoSpaceDE w:val="0"/>
              <w:autoSpaceDN w:val="0"/>
              <w:adjustRightInd w:val="0"/>
              <w:spacing w:line="40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应知事项</w:t>
            </w:r>
          </w:p>
        </w:tc>
        <w:tc>
          <w:tcPr>
            <w:tcW w:w="6237" w:type="dxa"/>
            <w:vAlign w:val="center"/>
          </w:tcPr>
          <w:p>
            <w:pPr>
              <w:autoSpaceDE w:val="0"/>
              <w:autoSpaceDN w:val="0"/>
              <w:adjustRightInd w:val="0"/>
              <w:spacing w:line="40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10" w:type="dxa"/>
            <w:vAlign w:val="center"/>
          </w:tcPr>
          <w:p>
            <w:pPr>
              <w:autoSpaceDE w:val="0"/>
              <w:autoSpaceDN w:val="0"/>
              <w:adjustRightInd w:val="0"/>
              <w:jc w:val="center"/>
              <w:rPr>
                <w:rFonts w:hAnsi="宋体" w:cs="宋体"/>
                <w:color w:val="000000" w:themeColor="text1"/>
                <w:sz w:val="24"/>
                <w:szCs w:val="24"/>
                <w:lang w:val="zh-CN"/>
                <w14:textFill>
                  <w14:solidFill>
                    <w14:schemeClr w14:val="tx1"/>
                  </w14:solidFill>
                </w14:textFill>
              </w:rPr>
            </w:pPr>
            <w:r>
              <w:rPr>
                <w:rFonts w:hint="eastAsia" w:hAnsi="宋体" w:cs="宋体"/>
                <w:color w:val="000000" w:themeColor="text1"/>
                <w:sz w:val="24"/>
                <w:szCs w:val="24"/>
                <w:lang w:val="zh-CN"/>
                <w14:textFill>
                  <w14:solidFill>
                    <w14:schemeClr w14:val="tx1"/>
                  </w14:solidFill>
                </w14:textFill>
              </w:rPr>
              <w:t>1</w:t>
            </w:r>
          </w:p>
        </w:tc>
        <w:tc>
          <w:tcPr>
            <w:tcW w:w="2410" w:type="dxa"/>
            <w:vAlign w:val="center"/>
          </w:tcPr>
          <w:p>
            <w:pPr>
              <w:autoSpaceDE w:val="0"/>
              <w:autoSpaceDN w:val="0"/>
              <w:adjustRightInd w:val="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确定邀请磋商的供应商数量和方式</w:t>
            </w:r>
          </w:p>
        </w:tc>
        <w:tc>
          <w:tcPr>
            <w:tcW w:w="6237" w:type="dxa"/>
            <w:vAlign w:val="center"/>
          </w:tcPr>
          <w:p>
            <w:pPr>
              <w:pStyle w:val="90"/>
              <w:spacing w:line="400" w:lineRule="exact"/>
              <w:ind w:firstLine="240" w:firstLineChars="1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本次磋商邀请的供应商数量：不少于3家，即首次递交响应文件的供应商不少于3家。 </w:t>
            </w:r>
          </w:p>
          <w:p>
            <w:pPr>
              <w:pStyle w:val="90"/>
              <w:spacing w:line="400" w:lineRule="exact"/>
              <w:ind w:firstLine="240" w:firstLineChars="1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本次邀请供应商参加磋商的方式：见第一章磋商邀请。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10" w:type="dxa"/>
            <w:vMerge w:val="restart"/>
            <w:vAlign w:val="center"/>
          </w:tcPr>
          <w:p>
            <w:pPr>
              <w:pStyle w:val="90"/>
              <w:spacing w:line="288" w:lineRule="auto"/>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w:t>
            </w:r>
          </w:p>
        </w:tc>
        <w:tc>
          <w:tcPr>
            <w:tcW w:w="2410" w:type="dxa"/>
            <w:vAlign w:val="center"/>
          </w:tcPr>
          <w:p>
            <w:pPr>
              <w:autoSpaceDE w:val="0"/>
              <w:autoSpaceDN w:val="0"/>
              <w:adjustRightInd w:val="0"/>
              <w:spacing w:line="400" w:lineRule="exact"/>
              <w:jc w:val="center"/>
              <w:rPr>
                <w:rFonts w:hAnsi="宋体" w:cs="宋体"/>
                <w:color w:val="auto"/>
                <w:sz w:val="24"/>
                <w:szCs w:val="24"/>
              </w:rPr>
            </w:pPr>
            <w:r>
              <w:rPr>
                <w:rFonts w:hint="eastAsia" w:hAnsi="宋体" w:cs="宋体"/>
                <w:color w:val="auto"/>
                <w:sz w:val="24"/>
                <w:szCs w:val="24"/>
              </w:rPr>
              <w:t>采购预算</w:t>
            </w:r>
          </w:p>
          <w:p>
            <w:pPr>
              <w:pStyle w:val="90"/>
              <w:spacing w:line="400" w:lineRule="exact"/>
              <w:jc w:val="center"/>
              <w:rPr>
                <w:b/>
                <w:color w:val="auto"/>
                <w:lang w:val="zh-CN"/>
              </w:rPr>
            </w:pPr>
            <w:r>
              <w:rPr>
                <w:rFonts w:hint="eastAsia"/>
                <w:b/>
                <w:color w:val="auto"/>
              </w:rPr>
              <w:t>(实质性要求)</w:t>
            </w:r>
          </w:p>
        </w:tc>
        <w:tc>
          <w:tcPr>
            <w:tcW w:w="6237" w:type="dxa"/>
            <w:vAlign w:val="center"/>
          </w:tcPr>
          <w:p>
            <w:pPr>
              <w:pStyle w:val="90"/>
              <w:spacing w:line="400" w:lineRule="exact"/>
              <w:ind w:firstLine="240" w:firstLineChars="100"/>
              <w:jc w:val="both"/>
              <w:rPr>
                <w:color w:val="auto"/>
              </w:rPr>
            </w:pPr>
            <w:r>
              <w:rPr>
                <w:rFonts w:hint="eastAsia"/>
                <w:color w:val="auto"/>
              </w:rPr>
              <w:t>采购预算：</w:t>
            </w:r>
            <w:r>
              <w:rPr>
                <w:rFonts w:hint="eastAsia"/>
                <w:color w:val="auto"/>
                <w:lang w:val="en-US" w:eastAsia="zh-CN"/>
              </w:rPr>
              <w:t>40万</w:t>
            </w:r>
            <w:r>
              <w:rPr>
                <w:rFonts w:hint="eastAsia"/>
                <w:color w:val="auto"/>
              </w:rPr>
              <w:t>元</w:t>
            </w:r>
            <w:r>
              <w:rPr>
                <w:rFonts w:hint="eastAsia"/>
                <w:color w:val="auto"/>
                <w:lang w:val="en-US" w:eastAsia="zh-CN"/>
              </w:rPr>
              <w:t>/年</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10" w:type="dxa"/>
            <w:vMerge w:val="continue"/>
            <w:vAlign w:val="center"/>
          </w:tcPr>
          <w:p>
            <w:pPr>
              <w:pStyle w:val="90"/>
              <w:spacing w:line="288" w:lineRule="auto"/>
              <w:jc w:val="center"/>
              <w:rPr>
                <w:color w:val="000000" w:themeColor="text1"/>
                <w:lang w:val="zh-CN"/>
                <w14:textFill>
                  <w14:solidFill>
                    <w14:schemeClr w14:val="tx1"/>
                  </w14:solidFill>
                </w14:textFill>
              </w:rPr>
            </w:pPr>
          </w:p>
        </w:tc>
        <w:tc>
          <w:tcPr>
            <w:tcW w:w="2410" w:type="dxa"/>
            <w:vAlign w:val="center"/>
          </w:tcPr>
          <w:p>
            <w:pPr>
              <w:pStyle w:val="90"/>
              <w:spacing w:line="400" w:lineRule="exact"/>
              <w:ind w:firstLine="480" w:firstLineChars="200"/>
              <w:jc w:val="both"/>
              <w:rPr>
                <w:color w:val="auto"/>
              </w:rPr>
            </w:pPr>
            <w:r>
              <w:rPr>
                <w:rFonts w:hint="eastAsia"/>
                <w:color w:val="auto"/>
              </w:rPr>
              <w:t>定向采购</w:t>
            </w:r>
          </w:p>
        </w:tc>
        <w:tc>
          <w:tcPr>
            <w:tcW w:w="6237" w:type="dxa"/>
            <w:vAlign w:val="center"/>
          </w:tcPr>
          <w:p>
            <w:pPr>
              <w:pStyle w:val="90"/>
              <w:spacing w:line="400" w:lineRule="exact"/>
              <w:ind w:firstLine="240" w:firstLineChars="100"/>
              <w:jc w:val="both"/>
              <w:rPr>
                <w:color w:val="auto"/>
              </w:rPr>
            </w:pPr>
            <w:r>
              <w:rPr>
                <w:rFonts w:hint="eastAsia"/>
                <w:color w:val="auto"/>
              </w:rPr>
              <w:t>本项目专门面向中小企业采购；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10" w:type="dxa"/>
            <w:vMerge w:val="continue"/>
            <w:vAlign w:val="center"/>
          </w:tcPr>
          <w:p>
            <w:pPr>
              <w:pStyle w:val="90"/>
              <w:spacing w:line="288" w:lineRule="auto"/>
              <w:jc w:val="center"/>
              <w:rPr>
                <w:color w:val="000000" w:themeColor="text1"/>
                <w:lang w:val="zh-CN"/>
                <w14:textFill>
                  <w14:solidFill>
                    <w14:schemeClr w14:val="tx1"/>
                  </w14:solidFill>
                </w14:textFill>
              </w:rPr>
            </w:pPr>
          </w:p>
        </w:tc>
        <w:tc>
          <w:tcPr>
            <w:tcW w:w="2410" w:type="dxa"/>
            <w:vAlign w:val="center"/>
          </w:tcPr>
          <w:p>
            <w:pPr>
              <w:pStyle w:val="90"/>
              <w:spacing w:line="400" w:lineRule="exact"/>
              <w:jc w:val="center"/>
              <w:rPr>
                <w:color w:val="auto"/>
              </w:rPr>
            </w:pPr>
            <w:r>
              <w:rPr>
                <w:rFonts w:hint="eastAsia"/>
                <w:color w:val="auto"/>
              </w:rPr>
              <w:t>本项目所属行业</w:t>
            </w:r>
          </w:p>
        </w:tc>
        <w:tc>
          <w:tcPr>
            <w:tcW w:w="6237" w:type="dxa"/>
            <w:vAlign w:val="center"/>
          </w:tcPr>
          <w:p>
            <w:pPr>
              <w:pStyle w:val="90"/>
              <w:spacing w:line="400" w:lineRule="exact"/>
              <w:ind w:firstLine="240" w:firstLineChars="100"/>
              <w:jc w:val="both"/>
              <w:rPr>
                <w:color w:val="auto"/>
              </w:rPr>
            </w:pPr>
            <w:r>
              <w:rPr>
                <w:rFonts w:hint="eastAsia"/>
                <w:color w:val="auto"/>
              </w:rPr>
              <w:t>本项目所属行业为其他未列明行业。</w:t>
            </w:r>
          </w:p>
          <w:p>
            <w:pPr>
              <w:pStyle w:val="90"/>
              <w:spacing w:line="400" w:lineRule="exact"/>
              <w:ind w:firstLine="240" w:firstLineChars="100"/>
              <w:jc w:val="both"/>
              <w:rPr>
                <w:color w:val="auto"/>
              </w:rPr>
            </w:pPr>
            <w:r>
              <w:rPr>
                <w:rFonts w:hint="eastAsia"/>
                <w:color w:val="auto"/>
              </w:rPr>
              <w:t>注：农、林、牧、渔业，工业，建筑业，批发业，零售业，交通运输业，仓储业，邮政业，住宿业，餐饮业，信息传输业，软件和信息技术服务业，房地产开发经营，物业管理，租赁和商务服务业，其他未列明行业；其中，工</w:t>
            </w:r>
          </w:p>
          <w:p>
            <w:pPr>
              <w:pStyle w:val="90"/>
              <w:spacing w:line="400" w:lineRule="exact"/>
              <w:jc w:val="both"/>
              <w:rPr>
                <w:color w:val="auto"/>
              </w:rPr>
            </w:pPr>
            <w:r>
              <w:rPr>
                <w:rFonts w:hint="eastAsia"/>
                <w:color w:val="auto"/>
              </w:rPr>
              <w:t>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w:t>
            </w:r>
          </w:p>
          <w:p>
            <w:pPr>
              <w:pStyle w:val="90"/>
              <w:spacing w:line="400" w:lineRule="exact"/>
              <w:jc w:val="both"/>
              <w:rPr>
                <w:color w:val="auto"/>
              </w:rPr>
            </w:pPr>
            <w:r>
              <w:rPr>
                <w:rFonts w:hint="eastAsia"/>
                <w:color w:val="auto"/>
              </w:rPr>
              <w:t>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pStyle w:val="90"/>
              <w:spacing w:line="288" w:lineRule="auto"/>
              <w:jc w:val="cente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3</w:t>
            </w:r>
          </w:p>
        </w:tc>
        <w:tc>
          <w:tcPr>
            <w:tcW w:w="2410" w:type="dxa"/>
            <w:vAlign w:val="center"/>
          </w:tcPr>
          <w:p>
            <w:pPr>
              <w:autoSpaceDE w:val="0"/>
              <w:autoSpaceDN w:val="0"/>
              <w:adjustRightInd w:val="0"/>
              <w:spacing w:line="40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最高限价</w:t>
            </w:r>
          </w:p>
          <w:p>
            <w:pPr>
              <w:pStyle w:val="90"/>
              <w:spacing w:line="400" w:lineRule="exact"/>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(实质性要求)</w:t>
            </w:r>
          </w:p>
        </w:tc>
        <w:tc>
          <w:tcPr>
            <w:tcW w:w="6237" w:type="dxa"/>
            <w:vAlign w:val="center"/>
          </w:tcPr>
          <w:p>
            <w:pPr>
              <w:pStyle w:val="90"/>
              <w:spacing w:line="400" w:lineRule="exact"/>
              <w:ind w:firstLine="240" w:firstLineChars="100"/>
              <w:jc w:val="both"/>
              <w:rPr>
                <w:color w:val="auto"/>
              </w:rPr>
            </w:pPr>
            <w:r>
              <w:rPr>
                <w:rFonts w:hint="eastAsia"/>
                <w:color w:val="auto"/>
              </w:rPr>
              <w:t>最高限价：</w:t>
            </w:r>
            <w:r>
              <w:rPr>
                <w:rFonts w:hint="eastAsia"/>
                <w:color w:val="auto"/>
                <w:lang w:val="en-US" w:eastAsia="zh-CN"/>
              </w:rPr>
              <w:t>40万元/年</w:t>
            </w:r>
            <w:r>
              <w:rPr>
                <w:rFonts w:hint="eastAsia"/>
                <w:color w:val="auto"/>
              </w:rPr>
              <w:t>。</w:t>
            </w:r>
          </w:p>
          <w:p>
            <w:pPr>
              <w:pStyle w:val="90"/>
              <w:spacing w:line="400" w:lineRule="exact"/>
              <w:ind w:firstLine="240" w:firstLineChars="100"/>
              <w:rPr>
                <w:color w:val="000000" w:themeColor="text1"/>
                <w14:textFill>
                  <w14:solidFill>
                    <w14:schemeClr w14:val="tx1"/>
                  </w14:solidFill>
                </w14:textFill>
              </w:rPr>
            </w:pPr>
            <w:bookmarkStart w:id="13" w:name="PO_默认文件内容_21"/>
            <w:r>
              <w:rPr>
                <w:rFonts w:hint="eastAsia"/>
                <w:color w:val="000000" w:themeColor="text1"/>
                <w14:textFill>
                  <w14:solidFill>
                    <w14:schemeClr w14:val="tx1"/>
                  </w14:solidFill>
                </w14:textFill>
              </w:rPr>
              <w:t>供应商报价超过最高限价的报价,其响应文件按无效处理。</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10" w:type="dxa"/>
            <w:vAlign w:val="center"/>
          </w:tcPr>
          <w:p>
            <w:pPr>
              <w:pStyle w:val="90"/>
              <w:spacing w:line="288" w:lineRule="auto"/>
              <w:jc w:val="center"/>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4</w:t>
            </w:r>
          </w:p>
        </w:tc>
        <w:tc>
          <w:tcPr>
            <w:tcW w:w="2410" w:type="dxa"/>
            <w:vAlign w:val="center"/>
          </w:tcPr>
          <w:p>
            <w:pPr>
              <w:autoSpaceDE w:val="0"/>
              <w:autoSpaceDN w:val="0"/>
              <w:adjustRightInd w:val="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评审办法</w:t>
            </w:r>
          </w:p>
        </w:tc>
        <w:tc>
          <w:tcPr>
            <w:tcW w:w="6237" w:type="dxa"/>
            <w:vAlign w:val="center"/>
          </w:tcPr>
          <w:p>
            <w:pPr>
              <w:pStyle w:val="90"/>
              <w:spacing w:line="288" w:lineRule="auto"/>
              <w:ind w:firstLine="240" w:firstLineChars="100"/>
              <w:jc w:val="both"/>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trPr>
        <w:tc>
          <w:tcPr>
            <w:tcW w:w="710" w:type="dxa"/>
            <w:vAlign w:val="center"/>
          </w:tcPr>
          <w:p>
            <w:pPr>
              <w:pStyle w:val="90"/>
              <w:spacing w:line="288" w:lineRule="auto"/>
              <w:jc w:val="center"/>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5</w:t>
            </w:r>
          </w:p>
        </w:tc>
        <w:tc>
          <w:tcPr>
            <w:tcW w:w="2410" w:type="dxa"/>
            <w:vAlign w:val="center"/>
          </w:tcPr>
          <w:p>
            <w:pPr>
              <w:autoSpaceDE w:val="0"/>
              <w:autoSpaceDN w:val="0"/>
              <w:adjustRightInd w:val="0"/>
              <w:spacing w:line="40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低于成本价不正当竞争预防措施</w:t>
            </w:r>
          </w:p>
          <w:p>
            <w:pPr>
              <w:autoSpaceDE w:val="0"/>
              <w:autoSpaceDN w:val="0"/>
              <w:adjustRightInd w:val="0"/>
              <w:spacing w:line="400" w:lineRule="exact"/>
              <w:jc w:val="center"/>
              <w:rPr>
                <w:rFonts w:hAnsi="宋体" w:cs="宋体"/>
                <w:b/>
                <w:color w:val="000000" w:themeColor="text1"/>
                <w:lang w:val="zh-CN"/>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(实质性要求)</w:t>
            </w:r>
          </w:p>
        </w:tc>
        <w:tc>
          <w:tcPr>
            <w:tcW w:w="6237" w:type="dxa"/>
            <w:vAlign w:val="center"/>
          </w:tcPr>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供应商在参加政府采购活动过程中，不得无偿或以低于所提供的货物、工程、服务的成本价格报价，磋商小组认为供应商的报价明显低于其他通过符合性审査供应商的报价，有可能影响产品量或者不能诚信履约的，磋商小组应当要求其在评审现场合理的时间内提供书面说明，并提交相关证明材料。</w:t>
            </w:r>
          </w:p>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书面说明及相关证明材料应当按照国家财务会计制度的规定要求，逐项就供应商提供的货物、工程和服务的主营业务成本（应根据供应商企业类型予以区别）、税金及附加、销售费用、管理费用、财务费用等成本构成事项详细陈述。供应商的相关证明材料应当签字确认或者加盖公章，否则无效。关于签字确认，供应商为法人的，由其法定代表人或者代理人签字确认；供应商为其他组织的，由其主要负责人或者代理人签字确认；供应商为自然人的，由其本人或者代理人签字确认。</w:t>
            </w:r>
          </w:p>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供应商提供书面说明及证明材料后，磋商小组应当结合采购项目采购需求、专业实际情况、供应商财务状况报告、与其他供应商比较情况等就供应商书面说明进行审查评价。供应商拒绝或者变相拒绝（含未在约定的时间内提供书面说明及相关证明材料）或者相关证明材料不能证明其报价合理性的，磋商小组应当将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pStyle w:val="90"/>
              <w:spacing w:line="288" w:lineRule="auto"/>
              <w:jc w:val="center"/>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6</w:t>
            </w:r>
          </w:p>
        </w:tc>
        <w:tc>
          <w:tcPr>
            <w:tcW w:w="2410" w:type="dxa"/>
            <w:vAlign w:val="center"/>
          </w:tcPr>
          <w:p>
            <w:pPr>
              <w:autoSpaceDE w:val="0"/>
              <w:autoSpaceDN w:val="0"/>
              <w:adjustRightInd w:val="0"/>
              <w:spacing w:line="400" w:lineRule="exact"/>
              <w:jc w:val="center"/>
              <w:rPr>
                <w:rFonts w:hAnsi="宋体" w:cs="宋体"/>
                <w:b/>
                <w:color w:val="000000" w:themeColor="text1"/>
                <w:lang w:val="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小微企业（监狱企业、残疾人福利性单位视同小微企业）价格扣除</w:t>
            </w:r>
          </w:p>
        </w:tc>
        <w:tc>
          <w:tcPr>
            <w:tcW w:w="6237" w:type="dxa"/>
            <w:vAlign w:val="center"/>
          </w:tcPr>
          <w:p>
            <w:pPr>
              <w:autoSpaceDE w:val="0"/>
              <w:autoSpaceDN w:val="0"/>
              <w:adjustRightInd w:val="0"/>
              <w:spacing w:line="360" w:lineRule="auto"/>
              <w:ind w:firstLine="120" w:firstLineChars="5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一、小微企业（监狱企业、残疾人福利性单位视同小微企业）价格扣除</w:t>
            </w:r>
          </w:p>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1.</w:t>
            </w:r>
            <w:r>
              <w:rPr>
                <w:rFonts w:hint="eastAsia" w:hAnsi="宋体" w:cs="宋体"/>
                <w:color w:val="000000" w:themeColor="text1"/>
                <w:sz w:val="24"/>
                <w:szCs w:val="24"/>
                <w14:textFill>
                  <w14:solidFill>
                    <w14:schemeClr w14:val="tx1"/>
                  </w14:solidFill>
                </w14:textFill>
              </w:rPr>
              <w:t>根据《政府采购促进中小企业发展管理办法》的规定，对小型和微型企业产品的价格给予</w:t>
            </w:r>
            <w:r>
              <w:rPr>
                <w:rFonts w:hAnsi="宋体" w:cs="宋体"/>
                <w:color w:val="000000" w:themeColor="text1"/>
                <w:sz w:val="24"/>
                <w:szCs w:val="24"/>
                <w14:textFill>
                  <w14:solidFill>
                    <w14:schemeClr w14:val="tx1"/>
                  </w14:solidFill>
                </w14:textFill>
              </w:rPr>
              <w:t>10%</w:t>
            </w:r>
            <w:r>
              <w:rPr>
                <w:rFonts w:hint="eastAsia" w:hAnsi="宋体" w:cs="宋体"/>
                <w:color w:val="000000" w:themeColor="text1"/>
                <w:sz w:val="24"/>
                <w:szCs w:val="24"/>
                <w14:textFill>
                  <w14:solidFill>
                    <w14:schemeClr w14:val="tx1"/>
                  </w14:solidFill>
                </w14:textFill>
              </w:rPr>
              <w:t>的价格扣除，用扣除后的价格参与评审。</w:t>
            </w:r>
          </w:p>
          <w:p>
            <w:pPr>
              <w:pStyle w:val="2"/>
              <w:rPr>
                <w:rFonts w:hint="eastAsia" w:eastAsia="宋体"/>
                <w:color w:val="000000" w:themeColor="text1"/>
                <w:lang w:eastAsia="zh-CN"/>
                <w14:textFill>
                  <w14:solidFill>
                    <w14:schemeClr w14:val="tx1"/>
                  </w14:solidFill>
                </w14:textFill>
              </w:rPr>
            </w:pPr>
            <w:r>
              <w:rPr>
                <w:rFonts w:hint="eastAsia" w:hAnsi="宋体" w:cs="宋体"/>
                <w:color w:val="000000" w:themeColor="text1"/>
                <w14:textFill>
                  <w14:solidFill>
                    <w14:schemeClr w14:val="tx1"/>
                  </w14:solidFill>
                </w14:textFill>
              </w:rPr>
              <w:t>注：本项目不</w:t>
            </w:r>
            <w:r>
              <w:rPr>
                <w:rFonts w:hint="eastAsia" w:hAnsi="宋体" w:cs="宋体"/>
                <w:color w:val="000000" w:themeColor="text1"/>
                <w:lang w:eastAsia="zh-CN"/>
                <w14:textFill>
                  <w14:solidFill>
                    <w14:schemeClr w14:val="tx1"/>
                  </w14:solidFill>
                </w14:textFill>
              </w:rPr>
              <w:t>进行价格扣除。</w:t>
            </w:r>
          </w:p>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2.</w:t>
            </w:r>
            <w:r>
              <w:rPr>
                <w:rFonts w:hint="eastAsia" w:hAnsi="宋体" w:cs="宋体"/>
                <w:color w:val="000000" w:themeColor="text1"/>
                <w:sz w:val="24"/>
                <w:szCs w:val="24"/>
                <w14:textFill>
                  <w14:solidFill>
                    <w14:schemeClr w14:val="tx1"/>
                  </w14:solidFill>
                </w14:textFill>
              </w:rPr>
              <w:t>参加政府采购活动的中小企业应当提供《中小企业声明函》（格式详见第八章 响应文件格式《中小企业声明函》） 原件。监狱企业应当提供《监狱企业证明》（格式详见第八章 响应文件格式《监狱企业证明材料》）原件。残疾人福利性单位应当提供《残疾人福利性单位声明函》（格式详见第八章 响应文件格式《残疾人福利性单位声明函》）原件。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pStyle w:val="90"/>
              <w:spacing w:line="288"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2410" w:type="dxa"/>
            <w:vAlign w:val="center"/>
          </w:tcPr>
          <w:p>
            <w:pPr>
              <w:autoSpaceDE w:val="0"/>
              <w:autoSpaceDN w:val="0"/>
              <w:adjustRightInd w:val="0"/>
              <w:spacing w:line="360" w:lineRule="auto"/>
              <w:ind w:firstLine="240" w:firstLineChars="10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进口产品</w:t>
            </w:r>
          </w:p>
        </w:tc>
        <w:tc>
          <w:tcPr>
            <w:tcW w:w="6237" w:type="dxa"/>
            <w:vAlign w:val="center"/>
          </w:tcPr>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本项目为服务类采购项目，不涉及进口产品采购。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10" w:type="dxa"/>
            <w:vAlign w:val="center"/>
          </w:tcPr>
          <w:p>
            <w:pPr>
              <w:pStyle w:val="90"/>
              <w:spacing w:line="288"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2410" w:type="dxa"/>
            <w:vAlign w:val="center"/>
          </w:tcPr>
          <w:p>
            <w:pPr>
              <w:autoSpaceDE w:val="0"/>
              <w:autoSpaceDN w:val="0"/>
              <w:adjustRightInd w:val="0"/>
              <w:spacing w:line="360" w:lineRule="auto"/>
              <w:ind w:firstLine="240" w:firstLineChars="100"/>
              <w:jc w:val="center"/>
              <w:rPr>
                <w:rFonts w:hAnsi="宋体" w:cs="宋体"/>
                <w:color w:val="000000" w:themeColor="text1"/>
                <w:sz w:val="24"/>
                <w:szCs w:val="24"/>
                <w14:textFill>
                  <w14:solidFill>
                    <w14:schemeClr w14:val="tx1"/>
                  </w14:solidFill>
                </w14:textFill>
              </w:rPr>
            </w:pPr>
            <w:r>
              <w:rPr>
                <w:rFonts w:hint="eastAsia" w:ascii="宋体" w:hAnsi="宋体" w:eastAsia="宋体" w:cs="宋体"/>
                <w:bCs/>
                <w:color w:val="auto"/>
                <w:sz w:val="24"/>
                <w:szCs w:val="24"/>
                <w:highlight w:val="none"/>
              </w:rPr>
              <w:t>节能、环保及无线局域网产品政府采购政策</w:t>
            </w:r>
          </w:p>
        </w:tc>
        <w:tc>
          <w:tcPr>
            <w:tcW w:w="6237" w:type="dxa"/>
            <w:vAlign w:val="center"/>
          </w:tcPr>
          <w:p>
            <w:pPr>
              <w:tabs>
                <w:tab w:val="left" w:pos="7665"/>
              </w:tabs>
              <w:snapToGrid w:val="0"/>
              <w:spacing w:line="288" w:lineRule="auto"/>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一、节能、环保产品政府采购政策：</w:t>
            </w:r>
          </w:p>
          <w:p>
            <w:pPr>
              <w:tabs>
                <w:tab w:val="left" w:pos="7665"/>
              </w:tabs>
              <w:snapToGrid w:val="0"/>
              <w:spacing w:line="288" w:lineRule="auto"/>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1、根据《财政部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tabs>
                <w:tab w:val="left" w:pos="7665"/>
              </w:tabs>
              <w:snapToGrid w:val="0"/>
              <w:spacing w:line="288" w:lineRule="auto"/>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2、本项目采购的产品属于品目清单强制采购范围的，供应商应按上述要求提供产品认证证书复印件并加盖供应商单位公章（鲜章），否则</w:t>
            </w:r>
            <w:r>
              <w:rPr>
                <w:rFonts w:hint="eastAsia" w:ascii="宋体" w:hAnsi="宋体" w:eastAsia="宋体" w:cs="宋体"/>
                <w:bCs/>
                <w:color w:val="auto"/>
                <w:kern w:val="2"/>
                <w:sz w:val="24"/>
                <w:szCs w:val="24"/>
                <w:highlight w:val="none"/>
                <w:lang w:val="en-US" w:eastAsia="zh-CN"/>
              </w:rPr>
              <w:t>响应</w:t>
            </w:r>
            <w:r>
              <w:rPr>
                <w:rFonts w:hint="eastAsia" w:ascii="宋体" w:hAnsi="宋体" w:eastAsia="宋体" w:cs="宋体"/>
                <w:bCs/>
                <w:color w:val="auto"/>
                <w:kern w:val="2"/>
                <w:sz w:val="24"/>
                <w:szCs w:val="24"/>
                <w:highlight w:val="none"/>
                <w:lang w:val="zh-CN"/>
              </w:rPr>
              <w:t>无效。（实质性要求）</w:t>
            </w:r>
          </w:p>
          <w:p>
            <w:pPr>
              <w:tabs>
                <w:tab w:val="left" w:pos="7665"/>
              </w:tabs>
              <w:snapToGrid w:val="0"/>
              <w:spacing w:line="288" w:lineRule="auto"/>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3、本项目采购的产品属于品目清单优先采购范围的，按照第九章《综合评分明细表》的规则进行加分。</w:t>
            </w:r>
          </w:p>
          <w:p>
            <w:pPr>
              <w:tabs>
                <w:tab w:val="left" w:pos="7665"/>
              </w:tabs>
              <w:snapToGrid w:val="0"/>
              <w:spacing w:line="288" w:lineRule="auto"/>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tabs>
                <w:tab w:val="left" w:pos="7665"/>
              </w:tabs>
              <w:snapToGrid w:val="0"/>
              <w:spacing w:line="288" w:lineRule="auto"/>
              <w:rPr>
                <w:rFonts w:hint="eastAsia" w:ascii="宋体" w:hAnsi="宋体" w:eastAsia="宋体" w:cs="宋体"/>
                <w:bCs/>
                <w:color w:val="auto"/>
                <w:kern w:val="2"/>
                <w:sz w:val="24"/>
                <w:szCs w:val="24"/>
                <w:highlight w:val="none"/>
                <w:lang w:val="zh-CN"/>
              </w:rPr>
            </w:pPr>
            <w:r>
              <w:rPr>
                <w:rFonts w:hint="eastAsia" w:ascii="宋体" w:hAnsi="宋体" w:eastAsia="宋体" w:cs="宋体"/>
                <w:bCs/>
                <w:color w:val="auto"/>
                <w:kern w:val="2"/>
                <w:sz w:val="24"/>
                <w:szCs w:val="24"/>
                <w:highlight w:val="none"/>
                <w:lang w:val="zh-CN"/>
              </w:rPr>
              <w:t>二、无线局域网产品政府采购政策</w:t>
            </w:r>
          </w:p>
          <w:p>
            <w:pPr>
              <w:tabs>
                <w:tab w:val="left" w:pos="7665"/>
              </w:tabs>
              <w:snapToGrid w:val="0"/>
              <w:spacing w:line="288" w:lineRule="auto"/>
              <w:rPr>
                <w:rFonts w:hAnsi="宋体" w:cs="宋体"/>
                <w:color w:val="000000" w:themeColor="text1"/>
                <w:sz w:val="24"/>
                <w:szCs w:val="24"/>
                <w14:textFill>
                  <w14:solidFill>
                    <w14:schemeClr w14:val="tx1"/>
                  </w14:solidFill>
                </w14:textFill>
              </w:rPr>
            </w:pPr>
            <w:r>
              <w:rPr>
                <w:rFonts w:hint="eastAsia" w:ascii="宋体" w:hAnsi="宋体" w:eastAsia="宋体" w:cs="宋体"/>
                <w:bCs/>
                <w:color w:val="auto"/>
                <w:kern w:val="2"/>
                <w:sz w:val="24"/>
                <w:szCs w:val="24"/>
                <w:highlight w:val="none"/>
                <w:lang w:val="zh-CN"/>
              </w:rPr>
              <w:t>本项目采购的产品属于中国政府采购网公布的《无线局域网认证产品政府采购清单》的，将按照第九章《综合评分明细表》的规则进行加分。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10" w:type="dxa"/>
            <w:vAlign w:val="center"/>
          </w:tcPr>
          <w:p>
            <w:pPr>
              <w:autoSpaceDE w:val="0"/>
              <w:autoSpaceDN w:val="0"/>
              <w:adjustRightInd w:val="0"/>
              <w:spacing w:line="360" w:lineRule="auto"/>
              <w:jc w:val="center"/>
              <w:rPr>
                <w:color w:val="000000" w:themeColor="text1"/>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9</w:t>
            </w:r>
          </w:p>
        </w:tc>
        <w:tc>
          <w:tcPr>
            <w:tcW w:w="2410" w:type="dxa"/>
            <w:vAlign w:val="center"/>
          </w:tcPr>
          <w:p>
            <w:pPr>
              <w:pStyle w:val="90"/>
              <w:spacing w:line="312" w:lineRule="auto"/>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政府采购节能、环境标志产品</w:t>
            </w:r>
          </w:p>
          <w:p>
            <w:pPr>
              <w:autoSpaceDE w:val="0"/>
              <w:autoSpaceDN w:val="0"/>
              <w:adjustRightInd w:val="0"/>
              <w:spacing w:line="360" w:lineRule="auto"/>
              <w:ind w:firstLine="340" w:firstLineChars="100"/>
              <w:jc w:val="left"/>
              <w:rPr>
                <w:color w:val="000000" w:themeColor="text1"/>
                <w14:textFill>
                  <w14:solidFill>
                    <w14:schemeClr w14:val="tx1"/>
                  </w14:solidFill>
                </w14:textFill>
              </w:rPr>
            </w:pPr>
          </w:p>
        </w:tc>
        <w:tc>
          <w:tcPr>
            <w:tcW w:w="6237" w:type="dxa"/>
            <w:vAlign w:val="center"/>
          </w:tcPr>
          <w:p>
            <w:pPr>
              <w:pStyle w:val="90"/>
              <w:spacing w:line="312" w:lineRule="auto"/>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1、节能、环境标志和无线局域网产品</w:t>
            </w:r>
          </w:p>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int="eastAsia" w:ascii="宋体" w:hAnsi="宋体" w:eastAsia="宋体" w:cs="宋体"/>
                <w:color w:val="auto"/>
                <w:sz w:val="24"/>
                <w:szCs w:val="24"/>
                <w:highlight w:val="none"/>
                <w:lang w:val="zh-CN" w:eastAsia="zh-CN"/>
              </w:rPr>
              <w:t>根据《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的文件规定，对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10" w:type="dxa"/>
            <w:vAlign w:val="center"/>
          </w:tcPr>
          <w:p>
            <w:pPr>
              <w:autoSpaceDE w:val="0"/>
              <w:autoSpaceDN w:val="0"/>
              <w:adjustRightInd w:val="0"/>
              <w:spacing w:line="360" w:lineRule="auto"/>
              <w:jc w:val="center"/>
              <w:rPr>
                <w:rFonts w:hint="default" w:hAnsi="宋体" w:eastAsia="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10</w:t>
            </w:r>
          </w:p>
        </w:tc>
        <w:tc>
          <w:tcPr>
            <w:tcW w:w="2410" w:type="dxa"/>
            <w:vAlign w:val="center"/>
          </w:tcPr>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磋商保证金</w:t>
            </w:r>
          </w:p>
        </w:tc>
        <w:tc>
          <w:tcPr>
            <w:tcW w:w="6237" w:type="dxa"/>
            <w:vAlign w:val="center"/>
          </w:tcPr>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本项目不收取磋商保证金。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10" w:type="dxa"/>
            <w:vAlign w:val="center"/>
          </w:tcPr>
          <w:p>
            <w:pPr>
              <w:autoSpaceDE w:val="0"/>
              <w:autoSpaceDN w:val="0"/>
              <w:adjustRightInd w:val="0"/>
              <w:spacing w:line="360" w:lineRule="auto"/>
              <w:jc w:val="center"/>
              <w:rPr>
                <w:rFonts w:hint="eastAsia" w:hAnsi="宋体" w:eastAsia="宋体" w:cs="宋体"/>
                <w:color w:val="auto"/>
                <w:sz w:val="24"/>
                <w:szCs w:val="24"/>
                <w:lang w:eastAsia="zh-CN"/>
              </w:rPr>
            </w:pPr>
            <w:r>
              <w:rPr>
                <w:rFonts w:hint="eastAsia" w:hAnsi="宋体" w:cs="宋体"/>
                <w:color w:val="auto"/>
                <w:sz w:val="24"/>
                <w:szCs w:val="24"/>
              </w:rPr>
              <w:t>1</w:t>
            </w:r>
            <w:r>
              <w:rPr>
                <w:rFonts w:hint="eastAsia" w:hAnsi="宋体" w:cs="宋体"/>
                <w:color w:val="auto"/>
                <w:sz w:val="24"/>
                <w:szCs w:val="24"/>
                <w:lang w:val="en-US" w:eastAsia="zh-CN"/>
              </w:rPr>
              <w:t>1</w:t>
            </w:r>
          </w:p>
        </w:tc>
        <w:tc>
          <w:tcPr>
            <w:tcW w:w="2410" w:type="dxa"/>
            <w:vAlign w:val="center"/>
          </w:tcPr>
          <w:p>
            <w:pPr>
              <w:autoSpaceDE w:val="0"/>
              <w:autoSpaceDN w:val="0"/>
              <w:adjustRightInd w:val="0"/>
              <w:spacing w:line="360" w:lineRule="auto"/>
              <w:ind w:firstLine="240" w:firstLineChars="100"/>
              <w:jc w:val="left"/>
              <w:rPr>
                <w:rFonts w:hAnsi="宋体" w:cs="宋体"/>
                <w:color w:val="auto"/>
                <w:sz w:val="24"/>
                <w:szCs w:val="24"/>
              </w:rPr>
            </w:pPr>
            <w:r>
              <w:rPr>
                <w:rFonts w:hint="eastAsia" w:hAnsi="宋体" w:cs="宋体"/>
                <w:color w:val="auto"/>
                <w:sz w:val="24"/>
                <w:szCs w:val="24"/>
              </w:rPr>
              <w:t>履约保证金</w:t>
            </w:r>
          </w:p>
        </w:tc>
        <w:tc>
          <w:tcPr>
            <w:tcW w:w="6237" w:type="dxa"/>
            <w:vAlign w:val="center"/>
          </w:tcPr>
          <w:p>
            <w:pPr>
              <w:autoSpaceDE w:val="0"/>
              <w:autoSpaceDN w:val="0"/>
              <w:adjustRightInd w:val="0"/>
              <w:spacing w:line="360" w:lineRule="auto"/>
              <w:ind w:firstLine="240" w:firstLineChars="100"/>
              <w:jc w:val="left"/>
              <w:rPr>
                <w:rFonts w:hint="eastAsia" w:hAnsi="宋体" w:eastAsia="宋体" w:cs="宋体"/>
                <w:color w:val="auto"/>
                <w:sz w:val="24"/>
                <w:szCs w:val="24"/>
                <w:lang w:val="en-US" w:eastAsia="zh-CN"/>
              </w:rPr>
            </w:pPr>
            <w:r>
              <w:rPr>
                <w:rFonts w:hint="eastAsia" w:hAnsi="宋体" w:eastAsia="宋体" w:cs="宋体"/>
                <w:color w:val="auto"/>
                <w:sz w:val="24"/>
                <w:szCs w:val="24"/>
                <w:lang w:val="en-US" w:eastAsia="zh-CN"/>
              </w:rPr>
              <w:t>履约保证金金额：合同金额的</w:t>
            </w:r>
            <w:r>
              <w:rPr>
                <w:rFonts w:hint="eastAsia" w:hAnsi="宋体" w:cs="宋体"/>
                <w:color w:val="auto"/>
                <w:sz w:val="24"/>
                <w:szCs w:val="24"/>
                <w:lang w:val="en-US" w:eastAsia="zh-CN"/>
              </w:rPr>
              <w:t>10</w:t>
            </w:r>
            <w:r>
              <w:rPr>
                <w:rFonts w:hint="eastAsia" w:hAnsi="宋体" w:eastAsia="宋体" w:cs="宋体"/>
                <w:color w:val="auto"/>
                <w:sz w:val="24"/>
                <w:szCs w:val="24"/>
                <w:lang w:val="en-US" w:eastAsia="zh-CN"/>
              </w:rPr>
              <w:t>%；交付方式：银行电汇、转账或金融机构、担保机构出具的保函等非现金形式；收款单位：大邑县</w:t>
            </w:r>
            <w:r>
              <w:rPr>
                <w:rFonts w:hint="eastAsia" w:hAnsi="宋体" w:cs="宋体"/>
                <w:color w:val="auto"/>
                <w:sz w:val="24"/>
                <w:szCs w:val="24"/>
                <w:lang w:val="en-US" w:eastAsia="zh-CN"/>
              </w:rPr>
              <w:t>监察委员会</w:t>
            </w:r>
            <w:r>
              <w:rPr>
                <w:rFonts w:hint="eastAsia" w:hAnsi="宋体" w:eastAsia="宋体" w:cs="宋体"/>
                <w:color w:val="auto"/>
                <w:sz w:val="24"/>
                <w:szCs w:val="24"/>
                <w:lang w:val="en-US" w:eastAsia="zh-CN"/>
              </w:rPr>
              <w:t>； 交款时间：成交通知书发出后，政府采购合同签订前。 退还时间：项目履约验收完成后，</w:t>
            </w:r>
            <w:r>
              <w:rPr>
                <w:rFonts w:hint="eastAsia" w:hAnsi="宋体" w:cs="宋体"/>
                <w:color w:val="auto"/>
                <w:sz w:val="24"/>
                <w:szCs w:val="24"/>
                <w:lang w:val="en-US" w:eastAsia="zh-CN"/>
              </w:rPr>
              <w:t>15</w:t>
            </w:r>
            <w:r>
              <w:rPr>
                <w:rFonts w:hint="eastAsia" w:hAnsi="宋体" w:eastAsia="宋体" w:cs="宋体"/>
                <w:color w:val="auto"/>
                <w:sz w:val="24"/>
                <w:szCs w:val="24"/>
                <w:lang w:val="en-US" w:eastAsia="zh-CN"/>
              </w:rPr>
              <w:t>个工作日内予以退还。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10" w:type="dxa"/>
            <w:vAlign w:val="center"/>
          </w:tcPr>
          <w:p>
            <w:pPr>
              <w:autoSpaceDE w:val="0"/>
              <w:autoSpaceDN w:val="0"/>
              <w:adjustRightInd w:val="0"/>
              <w:spacing w:line="360" w:lineRule="auto"/>
              <w:jc w:val="center"/>
              <w:rPr>
                <w:rFonts w:hint="eastAsia" w:hAnsi="宋体" w:eastAsia="宋体" w:cs="宋体"/>
                <w:color w:val="000000" w:themeColor="text1"/>
                <w:sz w:val="24"/>
                <w:szCs w:val="24"/>
                <w:lang w:eastAsia="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r>
              <w:rPr>
                <w:rFonts w:hint="eastAsia" w:hAnsi="宋体" w:cs="宋体"/>
                <w:color w:val="000000" w:themeColor="text1"/>
                <w:sz w:val="24"/>
                <w:szCs w:val="24"/>
                <w:lang w:val="en-US" w:eastAsia="zh-CN"/>
                <w14:textFill>
                  <w14:solidFill>
                    <w14:schemeClr w14:val="tx1"/>
                  </w14:solidFill>
                </w14:textFill>
              </w:rPr>
              <w:t>2</w:t>
            </w:r>
          </w:p>
        </w:tc>
        <w:tc>
          <w:tcPr>
            <w:tcW w:w="2410" w:type="dxa"/>
            <w:vAlign w:val="center"/>
          </w:tcPr>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供应商询问</w:t>
            </w:r>
          </w:p>
        </w:tc>
        <w:tc>
          <w:tcPr>
            <w:tcW w:w="6237" w:type="dxa"/>
            <w:vAlign w:val="center"/>
          </w:tcPr>
          <w:p>
            <w:pPr>
              <w:spacing w:line="400" w:lineRule="exact"/>
              <w:ind w:firstLine="240" w:firstLineChars="1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根据委托代理协议约定，供应商询问由采购代理机构进行答复。</w:t>
            </w:r>
          </w:p>
          <w:p>
            <w:pPr>
              <w:spacing w:line="400" w:lineRule="exact"/>
              <w:ind w:firstLine="240" w:firstLineChars="1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询问内容不得涉及评审秘密、国家机密和商业秘密等保密内容。</w:t>
            </w:r>
          </w:p>
          <w:p>
            <w:pPr>
              <w:spacing w:line="400" w:lineRule="exact"/>
              <w:ind w:firstLine="240" w:firstLineChars="1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询问方式：询问人可以采用书面或口头或电子邮件等方式向采购代理机构提出；询问必须提供询问人基本信息</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包含具体询问内容、询问人名称或姓名、联系人及联系电话、电子邮箱等</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w:t>
            </w:r>
          </w:p>
          <w:p>
            <w:pPr>
              <w:spacing w:line="400" w:lineRule="exact"/>
              <w:ind w:firstLine="240" w:firstLineChars="1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联系人：刘女士。</w:t>
            </w:r>
          </w:p>
          <w:p>
            <w:pPr>
              <w:spacing w:line="400" w:lineRule="exact"/>
              <w:ind w:firstLine="240" w:firstLineChars="1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联系电话：</w:t>
            </w:r>
            <w:r>
              <w:rPr>
                <w:rFonts w:hint="eastAsia" w:hAnsi="宋体" w:cs="宋体"/>
                <w:bCs/>
                <w:color w:val="000000" w:themeColor="text1"/>
                <w:sz w:val="24"/>
                <w:szCs w:val="24"/>
                <w14:textFill>
                  <w14:solidFill>
                    <w14:schemeClr w14:val="tx1"/>
                  </w14:solidFill>
                </w14:textFill>
              </w:rPr>
              <w:t>028-88274419</w:t>
            </w:r>
            <w:r>
              <w:rPr>
                <w:rFonts w:hint="eastAsia" w:hAnsi="宋体"/>
                <w:color w:val="000000" w:themeColor="text1"/>
                <w:sz w:val="24"/>
                <w:szCs w:val="24"/>
                <w14:textFill>
                  <w14:solidFill>
                    <w14:schemeClr w14:val="tx1"/>
                  </w14:solidFill>
                </w14:textFill>
              </w:rPr>
              <w:t>。</w:t>
            </w:r>
          </w:p>
          <w:p>
            <w:pPr>
              <w:spacing w:line="400" w:lineRule="exact"/>
              <w:ind w:firstLine="240" w:firstLineChars="1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联系地址：</w:t>
            </w:r>
            <w:r>
              <w:rPr>
                <w:rFonts w:hint="eastAsia" w:hAnsi="宋体" w:cs="宋体"/>
                <w:bCs/>
                <w:color w:val="000000" w:themeColor="text1"/>
                <w:sz w:val="24"/>
                <w:szCs w:val="24"/>
                <w14:textFill>
                  <w14:solidFill>
                    <w14:schemeClr w14:val="tx1"/>
                  </w14:solidFill>
                </w14:textFill>
              </w:rPr>
              <w:t>成都市大邑县晋原镇邑新大道214号1栋2楼</w:t>
            </w:r>
            <w:r>
              <w:rPr>
                <w:rFonts w:hint="eastAsia" w:hAnsi="宋体"/>
                <w:color w:val="000000" w:themeColor="text1"/>
                <w:sz w:val="24"/>
                <w:szCs w:val="24"/>
                <w14:textFill>
                  <w14:solidFill>
                    <w14:schemeClr w14:val="tx1"/>
                  </w14:solidFill>
                </w14:textFill>
              </w:rPr>
              <w:t>。</w:t>
            </w:r>
          </w:p>
          <w:p>
            <w:pPr>
              <w:spacing w:line="400" w:lineRule="exact"/>
              <w:ind w:firstLine="240" w:firstLineChars="1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询问提出的范围及主体：</w:t>
            </w:r>
          </w:p>
          <w:p>
            <w:pPr>
              <w:spacing w:line="400" w:lineRule="exact"/>
              <w:ind w:firstLine="240" w:firstLineChars="1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①磋商文件及采购信息公告环节：依法获取磋商文件的潜在供应商可以对磋商文件及采购信息公告的内容向采购人或采购代理机构提出询问，仅对采购信息公告内容提出询问的，不限制询问主体。</w:t>
            </w:r>
          </w:p>
          <w:p>
            <w:pPr>
              <w:spacing w:line="400" w:lineRule="exact"/>
              <w:ind w:firstLine="240" w:firstLineChars="1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②采购过程、采购结果环节：参与采购活动的供应商可以对采购过程、采购结果相关问题向采购代理机构提出询问，未参与采购活动的供应商不得对此环节提出询问。</w:t>
            </w:r>
          </w:p>
          <w:p>
            <w:pPr>
              <w:spacing w:line="400" w:lineRule="exact"/>
              <w:ind w:firstLine="240" w:firstLineChars="1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③询问提出的时间原则上以政府采购活动中有效质疑的时间计算为准。</w:t>
            </w:r>
          </w:p>
          <w:p>
            <w:pPr>
              <w:spacing w:line="400" w:lineRule="exact"/>
              <w:ind w:firstLine="240" w:firstLineChars="1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为提高采购效率，降低社会成本，鼓励询问主体对于不损害国家及社会利益或自身合法权益的问题或情形采用询问方式处理解决</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包含但不限于文字错误、标点符号、不影响响应文件的编制的情形</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w:t>
            </w:r>
          </w:p>
          <w:p>
            <w:pPr>
              <w:autoSpaceDE w:val="0"/>
              <w:autoSpaceDN w:val="0"/>
              <w:adjustRightInd w:val="0"/>
              <w:spacing w:line="400" w:lineRule="exact"/>
              <w:ind w:firstLine="240" w:firstLineChars="100"/>
              <w:jc w:val="left"/>
              <w:rPr>
                <w:color w:val="000000" w:themeColor="text1"/>
                <w14:textFill>
                  <w14:solidFill>
                    <w14:schemeClr w14:val="tx1"/>
                  </w14:solidFill>
                </w14:textFill>
              </w:rPr>
            </w:pPr>
            <w:r>
              <w:rPr>
                <w:rFonts w:hAnsi="宋体"/>
                <w:color w:val="000000" w:themeColor="text1"/>
                <w:sz w:val="24"/>
                <w:szCs w:val="24"/>
                <w14:textFill>
                  <w14:solidFill>
                    <w14:schemeClr w14:val="tx1"/>
                  </w14:solidFill>
                </w14:textFill>
              </w:rPr>
              <w:t>6.</w:t>
            </w:r>
            <w:r>
              <w:rPr>
                <w:rFonts w:hint="eastAsia" w:hAnsi="宋体"/>
                <w:color w:val="000000" w:themeColor="text1"/>
                <w:sz w:val="24"/>
                <w:szCs w:val="24"/>
                <w14:textFill>
                  <w14:solidFill>
                    <w14:schemeClr w14:val="tx1"/>
                  </w14:solidFill>
                </w14:textFill>
              </w:rPr>
              <w:t>为降低时间成本，减少不必要的干扰，采购人或采购代理机构可以不接受未按照约定时间提出的询问。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10" w:type="dxa"/>
            <w:vAlign w:val="center"/>
          </w:tcPr>
          <w:p>
            <w:pPr>
              <w:autoSpaceDE w:val="0"/>
              <w:autoSpaceDN w:val="0"/>
              <w:adjustRightInd w:val="0"/>
              <w:spacing w:line="360" w:lineRule="auto"/>
              <w:jc w:val="center"/>
              <w:rPr>
                <w:rFonts w:hint="eastAsia" w:hAnsi="宋体" w:eastAsia="宋体" w:cs="宋体"/>
                <w:color w:val="000000" w:themeColor="text1"/>
                <w:sz w:val="24"/>
                <w:szCs w:val="24"/>
                <w:lang w:eastAsia="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r>
              <w:rPr>
                <w:rFonts w:hint="eastAsia" w:hAnsi="宋体" w:cs="宋体"/>
                <w:color w:val="000000" w:themeColor="text1"/>
                <w:sz w:val="24"/>
                <w:szCs w:val="24"/>
                <w:lang w:val="en-US" w:eastAsia="zh-CN"/>
                <w14:textFill>
                  <w14:solidFill>
                    <w14:schemeClr w14:val="tx1"/>
                  </w14:solidFill>
                </w14:textFill>
              </w:rPr>
              <w:t>3</w:t>
            </w:r>
          </w:p>
        </w:tc>
        <w:tc>
          <w:tcPr>
            <w:tcW w:w="2410" w:type="dxa"/>
            <w:vAlign w:val="center"/>
          </w:tcPr>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zh-CN"/>
                <w14:textFill>
                  <w14:solidFill>
                    <w14:schemeClr w14:val="tx1"/>
                  </w14:solidFill>
                </w14:textFill>
              </w:rPr>
              <w:t>供应商质疑</w:t>
            </w:r>
          </w:p>
        </w:tc>
        <w:tc>
          <w:tcPr>
            <w:tcW w:w="6237" w:type="dxa"/>
            <w:vAlign w:val="center"/>
          </w:tcPr>
          <w:p>
            <w:pPr>
              <w:spacing w:line="400" w:lineRule="exact"/>
              <w:ind w:firstLine="240" w:firstLineChars="1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根据委托代理协议约定，对于磋商文件</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磋商文件技术条款和除政府采购法第二十二条之外的其他资格条件、专业商务要求</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的质疑由采购人负责答复；对于采购过程或采购结果由采购代理机构负责答复。</w:t>
            </w:r>
          </w:p>
          <w:p>
            <w:pPr>
              <w:spacing w:line="400" w:lineRule="exact"/>
              <w:ind w:firstLine="240" w:firstLineChars="1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供应商提出质疑应当坚持依法依规、诚实信用原则；不得超出磋商文件、采购过程、采购结果的范围，不得进行虚假、恶意质疑，不得以质疑为手段获取不当得利、实现非法目的。</w:t>
            </w:r>
          </w:p>
          <w:p>
            <w:pPr>
              <w:spacing w:line="400" w:lineRule="exact"/>
              <w:ind w:firstLine="240" w:firstLineChars="1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提出质疑函的时限要求：供应商认为磋商文件、采购过程、中标或者成交结果使自己的权益受到损害的，可以在知道或者应知其权益受到损害之日起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个工作日内，以书面形式向采购人、采购代理机构提出质疑。</w:t>
            </w:r>
          </w:p>
          <w:p>
            <w:pPr>
              <w:spacing w:line="400" w:lineRule="exact"/>
              <w:ind w:firstLine="240" w:firstLineChars="1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接收质疑函的方式：供应商在法定时间内以书面形式现场、邮寄或快递提交质疑函</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个工作日内未收到质疑答复的，可主动电话询问我公司相关事宜</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w:t>
            </w:r>
          </w:p>
          <w:p>
            <w:pPr>
              <w:spacing w:line="400" w:lineRule="exact"/>
              <w:ind w:firstLine="240" w:firstLineChars="1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联系人：刘女士。</w:t>
            </w:r>
          </w:p>
          <w:p>
            <w:pPr>
              <w:spacing w:line="400" w:lineRule="exact"/>
              <w:ind w:firstLine="240" w:firstLineChars="1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联系电话：</w:t>
            </w:r>
            <w:r>
              <w:rPr>
                <w:rFonts w:hint="eastAsia" w:hAnsi="宋体" w:cs="宋体"/>
                <w:bCs/>
                <w:color w:val="000000" w:themeColor="text1"/>
                <w:sz w:val="24"/>
                <w:szCs w:val="24"/>
                <w14:textFill>
                  <w14:solidFill>
                    <w14:schemeClr w14:val="tx1"/>
                  </w14:solidFill>
                </w14:textFill>
              </w:rPr>
              <w:t>028-88274419</w:t>
            </w:r>
            <w:r>
              <w:rPr>
                <w:rFonts w:hint="eastAsia" w:hAnsi="宋体"/>
                <w:color w:val="000000" w:themeColor="text1"/>
                <w:sz w:val="24"/>
                <w:szCs w:val="24"/>
                <w14:textFill>
                  <w14:solidFill>
                    <w14:schemeClr w14:val="tx1"/>
                  </w14:solidFill>
                </w14:textFill>
              </w:rPr>
              <w:t>。</w:t>
            </w:r>
          </w:p>
          <w:p>
            <w:pPr>
              <w:spacing w:line="400" w:lineRule="exact"/>
              <w:ind w:firstLine="240" w:firstLineChars="1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联系地址：</w:t>
            </w:r>
            <w:r>
              <w:rPr>
                <w:rFonts w:hint="eastAsia" w:hAnsi="宋体" w:cs="宋体"/>
                <w:bCs/>
                <w:color w:val="000000" w:themeColor="text1"/>
                <w:sz w:val="24"/>
                <w:szCs w:val="24"/>
                <w14:textFill>
                  <w14:solidFill>
                    <w14:schemeClr w14:val="tx1"/>
                  </w14:solidFill>
                </w14:textFill>
              </w:rPr>
              <w:t>成都市大邑县晋原镇邑新大道214号1栋2楼</w:t>
            </w:r>
            <w:r>
              <w:rPr>
                <w:rFonts w:hint="eastAsia" w:hAnsi="宋体"/>
                <w:color w:val="000000" w:themeColor="text1"/>
                <w:sz w:val="24"/>
                <w:szCs w:val="24"/>
                <w14:textFill>
                  <w14:solidFill>
                    <w14:schemeClr w14:val="tx1"/>
                  </w14:solidFill>
                </w14:textFill>
              </w:rPr>
              <w:t>。</w:t>
            </w:r>
          </w:p>
          <w:p>
            <w:pPr>
              <w:spacing w:line="400" w:lineRule="exact"/>
              <w:ind w:firstLine="240" w:firstLineChars="1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注：①根据《中华人民共和国政府采购法》等法律法规规定，供应商质疑应当有明确的请求和必要的证明材料，须符合《政府采购质疑和投诉办法》</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财政部第</w:t>
            </w:r>
            <w:r>
              <w:rPr>
                <w:rFonts w:hAnsi="宋体"/>
                <w:color w:val="000000" w:themeColor="text1"/>
                <w:sz w:val="24"/>
                <w:szCs w:val="24"/>
                <w14:textFill>
                  <w14:solidFill>
                    <w14:schemeClr w14:val="tx1"/>
                  </w14:solidFill>
                </w14:textFill>
              </w:rPr>
              <w:t>94</w:t>
            </w:r>
            <w:r>
              <w:rPr>
                <w:rFonts w:hint="eastAsia" w:hAnsi="宋体"/>
                <w:color w:val="000000" w:themeColor="text1"/>
                <w:sz w:val="24"/>
                <w:szCs w:val="24"/>
                <w14:textFill>
                  <w14:solidFill>
                    <w14:schemeClr w14:val="tx1"/>
                  </w14:solidFill>
                </w14:textFill>
              </w:rPr>
              <w:t>号令</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规定，并使用财政部下发《质疑函》范本。</w:t>
            </w:r>
          </w:p>
          <w:p>
            <w:pPr>
              <w:spacing w:line="400" w:lineRule="exact"/>
              <w:ind w:firstLine="241" w:firstLineChars="100"/>
              <w:rPr>
                <w:rFonts w:hAnsi="宋体"/>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明确的请求是指：</w:t>
            </w:r>
            <w:r>
              <w:rPr>
                <w:rFonts w:hint="eastAsia" w:hAnsi="宋体"/>
                <w:color w:val="000000" w:themeColor="text1"/>
                <w:sz w:val="24"/>
                <w:szCs w:val="24"/>
                <w14:textFill>
                  <w14:solidFill>
                    <w14:schemeClr w14:val="tx1"/>
                  </w14:solidFill>
                </w14:textFill>
              </w:rPr>
              <w:t>供应商对磋商文件还是对采购过程还是对中标、成交结果提出质疑；想要达到的结果，如成交结果无效、废标、重新组织采购、赔偿、追究法律责任等；</w:t>
            </w:r>
          </w:p>
          <w:p>
            <w:pPr>
              <w:spacing w:line="400" w:lineRule="exact"/>
              <w:ind w:firstLine="241" w:firstLineChars="100"/>
              <w:rPr>
                <w:rFonts w:hAnsi="宋体"/>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必要的证明材料是指：</w:t>
            </w:r>
            <w:r>
              <w:rPr>
                <w:rFonts w:hint="eastAsia" w:hAnsi="宋体"/>
                <w:color w:val="000000" w:themeColor="text1"/>
                <w:sz w:val="24"/>
                <w:szCs w:val="24"/>
                <w14:textFill>
                  <w14:solidFill>
                    <w14:schemeClr w14:val="tx1"/>
                  </w14:solidFill>
                </w14:textFill>
              </w:rPr>
              <w:t>包含供应商的营业执照、授权委托书</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法定代表人质疑时无需提供</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、委托代理人身份证明、参加采购项目的证明、权益受到损害的证明材料、证明提出质疑的事实存在的材料等。如因供应商提出的质疑函不符合《政府采购质疑和投诉办法》</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财政部令第</w:t>
            </w:r>
            <w:r>
              <w:rPr>
                <w:rFonts w:hAnsi="宋体"/>
                <w:color w:val="000000" w:themeColor="text1"/>
                <w:sz w:val="24"/>
                <w:szCs w:val="24"/>
                <w14:textFill>
                  <w14:solidFill>
                    <w14:schemeClr w14:val="tx1"/>
                  </w14:solidFill>
                </w14:textFill>
              </w:rPr>
              <w:t>94</w:t>
            </w:r>
            <w:r>
              <w:rPr>
                <w:rFonts w:hint="eastAsia" w:hAnsi="宋体"/>
                <w:color w:val="000000" w:themeColor="text1"/>
                <w:sz w:val="24"/>
                <w:szCs w:val="24"/>
                <w14:textFill>
                  <w14:solidFill>
                    <w14:schemeClr w14:val="tx1"/>
                  </w14:solidFill>
                </w14:textFill>
              </w:rPr>
              <w:t>号</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第十二条的要求，采购代理机构或采购人将要求供应商在法定质疑期内进行质疑函补正，未进行补正或在法定质疑期内未进行补正的，其所有不利后果由供应商自行承担。</w:t>
            </w:r>
          </w:p>
          <w:p>
            <w:pPr>
              <w:autoSpaceDE w:val="0"/>
              <w:autoSpaceDN w:val="0"/>
              <w:adjustRightInd w:val="0"/>
              <w:spacing w:line="360" w:lineRule="auto"/>
              <w:ind w:firstLine="240" w:firstLineChars="100"/>
              <w:jc w:val="left"/>
              <w:rPr>
                <w:rFonts w:hAnsi="宋体" w:cs="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②供应商应当在法定质疑期内一次性提出针对同一采购程序环节的质疑。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10" w:type="dxa"/>
            <w:vAlign w:val="center"/>
          </w:tcPr>
          <w:p>
            <w:pPr>
              <w:autoSpaceDE w:val="0"/>
              <w:autoSpaceDN w:val="0"/>
              <w:adjustRightInd w:val="0"/>
              <w:spacing w:line="360" w:lineRule="auto"/>
              <w:jc w:val="center"/>
              <w:rPr>
                <w:rFonts w:hint="eastAsia" w:hAnsi="宋体" w:eastAsia="宋体" w:cs="宋体"/>
                <w:color w:val="000000" w:themeColor="text1"/>
                <w:sz w:val="24"/>
                <w:szCs w:val="24"/>
                <w:lang w:eastAsia="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r>
              <w:rPr>
                <w:rFonts w:hint="eastAsia" w:hAnsi="宋体" w:cs="宋体"/>
                <w:color w:val="000000" w:themeColor="text1"/>
                <w:sz w:val="24"/>
                <w:szCs w:val="24"/>
                <w:lang w:val="en-US" w:eastAsia="zh-CN"/>
                <w14:textFill>
                  <w14:solidFill>
                    <w14:schemeClr w14:val="tx1"/>
                  </w14:solidFill>
                </w14:textFill>
              </w:rPr>
              <w:t>4</w:t>
            </w:r>
          </w:p>
        </w:tc>
        <w:tc>
          <w:tcPr>
            <w:tcW w:w="2410" w:type="dxa"/>
            <w:vAlign w:val="center"/>
          </w:tcPr>
          <w:p>
            <w:pPr>
              <w:autoSpaceDE w:val="0"/>
              <w:autoSpaceDN w:val="0"/>
              <w:adjustRightInd w:val="0"/>
              <w:spacing w:line="400" w:lineRule="exact"/>
              <w:jc w:val="center"/>
              <w:rPr>
                <w:rFonts w:hAnsi="宋体" w:cs="宋体"/>
                <w:color w:val="000000" w:themeColor="text1"/>
                <w:sz w:val="24"/>
                <w:szCs w:val="24"/>
                <w:lang w:val="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供应商投诉</w:t>
            </w:r>
          </w:p>
        </w:tc>
        <w:tc>
          <w:tcPr>
            <w:tcW w:w="6237" w:type="dxa"/>
          </w:tcPr>
          <w:p>
            <w:pPr>
              <w:autoSpaceDE w:val="0"/>
              <w:autoSpaceDN w:val="0"/>
              <w:adjustRightInd w:val="0"/>
              <w:spacing w:line="400" w:lineRule="exact"/>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1、投诉受理单位：</w:t>
            </w:r>
            <w:r>
              <w:rPr>
                <w:rFonts w:hint="eastAsia" w:hAnsi="宋体" w:cs="宋体"/>
                <w:color w:val="000000" w:themeColor="text1"/>
                <w:sz w:val="24"/>
                <w:szCs w:val="24"/>
                <w:lang w:val="zh-CN"/>
                <w14:textFill>
                  <w14:solidFill>
                    <w14:schemeClr w14:val="tx1"/>
                  </w14:solidFill>
                </w14:textFill>
              </w:rPr>
              <w:t>本采购项目同级财政部门，即</w:t>
            </w:r>
            <w:r>
              <w:rPr>
                <w:rFonts w:hint="eastAsia" w:hAnsi="宋体" w:cs="宋体"/>
                <w:color w:val="000000" w:themeColor="text1"/>
                <w:sz w:val="24"/>
                <w:szCs w:val="24"/>
                <w14:textFill>
                  <w14:solidFill>
                    <w14:schemeClr w14:val="tx1"/>
                  </w14:solidFill>
                </w14:textFill>
              </w:rPr>
              <w:t>大邑县</w:t>
            </w:r>
            <w:r>
              <w:rPr>
                <w:rFonts w:hint="eastAsia" w:hAnsi="宋体" w:cs="宋体"/>
                <w:color w:val="000000" w:themeColor="text1"/>
                <w:sz w:val="24"/>
                <w:szCs w:val="24"/>
                <w:lang w:val="zh-CN"/>
                <w14:textFill>
                  <w14:solidFill>
                    <w14:schemeClr w14:val="tx1"/>
                  </w14:solidFill>
                </w14:textFill>
              </w:rPr>
              <w:t>财政局。</w:t>
            </w:r>
          </w:p>
          <w:p>
            <w:pPr>
              <w:tabs>
                <w:tab w:val="left" w:pos="7665"/>
              </w:tabs>
              <w:snapToGrid w:val="0"/>
              <w:spacing w:line="288" w:lineRule="auto"/>
              <w:ind w:firstLine="240" w:firstLineChars="100"/>
              <w:rPr>
                <w:rFonts w:hAnsi="宋体" w:cs="宋体"/>
                <w:bCs/>
                <w:color w:val="000000" w:themeColor="text1"/>
                <w:kern w:val="2"/>
                <w:sz w:val="24"/>
                <w:szCs w:val="24"/>
                <w:lang w:val="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2、联系电话：028-88210759。</w:t>
            </w:r>
          </w:p>
          <w:p>
            <w:pPr>
              <w:autoSpaceDE w:val="0"/>
              <w:autoSpaceDN w:val="0"/>
              <w:adjustRightInd w:val="0"/>
              <w:spacing w:line="400" w:lineRule="exact"/>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3、通讯地址：大邑县晋原街道桃源大道66号。</w:t>
            </w:r>
          </w:p>
          <w:p>
            <w:pPr>
              <w:autoSpaceDE w:val="0"/>
              <w:autoSpaceDN w:val="0"/>
              <w:adjustRightInd w:val="0"/>
              <w:spacing w:line="400" w:lineRule="exact"/>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注：供应商投诉应当有明确的请求和必要的证明材料。供应商投诉的事项不得超出已质疑事项的范围，须符合《政府采购质疑和投诉办法》(财政部第94号令)规定，并使用财政部下发《投诉书》范本。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10" w:type="dxa"/>
            <w:vAlign w:val="center"/>
          </w:tcPr>
          <w:p>
            <w:pPr>
              <w:autoSpaceDE w:val="0"/>
              <w:autoSpaceDN w:val="0"/>
              <w:adjustRightInd w:val="0"/>
              <w:spacing w:line="360" w:lineRule="auto"/>
              <w:jc w:val="center"/>
              <w:rPr>
                <w:rFonts w:hint="eastAsia" w:hAnsi="宋体" w:eastAsia="宋体" w:cs="宋体"/>
                <w:color w:val="000000" w:themeColor="text1"/>
                <w:sz w:val="24"/>
                <w:szCs w:val="24"/>
                <w:lang w:eastAsia="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r>
              <w:rPr>
                <w:rFonts w:hint="eastAsia" w:hAnsi="宋体" w:cs="宋体"/>
                <w:color w:val="000000" w:themeColor="text1"/>
                <w:sz w:val="24"/>
                <w:szCs w:val="24"/>
                <w:lang w:val="en-US" w:eastAsia="zh-CN"/>
                <w14:textFill>
                  <w14:solidFill>
                    <w14:schemeClr w14:val="tx1"/>
                  </w14:solidFill>
                </w14:textFill>
              </w:rPr>
              <w:t>5</w:t>
            </w:r>
          </w:p>
        </w:tc>
        <w:tc>
          <w:tcPr>
            <w:tcW w:w="2410" w:type="dxa"/>
            <w:vAlign w:val="center"/>
          </w:tcPr>
          <w:p>
            <w:pPr>
              <w:pStyle w:val="90"/>
              <w:ind w:left="38"/>
              <w:jc w:val="center"/>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磋商情况公告</w:t>
            </w:r>
          </w:p>
        </w:tc>
        <w:tc>
          <w:tcPr>
            <w:tcW w:w="6237" w:type="dxa"/>
            <w:vAlign w:val="center"/>
          </w:tcPr>
          <w:p>
            <w:pPr>
              <w:autoSpaceDE w:val="0"/>
              <w:autoSpaceDN w:val="0"/>
              <w:adjustRightInd w:val="0"/>
              <w:spacing w:line="400" w:lineRule="exact"/>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1.供应商资格审查情况、磋商情况、报价情况、磋商结果等在四川政府采购网上采购结果公告栏中予以公告。</w:t>
            </w:r>
          </w:p>
          <w:p>
            <w:pPr>
              <w:autoSpaceDE w:val="0"/>
              <w:autoSpaceDN w:val="0"/>
              <w:adjustRightInd w:val="0"/>
              <w:spacing w:line="400" w:lineRule="exact"/>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根据《中华人民共和国政府采购法实施条例》第四十三条的规定，公告内容应当包括主要成交标的的名称、规格型号、数量、单价、服务要求以及评审专家名单。供应商需将响应文件中涉及商业秘密和知识产权的内容进行标注和说明，若未进行标注和说明的，视为全部内容均可公布，采购人或者采购代理机构对此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710" w:type="dxa"/>
            <w:vAlign w:val="center"/>
          </w:tcPr>
          <w:p>
            <w:pPr>
              <w:autoSpaceDE w:val="0"/>
              <w:autoSpaceDN w:val="0"/>
              <w:adjustRightInd w:val="0"/>
              <w:spacing w:line="360" w:lineRule="auto"/>
              <w:jc w:val="center"/>
              <w:rPr>
                <w:rFonts w:hint="eastAsia" w:hAnsi="宋体" w:eastAsia="宋体" w:cs="宋体"/>
                <w:color w:val="000000" w:themeColor="text1"/>
                <w:sz w:val="24"/>
                <w:szCs w:val="24"/>
                <w:lang w:eastAsia="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1</w:t>
            </w:r>
            <w:r>
              <w:rPr>
                <w:rFonts w:hint="eastAsia" w:hAnsi="宋体" w:cs="宋体"/>
                <w:color w:val="000000" w:themeColor="text1"/>
                <w:sz w:val="24"/>
                <w:szCs w:val="24"/>
                <w:lang w:val="en-US" w:eastAsia="zh-CN"/>
                <w14:textFill>
                  <w14:solidFill>
                    <w14:schemeClr w14:val="tx1"/>
                  </w14:solidFill>
                </w14:textFill>
              </w:rPr>
              <w:t>6</w:t>
            </w:r>
          </w:p>
        </w:tc>
        <w:tc>
          <w:tcPr>
            <w:tcW w:w="2410" w:type="dxa"/>
            <w:vAlign w:val="center"/>
          </w:tcPr>
          <w:p>
            <w:pPr>
              <w:pStyle w:val="90"/>
              <w:ind w:left="38"/>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采购代理服务费</w:t>
            </w:r>
          </w:p>
        </w:tc>
        <w:tc>
          <w:tcPr>
            <w:tcW w:w="6237" w:type="dxa"/>
            <w:vAlign w:val="center"/>
          </w:tcPr>
          <w:p>
            <w:pPr>
              <w:pStyle w:val="90"/>
              <w:spacing w:line="360" w:lineRule="auto"/>
              <w:ind w:firstLine="240" w:firstLineChars="100"/>
              <w:jc w:val="both"/>
              <w:rPr>
                <w:rFonts w:hAnsi="宋体" w:cs="宋体"/>
                <w:color w:val="auto"/>
                <w:sz w:val="24"/>
                <w:szCs w:val="24"/>
              </w:rPr>
            </w:pPr>
            <w:r>
              <w:rPr>
                <w:rFonts w:hint="eastAsia"/>
                <w:color w:val="auto"/>
              </w:rPr>
              <w:t>1、</w:t>
            </w:r>
            <w:r>
              <w:rPr>
                <w:rFonts w:hint="eastAsia" w:ascii="宋体" w:hAnsi="宋体" w:cs="宋体"/>
                <w:color w:val="auto"/>
                <w:kern w:val="0"/>
                <w:sz w:val="24"/>
              </w:rPr>
              <w:t>参照计价格（2002）1980号文件和发改价[2011]534号收费标准收取代理服务费</w:t>
            </w:r>
            <w:r>
              <w:rPr>
                <w:rFonts w:hint="eastAsia" w:cs="宋体"/>
                <w:color w:val="auto"/>
                <w:kern w:val="0"/>
                <w:sz w:val="24"/>
                <w:lang w:val="en-US" w:eastAsia="zh-CN"/>
              </w:rPr>
              <w:t>8000元（大写：捌仟元整）；</w:t>
            </w:r>
            <w:r>
              <w:rPr>
                <w:rFonts w:hint="eastAsia" w:ascii="宋体" w:hAnsi="宋体" w:cs="宋体"/>
                <w:color w:val="auto"/>
                <w:kern w:val="0"/>
                <w:sz w:val="24"/>
              </w:rPr>
              <w:t>由</w:t>
            </w:r>
            <w:r>
              <w:rPr>
                <w:rFonts w:hint="eastAsia" w:cs="宋体"/>
                <w:color w:val="auto"/>
                <w:kern w:val="0"/>
                <w:sz w:val="24"/>
                <w:lang w:val="en-US" w:eastAsia="zh-CN"/>
              </w:rPr>
              <w:t>成交供应商</w:t>
            </w:r>
            <w:r>
              <w:rPr>
                <w:rFonts w:hint="eastAsia" w:ascii="宋体" w:hAnsi="宋体" w:cs="宋体"/>
                <w:color w:val="auto"/>
                <w:kern w:val="0"/>
                <w:sz w:val="24"/>
              </w:rPr>
              <w:t>在领取</w:t>
            </w:r>
            <w:r>
              <w:rPr>
                <w:rFonts w:hint="eastAsia" w:cs="宋体"/>
                <w:color w:val="auto"/>
                <w:kern w:val="0"/>
                <w:sz w:val="24"/>
                <w:lang w:val="en-US" w:eastAsia="zh-CN"/>
              </w:rPr>
              <w:t>成交</w:t>
            </w:r>
            <w:r>
              <w:rPr>
                <w:rFonts w:hint="eastAsia" w:ascii="宋体" w:hAnsi="宋体" w:cs="宋体"/>
                <w:color w:val="auto"/>
                <w:kern w:val="0"/>
                <w:sz w:val="24"/>
              </w:rPr>
              <w:t>通知书时一次性支付给采购代理机构。</w:t>
            </w:r>
          </w:p>
          <w:p>
            <w:pPr>
              <w:autoSpaceDE w:val="0"/>
              <w:autoSpaceDN w:val="0"/>
              <w:adjustRightInd w:val="0"/>
              <w:spacing w:line="400" w:lineRule="exact"/>
              <w:ind w:firstLine="240" w:firstLineChars="100"/>
              <w:jc w:val="left"/>
              <w:rPr>
                <w:rFonts w:hAnsi="宋体" w:cs="宋体"/>
                <w:color w:val="auto"/>
                <w:sz w:val="24"/>
                <w:szCs w:val="24"/>
              </w:rPr>
            </w:pPr>
            <w:r>
              <w:rPr>
                <w:rFonts w:hint="eastAsia" w:hAnsi="宋体" w:cs="宋体"/>
                <w:color w:val="auto"/>
                <w:sz w:val="24"/>
                <w:szCs w:val="24"/>
              </w:rPr>
              <w:t>2、代理服务费收款账户信息</w:t>
            </w:r>
          </w:p>
          <w:p>
            <w:pPr>
              <w:spacing w:line="400" w:lineRule="exact"/>
              <w:ind w:firstLine="240" w:firstLineChars="100"/>
              <w:rPr>
                <w:rFonts w:hAnsi="宋体"/>
                <w:color w:val="auto"/>
                <w:sz w:val="24"/>
                <w:szCs w:val="24"/>
              </w:rPr>
            </w:pPr>
            <w:r>
              <w:rPr>
                <w:rFonts w:hint="eastAsia" w:hAnsi="宋体"/>
                <w:color w:val="auto"/>
                <w:sz w:val="24"/>
                <w:szCs w:val="24"/>
              </w:rPr>
              <w:t>开户名：四川华韵新诚工程管理咨询有限公司</w:t>
            </w:r>
          </w:p>
          <w:p>
            <w:pPr>
              <w:autoSpaceDE w:val="0"/>
              <w:autoSpaceDN w:val="0"/>
              <w:adjustRightInd w:val="0"/>
              <w:spacing w:line="360" w:lineRule="auto"/>
              <w:ind w:firstLine="240" w:firstLineChars="100"/>
              <w:jc w:val="left"/>
              <w:rPr>
                <w:rFonts w:hAnsi="宋体" w:cs="宋体"/>
                <w:color w:val="auto"/>
                <w:sz w:val="24"/>
                <w:szCs w:val="24"/>
              </w:rPr>
            </w:pPr>
            <w:r>
              <w:rPr>
                <w:rFonts w:hint="eastAsia" w:hAnsi="宋体" w:cs="宋体"/>
                <w:color w:val="auto"/>
                <w:sz w:val="24"/>
                <w:szCs w:val="24"/>
              </w:rPr>
              <w:t>开户行：成都农村商业银行股份有限公司大邑支行</w:t>
            </w:r>
          </w:p>
          <w:p>
            <w:pPr>
              <w:autoSpaceDE w:val="0"/>
              <w:autoSpaceDN w:val="0"/>
              <w:adjustRightInd w:val="0"/>
              <w:spacing w:line="400" w:lineRule="exact"/>
              <w:ind w:firstLine="240" w:firstLineChars="100"/>
              <w:jc w:val="left"/>
              <w:rPr>
                <w:rFonts w:hAnsi="宋体" w:cs="宋体"/>
                <w:color w:val="auto"/>
                <w:sz w:val="24"/>
                <w:szCs w:val="24"/>
              </w:rPr>
            </w:pPr>
            <w:r>
              <w:rPr>
                <w:rFonts w:hint="eastAsia"/>
                <w:color w:val="auto"/>
                <w:sz w:val="24"/>
                <w:szCs w:val="24"/>
              </w:rPr>
              <w:t>账号：</w:t>
            </w:r>
            <w:r>
              <w:rPr>
                <w:color w:val="auto"/>
                <w:sz w:val="24"/>
                <w:szCs w:val="24"/>
              </w:rPr>
              <w:t>1000090000283193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pStyle w:val="90"/>
              <w:spacing w:line="288" w:lineRule="auto"/>
              <w:jc w:val="center"/>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7</w:t>
            </w:r>
          </w:p>
        </w:tc>
        <w:tc>
          <w:tcPr>
            <w:tcW w:w="2410" w:type="dxa"/>
            <w:vAlign w:val="center"/>
          </w:tcPr>
          <w:p>
            <w:pPr>
              <w:pStyle w:val="90"/>
              <w:spacing w:line="360" w:lineRule="auto"/>
              <w:ind w:left="38"/>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中小企业政府采购信用融资</w:t>
            </w:r>
          </w:p>
        </w:tc>
        <w:tc>
          <w:tcPr>
            <w:tcW w:w="6237" w:type="dxa"/>
          </w:tcPr>
          <w:p>
            <w:pPr>
              <w:autoSpaceDE w:val="0"/>
              <w:autoSpaceDN w:val="0"/>
              <w:adjustRightInd w:val="0"/>
              <w:spacing w:line="400" w:lineRule="exact"/>
              <w:ind w:firstLine="480" w:firstLineChars="200"/>
              <w:jc w:val="left"/>
              <w:rPr>
                <w:color w:val="000000" w:themeColor="text1"/>
                <w14:textFill>
                  <w14:solidFill>
                    <w14:schemeClr w14:val="tx1"/>
                  </w14:solidFill>
                </w14:textFill>
              </w:rPr>
            </w:pPr>
            <w:r>
              <w:rPr>
                <w:rFonts w:hint="eastAsia" w:hAnsi="宋体" w:cs="宋体"/>
                <w:color w:val="000000" w:themeColor="text1"/>
                <w:sz w:val="24"/>
                <w:szCs w:val="24"/>
                <w14:textFill>
                  <w14:solidFill>
                    <w14:schemeClr w14:val="tx1"/>
                  </w14:solidFill>
                </w14:textFill>
              </w:rPr>
              <w:t>根据《四川省财政厅关于推进四川省政府采购供应商信用融资工作的通知》（川财采〔2018〕123 号）、《成都市中小企业政府采购信用融资暂行办法》（成财采〔2019〕17 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pStyle w:val="90"/>
              <w:spacing w:line="288" w:lineRule="auto"/>
              <w:jc w:val="center"/>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8</w:t>
            </w:r>
          </w:p>
        </w:tc>
        <w:tc>
          <w:tcPr>
            <w:tcW w:w="2410" w:type="dxa"/>
            <w:vAlign w:val="center"/>
          </w:tcPr>
          <w:p>
            <w:pPr>
              <w:autoSpaceDE w:val="0"/>
              <w:autoSpaceDN w:val="0"/>
              <w:adjustRightInd w:val="0"/>
              <w:spacing w:line="40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其他强制性规定</w:t>
            </w:r>
          </w:p>
          <w:p>
            <w:pPr>
              <w:autoSpaceDE w:val="0"/>
              <w:autoSpaceDN w:val="0"/>
              <w:adjustRightInd w:val="0"/>
              <w:spacing w:line="400" w:lineRule="exact"/>
              <w:jc w:val="center"/>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如涉及时作为实质性要求</w:t>
            </w:r>
            <w:r>
              <w:rPr>
                <w:rFonts w:hAnsi="宋体" w:cs="宋体"/>
                <w:color w:val="000000" w:themeColor="text1"/>
                <w:sz w:val="24"/>
                <w:szCs w:val="24"/>
                <w14:textFill>
                  <w14:solidFill>
                    <w14:schemeClr w14:val="tx1"/>
                  </w14:solidFill>
                </w14:textFill>
              </w:rPr>
              <w:t>)</w:t>
            </w:r>
          </w:p>
        </w:tc>
        <w:tc>
          <w:tcPr>
            <w:tcW w:w="6237" w:type="dxa"/>
          </w:tcPr>
          <w:p>
            <w:pPr>
              <w:autoSpaceDE w:val="0"/>
              <w:autoSpaceDN w:val="0"/>
              <w:adjustRightInd w:val="0"/>
              <w:spacing w:line="400" w:lineRule="exact"/>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国家或行业主管部门对采购产品的技术标准、质量标准和资格资质条件等有强制性规定的，必须符合其要求。如涉及</w:t>
            </w:r>
            <w:r>
              <w:rPr>
                <w:rFonts w:hAnsi="宋体" w:cs="宋体"/>
                <w:color w:val="000000" w:themeColor="text1"/>
                <w:sz w:val="24"/>
                <w:szCs w:val="24"/>
                <w14:textFill>
                  <w14:solidFill>
                    <w14:schemeClr w14:val="tx1"/>
                  </w14:solidFill>
                </w14:textFill>
              </w:rPr>
              <w:t>3C</w:t>
            </w:r>
            <w:r>
              <w:rPr>
                <w:rFonts w:hint="eastAsia" w:hAnsi="宋体" w:cs="宋体"/>
                <w:color w:val="000000" w:themeColor="text1"/>
                <w:sz w:val="24"/>
                <w:szCs w:val="24"/>
                <w14:textFill>
                  <w14:solidFill>
                    <w14:schemeClr w14:val="tx1"/>
                  </w14:solidFill>
                </w14:textFill>
              </w:rPr>
              <w:t>认证产品的</w:t>
            </w:r>
            <w:r>
              <w:rPr>
                <w:rFonts w:hAnsi="宋体" w:cs="宋体"/>
                <w:color w:val="000000" w:themeColor="text1"/>
                <w:sz w:val="24"/>
                <w:szCs w:val="24"/>
                <w14:textFill>
                  <w14:solidFill>
                    <w14:schemeClr w14:val="tx1"/>
                  </w14:solidFill>
                </w14:textFill>
              </w:rPr>
              <w:t>3C</w:t>
            </w:r>
            <w:r>
              <w:rPr>
                <w:rFonts w:hint="eastAsia" w:hAnsi="宋体" w:cs="宋体"/>
                <w:color w:val="000000" w:themeColor="text1"/>
                <w:sz w:val="24"/>
                <w:szCs w:val="24"/>
                <w14:textFill>
                  <w14:solidFill>
                    <w14:schemeClr w14:val="tx1"/>
                  </w14:solidFill>
                </w14:textFill>
              </w:rPr>
              <w:t>认证证书在响应文件中可不提供</w:t>
            </w:r>
            <w:r>
              <w:rPr>
                <w:rFonts w:hAnsi="宋体" w:cs="宋体"/>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磋商文件有要求在磋商时提供证明材料的除外</w:t>
            </w:r>
            <w:r>
              <w:rPr>
                <w:rFonts w:hAnsi="宋体" w:cs="宋体"/>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，供应商成交后应在签订采购合同时向采购人提供加盖供应商公章的</w:t>
            </w:r>
            <w:r>
              <w:rPr>
                <w:rFonts w:hAnsi="宋体" w:cs="宋体"/>
                <w:color w:val="000000" w:themeColor="text1"/>
                <w:sz w:val="24"/>
                <w:szCs w:val="24"/>
                <w14:textFill>
                  <w14:solidFill>
                    <w14:schemeClr w14:val="tx1"/>
                  </w14:solidFill>
                </w14:textFill>
              </w:rPr>
              <w:t>3C</w:t>
            </w:r>
            <w:r>
              <w:rPr>
                <w:rFonts w:hint="eastAsia" w:hAnsi="宋体" w:cs="宋体"/>
                <w:color w:val="000000" w:themeColor="text1"/>
                <w:sz w:val="24"/>
                <w:szCs w:val="24"/>
                <w14:textFill>
                  <w14:solidFill>
                    <w14:schemeClr w14:val="tx1"/>
                  </w14:solidFill>
                </w14:textFill>
              </w:rPr>
              <w:t>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pStyle w:val="90"/>
              <w:spacing w:line="288" w:lineRule="auto"/>
              <w:jc w:val="center"/>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9</w:t>
            </w:r>
          </w:p>
        </w:tc>
        <w:tc>
          <w:tcPr>
            <w:tcW w:w="2410" w:type="dxa"/>
            <w:vAlign w:val="center"/>
          </w:tcPr>
          <w:p>
            <w:pPr>
              <w:autoSpaceDE w:val="0"/>
              <w:autoSpaceDN w:val="0"/>
              <w:adjustRightInd w:val="0"/>
              <w:spacing w:line="400" w:lineRule="exact"/>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声明承诺提醒</w:t>
            </w:r>
          </w:p>
        </w:tc>
        <w:tc>
          <w:tcPr>
            <w:tcW w:w="6237" w:type="dxa"/>
          </w:tcPr>
          <w:p>
            <w:pPr>
              <w:autoSpaceDE w:val="0"/>
              <w:autoSpaceDN w:val="0"/>
              <w:adjustRightInd w:val="0"/>
              <w:spacing w:line="400" w:lineRule="exact"/>
              <w:ind w:firstLine="240" w:firstLineChars="100"/>
              <w:jc w:val="lef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供应商响应文件中提供的各种声明和承诺应当真实有效，无效声明和承诺、虚假声明和承诺将由供应商自己承担由此带来的任何不利后果，虚假声明和承诺还将报告监管部门追究法律责任。</w:t>
            </w:r>
          </w:p>
        </w:tc>
      </w:tr>
    </w:tbl>
    <w:p>
      <w:pPr>
        <w:rPr>
          <w:rFonts w:hAnsi="宋体" w:cs="宋体"/>
          <w:bCs/>
          <w:color w:val="000000" w:themeColor="text1"/>
          <w:sz w:val="30"/>
          <w:szCs w:val="30"/>
          <w14:textFill>
            <w14:solidFill>
              <w14:schemeClr w14:val="tx1"/>
            </w14:solidFill>
          </w14:textFill>
        </w:rPr>
      </w:pPr>
      <w:bookmarkStart w:id="14" w:name="BookMK5"/>
    </w:p>
    <w:p>
      <w:pPr>
        <w:pStyle w:val="20"/>
        <w:rPr>
          <w:rFonts w:hint="eastAsia" w:eastAsia="宋体"/>
          <w:color w:val="000000" w:themeColor="text1"/>
          <w:lang w:eastAsia="zh-CN"/>
          <w14:textFill>
            <w14:solidFill>
              <w14:schemeClr w14:val="tx1"/>
            </w14:solidFill>
          </w14:textFill>
        </w:rPr>
      </w:pPr>
    </w:p>
    <w:p>
      <w:pPr>
        <w:rPr>
          <w:rFonts w:hint="eastAsia" w:eastAsia="宋体"/>
          <w:color w:val="000000" w:themeColor="text1"/>
          <w:lang w:eastAsia="zh-CN"/>
          <w14:textFill>
            <w14:solidFill>
              <w14:schemeClr w14:val="tx1"/>
            </w14:solidFill>
          </w14:textFill>
        </w:rPr>
      </w:pPr>
    </w:p>
    <w:p>
      <w:pPr>
        <w:pStyle w:val="2"/>
        <w:rPr>
          <w:rFonts w:hint="eastAsia" w:eastAsia="宋体"/>
          <w:color w:val="000000" w:themeColor="text1"/>
          <w:lang w:eastAsia="zh-CN"/>
          <w14:textFill>
            <w14:solidFill>
              <w14:schemeClr w14:val="tx1"/>
            </w14:solidFill>
          </w14:textFill>
        </w:rPr>
      </w:pPr>
    </w:p>
    <w:p>
      <w:pPr>
        <w:rPr>
          <w:rFonts w:hint="eastAsia"/>
          <w:lang w:eastAsia="zh-CN"/>
        </w:rPr>
      </w:pPr>
    </w:p>
    <w:p>
      <w:pPr>
        <w:pStyle w:val="2"/>
        <w:rPr>
          <w:rFonts w:hint="eastAsia" w:eastAsia="宋体"/>
          <w:color w:val="000000" w:themeColor="text1"/>
          <w:lang w:eastAsia="zh-CN"/>
          <w14:textFill>
            <w14:solidFill>
              <w14:schemeClr w14:val="tx1"/>
            </w14:solidFill>
          </w14:textFill>
        </w:rPr>
      </w:pPr>
    </w:p>
    <w:p>
      <w:pPr>
        <w:rPr>
          <w:rFonts w:hint="eastAsia"/>
          <w:lang w:eastAsia="zh-CN"/>
        </w:rPr>
      </w:pPr>
    </w:p>
    <w:p>
      <w:pPr>
        <w:pStyle w:val="2"/>
        <w:rPr>
          <w:rFonts w:hint="eastAsia"/>
          <w:lang w:eastAsia="zh-CN"/>
        </w:rPr>
      </w:pPr>
    </w:p>
    <w:p>
      <w:pPr>
        <w:pStyle w:val="4"/>
        <w:keepNext w:val="0"/>
        <w:keepLines w:val="0"/>
        <w:spacing w:before="0" w:after="0" w:line="400" w:lineRule="exact"/>
        <w:jc w:val="center"/>
        <w:rPr>
          <w:rFonts w:ascii="宋体" w:hAnsi="宋体" w:eastAsia="宋体" w:cs="宋体"/>
          <w:bCs w:val="0"/>
          <w:color w:val="000000" w:themeColor="text1"/>
          <w:sz w:val="30"/>
          <w:szCs w:val="30"/>
          <w14:textFill>
            <w14:solidFill>
              <w14:schemeClr w14:val="tx1"/>
            </w14:solidFill>
          </w14:textFill>
        </w:rPr>
      </w:pPr>
      <w:r>
        <w:rPr>
          <w:rFonts w:hint="eastAsia" w:ascii="宋体" w:hAnsi="宋体" w:eastAsia="宋体" w:cs="宋体"/>
          <w:bCs w:val="0"/>
          <w:color w:val="000000" w:themeColor="text1"/>
          <w:sz w:val="30"/>
          <w:szCs w:val="30"/>
          <w14:textFill>
            <w14:solidFill>
              <w14:schemeClr w14:val="tx1"/>
            </w14:solidFill>
          </w14:textFill>
        </w:rPr>
        <w:t>二、总 则</w:t>
      </w:r>
      <w:bookmarkStart w:id="15" w:name="_Toc183682342"/>
      <w:bookmarkStart w:id="16" w:name="_Toc183582205"/>
      <w:bookmarkStart w:id="17" w:name="_Toc217446034"/>
    </w:p>
    <w:bookmarkEnd w:id="14"/>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8" w:name="BookMK6"/>
      <w:r>
        <w:rPr>
          <w:rFonts w:hint="eastAsia" w:hAnsi="宋体" w:cs="宋体"/>
          <w:color w:val="000000" w:themeColor="text1"/>
          <w:sz w:val="24"/>
          <w14:textFill>
            <w14:solidFill>
              <w14:schemeClr w14:val="tx1"/>
            </w14:solidFill>
          </w14:textFill>
        </w:rPr>
        <w:t>1.</w:t>
      </w:r>
      <w:bookmarkEnd w:id="15"/>
      <w:bookmarkEnd w:id="16"/>
      <w:r>
        <w:rPr>
          <w:rFonts w:hint="eastAsia" w:hAnsi="宋体" w:cs="宋体"/>
          <w:color w:val="000000" w:themeColor="text1"/>
          <w:sz w:val="24"/>
          <w:szCs w:val="24"/>
          <w14:textFill>
            <w14:solidFill>
              <w14:schemeClr w14:val="tx1"/>
            </w14:solidFill>
          </w14:textFill>
        </w:rPr>
        <w:t>适用范围</w:t>
      </w:r>
      <w:bookmarkEnd w:id="17"/>
    </w:p>
    <w:bookmarkEnd w:id="18"/>
    <w:p>
      <w:pPr>
        <w:spacing w:line="440" w:lineRule="exact"/>
        <w:ind w:firstLine="240" w:firstLineChars="100"/>
        <w:rPr>
          <w:rFonts w:hAnsi="宋体"/>
          <w:color w:val="000000" w:themeColor="text1"/>
          <w:kern w:val="2"/>
          <w:sz w:val="24"/>
          <w:szCs w:val="24"/>
          <w14:textFill>
            <w14:solidFill>
              <w14:schemeClr w14:val="tx1"/>
            </w14:solidFill>
          </w14:textFill>
        </w:rPr>
      </w:pPr>
      <w:bookmarkStart w:id="19" w:name="_Toc217446035"/>
      <w:bookmarkStart w:id="20" w:name="_Toc183682343"/>
      <w:bookmarkStart w:id="21" w:name="_Toc183582206"/>
      <w:bookmarkStart w:id="22" w:name="BookMK7"/>
      <w:r>
        <w:rPr>
          <w:rFonts w:hint="eastAsia" w:hAnsi="宋体"/>
          <w:color w:val="000000" w:themeColor="text1"/>
          <w:kern w:val="2"/>
          <w:sz w:val="24"/>
          <w:szCs w:val="24"/>
          <w14:textFill>
            <w14:solidFill>
              <w14:schemeClr w14:val="tx1"/>
            </w14:solidFill>
          </w14:textFill>
        </w:rPr>
        <w:t>1</w:t>
      </w:r>
      <w:r>
        <w:rPr>
          <w:rFonts w:hAnsi="宋体"/>
          <w:color w:val="000000" w:themeColor="text1"/>
          <w:kern w:val="2"/>
          <w:sz w:val="24"/>
          <w:szCs w:val="24"/>
          <w14:textFill>
            <w14:solidFill>
              <w14:schemeClr w14:val="tx1"/>
            </w14:solidFill>
          </w14:textFill>
        </w:rPr>
        <w:t>.1</w:t>
      </w:r>
      <w:r>
        <w:rPr>
          <w:rFonts w:hint="eastAsia" w:hAnsi="宋体"/>
          <w:color w:val="000000" w:themeColor="text1"/>
          <w:kern w:val="2"/>
          <w:sz w:val="24"/>
          <w:szCs w:val="24"/>
          <w14:textFill>
            <w14:solidFill>
              <w14:schemeClr w14:val="tx1"/>
            </w14:solidFill>
          </w14:textFill>
        </w:rPr>
        <w:t>本竞争性磋商文件</w:t>
      </w:r>
      <w:r>
        <w:rPr>
          <w:rFonts w:hAnsi="宋体"/>
          <w:color w:val="000000" w:themeColor="text1"/>
          <w:kern w:val="2"/>
          <w:sz w:val="24"/>
          <w:szCs w:val="24"/>
          <w14:textFill>
            <w14:solidFill>
              <w14:schemeClr w14:val="tx1"/>
            </w14:solidFill>
          </w14:textFill>
        </w:rPr>
        <w:t>(</w:t>
      </w:r>
      <w:r>
        <w:rPr>
          <w:rFonts w:hint="eastAsia" w:hAnsi="宋体"/>
          <w:color w:val="000000" w:themeColor="text1"/>
          <w:kern w:val="2"/>
          <w:sz w:val="24"/>
          <w:szCs w:val="24"/>
          <w14:textFill>
            <w14:solidFill>
              <w14:schemeClr w14:val="tx1"/>
            </w14:solidFill>
          </w14:textFill>
        </w:rPr>
        <w:t>亦简称“磋商文件”或“采购文件”</w:t>
      </w:r>
      <w:r>
        <w:rPr>
          <w:rFonts w:hAnsi="宋体"/>
          <w:color w:val="000000" w:themeColor="text1"/>
          <w:kern w:val="2"/>
          <w:sz w:val="24"/>
          <w:szCs w:val="24"/>
          <w14:textFill>
            <w14:solidFill>
              <w14:schemeClr w14:val="tx1"/>
            </w14:solidFill>
          </w14:textFill>
        </w:rPr>
        <w:t>)</w:t>
      </w:r>
      <w:r>
        <w:rPr>
          <w:rFonts w:hint="eastAsia" w:hAnsi="宋体"/>
          <w:color w:val="000000" w:themeColor="text1"/>
          <w:kern w:val="2"/>
          <w:sz w:val="24"/>
          <w:szCs w:val="24"/>
          <w14:textFill>
            <w14:solidFill>
              <w14:schemeClr w14:val="tx1"/>
            </w14:solidFill>
          </w14:textFill>
        </w:rPr>
        <w:t>仅适用于本次磋商采购项目。</w:t>
      </w:r>
    </w:p>
    <w:p>
      <w:pPr>
        <w:spacing w:line="440" w:lineRule="exact"/>
        <w:ind w:firstLine="240" w:firstLineChars="100"/>
        <w:rPr>
          <w:rFonts w:hAnsi="宋体"/>
          <w:color w:val="000000" w:themeColor="text1"/>
          <w:kern w:val="2"/>
          <w:sz w:val="24"/>
          <w:szCs w:val="24"/>
          <w14:textFill>
            <w14:solidFill>
              <w14:schemeClr w14:val="tx1"/>
            </w14:solidFill>
          </w14:textFill>
        </w:rPr>
      </w:pPr>
      <w:r>
        <w:rPr>
          <w:rFonts w:hAnsi="宋体"/>
          <w:color w:val="000000" w:themeColor="text1"/>
          <w:kern w:val="2"/>
          <w:sz w:val="24"/>
          <w:szCs w:val="24"/>
          <w14:textFill>
            <w14:solidFill>
              <w14:schemeClr w14:val="tx1"/>
            </w14:solidFill>
          </w14:textFill>
        </w:rPr>
        <w:t>1.2</w:t>
      </w:r>
      <w:r>
        <w:rPr>
          <w:rFonts w:hint="eastAsia" w:hAnsi="宋体"/>
          <w:color w:val="000000" w:themeColor="text1"/>
          <w:kern w:val="2"/>
          <w:sz w:val="24"/>
          <w:szCs w:val="24"/>
          <w14:textFill>
            <w14:solidFill>
              <w14:schemeClr w14:val="tx1"/>
            </w14:solidFill>
          </w14:textFill>
        </w:rPr>
        <w:t>本竞争性磋商文件中的响应文件仅适用于本采购项目。</w:t>
      </w:r>
    </w:p>
    <w:p>
      <w:pPr>
        <w:spacing w:line="440" w:lineRule="exact"/>
        <w:ind w:firstLine="240" w:firstLineChars="100"/>
        <w:rPr>
          <w:rFonts w:hAnsi="宋体"/>
          <w:color w:val="000000" w:themeColor="text1"/>
          <w:kern w:val="2"/>
          <w:sz w:val="24"/>
          <w:szCs w:val="24"/>
          <w14:textFill>
            <w14:solidFill>
              <w14:schemeClr w14:val="tx1"/>
            </w14:solidFill>
          </w14:textFill>
        </w:rPr>
      </w:pPr>
      <w:r>
        <w:rPr>
          <w:rFonts w:hAnsi="宋体"/>
          <w:color w:val="000000" w:themeColor="text1"/>
          <w:kern w:val="2"/>
          <w:sz w:val="24"/>
          <w:szCs w:val="24"/>
          <w14:textFill>
            <w14:solidFill>
              <w14:schemeClr w14:val="tx1"/>
            </w14:solidFill>
          </w14:textFill>
        </w:rPr>
        <w:t>1.3</w:t>
      </w:r>
      <w:r>
        <w:rPr>
          <w:rFonts w:hint="eastAsia" w:hAnsi="宋体"/>
          <w:color w:val="000000" w:themeColor="text1"/>
          <w:kern w:val="2"/>
          <w:sz w:val="24"/>
          <w:szCs w:val="24"/>
          <w14:textFill>
            <w14:solidFill>
              <w14:schemeClr w14:val="tx1"/>
            </w14:solidFill>
          </w14:textFill>
        </w:rPr>
        <w:t>本竞争性磋商文件中的磋商小组</w:t>
      </w:r>
      <w:r>
        <w:rPr>
          <w:rFonts w:hAnsi="宋体"/>
          <w:color w:val="000000" w:themeColor="text1"/>
          <w:kern w:val="2"/>
          <w:sz w:val="24"/>
          <w:szCs w:val="24"/>
          <w14:textFill>
            <w14:solidFill>
              <w14:schemeClr w14:val="tx1"/>
            </w14:solidFill>
          </w14:textFill>
        </w:rPr>
        <w:t>(</w:t>
      </w:r>
      <w:r>
        <w:rPr>
          <w:rFonts w:hint="eastAsia" w:hAnsi="宋体"/>
          <w:color w:val="000000" w:themeColor="text1"/>
          <w:kern w:val="2"/>
          <w:sz w:val="24"/>
          <w:szCs w:val="24"/>
          <w14:textFill>
            <w14:solidFill>
              <w14:schemeClr w14:val="tx1"/>
            </w14:solidFill>
          </w14:textFill>
        </w:rPr>
        <w:t>亦可称为“评审委员会”</w:t>
      </w:r>
      <w:r>
        <w:rPr>
          <w:rFonts w:hAnsi="宋体"/>
          <w:color w:val="000000" w:themeColor="text1"/>
          <w:kern w:val="2"/>
          <w:sz w:val="24"/>
          <w:szCs w:val="24"/>
          <w14:textFill>
            <w14:solidFill>
              <w14:schemeClr w14:val="tx1"/>
            </w14:solidFill>
          </w14:textFill>
        </w:rPr>
        <w:t>)</w:t>
      </w:r>
      <w:r>
        <w:rPr>
          <w:rFonts w:hint="eastAsia" w:hAnsi="宋体"/>
          <w:color w:val="000000" w:themeColor="text1"/>
          <w:kern w:val="2"/>
          <w:sz w:val="24"/>
          <w:szCs w:val="24"/>
          <w14:textFill>
            <w14:solidFill>
              <w14:schemeClr w14:val="tx1"/>
            </w14:solidFill>
          </w14:textFill>
        </w:rPr>
        <w:t>，仅适用于本采购项目。</w:t>
      </w:r>
    </w:p>
    <w:p>
      <w:pPr>
        <w:spacing w:line="440" w:lineRule="exact"/>
        <w:ind w:firstLine="240" w:firstLineChars="100"/>
        <w:rPr>
          <w:rFonts w:hAnsi="宋体"/>
          <w:color w:val="000000" w:themeColor="text1"/>
          <w:kern w:val="2"/>
          <w:sz w:val="24"/>
          <w:szCs w:val="24"/>
          <w14:textFill>
            <w14:solidFill>
              <w14:schemeClr w14:val="tx1"/>
            </w14:solidFill>
          </w14:textFill>
        </w:rPr>
      </w:pPr>
      <w:r>
        <w:rPr>
          <w:rFonts w:hAnsi="宋体"/>
          <w:color w:val="000000" w:themeColor="text1"/>
          <w:kern w:val="2"/>
          <w:sz w:val="24"/>
          <w:szCs w:val="24"/>
          <w14:textFill>
            <w14:solidFill>
              <w14:schemeClr w14:val="tx1"/>
            </w14:solidFill>
          </w14:textFill>
        </w:rPr>
        <w:t>1.4</w:t>
      </w:r>
      <w:r>
        <w:rPr>
          <w:rFonts w:hint="eastAsia" w:hAnsi="宋体"/>
          <w:color w:val="000000" w:themeColor="text1"/>
          <w:kern w:val="2"/>
          <w:sz w:val="24"/>
          <w:szCs w:val="24"/>
          <w14:textFill>
            <w14:solidFill>
              <w14:schemeClr w14:val="tx1"/>
            </w14:solidFill>
          </w14:textFill>
        </w:rPr>
        <w:t>本竞争性磋商文件各部分规定的期间以时、日、月、年计算。期间开始的时和日，不计算在期间内，而从次日开始计算。期间届满的最后一天是节假日的，以节假日后的第一日为期间届满的日期。</w:t>
      </w:r>
    </w:p>
    <w:p>
      <w:pPr>
        <w:spacing w:line="440" w:lineRule="exact"/>
        <w:ind w:firstLine="240" w:firstLineChars="100"/>
        <w:rPr>
          <w:rFonts w:hAnsi="宋体"/>
          <w:color w:val="000000" w:themeColor="text1"/>
          <w:kern w:val="2"/>
          <w:sz w:val="24"/>
          <w:szCs w:val="24"/>
          <w14:textFill>
            <w14:solidFill>
              <w14:schemeClr w14:val="tx1"/>
            </w14:solidFill>
          </w14:textFill>
        </w:rPr>
      </w:pPr>
      <w:r>
        <w:rPr>
          <w:rFonts w:hAnsi="宋体"/>
          <w:color w:val="000000" w:themeColor="text1"/>
          <w:kern w:val="2"/>
          <w:sz w:val="24"/>
          <w:szCs w:val="24"/>
          <w14:textFill>
            <w14:solidFill>
              <w14:schemeClr w14:val="tx1"/>
            </w14:solidFill>
          </w14:textFill>
        </w:rPr>
        <w:t>1.5</w:t>
      </w:r>
      <w:r>
        <w:rPr>
          <w:rFonts w:hint="eastAsia" w:hAnsi="宋体"/>
          <w:color w:val="000000" w:themeColor="text1"/>
          <w:kern w:val="2"/>
          <w:sz w:val="24"/>
          <w:szCs w:val="24"/>
          <w14:textFill>
            <w14:solidFill>
              <w14:schemeClr w14:val="tx1"/>
            </w14:solidFill>
          </w14:textFill>
        </w:rPr>
        <w:t>本竞争性磋商文件各部分规定的时间均以北京时间为准。</w:t>
      </w:r>
    </w:p>
    <w:p>
      <w:pPr>
        <w:spacing w:line="440" w:lineRule="exact"/>
        <w:ind w:firstLine="240" w:firstLineChars="100"/>
        <w:rPr>
          <w:rFonts w:hAnsi="宋体"/>
          <w:color w:val="000000" w:themeColor="text1"/>
          <w:kern w:val="2"/>
          <w:sz w:val="24"/>
          <w:szCs w:val="24"/>
          <w14:textFill>
            <w14:solidFill>
              <w14:schemeClr w14:val="tx1"/>
            </w14:solidFill>
          </w14:textFill>
        </w:rPr>
      </w:pPr>
      <w:r>
        <w:rPr>
          <w:rFonts w:hint="eastAsia" w:hAnsi="宋体"/>
          <w:color w:val="000000" w:themeColor="text1"/>
          <w:kern w:val="2"/>
          <w:sz w:val="24"/>
          <w:szCs w:val="24"/>
          <w14:textFill>
            <w14:solidFill>
              <w14:schemeClr w14:val="tx1"/>
            </w14:solidFill>
          </w14:textFill>
        </w:rPr>
        <w:t>1</w:t>
      </w:r>
      <w:r>
        <w:rPr>
          <w:rFonts w:hAnsi="宋体"/>
          <w:color w:val="000000" w:themeColor="text1"/>
          <w:kern w:val="2"/>
          <w:sz w:val="24"/>
          <w:szCs w:val="24"/>
          <w14:textFill>
            <w14:solidFill>
              <w14:schemeClr w14:val="tx1"/>
            </w14:solidFill>
          </w14:textFill>
        </w:rPr>
        <w:t>.6</w:t>
      </w:r>
      <w:r>
        <w:rPr>
          <w:rFonts w:hint="eastAsia" w:hAnsi="宋体"/>
          <w:color w:val="000000" w:themeColor="text1"/>
          <w:kern w:val="2"/>
          <w:sz w:val="24"/>
          <w:szCs w:val="24"/>
          <w14:textFill>
            <w14:solidFill>
              <w14:schemeClr w14:val="tx1"/>
            </w14:solidFill>
          </w14:textFill>
        </w:rPr>
        <w:t>本磋商文件的解释权归采购人和采购代理机构所有。</w:t>
      </w:r>
    </w:p>
    <w:p>
      <w:pPr>
        <w:pStyle w:val="5"/>
        <w:keepNext w:val="0"/>
        <w:keepLines w:val="0"/>
        <w:spacing w:before="0" w:after="0" w:line="520" w:lineRule="exact"/>
        <w:rPr>
          <w:rFonts w:hAnsi="宋体" w:cs="宋体"/>
          <w:color w:val="auto"/>
          <w:sz w:val="24"/>
        </w:rPr>
      </w:pPr>
      <w:r>
        <w:rPr>
          <w:rFonts w:hint="eastAsia" w:hAnsi="宋体" w:cs="宋体"/>
          <w:color w:val="000000" w:themeColor="text1"/>
          <w:sz w:val="24"/>
          <w14:textFill>
            <w14:solidFill>
              <w14:schemeClr w14:val="tx1"/>
            </w14:solidFill>
          </w14:textFill>
        </w:rPr>
        <w:t>2</w:t>
      </w:r>
      <w:r>
        <w:rPr>
          <w:rFonts w:hint="eastAsia" w:hAnsi="宋体" w:cs="宋体"/>
          <w:color w:val="auto"/>
          <w:sz w:val="24"/>
        </w:rPr>
        <w:t>.</w:t>
      </w:r>
      <w:bookmarkEnd w:id="19"/>
      <w:bookmarkEnd w:id="20"/>
      <w:bookmarkEnd w:id="21"/>
      <w:r>
        <w:rPr>
          <w:rFonts w:hint="eastAsia" w:hAnsi="宋体" w:cs="宋体"/>
          <w:color w:val="auto"/>
          <w:sz w:val="24"/>
        </w:rPr>
        <w:t>采购主体</w:t>
      </w:r>
    </w:p>
    <w:bookmarkEnd w:id="22"/>
    <w:p>
      <w:pPr>
        <w:tabs>
          <w:tab w:val="left" w:pos="7665"/>
        </w:tabs>
        <w:spacing w:line="520" w:lineRule="exact"/>
        <w:ind w:firstLine="240" w:firstLineChars="100"/>
        <w:rPr>
          <w:rFonts w:hAnsi="宋体" w:cs="宋体"/>
          <w:color w:val="auto"/>
          <w:sz w:val="24"/>
          <w:szCs w:val="24"/>
        </w:rPr>
      </w:pPr>
      <w:r>
        <w:rPr>
          <w:rFonts w:hint="eastAsia" w:hAnsi="宋体" w:cs="宋体"/>
          <w:color w:val="auto"/>
          <w:sz w:val="24"/>
          <w:szCs w:val="24"/>
        </w:rPr>
        <w:t>2.1本次磋商的采购人是</w:t>
      </w:r>
      <w:r>
        <w:rPr>
          <w:rFonts w:hint="eastAsia" w:hAnsi="宋体" w:cs="宋体"/>
          <w:bCs/>
          <w:color w:val="auto"/>
          <w:sz w:val="24"/>
          <w:szCs w:val="22"/>
          <w:u w:val="single"/>
          <w:lang w:eastAsia="zh-CN"/>
        </w:rPr>
        <w:t>大邑县监察委员会</w:t>
      </w:r>
      <w:r>
        <w:rPr>
          <w:rFonts w:hint="eastAsia" w:hAnsi="宋体" w:cs="宋体"/>
          <w:color w:val="auto"/>
          <w:sz w:val="24"/>
          <w:szCs w:val="24"/>
        </w:rPr>
        <w:t>。</w:t>
      </w:r>
    </w:p>
    <w:p>
      <w:pPr>
        <w:tabs>
          <w:tab w:val="left" w:pos="7665"/>
        </w:tabs>
        <w:spacing w:line="520" w:lineRule="exact"/>
        <w:ind w:firstLine="240" w:firstLineChars="100"/>
        <w:rPr>
          <w:rFonts w:hAnsi="宋体" w:cs="宋体"/>
          <w:color w:val="auto"/>
          <w:sz w:val="24"/>
          <w:szCs w:val="24"/>
        </w:rPr>
      </w:pPr>
      <w:r>
        <w:rPr>
          <w:rFonts w:hint="eastAsia" w:hAnsi="宋体" w:cs="宋体"/>
          <w:color w:val="auto"/>
          <w:sz w:val="24"/>
          <w:szCs w:val="24"/>
        </w:rPr>
        <w:t>2.2本次磋商的采购代理机构是</w:t>
      </w:r>
      <w:r>
        <w:rPr>
          <w:rFonts w:hint="eastAsia" w:hAnsi="宋体" w:cs="宋体"/>
          <w:color w:val="auto"/>
          <w:sz w:val="24"/>
          <w:szCs w:val="24"/>
          <w:u w:val="single"/>
        </w:rPr>
        <w:t>四川华韵新诚工程管理咨询有限公司</w:t>
      </w:r>
      <w:r>
        <w:rPr>
          <w:rFonts w:hint="eastAsia" w:hAnsi="宋体" w:cs="宋体"/>
          <w:color w:val="auto"/>
          <w:sz w:val="24"/>
          <w:szCs w:val="24"/>
        </w:rPr>
        <w:t>。</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23" w:name="_Toc217446036"/>
      <w:bookmarkStart w:id="24" w:name="_Toc217390843"/>
      <w:bookmarkStart w:id="25" w:name="_Toc183682344"/>
      <w:bookmarkStart w:id="26" w:name="_Toc183582207"/>
      <w:bookmarkStart w:id="27" w:name="BookMK8"/>
      <w:r>
        <w:rPr>
          <w:rFonts w:hint="eastAsia" w:hAnsi="宋体" w:cs="宋体"/>
          <w:color w:val="000000" w:themeColor="text1"/>
          <w:sz w:val="24"/>
          <w14:textFill>
            <w14:solidFill>
              <w14:schemeClr w14:val="tx1"/>
            </w14:solidFill>
          </w14:textFill>
        </w:rPr>
        <w:t>3.合格</w:t>
      </w:r>
      <w:bookmarkEnd w:id="23"/>
      <w:bookmarkEnd w:id="24"/>
      <w:bookmarkEnd w:id="25"/>
      <w:bookmarkEnd w:id="26"/>
      <w:r>
        <w:rPr>
          <w:rFonts w:hint="eastAsia" w:hAnsi="宋体" w:cs="宋体"/>
          <w:color w:val="000000" w:themeColor="text1"/>
          <w:sz w:val="24"/>
          <w14:textFill>
            <w14:solidFill>
              <w14:schemeClr w14:val="tx1"/>
            </w14:solidFill>
          </w14:textFill>
        </w:rPr>
        <w:t>供应商（实质性要求）</w:t>
      </w:r>
    </w:p>
    <w:bookmarkEnd w:id="27"/>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合格供应商应具备以下条件：</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bookmarkStart w:id="28" w:name="_Toc183682345"/>
      <w:bookmarkStart w:id="29" w:name="_Toc183582208"/>
      <w:bookmarkStart w:id="30" w:name="_Toc217446037"/>
      <w:r>
        <w:rPr>
          <w:rFonts w:hint="eastAsia" w:hAnsi="宋体" w:cs="宋体"/>
          <w:color w:val="000000" w:themeColor="text1"/>
          <w:sz w:val="24"/>
          <w:szCs w:val="24"/>
          <w14:textFill>
            <w14:solidFill>
              <w14:schemeClr w14:val="tx1"/>
            </w14:solidFill>
          </w14:textFill>
        </w:rPr>
        <w:t>3.1具备本采购文件规定的资格条件。</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3.2不属于禁止参加本项目采购活动的供应商。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3.3按照规定获取了磋商文件，属于实质性参加政府采购活动的供应商。</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31" w:name="BookMK9"/>
      <w:r>
        <w:rPr>
          <w:rFonts w:hint="eastAsia" w:hAnsi="宋体" w:cs="宋体"/>
          <w:color w:val="000000" w:themeColor="text1"/>
          <w:sz w:val="24"/>
          <w14:textFill>
            <w14:solidFill>
              <w14:schemeClr w14:val="tx1"/>
            </w14:solidFill>
          </w14:textFill>
        </w:rPr>
        <w:t>4.磋商费用</w:t>
      </w:r>
      <w:bookmarkEnd w:id="28"/>
      <w:bookmarkEnd w:id="29"/>
      <w:bookmarkEnd w:id="30"/>
    </w:p>
    <w:bookmarkEnd w:id="31"/>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不论磋商结果如何，供应商自行承担参加竞争性磋商有关的全部费用。</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32" w:name="BookMK10"/>
      <w:r>
        <w:rPr>
          <w:rFonts w:hint="eastAsia" w:hAnsi="宋体" w:cs="宋体"/>
          <w:color w:val="000000" w:themeColor="text1"/>
          <w:sz w:val="24"/>
          <w14:textFill>
            <w14:solidFill>
              <w14:schemeClr w14:val="tx1"/>
            </w14:solidFill>
          </w14:textFill>
        </w:rPr>
        <w:t>5.充分、公平竞争保障措施（实质性要求）</w:t>
      </w:r>
    </w:p>
    <w:bookmarkEnd w:id="32"/>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5.2利害关系授权代表处理。两家以上的供应商不得在同一合同项下的采购项目中，委托同一个自然人、同一家庭的人员、同一单位的人员作为其授权代表，否则，其响应文件作为无效处理。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5.4供应商实际控制人或者中高级管理人员，同时是采购代理机构工作人员，不得参与本项目政府采购活动。</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5.5同一母公司的两家以上的子公司只能组成联合体参加本项目同一合同项下的采购活动，不得以不同供应商身份同时参加本项目同一合同项下的采购活动。</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5.6供应商与采购代理机构存在关联关系，或者是采购代理机构的母公司或子公司，不得参加本项目政府采购活动。</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5.7回避。政府采购活动中，采购人员及相关人员与供应商有下列利害关系之一的，应当回避：</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（1）参加采购活动前3年内与供应商存在劳动关系；</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（2）参加采购活动前3年内担任供应商的董事、监事；</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（3）参加采购活动前3年内是供应商的控股股东或者实际控制人；</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（4）与供应商的法定代表人或者负责人有夫妻、直系血亲、三代以内旁系血亲或者近姻亲关系；</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（5）与供应商有其他可能影响政府采购活动公平、公正进行的关系。</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33" w:name="BookMK11"/>
      <w:r>
        <w:rPr>
          <w:rFonts w:hint="eastAsia" w:hAnsi="宋体" w:cs="宋体"/>
          <w:color w:val="000000" w:themeColor="text1"/>
          <w:sz w:val="24"/>
          <w14:textFill>
            <w14:solidFill>
              <w14:schemeClr w14:val="tx1"/>
            </w14:solidFill>
          </w14:textFill>
        </w:rPr>
        <w:t>6.联合体竞争性磋商</w:t>
      </w:r>
    </w:p>
    <w:bookmarkEnd w:id="33"/>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6.1本项目不接受联合体磋商。</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34" w:name="BookMK12"/>
      <w:r>
        <w:rPr>
          <w:rFonts w:hint="eastAsia" w:hAnsi="宋体" w:cs="宋体"/>
          <w:color w:val="000000" w:themeColor="text1"/>
          <w:sz w:val="24"/>
          <w14:textFill>
            <w14:solidFill>
              <w14:schemeClr w14:val="tx1"/>
            </w14:solidFill>
          </w14:textFill>
        </w:rPr>
        <w:t>7.磋商保证金</w:t>
      </w:r>
    </w:p>
    <w:bookmarkEnd w:id="34"/>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7.1本项目</w:t>
      </w:r>
      <w:r>
        <w:rPr>
          <w:rFonts w:hint="eastAsia" w:hAnsi="宋体" w:cs="宋体"/>
          <w:color w:val="000000" w:themeColor="text1"/>
          <w:sz w:val="24"/>
          <w:szCs w:val="24"/>
          <w:lang w:val="en-US" w:eastAsia="zh-CN"/>
          <w14:textFill>
            <w14:solidFill>
              <w14:schemeClr w14:val="tx1"/>
            </w14:solidFill>
          </w14:textFill>
        </w:rPr>
        <w:t>不</w:t>
      </w:r>
      <w:r>
        <w:rPr>
          <w:rFonts w:hint="eastAsia" w:hAnsi="宋体" w:cs="宋体"/>
          <w:color w:val="000000" w:themeColor="text1"/>
          <w:sz w:val="24"/>
          <w:szCs w:val="24"/>
          <w14:textFill>
            <w14:solidFill>
              <w14:schemeClr w14:val="tx1"/>
            </w14:solidFill>
          </w14:textFill>
        </w:rPr>
        <w:t>收取磋商保证金。</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35" w:name="BookMK13"/>
      <w:r>
        <w:rPr>
          <w:rFonts w:hint="eastAsia" w:hAnsi="宋体" w:cs="宋体"/>
          <w:color w:val="000000" w:themeColor="text1"/>
          <w:sz w:val="24"/>
          <w14:textFill>
            <w14:solidFill>
              <w14:schemeClr w14:val="tx1"/>
            </w14:solidFill>
          </w14:textFill>
        </w:rPr>
        <w:t>8.响应文件有效期（实质性要求）</w:t>
      </w:r>
    </w:p>
    <w:bookmarkEnd w:id="35"/>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本项目响应文件有效期为递交磋商响应文件截止之日起</w:t>
      </w:r>
      <w:r>
        <w:rPr>
          <w:rFonts w:hint="eastAsia" w:hAnsi="宋体" w:cs="宋体"/>
          <w:color w:val="000000" w:themeColor="text1"/>
          <w:sz w:val="24"/>
          <w:szCs w:val="24"/>
          <w:u w:val="single"/>
          <w14:textFill>
            <w14:solidFill>
              <w14:schemeClr w14:val="tx1"/>
            </w14:solidFill>
          </w14:textFill>
        </w:rPr>
        <w:t>90</w:t>
      </w:r>
      <w:r>
        <w:rPr>
          <w:rFonts w:hint="eastAsia" w:hAnsi="宋体" w:cs="宋体"/>
          <w:color w:val="000000" w:themeColor="text1"/>
          <w:sz w:val="24"/>
          <w:szCs w:val="24"/>
          <w14:textFill>
            <w14:solidFill>
              <w14:schemeClr w14:val="tx1"/>
            </w14:solidFill>
          </w14:textFill>
        </w:rPr>
        <w:t>天。供应商响应文件中必须载明响应文件有效期，响应文件中载明的响应文件有效期可以长于磋商文件规定的期限，但不得短于磋商文件规定的期限。否则，其响应文件将作为无效处理。</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36" w:name="BookMK14"/>
      <w:r>
        <w:rPr>
          <w:rFonts w:hint="eastAsia" w:hAnsi="宋体" w:cs="宋体"/>
          <w:color w:val="000000" w:themeColor="text1"/>
          <w:sz w:val="24"/>
          <w14:textFill>
            <w14:solidFill>
              <w14:schemeClr w14:val="tx1"/>
            </w14:solidFill>
          </w14:textFill>
        </w:rPr>
        <w:t>9.知识产权（实质性要求）</w:t>
      </w:r>
    </w:p>
    <w:bookmarkEnd w:id="36"/>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9.1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9.2除非磋商文件特别规定，采购人享有本项目实施过程中产生的知识成果及知识产权。</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9.3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 同时应当在响应文件中载明，并提供相关知识产权证明文件，否则视为供应商未在本项目实施过程中采用自有或者第三方知识成果，不影响有效性。</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9.4如采用供应商所不拥有的知识产权，则在报价中必须包括合法获取该知识产权的相关费用。</w:t>
      </w:r>
      <w:bookmarkStart w:id="37" w:name="_Toc217446038"/>
      <w:bookmarkStart w:id="38" w:name="_Toc183682346"/>
      <w:bookmarkStart w:id="39" w:name="_Toc183582209"/>
      <w:bookmarkStart w:id="40" w:name="_Toc77400779"/>
      <w:bookmarkStart w:id="41" w:name="_Toc89075875"/>
    </w:p>
    <w:p>
      <w:pPr>
        <w:pStyle w:val="4"/>
        <w:keepNext w:val="0"/>
        <w:keepLines w:val="0"/>
        <w:spacing w:before="0" w:after="0" w:line="520" w:lineRule="exact"/>
        <w:jc w:val="center"/>
        <w:rPr>
          <w:rFonts w:ascii="宋体" w:hAnsi="宋体" w:eastAsia="宋体" w:cs="宋体"/>
          <w:bCs w:val="0"/>
          <w:color w:val="000000" w:themeColor="text1"/>
          <w:sz w:val="30"/>
          <w:szCs w:val="30"/>
          <w14:textFill>
            <w14:solidFill>
              <w14:schemeClr w14:val="tx1"/>
            </w14:solidFill>
          </w14:textFill>
        </w:rPr>
      </w:pPr>
      <w:bookmarkStart w:id="42" w:name="BookMK15"/>
      <w:r>
        <w:rPr>
          <w:rFonts w:hint="eastAsia" w:ascii="宋体" w:hAnsi="宋体" w:eastAsia="宋体" w:cs="宋体"/>
          <w:bCs w:val="0"/>
          <w:color w:val="000000" w:themeColor="text1"/>
          <w:sz w:val="30"/>
          <w:szCs w:val="30"/>
          <w14:textFill>
            <w14:solidFill>
              <w14:schemeClr w14:val="tx1"/>
            </w14:solidFill>
          </w14:textFill>
        </w:rPr>
        <w:t>三、竞争性磋商文件</w:t>
      </w:r>
      <w:bookmarkEnd w:id="37"/>
      <w:bookmarkEnd w:id="38"/>
      <w:bookmarkEnd w:id="39"/>
      <w:bookmarkEnd w:id="40"/>
      <w:bookmarkEnd w:id="41"/>
      <w:bookmarkStart w:id="43" w:name="_Toc217446039"/>
      <w:bookmarkStart w:id="44" w:name="_Toc183582210"/>
      <w:bookmarkStart w:id="45" w:name="_Toc183682347"/>
    </w:p>
    <w:bookmarkEnd w:id="42"/>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46" w:name="BookMK16"/>
      <w:r>
        <w:rPr>
          <w:rFonts w:hint="eastAsia" w:hAnsi="宋体" w:cs="宋体"/>
          <w:color w:val="000000" w:themeColor="text1"/>
          <w:sz w:val="24"/>
          <w14:textFill>
            <w14:solidFill>
              <w14:schemeClr w14:val="tx1"/>
            </w14:solidFill>
          </w14:textFill>
        </w:rPr>
        <w:t>10.竞争性磋商文件的构成</w:t>
      </w:r>
      <w:bookmarkEnd w:id="43"/>
      <w:bookmarkEnd w:id="44"/>
      <w:bookmarkEnd w:id="45"/>
    </w:p>
    <w:bookmarkEnd w:id="46"/>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bookmarkStart w:id="47" w:name="_Toc183682348"/>
      <w:bookmarkStart w:id="48" w:name="_Toc183582211"/>
      <w:bookmarkStart w:id="49" w:name="_Toc217446040"/>
      <w:r>
        <w:rPr>
          <w:rFonts w:hint="eastAsia" w:hAnsi="宋体" w:cs="宋体"/>
          <w:color w:val="000000" w:themeColor="text1"/>
          <w:sz w:val="24"/>
          <w:szCs w:val="24"/>
          <w14:textFill>
            <w14:solidFill>
              <w14:schemeClr w14:val="tx1"/>
            </w14:solidFill>
          </w14:textFill>
        </w:rPr>
        <w:t>10.1竞争性磋商文件是供应商准备响应文件和参加磋商的依据，同时也是磋商的重要依据。竞争性磋商文件用以阐明磋商项目所需的资质、技术、服务及报价等要求、磋商程序、有关规定和注意事项以及合同主要条款等。</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10.2供应商应认真阅读和充分理解竞争性磋商文件中所有的事项、格式条款和规范要求。供应商应详细阅读竞争性磋商文件的全部内容，按照竞争性磋商文件的要求提供响应文件，并保证所提供的全部资料的真实性和有效性，一经发现有虚假行为的，将取消其参加磋商或成交资格，并承担相应的法律责任。</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50" w:name="BookMK17"/>
      <w:r>
        <w:rPr>
          <w:rFonts w:hint="eastAsia" w:hAnsi="宋体" w:cs="宋体"/>
          <w:color w:val="000000" w:themeColor="text1"/>
          <w:sz w:val="24"/>
          <w14:textFill>
            <w14:solidFill>
              <w14:schemeClr w14:val="tx1"/>
            </w14:solidFill>
          </w14:textFill>
        </w:rPr>
        <w:t>11.磋商文件的澄清</w:t>
      </w:r>
      <w:bookmarkEnd w:id="47"/>
      <w:bookmarkEnd w:id="48"/>
      <w:r>
        <w:rPr>
          <w:rFonts w:hint="eastAsia" w:hAnsi="宋体" w:cs="宋体"/>
          <w:color w:val="000000" w:themeColor="text1"/>
          <w:sz w:val="24"/>
          <w14:textFill>
            <w14:solidFill>
              <w14:schemeClr w14:val="tx1"/>
            </w14:solidFill>
          </w14:textFill>
        </w:rPr>
        <w:t>和修改</w:t>
      </w:r>
      <w:bookmarkEnd w:id="49"/>
    </w:p>
    <w:bookmarkEnd w:id="50"/>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bookmarkStart w:id="51" w:name="_Toc208848971"/>
      <w:bookmarkStart w:id="52" w:name="_Toc217446041"/>
      <w:r>
        <w:rPr>
          <w:rFonts w:hint="eastAsia" w:hAnsi="宋体" w:cs="宋体"/>
          <w:color w:val="000000" w:themeColor="text1"/>
          <w:sz w:val="24"/>
          <w:szCs w:val="24"/>
          <w14:textFill>
            <w14:solidFill>
              <w14:schemeClr w14:val="tx1"/>
            </w14:solidFill>
          </w14:textFill>
        </w:rPr>
        <w:t>11.1在递交响应文件截止时间前，采购人、采购代理机构可以对磋商文件进行澄清或者修改。</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11.2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之日起5日前；不足上述时间的，应当顺延递交响应文件的截止时间。</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11.3供应商认为需要对磋商文件进行澄清或者修改的，可以以书面形式向采购人或采购代理机构提出申请，由采购人或采购代理机构决定是否采纳供应商的申请事项。</w:t>
      </w:r>
      <w:r>
        <w:rPr>
          <w:rFonts w:hint="eastAsia" w:hAnsi="宋体" w:cs="宋体"/>
          <w:color w:val="000000" w:themeColor="text1"/>
          <w:sz w:val="24"/>
          <w:szCs w:val="24"/>
          <w14:textFill>
            <w14:solidFill>
              <w14:schemeClr w14:val="tx1"/>
            </w14:solidFill>
          </w14:textFill>
        </w:rPr>
        <w:tab/>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11.4供应商应于递交响应文件截止前，在四川政府采购网查询本项目的更正公告，以保证其对磋商文件做出正确的响应。供应商未按要求下载相关文件，或由于未及时关注更正公告的信息造成的后果，其责任由供应商自行负责。</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更正通知通过供应商报名时备注的电子邮箱发送至所有购买磋商文件的供应商，供应商在收到相应更正通知后，以书面形式给予确认。如供应商未给予书面回复，则视为收到并认可该更正通知的内容。</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53" w:name="BookMK18"/>
      <w:r>
        <w:rPr>
          <w:rFonts w:hint="eastAsia" w:hAnsi="宋体" w:cs="宋体"/>
          <w:color w:val="000000" w:themeColor="text1"/>
          <w:sz w:val="24"/>
          <w14:textFill>
            <w14:solidFill>
              <w14:schemeClr w14:val="tx1"/>
            </w14:solidFill>
          </w14:textFill>
        </w:rPr>
        <w:t>12.答疑会和现场考察</w:t>
      </w:r>
      <w:bookmarkEnd w:id="51"/>
      <w:bookmarkEnd w:id="52"/>
    </w:p>
    <w:bookmarkEnd w:id="53"/>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12.1根据采购项目和具体情况，采购人、采购代理机构认为有必要，可以在磋商文件提供期限截止后响应文件提交截止前，组织已获取磋商文件的潜在供应商现场考察或者召开答疑会。</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12.3供应商考察现场或者参加答疑会所发生的一切费用由供应商自己承担。</w:t>
      </w:r>
      <w:bookmarkStart w:id="54" w:name="_Toc217446042"/>
      <w:bookmarkStart w:id="55" w:name="_Toc183682351"/>
      <w:bookmarkStart w:id="56" w:name="_Toc89075876"/>
      <w:bookmarkStart w:id="57" w:name="_Toc77400780"/>
      <w:bookmarkStart w:id="58" w:name="_Toc183582214"/>
    </w:p>
    <w:p>
      <w:pPr>
        <w:pStyle w:val="4"/>
        <w:keepNext w:val="0"/>
        <w:keepLines w:val="0"/>
        <w:spacing w:before="0" w:after="0" w:line="520" w:lineRule="exact"/>
        <w:jc w:val="center"/>
        <w:rPr>
          <w:rFonts w:ascii="宋体" w:hAnsi="宋体" w:eastAsia="宋体" w:cs="宋体"/>
          <w:bCs w:val="0"/>
          <w:color w:val="000000" w:themeColor="text1"/>
          <w:sz w:val="30"/>
          <w:szCs w:val="30"/>
          <w14:textFill>
            <w14:solidFill>
              <w14:schemeClr w14:val="tx1"/>
            </w14:solidFill>
          </w14:textFill>
        </w:rPr>
      </w:pPr>
      <w:bookmarkStart w:id="59" w:name="BookMK19"/>
      <w:r>
        <w:rPr>
          <w:rFonts w:hint="eastAsia" w:ascii="宋体" w:hAnsi="宋体" w:eastAsia="宋体" w:cs="宋体"/>
          <w:bCs w:val="0"/>
          <w:color w:val="000000" w:themeColor="text1"/>
          <w:sz w:val="30"/>
          <w:szCs w:val="30"/>
          <w14:textFill>
            <w14:solidFill>
              <w14:schemeClr w14:val="tx1"/>
            </w14:solidFill>
          </w14:textFill>
        </w:rPr>
        <w:t>四、响应文件</w:t>
      </w:r>
      <w:bookmarkEnd w:id="54"/>
      <w:bookmarkEnd w:id="55"/>
      <w:bookmarkEnd w:id="56"/>
      <w:bookmarkEnd w:id="57"/>
      <w:bookmarkEnd w:id="58"/>
    </w:p>
    <w:bookmarkEnd w:id="59"/>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60" w:name="_Toc183682352"/>
      <w:bookmarkStart w:id="61" w:name="_Toc183582215"/>
      <w:bookmarkStart w:id="62" w:name="_Toc217446043"/>
      <w:bookmarkStart w:id="63" w:name="BookMK20"/>
      <w:r>
        <w:rPr>
          <w:rFonts w:hint="eastAsia" w:hAnsi="宋体" w:cs="宋体"/>
          <w:color w:val="000000" w:themeColor="text1"/>
          <w:sz w:val="24"/>
          <w14:textFill>
            <w14:solidFill>
              <w14:schemeClr w14:val="tx1"/>
            </w14:solidFill>
          </w14:textFill>
        </w:rPr>
        <w:t>13.响应文件的组成</w:t>
      </w:r>
    </w:p>
    <w:bookmarkEnd w:id="60"/>
    <w:bookmarkEnd w:id="61"/>
    <w:bookmarkEnd w:id="62"/>
    <w:bookmarkEnd w:id="63"/>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bookmarkStart w:id="64" w:name="BookMK21"/>
      <w:bookmarkStart w:id="65" w:name="_Toc183682353"/>
      <w:bookmarkStart w:id="66" w:name="_Toc217446044"/>
      <w:bookmarkStart w:id="67" w:name="_Toc183582216"/>
      <w:r>
        <w:rPr>
          <w:rFonts w:hint="eastAsia" w:hAnsi="宋体" w:cs="宋体"/>
          <w:color w:val="000000" w:themeColor="text1"/>
          <w:sz w:val="24"/>
          <w:szCs w:val="24"/>
          <w14:textFill>
            <w14:solidFill>
              <w14:schemeClr w14:val="tx1"/>
            </w14:solidFill>
          </w14:textFill>
        </w:rPr>
        <w:t xml:space="preserve">供应商应按照磋商文件的规定和要求编制响应文件。供应商在成交后将成交项目的非主体、非关键性工作分包他人完成的，应当在响应文件中载明或磋商过程中澄清。供应商的响应文件应包括资格性响应文件、其他响应文件。 </w:t>
      </w:r>
    </w:p>
    <w:p>
      <w:pPr>
        <w:tabs>
          <w:tab w:val="left" w:pos="7665"/>
        </w:tabs>
        <w:spacing w:line="520" w:lineRule="exact"/>
        <w:ind w:firstLine="241" w:firstLineChars="100"/>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 xml:space="preserve">资格性响应文件用于资格审查，应包括供应商响应磋商文件要求的资格条件的所有证明材料。（详见竞争性磋商文件第三章、第四章） </w:t>
      </w:r>
    </w:p>
    <w:p>
      <w:pPr>
        <w:tabs>
          <w:tab w:val="left" w:pos="7665"/>
        </w:tabs>
        <w:spacing w:line="520" w:lineRule="exact"/>
        <w:ind w:firstLine="241" w:firstLineChars="100"/>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其他响应文件用于磋商，应包括供应商响应磋商文件要求的资格条件以外的所有材料。（详见竞争性磋商文件第八章）</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14.响应文件的语言（实质性要求）</w:t>
      </w:r>
    </w:p>
    <w:bookmarkEnd w:id="64"/>
    <w:p>
      <w:pPr>
        <w:tabs>
          <w:tab w:val="left" w:pos="7665"/>
        </w:tabs>
        <w:spacing w:line="520" w:lineRule="exact"/>
        <w:ind w:firstLine="240" w:firstLineChars="100"/>
        <w:rPr>
          <w:rFonts w:hAnsi="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14.1</w:t>
      </w:r>
      <w:r>
        <w:rPr>
          <w:rFonts w:hint="eastAsia" w:hAnsi="宋体"/>
          <w:color w:val="000000" w:themeColor="text1"/>
          <w:sz w:val="24"/>
          <w:szCs w:val="24"/>
          <w14:textFill>
            <w14:solidFill>
              <w14:schemeClr w14:val="tx1"/>
            </w14:solidFill>
          </w14:textFill>
        </w:rPr>
        <w:t>供应商提交的响应文件以及供应商与采购单位就有关磋商的所有来往书面文件均须使用中文。响应文件中如附有外文资料，必须逐一对应翻译成中文并加盖供应商公章后附在相关外文资料后面，否则，视为未提供该资料。对于供应商的法定代表人为外籍人士的，法定代表人的签字和护照、行业标准、国家标准、国际标准或行业认证等需要以非中文表述且不宜翻译为中文的除外。</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14.2翻译的中文资料与外文资料如果出现差异和矛盾，以中文为准。但不能故意错误翻译，否则，供应商的响应文件将作为无效处理。</w:t>
      </w:r>
    </w:p>
    <w:bookmarkEnd w:id="65"/>
    <w:bookmarkEnd w:id="66"/>
    <w:bookmarkEnd w:id="67"/>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68" w:name="BookMK22"/>
      <w:r>
        <w:rPr>
          <w:rFonts w:hint="eastAsia" w:hAnsi="宋体" w:cs="宋体"/>
          <w:color w:val="000000" w:themeColor="text1"/>
          <w:sz w:val="24"/>
          <w14:textFill>
            <w14:solidFill>
              <w14:schemeClr w14:val="tx1"/>
            </w14:solidFill>
          </w14:textFill>
        </w:rPr>
        <w:t>15．计量单位（实质性要求）</w:t>
      </w:r>
    </w:p>
    <w:bookmarkEnd w:id="68"/>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除磋商文件中另有规定外，本次采购项目所有合同项下的报价均采用国家法定的计量单位。</w:t>
      </w:r>
      <w:bookmarkStart w:id="69" w:name="_Toc217446045"/>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70" w:name="BookMK23"/>
      <w:r>
        <w:rPr>
          <w:rFonts w:hint="eastAsia" w:hAnsi="宋体" w:cs="宋体"/>
          <w:color w:val="000000" w:themeColor="text1"/>
          <w:sz w:val="24"/>
          <w14:textFill>
            <w14:solidFill>
              <w14:schemeClr w14:val="tx1"/>
            </w14:solidFill>
          </w14:textFill>
        </w:rPr>
        <w:t>16.报价（实质性要求）</w:t>
      </w:r>
    </w:p>
    <w:bookmarkEnd w:id="70"/>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16.1所有报价货币一律以人民币报价，报价以磋商文件规定为准。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16.2本次磋商采购最后报价采用现场报价，由评审委员会通知通过资格审查及实质性审查的供应商按磋商小组要求进行报价。</w:t>
      </w:r>
    </w:p>
    <w:p>
      <w:pPr>
        <w:tabs>
          <w:tab w:val="left" w:pos="7665"/>
        </w:tabs>
        <w:spacing w:line="520" w:lineRule="exact"/>
        <w:ind w:firstLine="241" w:firstLineChars="100"/>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注：第N次或最后报价表由采购代理机构现场提供。</w:t>
      </w:r>
    </w:p>
    <w:bookmarkEnd w:id="69"/>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71" w:name="BookMK24"/>
      <w:bookmarkStart w:id="72" w:name="_Toc183582224"/>
      <w:bookmarkStart w:id="73" w:name="_Toc183682361"/>
      <w:bookmarkStart w:id="74" w:name="_Toc217446051"/>
      <w:r>
        <w:rPr>
          <w:rFonts w:hint="eastAsia" w:hAnsi="宋体" w:cs="宋体"/>
          <w:color w:val="000000" w:themeColor="text1"/>
          <w:sz w:val="24"/>
          <w14:textFill>
            <w14:solidFill>
              <w14:schemeClr w14:val="tx1"/>
            </w14:solidFill>
          </w14:textFill>
        </w:rPr>
        <w:t>17.响应文件格式</w:t>
      </w:r>
    </w:p>
    <w:bookmarkEnd w:id="71"/>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17.1供应商应执行磋商文件第八章的规定要求。</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17.2对于没有格式要求的磋商文件由供应商自行拟定。</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75" w:name="BookMK25"/>
      <w:r>
        <w:rPr>
          <w:rFonts w:hint="eastAsia" w:hAnsi="宋体" w:cs="宋体"/>
          <w:color w:val="000000" w:themeColor="text1"/>
          <w:sz w:val="24"/>
          <w14:textFill>
            <w14:solidFill>
              <w14:schemeClr w14:val="tx1"/>
            </w14:solidFill>
          </w14:textFill>
        </w:rPr>
        <w:t>18.响应文件编制要求</w:t>
      </w:r>
    </w:p>
    <w:bookmarkEnd w:id="72"/>
    <w:bookmarkEnd w:id="73"/>
    <w:bookmarkEnd w:id="74"/>
    <w:bookmarkEnd w:id="75"/>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bookmarkStart w:id="76" w:name="BookMK26"/>
      <w:bookmarkStart w:id="77" w:name="_Toc77400781"/>
      <w:bookmarkStart w:id="78" w:name="_Toc217446053"/>
      <w:bookmarkStart w:id="79" w:name="_Toc183682363"/>
      <w:bookmarkStart w:id="80" w:name="_Toc183582226"/>
      <w:bookmarkStart w:id="81" w:name="_Toc89075877"/>
      <w:r>
        <w:rPr>
          <w:rFonts w:hint="eastAsia" w:hAnsi="宋体" w:cs="宋体"/>
          <w:color w:val="000000" w:themeColor="text1"/>
          <w:sz w:val="24"/>
          <w:szCs w:val="24"/>
          <w14:textFill>
            <w14:solidFill>
              <w14:schemeClr w14:val="tx1"/>
            </w14:solidFill>
          </w14:textFill>
        </w:rPr>
        <w:t>18.1 资格性响应文件正本</w:t>
      </w:r>
      <w:r>
        <w:rPr>
          <w:rFonts w:hint="eastAsia" w:hAnsi="宋体" w:cs="宋体"/>
          <w:color w:val="000000" w:themeColor="text1"/>
          <w:sz w:val="24"/>
          <w:szCs w:val="24"/>
          <w:u w:val="single"/>
          <w14:textFill>
            <w14:solidFill>
              <w14:schemeClr w14:val="tx1"/>
            </w14:solidFill>
          </w14:textFill>
        </w:rPr>
        <w:t>一份</w:t>
      </w:r>
      <w:r>
        <w:rPr>
          <w:rFonts w:hint="eastAsia" w:hAnsi="宋体" w:cs="宋体"/>
          <w:color w:val="000000" w:themeColor="text1"/>
          <w:sz w:val="24"/>
          <w:szCs w:val="24"/>
          <w14:textFill>
            <w14:solidFill>
              <w14:schemeClr w14:val="tx1"/>
            </w14:solidFill>
          </w14:textFill>
        </w:rPr>
        <w:t>副本</w:t>
      </w:r>
      <w:r>
        <w:rPr>
          <w:rFonts w:hint="eastAsia" w:hAnsi="宋体" w:cs="宋体"/>
          <w:color w:val="000000" w:themeColor="text1"/>
          <w:sz w:val="24"/>
          <w:szCs w:val="24"/>
          <w:u w:val="single"/>
          <w14:textFill>
            <w14:solidFill>
              <w14:schemeClr w14:val="tx1"/>
            </w14:solidFill>
          </w14:textFill>
        </w:rPr>
        <w:t>两份</w:t>
      </w:r>
      <w:r>
        <w:rPr>
          <w:rFonts w:hint="eastAsia" w:hAnsi="宋体" w:cs="宋体"/>
          <w:color w:val="000000" w:themeColor="text1"/>
          <w:sz w:val="24"/>
          <w:szCs w:val="24"/>
          <w14:textFill>
            <w14:solidFill>
              <w14:schemeClr w14:val="tx1"/>
            </w14:solidFill>
          </w14:textFill>
        </w:rPr>
        <w:t xml:space="preserve">，正副本数量不足的按无效响应处理。资格性响应文件正本和副本应分别制作。资格性响应文件封面上清楚地标明资格性响应文件、采购项目名称、采购项目编号、包号（如涉及）、供应商名称以及“正本”或“副本”字样。若正本和副本有不一致的内容，以正本书面响应文件为准。 </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18.2 其他响应文件正本</w:t>
      </w:r>
      <w:r>
        <w:rPr>
          <w:rFonts w:hint="eastAsia" w:hAnsi="宋体" w:cs="宋体"/>
          <w:color w:val="000000" w:themeColor="text1"/>
          <w:sz w:val="24"/>
          <w:szCs w:val="24"/>
          <w:u w:val="single"/>
          <w14:textFill>
            <w14:solidFill>
              <w14:schemeClr w14:val="tx1"/>
            </w14:solidFill>
          </w14:textFill>
        </w:rPr>
        <w:t>一份</w:t>
      </w:r>
      <w:r>
        <w:rPr>
          <w:rFonts w:hint="eastAsia" w:hAnsi="宋体" w:cs="宋体"/>
          <w:color w:val="000000" w:themeColor="text1"/>
          <w:sz w:val="24"/>
          <w:szCs w:val="24"/>
          <w14:textFill>
            <w14:solidFill>
              <w14:schemeClr w14:val="tx1"/>
            </w14:solidFill>
          </w14:textFill>
        </w:rPr>
        <w:t>副本</w:t>
      </w:r>
      <w:r>
        <w:rPr>
          <w:rFonts w:hint="eastAsia" w:hAnsi="宋体" w:cs="宋体"/>
          <w:color w:val="000000" w:themeColor="text1"/>
          <w:sz w:val="24"/>
          <w:szCs w:val="24"/>
          <w:u w:val="single"/>
          <w14:textFill>
            <w14:solidFill>
              <w14:schemeClr w14:val="tx1"/>
            </w14:solidFill>
          </w14:textFill>
        </w:rPr>
        <w:t>两份</w:t>
      </w:r>
      <w:r>
        <w:rPr>
          <w:rFonts w:hint="eastAsia" w:hAnsi="宋体" w:cs="宋体"/>
          <w:color w:val="000000" w:themeColor="text1"/>
          <w:sz w:val="24"/>
          <w:szCs w:val="24"/>
          <w14:textFill>
            <w14:solidFill>
              <w14:schemeClr w14:val="tx1"/>
            </w14:solidFill>
          </w14:textFill>
        </w:rPr>
        <w:t xml:space="preserve">，正副本数量不足的按无效响应处理。其他响应文件正本和副本应分别制作。其他响应文件封面上清楚地标明其他响应文件、采购项目名称、采购项目编号、包号（如涉及）、供应商名称以及“正本”或“副本”字样。若正本和副本有不一致的内容，以正本书面响应文件为准。 </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18.3</w:t>
      </w:r>
      <w:r>
        <w:rPr>
          <w:rFonts w:hint="eastAsia" w:hAnsi="宋体"/>
          <w:color w:val="000000" w:themeColor="text1"/>
          <w:sz w:val="24"/>
          <w:szCs w:val="24"/>
          <w14:textFill>
            <w14:solidFill>
              <w14:schemeClr w14:val="tx1"/>
            </w14:solidFill>
          </w14:textFill>
        </w:rPr>
        <w:t>本项目供应商只提供纸质响应文件</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18.4 响应文件的打印和书写清楚工整。 </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18.5 响应文件编制目录并逐页编码。 </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18.6 响应文件统一用 A4 幅面纸印制</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图、表及证件可以除外</w:t>
      </w:r>
      <w:r>
        <w:rPr>
          <w:rFonts w:hAnsi="宋体"/>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 xml:space="preserve">。 </w:t>
      </w:r>
    </w:p>
    <w:p>
      <w:pPr>
        <w:pStyle w:val="90"/>
        <w:spacing w:line="360" w:lineRule="auto"/>
        <w:ind w:firstLine="24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18.7 （实质性要求）响应文件应在磋商文件要求签字的地方签字或加盖印章（供应商为法人的，由其法定代表人或者代理人签字或加盖印章；供应商为其他组织的，由其负责人或者代理人签字或加盖印章；供应商为自然人的，由其本人或者代理人签字或加盖印章），要求加盖公章的地方加盖单位公章，不得使用专用章（如经济合同章、投标专用章等）或下属单位印章代替。本文件加盖单位公章均要求加盖公章鲜章。（注：</w:t>
      </w:r>
      <w:r>
        <w:rPr>
          <w:rFonts w:hint="eastAsia"/>
          <w:color w:val="000000" w:themeColor="text1"/>
          <w:lang w:val="zh-CN"/>
          <w14:textFill>
            <w14:solidFill>
              <w14:schemeClr w14:val="tx1"/>
            </w14:solidFill>
          </w14:textFill>
        </w:rPr>
        <w:t>本磋商文件第九章规定的不作为实质性要求的除外</w:t>
      </w:r>
      <w:r>
        <w:rPr>
          <w:rFonts w:hint="eastAsia"/>
          <w:color w:val="000000" w:themeColor="text1"/>
          <w14:textFill>
            <w14:solidFill>
              <w14:schemeClr w14:val="tx1"/>
            </w14:solidFill>
          </w14:textFill>
        </w:rPr>
        <w:t>）</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18.8 响应文件中任何行间插字、涂改或增删，必须由供应商的法定代表人或其授权代表签字并盖供应商公章。 </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18.9 响应文件正本和副本应当采用胶装方式装订成册，不得散装或者合页装订。 </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18.10 响应文件应根据磋商文件的要求制作，响应文件副本可采用正本的复印件。 </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19.响应文件的密封和标注（</w:t>
      </w:r>
      <w:r>
        <w:rPr>
          <w:rFonts w:hint="eastAsia" w:hAnsi="宋体" w:cs="宋体"/>
          <w:color w:val="000000" w:themeColor="text1"/>
          <w:sz w:val="24"/>
          <w:szCs w:val="24"/>
          <w14:textFill>
            <w14:solidFill>
              <w14:schemeClr w14:val="tx1"/>
            </w14:solidFill>
          </w14:textFill>
        </w:rPr>
        <w:t>响应文件的密封和标注不属于本项目磋商小组评审范畴，由采购人、采购代理机构在接收响应文件时及时处理</w:t>
      </w:r>
      <w:r>
        <w:rPr>
          <w:rFonts w:hint="eastAsia" w:hAnsi="宋体" w:cs="宋体"/>
          <w:color w:val="000000" w:themeColor="text1"/>
          <w:sz w:val="24"/>
          <w14:textFill>
            <w14:solidFill>
              <w14:schemeClr w14:val="tx1"/>
            </w14:solidFill>
          </w14:textFill>
        </w:rPr>
        <w:t>）</w:t>
      </w:r>
    </w:p>
    <w:bookmarkEnd w:id="76"/>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19.1响应文件可以单独密封包装，也可以所有响应文件密封包装在一个密封袋内。</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19.2响应文件密封袋的最外层应清楚地标明采购项目名称、采购项目编号、包件号及名称（若有）、供应商名称、年 月 日。</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19.3所有外层密封袋的封口处应粘贴牢固，并加盖单位公章。</w:t>
      </w:r>
    </w:p>
    <w:p>
      <w:pPr>
        <w:tabs>
          <w:tab w:val="left" w:pos="7665"/>
        </w:tabs>
        <w:spacing w:line="520" w:lineRule="exact"/>
        <w:ind w:firstLine="241" w:firstLineChars="100"/>
        <w:rPr>
          <w:rFonts w:hAnsi="宋体" w:cs="宋体"/>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注：未按以上要求进行密封和标注的响应文件，采购人、采购代理机构将拒收或者在响应文件递交截止时间前按照磋商文件要求修改完善后接收。</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82" w:name="BookMK27"/>
      <w:r>
        <w:rPr>
          <w:rFonts w:hint="eastAsia" w:hAnsi="宋体" w:cs="宋体"/>
          <w:color w:val="000000" w:themeColor="text1"/>
          <w:sz w:val="24"/>
          <w14:textFill>
            <w14:solidFill>
              <w14:schemeClr w14:val="tx1"/>
            </w14:solidFill>
          </w14:textFill>
        </w:rPr>
        <w:t>20.响应文件的递交</w:t>
      </w:r>
    </w:p>
    <w:bookmarkEnd w:id="82"/>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20.1供应商应在竞争性磋商文件规定的磋商截止时间前，将响应文件按磋商文件规定密封、签署、盖章后送达磋商地点。逾期送达的响应文件为无效文件，将被采购代理机构拒收。</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20.2采购代理机构将向通过资格审查的供应商发出磋商邀请；告知未通过资格审查的供应商未通过的原因。</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20.3最终报价表在磋商后，磋商小组要求供应商进行最后报价时递交。</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20.4本次磋商不接收邮寄的响应文件。</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20.5首次递交响应文件的供应商不足 3 家的，本次竞争性磋商采购活动终止，并发布终止竞争性磋商公告。</w:t>
      </w:r>
    </w:p>
    <w:bookmarkEnd w:id="77"/>
    <w:bookmarkEnd w:id="78"/>
    <w:bookmarkEnd w:id="79"/>
    <w:bookmarkEnd w:id="80"/>
    <w:bookmarkEnd w:id="81"/>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83" w:name="BookMK28"/>
      <w:bookmarkStart w:id="84" w:name="_Toc183582228"/>
      <w:bookmarkStart w:id="85" w:name="_Toc183682365"/>
      <w:bookmarkStart w:id="86" w:name="_Toc217446055"/>
      <w:r>
        <w:rPr>
          <w:rFonts w:hint="eastAsia" w:hAnsi="宋体" w:cs="宋体"/>
          <w:color w:val="000000" w:themeColor="text1"/>
          <w:sz w:val="24"/>
          <w14:textFill>
            <w14:solidFill>
              <w14:schemeClr w14:val="tx1"/>
            </w14:solidFill>
          </w14:textFill>
        </w:rPr>
        <w:t>21.响应文件的修改和撤回</w:t>
      </w:r>
    </w:p>
    <w:bookmarkEnd w:id="83"/>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21.2供应商对响应文件修改的书面材料或撤回的通知应该按规定进行编写、密封、标注和递送，并注明“修改响应文件”字样。</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21.3供应商不得在递交截止时间起至响应文件有效期期满前撤销其响应文件。否则其磋商保证金将按“磋商文件”的相关规定被没收。</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21.4响应文件中报价如果出现下列不一致的，可按以下原则进行修改：</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（一）大写金额和小写金额不一致的，以大写金额为准，但大写金额文字存在错误的，应当先对大写金额的文字错误进行澄清、说明或者更正，再行修正。</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（二）总价金额与按单价汇总金额不一致的，以单价金额计算结果为准，但单价或者单价汇总金额存在数字或者文字错误的，应当先对数字或者文字错误进行澄清、说明或者更正，再行修正。</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（三）单价金额小数点或者百分比有明显错位的，以总价为准，修正单价。</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21.5供应商对其提交的响应文件的真实性、合法性承担法律责任。</w:t>
      </w:r>
      <w:bookmarkEnd w:id="84"/>
      <w:bookmarkEnd w:id="85"/>
      <w:bookmarkEnd w:id="86"/>
    </w:p>
    <w:p>
      <w:pPr>
        <w:pStyle w:val="4"/>
        <w:keepNext w:val="0"/>
        <w:keepLines w:val="0"/>
        <w:spacing w:line="520" w:lineRule="exact"/>
        <w:jc w:val="center"/>
        <w:rPr>
          <w:rFonts w:ascii="宋体" w:hAnsi="宋体" w:eastAsia="宋体" w:cs="宋体"/>
          <w:color w:val="000000" w:themeColor="text1"/>
          <w:sz w:val="30"/>
          <w:szCs w:val="30"/>
          <w14:textFill>
            <w14:solidFill>
              <w14:schemeClr w14:val="tx1"/>
            </w14:solidFill>
          </w14:textFill>
        </w:rPr>
      </w:pPr>
      <w:bookmarkStart w:id="87" w:name="BookMK29"/>
      <w:bookmarkStart w:id="88" w:name="_Toc77400782"/>
      <w:bookmarkStart w:id="89" w:name="_Toc89075878"/>
      <w:bookmarkStart w:id="90" w:name="_Toc183682368"/>
      <w:bookmarkStart w:id="91" w:name="_Toc217446056"/>
      <w:bookmarkStart w:id="92" w:name="_Toc183582231"/>
      <w:r>
        <w:rPr>
          <w:rFonts w:hint="eastAsia" w:ascii="宋体" w:hAnsi="宋体" w:eastAsia="宋体" w:cs="宋体"/>
          <w:color w:val="000000" w:themeColor="text1"/>
          <w:sz w:val="30"/>
          <w:szCs w:val="30"/>
          <w14:textFill>
            <w14:solidFill>
              <w14:schemeClr w14:val="tx1"/>
            </w14:solidFill>
          </w14:textFill>
        </w:rPr>
        <w:t>五、评审</w:t>
      </w:r>
    </w:p>
    <w:bookmarkEnd w:id="87"/>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93" w:name="BookMK30"/>
      <w:r>
        <w:rPr>
          <w:rFonts w:hint="eastAsia" w:hAnsi="宋体" w:cs="宋体"/>
          <w:color w:val="000000" w:themeColor="text1"/>
          <w:sz w:val="24"/>
          <w14:textFill>
            <w14:solidFill>
              <w14:schemeClr w14:val="tx1"/>
            </w14:solidFill>
          </w14:textFill>
        </w:rPr>
        <w:t>22.</w:t>
      </w:r>
      <w:r>
        <w:rPr>
          <w:rFonts w:hint="eastAsia" w:hAnsi="宋体" w:cs="宋体"/>
          <w:b w:val="0"/>
          <w:bCs w:val="0"/>
          <w:color w:val="000000" w:themeColor="text1"/>
          <w:sz w:val="24"/>
          <w:szCs w:val="24"/>
          <w14:textFill>
            <w14:solidFill>
              <w14:schemeClr w14:val="tx1"/>
            </w14:solidFill>
          </w14:textFill>
        </w:rPr>
        <w:t>磋商小组的组建及其评审工作按照有关法律制度和本采购文件第九章的规定进行。</w:t>
      </w:r>
    </w:p>
    <w:bookmarkEnd w:id="93"/>
    <w:p>
      <w:pPr>
        <w:pStyle w:val="4"/>
        <w:keepNext w:val="0"/>
        <w:keepLines w:val="0"/>
        <w:spacing w:line="520" w:lineRule="exact"/>
        <w:jc w:val="center"/>
        <w:rPr>
          <w:rFonts w:ascii="宋体" w:hAnsi="宋体" w:eastAsia="宋体" w:cs="宋体"/>
          <w:color w:val="000000" w:themeColor="text1"/>
          <w:sz w:val="30"/>
          <w:szCs w:val="30"/>
          <w14:textFill>
            <w14:solidFill>
              <w14:schemeClr w14:val="tx1"/>
            </w14:solidFill>
          </w14:textFill>
        </w:rPr>
      </w:pPr>
      <w:bookmarkStart w:id="94" w:name="BookMK31"/>
      <w:r>
        <w:rPr>
          <w:rFonts w:hint="eastAsia" w:ascii="宋体" w:hAnsi="宋体" w:eastAsia="宋体" w:cs="宋体"/>
          <w:color w:val="000000" w:themeColor="text1"/>
          <w:sz w:val="30"/>
          <w:szCs w:val="30"/>
          <w14:textFill>
            <w14:solidFill>
              <w14:schemeClr w14:val="tx1"/>
            </w14:solidFill>
          </w14:textFill>
        </w:rPr>
        <w:t>六、成交事项</w:t>
      </w:r>
    </w:p>
    <w:bookmarkEnd w:id="94"/>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95" w:name="BookMK32"/>
      <w:r>
        <w:rPr>
          <w:rFonts w:hint="eastAsia" w:hAnsi="宋体" w:cs="宋体"/>
          <w:color w:val="000000" w:themeColor="text1"/>
          <w:sz w:val="24"/>
          <w14:textFill>
            <w14:solidFill>
              <w14:schemeClr w14:val="tx1"/>
            </w14:solidFill>
          </w14:textFill>
        </w:rPr>
        <w:t>23.确定成交供应商</w:t>
      </w:r>
    </w:p>
    <w:bookmarkEnd w:id="95"/>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采购人将按磋商小组推荐的成交候选供应商顺序确定成交供应商。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23.1采购代理机构自评审结束后2个工作日内将磋商报告及有关资料送交采购人确定成交供应商。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23.3采购人确定成交供应商过程中，发现成交候选供应商有下列情形之一的，应当不予确定其为成交供应商：</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（1）发现成交候选供应商存在禁止参加本项目采购活动的违法行为的；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（2）成交候选供应商因不可抗力，不能继续参加政府采购活动；</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（3）成交候选供应商无偿赠与或者低于成本价竞争；</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（4）成交候选供应商提供虚假材料；</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（5）成交候选供应商恶意串通。</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成交候选供应商有本条情形之一的，采购人可以确定后一位成交候选供应商为成交供应商，依次类推。无法确定成交供应商的，应当重新组织采购。</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96" w:name="BookMK33"/>
      <w:r>
        <w:rPr>
          <w:rFonts w:hint="eastAsia" w:hAnsi="宋体" w:cs="宋体"/>
          <w:color w:val="000000" w:themeColor="text1"/>
          <w:sz w:val="24"/>
          <w14:textFill>
            <w14:solidFill>
              <w14:schemeClr w14:val="tx1"/>
            </w14:solidFill>
          </w14:textFill>
        </w:rPr>
        <w:t>24.行贿犯罪档案查询</w:t>
      </w:r>
    </w:p>
    <w:bookmarkEnd w:id="96"/>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24.1供应商参与采购活动时须按照磋商文件要求提供承诺函或由采购代理机构通过“中国裁判文书网”查询，并将查询记录存档。 </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24.2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97" w:name="BookMK34"/>
      <w:r>
        <w:rPr>
          <w:rFonts w:hint="eastAsia" w:hAnsi="宋体" w:cs="宋体"/>
          <w:color w:val="000000" w:themeColor="text1"/>
          <w:sz w:val="24"/>
          <w14:textFill>
            <w14:solidFill>
              <w14:schemeClr w14:val="tx1"/>
            </w14:solidFill>
          </w14:textFill>
        </w:rPr>
        <w:t>25.成交结果</w:t>
      </w:r>
    </w:p>
    <w:bookmarkEnd w:id="97"/>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25.1采购人确定成交供应商后，将及时书面通知采购代理机构，发出成交通知书并发布成交结果公告。</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25.2成交公告发布后，成交人自行领取成交通知书的，可凭有效身份证明到四川华韵新诚工程管理咨询有限公司领取成交通知书。</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25.3本项目如需交纳履约保证金的，成交供应商应当及时向采购人交纳。</w:t>
      </w:r>
    </w:p>
    <w:p>
      <w:pPr>
        <w:pStyle w:val="4"/>
        <w:keepNext w:val="0"/>
        <w:keepLines w:val="0"/>
        <w:spacing w:line="520" w:lineRule="exact"/>
        <w:jc w:val="center"/>
        <w:rPr>
          <w:rFonts w:ascii="宋体" w:hAnsi="宋体" w:eastAsia="宋体" w:cs="宋体"/>
          <w:color w:val="000000" w:themeColor="text1"/>
          <w:sz w:val="30"/>
          <w:szCs w:val="30"/>
          <w14:textFill>
            <w14:solidFill>
              <w14:schemeClr w14:val="tx1"/>
            </w14:solidFill>
          </w14:textFill>
        </w:rPr>
      </w:pPr>
      <w:bookmarkStart w:id="98" w:name="BookMK36"/>
      <w:r>
        <w:rPr>
          <w:rFonts w:hint="eastAsia" w:ascii="宋体" w:hAnsi="宋体" w:eastAsia="宋体" w:cs="宋体"/>
          <w:color w:val="000000" w:themeColor="text1"/>
          <w:sz w:val="30"/>
          <w:szCs w:val="30"/>
          <w14:textFill>
            <w14:solidFill>
              <w14:schemeClr w14:val="tx1"/>
            </w14:solidFill>
          </w14:textFill>
        </w:rPr>
        <w:t>七、合同事项</w:t>
      </w:r>
    </w:p>
    <w:bookmarkEnd w:id="98"/>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99" w:name="_Toc430773927"/>
      <w:bookmarkStart w:id="100" w:name="_Toc101174151"/>
      <w:bookmarkStart w:id="101" w:name="_Toc101338364"/>
      <w:bookmarkStart w:id="102" w:name="_Toc209847069"/>
      <w:bookmarkStart w:id="103" w:name="_Toc101250646"/>
      <w:bookmarkStart w:id="104" w:name="BookMK37"/>
      <w:r>
        <w:rPr>
          <w:rFonts w:hint="eastAsia" w:hAnsi="宋体" w:cs="宋体"/>
          <w:color w:val="000000" w:themeColor="text1"/>
          <w:sz w:val="24"/>
          <w14:textFill>
            <w14:solidFill>
              <w14:schemeClr w14:val="tx1"/>
            </w14:solidFill>
          </w14:textFill>
        </w:rPr>
        <w:t>26.签订合同</w:t>
      </w:r>
      <w:bookmarkEnd w:id="99"/>
      <w:bookmarkEnd w:id="100"/>
      <w:bookmarkEnd w:id="101"/>
      <w:bookmarkEnd w:id="102"/>
      <w:bookmarkEnd w:id="103"/>
    </w:p>
    <w:bookmarkEnd w:id="104"/>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26.1成交供应商应在成交通知书发出之日起三十日内与采购人签订采购合同。由于成交供应商的原因逾期未与采购人签订采购合同的，将视为放弃成交，取消其成交资格并将按相关规定进行处理。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26.2磋商文件、成交供应商的响应文件及双方确认的澄清文件等，均为有法律约束力的合同组成部分。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26.3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26.4成交供应商因不可抗力原因不能履行采购合同或放弃成交的，采购人可以与排在成交供应商之后第一位的成交候选人签订采购合同，以此类推。</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26.5竞争性磋商文件、成交供应商提交的响应文件、磋商中的最后报价、成交供应商承诺书、成交通知书等均称为有法律约束力的合同组成内容。</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05" w:name="BookMK38"/>
      <w:r>
        <w:rPr>
          <w:rFonts w:hint="eastAsia" w:hAnsi="宋体" w:cs="宋体"/>
          <w:color w:val="000000" w:themeColor="text1"/>
          <w:sz w:val="24"/>
          <w14:textFill>
            <w14:solidFill>
              <w14:schemeClr w14:val="tx1"/>
            </w14:solidFill>
          </w14:textFill>
        </w:rPr>
        <w:t>27.合同分包（实质性要求）</w:t>
      </w:r>
    </w:p>
    <w:bookmarkEnd w:id="105"/>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bookmarkStart w:id="106" w:name="BookMK39"/>
      <w:r>
        <w:rPr>
          <w:rFonts w:hint="eastAsia" w:hAnsi="宋体" w:cs="宋体"/>
          <w:color w:val="000000" w:themeColor="text1"/>
          <w:sz w:val="24"/>
          <w:szCs w:val="24"/>
          <w14:textFill>
            <w14:solidFill>
              <w14:schemeClr w14:val="tx1"/>
            </w14:solidFill>
          </w14:textFill>
        </w:rPr>
        <w:t>本项目不允许分包。</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07" w:name="BookMK35"/>
      <w:r>
        <w:rPr>
          <w:rFonts w:hint="eastAsia" w:hAnsi="宋体" w:cs="宋体"/>
          <w:color w:val="000000" w:themeColor="text1"/>
          <w:sz w:val="24"/>
          <w14:textFill>
            <w14:solidFill>
              <w14:schemeClr w14:val="tx1"/>
            </w14:solidFill>
          </w14:textFill>
        </w:rPr>
        <w:t>28.成交通知书</w:t>
      </w:r>
    </w:p>
    <w:bookmarkEnd w:id="107"/>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28.1成交通知书为签订政府采购合同的依据之一，是合同的有效组成部分。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28.2成交通知书对采购人和成交供应商均具有法律效力。成交通知书发出后，采购人无正当理由改变成交结果，或者成交供应商无正当理由放弃成交的，将承担相应的法律责任。</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28.3成交供应商的响应文件作为无效响应文件处理或者有政府采购法律法规规章制度规定的成交无效情形的，采购代理机构在取得有权主体的认定以后，有权宣布发出的成交通知书无效，并收回发出的成交通知书，依法重新确定成交供应商或者重新开展采购活动。</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29.合同转包（实质性要求）</w:t>
      </w:r>
    </w:p>
    <w:bookmarkEnd w:id="106"/>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成交供应商转包的，视同拒绝履行政府采购合同义务，将依法追究法律责任。</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08" w:name="BookMK40"/>
      <w:r>
        <w:rPr>
          <w:rFonts w:hint="eastAsia" w:hAnsi="宋体" w:cs="宋体"/>
          <w:color w:val="000000" w:themeColor="text1"/>
          <w:sz w:val="24"/>
          <w14:textFill>
            <w14:solidFill>
              <w14:schemeClr w14:val="tx1"/>
            </w14:solidFill>
          </w14:textFill>
        </w:rPr>
        <w:t>30.补充合同</w:t>
      </w:r>
    </w:p>
    <w:bookmarkEnd w:id="108"/>
    <w:p>
      <w:pPr>
        <w:tabs>
          <w:tab w:val="left" w:pos="7665"/>
        </w:tabs>
        <w:spacing w:line="520" w:lineRule="exact"/>
        <w:ind w:firstLine="240" w:firstLineChars="100"/>
        <w:rPr>
          <w:rFonts w:hAnsi="宋体" w:cs="宋体"/>
          <w:color w:val="000000" w:themeColor="text1"/>
          <w:sz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09" w:name="BookMK41"/>
      <w:r>
        <w:rPr>
          <w:rFonts w:hint="eastAsia" w:hAnsi="宋体" w:cs="宋体"/>
          <w:color w:val="000000" w:themeColor="text1"/>
          <w:sz w:val="24"/>
          <w14:textFill>
            <w14:solidFill>
              <w14:schemeClr w14:val="tx1"/>
            </w14:solidFill>
          </w14:textFill>
        </w:rPr>
        <w:t>31.履约保证金</w:t>
      </w:r>
    </w:p>
    <w:bookmarkEnd w:id="109"/>
    <w:p>
      <w:pPr>
        <w:tabs>
          <w:tab w:val="left" w:pos="7665"/>
        </w:tabs>
        <w:spacing w:line="520" w:lineRule="exact"/>
        <w:ind w:firstLine="240" w:firstLineChars="100"/>
        <w:rPr>
          <w:rFonts w:hAnsi="宋体" w:cs="宋体"/>
          <w:color w:val="auto"/>
          <w:sz w:val="24"/>
          <w:szCs w:val="24"/>
        </w:rPr>
      </w:pPr>
      <w:bookmarkStart w:id="110" w:name="BookMK42"/>
      <w:r>
        <w:rPr>
          <w:rFonts w:hint="eastAsia" w:hAnsi="宋体" w:cs="宋体"/>
          <w:color w:val="auto"/>
          <w:sz w:val="24"/>
          <w:szCs w:val="24"/>
        </w:rPr>
        <w:t>本项目收取履约保证金</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32.合同公告</w:t>
      </w:r>
    </w:p>
    <w:bookmarkEnd w:id="110"/>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采购人应当自政府采购合同签订（双方当事人均已签字盖章）之日起2个工作日内，将政府采购合同在四川政府采购网上公告，但政府采购合同中涉及国家秘密、商业秘密的内容除外。</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11" w:name="BookMK43"/>
      <w:r>
        <w:rPr>
          <w:rFonts w:hint="eastAsia" w:hAnsi="宋体" w:cs="宋体"/>
          <w:color w:val="000000" w:themeColor="text1"/>
          <w:sz w:val="24"/>
          <w14:textFill>
            <w14:solidFill>
              <w14:schemeClr w14:val="tx1"/>
            </w14:solidFill>
          </w14:textFill>
        </w:rPr>
        <w:t>33.合同备案</w:t>
      </w:r>
    </w:p>
    <w:bookmarkEnd w:id="111"/>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采购人应当将政府采购合同副本自签订（双方当事人均已签字盖章）之日起七个工作日内通过四川政府采购网报同级财政部门备案。</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12" w:name="BookMK44"/>
      <w:r>
        <w:rPr>
          <w:rFonts w:hint="eastAsia" w:hAnsi="宋体" w:cs="宋体"/>
          <w:color w:val="000000" w:themeColor="text1"/>
          <w:sz w:val="24"/>
          <w14:textFill>
            <w14:solidFill>
              <w14:schemeClr w14:val="tx1"/>
            </w14:solidFill>
          </w14:textFill>
        </w:rPr>
        <w:t>34.履行合同</w:t>
      </w:r>
    </w:p>
    <w:bookmarkEnd w:id="112"/>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34.1成交供应商与采购人签订合同后，合同双方应严格执行合同条款，履行合同规定的义务，保证合同的顺利完成。</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34.2在合同履行过程中，如发生合同纠纷，合同双方应按照《中华人民共和国民法典》的有关规定进行处理。</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13" w:name="BookMK45"/>
      <w:r>
        <w:rPr>
          <w:rFonts w:hint="eastAsia" w:hAnsi="宋体" w:cs="宋体"/>
          <w:color w:val="000000" w:themeColor="text1"/>
          <w:sz w:val="24"/>
          <w14:textFill>
            <w14:solidFill>
              <w14:schemeClr w14:val="tx1"/>
            </w14:solidFill>
          </w14:textFill>
        </w:rPr>
        <w:t>35.验收</w:t>
      </w:r>
    </w:p>
    <w:bookmarkEnd w:id="113"/>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35.</w:t>
      </w:r>
      <w:r>
        <w:rPr>
          <w:rFonts w:hAnsi="宋体" w:cs="宋体"/>
          <w:color w:val="000000" w:themeColor="text1"/>
          <w:sz w:val="24"/>
          <w:szCs w:val="24"/>
          <w14:textFill>
            <w14:solidFill>
              <w14:schemeClr w14:val="tx1"/>
            </w14:solidFill>
          </w14:textFill>
        </w:rPr>
        <w:t>1</w:t>
      </w:r>
      <w:r>
        <w:rPr>
          <w:rFonts w:hint="eastAsia" w:hAnsi="宋体" w:cs="宋体"/>
          <w:color w:val="000000" w:themeColor="text1"/>
          <w:sz w:val="24"/>
          <w:szCs w:val="24"/>
          <w14:textFill>
            <w14:solidFill>
              <w14:schemeClr w14:val="tx1"/>
            </w14:solidFill>
          </w14:textFill>
        </w:rPr>
        <w:t>按照《财政部关于进一步加强政府采购需求和履约验收管理的指导意见》(财库〔2016〕205 号)以及主管部门的相关要求进行验收。</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35.2由采购人组织履约验收小组，开展项目验收工作，达到国家相关标准、行业标准、地方标准或者其他标准、规范要求为标准，按照《竞争性磋商文件》、《响应文件》和双方签订的《采购合同》，审查项目资料完备性、规范性情况，审查项目履行合同、《竞争性磋商文件》和《响应文件》情况，审查所有材料质量、性能、安全性以及各项技术指标完成情况，对供应商履约情况进行验收，出具验收报告。</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14" w:name="BookMK46"/>
      <w:r>
        <w:rPr>
          <w:rFonts w:hint="eastAsia" w:hAnsi="宋体" w:cs="宋体"/>
          <w:color w:val="000000" w:themeColor="text1"/>
          <w:sz w:val="24"/>
          <w14:textFill>
            <w14:solidFill>
              <w14:schemeClr w14:val="tx1"/>
            </w14:solidFill>
          </w14:textFill>
        </w:rPr>
        <w:t>36.资金支付</w:t>
      </w:r>
    </w:p>
    <w:bookmarkEnd w:id="114"/>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采购人将按照政府采购合同规定，及时向成交供应商支付采购资金，支付采购资金前，成交供应商应开具国家正式发票。</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15" w:name="BookMK47"/>
      <w:r>
        <w:rPr>
          <w:rFonts w:hint="eastAsia" w:hAnsi="宋体" w:cs="宋体"/>
          <w:color w:val="000000" w:themeColor="text1"/>
          <w:sz w:val="24"/>
          <w14:textFill>
            <w14:solidFill>
              <w14:schemeClr w14:val="tx1"/>
            </w14:solidFill>
          </w14:textFill>
        </w:rPr>
        <w:t>37．实质性变动</w:t>
      </w:r>
    </w:p>
    <w:bookmarkEnd w:id="115"/>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磋商小组对磋商文件作出的实质性变动是磋商文件的有效组成部分，磋商小组应当及时以书面形式同时通知所有参加磋商的供应商。</w:t>
      </w:r>
    </w:p>
    <w:p>
      <w:pPr>
        <w:pStyle w:val="4"/>
        <w:keepNext w:val="0"/>
        <w:keepLines w:val="0"/>
        <w:spacing w:before="0" w:after="0" w:line="520" w:lineRule="exact"/>
        <w:jc w:val="center"/>
        <w:rPr>
          <w:rFonts w:ascii="宋体" w:hAnsi="宋体" w:eastAsia="宋体" w:cs="宋体"/>
          <w:color w:val="000000" w:themeColor="text1"/>
          <w:sz w:val="30"/>
          <w:szCs w:val="30"/>
          <w14:textFill>
            <w14:solidFill>
              <w14:schemeClr w14:val="tx1"/>
            </w14:solidFill>
          </w14:textFill>
        </w:rPr>
      </w:pPr>
      <w:bookmarkStart w:id="116" w:name="BookMK48"/>
      <w:r>
        <w:rPr>
          <w:rFonts w:hint="eastAsia" w:ascii="宋体" w:hAnsi="宋体" w:eastAsia="宋体" w:cs="宋体"/>
          <w:color w:val="000000" w:themeColor="text1"/>
          <w:sz w:val="30"/>
          <w:szCs w:val="30"/>
          <w14:textFill>
            <w14:solidFill>
              <w14:schemeClr w14:val="tx1"/>
            </w14:solidFill>
          </w14:textFill>
        </w:rPr>
        <w:t>八、磋商纪律要求</w:t>
      </w:r>
    </w:p>
    <w:bookmarkEnd w:id="116"/>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17" w:name="BookMK49"/>
      <w:r>
        <w:rPr>
          <w:rFonts w:hint="eastAsia" w:hAnsi="宋体" w:cs="宋体"/>
          <w:color w:val="000000" w:themeColor="text1"/>
          <w:sz w:val="24"/>
          <w14:textFill>
            <w14:solidFill>
              <w14:schemeClr w14:val="tx1"/>
            </w14:solidFill>
          </w14:textFill>
        </w:rPr>
        <w:t>38.供应商不得具有的情形</w:t>
      </w:r>
    </w:p>
    <w:bookmarkEnd w:id="117"/>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供应商参加本项目磋商不得有下列情形：</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（1）提供虚假材料谋取成交；</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（2）采取不正当手段诋毁、排挤其他供应商；</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（3）与采购人、采购代理机构、或其他供应商恶意串通；</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（4）向采购人、采购代理机构、磋商小组成员行贿或者提供其他不正当利益；</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（5）在磋商过程中与采购人、采购代理机构进行协商；</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（6）成交后无正当理由拒不与采购人签订政府采购合同；</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（7）未按照磋商文件确定的事项签订政府采购合同；</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（8）将政府采购合同转包或者违规分包；</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（9）提供假冒伪劣产品；</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（10）擅自变更、中止或者终止政府采购合同；</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（11）拒绝有关部门的监督检查或者向监督检查部门提供虚假情况；</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（12）法律法规规定的其他情形。</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供应商有上述情形的，按照规定追究法律责任，具备（1）-（10）条情形之一的，同时将取消被确认为成交供应商的资格或者认定成交无效。</w:t>
      </w:r>
    </w:p>
    <w:p>
      <w:pPr>
        <w:tabs>
          <w:tab w:val="left" w:pos="851"/>
        </w:tabs>
        <w:spacing w:line="520" w:lineRule="exact"/>
        <w:jc w:val="center"/>
        <w:rPr>
          <w:rFonts w:hAnsi="宋体" w:cs="宋体"/>
          <w:b/>
          <w:color w:val="000000" w:themeColor="text1"/>
          <w:sz w:val="30"/>
          <w:szCs w:val="30"/>
          <w14:textFill>
            <w14:solidFill>
              <w14:schemeClr w14:val="tx1"/>
            </w14:solidFill>
          </w14:textFill>
        </w:rPr>
      </w:pPr>
      <w:r>
        <w:rPr>
          <w:rFonts w:hint="eastAsia" w:hAnsi="宋体" w:cs="宋体"/>
          <w:b/>
          <w:color w:val="000000" w:themeColor="text1"/>
          <w:sz w:val="30"/>
          <w:szCs w:val="30"/>
          <w14:textFill>
            <w14:solidFill>
              <w14:schemeClr w14:val="tx1"/>
            </w14:solidFill>
          </w14:textFill>
        </w:rPr>
        <w:t>九、询问、质疑和投诉</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18" w:name="BookMK50"/>
      <w:r>
        <w:rPr>
          <w:rFonts w:hint="eastAsia" w:hAnsi="宋体" w:cs="宋体"/>
          <w:color w:val="000000" w:themeColor="text1"/>
          <w:sz w:val="24"/>
          <w14:textFill>
            <w14:solidFill>
              <w14:schemeClr w14:val="tx1"/>
            </w14:solidFill>
          </w14:textFill>
        </w:rPr>
        <w:t>39.</w:t>
      </w:r>
      <w:r>
        <w:rPr>
          <w:rFonts w:hint="eastAsia" w:hAnsi="宋体" w:cs="宋体"/>
          <w:b w:val="0"/>
          <w:color w:val="000000" w:themeColor="text1"/>
          <w:sz w:val="24"/>
          <w14:textFill>
            <w14:solidFill>
              <w14:schemeClr w14:val="tx1"/>
            </w14:solidFill>
          </w14:textFill>
        </w:rPr>
        <w:t>询问、质疑、投诉的接收和处理严格按照《中华人民共和国政府采购法》、《中华人民共和国政府采购法实施条例》、《财政部关于加强政府采购供应商投诉受理审查工作的通知》和四川省的有关规定办理（详细规定请在四川政府采购网政策法规模块查询）。</w:t>
      </w:r>
    </w:p>
    <w:bookmarkEnd w:id="118"/>
    <w:p>
      <w:pPr>
        <w:tabs>
          <w:tab w:val="left" w:pos="851"/>
        </w:tabs>
        <w:spacing w:line="520" w:lineRule="exact"/>
        <w:jc w:val="center"/>
        <w:rPr>
          <w:rFonts w:hAnsi="宋体" w:cs="宋体"/>
          <w:b/>
          <w:color w:val="000000" w:themeColor="text1"/>
          <w:sz w:val="30"/>
          <w:szCs w:val="30"/>
          <w14:textFill>
            <w14:solidFill>
              <w14:schemeClr w14:val="tx1"/>
            </w14:solidFill>
          </w14:textFill>
        </w:rPr>
      </w:pPr>
      <w:r>
        <w:rPr>
          <w:rFonts w:hint="eastAsia" w:hAnsi="宋体" w:cs="宋体"/>
          <w:b/>
          <w:color w:val="000000" w:themeColor="text1"/>
          <w:sz w:val="30"/>
          <w:szCs w:val="30"/>
          <w14:textFill>
            <w14:solidFill>
              <w14:schemeClr w14:val="tx1"/>
            </w14:solidFill>
          </w14:textFill>
        </w:rPr>
        <w:t>十、其  他</w:t>
      </w:r>
    </w:p>
    <w:p>
      <w:pPr>
        <w:pStyle w:val="5"/>
        <w:keepNext w:val="0"/>
        <w:keepLines w:val="0"/>
        <w:spacing w:before="0" w:after="0" w:line="520" w:lineRule="exact"/>
        <w:rPr>
          <w:rFonts w:hAnsi="宋体" w:cs="宋体"/>
          <w:b w:val="0"/>
          <w:color w:val="000000" w:themeColor="text1"/>
          <w:sz w:val="24"/>
          <w14:textFill>
            <w14:solidFill>
              <w14:schemeClr w14:val="tx1"/>
            </w14:solidFill>
          </w14:textFill>
        </w:rPr>
      </w:pPr>
      <w:bookmarkStart w:id="119" w:name="BookMK51"/>
      <w:r>
        <w:rPr>
          <w:rFonts w:hint="eastAsia" w:hAnsi="宋体" w:cs="宋体"/>
          <w:color w:val="000000" w:themeColor="text1"/>
          <w:sz w:val="24"/>
          <w14:textFill>
            <w14:solidFill>
              <w14:schemeClr w14:val="tx1"/>
            </w14:solidFill>
          </w14:textFill>
        </w:rPr>
        <w:t>40.</w:t>
      </w:r>
      <w:r>
        <w:rPr>
          <w:rFonts w:hint="eastAsia" w:hAnsi="宋体" w:cs="宋体"/>
          <w:b w:val="0"/>
          <w:color w:val="000000" w:themeColor="text1"/>
          <w:sz w:val="24"/>
          <w14:textFill>
            <w14:solidFill>
              <w14:schemeClr w14:val="tx1"/>
            </w14:solidFill>
          </w14:textFill>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bookmarkEnd w:id="119"/>
    <w:p>
      <w:pPr>
        <w:pStyle w:val="3"/>
        <w:keepNext w:val="0"/>
        <w:keepLines w:val="0"/>
        <w:spacing w:before="0" w:line="360" w:lineRule="exact"/>
        <w:jc w:val="center"/>
        <w:rPr>
          <w:rFonts w:hAnsi="宋体" w:cs="宋体"/>
          <w:color w:val="000000" w:themeColor="text1"/>
          <w:sz w:val="36"/>
          <w:szCs w:val="36"/>
          <w14:textFill>
            <w14:solidFill>
              <w14:schemeClr w14:val="tx1"/>
            </w14:solidFill>
          </w14:textFill>
        </w:rPr>
      </w:pPr>
      <w:r>
        <w:rPr>
          <w:rFonts w:hint="eastAsia" w:hAnsi="宋体" w:cs="宋体"/>
          <w:color w:val="000000" w:themeColor="text1"/>
          <w:sz w:val="36"/>
          <w:szCs w:val="36"/>
          <w14:textFill>
            <w14:solidFill>
              <w14:schemeClr w14:val="tx1"/>
            </w14:solidFill>
          </w14:textFill>
        </w:rPr>
        <w:br w:type="page"/>
      </w:r>
      <w:bookmarkStart w:id="120" w:name="_Toc21125"/>
      <w:bookmarkStart w:id="121" w:name="_Toc3991890"/>
    </w:p>
    <w:p>
      <w:pPr>
        <w:pStyle w:val="3"/>
        <w:keepNext w:val="0"/>
        <w:keepLines w:val="0"/>
        <w:spacing w:before="0" w:line="360" w:lineRule="exact"/>
        <w:jc w:val="center"/>
        <w:rPr>
          <w:rFonts w:hAnsi="宋体" w:cs="宋体"/>
          <w:color w:val="000000" w:themeColor="text1"/>
          <w:sz w:val="32"/>
          <w:szCs w:val="32"/>
          <w14:textFill>
            <w14:solidFill>
              <w14:schemeClr w14:val="tx1"/>
            </w14:solidFill>
          </w14:textFill>
        </w:rPr>
      </w:pPr>
      <w:r>
        <w:rPr>
          <w:rFonts w:hint="eastAsia" w:hAnsi="宋体" w:cs="宋体"/>
          <w:color w:val="000000" w:themeColor="text1"/>
          <w:sz w:val="32"/>
          <w:szCs w:val="32"/>
          <w14:textFill>
            <w14:solidFill>
              <w14:schemeClr w14:val="tx1"/>
            </w14:solidFill>
          </w14:textFill>
        </w:rPr>
        <w:t>第三章 供应商资格</w:t>
      </w:r>
      <w:bookmarkEnd w:id="120"/>
      <w:r>
        <w:rPr>
          <w:rFonts w:hint="eastAsia" w:hAnsi="宋体" w:cs="宋体"/>
          <w:color w:val="000000" w:themeColor="text1"/>
          <w:sz w:val="32"/>
          <w:szCs w:val="32"/>
          <w14:textFill>
            <w14:solidFill>
              <w14:schemeClr w14:val="tx1"/>
            </w14:solidFill>
          </w14:textFill>
        </w:rPr>
        <w:t>条件要求</w:t>
      </w:r>
    </w:p>
    <w:p>
      <w:pPr>
        <w:widowControl/>
        <w:spacing w:line="360" w:lineRule="auto"/>
        <w:jc w:val="left"/>
        <w:rPr>
          <w:rFonts w:hAnsi="宋体" w:cs="宋体"/>
          <w:color w:val="000000" w:themeColor="text1"/>
          <w:sz w:val="24"/>
          <w:szCs w:val="22"/>
          <w14:textFill>
            <w14:solidFill>
              <w14:schemeClr w14:val="tx1"/>
            </w14:solidFill>
          </w14:textFill>
        </w:rPr>
      </w:pPr>
      <w:r>
        <w:rPr>
          <w:rFonts w:hint="eastAsia" w:hAnsi="宋体" w:cs="宋体"/>
          <w:b/>
          <w:bCs/>
          <w:color w:val="000000" w:themeColor="text1"/>
          <w:sz w:val="24"/>
          <w:szCs w:val="22"/>
          <w14:textFill>
            <w14:solidFill>
              <w14:schemeClr w14:val="tx1"/>
            </w14:solidFill>
          </w14:textFill>
        </w:rPr>
        <w:t>一、参加磋商的供应商应具备下列资格条件：</w:t>
      </w:r>
      <w:r>
        <w:rPr>
          <w:rFonts w:hint="eastAsia" w:hAnsi="宋体" w:cs="宋体"/>
          <w:color w:val="000000" w:themeColor="text1"/>
          <w:sz w:val="24"/>
          <w:szCs w:val="22"/>
          <w14:textFill>
            <w14:solidFill>
              <w14:schemeClr w14:val="tx1"/>
            </w14:solidFill>
          </w14:textFill>
        </w:rPr>
        <w:t xml:space="preserve"> </w:t>
      </w:r>
    </w:p>
    <w:p>
      <w:pPr>
        <w:widowControl/>
        <w:spacing w:line="360" w:lineRule="auto"/>
        <w:jc w:val="left"/>
        <w:rPr>
          <w:rFonts w:hAnsi="宋体" w:cs="宋体"/>
          <w:color w:val="000000" w:themeColor="text1"/>
          <w:sz w:val="24"/>
          <w:szCs w:val="22"/>
          <w14:textFill>
            <w14:solidFill>
              <w14:schemeClr w14:val="tx1"/>
            </w14:solidFill>
          </w14:textFill>
        </w:rPr>
      </w:pPr>
      <w:r>
        <w:rPr>
          <w:rFonts w:hint="eastAsia" w:hAnsi="宋体" w:cs="宋体"/>
          <w:b/>
          <w:bCs/>
          <w:color w:val="000000" w:themeColor="text1"/>
          <w:sz w:val="24"/>
          <w:szCs w:val="22"/>
          <w14:textFill>
            <w14:solidFill>
              <w14:schemeClr w14:val="tx1"/>
            </w14:solidFill>
          </w14:textFill>
        </w:rPr>
        <w:t>（一）满足《中华人民共和国政府采购法》第二十二条规定：</w:t>
      </w:r>
      <w:r>
        <w:rPr>
          <w:rFonts w:hint="eastAsia" w:hAnsi="宋体" w:cs="宋体"/>
          <w:color w:val="000000" w:themeColor="text1"/>
          <w:sz w:val="24"/>
          <w:szCs w:val="22"/>
          <w14:textFill>
            <w14:solidFill>
              <w14:schemeClr w14:val="tx1"/>
            </w14:solidFill>
          </w14:textFill>
        </w:rPr>
        <w:t xml:space="preserve"> </w:t>
      </w:r>
    </w:p>
    <w:p>
      <w:pPr>
        <w:pStyle w:val="86"/>
        <w:spacing w:line="480" w:lineRule="exact"/>
        <w:ind w:firstLine="720" w:firstLineChars="3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1、具有独立承担民事责任的能力；</w:t>
      </w:r>
    </w:p>
    <w:p>
      <w:pPr>
        <w:pStyle w:val="86"/>
        <w:spacing w:line="480" w:lineRule="exact"/>
        <w:ind w:firstLine="720" w:firstLineChars="3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2、具有良好的商业信誉和健全的财务会计制度；</w:t>
      </w:r>
    </w:p>
    <w:p>
      <w:pPr>
        <w:pStyle w:val="86"/>
        <w:spacing w:line="480" w:lineRule="exact"/>
        <w:ind w:firstLine="720" w:firstLineChars="3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3、具有履行合同所必须的设备和专业技术能力；</w:t>
      </w:r>
    </w:p>
    <w:p>
      <w:pPr>
        <w:pStyle w:val="86"/>
        <w:spacing w:line="480" w:lineRule="exact"/>
        <w:ind w:firstLine="720" w:firstLineChars="3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4、具有依法缴纳税收和社会保障资金的良好记录；</w:t>
      </w:r>
    </w:p>
    <w:p>
      <w:pPr>
        <w:pStyle w:val="86"/>
        <w:spacing w:line="480" w:lineRule="exact"/>
        <w:ind w:firstLine="720" w:firstLineChars="3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5、参加本次政府采购活动前三年内，在经营活动中没有重大违法记录；</w:t>
      </w:r>
    </w:p>
    <w:p>
      <w:pPr>
        <w:pStyle w:val="86"/>
        <w:spacing w:line="480" w:lineRule="exact"/>
        <w:ind w:firstLine="720" w:firstLineChars="3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6、法律、行政法规规定的其他条件：</w:t>
      </w:r>
      <w:r>
        <w:rPr>
          <w:rFonts w:hint="eastAsia" w:hAnsi="宋体" w:cs="宋体"/>
          <w:color w:val="000000" w:themeColor="text1"/>
          <w:sz w:val="24"/>
          <w:szCs w:val="22"/>
          <w14:textFill>
            <w14:solidFill>
              <w14:schemeClr w14:val="tx1"/>
            </w14:solidFill>
          </w14:textFill>
        </w:rPr>
        <w:t>参加本项目政府采购活动的供应商单位及其现任法定代表人、主要负责人前3年内不得具有行贿犯罪记录</w:t>
      </w:r>
      <w:r>
        <w:rPr>
          <w:rFonts w:hint="eastAsia" w:hAnsi="宋体" w:cs="宋体"/>
          <w:color w:val="000000" w:themeColor="text1"/>
          <w:sz w:val="24"/>
          <w14:textFill>
            <w14:solidFill>
              <w14:schemeClr w14:val="tx1"/>
            </w14:solidFill>
          </w14:textFill>
        </w:rPr>
        <w:t>；</w:t>
      </w:r>
      <w:r>
        <w:rPr>
          <w:rFonts w:hAnsi="宋体" w:cs="宋体"/>
          <w:color w:val="000000" w:themeColor="text1"/>
          <w:sz w:val="24"/>
          <w14:textFill>
            <w14:solidFill>
              <w14:schemeClr w14:val="tx1"/>
            </w14:solidFill>
          </w14:textFill>
        </w:rPr>
        <w:t xml:space="preserve"> </w:t>
      </w:r>
    </w:p>
    <w:p>
      <w:pPr>
        <w:pStyle w:val="86"/>
        <w:spacing w:line="480" w:lineRule="exact"/>
        <w:ind w:firstLine="0" w:firstLineChars="0"/>
        <w:rPr>
          <w:rFonts w:hAnsi="宋体" w:cs="宋体"/>
          <w:color w:val="auto"/>
          <w:sz w:val="24"/>
        </w:rPr>
      </w:pPr>
      <w:r>
        <w:rPr>
          <w:rFonts w:hint="eastAsia" w:hAnsi="宋体" w:cs="宋体"/>
          <w:b/>
          <w:color w:val="auto"/>
          <w:sz w:val="24"/>
        </w:rPr>
        <w:t>（二）采购人根据采购项目提出的特殊条件：无</w:t>
      </w:r>
      <w:r>
        <w:rPr>
          <w:rFonts w:hAnsi="宋体" w:cs="宋体"/>
          <w:b/>
          <w:color w:val="auto"/>
          <w:sz w:val="24"/>
        </w:rPr>
        <w:t>。</w:t>
      </w:r>
    </w:p>
    <w:p>
      <w:pPr>
        <w:snapToGrid w:val="0"/>
        <w:spacing w:line="480" w:lineRule="exact"/>
        <w:rPr>
          <w:rFonts w:hAnsi="宋体" w:cs="宋体"/>
          <w:color w:val="000000" w:themeColor="text1"/>
          <w:sz w:val="24"/>
          <w:szCs w:val="22"/>
          <w14:textFill>
            <w14:solidFill>
              <w14:schemeClr w14:val="tx1"/>
            </w14:solidFill>
          </w14:textFill>
        </w:rPr>
      </w:pPr>
      <w:r>
        <w:rPr>
          <w:rFonts w:hint="eastAsia" w:hAnsi="宋体" w:cs="宋体"/>
          <w:b/>
          <w:color w:val="000000" w:themeColor="text1"/>
          <w:sz w:val="24"/>
          <w:szCs w:val="22"/>
          <w14:textFill>
            <w14:solidFill>
              <w14:schemeClr w14:val="tx1"/>
            </w14:solidFill>
          </w14:textFill>
        </w:rPr>
        <w:t>（三）本项目不接受联合体参与磋商。</w:t>
      </w:r>
    </w:p>
    <w:p>
      <w:pPr>
        <w:widowControl/>
        <w:spacing w:line="360" w:lineRule="auto"/>
        <w:jc w:val="left"/>
        <w:rPr>
          <w:rFonts w:hAnsi="宋体" w:cs="宋体"/>
          <w:color w:val="000000" w:themeColor="text1"/>
          <w:sz w:val="24"/>
          <w:szCs w:val="22"/>
          <w14:textFill>
            <w14:solidFill>
              <w14:schemeClr w14:val="tx1"/>
            </w14:solidFill>
          </w14:textFill>
        </w:rPr>
      </w:pPr>
      <w:r>
        <w:rPr>
          <w:rFonts w:hint="eastAsia" w:hAnsi="宋体" w:cs="宋体"/>
          <w:b/>
          <w:bCs/>
          <w:color w:val="000000" w:themeColor="text1"/>
          <w:sz w:val="24"/>
          <w:szCs w:val="22"/>
          <w14:textFill>
            <w14:solidFill>
              <w14:schemeClr w14:val="tx1"/>
            </w14:solidFill>
          </w14:textFill>
        </w:rPr>
        <w:t>（四）落实政府采购政策需满足的资格要求：本项目专门面向中小企业采购。</w:t>
      </w:r>
      <w:r>
        <w:rPr>
          <w:rFonts w:hint="eastAsia" w:hAnsi="宋体" w:cs="宋体"/>
          <w:color w:val="000000" w:themeColor="text1"/>
          <w:sz w:val="24"/>
          <w:szCs w:val="22"/>
          <w14:textFill>
            <w14:solidFill>
              <w14:schemeClr w14:val="tx1"/>
            </w14:solidFill>
          </w14:textFill>
        </w:rPr>
        <w:t xml:space="preserve"> </w:t>
      </w:r>
    </w:p>
    <w:p>
      <w:pPr>
        <w:widowControl/>
        <w:spacing w:line="360" w:lineRule="auto"/>
        <w:jc w:val="left"/>
        <w:rPr>
          <w:rFonts w:hAnsi="宋体" w:cs="宋体"/>
          <w:color w:val="000000" w:themeColor="text1"/>
          <w:sz w:val="24"/>
          <w:szCs w:val="22"/>
          <w14:textFill>
            <w14:solidFill>
              <w14:schemeClr w14:val="tx1"/>
            </w14:solidFill>
          </w14:textFill>
        </w:rPr>
      </w:pPr>
      <w:r>
        <w:rPr>
          <w:rFonts w:hint="eastAsia" w:hAnsi="宋体" w:cs="宋体"/>
          <w:b/>
          <w:bCs/>
          <w:color w:val="000000" w:themeColor="text1"/>
          <w:sz w:val="24"/>
          <w:szCs w:val="22"/>
          <w14:textFill>
            <w14:solidFill>
              <w14:schemeClr w14:val="tx1"/>
            </w14:solidFill>
          </w14:textFill>
        </w:rPr>
        <w:t>（五）其他类似效力要求：</w:t>
      </w:r>
      <w:r>
        <w:rPr>
          <w:rFonts w:hint="eastAsia" w:hAnsi="宋体" w:cs="宋体"/>
          <w:color w:val="000000" w:themeColor="text1"/>
          <w:sz w:val="24"/>
          <w:szCs w:val="22"/>
          <w14:textFill>
            <w14:solidFill>
              <w14:schemeClr w14:val="tx1"/>
            </w14:solidFill>
          </w14:textFill>
        </w:rPr>
        <w:t xml:space="preserve"> </w:t>
      </w:r>
    </w:p>
    <w:p>
      <w:pPr>
        <w:widowControl/>
        <w:spacing w:line="360" w:lineRule="auto"/>
        <w:ind w:firstLine="480" w:firstLineChars="200"/>
        <w:jc w:val="left"/>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 xml:space="preserve">授权参加本次采购活动的供应商代表证明材料。 </w:t>
      </w:r>
    </w:p>
    <w:p>
      <w:pPr>
        <w:widowControl/>
        <w:spacing w:line="360" w:lineRule="auto"/>
        <w:jc w:val="left"/>
        <w:rPr>
          <w:rFonts w:hAnsi="宋体" w:cs="宋体"/>
          <w:b/>
          <w:bCs/>
          <w:color w:val="000000" w:themeColor="text1"/>
          <w:sz w:val="24"/>
          <w:szCs w:val="22"/>
          <w14:textFill>
            <w14:solidFill>
              <w14:schemeClr w14:val="tx1"/>
            </w14:solidFill>
          </w14:textFill>
        </w:rPr>
      </w:pPr>
      <w:r>
        <w:rPr>
          <w:rFonts w:hint="eastAsia" w:hAnsi="宋体" w:cs="宋体"/>
          <w:b/>
          <w:bCs/>
          <w:color w:val="000000" w:themeColor="text1"/>
          <w:sz w:val="24"/>
          <w:szCs w:val="22"/>
          <w14:textFill>
            <w14:solidFill>
              <w14:schemeClr w14:val="tx1"/>
            </w14:solidFill>
          </w14:textFill>
        </w:rPr>
        <w:t xml:space="preserve">二、不属于禁止参加本次采购活动的供应商 </w:t>
      </w:r>
    </w:p>
    <w:p>
      <w:pPr>
        <w:pStyle w:val="86"/>
        <w:spacing w:line="480" w:lineRule="exact"/>
        <w:ind w:firstLine="48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根据《关于在政府采购活动中查询及使用信用记录有关问题的通知》（财库〔2016〕 125 号）的要求，采购代理机构将通过“信用中国”网站（www.creditchina.gov.cn）、 “中国政府采购网”网站（www.ccgp.gov.cn）等渠道查询供应商的信用信息记录并保存信用记录结果网页截图，拒绝列入失信被执行人、重大税收违法案件当事人名单、政府采购严重违法失信行为记录名单及其他不符合《中华人民共和国政府采购法》第二十二条规定条件的供应商参加本项目的采购活动。</w:t>
      </w:r>
    </w:p>
    <w:p>
      <w:pPr>
        <w:widowControl/>
        <w:spacing w:line="360" w:lineRule="auto"/>
        <w:jc w:val="left"/>
        <w:rPr>
          <w:rFonts w:hAnsi="宋体" w:cs="宋体"/>
          <w:b/>
          <w:bCs/>
          <w:color w:val="000000" w:themeColor="text1"/>
          <w:sz w:val="24"/>
          <w:szCs w:val="22"/>
          <w14:textFill>
            <w14:solidFill>
              <w14:schemeClr w14:val="tx1"/>
            </w14:solidFill>
          </w14:textFill>
        </w:rPr>
      </w:pPr>
      <w:r>
        <w:rPr>
          <w:rFonts w:hint="eastAsia" w:hAnsi="宋体" w:cs="宋体"/>
          <w:b/>
          <w:bCs/>
          <w:color w:val="000000" w:themeColor="text1"/>
          <w:sz w:val="24"/>
          <w:szCs w:val="22"/>
          <w14:textFill>
            <w14:solidFill>
              <w14:schemeClr w14:val="tx1"/>
            </w14:solidFill>
          </w14:textFill>
        </w:rPr>
        <w:t>注：</w:t>
      </w:r>
    </w:p>
    <w:p>
      <w:pPr>
        <w:widowControl/>
        <w:spacing w:line="360" w:lineRule="auto"/>
        <w:ind w:firstLine="482" w:firstLineChars="200"/>
        <w:jc w:val="left"/>
        <w:rPr>
          <w:rFonts w:hAnsi="宋体" w:cs="宋体"/>
          <w:b/>
          <w:bCs/>
          <w:color w:val="000000" w:themeColor="text1"/>
          <w:sz w:val="24"/>
          <w:szCs w:val="22"/>
          <w14:textFill>
            <w14:solidFill>
              <w14:schemeClr w14:val="tx1"/>
            </w14:solidFill>
          </w14:textFill>
        </w:rPr>
      </w:pPr>
      <w:r>
        <w:rPr>
          <w:rFonts w:hint="eastAsia" w:hAnsi="宋体" w:cs="宋体"/>
          <w:b/>
          <w:bCs/>
          <w:color w:val="000000" w:themeColor="text1"/>
          <w:sz w:val="24"/>
          <w:szCs w:val="22"/>
          <w14:textFill>
            <w14:solidFill>
              <w14:schemeClr w14:val="tx1"/>
            </w14:solidFill>
          </w14:textFill>
        </w:rPr>
        <w:t>1、资格要求中“5.参加本次政府采购活动前三年内，在经营活动中没有重大违法记录”中的重大违法记录，即因违法经营受到刑事处罚或者责令停产停业、吊销许可证或者执照、较大数额罚款等行政处罚，其中较大数额罚款的具体金额标准是指：</w:t>
      </w:r>
      <w:r>
        <w:rPr>
          <w:rFonts w:hint="eastAsia" w:hAnsi="宋体" w:cs="宋体"/>
          <w:b/>
          <w:bCs/>
          <w:color w:val="auto"/>
          <w:sz w:val="24"/>
          <w:szCs w:val="22"/>
          <w:lang w:val="en-US"/>
        </w:rPr>
        <w:t>200</w:t>
      </w:r>
      <w:r>
        <w:rPr>
          <w:rFonts w:hint="eastAsia" w:hAnsi="宋体" w:cs="宋体"/>
          <w:b/>
          <w:bCs/>
          <w:color w:val="000000" w:themeColor="text1"/>
          <w:sz w:val="24"/>
          <w:szCs w:val="22"/>
          <w14:textFill>
            <w14:solidFill>
              <w14:schemeClr w14:val="tx1"/>
            </w14:solidFill>
          </w14:textFill>
        </w:rPr>
        <w:t>万元以上的罚款，法律、行政法规以及国务院有关部门明确规定相关领域“较大数额罚款”标准高于</w:t>
      </w:r>
      <w:r>
        <w:rPr>
          <w:rFonts w:hint="eastAsia" w:hAnsi="宋体" w:cs="宋体"/>
          <w:b/>
          <w:bCs/>
          <w:color w:val="000000" w:themeColor="text1"/>
          <w:sz w:val="24"/>
          <w:szCs w:val="22"/>
          <w:lang w:val="en-US"/>
          <w14:textFill>
            <w14:solidFill>
              <w14:schemeClr w14:val="tx1"/>
            </w14:solidFill>
          </w14:textFill>
        </w:rPr>
        <w:t>200</w:t>
      </w:r>
      <w:r>
        <w:rPr>
          <w:rFonts w:hint="eastAsia" w:hAnsi="宋体" w:cs="宋体"/>
          <w:b/>
          <w:bCs/>
          <w:color w:val="000000" w:themeColor="text1"/>
          <w:sz w:val="24"/>
          <w:szCs w:val="22"/>
          <w14:textFill>
            <w14:solidFill>
              <w14:schemeClr w14:val="tx1"/>
            </w14:solidFill>
          </w14:textFill>
        </w:rPr>
        <w:t>万元的，从其规定。</w:t>
      </w:r>
      <w:r>
        <w:rPr>
          <w:rFonts w:hint="eastAsia" w:hAnsi="宋体" w:cs="宋体"/>
          <w:b/>
          <w:bCs/>
          <w:color w:val="000000" w:themeColor="text1"/>
          <w:sz w:val="24"/>
          <w14:textFill>
            <w14:solidFill>
              <w14:schemeClr w14:val="tx1"/>
            </w14:solidFill>
          </w14:textFill>
        </w:rPr>
        <w:t>供应商在参加政府采购活动前3年内因违法经营被禁止在一定期限内参加政府采购活动，期限届满的，可以参加政府采购活动。</w:t>
      </w:r>
    </w:p>
    <w:p>
      <w:pPr>
        <w:widowControl/>
        <w:spacing w:line="360" w:lineRule="auto"/>
        <w:ind w:firstLine="482" w:firstLineChars="200"/>
        <w:jc w:val="left"/>
        <w:rPr>
          <w:rFonts w:hAnsi="宋体" w:cs="宋体"/>
          <w:b/>
          <w:bCs/>
          <w:color w:val="000000" w:themeColor="text1"/>
          <w:sz w:val="24"/>
          <w:szCs w:val="22"/>
          <w14:textFill>
            <w14:solidFill>
              <w14:schemeClr w14:val="tx1"/>
            </w14:solidFill>
          </w14:textFill>
        </w:rPr>
      </w:pPr>
      <w:r>
        <w:rPr>
          <w:rFonts w:hint="eastAsia" w:hAnsi="宋体" w:cs="宋体"/>
          <w:b/>
          <w:bCs/>
          <w:color w:val="000000" w:themeColor="text1"/>
          <w:sz w:val="24"/>
          <w:szCs w:val="22"/>
          <w14:textFill>
            <w14:solidFill>
              <w14:schemeClr w14:val="tx1"/>
            </w14:solidFill>
          </w14:textFill>
        </w:rPr>
        <w:t>2、供应商在参加政府采购活动前，被纳入法院、工商行政管理部门、税务部门、银行认定的失信名单且在有效期内，或者在前三年政府采购合同履约过程中及其他经营活动（合同）履约过程中未依法履约被有关行政部门处罚（处理）的，本项目不认定其具有良好的商业信誉。</w:t>
      </w:r>
    </w:p>
    <w:p>
      <w:pPr>
        <w:rPr>
          <w:rFonts w:hAnsi="宋体" w:cs="宋体"/>
          <w:b/>
          <w:bCs/>
          <w:color w:val="000000" w:themeColor="text1"/>
          <w:sz w:val="32"/>
          <w:szCs w:val="32"/>
          <w14:textFill>
            <w14:solidFill>
              <w14:schemeClr w14:val="tx1"/>
            </w14:solidFill>
          </w14:textFill>
        </w:rPr>
      </w:pPr>
    </w:p>
    <w:p>
      <w:pPr>
        <w:rPr>
          <w:rFonts w:hAnsi="宋体" w:cs="宋体"/>
          <w:color w:val="000000" w:themeColor="text1"/>
          <w:sz w:val="32"/>
          <w:szCs w:val="32"/>
          <w14:textFill>
            <w14:solidFill>
              <w14:schemeClr w14:val="tx1"/>
            </w14:solidFill>
          </w14:textFill>
        </w:rPr>
      </w:pPr>
    </w:p>
    <w:p>
      <w:pPr>
        <w:pStyle w:val="2"/>
        <w:rPr>
          <w:rFonts w:hAnsi="宋体" w:cs="宋体"/>
          <w:color w:val="000000" w:themeColor="text1"/>
          <w:sz w:val="32"/>
          <w:szCs w:val="32"/>
          <w14:textFill>
            <w14:solidFill>
              <w14:schemeClr w14:val="tx1"/>
            </w14:solidFill>
          </w14:textFill>
        </w:rPr>
      </w:pPr>
    </w:p>
    <w:p>
      <w:pPr>
        <w:rPr>
          <w:rFonts w:hAnsi="宋体" w:cs="宋体"/>
          <w:color w:val="000000" w:themeColor="text1"/>
          <w:sz w:val="32"/>
          <w:szCs w:val="32"/>
          <w14:textFill>
            <w14:solidFill>
              <w14:schemeClr w14:val="tx1"/>
            </w14:solidFill>
          </w14:textFill>
        </w:rPr>
      </w:pPr>
    </w:p>
    <w:p>
      <w:pPr>
        <w:pStyle w:val="2"/>
        <w:rPr>
          <w:rFonts w:hAnsi="宋体" w:cs="宋体"/>
          <w:color w:val="000000" w:themeColor="text1"/>
          <w:sz w:val="32"/>
          <w:szCs w:val="32"/>
          <w14:textFill>
            <w14:solidFill>
              <w14:schemeClr w14:val="tx1"/>
            </w14:solidFill>
          </w14:textFill>
        </w:rPr>
      </w:pPr>
    </w:p>
    <w:p>
      <w:pPr>
        <w:rPr>
          <w:rFonts w:hAnsi="宋体" w:cs="宋体"/>
          <w:color w:val="000000" w:themeColor="text1"/>
          <w:sz w:val="32"/>
          <w:szCs w:val="32"/>
          <w14:textFill>
            <w14:solidFill>
              <w14:schemeClr w14:val="tx1"/>
            </w14:solidFill>
          </w14:textFill>
        </w:rPr>
      </w:pPr>
    </w:p>
    <w:p>
      <w:pPr>
        <w:pStyle w:val="2"/>
        <w:rPr>
          <w:rFonts w:hAnsi="宋体" w:cs="宋体"/>
          <w:color w:val="000000" w:themeColor="text1"/>
          <w:sz w:val="32"/>
          <w:szCs w:val="32"/>
          <w14:textFill>
            <w14:solidFill>
              <w14:schemeClr w14:val="tx1"/>
            </w14:solidFill>
          </w14:textFill>
        </w:rPr>
      </w:pPr>
    </w:p>
    <w:p>
      <w:pPr>
        <w:rPr>
          <w:color w:val="000000" w:themeColor="text1"/>
          <w14:textFill>
            <w14:solidFill>
              <w14:schemeClr w14:val="tx1"/>
            </w14:solidFill>
          </w14:textFill>
        </w:rPr>
      </w:pPr>
    </w:p>
    <w:p>
      <w:pPr>
        <w:pStyle w:val="2"/>
        <w:rPr>
          <w:rFonts w:hAnsi="宋体" w:cs="宋体"/>
          <w:color w:val="000000" w:themeColor="text1"/>
          <w:sz w:val="32"/>
          <w:szCs w:val="32"/>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tabs>
          <w:tab w:val="left" w:pos="6977"/>
        </w:tabs>
        <w:rPr>
          <w:color w:val="000000" w:themeColor="text1"/>
          <w14:textFill>
            <w14:solidFill>
              <w14:schemeClr w14:val="tx1"/>
            </w14:solidFill>
          </w14:textFill>
        </w:rPr>
      </w:pPr>
      <w:r>
        <w:rPr>
          <w:rFonts w:hint="eastAsia"/>
          <w:color w:val="000000" w:themeColor="text1"/>
          <w14:textFill>
            <w14:solidFill>
              <w14:schemeClr w14:val="tx1"/>
            </w14:solidFill>
          </w14:textFill>
        </w:rPr>
        <w:tab/>
      </w:r>
    </w:p>
    <w:p>
      <w:pPr>
        <w:pStyle w:val="3"/>
        <w:keepNext w:val="0"/>
        <w:keepLines w:val="0"/>
        <w:spacing w:before="0" w:line="360" w:lineRule="exact"/>
        <w:rPr>
          <w:rFonts w:ascii="Arial" w:hAnsi="Arial" w:eastAsia="黑体"/>
          <w:bCs w:val="0"/>
          <w:color w:val="000000" w:themeColor="text1"/>
          <w:kern w:val="0"/>
          <w:sz w:val="24"/>
          <w:szCs w:val="28"/>
          <w14:textFill>
            <w14:solidFill>
              <w14:schemeClr w14:val="tx1"/>
            </w14:solidFill>
          </w14:textFill>
        </w:rPr>
      </w:pPr>
      <w:bookmarkStart w:id="122" w:name="_Toc31230"/>
      <w:bookmarkStart w:id="123" w:name="BookMK53"/>
    </w:p>
    <w:p>
      <w:pPr>
        <w:pStyle w:val="3"/>
        <w:keepNext w:val="0"/>
        <w:keepLines w:val="0"/>
        <w:spacing w:before="0" w:line="360" w:lineRule="exact"/>
        <w:rPr>
          <w:rFonts w:ascii="Arial" w:hAnsi="Arial" w:eastAsia="黑体"/>
          <w:bCs w:val="0"/>
          <w:color w:val="000000" w:themeColor="text1"/>
          <w:kern w:val="0"/>
          <w:sz w:val="24"/>
          <w:szCs w:val="28"/>
          <w14:textFill>
            <w14:solidFill>
              <w14:schemeClr w14:val="tx1"/>
            </w14:solidFill>
          </w14:textFill>
        </w:rPr>
      </w:pPr>
    </w:p>
    <w:p/>
    <w:p>
      <w:pPr>
        <w:rPr>
          <w:color w:val="000000" w:themeColor="text1"/>
          <w14:textFill>
            <w14:solidFill>
              <w14:schemeClr w14:val="tx1"/>
            </w14:solidFill>
          </w14:textFill>
        </w:rPr>
      </w:pPr>
    </w:p>
    <w:p>
      <w:pPr>
        <w:pStyle w:val="3"/>
        <w:keepNext w:val="0"/>
        <w:keepLines w:val="0"/>
        <w:spacing w:before="0" w:line="360" w:lineRule="exact"/>
        <w:jc w:val="center"/>
        <w:rPr>
          <w:rFonts w:hAnsi="宋体" w:cs="宋体"/>
          <w:color w:val="000000" w:themeColor="text1"/>
          <w:sz w:val="32"/>
          <w:szCs w:val="32"/>
          <w14:textFill>
            <w14:solidFill>
              <w14:schemeClr w14:val="tx1"/>
            </w14:solidFill>
          </w14:textFill>
        </w:rPr>
      </w:pPr>
      <w:r>
        <w:rPr>
          <w:rFonts w:hint="eastAsia" w:hAnsi="宋体" w:cs="宋体"/>
          <w:color w:val="000000" w:themeColor="text1"/>
          <w:sz w:val="32"/>
          <w:szCs w:val="32"/>
          <w14:textFill>
            <w14:solidFill>
              <w14:schemeClr w14:val="tx1"/>
            </w14:solidFill>
          </w14:textFill>
        </w:rPr>
        <w:t>第四章 供应商资格证明材料</w:t>
      </w:r>
      <w:bookmarkEnd w:id="121"/>
      <w:bookmarkEnd w:id="122"/>
    </w:p>
    <w:bookmarkEnd w:id="123"/>
    <w:p>
      <w:pPr>
        <w:spacing w:line="520" w:lineRule="exact"/>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一、应该提供的供应商资格、资质性及其他类似效力要求的相关证明材料</w:t>
      </w:r>
    </w:p>
    <w:p>
      <w:pPr>
        <w:spacing w:line="520" w:lineRule="exact"/>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（一）资格要求相关证明材料</w:t>
      </w:r>
    </w:p>
    <w:p>
      <w:pPr>
        <w:spacing w:line="520" w:lineRule="exact"/>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1、具有独立承担民事责任的能力的证明材料</w:t>
      </w:r>
    </w:p>
    <w:p>
      <w:pPr>
        <w:pStyle w:val="86"/>
        <w:spacing w:line="48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若供应商为企业法人的，提供具有统一社会信用代码的“营业执照”复印件，未换证的提供“营业执照、税务登记证、组织机构代码证”复印件；</w:t>
      </w:r>
      <w:r>
        <w:rPr>
          <w:rFonts w:hint="eastAsia" w:hAnsi="宋体"/>
          <w:color w:val="000000" w:themeColor="text1"/>
          <w:sz w:val="24"/>
          <w14:textFill>
            <w14:solidFill>
              <w14:schemeClr w14:val="tx1"/>
            </w14:solidFill>
          </w14:textFill>
        </w:rPr>
        <w:t>若供应商为事业法人的，提供具有统一社会信用代码的“法人登记证书”复印件，未换证的提交“事业法人登记证书、组织机构代码证”复印件；</w:t>
      </w:r>
      <w:r>
        <w:rPr>
          <w:rFonts w:hint="eastAsia" w:hAnsi="宋体" w:cs="宋体"/>
          <w:color w:val="000000" w:themeColor="text1"/>
          <w:sz w:val="24"/>
          <w14:textFill>
            <w14:solidFill>
              <w14:schemeClr w14:val="tx1"/>
            </w14:solidFill>
          </w14:textFill>
        </w:rPr>
        <w:t>若供应商为其他组织的，提供对应主管部门颁发的准许执业的证明文件或营业执照复印件；若供应商为自然人的，提供相关“身份证明材料”。</w:t>
      </w:r>
    </w:p>
    <w:p>
      <w:pPr>
        <w:spacing w:line="520" w:lineRule="exact"/>
        <w:rPr>
          <w:rFonts w:hAnsi="宋体" w:cs="宋体"/>
          <w:b/>
          <w:color w:val="000000" w:themeColor="text1"/>
          <w:sz w:val="24"/>
          <w14:textFill>
            <w14:solidFill>
              <w14:schemeClr w14:val="tx1"/>
            </w14:solidFill>
          </w14:textFill>
        </w:rPr>
      </w:pPr>
      <w:r>
        <w:rPr>
          <w:rFonts w:hint="eastAsia" w:hAnsi="宋体" w:cs="宋体"/>
          <w:b/>
          <w:color w:val="000000" w:themeColor="text1"/>
          <w:sz w:val="24"/>
          <w:szCs w:val="22"/>
          <w14:textFill>
            <w14:solidFill>
              <w14:schemeClr w14:val="tx1"/>
            </w14:solidFill>
          </w14:textFill>
        </w:rPr>
        <w:t>2、具有良好的商业信誉和健全的财务会计制度的证明材料</w:t>
      </w:r>
    </w:p>
    <w:p>
      <w:pPr>
        <w:spacing w:line="520" w:lineRule="exact"/>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（1）提供具有良好的商业信誉的承诺函原件。</w:t>
      </w:r>
    </w:p>
    <w:p>
      <w:pPr>
        <w:spacing w:line="520" w:lineRule="exact"/>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（2）具有健全的财务会计制度的证明材料：</w:t>
      </w:r>
    </w:p>
    <w:p>
      <w:pPr>
        <w:pStyle w:val="86"/>
        <w:spacing w:line="48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1）可提供2019年度或2020年度经审计的财务报告复印件（包含审计报告和审计报告中所涉及的财务报表和报表附注）；</w:t>
      </w:r>
    </w:p>
    <w:p>
      <w:pPr>
        <w:pStyle w:val="86"/>
        <w:spacing w:line="48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2）也可提供2019年度或2020年度供应商内部的财务报表复印件（至少包含资产负债表）；</w:t>
      </w:r>
    </w:p>
    <w:p>
      <w:pPr>
        <w:pStyle w:val="86"/>
        <w:spacing w:line="480" w:lineRule="exact"/>
        <w:ind w:left="420" w:firstLine="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3）也可提供截至响应文件递交截止日一年内银行出具的资信证明（复印件）；4）供应商注册时间截至响应文件递交截止日不足一年的，也可提供在工商备</w:t>
      </w:r>
    </w:p>
    <w:p>
      <w:pPr>
        <w:pStyle w:val="86"/>
        <w:spacing w:line="520" w:lineRule="exact"/>
        <w:ind w:firstLine="48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案的公司章程（复印件）。</w:t>
      </w:r>
    </w:p>
    <w:p>
      <w:pPr>
        <w:pStyle w:val="86"/>
        <w:spacing w:line="520" w:lineRule="exact"/>
        <w:ind w:firstLine="480"/>
        <w:rPr>
          <w:rFonts w:ascii="宋体" w:hAnsi="宋体"/>
          <w:color w:val="auto"/>
          <w:sz w:val="24"/>
        </w:rPr>
      </w:pPr>
      <w:r>
        <w:rPr>
          <w:rFonts w:ascii="宋体" w:hAnsi="宋体"/>
          <w:color w:val="auto"/>
          <w:sz w:val="24"/>
        </w:rPr>
        <w:t>5</w:t>
      </w:r>
      <w:r>
        <w:rPr>
          <w:rFonts w:hint="eastAsia" w:hAnsi="宋体"/>
          <w:color w:val="auto"/>
          <w:sz w:val="24"/>
          <w:lang w:eastAsia="zh-CN"/>
        </w:rPr>
        <w:t>）供应商</w:t>
      </w:r>
      <w:r>
        <w:rPr>
          <w:rFonts w:hint="eastAsia" w:ascii="宋体" w:hAnsi="宋体"/>
          <w:color w:val="auto"/>
          <w:sz w:val="24"/>
        </w:rPr>
        <w:t>为其他组织</w:t>
      </w:r>
      <w:r>
        <w:rPr>
          <w:rFonts w:ascii="宋体" w:hAnsi="宋体"/>
          <w:color w:val="auto"/>
          <w:sz w:val="24"/>
        </w:rPr>
        <w:t>(</w:t>
      </w:r>
      <w:r>
        <w:rPr>
          <w:rFonts w:hint="eastAsia" w:ascii="宋体" w:hAnsi="宋体"/>
          <w:color w:val="auto"/>
          <w:sz w:val="24"/>
        </w:rPr>
        <w:t>不具备法人条件的组织，如合伙组织、个体工商户、农村承包经营户等</w:t>
      </w:r>
      <w:r>
        <w:rPr>
          <w:rFonts w:ascii="宋体" w:hAnsi="宋体"/>
          <w:color w:val="auto"/>
          <w:sz w:val="24"/>
        </w:rPr>
        <w:t>)</w:t>
      </w:r>
      <w:r>
        <w:rPr>
          <w:rFonts w:hint="eastAsia" w:ascii="宋体" w:hAnsi="宋体"/>
          <w:color w:val="auto"/>
          <w:sz w:val="24"/>
        </w:rPr>
        <w:t>或自然人时，可提供承诺函。</w:t>
      </w:r>
    </w:p>
    <w:p>
      <w:pPr>
        <w:pStyle w:val="86"/>
        <w:spacing w:line="520" w:lineRule="exact"/>
        <w:ind w:firstLine="482"/>
        <w:rPr>
          <w:rFonts w:hAnsi="宋体" w:cs="宋体"/>
          <w:color w:val="000000" w:themeColor="text1"/>
          <w:sz w:val="24"/>
          <w14:textFill>
            <w14:solidFill>
              <w14:schemeClr w14:val="tx1"/>
            </w14:solidFill>
          </w14:textFill>
        </w:rPr>
      </w:pPr>
      <w:r>
        <w:rPr>
          <w:rFonts w:hint="eastAsia" w:ascii="宋体" w:hAnsi="宋体"/>
          <w:b/>
          <w:bCs/>
          <w:color w:val="auto"/>
          <w:sz w:val="24"/>
        </w:rPr>
        <w:t>注：以上第</w:t>
      </w:r>
      <w:r>
        <w:rPr>
          <w:rFonts w:ascii="宋体" w:hAnsi="宋体"/>
          <w:b/>
          <w:bCs/>
          <w:color w:val="auto"/>
          <w:sz w:val="24"/>
        </w:rPr>
        <w:t>1</w:t>
      </w:r>
      <w:r>
        <w:rPr>
          <w:rFonts w:hint="eastAsia" w:ascii="宋体" w:hAnsi="宋体"/>
          <w:b/>
          <w:bCs/>
          <w:color w:val="auto"/>
          <w:sz w:val="24"/>
        </w:rPr>
        <w:t>-</w:t>
      </w:r>
      <w:r>
        <w:rPr>
          <w:rFonts w:ascii="宋体" w:hAnsi="宋体"/>
          <w:b/>
          <w:bCs/>
          <w:color w:val="auto"/>
          <w:sz w:val="24"/>
        </w:rPr>
        <w:t>5</w:t>
      </w:r>
      <w:r>
        <w:rPr>
          <w:rFonts w:hint="eastAsia" w:ascii="宋体" w:hAnsi="宋体"/>
          <w:b/>
          <w:bCs/>
          <w:color w:val="auto"/>
          <w:sz w:val="24"/>
        </w:rPr>
        <w:t>项具有同等的投标效力，</w:t>
      </w:r>
      <w:r>
        <w:rPr>
          <w:rFonts w:hint="eastAsia" w:hAnsi="宋体"/>
          <w:b/>
          <w:bCs/>
          <w:color w:val="auto"/>
          <w:sz w:val="24"/>
          <w:lang w:eastAsia="zh-CN"/>
        </w:rPr>
        <w:t>供应商</w:t>
      </w:r>
      <w:r>
        <w:rPr>
          <w:rFonts w:hint="eastAsia" w:ascii="宋体" w:hAnsi="宋体"/>
          <w:b/>
          <w:bCs/>
          <w:color w:val="auto"/>
          <w:sz w:val="24"/>
        </w:rPr>
        <w:t>根据自身实际情况选择提供其中任意一项。</w:t>
      </w:r>
    </w:p>
    <w:p>
      <w:pPr>
        <w:spacing w:line="520" w:lineRule="exact"/>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3、具有依法缴纳税收和社会保障资金的良好记录的证明材料：</w:t>
      </w:r>
    </w:p>
    <w:p>
      <w:pPr>
        <w:pStyle w:val="86"/>
        <w:spacing w:line="48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1）提供2021年以来至今任意1个月的缴纳税收的证明材料复印件或提供承诺函原件。</w:t>
      </w:r>
    </w:p>
    <w:p>
      <w:pPr>
        <w:pStyle w:val="86"/>
        <w:spacing w:line="48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2）提供2021年以来至今任意1个月的缴纳社会保障资金的证明材料复印件或提供承诺函原件。</w:t>
      </w:r>
    </w:p>
    <w:p>
      <w:pPr>
        <w:pStyle w:val="86"/>
        <w:spacing w:line="480" w:lineRule="exact"/>
        <w:ind w:firstLine="420" w:firstLineChars="0"/>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注：依法免税或不需要缴纳社会保障资金的供应商，应提供其依法免税或不需要缴纳社会保障资金的相应证明文件。</w:t>
      </w:r>
    </w:p>
    <w:p>
      <w:pPr>
        <w:pStyle w:val="86"/>
        <w:numPr>
          <w:ilvl w:val="0"/>
          <w:numId w:val="2"/>
        </w:numPr>
        <w:spacing w:line="480" w:lineRule="exact"/>
        <w:ind w:firstLine="482"/>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具备履行合同所必需的设备和专业技术能力的证明材料：</w:t>
      </w:r>
    </w:p>
    <w:p>
      <w:pPr>
        <w:pStyle w:val="86"/>
        <w:spacing w:line="480" w:lineRule="exact"/>
        <w:ind w:left="680" w:leftChars="200" w:firstLine="0" w:firstLineChars="0"/>
        <w:rPr>
          <w:rFonts w:hAnsi="宋体" w:cs="宋体"/>
          <w:b/>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提供</w:t>
      </w:r>
      <w:r>
        <w:rPr>
          <w:rFonts w:hint="eastAsia" w:hAnsi="宋体" w:cs="宋体"/>
          <w:color w:val="000000" w:themeColor="text1"/>
          <w:sz w:val="24"/>
          <w:szCs w:val="22"/>
          <w14:textFill>
            <w14:solidFill>
              <w14:schemeClr w14:val="tx1"/>
            </w14:solidFill>
          </w14:textFill>
        </w:rPr>
        <w:t>具备履行合同所必需的设备和专业技术能力的承诺函原件</w:t>
      </w:r>
    </w:p>
    <w:p>
      <w:pPr>
        <w:numPr>
          <w:ilvl w:val="0"/>
          <w:numId w:val="2"/>
        </w:numPr>
        <w:spacing w:line="520" w:lineRule="exact"/>
        <w:ind w:firstLine="482" w:firstLineChars="20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参加本次政府采购活动前三年内，在经营活动中没有重大违法记录的证明材料：</w:t>
      </w:r>
    </w:p>
    <w:p>
      <w:pPr>
        <w:pStyle w:val="86"/>
        <w:spacing w:line="480" w:lineRule="exact"/>
        <w:ind w:firstLine="48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提供参加本次政府采购活动前三年内，在经营活动中没有重大违法记录的承诺函原件。</w:t>
      </w:r>
    </w:p>
    <w:p>
      <w:pPr>
        <w:pStyle w:val="86"/>
        <w:spacing w:line="48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注：供应商成立不足三年的，从成立之日起计算。</w:t>
      </w:r>
    </w:p>
    <w:p>
      <w:pPr>
        <w:pStyle w:val="86"/>
        <w:numPr>
          <w:ilvl w:val="0"/>
          <w:numId w:val="2"/>
        </w:numPr>
        <w:spacing w:line="480" w:lineRule="exact"/>
        <w:ind w:firstLine="482"/>
        <w:rPr>
          <w:rFonts w:hAnsi="宋体" w:cs="宋体"/>
          <w:b/>
          <w:color w:val="000000" w:themeColor="text1"/>
          <w:sz w:val="24"/>
          <w:szCs w:val="22"/>
          <w14:textFill>
            <w14:solidFill>
              <w14:schemeClr w14:val="tx1"/>
            </w14:solidFill>
          </w14:textFill>
        </w:rPr>
      </w:pPr>
      <w:r>
        <w:rPr>
          <w:rFonts w:hint="eastAsia" w:hAnsi="宋体" w:cs="宋体"/>
          <w:b/>
          <w:color w:val="000000" w:themeColor="text1"/>
          <w:sz w:val="24"/>
          <w:szCs w:val="22"/>
          <w14:textFill>
            <w14:solidFill>
              <w14:schemeClr w14:val="tx1"/>
            </w14:solidFill>
          </w14:textFill>
        </w:rPr>
        <w:t>法律、行政法规规定的其他条件</w:t>
      </w:r>
      <w:r>
        <w:rPr>
          <w:rFonts w:hint="eastAsia" w:hAnsi="宋体" w:cs="宋体"/>
          <w:b/>
          <w:color w:val="000000" w:themeColor="text1"/>
          <w:sz w:val="24"/>
          <w14:textFill>
            <w14:solidFill>
              <w14:schemeClr w14:val="tx1"/>
            </w14:solidFill>
          </w14:textFill>
        </w:rPr>
        <w:t>证明材料</w:t>
      </w:r>
      <w:r>
        <w:rPr>
          <w:rFonts w:hint="eastAsia" w:hAnsi="宋体" w:cs="宋体"/>
          <w:b/>
          <w:color w:val="000000" w:themeColor="text1"/>
          <w:sz w:val="24"/>
          <w:szCs w:val="22"/>
          <w14:textFill>
            <w14:solidFill>
              <w14:schemeClr w14:val="tx1"/>
            </w14:solidFill>
          </w14:textFill>
        </w:rPr>
        <w:t>：</w:t>
      </w:r>
    </w:p>
    <w:p>
      <w:pPr>
        <w:pStyle w:val="86"/>
        <w:spacing w:line="480" w:lineRule="exact"/>
        <w:ind w:firstLine="420" w:firstLineChars="0"/>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提供参加本项目政府采购活动的供应商单位及其现任法定代表人、主要负责人前3年内不得具有行贿犯罪记录的承诺函原件。</w:t>
      </w:r>
    </w:p>
    <w:p>
      <w:pPr>
        <w:pStyle w:val="86"/>
        <w:spacing w:line="480" w:lineRule="exact"/>
        <w:ind w:firstLine="198" w:firstLineChars="82"/>
        <w:rPr>
          <w:rFonts w:hAnsi="宋体" w:cs="宋体"/>
          <w:b/>
          <w:color w:val="auto"/>
          <w:sz w:val="24"/>
          <w:szCs w:val="22"/>
        </w:rPr>
      </w:pPr>
      <w:r>
        <w:rPr>
          <w:rFonts w:hint="eastAsia" w:hAnsi="宋体" w:cs="宋体"/>
          <w:b/>
          <w:color w:val="auto"/>
          <w:sz w:val="24"/>
          <w:szCs w:val="22"/>
        </w:rPr>
        <w:t>（二）根据采购项目提出的特殊条件</w:t>
      </w:r>
      <w:r>
        <w:rPr>
          <w:rFonts w:hint="eastAsia" w:hAnsi="宋体" w:cs="宋体"/>
          <w:b/>
          <w:color w:val="auto"/>
          <w:sz w:val="24"/>
        </w:rPr>
        <w:t>证明材料</w:t>
      </w:r>
      <w:r>
        <w:rPr>
          <w:rFonts w:hint="eastAsia" w:hAnsi="宋体" w:cs="宋体"/>
          <w:b/>
          <w:color w:val="auto"/>
          <w:sz w:val="24"/>
          <w:szCs w:val="22"/>
        </w:rPr>
        <w:t>：无。</w:t>
      </w:r>
    </w:p>
    <w:p>
      <w:pPr>
        <w:spacing w:line="520" w:lineRule="exact"/>
        <w:ind w:firstLine="241" w:firstLineChars="100"/>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 xml:space="preserve">（三）本项目不接受联合体参与磋商，联合体参与磋商的，作无效处理。 </w:t>
      </w:r>
    </w:p>
    <w:p>
      <w:pPr>
        <w:spacing w:line="520" w:lineRule="exact"/>
        <w:ind w:firstLine="241" w:firstLineChars="100"/>
        <w:rPr>
          <w:rFonts w:hAnsi="宋体" w:cs="宋体"/>
          <w:b/>
          <w:color w:val="000000" w:themeColor="text1"/>
          <w:sz w:val="24"/>
          <w14:textFill>
            <w14:solidFill>
              <w14:schemeClr w14:val="tx1"/>
            </w14:solidFill>
          </w14:textFill>
        </w:rPr>
      </w:pPr>
      <w:r>
        <w:rPr>
          <w:rFonts w:hint="eastAsia" w:hAnsi="宋体" w:cs="宋体"/>
          <w:b/>
          <w:color w:val="000000" w:themeColor="text1"/>
          <w:sz w:val="24"/>
          <w:szCs w:val="22"/>
          <w14:textFill>
            <w14:solidFill>
              <w14:schemeClr w14:val="tx1"/>
            </w14:solidFill>
          </w14:textFill>
        </w:rPr>
        <w:t>（四）落实</w:t>
      </w:r>
      <w:r>
        <w:rPr>
          <w:rFonts w:hint="eastAsia" w:hAnsi="宋体" w:cs="宋体"/>
          <w:b/>
          <w:color w:val="000000" w:themeColor="text1"/>
          <w:sz w:val="24"/>
          <w14:textFill>
            <w14:solidFill>
              <w14:schemeClr w14:val="tx1"/>
            </w14:solidFill>
          </w14:textFill>
        </w:rPr>
        <w:t>政府采购政策需满足的资格要求证明材料：</w:t>
      </w:r>
      <w:r>
        <w:rPr>
          <w:rFonts w:hint="eastAsia" w:hAnsi="宋体" w:cs="宋体"/>
          <w:b/>
          <w:bCs/>
          <w:color w:val="000000" w:themeColor="text1"/>
          <w:sz w:val="24"/>
          <w:szCs w:val="22"/>
          <w14:textFill>
            <w14:solidFill>
              <w14:schemeClr w14:val="tx1"/>
            </w14:solidFill>
          </w14:textFill>
        </w:rPr>
        <w:t>提供属于中小企业的证明材料</w:t>
      </w:r>
      <w:r>
        <w:rPr>
          <w:rFonts w:hint="eastAsia" w:hAnsi="宋体" w:cs="宋体"/>
          <w:b/>
          <w:color w:val="000000" w:themeColor="text1"/>
          <w:sz w:val="24"/>
          <w14:textFill>
            <w14:solidFill>
              <w14:schemeClr w14:val="tx1"/>
            </w14:solidFill>
          </w14:textFill>
        </w:rPr>
        <w:t>。</w:t>
      </w:r>
    </w:p>
    <w:p>
      <w:pPr>
        <w:pStyle w:val="86"/>
        <w:spacing w:line="480" w:lineRule="exact"/>
        <w:ind w:firstLine="198" w:firstLineChars="82"/>
        <w:rPr>
          <w:rFonts w:hAnsi="宋体" w:cs="宋体"/>
          <w:b/>
          <w:color w:val="000000" w:themeColor="text1"/>
          <w:sz w:val="24"/>
          <w:szCs w:val="22"/>
          <w14:textFill>
            <w14:solidFill>
              <w14:schemeClr w14:val="tx1"/>
            </w14:solidFill>
          </w14:textFill>
        </w:rPr>
      </w:pPr>
      <w:r>
        <w:rPr>
          <w:rFonts w:hint="eastAsia" w:hAnsi="宋体" w:cs="宋体"/>
          <w:b/>
          <w:color w:val="000000" w:themeColor="text1"/>
          <w:sz w:val="24"/>
          <w:szCs w:val="22"/>
          <w14:textFill>
            <w14:solidFill>
              <w14:schemeClr w14:val="tx1"/>
            </w14:solidFill>
          </w14:textFill>
        </w:rPr>
        <w:t>（五）其他类似效力要求相关证明材料</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1、法定代表人身份证明原件及法定代表人身份证明材料复印件。（法定代表人参与磋商适用）</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2、法定代表人授权书原件、授权代表身份证明材料及法定代表人身份证明材料复印件。（授权代表参与磋商适用）</w:t>
      </w:r>
    </w:p>
    <w:p>
      <w:pPr>
        <w:spacing w:line="360" w:lineRule="auto"/>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二、不属于禁止参加本次采购活动的供应商</w:t>
      </w:r>
    </w:p>
    <w:p>
      <w:pPr>
        <w:spacing w:line="360" w:lineRule="auto"/>
        <w:ind w:firstLine="480" w:firstLineChars="200"/>
        <w:rPr>
          <w:rFonts w:hAnsi="宋体" w:cs="宋体"/>
          <w:b/>
          <w:bCs/>
          <w:color w:val="000000" w:themeColor="text1"/>
          <w14:textFill>
            <w14:solidFill>
              <w14:schemeClr w14:val="tx1"/>
            </w14:solidFill>
          </w14:textFill>
        </w:rPr>
      </w:pPr>
      <w:r>
        <w:rPr>
          <w:rFonts w:hint="eastAsia"/>
          <w:color w:val="000000" w:themeColor="text1"/>
          <w:sz w:val="24"/>
          <w:szCs w:val="22"/>
          <w14:textFill>
            <w14:solidFill>
              <w14:schemeClr w14:val="tx1"/>
            </w14:solidFill>
          </w14:textFill>
        </w:rPr>
        <w:t>根据《关于在政府采购活动中查询及使用信用记录有关问题的通知》（财库〔2016〕 125 号）的要求，采购代理机构将通过“信用中国”网站（www.creditchina.gov.cn）、 “中国政府采购网”网站（www.ccgp.gov.cn）等渠道查询供应商的信用信息记录并保存信用记录结果网页截图，拒绝列入失信被执行人、重大税收违法案件当事人名单、政府采购严重违法失信行为记录名单及其他不符合《中华人民共和国政府采购法》第二十二条规定条件的供应商参加本项目的采购活动。</w:t>
      </w:r>
      <w:r>
        <w:rPr>
          <w:rFonts w:hint="eastAsia"/>
          <w:b/>
          <w:bCs/>
          <w:color w:val="000000" w:themeColor="text1"/>
          <w:sz w:val="24"/>
          <w:szCs w:val="22"/>
          <w14:textFill>
            <w14:solidFill>
              <w14:schemeClr w14:val="tx1"/>
            </w14:solidFill>
          </w14:textFill>
        </w:rPr>
        <w:t>（采购代理机构出具的信用记录结果网页截图即可，供应商无须提供）</w:t>
      </w:r>
    </w:p>
    <w:p>
      <w:pPr>
        <w:spacing w:line="520" w:lineRule="exact"/>
        <w:rPr>
          <w:rFonts w:hAnsi="宋体" w:cs="宋体"/>
          <w:b/>
          <w:color w:val="000000" w:themeColor="text1"/>
          <w:sz w:val="24"/>
          <w:szCs w:val="22"/>
          <w14:textFill>
            <w14:solidFill>
              <w14:schemeClr w14:val="tx1"/>
            </w14:solidFill>
          </w14:textFill>
        </w:rPr>
      </w:pPr>
    </w:p>
    <w:p>
      <w:pPr>
        <w:pStyle w:val="86"/>
        <w:spacing w:line="480" w:lineRule="exact"/>
        <w:ind w:firstLine="482"/>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说明：</w:t>
      </w:r>
    </w:p>
    <w:p>
      <w:pPr>
        <w:pStyle w:val="86"/>
        <w:spacing w:line="480" w:lineRule="exact"/>
        <w:ind w:firstLine="420" w:firstLineChars="0"/>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1、供应商提供的以上资格证明材料及其他类似效力要求的相关证明材料均应加盖供应商公章，否则资格审查将视为未通过。本项目资格审查仅限于本章涉及的所有内容，若供应商未按照以上要求提供齐全，其资格审查作未通过处理。供应商应对其所提供的资格证明材料来源的合法性、真实性承担法律责任。</w:t>
      </w:r>
    </w:p>
    <w:p>
      <w:pPr>
        <w:pStyle w:val="86"/>
        <w:spacing w:line="480" w:lineRule="exact"/>
        <w:ind w:firstLine="420" w:firstLineChars="0"/>
        <w:rPr>
          <w:rFonts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2、以上承诺函格式可参照第八章响应文件格式中符合《中华人民共和国政府采购法》第二十二条规定的条件的承诺及声明函或自拟格式提供均有效。</w:t>
      </w:r>
    </w:p>
    <w:p>
      <w:pPr>
        <w:pStyle w:val="86"/>
        <w:spacing w:line="480" w:lineRule="exact"/>
        <w:ind w:firstLine="420" w:firstLineChars="0"/>
        <w:rPr>
          <w:rFonts w:hAnsi="宋体" w:cs="宋体"/>
          <w:color w:val="000000" w:themeColor="text1"/>
          <w14:textFill>
            <w14:solidFill>
              <w14:schemeClr w14:val="tx1"/>
            </w14:solidFill>
          </w14:textFill>
        </w:rPr>
        <w:sectPr>
          <w:footerReference r:id="rId8" w:type="default"/>
          <w:pgSz w:w="11906" w:h="16838"/>
          <w:pgMar w:top="1418" w:right="1758" w:bottom="1418" w:left="1758" w:header="851" w:footer="992" w:gutter="0"/>
          <w:pgNumType w:fmt="decimal"/>
          <w:cols w:space="720" w:num="1"/>
          <w:docGrid w:type="lines" w:linePitch="312" w:charSpace="0"/>
        </w:sectPr>
      </w:pPr>
      <w:r>
        <w:rPr>
          <w:rFonts w:hint="eastAsia" w:hAnsi="宋体" w:cs="宋体"/>
          <w:b/>
          <w:bCs/>
          <w:color w:val="000000" w:themeColor="text1"/>
          <w:sz w:val="24"/>
          <w14:textFill>
            <w14:solidFill>
              <w14:schemeClr w14:val="tx1"/>
            </w14:solidFill>
          </w14:textFill>
        </w:rPr>
        <w:t>3、本章要求提供的相关证明材料应当结合采购项目具体情况和供应商的组织机构性质确定，不得一概而论。</w:t>
      </w:r>
    </w:p>
    <w:bookmarkEnd w:id="88"/>
    <w:bookmarkEnd w:id="89"/>
    <w:bookmarkEnd w:id="90"/>
    <w:bookmarkEnd w:id="91"/>
    <w:bookmarkEnd w:id="92"/>
    <w:p>
      <w:pPr>
        <w:pStyle w:val="3"/>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pPr>
      <w:bookmarkStart w:id="124" w:name="_Toc3991891"/>
      <w:bookmarkStart w:id="125" w:name="_Toc5753"/>
      <w:bookmarkStart w:id="126" w:name="BookMK54"/>
      <w:bookmarkStart w:id="127" w:name="_Toc183682369"/>
      <w:bookmarkStart w:id="128" w:name="_Toc183582232"/>
      <w:bookmarkStart w:id="129" w:name="_Toc217446057"/>
      <w:r>
        <w:rPr>
          <w:rFonts w:hint="eastAsia" w:hAnsi="宋体" w:cs="宋体"/>
          <w:color w:val="000000" w:themeColor="text1"/>
          <w:sz w:val="32"/>
          <w:szCs w:val="32"/>
          <w14:textFill>
            <w14:solidFill>
              <w14:schemeClr w14:val="tx1"/>
            </w14:solidFill>
          </w14:textFill>
        </w:rPr>
        <w:t xml:space="preserve">第五章 </w:t>
      </w:r>
      <w:bookmarkEnd w:id="124"/>
      <w:bookmarkEnd w:id="125"/>
      <w:r>
        <w:rPr>
          <w:rFonts w:hint="eastAsia" w:hAnsi="宋体" w:cs="宋体"/>
          <w:color w:val="000000" w:themeColor="text1"/>
          <w:sz w:val="32"/>
          <w:szCs w:val="32"/>
          <w14:textFill>
            <w14:solidFill>
              <w14:schemeClr w14:val="tx1"/>
            </w14:solidFill>
          </w14:textFill>
        </w:rPr>
        <w:t>采购项目技术、服务及其他商务要求</w:t>
      </w:r>
      <w:bookmarkEnd w:id="126"/>
      <w:bookmarkStart w:id="130" w:name="_Toc19010"/>
      <w:bookmarkStart w:id="131" w:name="BookMK55"/>
      <w:bookmarkStart w:id="132" w:name="_Toc3991893"/>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一、项目简介：</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本次采购为</w:t>
      </w:r>
      <w:r>
        <w:rPr>
          <w:rFonts w:hint="eastAsia" w:ascii="宋体" w:hAnsi="宋体" w:eastAsia="宋体" w:cs="宋体"/>
          <w:color w:val="auto"/>
          <w:sz w:val="24"/>
          <w:szCs w:val="24"/>
          <w:highlight w:val="none"/>
          <w:lang w:eastAsia="zh-CN"/>
        </w:rPr>
        <w:t>大邑县监察委员会监务辅助服务采购项目</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拟确定1家供应商为</w:t>
      </w:r>
      <w:r>
        <w:rPr>
          <w:rFonts w:hint="eastAsia" w:ascii="宋体" w:hAnsi="宋体" w:eastAsia="宋体" w:cs="宋体"/>
          <w:bCs/>
          <w:color w:val="auto"/>
          <w:sz w:val="24"/>
          <w:szCs w:val="24"/>
          <w:highlight w:val="none"/>
          <w:lang w:eastAsia="zh-CN"/>
        </w:rPr>
        <w:t>采购人</w:t>
      </w:r>
      <w:r>
        <w:rPr>
          <w:rFonts w:hint="eastAsia" w:ascii="宋体" w:hAnsi="宋体" w:eastAsia="宋体" w:cs="宋体"/>
          <w:color w:val="auto"/>
          <w:sz w:val="24"/>
          <w:szCs w:val="24"/>
          <w:highlight w:val="none"/>
        </w:rPr>
        <w:t>提供</w:t>
      </w:r>
      <w:r>
        <w:rPr>
          <w:rFonts w:hint="eastAsia" w:ascii="宋体" w:hAnsi="宋体" w:eastAsia="宋体" w:cs="宋体"/>
          <w:b w:val="0"/>
          <w:bCs w:val="0"/>
          <w:color w:val="000000"/>
          <w:kern w:val="2"/>
          <w:sz w:val="24"/>
          <w:szCs w:val="24"/>
          <w:highlight w:val="none"/>
          <w:lang w:val="en-US" w:eastAsia="zh-CN" w:bidi="ar"/>
        </w:rPr>
        <w:t>按照采购人的相关规章制度和岗位职责开展工作的服务，供应商须负责处理合同服务期内的所有劳资纠纷和调解管理纠纷。</w:t>
      </w:r>
      <w:r>
        <w:rPr>
          <w:rFonts w:hint="eastAsia" w:ascii="宋体" w:hAnsi="宋体" w:eastAsia="宋体" w:cs="宋体"/>
          <w:color w:val="auto"/>
          <w:sz w:val="24"/>
          <w:szCs w:val="24"/>
          <w:highlight w:val="none"/>
        </w:rPr>
        <w:t>服务期内如遇相关政策调整等不可抗力因素，则按国家有关规定办理。</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说明：</w:t>
      </w:r>
      <w:r>
        <w:rPr>
          <w:rFonts w:hint="eastAsia" w:ascii="宋体" w:hAnsi="宋体" w:eastAsia="宋体" w:cs="宋体"/>
          <w:b w:val="0"/>
          <w:bCs w:val="0"/>
          <w:color w:val="auto"/>
          <w:sz w:val="24"/>
          <w:szCs w:val="24"/>
          <w:highlight w:val="none"/>
          <w:lang w:eastAsia="zh-CN"/>
        </w:rPr>
        <w:t>提供的服务人员</w:t>
      </w:r>
      <w:r>
        <w:rPr>
          <w:rFonts w:hint="eastAsia" w:ascii="宋体" w:hAnsi="宋体" w:eastAsia="宋体" w:cs="宋体"/>
          <w:b w:val="0"/>
          <w:bCs w:val="0"/>
          <w:color w:val="auto"/>
          <w:sz w:val="24"/>
          <w:szCs w:val="24"/>
          <w:highlight w:val="none"/>
        </w:rPr>
        <w:t>作为采购人监务辅助服务人员与成交供应商为劳动法律关系，与采购人只存在工作管理关系，不存在劳动法律关系。</w:t>
      </w:r>
    </w:p>
    <w:p>
      <w:pPr>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eastAsia="zh-CN"/>
        </w:rPr>
        <w:t>服务内容及其他要求：</w:t>
      </w:r>
    </w:p>
    <w:p>
      <w:pPr>
        <w:spacing w:line="360" w:lineRule="auto"/>
        <w:ind w:firstLine="482" w:firstLineChars="200"/>
        <w:rPr>
          <w:rFonts w:hint="eastAsia" w:ascii="宋体" w:hAnsi="宋体" w:eastAsia="宋体" w:cs="宋体"/>
          <w:b/>
          <w:bCs/>
          <w:color w:val="auto"/>
          <w:spacing w:val="10"/>
          <w:sz w:val="24"/>
          <w:szCs w:val="24"/>
          <w:highlight w:val="none"/>
        </w:rPr>
      </w:pPr>
      <w:r>
        <w:rPr>
          <w:rFonts w:hint="eastAsia" w:ascii="宋体" w:hAnsi="宋体" w:eastAsia="宋体" w:cs="宋体"/>
          <w:b/>
          <w:bCs/>
          <w:color w:val="auto"/>
          <w:sz w:val="24"/>
          <w:szCs w:val="24"/>
          <w:highlight w:val="none"/>
        </w:rPr>
        <w:t>1.对</w:t>
      </w:r>
      <w:r>
        <w:rPr>
          <w:rFonts w:hint="eastAsia" w:ascii="宋体" w:hAnsi="宋体" w:eastAsia="宋体" w:cs="宋体"/>
          <w:b/>
          <w:bCs/>
          <w:color w:val="auto"/>
          <w:sz w:val="24"/>
          <w:szCs w:val="24"/>
          <w:highlight w:val="none"/>
          <w:lang w:eastAsia="zh-CN"/>
        </w:rPr>
        <w:t>提供服务的人员</w:t>
      </w:r>
      <w:r>
        <w:rPr>
          <w:rFonts w:hint="eastAsia" w:ascii="宋体" w:hAnsi="宋体" w:eastAsia="宋体" w:cs="宋体"/>
          <w:b/>
          <w:bCs/>
          <w:color w:val="auto"/>
          <w:sz w:val="24"/>
          <w:szCs w:val="24"/>
          <w:highlight w:val="none"/>
        </w:rPr>
        <w:t>进行</w:t>
      </w:r>
      <w:r>
        <w:rPr>
          <w:rFonts w:hint="eastAsia" w:ascii="宋体" w:hAnsi="宋体" w:eastAsia="宋体" w:cs="宋体"/>
          <w:b/>
          <w:bCs/>
          <w:color w:val="auto"/>
          <w:spacing w:val="10"/>
          <w:sz w:val="24"/>
          <w:szCs w:val="24"/>
          <w:highlight w:val="none"/>
        </w:rPr>
        <w:t>日常管理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成交供应商负责对</w:t>
      </w:r>
      <w:r>
        <w:rPr>
          <w:rFonts w:hint="eastAsia" w:ascii="宋体" w:hAnsi="宋体" w:eastAsia="宋体" w:cs="宋体"/>
          <w:color w:val="auto"/>
          <w:sz w:val="24"/>
          <w:szCs w:val="24"/>
          <w:highlight w:val="none"/>
          <w:lang w:eastAsia="zh-CN"/>
        </w:rPr>
        <w:t>提供服务的人员进行</w:t>
      </w:r>
      <w:r>
        <w:rPr>
          <w:rFonts w:hint="eastAsia" w:ascii="宋体" w:hAnsi="宋体" w:eastAsia="宋体" w:cs="宋体"/>
          <w:color w:val="auto"/>
          <w:sz w:val="24"/>
          <w:szCs w:val="24"/>
          <w:highlight w:val="none"/>
        </w:rPr>
        <w:t>的管理，具体包括：</w:t>
      </w:r>
    </w:p>
    <w:p>
      <w:pPr>
        <w:spacing w:line="360" w:lineRule="auto"/>
        <w:ind w:left="68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（1）依法与</w:t>
      </w:r>
      <w:r>
        <w:rPr>
          <w:rFonts w:hint="eastAsia" w:ascii="宋体" w:hAnsi="宋体" w:eastAsia="宋体" w:cs="宋体"/>
          <w:color w:val="auto"/>
          <w:sz w:val="24"/>
          <w:szCs w:val="24"/>
          <w:highlight w:val="none"/>
          <w:lang w:eastAsia="zh-CN"/>
        </w:rPr>
        <w:t>服务人员</w:t>
      </w:r>
      <w:r>
        <w:rPr>
          <w:rFonts w:hint="eastAsia" w:ascii="宋体" w:hAnsi="宋体" w:eastAsia="宋体" w:cs="宋体"/>
          <w:color w:val="auto"/>
          <w:sz w:val="24"/>
          <w:szCs w:val="24"/>
          <w:highlight w:val="none"/>
        </w:rPr>
        <w:t>签订合法的劳动合同；</w:t>
      </w:r>
    </w:p>
    <w:p>
      <w:pPr>
        <w:spacing w:line="360" w:lineRule="auto"/>
        <w:ind w:left="68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（2）依法为</w:t>
      </w:r>
      <w:r>
        <w:rPr>
          <w:rFonts w:hint="eastAsia" w:ascii="宋体" w:hAnsi="宋体" w:eastAsia="宋体" w:cs="宋体"/>
          <w:color w:val="auto"/>
          <w:sz w:val="24"/>
          <w:szCs w:val="24"/>
          <w:highlight w:val="none"/>
          <w:lang w:eastAsia="zh-CN"/>
        </w:rPr>
        <w:t>服务人员</w:t>
      </w:r>
      <w:r>
        <w:rPr>
          <w:rFonts w:hint="eastAsia" w:ascii="宋体" w:hAnsi="宋体" w:eastAsia="宋体" w:cs="宋体"/>
          <w:color w:val="auto"/>
          <w:sz w:val="24"/>
          <w:szCs w:val="24"/>
          <w:highlight w:val="none"/>
        </w:rPr>
        <w:t>缴纳社会保险；</w:t>
      </w:r>
    </w:p>
    <w:p>
      <w:pPr>
        <w:spacing w:line="360" w:lineRule="auto"/>
        <w:ind w:left="68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（3）根据用工单位要求按时足额发放</w:t>
      </w:r>
      <w:r>
        <w:rPr>
          <w:rFonts w:hint="eastAsia" w:ascii="宋体" w:hAnsi="宋体" w:eastAsia="宋体" w:cs="宋体"/>
          <w:color w:val="auto"/>
          <w:sz w:val="24"/>
          <w:szCs w:val="24"/>
          <w:highlight w:val="none"/>
          <w:lang w:eastAsia="zh-CN"/>
        </w:rPr>
        <w:t>提供服务的人员</w:t>
      </w:r>
      <w:r>
        <w:rPr>
          <w:rFonts w:hint="eastAsia" w:ascii="宋体" w:hAnsi="宋体" w:eastAsia="宋体" w:cs="宋体"/>
          <w:color w:val="auto"/>
          <w:sz w:val="24"/>
          <w:szCs w:val="24"/>
          <w:highlight w:val="none"/>
        </w:rPr>
        <w:t>工资，代扣代缴社会保险及个人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承担部份、个人所得税；</w:t>
      </w:r>
    </w:p>
    <w:p>
      <w:pPr>
        <w:tabs>
          <w:tab w:val="left" w:pos="2290"/>
        </w:tabs>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★成交供应商应依《劳动合同法》及相关规定签订劳动合同；</w:t>
      </w:r>
      <w:r>
        <w:rPr>
          <w:rFonts w:hint="eastAsia" w:ascii="宋体" w:hAnsi="宋体" w:eastAsia="宋体" w:cs="宋体"/>
          <w:b w:val="0"/>
          <w:bCs/>
          <w:color w:val="auto"/>
          <w:sz w:val="24"/>
          <w:szCs w:val="24"/>
          <w:highlight w:val="none"/>
          <w:lang w:eastAsia="zh-CN"/>
        </w:rPr>
        <w:t>提供不低于成都市的最低工资标准，</w:t>
      </w:r>
      <w:r>
        <w:rPr>
          <w:rFonts w:hint="eastAsia" w:ascii="宋体" w:hAnsi="宋体" w:eastAsia="宋体" w:cs="宋体"/>
          <w:b w:val="0"/>
          <w:bCs/>
          <w:color w:val="auto"/>
          <w:sz w:val="24"/>
          <w:szCs w:val="24"/>
          <w:highlight w:val="none"/>
        </w:rPr>
        <w:t>因采购人工作需要产生的加班费用由双方根据国家政策相关规定协商另行计算。</w:t>
      </w:r>
    </w:p>
    <w:p>
      <w:pPr>
        <w:numPr>
          <w:ilvl w:val="0"/>
          <w:numId w:val="0"/>
        </w:numPr>
        <w:tabs>
          <w:tab w:val="left" w:pos="229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建立绩效考核制度，根据用工单位要求及考核结果按时足额发放</w:t>
      </w:r>
      <w:r>
        <w:rPr>
          <w:rFonts w:hint="eastAsia" w:ascii="宋体" w:hAnsi="宋体" w:eastAsia="宋体" w:cs="宋体"/>
          <w:color w:val="auto"/>
          <w:sz w:val="24"/>
          <w:szCs w:val="24"/>
          <w:highlight w:val="none"/>
          <w:lang w:eastAsia="zh-CN"/>
        </w:rPr>
        <w:t>服务人员</w:t>
      </w:r>
      <w:r>
        <w:rPr>
          <w:rFonts w:hint="eastAsia" w:ascii="宋体" w:hAnsi="宋体" w:eastAsia="宋体" w:cs="宋体"/>
          <w:color w:val="auto"/>
          <w:sz w:val="24"/>
          <w:szCs w:val="24"/>
          <w:highlight w:val="none"/>
        </w:rPr>
        <w:t>工资，不得擅自缩减或变更</w:t>
      </w:r>
      <w:r>
        <w:rPr>
          <w:rFonts w:hint="eastAsia" w:ascii="宋体" w:hAnsi="宋体" w:eastAsia="宋体" w:cs="宋体"/>
          <w:color w:val="auto"/>
          <w:sz w:val="24"/>
          <w:szCs w:val="24"/>
          <w:highlight w:val="none"/>
          <w:lang w:eastAsia="zh-CN"/>
        </w:rPr>
        <w:t>服务人员</w:t>
      </w:r>
      <w:r>
        <w:rPr>
          <w:rFonts w:hint="eastAsia" w:ascii="宋体" w:hAnsi="宋体" w:eastAsia="宋体" w:cs="宋体"/>
          <w:color w:val="auto"/>
          <w:sz w:val="24"/>
          <w:szCs w:val="24"/>
          <w:highlight w:val="none"/>
        </w:rPr>
        <w:t>社会保险缴付金额和险种；</w:t>
      </w:r>
    </w:p>
    <w:p>
      <w:pPr>
        <w:tabs>
          <w:tab w:val="left" w:pos="229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（5）提供劳动用工相关政策宣传、解释等人事管理服务，依法妥善解决劳动纠纷；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（6）符合采购人需要及合同条款的其他日常管理要求。</w:t>
      </w:r>
    </w:p>
    <w:p>
      <w:pPr>
        <w:spacing w:line="360" w:lineRule="auto"/>
        <w:ind w:firstLine="52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pacing w:val="10"/>
          <w:sz w:val="24"/>
          <w:szCs w:val="24"/>
          <w:highlight w:val="none"/>
        </w:rPr>
        <w:t>2.</w:t>
      </w:r>
      <w:r>
        <w:rPr>
          <w:rFonts w:hint="eastAsia" w:ascii="宋体" w:hAnsi="宋体" w:eastAsia="宋体" w:cs="宋体"/>
          <w:b/>
          <w:bCs/>
          <w:color w:val="auto"/>
          <w:spacing w:val="10"/>
          <w:sz w:val="24"/>
          <w:szCs w:val="24"/>
          <w:highlight w:val="none"/>
          <w:lang w:eastAsia="zh-CN"/>
        </w:rPr>
        <w:t>服务人员</w:t>
      </w:r>
      <w:r>
        <w:rPr>
          <w:rFonts w:hint="eastAsia" w:ascii="宋体" w:hAnsi="宋体" w:eastAsia="宋体" w:cs="宋体"/>
          <w:b/>
          <w:bCs/>
          <w:color w:val="auto"/>
          <w:sz w:val="24"/>
          <w:szCs w:val="24"/>
          <w:highlight w:val="none"/>
        </w:rPr>
        <w:t>准入条件及其他要求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服务人员</w:t>
      </w:r>
      <w:r>
        <w:rPr>
          <w:rFonts w:hint="eastAsia" w:ascii="宋体" w:hAnsi="宋体" w:eastAsia="宋体" w:cs="宋体"/>
          <w:color w:val="auto"/>
          <w:sz w:val="24"/>
          <w:szCs w:val="24"/>
          <w:highlight w:val="none"/>
        </w:rPr>
        <w:t>与成交供应商已经签订正式劳动合同（劳动合同应满足劳动合同法及相关规定）。</w:t>
      </w:r>
    </w:p>
    <w:p>
      <w:pPr>
        <w:spacing w:line="360" w:lineRule="auto"/>
        <w:ind w:firstLine="480" w:firstLineChars="200"/>
        <w:rPr>
          <w:rFonts w:hint="eastAsia" w:ascii="宋体" w:hAnsi="宋体" w:eastAsia="宋体" w:cs="宋体"/>
          <w:bCs w:val="0"/>
          <w:color w:val="auto"/>
          <w:kern w:val="2"/>
          <w:sz w:val="24"/>
          <w:szCs w:val="24"/>
          <w:lang w:val="en-US" w:eastAsia="zh-CN" w:bidi="ar"/>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服务人员</w:t>
      </w:r>
      <w:r>
        <w:rPr>
          <w:rFonts w:hint="eastAsia" w:ascii="宋体" w:hAnsi="宋体" w:eastAsia="宋体" w:cs="宋体"/>
          <w:color w:val="auto"/>
          <w:sz w:val="24"/>
          <w:szCs w:val="24"/>
          <w:highlight w:val="none"/>
        </w:rPr>
        <w:t>岗位及数量：共8人，其中文秘工作2人，非涉密档案管理1人，文印工作1人，会务工作2人，后勤服务1人，信息工作1人。</w:t>
      </w:r>
      <w:r>
        <w:rPr>
          <w:rFonts w:hint="eastAsia" w:ascii="宋体" w:hAnsi="宋体" w:eastAsia="宋体" w:cs="宋体"/>
          <w:bCs w:val="0"/>
          <w:color w:val="auto"/>
          <w:kern w:val="2"/>
          <w:sz w:val="24"/>
          <w:szCs w:val="24"/>
          <w:lang w:val="en-US" w:eastAsia="zh-CN" w:bidi="ar"/>
        </w:rPr>
        <w:t>（以实际用人为准）</w:t>
      </w:r>
    </w:p>
    <w:p>
      <w:pPr>
        <w:spacing w:line="360" w:lineRule="auto"/>
        <w:ind w:firstLine="480" w:firstLineChars="200"/>
        <w:rPr>
          <w:rFonts w:hint="eastAsia" w:ascii="宋体" w:hAnsi="宋体" w:eastAsia="宋体" w:cs="宋体"/>
          <w:bCs w:val="0"/>
          <w:color w:val="auto"/>
          <w:kern w:val="2"/>
          <w:sz w:val="24"/>
          <w:szCs w:val="24"/>
          <w:lang w:val="en-US" w:eastAsia="zh-CN" w:bidi="ar"/>
        </w:rPr>
      </w:pPr>
      <w:r>
        <w:rPr>
          <w:rFonts w:hint="eastAsia" w:ascii="宋体" w:hAnsi="宋体" w:eastAsia="宋体" w:cs="宋体"/>
          <w:bCs w:val="0"/>
          <w:color w:val="auto"/>
          <w:kern w:val="2"/>
          <w:sz w:val="24"/>
          <w:szCs w:val="24"/>
          <w:lang w:val="en-US" w:eastAsia="zh-CN" w:bidi="ar"/>
        </w:rPr>
        <w:t>（3）服务人员工作要求：</w:t>
      </w:r>
    </w:p>
    <w:p>
      <w:pPr>
        <w:spacing w:line="360" w:lineRule="auto"/>
        <w:ind w:firstLine="720" w:firstLineChars="300"/>
        <w:rPr>
          <w:rFonts w:hint="eastAsia" w:asciiTheme="minorEastAsia" w:hAnsiTheme="minorEastAsia" w:cstheme="minorEastAsia"/>
          <w:color w:val="auto"/>
          <w:sz w:val="24"/>
          <w:szCs w:val="24"/>
          <w:lang w:eastAsia="zh-CN"/>
        </w:rPr>
      </w:pPr>
      <w:r>
        <w:rPr>
          <w:rFonts w:hint="eastAsia" w:ascii="宋体" w:hAnsi="宋体" w:eastAsia="宋体" w:cs="宋体"/>
          <w:bCs w:val="0"/>
          <w:color w:val="auto"/>
          <w:kern w:val="2"/>
          <w:sz w:val="24"/>
          <w:szCs w:val="24"/>
          <w:lang w:val="en-US" w:eastAsia="zh-CN" w:bidi="ar"/>
        </w:rPr>
        <w:t>①文秘</w:t>
      </w:r>
      <w:r>
        <w:rPr>
          <w:rFonts w:hint="eastAsia" w:ascii="宋体" w:hAnsi="宋体" w:eastAsia="宋体" w:cs="宋体"/>
          <w:color w:val="auto"/>
          <w:sz w:val="24"/>
          <w:szCs w:val="24"/>
          <w:highlight w:val="none"/>
        </w:rPr>
        <w:t>工作</w:t>
      </w:r>
      <w:r>
        <w:rPr>
          <w:rFonts w:hint="eastAsia" w:ascii="宋体" w:hAnsi="宋体" w:eastAsia="宋体" w:cs="宋体"/>
          <w:bCs w:val="0"/>
          <w:color w:val="auto"/>
          <w:kern w:val="2"/>
          <w:sz w:val="24"/>
          <w:szCs w:val="24"/>
          <w:lang w:val="en-US" w:eastAsia="zh-CN" w:bidi="ar"/>
        </w:rPr>
        <w:t>人员：</w:t>
      </w:r>
      <w:r>
        <w:rPr>
          <w:rFonts w:hint="eastAsia" w:asciiTheme="minorEastAsia" w:hAnsiTheme="minorEastAsia" w:eastAsiaTheme="minorEastAsia" w:cstheme="minorEastAsia"/>
          <w:color w:val="auto"/>
          <w:sz w:val="24"/>
          <w:szCs w:val="24"/>
          <w:lang w:eastAsia="zh-CN"/>
        </w:rPr>
        <w:t>负责报刊登记、收发等综合服务工作</w:t>
      </w:r>
      <w:r>
        <w:rPr>
          <w:rFonts w:hint="eastAsia" w:asciiTheme="minorEastAsia" w:hAnsiTheme="minorEastAsia" w:cstheme="minorEastAsia"/>
          <w:color w:val="auto"/>
          <w:sz w:val="24"/>
          <w:szCs w:val="24"/>
          <w:lang w:eastAsia="zh-CN"/>
        </w:rPr>
        <w:t>；</w:t>
      </w:r>
    </w:p>
    <w:p>
      <w:pPr>
        <w:spacing w:line="360" w:lineRule="auto"/>
        <w:ind w:firstLine="720" w:firstLineChars="300"/>
        <w:rPr>
          <w:rFonts w:hint="eastAsia" w:asciiTheme="minorEastAsia" w:hAnsi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②</w:t>
      </w:r>
      <w:r>
        <w:rPr>
          <w:rFonts w:hint="eastAsia" w:ascii="宋体" w:hAnsi="宋体" w:eastAsia="宋体" w:cs="宋体"/>
          <w:color w:val="auto"/>
          <w:sz w:val="24"/>
          <w:szCs w:val="24"/>
          <w:highlight w:val="none"/>
        </w:rPr>
        <w:t>非涉密档案管理工作</w:t>
      </w:r>
      <w:r>
        <w:rPr>
          <w:rFonts w:hint="eastAsia" w:ascii="宋体" w:hAnsi="宋体" w:eastAsia="宋体" w:cs="宋体"/>
          <w:color w:val="auto"/>
          <w:sz w:val="24"/>
          <w:szCs w:val="24"/>
          <w:highlight w:val="none"/>
          <w:lang w:eastAsia="zh-CN"/>
        </w:rPr>
        <w:t>人员：</w:t>
      </w:r>
      <w:r>
        <w:rPr>
          <w:rFonts w:hint="eastAsia" w:asciiTheme="minorEastAsia" w:hAnsiTheme="minorEastAsia" w:eastAsiaTheme="minorEastAsia" w:cstheme="minorEastAsia"/>
          <w:color w:val="auto"/>
          <w:sz w:val="24"/>
          <w:szCs w:val="24"/>
          <w:lang w:eastAsia="zh-CN"/>
        </w:rPr>
        <w:t>负责</w:t>
      </w:r>
      <w:r>
        <w:rPr>
          <w:rFonts w:hint="eastAsia" w:ascii="宋体" w:hAnsi="宋体" w:eastAsia="宋体" w:cs="宋体"/>
          <w:color w:val="auto"/>
          <w:sz w:val="24"/>
          <w:szCs w:val="24"/>
          <w:highlight w:val="none"/>
        </w:rPr>
        <w:t>非涉密</w:t>
      </w:r>
      <w:r>
        <w:rPr>
          <w:rFonts w:hint="eastAsia" w:asciiTheme="minorEastAsia" w:hAnsiTheme="minorEastAsia" w:eastAsiaTheme="minorEastAsia" w:cstheme="minorEastAsia"/>
          <w:color w:val="auto"/>
          <w:sz w:val="24"/>
          <w:szCs w:val="24"/>
          <w:lang w:eastAsia="zh-CN"/>
        </w:rPr>
        <w:t>档案的收集、整理、保存并提供查询及相关服务工作</w:t>
      </w:r>
      <w:r>
        <w:rPr>
          <w:rFonts w:hint="eastAsia" w:asciiTheme="minorEastAsia" w:hAnsiTheme="minorEastAsia" w:cstheme="minorEastAsia"/>
          <w:color w:val="auto"/>
          <w:sz w:val="24"/>
          <w:szCs w:val="24"/>
          <w:lang w:eastAsia="zh-CN"/>
        </w:rPr>
        <w:t>；</w:t>
      </w:r>
    </w:p>
    <w:p>
      <w:pPr>
        <w:spacing w:line="360" w:lineRule="auto"/>
        <w:ind w:firstLine="720" w:firstLineChars="300"/>
        <w:rPr>
          <w:rFonts w:hint="eastAsia" w:ascii="宋体" w:hAnsi="宋体" w:eastAsia="宋体" w:cs="宋体"/>
          <w:color w:val="auto"/>
          <w:sz w:val="24"/>
          <w:szCs w:val="24"/>
          <w:highlight w:val="none"/>
          <w:lang w:eastAsia="zh-CN"/>
        </w:rPr>
      </w:pPr>
      <w:r>
        <w:rPr>
          <w:rFonts w:hint="eastAsia" w:ascii="宋体" w:hAnsi="宋体" w:eastAsia="宋体" w:cs="宋体"/>
          <w:bCs w:val="0"/>
          <w:color w:val="auto"/>
          <w:kern w:val="2"/>
          <w:sz w:val="24"/>
          <w:szCs w:val="24"/>
          <w:lang w:val="en-US" w:eastAsia="zh-CN" w:bidi="ar"/>
        </w:rPr>
        <w:t>③</w:t>
      </w:r>
      <w:r>
        <w:rPr>
          <w:rFonts w:hint="eastAsia" w:ascii="宋体" w:hAnsi="宋体" w:eastAsia="宋体" w:cs="宋体"/>
          <w:color w:val="auto"/>
          <w:sz w:val="24"/>
          <w:szCs w:val="24"/>
          <w:highlight w:val="none"/>
        </w:rPr>
        <w:t>文印工作</w:t>
      </w:r>
      <w:r>
        <w:rPr>
          <w:rFonts w:hint="eastAsia" w:ascii="宋体" w:hAnsi="宋体" w:eastAsia="宋体" w:cs="宋体"/>
          <w:color w:val="auto"/>
          <w:sz w:val="24"/>
          <w:szCs w:val="24"/>
          <w:highlight w:val="none"/>
          <w:lang w:eastAsia="zh-CN"/>
        </w:rPr>
        <w:t>人员：</w:t>
      </w:r>
      <w:r>
        <w:rPr>
          <w:rFonts w:hint="eastAsia" w:ascii="宋体" w:hAnsi="宋体" w:eastAsia="宋体" w:cs="宋体"/>
          <w:bCs w:val="0"/>
          <w:color w:val="auto"/>
          <w:kern w:val="2"/>
          <w:sz w:val="24"/>
          <w:szCs w:val="24"/>
          <w:lang w:val="en-US" w:eastAsia="zh-CN" w:bidi="ar"/>
        </w:rPr>
        <w:t>负责完成单位各类文件、材料的打印、复印、誊印任务，确保打印质量以及正确使用并维护保养打字机、复印机、誊印机等文印设备，保持正常使用等；</w:t>
      </w:r>
    </w:p>
    <w:p>
      <w:pPr>
        <w:spacing w:line="360" w:lineRule="auto"/>
        <w:ind w:firstLine="720" w:firstLineChars="300"/>
        <w:rPr>
          <w:rFonts w:hint="eastAsia" w:ascii="宋体" w:hAnsi="宋体" w:eastAsia="宋体" w:cs="宋体"/>
          <w:bCs w:val="0"/>
          <w:color w:val="auto"/>
          <w:kern w:val="2"/>
          <w:sz w:val="24"/>
          <w:szCs w:val="24"/>
          <w:lang w:val="en-US" w:eastAsia="zh-CN" w:bidi="ar"/>
        </w:rPr>
      </w:pPr>
      <w:r>
        <w:rPr>
          <w:rFonts w:hint="eastAsia" w:ascii="宋体" w:hAnsi="宋体" w:eastAsia="宋体" w:cs="宋体"/>
          <w:bCs w:val="0"/>
          <w:color w:val="auto"/>
          <w:kern w:val="2"/>
          <w:sz w:val="24"/>
          <w:szCs w:val="24"/>
          <w:lang w:val="en-US" w:eastAsia="zh-CN" w:bidi="ar"/>
        </w:rPr>
        <w:t>④</w:t>
      </w:r>
      <w:r>
        <w:rPr>
          <w:rFonts w:hint="eastAsia" w:ascii="宋体" w:hAnsi="宋体" w:eastAsia="宋体" w:cs="宋体"/>
          <w:color w:val="auto"/>
          <w:sz w:val="24"/>
          <w:szCs w:val="24"/>
          <w:highlight w:val="none"/>
        </w:rPr>
        <w:t>会务工作</w:t>
      </w:r>
      <w:r>
        <w:rPr>
          <w:rFonts w:hint="eastAsia" w:ascii="宋体" w:hAnsi="宋体" w:eastAsia="宋体" w:cs="宋体"/>
          <w:color w:val="auto"/>
          <w:sz w:val="24"/>
          <w:szCs w:val="24"/>
          <w:highlight w:val="none"/>
          <w:lang w:eastAsia="zh-CN"/>
        </w:rPr>
        <w:t>人员：</w:t>
      </w:r>
      <w:r>
        <w:rPr>
          <w:rFonts w:hint="eastAsia" w:ascii="宋体" w:hAnsi="宋体" w:eastAsia="宋体" w:cs="宋体"/>
          <w:bCs w:val="0"/>
          <w:color w:val="auto"/>
          <w:kern w:val="2"/>
          <w:sz w:val="24"/>
          <w:szCs w:val="24"/>
          <w:lang w:val="en-US" w:eastAsia="zh-CN" w:bidi="ar"/>
        </w:rPr>
        <w:t>负责各项会议的服务以及保障工作的顺利进行，协调安排采购人的各种会议及各类活动，协助对外联络与接待工作；</w:t>
      </w:r>
    </w:p>
    <w:p>
      <w:pPr>
        <w:spacing w:line="360" w:lineRule="auto"/>
        <w:ind w:firstLine="720" w:firstLineChars="300"/>
        <w:rPr>
          <w:rFonts w:hint="eastAsia" w:ascii="宋体" w:hAnsi="宋体" w:eastAsia="宋体" w:cs="宋体"/>
          <w:bCs w:val="0"/>
          <w:color w:val="auto"/>
          <w:kern w:val="2"/>
          <w:sz w:val="24"/>
          <w:szCs w:val="24"/>
          <w:lang w:val="en-US" w:eastAsia="zh-CN" w:bidi="ar"/>
        </w:rPr>
      </w:pPr>
      <w:r>
        <w:rPr>
          <w:rFonts w:hint="eastAsia" w:ascii="宋体" w:hAnsi="宋体" w:eastAsia="宋体" w:cs="宋体"/>
          <w:bCs w:val="0"/>
          <w:color w:val="auto"/>
          <w:kern w:val="2"/>
          <w:sz w:val="24"/>
          <w:szCs w:val="24"/>
          <w:lang w:val="en-US" w:eastAsia="zh-CN" w:bidi="ar"/>
        </w:rPr>
        <w:t>⑤</w:t>
      </w:r>
      <w:r>
        <w:rPr>
          <w:rFonts w:hint="eastAsia" w:ascii="宋体" w:hAnsi="宋体" w:eastAsia="宋体" w:cs="宋体"/>
          <w:color w:val="auto"/>
          <w:sz w:val="24"/>
          <w:szCs w:val="24"/>
          <w:highlight w:val="none"/>
        </w:rPr>
        <w:t>后勤服务工作</w:t>
      </w:r>
      <w:r>
        <w:rPr>
          <w:rFonts w:hint="eastAsia" w:ascii="宋体" w:hAnsi="宋体" w:eastAsia="宋体" w:cs="宋体"/>
          <w:color w:val="auto"/>
          <w:sz w:val="24"/>
          <w:szCs w:val="24"/>
          <w:highlight w:val="none"/>
          <w:lang w:eastAsia="zh-CN"/>
        </w:rPr>
        <w:t>人员：</w:t>
      </w:r>
      <w:r>
        <w:rPr>
          <w:rFonts w:hint="eastAsia" w:ascii="宋体" w:hAnsi="宋体" w:eastAsia="宋体" w:cs="宋体"/>
          <w:bCs w:val="0"/>
          <w:color w:val="auto"/>
          <w:kern w:val="2"/>
          <w:sz w:val="24"/>
          <w:szCs w:val="24"/>
          <w:lang w:val="en-US" w:eastAsia="zh-CN" w:bidi="ar"/>
        </w:rPr>
        <w:t>负责</w:t>
      </w:r>
      <w:r>
        <w:rPr>
          <w:rFonts w:hint="eastAsia" w:ascii="宋体" w:hAnsi="宋体" w:eastAsia="宋体" w:cs="宋体"/>
          <w:bCs w:val="0"/>
          <w:color w:val="auto"/>
          <w:kern w:val="2"/>
          <w:sz w:val="24"/>
          <w:szCs w:val="24"/>
          <w:lang w:val="en-US" w:eastAsia="zh-CN" w:bidi="ar"/>
        </w:rPr>
        <w:fldChar w:fldCharType="begin"/>
      </w:r>
      <w:r>
        <w:rPr>
          <w:rFonts w:hint="eastAsia" w:ascii="宋体" w:hAnsi="宋体" w:eastAsia="宋体" w:cs="宋体"/>
          <w:bCs w:val="0"/>
          <w:color w:val="auto"/>
          <w:kern w:val="2"/>
          <w:sz w:val="24"/>
          <w:szCs w:val="24"/>
          <w:lang w:val="en-US" w:eastAsia="zh-CN" w:bidi="ar"/>
        </w:rPr>
        <w:instrText xml:space="preserve"> HYPERLINK "http://www.so.com/s?q=%E5%8A%9E%E5%85%AC%E8%AE%BE%E5%A4%87&amp;ie=utf-8&amp;src=internal_wenda_recommend_textn" \t "https://wenda.so.com/q/_blank" </w:instrText>
      </w:r>
      <w:r>
        <w:rPr>
          <w:rFonts w:hint="eastAsia" w:ascii="宋体" w:hAnsi="宋体" w:eastAsia="宋体" w:cs="宋体"/>
          <w:bCs w:val="0"/>
          <w:color w:val="auto"/>
          <w:kern w:val="2"/>
          <w:sz w:val="24"/>
          <w:szCs w:val="24"/>
          <w:lang w:val="en-US" w:eastAsia="zh-CN" w:bidi="ar"/>
        </w:rPr>
        <w:fldChar w:fldCharType="separate"/>
      </w:r>
      <w:r>
        <w:rPr>
          <w:rFonts w:hint="eastAsia" w:ascii="宋体" w:hAnsi="宋体" w:eastAsia="宋体" w:cs="宋体"/>
          <w:bCs w:val="0"/>
          <w:color w:val="auto"/>
          <w:kern w:val="2"/>
          <w:sz w:val="24"/>
          <w:szCs w:val="24"/>
          <w:lang w:val="en-US" w:eastAsia="zh-CN" w:bidi="ar"/>
        </w:rPr>
        <w:t>办公设备</w:t>
      </w:r>
      <w:r>
        <w:rPr>
          <w:rFonts w:hint="eastAsia" w:ascii="宋体" w:hAnsi="宋体" w:eastAsia="宋体" w:cs="宋体"/>
          <w:bCs w:val="0"/>
          <w:color w:val="auto"/>
          <w:kern w:val="2"/>
          <w:sz w:val="24"/>
          <w:szCs w:val="24"/>
          <w:lang w:val="en-US" w:eastAsia="zh-CN" w:bidi="ar"/>
        </w:rPr>
        <w:fldChar w:fldCharType="end"/>
      </w:r>
      <w:r>
        <w:rPr>
          <w:rFonts w:hint="eastAsia" w:ascii="宋体" w:hAnsi="宋体" w:eastAsia="宋体" w:cs="宋体"/>
          <w:bCs w:val="0"/>
          <w:color w:val="auto"/>
          <w:kern w:val="2"/>
          <w:sz w:val="24"/>
          <w:szCs w:val="24"/>
          <w:lang w:val="en-US" w:eastAsia="zh-CN" w:bidi="ar"/>
        </w:rPr>
        <w:t>的购置管理，</w:t>
      </w:r>
      <w:r>
        <w:rPr>
          <w:rFonts w:hint="eastAsia" w:ascii="宋体" w:hAnsi="宋体" w:eastAsia="宋体" w:cs="宋体"/>
          <w:bCs w:val="0"/>
          <w:color w:val="auto"/>
          <w:kern w:val="2"/>
          <w:sz w:val="24"/>
          <w:szCs w:val="24"/>
          <w:lang w:val="en-US" w:eastAsia="zh-CN" w:bidi="ar"/>
        </w:rPr>
        <w:fldChar w:fldCharType="begin"/>
      </w:r>
      <w:r>
        <w:rPr>
          <w:rFonts w:hint="eastAsia" w:ascii="宋体" w:hAnsi="宋体" w:eastAsia="宋体" w:cs="宋体"/>
          <w:bCs w:val="0"/>
          <w:color w:val="auto"/>
          <w:kern w:val="2"/>
          <w:sz w:val="24"/>
          <w:szCs w:val="24"/>
          <w:lang w:val="en-US" w:eastAsia="zh-CN" w:bidi="ar"/>
        </w:rPr>
        <w:instrText xml:space="preserve"> HYPERLINK "http://www.so.com/s?q=%E5%8A%9E%E5%85%AC%E7%94%A8%E5%93%81&amp;ie=utf-8&amp;src=internal_wenda_recommend_textn" \t "https://wenda.so.com/q/_blank" </w:instrText>
      </w:r>
      <w:r>
        <w:rPr>
          <w:rFonts w:hint="eastAsia" w:ascii="宋体" w:hAnsi="宋体" w:eastAsia="宋体" w:cs="宋体"/>
          <w:bCs w:val="0"/>
          <w:color w:val="auto"/>
          <w:kern w:val="2"/>
          <w:sz w:val="24"/>
          <w:szCs w:val="24"/>
          <w:lang w:val="en-US" w:eastAsia="zh-CN" w:bidi="ar"/>
        </w:rPr>
        <w:fldChar w:fldCharType="separate"/>
      </w:r>
      <w:r>
        <w:rPr>
          <w:rFonts w:hint="eastAsia" w:ascii="宋体" w:hAnsi="宋体" w:eastAsia="宋体" w:cs="宋体"/>
          <w:bCs w:val="0"/>
          <w:color w:val="auto"/>
          <w:kern w:val="2"/>
          <w:sz w:val="24"/>
          <w:szCs w:val="24"/>
          <w:lang w:val="en-US" w:eastAsia="zh-CN" w:bidi="ar"/>
        </w:rPr>
        <w:t>办公用品</w:t>
      </w:r>
      <w:r>
        <w:rPr>
          <w:rFonts w:hint="eastAsia" w:ascii="宋体" w:hAnsi="宋体" w:eastAsia="宋体" w:cs="宋体"/>
          <w:bCs w:val="0"/>
          <w:color w:val="auto"/>
          <w:kern w:val="2"/>
          <w:sz w:val="24"/>
          <w:szCs w:val="24"/>
          <w:lang w:val="en-US" w:eastAsia="zh-CN" w:bidi="ar"/>
        </w:rPr>
        <w:fldChar w:fldCharType="end"/>
      </w:r>
      <w:r>
        <w:rPr>
          <w:rFonts w:hint="eastAsia" w:ascii="宋体" w:hAnsi="宋体" w:eastAsia="宋体" w:cs="宋体"/>
          <w:bCs w:val="0"/>
          <w:color w:val="auto"/>
          <w:kern w:val="2"/>
          <w:sz w:val="24"/>
          <w:szCs w:val="24"/>
          <w:lang w:val="en-US" w:eastAsia="zh-CN" w:bidi="ar"/>
        </w:rPr>
        <w:t>的管理，管理</w:t>
      </w:r>
      <w:r>
        <w:rPr>
          <w:rFonts w:hint="eastAsia" w:ascii="宋体" w:hAnsi="宋体" w:eastAsia="宋体" w:cs="宋体"/>
          <w:bCs w:val="0"/>
          <w:color w:val="auto"/>
          <w:kern w:val="2"/>
          <w:sz w:val="24"/>
          <w:szCs w:val="24"/>
          <w:lang w:val="en-US" w:eastAsia="zh-CN" w:bidi="ar"/>
        </w:rPr>
        <w:fldChar w:fldCharType="begin"/>
      </w:r>
      <w:r>
        <w:rPr>
          <w:rFonts w:hint="eastAsia" w:ascii="宋体" w:hAnsi="宋体" w:eastAsia="宋体" w:cs="宋体"/>
          <w:bCs w:val="0"/>
          <w:color w:val="auto"/>
          <w:kern w:val="2"/>
          <w:sz w:val="24"/>
          <w:szCs w:val="24"/>
          <w:lang w:val="en-US" w:eastAsia="zh-CN" w:bidi="ar"/>
        </w:rPr>
        <w:instrText xml:space="preserve"> HYPERLINK "http://www.so.com/s?q=%E5%85%AC%E5%85%B1%E7%8E%AF%E5%A2%83&amp;ie=utf-8&amp;src=internal_wenda_recommend_textn" \t "https://wenda.so.com/q/_blank" </w:instrText>
      </w:r>
      <w:r>
        <w:rPr>
          <w:rFonts w:hint="eastAsia" w:ascii="宋体" w:hAnsi="宋体" w:eastAsia="宋体" w:cs="宋体"/>
          <w:bCs w:val="0"/>
          <w:color w:val="auto"/>
          <w:kern w:val="2"/>
          <w:sz w:val="24"/>
          <w:szCs w:val="24"/>
          <w:lang w:val="en-US" w:eastAsia="zh-CN" w:bidi="ar"/>
        </w:rPr>
        <w:fldChar w:fldCharType="separate"/>
      </w:r>
      <w:r>
        <w:rPr>
          <w:rFonts w:hint="eastAsia" w:ascii="宋体" w:hAnsi="宋体" w:eastAsia="宋体" w:cs="宋体"/>
          <w:bCs w:val="0"/>
          <w:color w:val="auto"/>
          <w:kern w:val="2"/>
          <w:sz w:val="24"/>
          <w:szCs w:val="24"/>
          <w:lang w:val="en-US" w:eastAsia="zh-CN" w:bidi="ar"/>
        </w:rPr>
        <w:t>公共环境</w:t>
      </w:r>
      <w:r>
        <w:rPr>
          <w:rFonts w:hint="eastAsia" w:ascii="宋体" w:hAnsi="宋体" w:eastAsia="宋体" w:cs="宋体"/>
          <w:bCs w:val="0"/>
          <w:color w:val="auto"/>
          <w:kern w:val="2"/>
          <w:sz w:val="24"/>
          <w:szCs w:val="24"/>
          <w:lang w:val="en-US" w:eastAsia="zh-CN" w:bidi="ar"/>
        </w:rPr>
        <w:fldChar w:fldCharType="end"/>
      </w:r>
      <w:r>
        <w:rPr>
          <w:rFonts w:hint="eastAsia" w:ascii="宋体" w:hAnsi="宋体" w:eastAsia="宋体" w:cs="宋体"/>
          <w:bCs w:val="0"/>
          <w:color w:val="auto"/>
          <w:kern w:val="2"/>
          <w:sz w:val="24"/>
          <w:szCs w:val="24"/>
          <w:lang w:val="en-US" w:eastAsia="zh-CN" w:bidi="ar"/>
        </w:rPr>
        <w:t>的卫生和安全、</w:t>
      </w:r>
      <w:r>
        <w:rPr>
          <w:rFonts w:hint="eastAsia" w:ascii="宋体" w:hAnsi="宋体" w:eastAsia="宋体" w:cs="宋体"/>
          <w:bCs w:val="0"/>
          <w:color w:val="auto"/>
          <w:kern w:val="2"/>
          <w:sz w:val="24"/>
          <w:szCs w:val="24"/>
          <w:lang w:val="en-US" w:eastAsia="zh-CN" w:bidi="ar"/>
        </w:rPr>
        <w:fldChar w:fldCharType="begin"/>
      </w:r>
      <w:r>
        <w:rPr>
          <w:rFonts w:hint="eastAsia" w:ascii="宋体" w:hAnsi="宋体" w:eastAsia="宋体" w:cs="宋体"/>
          <w:bCs w:val="0"/>
          <w:color w:val="auto"/>
          <w:kern w:val="2"/>
          <w:sz w:val="24"/>
          <w:szCs w:val="24"/>
          <w:lang w:val="en-US" w:eastAsia="zh-CN" w:bidi="ar"/>
        </w:rPr>
        <w:instrText xml:space="preserve"> HYPERLINK "http://www.so.com/s?q=%E5%91%98%E5%B7%A5&amp;ie=utf-8&amp;src=internal_wenda_recommend_textn" \t "https://wenda.so.com/q/_blank" </w:instrText>
      </w:r>
      <w:r>
        <w:rPr>
          <w:rFonts w:hint="eastAsia" w:ascii="宋体" w:hAnsi="宋体" w:eastAsia="宋体" w:cs="宋体"/>
          <w:bCs w:val="0"/>
          <w:color w:val="auto"/>
          <w:kern w:val="2"/>
          <w:sz w:val="24"/>
          <w:szCs w:val="24"/>
          <w:lang w:val="en-US" w:eastAsia="zh-CN" w:bidi="ar"/>
        </w:rPr>
        <w:fldChar w:fldCharType="separate"/>
      </w:r>
      <w:r>
        <w:rPr>
          <w:rFonts w:hint="eastAsia" w:ascii="宋体" w:hAnsi="宋体" w:eastAsia="宋体" w:cs="宋体"/>
          <w:bCs w:val="0"/>
          <w:color w:val="auto"/>
          <w:kern w:val="2"/>
          <w:sz w:val="24"/>
          <w:szCs w:val="24"/>
          <w:lang w:val="en-US" w:eastAsia="zh-CN" w:bidi="ar"/>
        </w:rPr>
        <w:t>员工</w:t>
      </w:r>
      <w:r>
        <w:rPr>
          <w:rFonts w:hint="eastAsia" w:ascii="宋体" w:hAnsi="宋体" w:eastAsia="宋体" w:cs="宋体"/>
          <w:bCs w:val="0"/>
          <w:color w:val="auto"/>
          <w:kern w:val="2"/>
          <w:sz w:val="24"/>
          <w:szCs w:val="24"/>
          <w:lang w:val="en-US" w:eastAsia="zh-CN" w:bidi="ar"/>
        </w:rPr>
        <w:fldChar w:fldCharType="end"/>
      </w:r>
      <w:r>
        <w:rPr>
          <w:rFonts w:hint="eastAsia" w:ascii="宋体" w:hAnsi="宋体" w:eastAsia="宋体" w:cs="宋体"/>
          <w:bCs w:val="0"/>
          <w:color w:val="auto"/>
          <w:kern w:val="2"/>
          <w:sz w:val="24"/>
          <w:szCs w:val="24"/>
          <w:lang w:val="en-US" w:eastAsia="zh-CN" w:bidi="ar"/>
        </w:rPr>
        <w:t>就餐等；</w:t>
      </w:r>
    </w:p>
    <w:p>
      <w:pPr>
        <w:pStyle w:val="2"/>
        <w:spacing w:line="360" w:lineRule="auto"/>
        <w:ind w:firstLine="720" w:firstLineChars="300"/>
        <w:rPr>
          <w:rFonts w:hint="eastAsia" w:asciiTheme="minorEastAsia" w:hAnsiTheme="minorEastAsia" w:eastAsiaTheme="minorEastAsia" w:cstheme="minorEastAsia"/>
          <w:color w:val="auto"/>
          <w:sz w:val="24"/>
          <w:szCs w:val="24"/>
          <w:lang w:eastAsia="zh-CN"/>
        </w:rPr>
      </w:pPr>
      <w:r>
        <w:rPr>
          <w:rFonts w:hint="eastAsia" w:ascii="宋体" w:hAnsi="宋体" w:eastAsia="宋体" w:cs="宋体"/>
          <w:bCs w:val="0"/>
          <w:color w:val="auto"/>
          <w:kern w:val="2"/>
          <w:sz w:val="24"/>
          <w:szCs w:val="24"/>
          <w:lang w:val="en-US" w:eastAsia="zh-CN" w:bidi="ar"/>
        </w:rPr>
        <w:t>⑥</w:t>
      </w:r>
      <w:r>
        <w:rPr>
          <w:rFonts w:hint="eastAsia" w:ascii="宋体" w:hAnsi="宋体" w:eastAsia="宋体" w:cs="宋体"/>
          <w:color w:val="auto"/>
          <w:sz w:val="24"/>
          <w:szCs w:val="24"/>
          <w:highlight w:val="none"/>
        </w:rPr>
        <w:t>信息工作</w:t>
      </w:r>
      <w:r>
        <w:rPr>
          <w:rFonts w:hint="eastAsia" w:ascii="宋体" w:hAnsi="宋体" w:eastAsia="宋体" w:cs="宋体"/>
          <w:color w:val="auto"/>
          <w:sz w:val="24"/>
          <w:szCs w:val="24"/>
          <w:highlight w:val="none"/>
          <w:lang w:eastAsia="zh-CN"/>
        </w:rPr>
        <w:t>人员：</w:t>
      </w:r>
      <w:r>
        <w:rPr>
          <w:rFonts w:hint="eastAsia" w:asciiTheme="minorEastAsia" w:hAnsiTheme="minorEastAsia" w:eastAsiaTheme="minorEastAsia" w:cstheme="minorEastAsia"/>
          <w:color w:val="auto"/>
          <w:sz w:val="24"/>
          <w:szCs w:val="24"/>
          <w:lang w:eastAsia="zh-CN"/>
        </w:rPr>
        <w:t>负责信息资源的建设与管理工作，做好信息的整理、发布与备份，及时更新，保证信息的准确性、可用性和及时性等；</w:t>
      </w:r>
    </w:p>
    <w:p>
      <w:pPr>
        <w:spacing w:line="360" w:lineRule="auto"/>
        <w:ind w:firstLine="720" w:firstLineChars="300"/>
        <w:rPr>
          <w:rFonts w:hint="eastAsia" w:ascii="宋体" w:hAnsi="宋体" w:eastAsia="宋体" w:cs="宋体"/>
          <w:bCs w:val="0"/>
          <w:color w:val="auto"/>
          <w:kern w:val="2"/>
          <w:sz w:val="24"/>
          <w:szCs w:val="24"/>
        </w:rPr>
      </w:pPr>
      <w:r>
        <w:rPr>
          <w:rFonts w:hint="eastAsia" w:ascii="宋体" w:hAnsi="宋体" w:eastAsia="宋体" w:cs="宋体"/>
          <w:bCs w:val="0"/>
          <w:color w:val="auto"/>
          <w:kern w:val="2"/>
          <w:sz w:val="24"/>
          <w:szCs w:val="24"/>
          <w:lang w:val="en-US" w:eastAsia="zh-CN" w:bidi="ar"/>
        </w:rPr>
        <w:t>⑦服从采购人的管理，遵守和执行采购人根据工作需要制定的规章制度和其他管理要求。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服务人员</w:t>
      </w:r>
      <w:r>
        <w:rPr>
          <w:rFonts w:hint="eastAsia" w:ascii="宋体" w:hAnsi="宋体" w:eastAsia="宋体" w:cs="宋体"/>
          <w:color w:val="auto"/>
          <w:sz w:val="24"/>
          <w:szCs w:val="24"/>
          <w:highlight w:val="none"/>
        </w:rPr>
        <w:t>上岗条件及要求：年龄18周岁以上，35周岁以下（</w:t>
      </w:r>
      <w:r>
        <w:rPr>
          <w:rFonts w:hint="eastAsia" w:ascii="宋体" w:hAnsi="宋体" w:eastAsia="宋体" w:cs="宋体"/>
          <w:color w:val="auto"/>
          <w:sz w:val="24"/>
          <w:szCs w:val="24"/>
          <w:highlight w:val="none"/>
          <w:lang w:eastAsia="zh-CN"/>
        </w:rPr>
        <w:t>截止投标</w:t>
      </w:r>
      <w:r>
        <w:rPr>
          <w:rFonts w:hint="eastAsia" w:ascii="宋体" w:hAnsi="宋体" w:eastAsia="宋体" w:cs="宋体"/>
          <w:color w:val="auto"/>
          <w:sz w:val="24"/>
          <w:szCs w:val="24"/>
          <w:highlight w:val="none"/>
        </w:rPr>
        <w:t>日前）。全日制大专及以上学历（</w:t>
      </w:r>
      <w:r>
        <w:rPr>
          <w:rFonts w:hint="eastAsia" w:ascii="宋体" w:hAnsi="宋体" w:eastAsia="宋体" w:cs="宋体"/>
          <w:color w:val="auto"/>
          <w:sz w:val="24"/>
          <w:szCs w:val="24"/>
          <w:highlight w:val="none"/>
          <w:lang w:eastAsia="zh-CN"/>
        </w:rPr>
        <w:t>截止投标</w:t>
      </w:r>
      <w:r>
        <w:rPr>
          <w:rFonts w:hint="eastAsia" w:ascii="宋体" w:hAnsi="宋体" w:eastAsia="宋体" w:cs="宋体"/>
          <w:color w:val="auto"/>
          <w:sz w:val="24"/>
          <w:szCs w:val="24"/>
          <w:highlight w:val="none"/>
        </w:rPr>
        <w:t>日前取得毕业证</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学位证的全日制普通高等学校毕业生和社会在职、非在职人员）。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拥护党的领导，坚决执行党的基本路线和各项方针政策；朝气蓬勃，实事求是，热心服务；具有正常履行招聘岗位职责的身体条件；体检合格。</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凡有下列情况之一者，不得作为</w:t>
      </w:r>
      <w:r>
        <w:rPr>
          <w:rFonts w:hint="eastAsia" w:ascii="宋体" w:hAnsi="宋体" w:eastAsia="宋体" w:cs="宋体"/>
          <w:color w:val="auto"/>
          <w:sz w:val="24"/>
          <w:szCs w:val="24"/>
          <w:highlight w:val="none"/>
          <w:lang w:eastAsia="zh-CN"/>
        </w:rPr>
        <w:t>为采购人提供服务的人员</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1）曾因犯罪受过刑事处罚的人员；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2）曾被开除公职的人员；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3）正在接受立案审查的人员；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4）尚未解除党纪、政纪处分的人员；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5）现役军人，在读非应届毕业生；</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6）法律规定规定的其他情形的人员。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服务人员</w:t>
      </w:r>
      <w:r>
        <w:rPr>
          <w:rFonts w:hint="eastAsia" w:ascii="宋体" w:hAnsi="宋体" w:eastAsia="宋体" w:cs="宋体"/>
          <w:color w:val="auto"/>
          <w:sz w:val="24"/>
          <w:szCs w:val="24"/>
          <w:highlight w:val="none"/>
        </w:rPr>
        <w:t>须经成交供应商笔试和面试合格。</w:t>
      </w:r>
    </w:p>
    <w:p>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3.服务要求</w:t>
      </w:r>
    </w:p>
    <w:p>
      <w:pPr>
        <w:spacing w:line="360"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w:t>
      </w:r>
      <w:r>
        <w:rPr>
          <w:rFonts w:hint="eastAsia" w:ascii="宋体" w:hAnsi="宋体" w:eastAsia="宋体" w:cs="宋体"/>
          <w:color w:val="auto"/>
          <w:sz w:val="24"/>
          <w:szCs w:val="24"/>
          <w:highlight w:val="none"/>
          <w:lang w:eastAsia="zh-CN"/>
        </w:rPr>
        <w:t>服务人员的</w:t>
      </w:r>
      <w:r>
        <w:rPr>
          <w:rFonts w:hint="eastAsia" w:ascii="宋体" w:hAnsi="宋体" w:eastAsia="宋体" w:cs="宋体"/>
          <w:color w:val="auto"/>
          <w:sz w:val="24"/>
          <w:szCs w:val="24"/>
          <w:highlight w:val="none"/>
        </w:rPr>
        <w:t>服务。</w:t>
      </w:r>
    </w:p>
    <w:p>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rPr>
        <w:t>★成交供应商应在合同签订之日起5个工作日内完成</w:t>
      </w:r>
      <w:r>
        <w:rPr>
          <w:rFonts w:hint="eastAsia" w:ascii="宋体" w:hAnsi="宋体" w:eastAsia="宋体" w:cs="宋体"/>
          <w:b w:val="0"/>
          <w:bCs w:val="0"/>
          <w:color w:val="auto"/>
          <w:sz w:val="24"/>
          <w:szCs w:val="24"/>
          <w:highlight w:val="none"/>
          <w:lang w:eastAsia="zh-CN"/>
        </w:rPr>
        <w:t>服务人员的</w:t>
      </w:r>
      <w:r>
        <w:rPr>
          <w:rFonts w:hint="eastAsia" w:ascii="宋体" w:hAnsi="宋体" w:eastAsia="宋体" w:cs="宋体"/>
          <w:b w:val="0"/>
          <w:bCs w:val="0"/>
          <w:color w:val="auto"/>
          <w:sz w:val="24"/>
          <w:szCs w:val="24"/>
          <w:highlight w:val="none"/>
        </w:rPr>
        <w:t>体检、合同签订及岗前培训，并在合同签订之日起第6个工作日按期</w:t>
      </w:r>
      <w:r>
        <w:rPr>
          <w:rFonts w:hint="eastAsia" w:ascii="宋体" w:hAnsi="宋体" w:eastAsia="宋体" w:cs="宋体"/>
          <w:b w:val="0"/>
          <w:bCs w:val="0"/>
          <w:color w:val="auto"/>
          <w:sz w:val="24"/>
          <w:szCs w:val="24"/>
          <w:highlight w:val="none"/>
          <w:lang w:eastAsia="zh-CN"/>
        </w:rPr>
        <w:t>为采购人提供服务人员</w:t>
      </w:r>
      <w:r>
        <w:rPr>
          <w:rFonts w:hint="eastAsia" w:ascii="宋体" w:hAnsi="宋体" w:eastAsia="宋体" w:cs="宋体"/>
          <w:b w:val="0"/>
          <w:bCs w:val="0"/>
          <w:color w:val="auto"/>
          <w:sz w:val="24"/>
          <w:szCs w:val="24"/>
          <w:highlight w:val="none"/>
        </w:rPr>
        <w:t>到岗</w:t>
      </w:r>
      <w:r>
        <w:rPr>
          <w:rFonts w:hint="eastAsia" w:ascii="宋体" w:hAnsi="宋体" w:eastAsia="宋体" w:cs="宋体"/>
          <w:b w:val="0"/>
          <w:bCs w:val="0"/>
          <w:color w:val="auto"/>
          <w:sz w:val="24"/>
          <w:szCs w:val="24"/>
          <w:highlight w:val="none"/>
          <w:lang w:eastAsia="zh-CN"/>
        </w:rPr>
        <w:t>服务</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服务人员</w:t>
      </w:r>
      <w:r>
        <w:rPr>
          <w:rFonts w:hint="eastAsia" w:ascii="宋体" w:hAnsi="宋体" w:eastAsia="宋体" w:cs="宋体"/>
          <w:b w:val="0"/>
          <w:bCs w:val="0"/>
          <w:color w:val="auto"/>
          <w:sz w:val="24"/>
          <w:szCs w:val="24"/>
          <w:highlight w:val="none"/>
        </w:rPr>
        <w:t>出现缺员情况，成交供应商须在五个工作日内补足；</w:t>
      </w:r>
      <w:r>
        <w:rPr>
          <w:rFonts w:hint="eastAsia" w:ascii="宋体" w:hAnsi="宋体" w:eastAsia="宋体" w:cs="宋体"/>
          <w:color w:val="auto"/>
          <w:sz w:val="24"/>
          <w:szCs w:val="24"/>
          <w:highlight w:val="none"/>
        </w:rPr>
        <w:t>服务期内成交供应商调换</w:t>
      </w:r>
      <w:r>
        <w:rPr>
          <w:rFonts w:hint="eastAsia" w:ascii="宋体" w:hAnsi="宋体" w:eastAsia="宋体" w:cs="宋体"/>
          <w:color w:val="auto"/>
          <w:sz w:val="24"/>
          <w:szCs w:val="24"/>
          <w:highlight w:val="none"/>
          <w:lang w:eastAsia="zh-CN"/>
        </w:rPr>
        <w:t>服务人员</w:t>
      </w:r>
      <w:r>
        <w:rPr>
          <w:rFonts w:hint="eastAsia" w:ascii="宋体" w:hAnsi="宋体" w:eastAsia="宋体" w:cs="宋体"/>
          <w:color w:val="auto"/>
          <w:sz w:val="24"/>
          <w:szCs w:val="24"/>
          <w:highlight w:val="none"/>
        </w:rPr>
        <w:t>须经采购人同意。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（2）提供用工劳动保障服务。服务期内有下列情形者，采购人有权退回相关</w:t>
      </w:r>
      <w:r>
        <w:rPr>
          <w:rFonts w:hint="eastAsia" w:ascii="宋体" w:hAnsi="宋体" w:eastAsia="宋体" w:cs="宋体"/>
          <w:color w:val="auto"/>
          <w:sz w:val="24"/>
          <w:szCs w:val="24"/>
          <w:highlight w:val="none"/>
          <w:lang w:eastAsia="zh-CN"/>
        </w:rPr>
        <w:t>服务人员</w:t>
      </w:r>
      <w:r>
        <w:rPr>
          <w:rFonts w:hint="eastAsia" w:ascii="宋体" w:hAnsi="宋体" w:eastAsia="宋体" w:cs="宋体"/>
          <w:color w:val="auto"/>
          <w:sz w:val="24"/>
          <w:szCs w:val="24"/>
          <w:highlight w:val="none"/>
        </w:rPr>
        <w:t>：</w:t>
      </w:r>
    </w:p>
    <w:p>
      <w:pPr>
        <w:tabs>
          <w:tab w:val="left" w:pos="229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1）服务期内被查证不符合用工上岗条件的；</w:t>
      </w:r>
    </w:p>
    <w:p>
      <w:pPr>
        <w:tabs>
          <w:tab w:val="left" w:pos="229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2）违反采购单位规章制度、业务规程或劳动纪律的；</w:t>
      </w:r>
    </w:p>
    <w:p>
      <w:pPr>
        <w:tabs>
          <w:tab w:val="left" w:pos="229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3）工作存在不作为、慢作为、乱作为和营私舞弊等不良工作态度，给采购单位造成负面影响的；</w:t>
      </w:r>
    </w:p>
    <w:p>
      <w:pPr>
        <w:tabs>
          <w:tab w:val="left" w:pos="229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4）不能胜任工作，经过培训或调整岗位，仍不能胜任工作的；</w:t>
      </w:r>
    </w:p>
    <w:p>
      <w:pPr>
        <w:tabs>
          <w:tab w:val="left" w:pos="229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5）所在岗位工作被通报批评或造成采购单位重点工作考核考评靠后的；</w:t>
      </w:r>
    </w:p>
    <w:p>
      <w:pPr>
        <w:tabs>
          <w:tab w:val="left" w:pos="229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6）未经许可泄漏采购单位秘密和不予公开信息的；</w:t>
      </w:r>
    </w:p>
    <w:p>
      <w:pPr>
        <w:tabs>
          <w:tab w:val="left" w:pos="229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7）有违法犯罪行为被追究刑事责任的；</w:t>
      </w:r>
    </w:p>
    <w:p>
      <w:pPr>
        <w:tabs>
          <w:tab w:val="left" w:pos="229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8）患病或非因工负伤，医疗期满后，不能从事原工作也不能从事由采购单位另行安排工作的。</w:t>
      </w:r>
    </w:p>
    <w:p>
      <w:pPr>
        <w:tabs>
          <w:tab w:val="left" w:pos="229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9)经采购单位年度考核不合格的。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（3）提供培训教育服务。成交供应商应根据采购单位工作需要，在服务期内提供</w:t>
      </w:r>
      <w:r>
        <w:rPr>
          <w:rFonts w:hint="eastAsia" w:ascii="宋体" w:hAnsi="宋体" w:eastAsia="宋体" w:cs="宋体"/>
          <w:color w:val="auto"/>
          <w:sz w:val="24"/>
          <w:szCs w:val="24"/>
          <w:highlight w:val="none"/>
          <w:lang w:eastAsia="zh-CN"/>
        </w:rPr>
        <w:t>服务人员</w:t>
      </w:r>
      <w:r>
        <w:rPr>
          <w:rFonts w:hint="eastAsia" w:ascii="宋体" w:hAnsi="宋体" w:eastAsia="宋体" w:cs="宋体"/>
          <w:color w:val="auto"/>
          <w:sz w:val="24"/>
          <w:szCs w:val="24"/>
          <w:highlight w:val="none"/>
        </w:rPr>
        <w:t>的体能训练、思想教育和职业道德等培训服务。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（4）提供规范管理服务。成交供应商应结合采购单位工作规章制度，不定期对</w:t>
      </w:r>
      <w:r>
        <w:rPr>
          <w:rFonts w:hint="eastAsia" w:ascii="宋体" w:hAnsi="宋体" w:eastAsia="宋体" w:cs="宋体"/>
          <w:color w:val="auto"/>
          <w:sz w:val="24"/>
          <w:szCs w:val="24"/>
          <w:highlight w:val="none"/>
          <w:lang w:eastAsia="zh-CN"/>
        </w:rPr>
        <w:t>服务人员</w:t>
      </w:r>
      <w:r>
        <w:rPr>
          <w:rFonts w:hint="eastAsia" w:ascii="宋体" w:hAnsi="宋体" w:eastAsia="宋体" w:cs="宋体"/>
          <w:color w:val="auto"/>
          <w:sz w:val="24"/>
          <w:szCs w:val="24"/>
          <w:highlight w:val="none"/>
        </w:rPr>
        <w:t>出勤、着装、窗口服务形象和工作状态等开展监督检查，同时随时了解掌握</w:t>
      </w:r>
      <w:r>
        <w:rPr>
          <w:rFonts w:hint="eastAsia" w:ascii="宋体" w:hAnsi="宋体" w:eastAsia="宋体" w:cs="宋体"/>
          <w:color w:val="auto"/>
          <w:sz w:val="24"/>
          <w:szCs w:val="24"/>
          <w:highlight w:val="none"/>
          <w:lang w:eastAsia="zh-CN"/>
        </w:rPr>
        <w:t>提供服务的服务人员</w:t>
      </w:r>
      <w:r>
        <w:rPr>
          <w:rFonts w:hint="eastAsia" w:ascii="宋体" w:hAnsi="宋体" w:eastAsia="宋体" w:cs="宋体"/>
          <w:color w:val="auto"/>
          <w:sz w:val="24"/>
          <w:szCs w:val="24"/>
          <w:highlight w:val="none"/>
        </w:rPr>
        <w:t>思想和工作状态，主动配合采购单位做好</w:t>
      </w:r>
      <w:r>
        <w:rPr>
          <w:rFonts w:hint="eastAsia" w:ascii="宋体" w:hAnsi="宋体" w:eastAsia="宋体" w:cs="宋体"/>
          <w:color w:val="auto"/>
          <w:sz w:val="24"/>
          <w:szCs w:val="24"/>
          <w:highlight w:val="none"/>
          <w:lang w:eastAsia="zh-CN"/>
        </w:rPr>
        <w:t>服务人员</w:t>
      </w:r>
      <w:r>
        <w:rPr>
          <w:rFonts w:hint="eastAsia" w:ascii="宋体" w:hAnsi="宋体" w:eastAsia="宋体" w:cs="宋体"/>
          <w:color w:val="auto"/>
          <w:sz w:val="24"/>
          <w:szCs w:val="24"/>
          <w:highlight w:val="none"/>
        </w:rPr>
        <w:t>规范化、标准化管理。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（5）提供其他相关服务。</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★成交供应商负责服务期内</w:t>
      </w:r>
      <w:r>
        <w:rPr>
          <w:rFonts w:hint="eastAsia" w:ascii="宋体" w:hAnsi="宋体" w:eastAsia="宋体" w:cs="宋体"/>
          <w:b w:val="0"/>
          <w:bCs w:val="0"/>
          <w:color w:val="auto"/>
          <w:sz w:val="24"/>
          <w:szCs w:val="24"/>
          <w:highlight w:val="none"/>
          <w:lang w:eastAsia="zh-CN"/>
        </w:rPr>
        <w:t>服务人员的</w:t>
      </w:r>
      <w:r>
        <w:rPr>
          <w:rFonts w:hint="eastAsia" w:ascii="宋体" w:hAnsi="宋体" w:eastAsia="宋体" w:cs="宋体"/>
          <w:b w:val="0"/>
          <w:bCs w:val="0"/>
          <w:color w:val="auto"/>
          <w:sz w:val="24"/>
          <w:szCs w:val="24"/>
          <w:highlight w:val="none"/>
        </w:rPr>
        <w:t>劳资纠纷和工伤理赔等劳动纠纷的调解善后服务；</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★在解除与</w:t>
      </w:r>
      <w:r>
        <w:rPr>
          <w:rFonts w:hint="eastAsia" w:ascii="宋体" w:hAnsi="宋体" w:eastAsia="宋体" w:cs="宋体"/>
          <w:b w:val="0"/>
          <w:bCs w:val="0"/>
          <w:color w:val="auto"/>
          <w:sz w:val="24"/>
          <w:szCs w:val="24"/>
          <w:highlight w:val="none"/>
          <w:lang w:eastAsia="zh-CN"/>
        </w:rPr>
        <w:t>服务人员</w:t>
      </w:r>
      <w:r>
        <w:rPr>
          <w:rFonts w:hint="eastAsia" w:ascii="宋体" w:hAnsi="宋体" w:eastAsia="宋体" w:cs="宋体"/>
          <w:b w:val="0"/>
          <w:bCs w:val="0"/>
          <w:color w:val="auto"/>
          <w:sz w:val="24"/>
          <w:szCs w:val="24"/>
          <w:highlight w:val="none"/>
        </w:rPr>
        <w:t>劳动合同涉及的经济补（赔）偿金由成交供应商承担；</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★本合同订立时所依据的客观情况发生重大变化，致使原合同无法履行的，由成交供应商负责做好</w:t>
      </w:r>
      <w:r>
        <w:rPr>
          <w:rFonts w:hint="eastAsia" w:ascii="宋体" w:hAnsi="宋体" w:eastAsia="宋体" w:cs="宋体"/>
          <w:b w:val="0"/>
          <w:bCs w:val="0"/>
          <w:color w:val="auto"/>
          <w:sz w:val="24"/>
          <w:szCs w:val="24"/>
          <w:highlight w:val="none"/>
          <w:lang w:eastAsia="zh-CN"/>
        </w:rPr>
        <w:t>服务人员</w:t>
      </w:r>
      <w:r>
        <w:rPr>
          <w:rFonts w:hint="eastAsia" w:ascii="宋体" w:hAnsi="宋体" w:eastAsia="宋体" w:cs="宋体"/>
          <w:b w:val="0"/>
          <w:bCs w:val="0"/>
          <w:color w:val="auto"/>
          <w:sz w:val="24"/>
          <w:szCs w:val="24"/>
          <w:highlight w:val="none"/>
        </w:rPr>
        <w:t>安置稳定等相关工作。</w:t>
      </w:r>
    </w:p>
    <w:p>
      <w:pPr>
        <w:tabs>
          <w:tab w:val="left" w:pos="2290"/>
        </w:tabs>
        <w:spacing w:line="360" w:lineRule="auto"/>
        <w:ind w:left="480"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服务管理考核办法</w:t>
      </w:r>
    </w:p>
    <w:p>
      <w:pPr>
        <w:tabs>
          <w:tab w:val="left" w:pos="2290"/>
        </w:tabs>
        <w:spacing w:line="360" w:lineRule="auto"/>
        <w:ind w:left="48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每次</w:t>
      </w:r>
      <w:r>
        <w:rPr>
          <w:rFonts w:hint="eastAsia" w:ascii="宋体" w:hAnsi="宋体" w:eastAsia="宋体" w:cs="宋体"/>
          <w:color w:val="auto"/>
          <w:sz w:val="24"/>
          <w:szCs w:val="24"/>
          <w:highlight w:val="none"/>
          <w:lang w:eastAsia="zh-CN"/>
        </w:rPr>
        <w:t>服务人员的</w:t>
      </w:r>
      <w:r>
        <w:rPr>
          <w:rFonts w:hint="eastAsia" w:ascii="宋体" w:hAnsi="宋体" w:eastAsia="宋体" w:cs="宋体"/>
          <w:color w:val="auto"/>
          <w:sz w:val="24"/>
          <w:szCs w:val="24"/>
          <w:highlight w:val="none"/>
        </w:rPr>
        <w:t>管理服务费和履约保证金按以下管理考核内容结算：</w:t>
      </w:r>
    </w:p>
    <w:p>
      <w:pPr>
        <w:tabs>
          <w:tab w:val="left" w:pos="229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（1）成交供应商未按要求提供用工人数的按实际</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人数支付服务费用；</w:t>
      </w:r>
    </w:p>
    <w:p>
      <w:pPr>
        <w:tabs>
          <w:tab w:val="left" w:pos="229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（2）成交供应商未按要求提供劳务保障服务的一次扣当月管理费用2000元，服务期内每连续或累计达到三次扣履约保证金5%；</w:t>
      </w:r>
    </w:p>
    <w:p>
      <w:pPr>
        <w:tabs>
          <w:tab w:val="left" w:pos="229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（3）成交供应商出现违法违规拖欠用工人员工资或社保费用一次扣管理费用5000元；服务期内每连续或累计达到三次扣履约保证金10%；</w:t>
      </w:r>
    </w:p>
    <w:p>
      <w:pPr>
        <w:tabs>
          <w:tab w:val="left" w:pos="229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（4）成交供应商未有效履行服务要求</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，造成采购单位负面影响的，不予退还全额履约保证金；</w:t>
      </w:r>
    </w:p>
    <w:p>
      <w:pPr>
        <w:tabs>
          <w:tab w:val="left" w:pos="229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（5）成交供应商未按采购单位要求开展培训工作，一次扣当月管理费用1000元，服务期内每连续或累计达到三次扣履约保证金5%；</w:t>
      </w:r>
    </w:p>
    <w:p>
      <w:pPr>
        <w:tabs>
          <w:tab w:val="left" w:pos="229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（6）履约保证金扣完，采购单位有权取消服务合同，造成的经济损失由成交供应商承担。</w:t>
      </w:r>
    </w:p>
    <w:p>
      <w:pPr>
        <w:tabs>
          <w:tab w:val="left" w:pos="2290"/>
        </w:tabs>
        <w:spacing w:line="360" w:lineRule="auto"/>
        <w:ind w:firstLine="480" w:firstLineChars="200"/>
        <w:rPr>
          <w:rFonts w:hint="eastAsia"/>
          <w:lang w:eastAsia="zh-CN"/>
        </w:rPr>
      </w:pPr>
      <w:r>
        <w:rPr>
          <w:rFonts w:hint="eastAsia" w:ascii="宋体" w:hAnsi="宋体" w:eastAsia="宋体" w:cs="宋体"/>
          <w:color w:val="auto"/>
          <w:sz w:val="24"/>
          <w:szCs w:val="24"/>
          <w:highlight w:val="none"/>
        </w:rPr>
        <w:t>（7）本项目服务合同期内管理费用扣款达到2万元及以上的，采购单位将不再续签任何合同。</w:t>
      </w:r>
    </w:p>
    <w:p>
      <w:pPr>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三、与评审标准相对应的内容</w:t>
      </w:r>
    </w:p>
    <w:p>
      <w:pPr>
        <w:pStyle w:val="2"/>
        <w:spacing w:line="360" w:lineRule="auto"/>
        <w:ind w:firstLine="241" w:firstLineChars="1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w:t>
      </w:r>
      <w:r>
        <w:rPr>
          <w:rFonts w:hint="eastAsia" w:ascii="宋体" w:hAnsi="宋体" w:eastAsia="宋体" w:cs="仿宋"/>
          <w:b/>
          <w:bCs/>
          <w:sz w:val="24"/>
          <w:szCs w:val="24"/>
        </w:rPr>
        <w:t>管理制度</w:t>
      </w:r>
      <w:r>
        <w:rPr>
          <w:rFonts w:hint="eastAsia" w:ascii="宋体" w:hAnsi="宋体" w:eastAsia="宋体" w:cs="宋体"/>
          <w:b/>
          <w:bCs/>
          <w:color w:val="auto"/>
          <w:sz w:val="24"/>
          <w:szCs w:val="24"/>
          <w:highlight w:val="none"/>
          <w:lang w:eastAsia="zh-CN"/>
        </w:rPr>
        <w:t>要求</w:t>
      </w:r>
    </w:p>
    <w:p>
      <w:pPr>
        <w:pStyle w:val="2"/>
        <w:spacing w:line="360" w:lineRule="auto"/>
        <w:ind w:firstLine="480"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kern w:val="2"/>
          <w:sz w:val="24"/>
          <w:szCs w:val="24"/>
          <w:lang w:val="en-US" w:eastAsia="zh-CN" w:bidi="ar"/>
        </w:rPr>
        <w:t>根据供应商</w:t>
      </w:r>
      <w:r>
        <w:rPr>
          <w:rFonts w:hint="eastAsia" w:ascii="宋体" w:hAnsi="宋体" w:eastAsia="宋体" w:cs="宋体"/>
          <w:kern w:val="0"/>
          <w:sz w:val="24"/>
          <w:szCs w:val="24"/>
          <w:lang w:val="en-US" w:eastAsia="zh-CN" w:bidi="ar"/>
        </w:rPr>
        <w:t>针对本项目</w:t>
      </w:r>
      <w:r>
        <w:rPr>
          <w:rFonts w:hint="eastAsia" w:ascii="宋体" w:hAnsi="宋体" w:eastAsia="宋体" w:cs="宋体"/>
          <w:kern w:val="2"/>
          <w:sz w:val="24"/>
          <w:szCs w:val="24"/>
          <w:lang w:val="en-US" w:eastAsia="zh-CN" w:bidi="ar"/>
        </w:rPr>
        <w:t>提供的管理制度应包含但不限于</w:t>
      </w:r>
      <w:r>
        <w:rPr>
          <w:rFonts w:hint="eastAsia" w:ascii="宋体" w:hAnsi="宋体" w:eastAsia="宋体" w:cs="仿宋"/>
          <w:sz w:val="24"/>
          <w:szCs w:val="24"/>
        </w:rPr>
        <w:t>：①工作目标；②组织机构；</w:t>
      </w:r>
      <w:r>
        <w:rPr>
          <w:rFonts w:hint="eastAsia" w:ascii="宋体" w:hAnsi="宋体" w:eastAsia="宋体" w:cs="仿宋"/>
          <w:color w:val="auto"/>
          <w:sz w:val="24"/>
          <w:szCs w:val="24"/>
        </w:rPr>
        <w:t>③安全管理制度等</w:t>
      </w:r>
      <w:r>
        <w:rPr>
          <w:rFonts w:hint="eastAsia" w:ascii="宋体" w:hAnsi="宋体" w:eastAsia="宋体" w:cs="仿宋"/>
          <w:sz w:val="24"/>
          <w:szCs w:val="24"/>
        </w:rPr>
        <w:t>内容</w:t>
      </w:r>
      <w:r>
        <w:rPr>
          <w:rFonts w:hint="eastAsia" w:ascii="宋体" w:hAnsi="宋体" w:eastAsia="宋体" w:cs="仿宋"/>
          <w:color w:val="auto"/>
          <w:sz w:val="24"/>
          <w:szCs w:val="24"/>
        </w:rPr>
        <w:t>。</w:t>
      </w:r>
    </w:p>
    <w:p>
      <w:pPr>
        <w:spacing w:line="360" w:lineRule="auto"/>
        <w:ind w:firstLine="241" w:firstLineChars="1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w:t>
      </w:r>
      <w:r>
        <w:rPr>
          <w:rFonts w:hint="eastAsia" w:ascii="宋体" w:hAnsi="宋体" w:eastAsia="宋体" w:cs="仿宋"/>
          <w:b/>
          <w:bCs/>
          <w:sz w:val="24"/>
          <w:szCs w:val="24"/>
        </w:rPr>
        <w:t>服务方案</w:t>
      </w:r>
    </w:p>
    <w:p>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1）总体方案</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根据供应商针对本项目提供的总体方案应包含但不限于：</w:t>
      </w:r>
      <w:r>
        <w:rPr>
          <w:rFonts w:hint="eastAsia" w:ascii="宋体" w:hAnsi="宋体" w:eastAsia="宋体" w:cs="宋体"/>
          <w:sz w:val="24"/>
          <w:szCs w:val="24"/>
          <w:lang w:eastAsia="zh-CN"/>
        </w:rPr>
        <w:t>①</w:t>
      </w:r>
      <w:r>
        <w:rPr>
          <w:rFonts w:hint="eastAsia" w:ascii="宋体" w:hAnsi="宋体" w:eastAsia="宋体" w:cs="宋体"/>
          <w:sz w:val="24"/>
          <w:szCs w:val="24"/>
          <w:lang w:val="en-US" w:eastAsia="zh-CN"/>
        </w:rPr>
        <w:t>项目管理机构及组织管理体系</w:t>
      </w:r>
      <w:r>
        <w:rPr>
          <w:rFonts w:hint="eastAsia" w:ascii="宋体" w:hAnsi="宋体" w:eastAsia="宋体" w:cs="宋体"/>
          <w:sz w:val="24"/>
          <w:szCs w:val="24"/>
          <w:lang w:eastAsia="zh-CN"/>
        </w:rPr>
        <w:t>；②</w:t>
      </w:r>
      <w:r>
        <w:rPr>
          <w:rFonts w:hint="eastAsia" w:ascii="宋体" w:hAnsi="宋体" w:eastAsia="宋体" w:cs="宋体"/>
          <w:sz w:val="24"/>
          <w:szCs w:val="24"/>
          <w:lang w:val="en-US" w:eastAsia="zh-CN"/>
        </w:rPr>
        <w:t>整体规划和工作重点</w:t>
      </w:r>
      <w:r>
        <w:rPr>
          <w:rFonts w:hint="eastAsia" w:ascii="宋体" w:hAnsi="宋体" w:eastAsia="宋体" w:cs="宋体"/>
          <w:sz w:val="24"/>
          <w:szCs w:val="24"/>
          <w:lang w:eastAsia="zh-CN"/>
        </w:rPr>
        <w:t>；③</w:t>
      </w:r>
      <w:r>
        <w:rPr>
          <w:rFonts w:hint="eastAsia" w:ascii="宋体" w:hAnsi="宋体" w:eastAsia="宋体" w:cs="宋体"/>
          <w:sz w:val="24"/>
          <w:szCs w:val="24"/>
          <w:lang w:val="en-US" w:eastAsia="zh-CN"/>
        </w:rPr>
        <w:t>服务团队管理方式</w:t>
      </w:r>
      <w:r>
        <w:rPr>
          <w:rFonts w:hint="eastAsia" w:ascii="宋体" w:hAnsi="宋体" w:eastAsia="宋体" w:cs="宋体"/>
          <w:sz w:val="24"/>
          <w:szCs w:val="24"/>
          <w:lang w:eastAsia="zh-CN"/>
        </w:rPr>
        <w:t>；④</w:t>
      </w:r>
      <w:r>
        <w:rPr>
          <w:rFonts w:hint="eastAsia" w:ascii="宋体" w:hAnsi="宋体" w:eastAsia="宋体" w:cs="宋体"/>
          <w:sz w:val="24"/>
          <w:szCs w:val="24"/>
          <w:lang w:val="en-US" w:eastAsia="zh-CN"/>
        </w:rPr>
        <w:t>服务理念</w:t>
      </w:r>
      <w:r>
        <w:rPr>
          <w:rFonts w:hint="eastAsia" w:ascii="宋体" w:hAnsi="宋体" w:eastAsia="宋体" w:cs="宋体"/>
          <w:sz w:val="24"/>
          <w:szCs w:val="24"/>
          <w:lang w:eastAsia="zh-CN"/>
        </w:rPr>
        <w:t>等内容。</w:t>
      </w:r>
    </w:p>
    <w:p>
      <w:pPr>
        <w:pStyle w:val="2"/>
        <w:numPr>
          <w:ilvl w:val="0"/>
          <w:numId w:val="0"/>
        </w:numPr>
        <w:spacing w:line="360" w:lineRule="auto"/>
        <w:ind w:firstLine="482" w:firstLineChars="200"/>
        <w:rPr>
          <w:rFonts w:hint="eastAsia" w:ascii="宋体" w:hAnsi="宋体" w:eastAsia="宋体" w:cs="宋体"/>
          <w:b/>
          <w:bCs w:val="0"/>
          <w:sz w:val="24"/>
          <w:szCs w:val="24"/>
          <w:lang w:eastAsia="zh-CN"/>
        </w:rPr>
      </w:pPr>
      <w:r>
        <w:rPr>
          <w:rFonts w:hint="eastAsia" w:ascii="宋体" w:hAnsi="宋体" w:eastAsia="宋体" w:cs="宋体"/>
          <w:b/>
          <w:bCs w:val="0"/>
          <w:sz w:val="24"/>
          <w:szCs w:val="24"/>
          <w:lang w:val="en-US" w:eastAsia="zh-CN"/>
        </w:rPr>
        <w:t>2</w:t>
      </w:r>
      <w:r>
        <w:rPr>
          <w:rFonts w:hint="eastAsia" w:ascii="宋体" w:hAnsi="宋体" w:eastAsia="宋体" w:cs="宋体"/>
          <w:b/>
          <w:bCs w:val="0"/>
          <w:sz w:val="24"/>
          <w:szCs w:val="24"/>
          <w:lang w:eastAsia="zh-CN"/>
        </w:rPr>
        <w:t>）</w:t>
      </w:r>
      <w:r>
        <w:rPr>
          <w:rFonts w:hint="eastAsia" w:ascii="宋体" w:hAnsi="宋体" w:eastAsia="宋体" w:cs="宋体"/>
          <w:b/>
          <w:bCs w:val="0"/>
          <w:kern w:val="2"/>
          <w:sz w:val="24"/>
          <w:szCs w:val="24"/>
          <w:lang w:val="en-US" w:eastAsia="zh-CN" w:bidi="ar"/>
        </w:rPr>
        <w:t>质量保障</w:t>
      </w:r>
    </w:p>
    <w:p>
      <w:pPr>
        <w:pStyle w:val="2"/>
        <w:numPr>
          <w:ilvl w:val="0"/>
          <w:numId w:val="0"/>
        </w:num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kern w:val="2"/>
          <w:sz w:val="24"/>
          <w:szCs w:val="24"/>
          <w:lang w:val="en-US" w:eastAsia="zh-CN" w:bidi="ar"/>
        </w:rPr>
        <w:t>根据供应商</w:t>
      </w:r>
      <w:r>
        <w:rPr>
          <w:rFonts w:hint="eastAsia" w:ascii="宋体" w:hAnsi="宋体" w:eastAsia="宋体" w:cs="宋体"/>
          <w:kern w:val="0"/>
          <w:sz w:val="24"/>
          <w:szCs w:val="24"/>
          <w:lang w:val="en-US" w:eastAsia="zh-CN" w:bidi="ar"/>
        </w:rPr>
        <w:t>针对本项目</w:t>
      </w:r>
      <w:r>
        <w:rPr>
          <w:rFonts w:hint="eastAsia" w:ascii="宋体" w:hAnsi="宋体" w:eastAsia="宋体" w:cs="宋体"/>
          <w:kern w:val="2"/>
          <w:sz w:val="24"/>
          <w:szCs w:val="24"/>
          <w:lang w:val="en-US" w:eastAsia="zh-CN" w:bidi="ar"/>
        </w:rPr>
        <w:t>提供的质量保障应包含但不限于：</w:t>
      </w:r>
      <w:r>
        <w:rPr>
          <w:rFonts w:hint="eastAsia" w:ascii="宋体" w:hAnsi="宋体" w:eastAsia="宋体" w:cs="宋体"/>
          <w:color w:val="auto"/>
          <w:sz w:val="24"/>
          <w:szCs w:val="24"/>
        </w:rPr>
        <w:t>①</w:t>
      </w:r>
      <w:r>
        <w:rPr>
          <w:rFonts w:hint="eastAsia" w:ascii="宋体" w:hAnsi="宋体" w:eastAsia="宋体" w:cs="宋体"/>
          <w:kern w:val="2"/>
          <w:sz w:val="24"/>
          <w:szCs w:val="24"/>
          <w:lang w:val="en-US" w:eastAsia="zh-CN" w:bidi="ar"/>
        </w:rPr>
        <w:t>质量保障措施</w:t>
      </w:r>
      <w:r>
        <w:rPr>
          <w:rFonts w:hint="eastAsia" w:ascii="宋体" w:hAnsi="宋体" w:eastAsia="宋体" w:cs="宋体"/>
          <w:color w:val="auto"/>
          <w:sz w:val="24"/>
          <w:szCs w:val="24"/>
        </w:rPr>
        <w:t>；②</w:t>
      </w:r>
      <w:r>
        <w:rPr>
          <w:rFonts w:hint="eastAsia" w:ascii="宋体" w:hAnsi="宋体" w:eastAsia="宋体" w:cs="宋体"/>
          <w:kern w:val="2"/>
          <w:sz w:val="24"/>
          <w:szCs w:val="24"/>
          <w:lang w:val="en-US" w:eastAsia="zh-CN" w:bidi="ar"/>
        </w:rPr>
        <w:t>服务质量考核办法及奖惩措施</w:t>
      </w:r>
      <w:r>
        <w:rPr>
          <w:rFonts w:hint="eastAsia" w:ascii="宋体" w:hAnsi="宋体" w:eastAsia="宋体" w:cs="宋体"/>
          <w:color w:val="auto"/>
          <w:sz w:val="24"/>
          <w:szCs w:val="24"/>
        </w:rPr>
        <w:t>；③</w:t>
      </w:r>
      <w:r>
        <w:rPr>
          <w:rFonts w:hint="eastAsia" w:ascii="宋体" w:hAnsi="宋体" w:eastAsia="宋体" w:cs="宋体"/>
          <w:kern w:val="2"/>
          <w:sz w:val="24"/>
          <w:szCs w:val="24"/>
          <w:lang w:val="en-US" w:eastAsia="zh-CN" w:bidi="ar"/>
        </w:rPr>
        <w:t>质量控制计划</w:t>
      </w:r>
      <w:r>
        <w:rPr>
          <w:rFonts w:hint="eastAsia" w:ascii="宋体" w:hAnsi="宋体" w:eastAsia="宋体" w:cs="宋体"/>
          <w:color w:val="auto"/>
          <w:sz w:val="24"/>
          <w:szCs w:val="24"/>
          <w:lang w:eastAsia="zh-CN"/>
        </w:rPr>
        <w:t>等</w:t>
      </w:r>
      <w:r>
        <w:rPr>
          <w:rFonts w:hint="eastAsia" w:ascii="宋体" w:hAnsi="宋体" w:eastAsia="宋体" w:cs="宋体"/>
          <w:sz w:val="24"/>
          <w:szCs w:val="24"/>
        </w:rPr>
        <w:t>内容</w:t>
      </w:r>
      <w:r>
        <w:rPr>
          <w:rFonts w:hint="eastAsia" w:ascii="宋体" w:hAnsi="宋体" w:eastAsia="宋体" w:cs="宋体"/>
          <w:color w:val="auto"/>
          <w:sz w:val="24"/>
          <w:szCs w:val="24"/>
          <w:lang w:eastAsia="zh-CN"/>
        </w:rPr>
        <w:t>。</w:t>
      </w:r>
    </w:p>
    <w:p>
      <w:pPr>
        <w:spacing w:line="360" w:lineRule="auto"/>
        <w:ind w:firstLine="482" w:firstLineChars="200"/>
        <w:jc w:val="both"/>
        <w:rPr>
          <w:rFonts w:hint="eastAsia" w:ascii="宋体" w:hAnsi="宋体" w:eastAsia="宋体" w:cs="宋体"/>
          <w:b/>
          <w:bCs/>
          <w:sz w:val="24"/>
          <w:szCs w:val="24"/>
          <w:lang w:eastAsia="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eastAsia="zh-CN"/>
        </w:rPr>
        <w:t>）</w:t>
      </w:r>
      <w:r>
        <w:rPr>
          <w:rFonts w:hint="eastAsia" w:ascii="宋体" w:hAnsi="宋体" w:eastAsia="宋体" w:cs="宋体"/>
          <w:b/>
          <w:bCs/>
          <w:sz w:val="24"/>
          <w:szCs w:val="24"/>
        </w:rPr>
        <w:t>人员</w:t>
      </w:r>
      <w:r>
        <w:rPr>
          <w:rFonts w:hint="eastAsia" w:ascii="宋体" w:hAnsi="宋体" w:eastAsia="宋体" w:cs="宋体"/>
          <w:b/>
          <w:bCs/>
          <w:sz w:val="24"/>
          <w:szCs w:val="24"/>
          <w:lang w:eastAsia="zh-CN"/>
        </w:rPr>
        <w:t>管理制度</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kern w:val="2"/>
          <w:sz w:val="24"/>
          <w:szCs w:val="24"/>
          <w:lang w:val="en-US" w:eastAsia="zh-CN" w:bidi="ar"/>
        </w:rPr>
        <w:t>根据供应商</w:t>
      </w:r>
      <w:r>
        <w:rPr>
          <w:rFonts w:hint="eastAsia" w:ascii="宋体" w:hAnsi="宋体" w:eastAsia="宋体" w:cs="宋体"/>
          <w:kern w:val="0"/>
          <w:sz w:val="24"/>
          <w:szCs w:val="24"/>
          <w:lang w:val="en-US" w:eastAsia="zh-CN" w:bidi="ar"/>
        </w:rPr>
        <w:t>针对本项目</w:t>
      </w:r>
      <w:r>
        <w:rPr>
          <w:rFonts w:hint="eastAsia" w:ascii="宋体" w:hAnsi="宋体" w:eastAsia="宋体" w:cs="宋体"/>
          <w:kern w:val="2"/>
          <w:sz w:val="24"/>
          <w:szCs w:val="24"/>
          <w:lang w:val="en-US" w:eastAsia="zh-CN" w:bidi="ar"/>
        </w:rPr>
        <w:t>提供的人员管理制度应包含但不限于</w:t>
      </w:r>
      <w:r>
        <w:rPr>
          <w:rFonts w:hint="eastAsia" w:ascii="宋体" w:hAnsi="宋体" w:eastAsia="宋体" w:cs="宋体"/>
          <w:sz w:val="24"/>
          <w:szCs w:val="24"/>
        </w:rPr>
        <w:t>：①</w:t>
      </w:r>
      <w:r>
        <w:rPr>
          <w:rFonts w:hint="eastAsia" w:ascii="宋体" w:hAnsi="宋体" w:eastAsia="宋体" w:cs="宋体"/>
          <w:kern w:val="2"/>
          <w:sz w:val="24"/>
          <w:szCs w:val="24"/>
          <w:lang w:val="en-US" w:eastAsia="zh-CN" w:bidi="ar"/>
        </w:rPr>
        <w:t>员工劳动关系管理（含原有劳动关系 接收管理、风险防范措施）</w:t>
      </w:r>
      <w:r>
        <w:rPr>
          <w:rFonts w:hint="eastAsia" w:ascii="宋体" w:hAnsi="宋体" w:eastAsia="宋体" w:cs="宋体"/>
          <w:sz w:val="24"/>
          <w:szCs w:val="24"/>
        </w:rPr>
        <w:t>；②</w:t>
      </w:r>
      <w:r>
        <w:rPr>
          <w:rFonts w:hint="eastAsia" w:ascii="宋体" w:hAnsi="宋体" w:eastAsia="宋体" w:cs="宋体"/>
          <w:kern w:val="2"/>
          <w:sz w:val="24"/>
          <w:szCs w:val="24"/>
          <w:lang w:val="en-US" w:eastAsia="zh-CN" w:bidi="ar"/>
        </w:rPr>
        <w:t>劳动争议</w:t>
      </w:r>
      <w:r>
        <w:rPr>
          <w:rFonts w:hint="eastAsia" w:ascii="宋体" w:hAnsi="宋体" w:eastAsia="宋体" w:cs="宋体"/>
          <w:sz w:val="24"/>
          <w:szCs w:val="24"/>
        </w:rPr>
        <w:t>；③</w:t>
      </w:r>
      <w:r>
        <w:rPr>
          <w:rFonts w:hint="eastAsia" w:ascii="宋体" w:hAnsi="宋体" w:eastAsia="宋体" w:cs="宋体"/>
          <w:kern w:val="2"/>
          <w:sz w:val="24"/>
          <w:szCs w:val="24"/>
          <w:lang w:val="en-US" w:eastAsia="zh-CN" w:bidi="ar"/>
        </w:rPr>
        <w:t>岗前培训方案④员工法定福利（社保公积金）、薪酬管理；⑤劳动纠纷解决</w:t>
      </w:r>
      <w:r>
        <w:rPr>
          <w:rFonts w:hint="eastAsia" w:ascii="宋体" w:hAnsi="宋体" w:eastAsia="宋体" w:cs="宋体"/>
          <w:sz w:val="24"/>
          <w:szCs w:val="24"/>
        </w:rPr>
        <w:t>等内容。</w:t>
      </w:r>
    </w:p>
    <w:p>
      <w:pPr>
        <w:pStyle w:val="2"/>
        <w:spacing w:line="360" w:lineRule="auto"/>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lang w:val="en-US" w:eastAsia="zh-CN"/>
        </w:rPr>
        <w:t>3</w:t>
      </w:r>
      <w:r>
        <w:rPr>
          <w:rFonts w:hint="eastAsia" w:ascii="宋体" w:hAnsi="宋体" w:eastAsia="宋体" w:cs="宋体"/>
          <w:b/>
          <w:bCs w:val="0"/>
          <w:color w:val="auto"/>
          <w:sz w:val="24"/>
          <w:szCs w:val="24"/>
          <w:lang w:eastAsia="zh-CN"/>
        </w:rPr>
        <w:t>）</w:t>
      </w:r>
      <w:r>
        <w:rPr>
          <w:rFonts w:hint="eastAsia" w:ascii="宋体" w:hAnsi="宋体" w:eastAsia="宋体" w:cs="宋体"/>
          <w:b/>
          <w:bCs w:val="0"/>
          <w:kern w:val="2"/>
          <w:sz w:val="24"/>
          <w:szCs w:val="24"/>
          <w:lang w:val="en-US" w:eastAsia="zh-CN" w:bidi="ar"/>
        </w:rPr>
        <w:t>应急措施</w:t>
      </w:r>
    </w:p>
    <w:p>
      <w:pPr>
        <w:pStyle w:val="2"/>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kern w:val="2"/>
          <w:sz w:val="24"/>
          <w:szCs w:val="24"/>
          <w:lang w:val="en-US" w:eastAsia="zh-CN" w:bidi="ar"/>
        </w:rPr>
        <w:t>根据供应商</w:t>
      </w:r>
      <w:r>
        <w:rPr>
          <w:rFonts w:hint="eastAsia" w:ascii="宋体" w:hAnsi="宋体" w:eastAsia="宋体" w:cs="宋体"/>
          <w:kern w:val="0"/>
          <w:sz w:val="24"/>
          <w:szCs w:val="24"/>
          <w:lang w:val="en-US" w:eastAsia="zh-CN" w:bidi="ar"/>
        </w:rPr>
        <w:t>针对本项目</w:t>
      </w:r>
      <w:r>
        <w:rPr>
          <w:rFonts w:hint="eastAsia" w:ascii="宋体" w:hAnsi="宋体" w:eastAsia="宋体" w:cs="宋体"/>
          <w:kern w:val="2"/>
          <w:sz w:val="24"/>
          <w:szCs w:val="24"/>
          <w:lang w:val="en-US" w:eastAsia="zh-CN" w:bidi="ar"/>
        </w:rPr>
        <w:t>提供的应急措施应包含但不限于</w:t>
      </w:r>
      <w:r>
        <w:rPr>
          <w:rFonts w:hint="eastAsia" w:ascii="宋体" w:hAnsi="宋体" w:eastAsia="宋体" w:cs="宋体"/>
          <w:sz w:val="24"/>
          <w:szCs w:val="24"/>
        </w:rPr>
        <w:t>：①</w:t>
      </w:r>
      <w:r>
        <w:rPr>
          <w:rFonts w:hint="eastAsia" w:ascii="宋体" w:hAnsi="宋体" w:eastAsia="宋体" w:cs="宋体"/>
          <w:kern w:val="2"/>
          <w:sz w:val="24"/>
          <w:szCs w:val="24"/>
          <w:lang w:val="en-US" w:eastAsia="zh-CN" w:bidi="ar"/>
        </w:rPr>
        <w:t>应急处理措施</w:t>
      </w:r>
      <w:r>
        <w:rPr>
          <w:rFonts w:hint="eastAsia" w:ascii="宋体" w:hAnsi="宋体" w:eastAsia="宋体" w:cs="宋体"/>
          <w:sz w:val="24"/>
          <w:szCs w:val="24"/>
        </w:rPr>
        <w:t>；②</w:t>
      </w:r>
      <w:r>
        <w:rPr>
          <w:rFonts w:hint="eastAsia" w:ascii="宋体" w:hAnsi="宋体" w:eastAsia="宋体" w:cs="宋体"/>
          <w:color w:val="auto"/>
          <w:sz w:val="24"/>
          <w:szCs w:val="24"/>
        </w:rPr>
        <w:t>突发事件应急预案</w:t>
      </w:r>
      <w:r>
        <w:rPr>
          <w:rFonts w:hint="eastAsia" w:ascii="宋体" w:hAnsi="宋体" w:eastAsia="宋体" w:cs="宋体"/>
          <w:sz w:val="24"/>
          <w:szCs w:val="24"/>
        </w:rPr>
        <w:t>；③应急管理体系等内容。</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商务及其他要求</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00" w:lineRule="exact"/>
        <w:ind w:left="720" w:leftChars="0" w:right="0" w:rightChars="0"/>
        <w:jc w:val="both"/>
        <w:textAlignment w:val="auto"/>
        <w:rPr>
          <w:rFonts w:hint="eastAsia" w:ascii="宋体" w:hAnsi="宋体" w:eastAsia="宋体" w:cs="宋体"/>
          <w:bCs w:val="0"/>
          <w:color w:val="000000"/>
          <w:kern w:val="2"/>
          <w:sz w:val="24"/>
          <w:szCs w:val="24"/>
          <w:lang w:val="en-US" w:eastAsia="zh-CN" w:bidi="ar"/>
        </w:rPr>
      </w:pPr>
      <w:r>
        <w:rPr>
          <w:rFonts w:hint="eastAsia" w:ascii="宋体" w:hAnsi="宋体" w:eastAsia="宋体" w:cs="宋体"/>
          <w:b/>
          <w:bCs/>
          <w:color w:val="000000"/>
          <w:kern w:val="2"/>
          <w:sz w:val="24"/>
          <w:szCs w:val="24"/>
          <w:lang w:val="en-US" w:eastAsia="zh-CN" w:bidi="ar"/>
        </w:rPr>
        <w:t>1、服务地点：</w:t>
      </w:r>
      <w:r>
        <w:rPr>
          <w:rFonts w:hint="eastAsia" w:ascii="宋体" w:hAnsi="宋体" w:eastAsia="宋体" w:cs="宋体"/>
          <w:bCs w:val="0"/>
          <w:color w:val="000000"/>
          <w:kern w:val="2"/>
          <w:sz w:val="24"/>
          <w:szCs w:val="24"/>
          <w:lang w:val="en-US" w:eastAsia="zh-CN" w:bidi="ar"/>
        </w:rPr>
        <w:t>采购人指定地点。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0" w:right="0" w:firstLine="723" w:firstLineChars="300"/>
        <w:jc w:val="both"/>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2、服务期限：</w:t>
      </w:r>
      <w:r>
        <w:rPr>
          <w:rFonts w:hint="eastAsia" w:ascii="宋体" w:hAnsi="宋体" w:eastAsia="宋体" w:cs="宋体"/>
          <w:bCs w:val="0"/>
          <w:color w:val="000000"/>
          <w:kern w:val="2"/>
          <w:sz w:val="24"/>
          <w:szCs w:val="24"/>
          <w:lang w:val="en-US" w:eastAsia="zh-CN" w:bidi="ar"/>
        </w:rPr>
        <w:t>本项目服务期限为3年，期限内合同一年一签，双方按照合同约定承担相应的义务和权利，合同期满后采购人对上一年度工作情况进行考核后确定是否续签。</w:t>
      </w:r>
    </w:p>
    <w:p>
      <w:pPr>
        <w:tabs>
          <w:tab w:val="left" w:pos="2290"/>
        </w:tabs>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 xml:space="preserve"> 3</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费用构成</w:t>
      </w:r>
      <w:r>
        <w:rPr>
          <w:rFonts w:hint="eastAsia" w:ascii="宋体" w:hAnsi="宋体" w:eastAsia="宋体" w:cs="宋体"/>
          <w:b/>
          <w:bCs/>
          <w:color w:val="auto"/>
          <w:sz w:val="24"/>
          <w:szCs w:val="24"/>
          <w:highlight w:val="none"/>
          <w:lang w:eastAsia="zh-CN"/>
        </w:rPr>
        <w:t>：</w:t>
      </w:r>
      <w:r>
        <w:rPr>
          <w:rFonts w:hint="eastAsia" w:ascii="宋体" w:hAnsi="宋体" w:eastAsia="宋体" w:cs="宋体"/>
          <w:b w:val="0"/>
          <w:bCs w:val="0"/>
          <w:color w:val="auto"/>
          <w:sz w:val="24"/>
          <w:szCs w:val="24"/>
          <w:highlight w:val="none"/>
        </w:rPr>
        <w:t>本次采购服务费为</w:t>
      </w:r>
      <w:r>
        <w:rPr>
          <w:rFonts w:hint="eastAsia" w:ascii="宋体" w:hAnsi="宋体" w:eastAsia="宋体" w:cs="宋体"/>
          <w:b w:val="0"/>
          <w:bCs w:val="0"/>
          <w:color w:val="auto"/>
          <w:sz w:val="24"/>
          <w:szCs w:val="24"/>
          <w:highlight w:val="none"/>
          <w:lang w:bidi="ar"/>
        </w:rPr>
        <w:t>服务期内该服务项目的所有费用，包括</w:t>
      </w:r>
      <w:r>
        <w:rPr>
          <w:rFonts w:hint="eastAsia" w:ascii="宋体" w:hAnsi="宋体" w:eastAsia="宋体" w:cs="宋体"/>
          <w:b w:val="0"/>
          <w:bCs w:val="0"/>
          <w:color w:val="auto"/>
          <w:sz w:val="24"/>
          <w:szCs w:val="24"/>
          <w:highlight w:val="none"/>
        </w:rPr>
        <w:t>成交供应商服务于本项目的管理费用以及</w:t>
      </w:r>
      <w:r>
        <w:rPr>
          <w:rFonts w:hint="eastAsia" w:ascii="宋体" w:hAnsi="宋体" w:eastAsia="宋体" w:cs="宋体"/>
          <w:b w:val="0"/>
          <w:bCs w:val="0"/>
          <w:color w:val="auto"/>
          <w:sz w:val="24"/>
          <w:szCs w:val="24"/>
          <w:highlight w:val="none"/>
          <w:lang w:eastAsia="zh-CN"/>
        </w:rPr>
        <w:t>服务人员</w:t>
      </w:r>
      <w:r>
        <w:rPr>
          <w:rFonts w:hint="eastAsia" w:ascii="宋体" w:hAnsi="宋体" w:eastAsia="宋体" w:cs="宋体"/>
          <w:b w:val="0"/>
          <w:bCs w:val="0"/>
          <w:color w:val="auto"/>
          <w:sz w:val="24"/>
          <w:szCs w:val="24"/>
          <w:highlight w:val="none"/>
        </w:rPr>
        <w:t>的工资、福利等本项目的所有费用。</w:t>
      </w:r>
    </w:p>
    <w:p>
      <w:pPr>
        <w:spacing w:line="360" w:lineRule="auto"/>
        <w:ind w:right="-1" w:firstLine="723" w:firstLineChars="30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付款方式：</w:t>
      </w:r>
      <w:r>
        <w:rPr>
          <w:rFonts w:hint="eastAsia" w:ascii="宋体" w:hAnsi="宋体" w:eastAsia="宋体" w:cs="宋体"/>
          <w:color w:val="auto"/>
          <w:sz w:val="24"/>
          <w:szCs w:val="24"/>
          <w:highlight w:val="none"/>
        </w:rPr>
        <w:t>半年结算一次。</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rPr>
        <w:t>成交供应商须在每到半年的次月的10日前向采购人开具正式税务发票原件等手续，采购人收到发票及相关手续后，在七个工作日内（节假日顺延至第一个工作日）通过转帐方式向成交供应商支付服务费。</w:t>
      </w:r>
      <w:r>
        <w:rPr>
          <w:rFonts w:hint="eastAsia" w:ascii="宋体" w:hAnsi="宋体" w:eastAsia="宋体" w:cs="宋体"/>
          <w:color w:val="auto"/>
          <w:sz w:val="24"/>
          <w:szCs w:val="24"/>
          <w:highlight w:val="none"/>
        </w:rPr>
        <w:t>每次应支付服务费金额＝成交服务费总额/2。（如有扣费，则按扣除后的实际金额支付）</w:t>
      </w:r>
      <w:r>
        <w:rPr>
          <w:rFonts w:hint="eastAsia" w:ascii="宋体" w:hAnsi="宋体" w:eastAsia="宋体" w:cs="宋体"/>
          <w:color w:val="auto"/>
          <w:sz w:val="24"/>
          <w:szCs w:val="24"/>
          <w:highlight w:val="none"/>
          <w:lang w:eastAsia="zh-CN"/>
        </w:rPr>
        <w:t>）</w:t>
      </w:r>
    </w:p>
    <w:p>
      <w:pPr>
        <w:numPr>
          <w:ilvl w:val="0"/>
          <w:numId w:val="0"/>
        </w:numPr>
        <w:spacing w:line="360" w:lineRule="auto"/>
        <w:ind w:right="-1" w:rightChars="0" w:firstLine="723" w:firstLineChars="3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其他要求</w:t>
      </w:r>
      <w:r>
        <w:rPr>
          <w:rFonts w:hint="eastAsia" w:ascii="宋体" w:hAnsi="宋体" w:eastAsia="宋体" w:cs="宋体"/>
          <w:b/>
          <w:bCs/>
          <w:color w:val="auto"/>
          <w:sz w:val="24"/>
          <w:szCs w:val="24"/>
          <w:highlight w:val="none"/>
          <w:lang w:eastAsia="zh-CN"/>
        </w:rPr>
        <w:t>：</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rPr>
        <w:t>成交供应商不得转包成交的服务项目。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除法律、法规另有规定外，未经采购人书面同意，成交供应商不得对外提供服务过程中获知的当事人的政府工作秘密和业务资料。</w:t>
      </w:r>
    </w:p>
    <w:p>
      <w:pPr>
        <w:tabs>
          <w:tab w:val="left" w:pos="2290"/>
        </w:tabs>
        <w:spacing w:line="360" w:lineRule="auto"/>
        <w:ind w:firstLine="723" w:firstLineChars="3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履约保证金</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成交供应商在收到成交通知书后5个工作日内，向采购人缴纳合同金额10%的履约保证金；采购人在收到履约保证金后与成交供应商签订政府采购合同；若成交供应商没有违约行为，履约保证金在合同有效期满后15个工作日内由采购人无息退还成交供应商。</w:t>
      </w:r>
    </w:p>
    <w:p>
      <w:pPr>
        <w:tabs>
          <w:tab w:val="left" w:pos="2290"/>
        </w:tabs>
        <w:spacing w:line="360" w:lineRule="auto"/>
        <w:ind w:firstLine="723" w:firstLineChars="3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违约责任</w:t>
      </w:r>
      <w:r>
        <w:rPr>
          <w:rFonts w:hint="eastAsia" w:ascii="宋体" w:hAnsi="宋体" w:eastAsia="宋体" w:cs="宋体"/>
          <w:b/>
          <w:bCs/>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在服务合同有效期内，如发现成交供应商有如下行为，则采购人有权终止合同，并按《中华人民共和国</w:t>
      </w:r>
      <w:r>
        <w:rPr>
          <w:rFonts w:hint="eastAsia" w:ascii="宋体" w:hAnsi="宋体" w:eastAsia="宋体" w:cs="宋体"/>
          <w:color w:val="auto"/>
          <w:sz w:val="24"/>
          <w:szCs w:val="24"/>
          <w:highlight w:val="none"/>
          <w:lang w:eastAsia="zh-CN"/>
        </w:rPr>
        <w:t>民法典</w:t>
      </w:r>
      <w:r>
        <w:rPr>
          <w:rFonts w:hint="eastAsia" w:ascii="宋体" w:hAnsi="宋体" w:eastAsia="宋体" w:cs="宋体"/>
          <w:color w:val="auto"/>
          <w:sz w:val="24"/>
          <w:szCs w:val="24"/>
          <w:highlight w:val="none"/>
        </w:rPr>
        <w:t>》等规定追究成交供应商责任。</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）因故意或过失，致使不符合采购文件要求给采购人造成损害的；</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）采购人考评累计三次及以上不合格的；</w:t>
      </w:r>
    </w:p>
    <w:p>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）无故不履行或不完全履行合同约定的。</w:t>
      </w:r>
    </w:p>
    <w:p>
      <w:pPr>
        <w:tabs>
          <w:tab w:val="left" w:pos="2290"/>
        </w:tabs>
        <w:spacing w:line="360" w:lineRule="auto"/>
        <w:ind w:firstLine="240" w:firstLineChars="100"/>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）成交</w:t>
      </w:r>
      <w:r>
        <w:rPr>
          <w:rFonts w:hint="eastAsia" w:ascii="宋体" w:hAnsi="宋体" w:eastAsia="宋体" w:cs="宋体"/>
          <w:bCs/>
          <w:color w:val="auto"/>
          <w:sz w:val="24"/>
          <w:szCs w:val="24"/>
          <w:highlight w:val="none"/>
        </w:rPr>
        <w:t>供应商提供给采购人的服务侵犯任何第三方的知识产权等权益（包括但不限于商标权、专利权、版权、对不便申请专利的技术秘密和商业秘密的权利等），成交供应商除赔偿由此给采购人造成的全部损失外，采购人还将取消其成交供应商资格。</w:t>
      </w:r>
    </w:p>
    <w:p>
      <w:pPr>
        <w:pStyle w:val="27"/>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0" w:right="0" w:rightChars="0" w:firstLine="723" w:firstLineChars="300"/>
        <w:jc w:val="both"/>
        <w:textAlignment w:val="auto"/>
        <w:rPr>
          <w:rFonts w:hint="eastAsia" w:cs="宋体"/>
          <w:b w:val="0"/>
          <w:bCs w:val="0"/>
          <w:color w:val="000000"/>
          <w:kern w:val="2"/>
          <w:sz w:val="24"/>
          <w:szCs w:val="24"/>
          <w:lang w:val="en-US" w:eastAsia="zh-CN" w:bidi="ar"/>
        </w:rPr>
      </w:pPr>
      <w:r>
        <w:rPr>
          <w:rFonts w:hint="eastAsia" w:eastAsia="宋体" w:cs="宋体"/>
          <w:b/>
          <w:bCs/>
          <w:color w:val="000000"/>
          <w:kern w:val="2"/>
          <w:sz w:val="24"/>
          <w:szCs w:val="24"/>
          <w:lang w:val="en-US" w:eastAsia="zh-CN" w:bidi="ar"/>
        </w:rPr>
        <w:t>8</w:t>
      </w:r>
      <w:r>
        <w:rPr>
          <w:rFonts w:hint="eastAsia" w:ascii="宋体" w:hAnsi="宋体" w:eastAsia="宋体" w:cs="宋体"/>
          <w:b/>
          <w:bCs/>
          <w:color w:val="000000"/>
          <w:kern w:val="2"/>
          <w:sz w:val="24"/>
          <w:szCs w:val="24"/>
          <w:lang w:val="en-US" w:eastAsia="zh-CN" w:bidi="ar"/>
        </w:rPr>
        <w:t>、验收方式</w:t>
      </w:r>
      <w:r>
        <w:rPr>
          <w:rFonts w:hint="eastAsia" w:ascii="宋体" w:hAnsi="宋体" w:eastAsia="宋体" w:cs="宋体"/>
          <w:b w:val="0"/>
          <w:bCs w:val="0"/>
          <w:color w:val="000000"/>
          <w:kern w:val="2"/>
          <w:sz w:val="24"/>
          <w:szCs w:val="24"/>
          <w:lang w:val="en-US" w:eastAsia="zh-CN" w:bidi="ar"/>
        </w:rPr>
        <w:t>：按照《财政部关于进一步加强政府采购需求和履约验收管理的指导意见》（财库〔2016〕205号）要求进行验收</w:t>
      </w:r>
      <w:r>
        <w:rPr>
          <w:rFonts w:hint="eastAsia" w:cs="宋体"/>
          <w:b w:val="0"/>
          <w:bCs w:val="0"/>
          <w:color w:val="000000"/>
          <w:kern w:val="2"/>
          <w:sz w:val="24"/>
          <w:szCs w:val="24"/>
          <w:lang w:val="en-US" w:eastAsia="zh-CN" w:bidi="ar"/>
        </w:rPr>
        <w:t>。</w:t>
      </w:r>
    </w:p>
    <w:p>
      <w:pPr>
        <w:pStyle w:val="46"/>
        <w:numPr>
          <w:ilvl w:val="4"/>
          <w:numId w:val="0"/>
        </w:numPr>
        <w:rPr>
          <w:rFonts w:hint="eastAsia" w:ascii="宋体" w:hAnsi="宋体" w:eastAsia="宋体" w:cs="宋体"/>
          <w:color w:val="auto"/>
          <w:highlight w:val="none"/>
        </w:rPr>
      </w:pPr>
      <w:r>
        <w:rPr>
          <w:rFonts w:hint="eastAsia" w:cs="宋体"/>
          <w:b w:val="0"/>
          <w:bCs w:val="0"/>
          <w:color w:val="000000"/>
          <w:kern w:val="2"/>
          <w:sz w:val="24"/>
          <w:szCs w:val="24"/>
          <w:lang w:val="en-US" w:eastAsia="zh-CN" w:bidi="ar"/>
        </w:rPr>
        <w:t xml:space="preserve">  </w:t>
      </w:r>
      <w:r>
        <w:rPr>
          <w:rFonts w:hint="eastAsia" w:ascii="宋体" w:hAnsi="宋体" w:eastAsia="宋体" w:cs="宋体"/>
          <w:b/>
          <w:color w:val="auto"/>
          <w:spacing w:val="8"/>
          <w:sz w:val="24"/>
          <w:szCs w:val="24"/>
        </w:rPr>
        <w:t>注：</w:t>
      </w:r>
      <w:r>
        <w:rPr>
          <w:rFonts w:hint="eastAsia" w:ascii="宋体" w:hAnsi="宋体" w:eastAsia="宋体" w:cs="宋体"/>
          <w:b/>
          <w:color w:val="auto"/>
          <w:sz w:val="24"/>
          <w:szCs w:val="24"/>
        </w:rPr>
        <w:t>本章中上述打★号的为本次招标项目的实质性要求，不允许有负偏离，否则作无效投标处理。本章的要求不能作为资格条件要求评审，如存在资格条件要求，应当认定招标文件编制存在重大缺陷，评审委员会应当停止评审。</w:t>
      </w:r>
    </w:p>
    <w:p>
      <w:pPr>
        <w:pStyle w:val="27"/>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0" w:right="0" w:rightChars="0" w:firstLine="720" w:firstLineChars="300"/>
        <w:jc w:val="both"/>
        <w:textAlignment w:val="auto"/>
        <w:rPr>
          <w:rFonts w:hint="default" w:cs="宋体"/>
          <w:b w:val="0"/>
          <w:bCs w:val="0"/>
          <w:color w:val="000000"/>
          <w:kern w:val="2"/>
          <w:sz w:val="24"/>
          <w:szCs w:val="24"/>
          <w:lang w:val="en-US" w:eastAsia="zh-CN" w:bidi="ar"/>
        </w:rPr>
        <w:sectPr>
          <w:footerReference r:id="rId9" w:type="default"/>
          <w:pgSz w:w="11906" w:h="16838"/>
          <w:pgMar w:top="920" w:right="866" w:bottom="1440" w:left="1380" w:header="851" w:footer="992" w:gutter="0"/>
          <w:pgNumType w:fmt="decimal"/>
          <w:cols w:space="425" w:num="1"/>
          <w:docGrid w:type="lines" w:linePitch="312" w:charSpace="0"/>
        </w:sectPr>
      </w:pPr>
    </w:p>
    <w:p>
      <w:pPr>
        <w:pStyle w:val="3"/>
        <w:keepNext w:val="0"/>
        <w:keepLines w:val="0"/>
        <w:spacing w:before="0" w:line="240" w:lineRule="atLeast"/>
        <w:jc w:val="center"/>
        <w:rPr>
          <w:rFonts w:hAnsi="宋体" w:cs="宋体"/>
          <w:color w:val="000000" w:themeColor="text1"/>
          <w:sz w:val="32"/>
          <w:szCs w:val="32"/>
          <w14:textFill>
            <w14:solidFill>
              <w14:schemeClr w14:val="tx1"/>
            </w14:solidFill>
          </w14:textFill>
        </w:rPr>
      </w:pPr>
      <w:r>
        <w:rPr>
          <w:rFonts w:hint="eastAsia" w:hAnsi="宋体" w:cs="宋体"/>
          <w:color w:val="000000" w:themeColor="text1"/>
          <w:sz w:val="32"/>
          <w:szCs w:val="32"/>
          <w14:textFill>
            <w14:solidFill>
              <w14:schemeClr w14:val="tx1"/>
            </w14:solidFill>
          </w14:textFill>
        </w:rPr>
        <w:t>第六章 采购项目实质性要求</w:t>
      </w:r>
      <w:bookmarkEnd w:id="130"/>
    </w:p>
    <w:bookmarkEnd w:id="131"/>
    <w:p>
      <w:pPr>
        <w:spacing w:line="360" w:lineRule="auto"/>
        <w:rPr>
          <w:b w:val="0"/>
          <w:bCs w:val="0"/>
          <w:color w:val="auto"/>
          <w:sz w:val="24"/>
          <w:szCs w:val="24"/>
        </w:rPr>
      </w:pPr>
      <w:r>
        <w:rPr>
          <w:rFonts w:hint="eastAsia"/>
          <w:b w:val="0"/>
          <w:bCs w:val="0"/>
          <w:color w:val="auto"/>
          <w:sz w:val="24"/>
          <w:szCs w:val="24"/>
          <w:lang w:val="en-US" w:eastAsia="zh-CN"/>
        </w:rPr>
        <w:t>第五章 采购项目技术、服务及其他商务要求中的“二、服务内容及其他要求，四、商务及其他要求”中标注“★”的条款。</w:t>
      </w: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3"/>
        <w:keepNext w:val="0"/>
        <w:keepLines w:val="0"/>
        <w:spacing w:before="0" w:line="240" w:lineRule="atLeast"/>
        <w:jc w:val="center"/>
        <w:rPr>
          <w:rFonts w:hAnsi="宋体" w:cs="宋体"/>
          <w:b w:val="0"/>
          <w:bCs w:val="0"/>
          <w:color w:val="000000" w:themeColor="text1"/>
          <w:sz w:val="32"/>
          <w:szCs w:val="32"/>
          <w14:textFill>
            <w14:solidFill>
              <w14:schemeClr w14:val="tx1"/>
            </w14:solidFill>
          </w14:textFill>
        </w:rPr>
      </w:pPr>
      <w:r>
        <w:rPr>
          <w:rFonts w:hint="eastAsia" w:hAnsi="宋体" w:cs="宋体"/>
          <w:color w:val="000000" w:themeColor="text1"/>
          <w:sz w:val="32"/>
          <w:szCs w:val="32"/>
          <w14:textFill>
            <w14:solidFill>
              <w14:schemeClr w14:val="tx1"/>
            </w14:solidFill>
          </w14:textFill>
        </w:rPr>
        <w:br w:type="page"/>
      </w:r>
      <w:bookmarkStart w:id="133" w:name="_Toc3436"/>
      <w:r>
        <w:rPr>
          <w:rFonts w:hint="eastAsia" w:hAnsi="宋体" w:cs="宋体"/>
          <w:color w:val="000000" w:themeColor="text1"/>
          <w:sz w:val="32"/>
          <w:szCs w:val="32"/>
          <w14:textFill>
            <w14:solidFill>
              <w14:schemeClr w14:val="tx1"/>
            </w14:solidFill>
          </w14:textFill>
        </w:rPr>
        <w:t>第七章 磋商内容、磋商过程中可实质性变动的内容</w:t>
      </w:r>
      <w:bookmarkEnd w:id="133"/>
    </w:p>
    <w:p>
      <w:pPr>
        <w:spacing w:line="360" w:lineRule="auto"/>
        <w:jc w:val="left"/>
        <w:rPr>
          <w:rFonts w:hAnsi="宋体"/>
          <w:color w:val="000000" w:themeColor="text1"/>
          <w:sz w:val="24"/>
          <w14:textFill>
            <w14:solidFill>
              <w14:schemeClr w14:val="tx1"/>
            </w14:solidFill>
          </w14:textFill>
        </w:rPr>
      </w:pPr>
      <w:r>
        <w:rPr>
          <w:rFonts w:hAnsi="宋体"/>
          <w:b/>
          <w:bCs/>
          <w:color w:val="000000" w:themeColor="text1"/>
          <w:sz w:val="24"/>
          <w14:textFill>
            <w14:solidFill>
              <w14:schemeClr w14:val="tx1"/>
            </w14:solidFill>
          </w14:textFill>
        </w:rPr>
        <w:t xml:space="preserve">一、磋商内容： </w:t>
      </w:r>
      <w:r>
        <w:rPr>
          <w:rFonts w:hAnsi="宋体"/>
          <w:color w:val="000000" w:themeColor="text1"/>
          <w:sz w:val="24"/>
          <w14:textFill>
            <w14:solidFill>
              <w14:schemeClr w14:val="tx1"/>
            </w14:solidFill>
          </w14:textFill>
        </w:rPr>
        <w:t xml:space="preserve">  </w:t>
      </w:r>
    </w:p>
    <w:p>
      <w:pPr>
        <w:spacing w:line="360" w:lineRule="auto"/>
        <w:jc w:val="left"/>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1、</w:t>
      </w:r>
      <w:r>
        <w:rPr>
          <w:rFonts w:hAnsi="宋体"/>
          <w:color w:val="000000" w:themeColor="text1"/>
          <w:sz w:val="24"/>
          <w14:textFill>
            <w14:solidFill>
              <w14:schemeClr w14:val="tx1"/>
            </w14:solidFill>
          </w14:textFill>
        </w:rPr>
        <w:t xml:space="preserve">合同主要条款及价格磋商情况。 </w:t>
      </w:r>
    </w:p>
    <w:p>
      <w:pPr>
        <w:spacing w:line="360" w:lineRule="auto"/>
        <w:jc w:val="left"/>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2、</w:t>
      </w:r>
      <w:r>
        <w:rPr>
          <w:rFonts w:hAnsi="宋体"/>
          <w:color w:val="000000" w:themeColor="text1"/>
          <w:sz w:val="24"/>
          <w14:textFill>
            <w14:solidFill>
              <w14:schemeClr w14:val="tx1"/>
            </w14:solidFill>
          </w14:textFill>
        </w:rPr>
        <w:t>评审委员会认为需要磋商的其它事项。</w:t>
      </w:r>
    </w:p>
    <w:p>
      <w:pPr>
        <w:spacing w:line="360" w:lineRule="auto"/>
        <w:jc w:val="left"/>
        <w:rPr>
          <w:rFonts w:hAnsi="宋体"/>
          <w:b/>
          <w:bCs/>
          <w:color w:val="000000" w:themeColor="text1"/>
          <w:sz w:val="24"/>
          <w14:textFill>
            <w14:solidFill>
              <w14:schemeClr w14:val="tx1"/>
            </w14:solidFill>
          </w14:textFill>
        </w:rPr>
      </w:pPr>
      <w:r>
        <w:rPr>
          <w:rFonts w:hAnsi="宋体"/>
          <w:b/>
          <w:bCs/>
          <w:color w:val="000000" w:themeColor="text1"/>
          <w:sz w:val="24"/>
          <w14:textFill>
            <w14:solidFill>
              <w14:schemeClr w14:val="tx1"/>
            </w14:solidFill>
          </w14:textFill>
        </w:rPr>
        <w:t>二、磋商过程中可能实质性变动的内容：</w:t>
      </w:r>
    </w:p>
    <w:p>
      <w:pPr>
        <w:pStyle w:val="2"/>
        <w:spacing w:line="360" w:lineRule="auto"/>
        <w:ind w:firstLine="241" w:firstLineChars="100"/>
        <w:rPr>
          <w:rFonts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1、磋商文件第五章中</w:t>
      </w:r>
      <w:r>
        <w:rPr>
          <w:rFonts w:hint="eastAsia" w:ascii="宋体" w:hAnsi="宋体" w:eastAsia="宋体" w:cs="宋体"/>
          <w:b/>
          <w:bCs/>
          <w:color w:val="000000" w:themeColor="text1"/>
          <w:sz w:val="24"/>
          <w:szCs w:val="24"/>
          <w14:textFill>
            <w14:solidFill>
              <w14:schemeClr w14:val="tx1"/>
            </w14:solidFill>
          </w14:textFill>
        </w:rPr>
        <w:t>标注“★”的条款</w:t>
      </w:r>
      <w:r>
        <w:rPr>
          <w:rFonts w:hint="eastAsia" w:hAnsi="宋体"/>
          <w:b/>
          <w:bCs/>
          <w:color w:val="000000" w:themeColor="text1"/>
          <w14:textFill>
            <w14:solidFill>
              <w14:schemeClr w14:val="tx1"/>
            </w14:solidFill>
          </w14:textFill>
        </w:rPr>
        <w:t>内容。</w:t>
      </w:r>
    </w:p>
    <w:p>
      <w:pPr>
        <w:spacing w:line="360" w:lineRule="auto"/>
        <w:ind w:firstLine="241" w:firstLineChars="100"/>
        <w:jc w:val="left"/>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2、合同主要条款。</w:t>
      </w:r>
    </w:p>
    <w:p>
      <w:pPr>
        <w:rPr>
          <w:rFonts w:hAnsi="宋体" w:cs="宋体"/>
          <w:color w:val="000000" w:themeColor="text1"/>
          <w:sz w:val="32"/>
          <w:szCs w:val="32"/>
          <w14:textFill>
            <w14:solidFill>
              <w14:schemeClr w14:val="tx1"/>
            </w14:solidFill>
          </w14:textFill>
        </w:rPr>
      </w:pPr>
    </w:p>
    <w:p>
      <w:pPr>
        <w:pStyle w:val="3"/>
        <w:keepNext w:val="0"/>
        <w:keepLines w:val="0"/>
        <w:spacing w:before="0" w:line="240" w:lineRule="atLeast"/>
        <w:jc w:val="center"/>
        <w:rPr>
          <w:rFonts w:hAnsi="宋体" w:cs="宋体"/>
          <w:b w:val="0"/>
          <w:bCs w:val="0"/>
          <w:color w:val="000000" w:themeColor="text1"/>
          <w:sz w:val="32"/>
          <w:szCs w:val="32"/>
          <w14:textFill>
            <w14:solidFill>
              <w14:schemeClr w14:val="tx1"/>
            </w14:solidFill>
          </w14:textFill>
        </w:rPr>
      </w:pPr>
      <w:bookmarkStart w:id="134" w:name="BookMK56"/>
      <w:r>
        <w:rPr>
          <w:rFonts w:hint="eastAsia" w:hAnsi="宋体" w:cs="宋体"/>
          <w:color w:val="000000" w:themeColor="text1"/>
          <w:sz w:val="32"/>
          <w:szCs w:val="32"/>
          <w14:textFill>
            <w14:solidFill>
              <w14:schemeClr w14:val="tx1"/>
            </w14:solidFill>
          </w14:textFill>
        </w:rPr>
        <w:br w:type="page"/>
      </w:r>
      <w:bookmarkStart w:id="135" w:name="_Toc31182"/>
      <w:r>
        <w:rPr>
          <w:rFonts w:hint="eastAsia" w:hAnsi="宋体" w:cs="宋体"/>
          <w:color w:val="000000" w:themeColor="text1"/>
          <w:sz w:val="32"/>
          <w:szCs w:val="32"/>
          <w14:textFill>
            <w14:solidFill>
              <w14:schemeClr w14:val="tx1"/>
            </w14:solidFill>
          </w14:textFill>
        </w:rPr>
        <w:t>第八章 响应文件格式</w:t>
      </w:r>
      <w:bookmarkEnd w:id="132"/>
      <w:bookmarkEnd w:id="135"/>
    </w:p>
    <w:bookmarkEnd w:id="134"/>
    <w:p>
      <w:pPr>
        <w:spacing w:line="360" w:lineRule="auto"/>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一、本章所制响应文件格式，除格式中明确将该格式作为实质性要求的，一律不具有强制性，供应商不涉及的格式可以不提供。</w:t>
      </w:r>
    </w:p>
    <w:p>
      <w:pPr>
        <w:spacing w:line="360" w:lineRule="auto"/>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二、本章所制响应文件格式有关表格中的备注栏，由供应商根据自身响应情况作解释性说明，不作为必填项。</w:t>
      </w:r>
    </w:p>
    <w:p>
      <w:pPr>
        <w:spacing w:line="360" w:lineRule="auto"/>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四、本章响应文件格式中的“注”的内容，供应商可自行决定是否保留在响应文件中，未保留视为供应商默认接受“注”的内容。</w:t>
      </w:r>
    </w:p>
    <w:p>
      <w:pPr>
        <w:spacing w:line="360" w:lineRule="auto"/>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五、供应商针对本章格式中不涉及内容无需提供，相应序号顺延。</w:t>
      </w:r>
    </w:p>
    <w:p>
      <w:pPr>
        <w:pStyle w:val="2"/>
        <w:rPr>
          <w:rFonts w:ascii="宋体" w:hAnsi="宋体"/>
          <w:color w:val="000000" w:themeColor="text1"/>
          <w14:textFill>
            <w14:solidFill>
              <w14:schemeClr w14:val="tx1"/>
            </w14:solidFill>
          </w14:textFill>
        </w:rPr>
      </w:pPr>
    </w:p>
    <w:p>
      <w:pPr>
        <w:spacing w:line="360" w:lineRule="auto"/>
        <w:jc w:val="left"/>
        <w:rPr>
          <w:rFonts w:hAnsi="宋体" w:cs="宋体"/>
          <w:b/>
          <w:color w:val="000000" w:themeColor="text1"/>
          <w:sz w:val="32"/>
          <w:szCs w:val="32"/>
          <w14:textFill>
            <w14:solidFill>
              <w14:schemeClr w14:val="tx1"/>
            </w14:solidFill>
          </w14:textFill>
        </w:rPr>
      </w:pPr>
    </w:p>
    <w:p>
      <w:pPr>
        <w:jc w:val="center"/>
        <w:rPr>
          <w:rFonts w:hAnsi="宋体" w:cs="宋体"/>
          <w:b/>
          <w:color w:val="000000" w:themeColor="text1"/>
          <w:sz w:val="32"/>
          <w:szCs w:val="32"/>
          <w14:textFill>
            <w14:solidFill>
              <w14:schemeClr w14:val="tx1"/>
            </w14:solidFill>
          </w14:textFill>
        </w:rPr>
      </w:pPr>
    </w:p>
    <w:p>
      <w:pPr>
        <w:jc w:val="center"/>
        <w:rPr>
          <w:rFonts w:hAnsi="宋体" w:cs="宋体"/>
          <w:b/>
          <w:color w:val="000000" w:themeColor="text1"/>
          <w:sz w:val="32"/>
          <w:szCs w:val="32"/>
          <w14:textFill>
            <w14:solidFill>
              <w14:schemeClr w14:val="tx1"/>
            </w14:solidFill>
          </w14:textFill>
        </w:rPr>
      </w:pPr>
    </w:p>
    <w:p>
      <w:pPr>
        <w:jc w:val="center"/>
        <w:rPr>
          <w:rFonts w:hAnsi="宋体" w:cs="宋体"/>
          <w:b/>
          <w:color w:val="000000" w:themeColor="text1"/>
          <w:sz w:val="32"/>
          <w:szCs w:val="32"/>
          <w14:textFill>
            <w14:solidFill>
              <w14:schemeClr w14:val="tx1"/>
            </w14:solidFill>
          </w14:textFill>
        </w:rPr>
      </w:pPr>
    </w:p>
    <w:p>
      <w:pPr>
        <w:jc w:val="center"/>
        <w:rPr>
          <w:rFonts w:hAnsi="宋体" w:cs="宋体"/>
          <w:b/>
          <w:color w:val="000000" w:themeColor="text1"/>
          <w:sz w:val="32"/>
          <w:szCs w:val="32"/>
          <w14:textFill>
            <w14:solidFill>
              <w14:schemeClr w14:val="tx1"/>
            </w14:solidFill>
          </w14:textFill>
        </w:rPr>
      </w:pPr>
    </w:p>
    <w:p>
      <w:pPr>
        <w:jc w:val="center"/>
        <w:rPr>
          <w:rFonts w:hAnsi="宋体" w:cs="宋体"/>
          <w:b/>
          <w:color w:val="000000" w:themeColor="text1"/>
          <w:sz w:val="32"/>
          <w:szCs w:val="32"/>
          <w14:textFill>
            <w14:solidFill>
              <w14:schemeClr w14:val="tx1"/>
            </w14:solidFill>
          </w14:textFill>
        </w:rPr>
      </w:pPr>
    </w:p>
    <w:p>
      <w:pPr>
        <w:jc w:val="center"/>
        <w:rPr>
          <w:rFonts w:hAnsi="宋体" w:cs="宋体"/>
          <w:b/>
          <w:color w:val="000000" w:themeColor="text1"/>
          <w:sz w:val="32"/>
          <w:szCs w:val="32"/>
          <w14:textFill>
            <w14:solidFill>
              <w14:schemeClr w14:val="tx1"/>
            </w14:solidFill>
          </w14:textFill>
        </w:rPr>
      </w:pPr>
    </w:p>
    <w:p>
      <w:pPr>
        <w:jc w:val="center"/>
        <w:rPr>
          <w:rFonts w:hAnsi="宋体" w:cs="宋体"/>
          <w:b/>
          <w:color w:val="000000" w:themeColor="text1"/>
          <w:sz w:val="32"/>
          <w:szCs w:val="32"/>
          <w14:textFill>
            <w14:solidFill>
              <w14:schemeClr w14:val="tx1"/>
            </w14:solidFill>
          </w14:textFill>
        </w:rPr>
      </w:pPr>
    </w:p>
    <w:p>
      <w:pPr>
        <w:jc w:val="center"/>
        <w:rPr>
          <w:rFonts w:hAnsi="宋体" w:cs="宋体"/>
          <w:b/>
          <w:color w:val="000000" w:themeColor="text1"/>
          <w:sz w:val="32"/>
          <w:szCs w:val="32"/>
          <w14:textFill>
            <w14:solidFill>
              <w14:schemeClr w14:val="tx1"/>
            </w14:solidFill>
          </w14:textFill>
        </w:rPr>
      </w:pPr>
    </w:p>
    <w:p>
      <w:pPr>
        <w:spacing w:line="360" w:lineRule="auto"/>
        <w:jc w:val="center"/>
        <w:rPr>
          <w:rFonts w:hAnsi="宋体" w:cs="宋体"/>
          <w:color w:val="000000" w:themeColor="text1"/>
          <w:sz w:val="32"/>
          <w:szCs w:val="32"/>
          <w14:textFill>
            <w14:solidFill>
              <w14:schemeClr w14:val="tx1"/>
            </w14:solidFill>
          </w14:textFill>
        </w:rPr>
      </w:pPr>
    </w:p>
    <w:p>
      <w:pPr>
        <w:spacing w:line="360" w:lineRule="auto"/>
        <w:jc w:val="center"/>
        <w:rPr>
          <w:rFonts w:hAnsi="宋体" w:cs="宋体"/>
          <w:color w:val="000000" w:themeColor="text1"/>
          <w:sz w:val="32"/>
          <w:szCs w:val="32"/>
          <w14:textFill>
            <w14:solidFill>
              <w14:schemeClr w14:val="tx1"/>
            </w14:solidFill>
          </w14:textFill>
        </w:rPr>
      </w:pPr>
      <w:r>
        <w:rPr>
          <w:rFonts w:hint="eastAsia" w:hAnsi="宋体" w:cs="宋体"/>
          <w:color w:val="000000" w:themeColor="text1"/>
          <w:sz w:val="32"/>
          <w:szCs w:val="32"/>
          <w14:textFill>
            <w14:solidFill>
              <w14:schemeClr w14:val="tx1"/>
            </w14:solidFill>
          </w14:textFill>
        </w:rPr>
        <w:br w:type="page"/>
      </w:r>
    </w:p>
    <w:p>
      <w:pPr>
        <w:spacing w:line="360" w:lineRule="auto"/>
        <w:jc w:val="center"/>
        <w:rPr>
          <w:rFonts w:hAnsi="宋体" w:cs="宋体"/>
          <w:color w:val="000000" w:themeColor="text1"/>
          <w:sz w:val="32"/>
          <w:szCs w:val="32"/>
          <w14:textFill>
            <w14:solidFill>
              <w14:schemeClr w14:val="tx1"/>
            </w14:solidFill>
          </w14:textFill>
        </w:rPr>
      </w:pPr>
      <w:r>
        <w:rPr>
          <w:rFonts w:hint="eastAsia" w:hAnsi="宋体" w:cs="宋体"/>
          <w:b/>
          <w:color w:val="000000" w:themeColor="text1"/>
          <w:sz w:val="32"/>
          <w:szCs w:val="32"/>
          <w14:textFill>
            <w14:solidFill>
              <w14:schemeClr w14:val="tx1"/>
            </w14:solidFill>
          </w14:textFill>
        </w:rPr>
        <w:t>密封袋（格式）</w:t>
      </w:r>
    </w:p>
    <w:p>
      <w:pPr>
        <w:pStyle w:val="2"/>
        <w:rPr>
          <w:rFonts w:ascii="宋体" w:hAnsi="宋体" w:cs="宋体"/>
          <w:color w:val="000000" w:themeColor="text1"/>
          <w14:textFill>
            <w14:solidFill>
              <w14:schemeClr w14:val="tx1"/>
            </w14:solidFill>
          </w14:textFill>
        </w:rPr>
      </w:pPr>
    </w:p>
    <w:tbl>
      <w:tblPr>
        <w:tblStyle w:val="32"/>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3" w:hRule="atLeast"/>
        </w:trPr>
        <w:tc>
          <w:tcPr>
            <w:tcW w:w="8777" w:type="dxa"/>
          </w:tcPr>
          <w:p>
            <w:pPr>
              <w:pStyle w:val="2"/>
              <w:spacing w:line="440" w:lineRule="exact"/>
              <w:ind w:firstLine="1751" w:firstLineChars="545"/>
              <w:rPr>
                <w:rFonts w:ascii="宋体" w:hAnsi="宋体" w:cs="宋体"/>
                <w:b/>
                <w:color w:val="000000" w:themeColor="text1"/>
                <w:sz w:val="32"/>
                <w:szCs w:val="32"/>
                <w14:textFill>
                  <w14:solidFill>
                    <w14:schemeClr w14:val="tx1"/>
                  </w14:solidFill>
                </w14:textFill>
              </w:rPr>
            </w:pPr>
          </w:p>
          <w:p>
            <w:pPr>
              <w:pStyle w:val="2"/>
              <w:spacing w:line="360" w:lineRule="auto"/>
              <w:ind w:firstLine="1751" w:firstLineChars="545"/>
              <w:rPr>
                <w:rFonts w:ascii="宋体" w:hAnsi="宋体" w:cs="宋体"/>
                <w:color w:val="000000" w:themeColor="text1"/>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资格响应文件</w:t>
            </w:r>
            <w:r>
              <w:rPr>
                <w:rFonts w:hint="eastAsia" w:ascii="宋体" w:hAnsi="宋体" w:cs="宋体"/>
                <w:color w:val="000000" w:themeColor="text1"/>
                <w:sz w:val="32"/>
                <w:szCs w:val="32"/>
                <w14:textFill>
                  <w14:solidFill>
                    <w14:schemeClr w14:val="tx1"/>
                  </w14:solidFill>
                </w14:textFill>
              </w:rPr>
              <w:t>/</w:t>
            </w:r>
            <w:r>
              <w:rPr>
                <w:rFonts w:hint="eastAsia" w:ascii="宋体" w:hAnsi="宋体" w:cs="宋体"/>
                <w:b/>
                <w:color w:val="000000" w:themeColor="text1"/>
                <w:sz w:val="32"/>
                <w:szCs w:val="32"/>
                <w14:textFill>
                  <w14:solidFill>
                    <w14:schemeClr w14:val="tx1"/>
                  </w14:solidFill>
                </w14:textFill>
              </w:rPr>
              <w:t>其他响应文件</w:t>
            </w:r>
          </w:p>
          <w:p>
            <w:pPr>
              <w:pStyle w:val="2"/>
              <w:spacing w:line="360" w:lineRule="auto"/>
              <w:ind w:firstLine="2040" w:firstLineChars="850"/>
              <w:rPr>
                <w:rFonts w:ascii="宋体" w:hAnsi="宋体" w:cs="宋体"/>
                <w:color w:val="000000" w:themeColor="text1"/>
                <w14:textFill>
                  <w14:solidFill>
                    <w14:schemeClr w14:val="tx1"/>
                  </w14:solidFill>
                </w14:textFill>
              </w:rPr>
            </w:pPr>
          </w:p>
          <w:p>
            <w:pPr>
              <w:pStyle w:val="2"/>
              <w:spacing w:line="360" w:lineRule="auto"/>
              <w:ind w:firstLine="2040" w:firstLineChars="85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项目编号：</w:t>
            </w:r>
            <w:r>
              <w:rPr>
                <w:rFonts w:hint="eastAsia" w:ascii="宋体" w:hAnsi="宋体" w:cs="宋体"/>
                <w:color w:val="000000" w:themeColor="text1"/>
                <w:u w:val="single"/>
                <w14:textFill>
                  <w14:solidFill>
                    <w14:schemeClr w14:val="tx1"/>
                  </w14:solidFill>
                </w14:textFill>
              </w:rPr>
              <w:t xml:space="preserve">                     </w:t>
            </w:r>
          </w:p>
          <w:p>
            <w:pPr>
              <w:pStyle w:val="2"/>
              <w:spacing w:line="360" w:lineRule="auto"/>
              <w:ind w:firstLine="2040" w:firstLineChars="85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项目名称：</w:t>
            </w:r>
            <w:r>
              <w:rPr>
                <w:rFonts w:hint="eastAsia" w:ascii="宋体" w:hAnsi="宋体" w:cs="宋体"/>
                <w:color w:val="000000" w:themeColor="text1"/>
                <w:u w:val="single"/>
                <w14:textFill>
                  <w14:solidFill>
                    <w14:schemeClr w14:val="tx1"/>
                  </w14:solidFill>
                </w14:textFill>
              </w:rPr>
              <w:t xml:space="preserve">                     </w:t>
            </w:r>
          </w:p>
          <w:p>
            <w:pPr>
              <w:pStyle w:val="2"/>
              <w:spacing w:line="360" w:lineRule="auto"/>
              <w:ind w:firstLine="2102" w:firstLineChars="876"/>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供应商名称：</w:t>
            </w:r>
            <w:r>
              <w:rPr>
                <w:rFonts w:hint="eastAsia" w:ascii="宋体" w:hAnsi="宋体" w:cs="宋体"/>
                <w:color w:val="000000" w:themeColor="text1"/>
                <w:u w:val="single"/>
                <w14:textFill>
                  <w14:solidFill>
                    <w14:schemeClr w14:val="tx1"/>
                  </w14:solidFill>
                </w14:textFill>
              </w:rPr>
              <w:t xml:space="preserve">                  </w:t>
            </w:r>
          </w:p>
          <w:p>
            <w:pPr>
              <w:pStyle w:val="2"/>
              <w:spacing w:line="360" w:lineRule="auto"/>
              <w:ind w:firstLine="2092" w:firstLineChars="87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日  期：</w:t>
            </w:r>
            <w:r>
              <w:rPr>
                <w:rFonts w:hint="eastAsia" w:ascii="宋体" w:hAnsi="宋体" w:cs="宋体"/>
                <w:color w:val="000000" w:themeColor="text1"/>
                <w:u w:val="single"/>
                <w14:textFill>
                  <w14:solidFill>
                    <w14:schemeClr w14:val="tx1"/>
                  </w14:solidFill>
                </w14:textFill>
              </w:rPr>
              <w:t xml:space="preserve">                      </w:t>
            </w:r>
          </w:p>
        </w:tc>
      </w:tr>
    </w:tbl>
    <w:p>
      <w:pPr>
        <w:spacing w:line="360" w:lineRule="auto"/>
        <w:jc w:val="center"/>
        <w:rPr>
          <w:rFonts w:hAnsi="宋体" w:cs="宋体"/>
          <w:b/>
          <w:color w:val="000000" w:themeColor="text1"/>
          <w:sz w:val="32"/>
          <w:szCs w:val="32"/>
          <w14:textFill>
            <w14:solidFill>
              <w14:schemeClr w14:val="tx1"/>
            </w14:solidFill>
          </w14:textFill>
        </w:rPr>
      </w:pPr>
    </w:p>
    <w:p>
      <w:pPr>
        <w:spacing w:line="360" w:lineRule="auto"/>
        <w:jc w:val="center"/>
        <w:rPr>
          <w:rFonts w:hAnsi="宋体" w:cs="宋体"/>
          <w:b/>
          <w:color w:val="000000" w:themeColor="text1"/>
          <w:sz w:val="32"/>
          <w:szCs w:val="32"/>
          <w14:textFill>
            <w14:solidFill>
              <w14:schemeClr w14:val="tx1"/>
            </w14:solidFill>
          </w14:textFill>
        </w:rPr>
      </w:pPr>
    </w:p>
    <w:p>
      <w:pPr>
        <w:spacing w:line="360" w:lineRule="auto"/>
        <w:jc w:val="center"/>
        <w:rPr>
          <w:rFonts w:hAnsi="宋体" w:cs="宋体"/>
          <w:b/>
          <w:color w:val="000000" w:themeColor="text1"/>
          <w:sz w:val="32"/>
          <w:szCs w:val="32"/>
          <w14:textFill>
            <w14:solidFill>
              <w14:schemeClr w14:val="tx1"/>
            </w14:solidFill>
          </w14:textFill>
        </w:rPr>
      </w:pPr>
    </w:p>
    <w:p>
      <w:pPr>
        <w:spacing w:line="360" w:lineRule="auto"/>
        <w:jc w:val="center"/>
        <w:rPr>
          <w:rFonts w:hAnsi="宋体" w:cs="宋体"/>
          <w:b/>
          <w:color w:val="000000" w:themeColor="text1"/>
          <w:sz w:val="32"/>
          <w:szCs w:val="32"/>
          <w14:textFill>
            <w14:solidFill>
              <w14:schemeClr w14:val="tx1"/>
            </w14:solidFill>
          </w14:textFill>
        </w:rPr>
      </w:pPr>
    </w:p>
    <w:p>
      <w:pPr>
        <w:spacing w:line="360" w:lineRule="auto"/>
        <w:jc w:val="center"/>
        <w:rPr>
          <w:rFonts w:hAnsi="宋体" w:cs="宋体"/>
          <w:b/>
          <w:color w:val="000000" w:themeColor="text1"/>
          <w:sz w:val="32"/>
          <w:szCs w:val="32"/>
          <w14:textFill>
            <w14:solidFill>
              <w14:schemeClr w14:val="tx1"/>
            </w14:solidFill>
          </w14:textFill>
        </w:rPr>
      </w:pPr>
    </w:p>
    <w:p>
      <w:pPr>
        <w:spacing w:line="360" w:lineRule="auto"/>
        <w:jc w:val="center"/>
        <w:rPr>
          <w:rFonts w:hAnsi="宋体" w:cs="宋体"/>
          <w:b/>
          <w:color w:val="000000" w:themeColor="text1"/>
          <w:sz w:val="32"/>
          <w:szCs w:val="32"/>
          <w14:textFill>
            <w14:solidFill>
              <w14:schemeClr w14:val="tx1"/>
            </w14:solidFill>
          </w14:textFill>
        </w:rPr>
      </w:pPr>
    </w:p>
    <w:p>
      <w:pPr>
        <w:spacing w:line="360" w:lineRule="auto"/>
        <w:jc w:val="center"/>
        <w:rPr>
          <w:rFonts w:hAnsi="宋体" w:cs="宋体"/>
          <w:b/>
          <w:color w:val="000000" w:themeColor="text1"/>
          <w:sz w:val="32"/>
          <w:szCs w:val="32"/>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3"/>
        <w:jc w:val="center"/>
        <w:rPr>
          <w:rFonts w:hAnsi="宋体"/>
          <w:b w:val="0"/>
          <w:color w:val="000000" w:themeColor="text1"/>
          <w:sz w:val="32"/>
          <w:szCs w:val="32"/>
          <w14:textFill>
            <w14:solidFill>
              <w14:schemeClr w14:val="tx1"/>
            </w14:solidFill>
          </w14:textFill>
        </w:rPr>
      </w:pPr>
      <w:bookmarkStart w:id="136" w:name="_Toc24250"/>
      <w:bookmarkStart w:id="137" w:name="_Toc40363831"/>
      <w:bookmarkStart w:id="138" w:name="BookMK57"/>
      <w:r>
        <w:rPr>
          <w:rFonts w:hint="eastAsia" w:hAnsi="宋体"/>
          <w:b w:val="0"/>
          <w:color w:val="000000" w:themeColor="text1"/>
          <w:sz w:val="32"/>
          <w:szCs w:val="32"/>
          <w14:textFill>
            <w14:solidFill>
              <w14:schemeClr w14:val="tx1"/>
            </w14:solidFill>
          </w14:textFill>
        </w:rPr>
        <w:t>一、</w:t>
      </w:r>
      <w:r>
        <w:rPr>
          <w:rFonts w:hint="eastAsia" w:hAnsi="宋体" w:cs="宋体"/>
          <w:color w:val="000000" w:themeColor="text1"/>
          <w:sz w:val="32"/>
          <w:szCs w:val="32"/>
          <w14:textFill>
            <w14:solidFill>
              <w14:schemeClr w14:val="tx1"/>
            </w14:solidFill>
          </w14:textFill>
        </w:rPr>
        <w:t>资格响应文件</w:t>
      </w:r>
      <w:r>
        <w:rPr>
          <w:rFonts w:hAnsi="宋体" w:cs="宋体"/>
          <w:color w:val="000000" w:themeColor="text1"/>
          <w:sz w:val="32"/>
          <w:szCs w:val="32"/>
          <w14:textFill>
            <w14:solidFill>
              <w14:schemeClr w14:val="tx1"/>
            </w14:solidFill>
          </w14:textFill>
        </w:rPr>
        <w:t>(</w:t>
      </w:r>
      <w:r>
        <w:rPr>
          <w:rFonts w:hint="eastAsia" w:hAnsi="宋体" w:cs="宋体"/>
          <w:color w:val="000000" w:themeColor="text1"/>
          <w:sz w:val="32"/>
          <w:szCs w:val="32"/>
          <w14:textFill>
            <w14:solidFill>
              <w14:schemeClr w14:val="tx1"/>
            </w14:solidFill>
          </w14:textFill>
        </w:rPr>
        <w:t>格式</w:t>
      </w:r>
      <w:r>
        <w:rPr>
          <w:rFonts w:hAnsi="宋体" w:cs="宋体"/>
          <w:color w:val="000000" w:themeColor="text1"/>
          <w:sz w:val="32"/>
          <w:szCs w:val="32"/>
          <w14:textFill>
            <w14:solidFill>
              <w14:schemeClr w14:val="tx1"/>
            </w14:solidFill>
          </w14:textFill>
        </w:rPr>
        <w:t>)</w:t>
      </w:r>
      <w:bookmarkEnd w:id="136"/>
      <w:bookmarkEnd w:id="137"/>
    </w:p>
    <w:bookmarkEnd w:id="138"/>
    <w:p>
      <w:pPr>
        <w:pStyle w:val="2"/>
        <w:rPr>
          <w:rFonts w:ascii="宋体" w:hAnsi="宋体"/>
          <w:color w:val="000000" w:themeColor="text1"/>
          <w14:textFill>
            <w14:solidFill>
              <w14:schemeClr w14:val="tx1"/>
            </w14:solidFill>
          </w14:textFill>
        </w:rPr>
      </w:pPr>
    </w:p>
    <w:p>
      <w:pPr>
        <w:spacing w:line="360" w:lineRule="auto"/>
        <w:rPr>
          <w:rFonts w:hAnsi="宋体" w:cs="宋体"/>
          <w:b/>
          <w:color w:val="000000" w:themeColor="text1"/>
          <w:sz w:val="32"/>
          <w:szCs w:val="32"/>
          <w14:textFill>
            <w14:solidFill>
              <w14:schemeClr w14:val="tx1"/>
            </w14:solidFill>
          </w14:textFill>
        </w:rPr>
      </w:pPr>
      <w:r>
        <w:rPr>
          <w:rFonts w:hint="eastAsia" w:hAnsi="宋体" w:cs="宋体"/>
          <w:b/>
          <w:color w:val="000000" w:themeColor="text1"/>
          <w:sz w:val="32"/>
          <w:szCs w:val="32"/>
          <w14:textFill>
            <w14:solidFill>
              <w14:schemeClr w14:val="tx1"/>
            </w14:solidFill>
          </w14:textFill>
        </w:rPr>
        <w:br w:type="page"/>
      </w:r>
    </w:p>
    <w:p>
      <w:pPr>
        <w:spacing w:line="360" w:lineRule="auto"/>
        <w:jc w:val="center"/>
        <w:rPr>
          <w:rFonts w:hAnsi="宋体" w:cs="宋体"/>
          <w:b/>
          <w:color w:val="000000" w:themeColor="text1"/>
          <w:sz w:val="32"/>
          <w:szCs w:val="32"/>
          <w14:textFill>
            <w14:solidFill>
              <w14:schemeClr w14:val="tx1"/>
            </w14:solidFill>
          </w14:textFill>
        </w:rPr>
      </w:pPr>
    </w:p>
    <w:p>
      <w:pPr>
        <w:pStyle w:val="4"/>
        <w:jc w:val="center"/>
        <w:rPr>
          <w:rFonts w:ascii="宋体" w:hAnsi="宋体" w:eastAsia="宋体"/>
          <w:b w:val="0"/>
          <w:color w:val="000000" w:themeColor="text1"/>
          <w14:textFill>
            <w14:solidFill>
              <w14:schemeClr w14:val="tx1"/>
            </w14:solidFill>
          </w14:textFill>
        </w:rPr>
      </w:pPr>
      <w:bookmarkStart w:id="139" w:name="BookMK58"/>
      <w:r>
        <w:rPr>
          <w:rFonts w:hint="eastAsia" w:ascii="宋体" w:hAnsi="宋体" w:eastAsia="宋体"/>
          <w:b w:val="0"/>
          <w:color w:val="000000" w:themeColor="text1"/>
          <w14:textFill>
            <w14:solidFill>
              <w14:schemeClr w14:val="tx1"/>
            </w14:solidFill>
          </w14:textFill>
        </w:rPr>
        <w:t>封面（格式）</w:t>
      </w:r>
    </w:p>
    <w:bookmarkEnd w:id="139"/>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4133215</wp:posOffset>
                </wp:positionH>
                <wp:positionV relativeFrom="paragraph">
                  <wp:posOffset>17780</wp:posOffset>
                </wp:positionV>
                <wp:extent cx="1200150" cy="438150"/>
                <wp:effectExtent l="12700" t="8890" r="6350" b="1016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200150" cy="438150"/>
                        </a:xfrm>
                        <a:prstGeom prst="rect">
                          <a:avLst/>
                        </a:prstGeom>
                        <a:solidFill>
                          <a:srgbClr val="FFFFFF"/>
                        </a:solidFill>
                        <a:ln w="9525">
                          <a:solidFill>
                            <a:srgbClr val="000000"/>
                          </a:solidFill>
                          <a:miter lim="800000"/>
                        </a:ln>
                      </wps:spPr>
                      <wps:txbx>
                        <w:txbxContent>
                          <w:p>
                            <w:pPr>
                              <w:rPr>
                                <w:b/>
                              </w:rPr>
                            </w:pPr>
                            <w:r>
                              <w:rPr>
                                <w:rFonts w:hint="eastAsia"/>
                                <w:b/>
                              </w:rPr>
                              <w:t>正本/副本</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5.45pt;margin-top:1.4pt;height:34.5pt;width:94.5pt;z-index:251662336;mso-width-relative:page;mso-height-relative:page;" fillcolor="#FFFFFF" filled="t" stroked="t" coordsize="21600,21600" o:gfxdata="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T1Uyu1gAAAAgBAAAPAAAAAAAAAAEAIAAAACIAAABkcnMvZG93bnJldi54&#10;bWxQSwECFAAUAAAACACHTuJAQANnjDUCAAB6BAAADgAAAAAAAAABACAAAAAlAQAAZHJzL2Uyb0Rv&#10;Yy54bWxQSwUGAAAAAAYABgBZAQAAzAUAAAAA&#10;">
                <v:fill on="t" focussize="0,0"/>
                <v:stroke color="#000000" miterlimit="8" joinstyle="miter"/>
                <v:imagedata o:title=""/>
                <o:lock v:ext="edit" aspectratio="f"/>
                <v:textbox>
                  <w:txbxContent>
                    <w:p>
                      <w:pPr>
                        <w:rPr>
                          <w:b/>
                        </w:rPr>
                      </w:pPr>
                      <w:r>
                        <w:rPr>
                          <w:rFonts w:hint="eastAsia"/>
                          <w:b/>
                        </w:rPr>
                        <w:t>正本/副本</w:t>
                      </w:r>
                    </w:p>
                  </w:txbxContent>
                </v:textbox>
              </v:rect>
            </w:pict>
          </mc:Fallback>
        </mc:AlternateContent>
      </w: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pStyle w:val="2"/>
        <w:jc w:val="center"/>
        <w:rPr>
          <w:rFonts w:ascii="宋体" w:hAnsi="宋体" w:cs="宋体"/>
          <w:b/>
          <w:color w:val="000000" w:themeColor="text1"/>
          <w:sz w:val="40"/>
          <w:szCs w:val="32"/>
          <w14:textFill>
            <w14:solidFill>
              <w14:schemeClr w14:val="tx1"/>
            </w14:solidFill>
          </w14:textFill>
        </w:rPr>
      </w:pPr>
      <w:r>
        <w:rPr>
          <w:rFonts w:hint="eastAsia" w:ascii="宋体" w:hAnsi="宋体" w:cs="宋体"/>
          <w:b/>
          <w:color w:val="000000" w:themeColor="text1"/>
          <w:sz w:val="40"/>
          <w:szCs w:val="32"/>
          <w14:textFill>
            <w14:solidFill>
              <w14:schemeClr w14:val="tx1"/>
            </w14:solidFill>
          </w14:textFill>
        </w:rPr>
        <w:t>资格响应文件</w:t>
      </w: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spacing w:line="560" w:lineRule="exact"/>
        <w:ind w:firstLine="1756" w:firstLineChars="73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项目编号：</w:t>
      </w:r>
      <w:r>
        <w:rPr>
          <w:rFonts w:hint="eastAsia" w:ascii="宋体" w:hAnsi="宋体" w:cs="宋体"/>
          <w:color w:val="000000" w:themeColor="text1"/>
          <w:u w:val="single"/>
          <w14:textFill>
            <w14:solidFill>
              <w14:schemeClr w14:val="tx1"/>
            </w14:solidFill>
          </w14:textFill>
        </w:rPr>
        <w:t xml:space="preserve">                               </w:t>
      </w:r>
    </w:p>
    <w:p>
      <w:pPr>
        <w:pStyle w:val="2"/>
        <w:spacing w:line="560" w:lineRule="exact"/>
        <w:ind w:firstLine="1756" w:firstLineChars="732"/>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项目名称：</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p>
      <w:pPr>
        <w:pStyle w:val="2"/>
        <w:spacing w:line="560" w:lineRule="exact"/>
        <w:ind w:firstLine="1756" w:firstLineChars="73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供应商名称：</w:t>
      </w:r>
      <w:r>
        <w:rPr>
          <w:rFonts w:hint="eastAsia" w:ascii="宋体" w:hAnsi="宋体" w:cs="宋体"/>
          <w:color w:val="000000" w:themeColor="text1"/>
          <w:u w:val="single"/>
          <w14:textFill>
            <w14:solidFill>
              <w14:schemeClr w14:val="tx1"/>
            </w14:solidFill>
          </w14:textFill>
        </w:rPr>
        <w:t xml:space="preserve">                              </w:t>
      </w:r>
    </w:p>
    <w:p>
      <w:pPr>
        <w:pStyle w:val="2"/>
        <w:spacing w:line="560" w:lineRule="exact"/>
        <w:ind w:firstLine="1756" w:firstLineChars="73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日  期：</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w:t>
      </w:r>
    </w:p>
    <w:p>
      <w:pPr>
        <w:spacing w:line="360" w:lineRule="auto"/>
        <w:jc w:val="center"/>
        <w:rPr>
          <w:rFonts w:hAnsi="宋体" w:cs="宋体"/>
          <w:b/>
          <w:color w:val="000000" w:themeColor="text1"/>
          <w:sz w:val="32"/>
          <w:szCs w:val="32"/>
          <w14:textFill>
            <w14:solidFill>
              <w14:schemeClr w14:val="tx1"/>
            </w14:solidFill>
          </w14:textFill>
        </w:rPr>
      </w:pPr>
    </w:p>
    <w:p>
      <w:pPr>
        <w:spacing w:line="360" w:lineRule="auto"/>
        <w:jc w:val="center"/>
        <w:rPr>
          <w:rFonts w:hAnsi="宋体" w:cs="宋体"/>
          <w:b/>
          <w:color w:val="000000" w:themeColor="text1"/>
          <w:sz w:val="32"/>
          <w:szCs w:val="32"/>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spacing w:line="360" w:lineRule="auto"/>
        <w:jc w:val="center"/>
        <w:rPr>
          <w:rFonts w:hAnsi="宋体" w:cs="宋体"/>
          <w:b/>
          <w:color w:val="000000" w:themeColor="text1"/>
          <w:sz w:val="32"/>
          <w:szCs w:val="32"/>
          <w14:textFill>
            <w14:solidFill>
              <w14:schemeClr w14:val="tx1"/>
            </w14:solidFill>
          </w14:textFill>
        </w:rPr>
      </w:pPr>
    </w:p>
    <w:p>
      <w:pPr>
        <w:pStyle w:val="4"/>
        <w:jc w:val="center"/>
        <w:rPr>
          <w:rFonts w:ascii="宋体" w:hAnsi="宋体" w:eastAsia="宋体" w:cs="宋体"/>
          <w:bCs w:val="0"/>
          <w:color w:val="000000" w:themeColor="text1"/>
          <w:sz w:val="30"/>
          <w:szCs w:val="30"/>
          <w14:textFill>
            <w14:solidFill>
              <w14:schemeClr w14:val="tx1"/>
            </w14:solidFill>
          </w14:textFill>
        </w:rPr>
      </w:pPr>
      <w:bookmarkStart w:id="140" w:name="BookMK59"/>
      <w:r>
        <w:rPr>
          <w:rFonts w:hint="eastAsia" w:ascii="宋体" w:hAnsi="宋体" w:eastAsia="宋体" w:cs="宋体"/>
          <w:bCs w:val="0"/>
          <w:color w:val="000000" w:themeColor="text1"/>
          <w:sz w:val="30"/>
          <w:szCs w:val="30"/>
          <w14:textFill>
            <w14:solidFill>
              <w14:schemeClr w14:val="tx1"/>
            </w14:solidFill>
          </w14:textFill>
        </w:rPr>
        <w:br w:type="page"/>
      </w:r>
      <w:r>
        <w:rPr>
          <w:rFonts w:hint="eastAsia" w:ascii="宋体" w:hAnsi="宋体" w:eastAsia="宋体" w:cs="宋体"/>
          <w:bCs w:val="0"/>
          <w:color w:val="000000" w:themeColor="text1"/>
          <w:sz w:val="30"/>
          <w:szCs w:val="30"/>
          <w14:textFill>
            <w14:solidFill>
              <w14:schemeClr w14:val="tx1"/>
            </w14:solidFill>
          </w14:textFill>
        </w:rPr>
        <w:t>一、法定代表人/单位负责人授权书</w:t>
      </w:r>
    </w:p>
    <w:bookmarkEnd w:id="140"/>
    <w:p>
      <w:pPr>
        <w:spacing w:line="360" w:lineRule="auto"/>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四川华韵新诚工程管理咨询有限公司：</w:t>
      </w:r>
    </w:p>
    <w:p>
      <w:pPr>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本授权声明：</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（单位名称）,</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（法定代表人/单位负责人姓名、职务）授权</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（被授权人姓名、职务）为我方参加</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项目（采购编号：</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）磋商采购活动的合法代表，以我方名义全权处理该项目有关磋商、报价、签订合同以及执行合同等一切事宜，我单位均予以认可，所产生的法律后果由我单位承担。</w:t>
      </w:r>
    </w:p>
    <w:p>
      <w:pPr>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特此声明。</w:t>
      </w:r>
    </w:p>
    <w:p>
      <w:pPr>
        <w:spacing w:line="360" w:lineRule="auto"/>
        <w:rPr>
          <w:rFonts w:hAnsi="宋体" w:cs="宋体"/>
          <w:color w:val="000000" w:themeColor="text1"/>
          <w:sz w:val="24"/>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spacing w:line="520" w:lineRule="exact"/>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供应商名称：</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（盖章）</w:t>
      </w:r>
    </w:p>
    <w:p>
      <w:pPr>
        <w:spacing w:line="520" w:lineRule="exact"/>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法定代表人/单位负责人：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（签字或签章）</w:t>
      </w:r>
    </w:p>
    <w:p>
      <w:pPr>
        <w:spacing w:line="520" w:lineRule="exact"/>
        <w:ind w:firstLine="420"/>
        <w:rPr>
          <w:rFonts w:hAnsi="宋体" w:cs="宋体"/>
          <w:color w:val="000000" w:themeColor="text1"/>
          <w:sz w:val="24"/>
          <w:u w:val="single"/>
          <w14:textFill>
            <w14:solidFill>
              <w14:schemeClr w14:val="tx1"/>
            </w14:solidFill>
          </w14:textFill>
        </w:rPr>
      </w:pPr>
      <w:r>
        <w:rPr>
          <w:rFonts w:hint="eastAsia" w:hAnsi="宋体" w:cs="宋体"/>
          <w:color w:val="000000" w:themeColor="text1"/>
          <w:sz w:val="24"/>
          <w14:textFill>
            <w14:solidFill>
              <w14:schemeClr w14:val="tx1"/>
            </w14:solidFill>
          </w14:textFill>
        </w:rPr>
        <w:t>授权代表：</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（签字）</w:t>
      </w:r>
    </w:p>
    <w:p>
      <w:pPr>
        <w:spacing w:line="520" w:lineRule="exact"/>
        <w:ind w:firstLine="42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日  期：</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年</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月</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日</w:t>
      </w: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rPr>
          <w:rFonts w:hAnsi="宋体"/>
          <w:b/>
          <w:bCs/>
          <w:color w:val="000000" w:themeColor="text1"/>
          <w:sz w:val="18"/>
          <w:szCs w:val="18"/>
          <w14:textFill>
            <w14:solidFill>
              <w14:schemeClr w14:val="tx1"/>
            </w14:solidFill>
          </w14:textFill>
        </w:rPr>
      </w:pPr>
      <w:r>
        <w:rPr>
          <w:rFonts w:hint="eastAsia" w:hAnsi="宋体"/>
          <w:b/>
          <w:bCs/>
          <w:color w:val="000000" w:themeColor="text1"/>
          <w:sz w:val="18"/>
          <w:szCs w:val="18"/>
          <w14:textFill>
            <w14:solidFill>
              <w14:schemeClr w14:val="tx1"/>
            </w14:solidFill>
          </w14:textFill>
        </w:rPr>
        <w:t>注：1、附法定代表人/单位负责人身份证明材料复印件和授权代表身份证明材料复印件；</w:t>
      </w:r>
    </w:p>
    <w:p>
      <w:pPr>
        <w:ind w:firstLine="361" w:firstLineChars="200"/>
        <w:rPr>
          <w:rFonts w:hAnsi="宋体"/>
          <w:b/>
          <w:bCs/>
          <w:color w:val="000000" w:themeColor="text1"/>
          <w:sz w:val="18"/>
          <w:szCs w:val="18"/>
          <w14:textFill>
            <w14:solidFill>
              <w14:schemeClr w14:val="tx1"/>
            </w14:solidFill>
          </w14:textFill>
        </w:rPr>
      </w:pPr>
      <w:r>
        <w:rPr>
          <w:rFonts w:hint="eastAsia" w:hAnsi="宋体"/>
          <w:b/>
          <w:bCs/>
          <w:color w:val="000000" w:themeColor="text1"/>
          <w:sz w:val="18"/>
          <w:szCs w:val="18"/>
          <w14:textFill>
            <w14:solidFill>
              <w14:schemeClr w14:val="tx1"/>
            </w14:solidFill>
          </w14:textFill>
        </w:rPr>
        <w:t>2、身份证明材料包括居民身份证或户口本或军官证或护照等；</w:t>
      </w:r>
    </w:p>
    <w:p>
      <w:pPr>
        <w:ind w:firstLine="361" w:firstLineChars="200"/>
        <w:rPr>
          <w:rFonts w:hAnsi="宋体"/>
          <w:b/>
          <w:bCs/>
          <w:color w:val="000000" w:themeColor="text1"/>
          <w:sz w:val="18"/>
          <w:szCs w:val="18"/>
          <w14:textFill>
            <w14:solidFill>
              <w14:schemeClr w14:val="tx1"/>
            </w14:solidFill>
          </w14:textFill>
        </w:rPr>
      </w:pPr>
      <w:r>
        <w:rPr>
          <w:rFonts w:hint="eastAsia" w:hAnsi="宋体"/>
          <w:b/>
          <w:bCs/>
          <w:color w:val="000000" w:themeColor="text1"/>
          <w:sz w:val="18"/>
          <w:szCs w:val="18"/>
          <w14:textFill>
            <w14:solidFill>
              <w14:schemeClr w14:val="tx1"/>
            </w14:solidFill>
          </w14:textFill>
        </w:rPr>
        <w:t>3、身份证明材料应同时提供其在有效期的材料，如居民身份证正、反面复印件；</w:t>
      </w:r>
    </w:p>
    <w:p>
      <w:pPr>
        <w:ind w:firstLine="361" w:firstLineChars="200"/>
        <w:rPr>
          <w:rFonts w:hAnsi="宋体"/>
          <w:b/>
          <w:bCs/>
          <w:color w:val="000000" w:themeColor="text1"/>
          <w:sz w:val="18"/>
          <w:szCs w:val="18"/>
          <w14:textFill>
            <w14:solidFill>
              <w14:schemeClr w14:val="tx1"/>
            </w14:solidFill>
          </w14:textFill>
        </w:rPr>
      </w:pPr>
      <w:r>
        <w:rPr>
          <w:rFonts w:hint="eastAsia" w:hAnsi="宋体"/>
          <w:b/>
          <w:bCs/>
          <w:color w:val="000000" w:themeColor="text1"/>
          <w:sz w:val="18"/>
          <w:szCs w:val="18"/>
          <w14:textFill>
            <w14:solidFill>
              <w14:schemeClr w14:val="tx1"/>
            </w14:solidFill>
          </w14:textFill>
        </w:rPr>
        <w:t>4、授权代表参与磋商适用。</w:t>
      </w:r>
    </w:p>
    <w:p>
      <w:pPr>
        <w:spacing w:line="400" w:lineRule="exact"/>
        <w:rPr>
          <w:rFonts w:hAnsi="宋体" w:cs="宋体"/>
          <w:color w:val="000000" w:themeColor="text1"/>
          <w:sz w:val="32"/>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jc w:val="center"/>
        <w:rPr>
          <w:rFonts w:hAnsi="宋体" w:cs="宋体"/>
          <w:b/>
          <w:color w:val="000000" w:themeColor="text1"/>
          <w:sz w:val="32"/>
          <w:szCs w:val="32"/>
          <w14:textFill>
            <w14:solidFill>
              <w14:schemeClr w14:val="tx1"/>
            </w14:solidFill>
          </w14:textFill>
        </w:rPr>
      </w:pPr>
    </w:p>
    <w:p>
      <w:pPr>
        <w:spacing w:before="240"/>
        <w:jc w:val="center"/>
        <w:rPr>
          <w:rFonts w:hAnsi="宋体" w:cs="宋体"/>
          <w:b/>
          <w:bCs/>
          <w:color w:val="000000" w:themeColor="text1"/>
          <w:sz w:val="30"/>
          <w:szCs w:val="30"/>
          <w14:textFill>
            <w14:solidFill>
              <w14:schemeClr w14:val="tx1"/>
            </w14:solidFill>
          </w14:textFill>
        </w:rPr>
      </w:pPr>
    </w:p>
    <w:p>
      <w:pPr>
        <w:rPr>
          <w:rFonts w:hAnsi="宋体" w:cs="宋体"/>
          <w:b/>
          <w:bCs/>
          <w:color w:val="000000" w:themeColor="text1"/>
          <w:sz w:val="30"/>
          <w:szCs w:val="30"/>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4"/>
        <w:jc w:val="center"/>
        <w:rPr>
          <w:rFonts w:ascii="宋体" w:hAnsi="宋体" w:eastAsia="宋体" w:cs="宋体"/>
          <w:bCs w:val="0"/>
          <w:color w:val="000000" w:themeColor="text1"/>
          <w:sz w:val="30"/>
          <w:szCs w:val="30"/>
          <w14:textFill>
            <w14:solidFill>
              <w14:schemeClr w14:val="tx1"/>
            </w14:solidFill>
          </w14:textFill>
        </w:rPr>
      </w:pPr>
      <w:bookmarkStart w:id="141" w:name="BookMK60"/>
      <w:r>
        <w:rPr>
          <w:rFonts w:hint="eastAsia" w:ascii="宋体" w:hAnsi="宋体" w:eastAsia="宋体" w:cs="宋体"/>
          <w:bCs w:val="0"/>
          <w:color w:val="000000" w:themeColor="text1"/>
          <w:sz w:val="30"/>
          <w:szCs w:val="30"/>
          <w14:textFill>
            <w14:solidFill>
              <w14:schemeClr w14:val="tx1"/>
            </w14:solidFill>
          </w14:textFill>
        </w:rPr>
        <w:t>一、法定代表人/单位负责人身份证明书</w:t>
      </w:r>
    </w:p>
    <w:bookmarkEnd w:id="141"/>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单位名称：</w:t>
      </w:r>
      <w:r>
        <w:rPr>
          <w:rFonts w:hint="eastAsia" w:ascii="宋体" w:hAnsi="宋体" w:cs="宋体"/>
          <w:color w:val="000000" w:themeColor="text1"/>
          <w:u w:val="single"/>
          <w14:textFill>
            <w14:solidFill>
              <w14:schemeClr w14:val="tx1"/>
            </w14:solidFill>
          </w14:textFill>
        </w:rPr>
        <w:t xml:space="preserve">                         </w:t>
      </w:r>
    </w:p>
    <w:p>
      <w:pPr>
        <w:pStyle w:val="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地    址：</w:t>
      </w:r>
      <w:r>
        <w:rPr>
          <w:rFonts w:hint="eastAsia" w:ascii="宋体" w:hAnsi="宋体" w:cs="宋体"/>
          <w:color w:val="000000" w:themeColor="text1"/>
          <w:u w:val="single"/>
          <w14:textFill>
            <w14:solidFill>
              <w14:schemeClr w14:val="tx1"/>
            </w14:solidFill>
          </w14:textFill>
        </w:rPr>
        <w:t xml:space="preserve">                         </w:t>
      </w:r>
    </w:p>
    <w:p>
      <w:pPr>
        <w:pStyle w:val="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姓    名：</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性   别：</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  龄：</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职  务：</w:t>
      </w:r>
      <w:r>
        <w:rPr>
          <w:rFonts w:hint="eastAsia" w:ascii="宋体" w:hAnsi="宋体" w:cs="宋体"/>
          <w:color w:val="000000" w:themeColor="text1"/>
          <w:u w:val="single"/>
          <w14:textFill>
            <w14:solidFill>
              <w14:schemeClr w14:val="tx1"/>
            </w14:solidFill>
          </w14:textFill>
        </w:rPr>
        <w:t xml:space="preserve">               </w:t>
      </w:r>
    </w:p>
    <w:p>
      <w:pPr>
        <w:spacing w:line="360" w:lineRule="auto"/>
        <w:ind w:firstLine="420"/>
        <w:rPr>
          <w:rFonts w:hAnsi="宋体" w:cs="宋体"/>
          <w:b/>
          <w:color w:val="000000" w:themeColor="text1"/>
          <w:sz w:val="32"/>
          <w:szCs w:val="32"/>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本人系</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（单位名称）的法定代表人/单位负责人，参加你单位组织的“</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”（项目名称）（项目编号：</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）磋商活动，</w:t>
      </w:r>
      <w:r>
        <w:rPr>
          <w:rFonts w:hint="eastAsia" w:hAnsi="宋体" w:cs="宋体"/>
          <w:color w:val="000000" w:themeColor="text1"/>
          <w:sz w:val="24"/>
          <w14:textFill>
            <w14:solidFill>
              <w14:schemeClr w14:val="tx1"/>
            </w14:solidFill>
          </w14:textFill>
        </w:rPr>
        <w:t>我方名义处理该项目有关磋商、报价、签订合同以及执行合同等一切事宜，我单位均予以认可，所产生的法律后果由我单位承担。</w:t>
      </w:r>
    </w:p>
    <w:p>
      <w:pPr>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特此证明。</w:t>
      </w:r>
    </w:p>
    <w:p>
      <w:pPr>
        <w:rPr>
          <w:rFonts w:hAnsi="宋体" w:cs="宋体"/>
          <w:b/>
          <w:bCs/>
          <w:color w:val="000000" w:themeColor="text1"/>
          <w:sz w:val="32"/>
          <w:szCs w:val="32"/>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jc w:val="center"/>
        <w:rPr>
          <w:rFonts w:hAnsi="宋体" w:cs="宋体"/>
          <w:b/>
          <w:bCs/>
          <w:color w:val="000000" w:themeColor="text1"/>
          <w:sz w:val="32"/>
          <w:szCs w:val="32"/>
          <w14:textFill>
            <w14:solidFill>
              <w14:schemeClr w14:val="tx1"/>
            </w14:solidFill>
          </w14:textFill>
        </w:rPr>
      </w:pPr>
    </w:p>
    <w:p>
      <w:pPr>
        <w:spacing w:line="64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供应商名称：</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（盖章）</w:t>
      </w:r>
    </w:p>
    <w:p>
      <w:pPr>
        <w:spacing w:line="64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法定代表人/单位负责人: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(签字或签章)       </w:t>
      </w:r>
    </w:p>
    <w:p>
      <w:pPr>
        <w:spacing w:line="640" w:lineRule="exac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日  期：</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年</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月</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日</w:t>
      </w:r>
    </w:p>
    <w:p>
      <w:pPr>
        <w:spacing w:line="400" w:lineRule="exact"/>
        <w:rPr>
          <w:rFonts w:hAnsi="宋体" w:cs="宋体"/>
          <w:color w:val="000000" w:themeColor="text1"/>
          <w:sz w:val="24"/>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s="宋体"/>
          <w:b/>
          <w:bCs/>
          <w:color w:val="000000" w:themeColor="text1"/>
          <w:sz w:val="20"/>
          <w14:textFill>
            <w14:solidFill>
              <w14:schemeClr w14:val="tx1"/>
            </w14:solidFill>
          </w14:textFill>
        </w:rPr>
      </w:pPr>
      <w:r>
        <w:rPr>
          <w:rFonts w:hint="eastAsia" w:hAnsi="宋体" w:cs="宋体"/>
          <w:b/>
          <w:bCs/>
          <w:color w:val="000000" w:themeColor="text1"/>
          <w:sz w:val="20"/>
          <w14:textFill>
            <w14:solidFill>
              <w14:schemeClr w14:val="tx1"/>
            </w14:solidFill>
          </w14:textFill>
        </w:rPr>
        <w:t>注：1、附法定代表人/单位负责人身份证明材料复印件；</w:t>
      </w:r>
    </w:p>
    <w:p>
      <w:pPr>
        <w:ind w:firstLine="402" w:firstLineChars="200"/>
        <w:rPr>
          <w:rFonts w:hAnsi="宋体" w:cs="宋体"/>
          <w:b/>
          <w:bCs/>
          <w:color w:val="000000" w:themeColor="text1"/>
          <w:sz w:val="20"/>
          <w14:textFill>
            <w14:solidFill>
              <w14:schemeClr w14:val="tx1"/>
            </w14:solidFill>
          </w14:textFill>
        </w:rPr>
      </w:pPr>
      <w:r>
        <w:rPr>
          <w:rFonts w:hint="eastAsia" w:hAnsi="宋体" w:cs="宋体"/>
          <w:b/>
          <w:bCs/>
          <w:color w:val="000000" w:themeColor="text1"/>
          <w:sz w:val="20"/>
          <w14:textFill>
            <w14:solidFill>
              <w14:schemeClr w14:val="tx1"/>
            </w14:solidFill>
          </w14:textFill>
        </w:rPr>
        <w:t>2、身份证明材料包括居民身份证或户口本或军官证或护照等；</w:t>
      </w:r>
    </w:p>
    <w:p>
      <w:pPr>
        <w:ind w:firstLine="402" w:firstLineChars="200"/>
        <w:rPr>
          <w:rFonts w:hAnsi="宋体" w:cs="宋体"/>
          <w:b/>
          <w:bCs/>
          <w:color w:val="000000" w:themeColor="text1"/>
          <w:sz w:val="20"/>
          <w14:textFill>
            <w14:solidFill>
              <w14:schemeClr w14:val="tx1"/>
            </w14:solidFill>
          </w14:textFill>
        </w:rPr>
      </w:pPr>
      <w:r>
        <w:rPr>
          <w:rFonts w:hint="eastAsia" w:hAnsi="宋体" w:cs="宋体"/>
          <w:b/>
          <w:bCs/>
          <w:color w:val="000000" w:themeColor="text1"/>
          <w:sz w:val="20"/>
          <w14:textFill>
            <w14:solidFill>
              <w14:schemeClr w14:val="tx1"/>
            </w14:solidFill>
          </w14:textFill>
        </w:rPr>
        <w:t>3、身份证明材料应同时提供其在有效期的材料，如居民身份证正、反面复印件；</w:t>
      </w:r>
    </w:p>
    <w:p>
      <w:pPr>
        <w:ind w:firstLine="402" w:firstLineChars="200"/>
        <w:rPr>
          <w:rFonts w:ascii="黑体" w:eastAsia="黑体"/>
          <w:b/>
          <w:color w:val="000000" w:themeColor="text1"/>
          <w:sz w:val="32"/>
          <w:szCs w:val="32"/>
          <w14:textFill>
            <w14:solidFill>
              <w14:schemeClr w14:val="tx1"/>
            </w14:solidFill>
          </w14:textFill>
        </w:rPr>
      </w:pPr>
      <w:r>
        <w:rPr>
          <w:rFonts w:hint="eastAsia" w:hAnsi="宋体" w:cs="宋体"/>
          <w:b/>
          <w:bCs/>
          <w:color w:val="000000" w:themeColor="text1"/>
          <w:sz w:val="20"/>
          <w14:textFill>
            <w14:solidFill>
              <w14:schemeClr w14:val="tx1"/>
            </w14:solidFill>
          </w14:textFill>
        </w:rPr>
        <w:t>4、法定代表人参与磋商适用。</w:t>
      </w:r>
    </w:p>
    <w:p>
      <w:pPr>
        <w:rPr>
          <w:rFonts w:hAnsi="宋体" w:cs="宋体"/>
          <w:bCs/>
          <w:color w:val="000000" w:themeColor="text1"/>
          <w:sz w:val="30"/>
          <w:szCs w:val="30"/>
          <w14:textFill>
            <w14:solidFill>
              <w14:schemeClr w14:val="tx1"/>
            </w14:solidFill>
          </w14:textFill>
        </w:rPr>
      </w:pPr>
    </w:p>
    <w:p>
      <w:pPr>
        <w:pStyle w:val="86"/>
        <w:ind w:firstLine="0" w:firstLineChars="0"/>
        <w:rPr>
          <w:rFonts w:hAnsi="宋体" w:cs="宋体"/>
          <w:color w:val="000000" w:themeColor="text1"/>
          <w14:textFill>
            <w14:solidFill>
              <w14:schemeClr w14:val="tx1"/>
            </w14:solidFill>
          </w14:textFill>
        </w:rPr>
      </w:pPr>
    </w:p>
    <w:p>
      <w:pPr>
        <w:pStyle w:val="4"/>
        <w:jc w:val="center"/>
        <w:rPr>
          <w:rFonts w:ascii="宋体" w:hAnsi="宋体" w:eastAsia="宋体" w:cs="宋体"/>
          <w:bCs w:val="0"/>
          <w:color w:val="000000" w:themeColor="text1"/>
          <w:sz w:val="28"/>
          <w:szCs w:val="28"/>
          <w14:textFill>
            <w14:solidFill>
              <w14:schemeClr w14:val="tx1"/>
            </w14:solidFill>
          </w14:textFill>
        </w:rPr>
      </w:pPr>
      <w:bookmarkStart w:id="142" w:name="BookMK70"/>
      <w:r>
        <w:rPr>
          <w:rFonts w:hint="eastAsia" w:ascii="宋体" w:hAnsi="宋体" w:eastAsia="宋体" w:cs="宋体"/>
          <w:bCs w:val="0"/>
          <w:color w:val="000000" w:themeColor="text1"/>
          <w:sz w:val="28"/>
          <w:szCs w:val="28"/>
          <w14:textFill>
            <w14:solidFill>
              <w14:schemeClr w14:val="tx1"/>
            </w14:solidFill>
          </w14:textFill>
        </w:rPr>
        <w:t>二、符合《中华人民共和国政府采购法》第二十二条规定的条件的承诺及声明函</w:t>
      </w:r>
    </w:p>
    <w:bookmarkEnd w:id="142"/>
    <w:p>
      <w:pPr>
        <w:pStyle w:val="86"/>
        <w:spacing w:line="520" w:lineRule="exact"/>
        <w:ind w:firstLine="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u w:val="single"/>
          <w:lang w:val="en-US" w:eastAsia="zh-CN"/>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(采购代理机构名称)：</w:t>
      </w:r>
    </w:p>
    <w:p>
      <w:pPr>
        <w:pStyle w:val="86"/>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我公司作为本次采购项目的磋商供应商，根据磋商文件要求，现郑重承诺及声明如下：</w:t>
      </w:r>
    </w:p>
    <w:p>
      <w:pPr>
        <w:pStyle w:val="86"/>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1、具有独立承担民事责任的能力；</w:t>
      </w:r>
    </w:p>
    <w:p>
      <w:pPr>
        <w:pStyle w:val="86"/>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2、具有良好的商业信誉和健全的财务会计制度；</w:t>
      </w:r>
    </w:p>
    <w:p>
      <w:pPr>
        <w:pStyle w:val="86"/>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3、具有履行合同所必须的设备和专业技术能力；</w:t>
      </w:r>
    </w:p>
    <w:p>
      <w:pPr>
        <w:pStyle w:val="86"/>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4、具有依法缴纳税收和社会保障资金的良好记录；</w:t>
      </w:r>
    </w:p>
    <w:p>
      <w:pPr>
        <w:pStyle w:val="86"/>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5、参加本次政府采购活动前三年内，在经营活动中没有重大违法记录；</w:t>
      </w:r>
    </w:p>
    <w:p>
      <w:pPr>
        <w:pStyle w:val="86"/>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6、法律、行政法规规定的其他条件：参</w:t>
      </w:r>
      <w:r>
        <w:rPr>
          <w:rFonts w:hint="eastAsia" w:hAnsi="宋体" w:cs="宋体"/>
          <w:color w:val="000000" w:themeColor="text1"/>
          <w:sz w:val="24"/>
          <w:szCs w:val="22"/>
          <w14:textFill>
            <w14:solidFill>
              <w14:schemeClr w14:val="tx1"/>
            </w14:solidFill>
          </w14:textFill>
        </w:rPr>
        <w:t>加本项目政府采购活动的供应商单位及其现任法定代表人、主要负责人前3年内不得具有行贿犯罪记录</w:t>
      </w:r>
      <w:r>
        <w:rPr>
          <w:rFonts w:hint="eastAsia" w:hAnsi="宋体" w:cs="宋体"/>
          <w:color w:val="000000" w:themeColor="text1"/>
          <w:sz w:val="24"/>
          <w14:textFill>
            <w14:solidFill>
              <w14:schemeClr w14:val="tx1"/>
            </w14:solidFill>
          </w14:textFill>
        </w:rPr>
        <w:t>。</w:t>
      </w:r>
    </w:p>
    <w:p>
      <w:pPr>
        <w:pStyle w:val="86"/>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本公司对上述承诺的内容事项真实性、合法性负责。如经查实上述承诺的内容事项存在虚假，我公司自愿接受以提供虚假材料谋取成交所带来的所有法律责任。</w:t>
      </w:r>
    </w:p>
    <w:p>
      <w:pPr>
        <w:pStyle w:val="86"/>
        <w:spacing w:line="520" w:lineRule="exact"/>
        <w:ind w:firstLine="420" w:firstLineChars="0"/>
        <w:rPr>
          <w:rFonts w:hAnsi="宋体" w:cs="宋体"/>
          <w:color w:val="000000" w:themeColor="text1"/>
          <w:sz w:val="24"/>
          <w14:textFill>
            <w14:solidFill>
              <w14:schemeClr w14:val="tx1"/>
            </w14:solidFill>
          </w14:textFill>
        </w:rPr>
      </w:pPr>
    </w:p>
    <w:p>
      <w:pPr>
        <w:pStyle w:val="86"/>
        <w:spacing w:line="520" w:lineRule="exact"/>
        <w:ind w:firstLine="0" w:firstLineChars="0"/>
        <w:rPr>
          <w:rFonts w:hAnsi="宋体" w:cs="宋体"/>
          <w:color w:val="000000" w:themeColor="text1"/>
          <w:sz w:val="24"/>
          <w14:textFill>
            <w14:solidFill>
              <w14:schemeClr w14:val="tx1"/>
            </w14:solidFill>
          </w14:textFill>
        </w:rPr>
      </w:pPr>
    </w:p>
    <w:p>
      <w:pPr>
        <w:pStyle w:val="86"/>
        <w:spacing w:line="640" w:lineRule="exact"/>
        <w:ind w:firstLine="199" w:firstLineChars="83"/>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供应商名称：</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(盖章)</w:t>
      </w:r>
    </w:p>
    <w:p>
      <w:pPr>
        <w:pStyle w:val="86"/>
        <w:spacing w:line="640" w:lineRule="exact"/>
        <w:ind w:firstLine="199" w:firstLineChars="83"/>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法定代表人或授权代表：</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(签字或签章)</w:t>
      </w:r>
    </w:p>
    <w:p>
      <w:pPr>
        <w:pStyle w:val="86"/>
        <w:spacing w:line="640" w:lineRule="exact"/>
        <w:ind w:firstLine="199" w:firstLineChars="83"/>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日  期:</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年</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月</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日</w:t>
      </w:r>
    </w:p>
    <w:p>
      <w:pPr>
        <w:pStyle w:val="86"/>
        <w:ind w:firstLine="420" w:firstLineChars="0"/>
        <w:rPr>
          <w:rFonts w:hAnsi="宋体" w:cs="宋体"/>
          <w:color w:val="000000" w:themeColor="text1"/>
          <w:sz w:val="24"/>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r>
        <w:rPr>
          <w:rFonts w:hAnsi="宋体" w:cs="宋体"/>
          <w:bCs/>
          <w:color w:val="000000" w:themeColor="text1"/>
          <w:sz w:val="28"/>
          <w:szCs w:val="28"/>
          <w14:textFill>
            <w14:solidFill>
              <w14:schemeClr w14:val="tx1"/>
            </w14:solidFill>
          </w14:textFill>
        </w:rPr>
        <w:br w:type="page"/>
      </w:r>
      <w:r>
        <w:rPr>
          <w:rFonts w:hint="eastAsia" w:ascii="宋体" w:hAnsi="宋体" w:cs="宋体"/>
          <w:b/>
          <w:color w:val="000000" w:themeColor="text1"/>
          <w:sz w:val="28"/>
          <w:szCs w:val="28"/>
          <w14:textFill>
            <w14:solidFill>
              <w14:schemeClr w14:val="tx1"/>
            </w14:solidFill>
          </w14:textFill>
        </w:rPr>
        <w:t>三、中小企业声明函</w:t>
      </w:r>
    </w:p>
    <w:p>
      <w:pPr>
        <w:pStyle w:val="86"/>
        <w:spacing w:line="520" w:lineRule="exact"/>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本公司郑重声明，根据《政府采购促进中小企业发展管理办法》（财库﹝2020﹞46 号）的规定，本公司参加</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（单位名称）的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（项目名称）采购活动，服务全部由符合政策要求的中小企业承接。相关企业（含联合体中的中小企业、签订分包意向协议的中小企业）的具体情况如下：</w:t>
      </w:r>
    </w:p>
    <w:p>
      <w:pPr>
        <w:pStyle w:val="86"/>
        <w:numPr>
          <w:ilvl w:val="0"/>
          <w:numId w:val="3"/>
        </w:numPr>
        <w:spacing w:line="520" w:lineRule="exact"/>
        <w:ind w:firstLine="48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u w:val="single"/>
          <w:lang w:val="en-US" w:eastAsia="zh-CN"/>
          <w14:textFill>
            <w14:solidFill>
              <w14:schemeClr w14:val="tx1"/>
            </w14:solidFill>
          </w14:textFill>
        </w:rPr>
        <w:t xml:space="preserve">        </w:t>
      </w:r>
      <w:r>
        <w:rPr>
          <w:rFonts w:hint="eastAsia" w:hAnsi="宋体" w:cs="宋体"/>
          <w:color w:val="000000" w:themeColor="text1"/>
          <w:sz w:val="24"/>
          <w:u w:val="single"/>
          <w14:textFill>
            <w14:solidFill>
              <w14:schemeClr w14:val="tx1"/>
            </w14:solidFill>
          </w14:textFill>
        </w:rPr>
        <w:t xml:space="preserve">（标的名称）    </w:t>
      </w:r>
      <w:r>
        <w:rPr>
          <w:rFonts w:hint="eastAsia" w:hAnsi="宋体" w:cs="宋体"/>
          <w:color w:val="000000" w:themeColor="text1"/>
          <w:sz w:val="24"/>
          <w14:textFill>
            <w14:solidFill>
              <w14:schemeClr w14:val="tx1"/>
            </w14:solidFill>
          </w14:textFill>
        </w:rPr>
        <w:t>，属于</w:t>
      </w:r>
      <w:r>
        <w:rPr>
          <w:rFonts w:hint="eastAsia" w:hAnsi="宋体" w:cs="宋体"/>
          <w:color w:val="000000" w:themeColor="text1"/>
          <w:sz w:val="24"/>
          <w:u w:val="single"/>
          <w14:textFill>
            <w14:solidFill>
              <w14:schemeClr w14:val="tx1"/>
            </w14:solidFill>
          </w14:textFill>
        </w:rPr>
        <w:t xml:space="preserve"> （采购文件中明确的所属行业）      </w:t>
      </w:r>
      <w:r>
        <w:rPr>
          <w:rFonts w:hint="eastAsia" w:hAnsi="宋体" w:cs="宋体"/>
          <w:color w:val="000000" w:themeColor="text1"/>
          <w:sz w:val="24"/>
          <w14:textFill>
            <w14:solidFill>
              <w14:schemeClr w14:val="tx1"/>
            </w14:solidFill>
          </w14:textFill>
        </w:rPr>
        <w:t>； 承接企业为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（企业名称），从业人员</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人，营业收入为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万元，资产总额为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万元 ，属于</w:t>
      </w:r>
      <w:r>
        <w:rPr>
          <w:rFonts w:hint="eastAsia" w:hAnsi="宋体" w:cs="宋体"/>
          <w:color w:val="000000" w:themeColor="text1"/>
          <w:sz w:val="24"/>
          <w:u w:val="single"/>
          <w14:textFill>
            <w14:solidFill>
              <w14:schemeClr w14:val="tx1"/>
            </w14:solidFill>
          </w14:textFill>
        </w:rPr>
        <w:t xml:space="preserve">          （中型企业、小型企业、微型企业）</w:t>
      </w:r>
      <w:r>
        <w:rPr>
          <w:rFonts w:hint="eastAsia" w:hAnsi="宋体" w:cs="宋体"/>
          <w:color w:val="000000" w:themeColor="text1"/>
          <w:sz w:val="24"/>
          <w14:textFill>
            <w14:solidFill>
              <w14:schemeClr w14:val="tx1"/>
            </w14:solidFill>
          </w14:textFill>
        </w:rPr>
        <w:t>；</w:t>
      </w:r>
    </w:p>
    <w:p>
      <w:pPr>
        <w:pStyle w:val="86"/>
        <w:numPr>
          <w:ilvl w:val="0"/>
          <w:numId w:val="3"/>
        </w:numPr>
        <w:spacing w:line="520" w:lineRule="exact"/>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u w:val="single"/>
          <w14:textFill>
            <w14:solidFill>
              <w14:schemeClr w14:val="tx1"/>
            </w14:solidFill>
          </w14:textFill>
        </w:rPr>
        <w:t xml:space="preserve"> （标的名称）    </w:t>
      </w:r>
      <w:r>
        <w:rPr>
          <w:rFonts w:hint="eastAsia" w:hAnsi="宋体" w:cs="宋体"/>
          <w:color w:val="000000" w:themeColor="text1"/>
          <w:sz w:val="24"/>
          <w14:textFill>
            <w14:solidFill>
              <w14:schemeClr w14:val="tx1"/>
            </w14:solidFill>
          </w14:textFill>
        </w:rPr>
        <w:t>，属于</w:t>
      </w:r>
      <w:r>
        <w:rPr>
          <w:rFonts w:hint="eastAsia" w:hAnsi="宋体" w:cs="宋体"/>
          <w:color w:val="000000" w:themeColor="text1"/>
          <w:sz w:val="24"/>
          <w:u w:val="single"/>
          <w14:textFill>
            <w14:solidFill>
              <w14:schemeClr w14:val="tx1"/>
            </w14:solidFill>
          </w14:textFill>
        </w:rPr>
        <w:t xml:space="preserve"> （采购文件中明确的所属行业）      </w:t>
      </w:r>
      <w:r>
        <w:rPr>
          <w:rFonts w:hint="eastAsia" w:hAnsi="宋体" w:cs="宋体"/>
          <w:color w:val="000000" w:themeColor="text1"/>
          <w:sz w:val="24"/>
          <w14:textFill>
            <w14:solidFill>
              <w14:schemeClr w14:val="tx1"/>
            </w14:solidFill>
          </w14:textFill>
        </w:rPr>
        <w:t>； 承接企业为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（企业名称），从业人员</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人，营业收入为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万元，资产总额为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万元 ，属于</w:t>
      </w:r>
      <w:r>
        <w:rPr>
          <w:rFonts w:hint="eastAsia" w:hAnsi="宋体" w:cs="宋体"/>
          <w:color w:val="000000" w:themeColor="text1"/>
          <w:sz w:val="24"/>
          <w:u w:val="single"/>
          <w14:textFill>
            <w14:solidFill>
              <w14:schemeClr w14:val="tx1"/>
            </w14:solidFill>
          </w14:textFill>
        </w:rPr>
        <w:t xml:space="preserve">          （中型企业、小型企业、微型企业）</w:t>
      </w:r>
      <w:r>
        <w:rPr>
          <w:rFonts w:hint="eastAsia" w:hAnsi="宋体" w:cs="宋体"/>
          <w:color w:val="000000" w:themeColor="text1"/>
          <w:sz w:val="24"/>
          <w14:textFill>
            <w14:solidFill>
              <w14:schemeClr w14:val="tx1"/>
            </w14:solidFill>
          </w14:textFill>
        </w:rPr>
        <w:t xml:space="preserve">； </w:t>
      </w:r>
    </w:p>
    <w:p>
      <w:pPr>
        <w:pStyle w:val="86"/>
        <w:spacing w:line="520" w:lineRule="exact"/>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w:t>
      </w:r>
    </w:p>
    <w:p>
      <w:pPr>
        <w:pStyle w:val="86"/>
        <w:spacing w:line="520" w:lineRule="exact"/>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以上企业，不属于大企业的分支机构，不存在控股股东为大企业的情形，也不存在与大企业的负责人为同一人的情形。 </w:t>
      </w:r>
    </w:p>
    <w:p>
      <w:pPr>
        <w:pStyle w:val="86"/>
        <w:spacing w:line="520" w:lineRule="exact"/>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本企业对上述声明内容的真实性负责。如有虚假，将依法承担相应责任。 </w:t>
      </w:r>
    </w:p>
    <w:p>
      <w:pPr>
        <w:pStyle w:val="86"/>
        <w:spacing w:line="520" w:lineRule="exact"/>
        <w:ind w:firstLine="480"/>
        <w:rPr>
          <w:rFonts w:hAnsi="宋体" w:cs="宋体"/>
          <w:color w:val="000000" w:themeColor="text1"/>
          <w:sz w:val="24"/>
          <w14:textFill>
            <w14:solidFill>
              <w14:schemeClr w14:val="tx1"/>
            </w14:solidFill>
          </w14:textFill>
        </w:rPr>
      </w:pPr>
    </w:p>
    <w:p>
      <w:pPr>
        <w:pStyle w:val="86"/>
        <w:spacing w:line="520" w:lineRule="exact"/>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企业名称（盖章）： </w:t>
      </w:r>
    </w:p>
    <w:p>
      <w:pPr>
        <w:pStyle w:val="86"/>
        <w:spacing w:line="520" w:lineRule="exact"/>
        <w:ind w:firstLine="480"/>
        <w:rPr>
          <w:rFonts w:hAnsi="宋体" w:cs="宋体"/>
          <w:color w:val="000000" w:themeColor="text1"/>
          <w:sz w:val="24"/>
          <w14:textFill>
            <w14:solidFill>
              <w14:schemeClr w14:val="tx1"/>
            </w14:solidFill>
          </w14:textFill>
        </w:rPr>
      </w:pPr>
    </w:p>
    <w:p>
      <w:pPr>
        <w:pStyle w:val="86"/>
        <w:spacing w:line="520" w:lineRule="exact"/>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日 期： </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年</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月</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日</w:t>
      </w:r>
    </w:p>
    <w:p>
      <w:pPr>
        <w:pStyle w:val="86"/>
        <w:spacing w:line="520" w:lineRule="exact"/>
        <w:ind w:firstLine="420" w:firstLineChars="0"/>
        <w:rPr>
          <w:rFonts w:hAnsi="宋体" w:cs="宋体"/>
          <w:color w:val="000000" w:themeColor="text1"/>
          <w:sz w:val="24"/>
          <w14:textFill>
            <w14:solidFill>
              <w14:schemeClr w14:val="tx1"/>
            </w14:solidFill>
          </w14:textFill>
        </w:rPr>
      </w:pPr>
    </w:p>
    <w:p>
      <w:pPr>
        <w:pStyle w:val="86"/>
        <w:spacing w:line="520" w:lineRule="exact"/>
        <w:ind w:firstLine="420" w:firstLineChars="0"/>
        <w:rPr>
          <w:rFonts w:hAnsi="宋体" w:cs="宋体"/>
          <w:color w:val="000000" w:themeColor="text1"/>
          <w:sz w:val="24"/>
          <w14:textFill>
            <w14:solidFill>
              <w14:schemeClr w14:val="tx1"/>
            </w14:solidFill>
          </w14:textFill>
        </w:rPr>
      </w:pPr>
    </w:p>
    <w:p>
      <w:pPr>
        <w:pStyle w:val="86"/>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说明：从业人员、营业收入、资产总额填报上一年度数据，无上一年度数据的新成立企业可不填报。</w:t>
      </w:r>
    </w:p>
    <w:p>
      <w:pPr>
        <w:pStyle w:val="2"/>
        <w:jc w:val="center"/>
        <w:outlineLvl w:val="1"/>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br w:type="page"/>
      </w:r>
      <w:r>
        <w:rPr>
          <w:rFonts w:hint="eastAsia" w:ascii="宋体" w:hAnsi="宋体" w:cs="宋体"/>
          <w:b/>
          <w:color w:val="000000" w:themeColor="text1"/>
          <w:sz w:val="28"/>
          <w:szCs w:val="28"/>
          <w14:textFill>
            <w14:solidFill>
              <w14:schemeClr w14:val="tx1"/>
            </w14:solidFill>
          </w14:textFill>
        </w:rPr>
        <w:t>四、监狱企业相关证明材料(如为监狱企业)</w:t>
      </w:r>
    </w:p>
    <w:p>
      <w:pPr>
        <w:pStyle w:val="86"/>
        <w:ind w:firstLine="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说明：1、监狱企业参加政府采购活动时，应当提供由省级以上监狱管理局、戒毒管理局(含新疆生产建设兵团)出具的属于监狱企业的证明文件。</w:t>
      </w:r>
    </w:p>
    <w:p>
      <w:pPr>
        <w:widowControl/>
        <w:spacing w:line="360" w:lineRule="auto"/>
        <w:ind w:firstLine="480" w:firstLine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2、如未提供监狱企业相关证明材料的，则其评审中的监狱企业不能享受磋商文件规定的价格扣除，但不影响其响应文件的有效性。</w:t>
      </w:r>
    </w:p>
    <w:p>
      <w:pPr>
        <w:widowControl/>
        <w:spacing w:line="360" w:lineRule="auto"/>
        <w:ind w:firstLine="470" w:firstLineChars="196"/>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3、非监狱企业无需提供证明材料。</w:t>
      </w: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jc w:val="both"/>
        <w:outlineLvl w:val="1"/>
        <w:rPr>
          <w:rFonts w:ascii="宋体" w:hAnsi="宋体" w:cs="宋体"/>
          <w:b/>
          <w:color w:val="000000" w:themeColor="text1"/>
          <w:sz w:val="28"/>
          <w:szCs w:val="28"/>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五、残疾人福利性单位声明函(如为残疾人福利性单位)</w:t>
      </w:r>
    </w:p>
    <w:p>
      <w:pPr>
        <w:pStyle w:val="86"/>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本单位郑重声明，根据《财政部民政部中国残疾人联合会关于促进残疾人就业政府采购政策的通知》(财库〔2017〕141 号)的规定，本单位为符合条件的残疾人福利性单位，且本单位参加</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单位的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项目采购活动提供由本单位提供服务，或者提供其他残疾人福利性单位制造的货物(不包括使用非残疾人福利性单位注册商标的货物)。</w:t>
      </w:r>
    </w:p>
    <w:p>
      <w:pPr>
        <w:pStyle w:val="86"/>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本单位对上述声明的真实性负责。如有虚假，将依法承担相应责任。</w:t>
      </w:r>
    </w:p>
    <w:p>
      <w:pPr>
        <w:pStyle w:val="86"/>
        <w:spacing w:line="520" w:lineRule="exact"/>
        <w:ind w:firstLine="420" w:firstLineChars="0"/>
        <w:rPr>
          <w:rFonts w:hAnsi="宋体" w:cs="宋体"/>
          <w:color w:val="000000" w:themeColor="text1"/>
          <w:sz w:val="24"/>
          <w14:textFill>
            <w14:solidFill>
              <w14:schemeClr w14:val="tx1"/>
            </w14:solidFill>
          </w14:textFill>
        </w:rPr>
      </w:pPr>
    </w:p>
    <w:p>
      <w:pPr>
        <w:pStyle w:val="2"/>
        <w:spacing w:line="520" w:lineRule="exact"/>
        <w:rPr>
          <w:rFonts w:ascii="宋体" w:hAnsi="宋体" w:cs="宋体"/>
          <w:color w:val="000000" w:themeColor="text1"/>
          <w14:textFill>
            <w14:solidFill>
              <w14:schemeClr w14:val="tx1"/>
            </w14:solidFill>
          </w14:textFill>
        </w:rPr>
      </w:pPr>
    </w:p>
    <w:p>
      <w:pPr>
        <w:pStyle w:val="86"/>
        <w:spacing w:line="640" w:lineRule="exact"/>
        <w:ind w:firstLine="420" w:firstLineChars="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供应商名称：</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(盖章)</w:t>
      </w:r>
    </w:p>
    <w:p>
      <w:pPr>
        <w:pStyle w:val="86"/>
        <w:spacing w:line="640" w:lineRule="exact"/>
        <w:ind w:firstLine="420" w:firstLineChars="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法定代表人/单位负责人或授权代表：</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(签字或签章)</w:t>
      </w:r>
    </w:p>
    <w:p>
      <w:pPr>
        <w:pStyle w:val="86"/>
        <w:spacing w:line="640" w:lineRule="exact"/>
        <w:ind w:firstLine="420" w:firstLineChars="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日  期:</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年</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月</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日</w:t>
      </w:r>
    </w:p>
    <w:p>
      <w:pPr>
        <w:ind w:firstLine="562" w:firstLineChars="200"/>
        <w:rPr>
          <w:rFonts w:hAnsi="宋体" w:cs="宋体"/>
          <w:b/>
          <w:bCs/>
          <w:color w:val="000000" w:themeColor="text1"/>
          <w:sz w:val="28"/>
          <w:szCs w:val="28"/>
          <w14:textFill>
            <w14:solidFill>
              <w14:schemeClr w14:val="tx1"/>
            </w14:solidFill>
          </w14:textFill>
        </w:rPr>
      </w:pPr>
    </w:p>
    <w:p>
      <w:pPr>
        <w:spacing w:line="360" w:lineRule="auto"/>
        <w:ind w:firstLine="480" w:firstLineChars="200"/>
        <w:jc w:val="left"/>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注：1、残疾人福利性单位视同小型、微型企业，享受预留份额、评审中价格扣除等促进中小企业发展的政府采购政策。残疾人福利性单位属于小型、微型企业的，不重复享受政策。</w:t>
      </w:r>
    </w:p>
    <w:p>
      <w:pPr>
        <w:spacing w:line="360" w:lineRule="auto"/>
        <w:ind w:firstLine="480" w:firstLineChars="200"/>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2、如未提供残疾人福利性单位声明函的，则其评审中的残疾人福利性单位不能享受磋商文件规定的价格扣除，但不影响供应商响应文件的有效性。</w:t>
      </w:r>
    </w:p>
    <w:p>
      <w:pPr>
        <w:spacing w:line="360" w:lineRule="auto"/>
        <w:ind w:firstLine="480" w:firstLineChars="200"/>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3、供应商参加政府采购活动时，提供虚假残疾人福利性单位声明函的，以提供虚假材料谋取成交处理。</w:t>
      </w:r>
    </w:p>
    <w:p>
      <w:pPr>
        <w:spacing w:line="360" w:lineRule="auto"/>
        <w:ind w:firstLine="480" w:firstLineChars="200"/>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4、供应商为非残疾人福利性单位的，可不提供此声明。</w:t>
      </w:r>
    </w:p>
    <w:p>
      <w:pPr>
        <w:pStyle w:val="2"/>
        <w:rPr>
          <w:color w:val="000000" w:themeColor="text1"/>
          <w14:textFill>
            <w14:solidFill>
              <w14:schemeClr w14:val="tx1"/>
            </w14:solidFill>
          </w14:textFill>
        </w:rPr>
      </w:pPr>
    </w:p>
    <w:p>
      <w:pPr>
        <w:ind w:firstLine="562" w:firstLineChars="200"/>
        <w:rPr>
          <w:rFonts w:hAnsi="宋体" w:cs="宋体"/>
          <w:b/>
          <w:bCs/>
          <w:color w:val="000000" w:themeColor="text1"/>
          <w:sz w:val="28"/>
          <w:szCs w:val="28"/>
          <w14:textFill>
            <w14:solidFill>
              <w14:schemeClr w14:val="tx1"/>
            </w14:solidFill>
          </w14:textFill>
        </w:rPr>
      </w:pPr>
    </w:p>
    <w:p>
      <w:pPr>
        <w:ind w:firstLine="562" w:firstLineChars="200"/>
        <w:rPr>
          <w:rFonts w:hAnsi="宋体" w:cs="宋体"/>
          <w:b/>
          <w:bCs/>
          <w:color w:val="000000" w:themeColor="text1"/>
          <w:sz w:val="28"/>
          <w:szCs w:val="28"/>
          <w14:textFill>
            <w14:solidFill>
              <w14:schemeClr w14:val="tx1"/>
            </w14:solidFill>
          </w14:textFill>
        </w:rPr>
      </w:pPr>
    </w:p>
    <w:p>
      <w:pPr>
        <w:ind w:firstLine="562" w:firstLineChars="200"/>
        <w:rPr>
          <w:rFonts w:hAnsi="宋体" w:cs="宋体"/>
          <w:b/>
          <w:bCs/>
          <w:color w:val="000000" w:themeColor="text1"/>
          <w:sz w:val="28"/>
          <w:szCs w:val="28"/>
          <w14:textFill>
            <w14:solidFill>
              <w14:schemeClr w14:val="tx1"/>
            </w14:solidFill>
          </w14:textFill>
        </w:rPr>
      </w:pPr>
    </w:p>
    <w:p>
      <w:pPr>
        <w:jc w:val="center"/>
        <w:rPr>
          <w:rFonts w:ascii="黑体" w:eastAsia="黑体"/>
          <w:b/>
          <w:color w:val="000000" w:themeColor="text1"/>
          <w:sz w:val="32"/>
          <w:szCs w:val="32"/>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六、供应商按照本磋商文件第四章要求应当提供的资格证明材料</w:t>
      </w:r>
    </w:p>
    <w:p>
      <w:pPr>
        <w:spacing w:line="360" w:lineRule="auto"/>
        <w:ind w:firstLine="790" w:firstLineChars="246"/>
        <w:jc w:val="center"/>
        <w:rPr>
          <w:rFonts w:ascii="黑体" w:eastAsia="黑体"/>
          <w:b/>
          <w:color w:val="000000" w:themeColor="text1"/>
          <w:sz w:val="32"/>
          <w:szCs w:val="32"/>
          <w14:textFill>
            <w14:solidFill>
              <w14:schemeClr w14:val="tx1"/>
            </w14:solidFill>
          </w14:textFill>
        </w:rPr>
      </w:pPr>
    </w:p>
    <w:p>
      <w:pPr>
        <w:spacing w:line="360" w:lineRule="auto"/>
        <w:ind w:firstLine="422" w:firstLineChars="200"/>
        <w:rPr>
          <w:rFonts w:hAnsi="宋体" w:cs="宋体"/>
          <w:b/>
          <w:color w:val="000000" w:themeColor="text1"/>
          <w:sz w:val="21"/>
          <w:szCs w:val="21"/>
          <w14:textFill>
            <w14:solidFill>
              <w14:schemeClr w14:val="tx1"/>
            </w14:solidFill>
          </w14:textFill>
        </w:rPr>
      </w:pPr>
    </w:p>
    <w:p>
      <w:pPr>
        <w:spacing w:line="360" w:lineRule="auto"/>
        <w:ind w:firstLine="482" w:firstLineChars="200"/>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注：供应商应按磋商文件第四章相关要求提供佐证材料，有格式要求的从其要求，无格式要求的格式自拟。</w:t>
      </w:r>
    </w:p>
    <w:p>
      <w:pPr>
        <w:pStyle w:val="2"/>
        <w:rPr>
          <w:rFonts w:ascii="宋体" w:hAnsi="宋体" w:cs="宋体"/>
          <w:bCs/>
          <w:color w:val="000000" w:themeColor="text1"/>
          <w:sz w:val="28"/>
          <w:szCs w:val="28"/>
          <w14:textFill>
            <w14:solidFill>
              <w14:schemeClr w14:val="tx1"/>
            </w14:solidFill>
          </w14:textFill>
        </w:rPr>
      </w:pPr>
    </w:p>
    <w:p>
      <w:pPr>
        <w:pStyle w:val="2"/>
        <w:ind w:firstLine="1889" w:firstLineChars="588"/>
        <w:rPr>
          <w:rFonts w:ascii="宋体" w:hAnsi="宋体" w:cs="宋体"/>
          <w:b/>
          <w:color w:val="000000" w:themeColor="text1"/>
          <w:sz w:val="32"/>
          <w:szCs w:val="32"/>
          <w14:textFill>
            <w14:solidFill>
              <w14:schemeClr w14:val="tx1"/>
            </w14:solidFill>
          </w14:textFill>
        </w:rPr>
      </w:pPr>
    </w:p>
    <w:p>
      <w:pPr>
        <w:pStyle w:val="2"/>
        <w:ind w:firstLine="1889" w:firstLineChars="588"/>
        <w:rPr>
          <w:rFonts w:ascii="宋体" w:hAnsi="宋体" w:cs="宋体"/>
          <w:b/>
          <w:color w:val="000000" w:themeColor="text1"/>
          <w:sz w:val="32"/>
          <w:szCs w:val="32"/>
          <w14:textFill>
            <w14:solidFill>
              <w14:schemeClr w14:val="tx1"/>
            </w14:solidFill>
          </w14:textFill>
        </w:rPr>
      </w:pPr>
    </w:p>
    <w:p>
      <w:pPr>
        <w:pStyle w:val="2"/>
        <w:ind w:firstLine="1889" w:firstLineChars="588"/>
        <w:rPr>
          <w:rFonts w:ascii="宋体" w:hAnsi="宋体" w:cs="宋体"/>
          <w:b/>
          <w:color w:val="000000" w:themeColor="text1"/>
          <w:sz w:val="32"/>
          <w:szCs w:val="32"/>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pStyle w:val="3"/>
        <w:jc w:val="center"/>
        <w:rPr>
          <w:rFonts w:hAnsi="宋体"/>
          <w:color w:val="000000" w:themeColor="text1"/>
          <w:sz w:val="32"/>
          <w:szCs w:val="32"/>
          <w14:textFill>
            <w14:solidFill>
              <w14:schemeClr w14:val="tx1"/>
            </w14:solidFill>
          </w14:textFill>
        </w:rPr>
      </w:pPr>
      <w:bookmarkStart w:id="143" w:name="_Toc40363832"/>
      <w:bookmarkStart w:id="144" w:name="_Toc3758"/>
      <w:bookmarkStart w:id="145" w:name="BookMK71"/>
      <w:r>
        <w:rPr>
          <w:rFonts w:hint="eastAsia" w:hAnsi="宋体"/>
          <w:color w:val="000000" w:themeColor="text1"/>
          <w:sz w:val="32"/>
          <w:szCs w:val="32"/>
          <w14:textFill>
            <w14:solidFill>
              <w14:schemeClr w14:val="tx1"/>
            </w14:solidFill>
          </w14:textFill>
        </w:rPr>
        <w:t>二、其他响应文件</w:t>
      </w:r>
      <w:r>
        <w:rPr>
          <w:rFonts w:hAnsi="宋体"/>
          <w:color w:val="000000" w:themeColor="text1"/>
          <w:sz w:val="32"/>
          <w:szCs w:val="32"/>
          <w14:textFill>
            <w14:solidFill>
              <w14:schemeClr w14:val="tx1"/>
            </w14:solidFill>
          </w14:textFill>
        </w:rPr>
        <w:t>(</w:t>
      </w:r>
      <w:r>
        <w:rPr>
          <w:rFonts w:hint="eastAsia" w:hAnsi="宋体"/>
          <w:color w:val="000000" w:themeColor="text1"/>
          <w:sz w:val="32"/>
          <w:szCs w:val="32"/>
          <w14:textFill>
            <w14:solidFill>
              <w14:schemeClr w14:val="tx1"/>
            </w14:solidFill>
          </w14:textFill>
        </w:rPr>
        <w:t>格式</w:t>
      </w:r>
      <w:r>
        <w:rPr>
          <w:rFonts w:hAnsi="宋体"/>
          <w:color w:val="000000" w:themeColor="text1"/>
          <w:sz w:val="32"/>
          <w:szCs w:val="32"/>
          <w14:textFill>
            <w14:solidFill>
              <w14:schemeClr w14:val="tx1"/>
            </w14:solidFill>
          </w14:textFill>
        </w:rPr>
        <w:t>)</w:t>
      </w:r>
      <w:bookmarkEnd w:id="143"/>
      <w:bookmarkEnd w:id="144"/>
    </w:p>
    <w:bookmarkEnd w:id="145"/>
    <w:p>
      <w:pPr>
        <w:rPr>
          <w:rFonts w:hAnsi="宋体"/>
          <w:color w:val="000000" w:themeColor="text1"/>
          <w14:textFill>
            <w14:solidFill>
              <w14:schemeClr w14:val="tx1"/>
            </w14:solidFill>
          </w14:textFill>
        </w:rPr>
      </w:pPr>
    </w:p>
    <w:p>
      <w:pPr>
        <w:pStyle w:val="2"/>
        <w:ind w:firstLine="1889" w:firstLineChars="588"/>
        <w:rPr>
          <w:rFonts w:ascii="宋体" w:hAnsi="宋体" w:cs="宋体"/>
          <w:b/>
          <w:color w:val="000000" w:themeColor="text1"/>
          <w:sz w:val="32"/>
          <w:szCs w:val="32"/>
          <w14:textFill>
            <w14:solidFill>
              <w14:schemeClr w14:val="tx1"/>
            </w14:solidFill>
          </w14:textFill>
        </w:rPr>
      </w:pPr>
    </w:p>
    <w:p>
      <w:pPr>
        <w:pStyle w:val="4"/>
        <w:jc w:val="center"/>
        <w:rPr>
          <w:rFonts w:ascii="宋体" w:hAnsi="宋体" w:eastAsia="宋体" w:cs="宋体"/>
          <w:b w:val="0"/>
          <w:color w:val="000000" w:themeColor="text1"/>
          <w14:textFill>
            <w14:solidFill>
              <w14:schemeClr w14:val="tx1"/>
            </w14:solidFill>
          </w14:textFill>
        </w:rPr>
      </w:pPr>
      <w:bookmarkStart w:id="146" w:name="BookMK72"/>
      <w:r>
        <w:rPr>
          <w:rFonts w:hint="eastAsia" w:ascii="宋体" w:hAnsi="宋体" w:eastAsia="宋体" w:cs="宋体"/>
          <w:b w:val="0"/>
          <w:color w:val="000000" w:themeColor="text1"/>
          <w14:textFill>
            <w14:solidFill>
              <w14:schemeClr w14:val="tx1"/>
            </w14:solidFill>
          </w14:textFill>
        </w:rPr>
        <w:br w:type="page"/>
      </w:r>
      <w:r>
        <w:rPr>
          <w:rFonts w:hint="eastAsia" w:ascii="宋体" w:hAnsi="宋体" w:eastAsia="宋体"/>
          <w:b w:val="0"/>
          <w:color w:val="000000" w:themeColor="text1"/>
          <w14:textFill>
            <w14:solidFill>
              <w14:schemeClr w14:val="tx1"/>
            </w14:solidFill>
          </w14:textFill>
        </w:rPr>
        <w:t>封面（格式）</w:t>
      </w:r>
    </w:p>
    <w:bookmarkEnd w:id="146"/>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4133215</wp:posOffset>
                </wp:positionH>
                <wp:positionV relativeFrom="paragraph">
                  <wp:posOffset>17780</wp:posOffset>
                </wp:positionV>
                <wp:extent cx="1200150" cy="438150"/>
                <wp:effectExtent l="12700" t="6985" r="6350" b="1206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1200150" cy="438150"/>
                        </a:xfrm>
                        <a:prstGeom prst="rect">
                          <a:avLst/>
                        </a:prstGeom>
                        <a:solidFill>
                          <a:srgbClr val="FFFFFF"/>
                        </a:solidFill>
                        <a:ln w="9525">
                          <a:solidFill>
                            <a:srgbClr val="000000"/>
                          </a:solidFill>
                          <a:miter lim="800000"/>
                        </a:ln>
                      </wps:spPr>
                      <wps:txbx>
                        <w:txbxContent>
                          <w:p>
                            <w:pPr>
                              <w:rPr>
                                <w:b/>
                              </w:rPr>
                            </w:pPr>
                            <w:r>
                              <w:rPr>
                                <w:rFonts w:hint="eastAsia"/>
                                <w:b/>
                              </w:rPr>
                              <w:t>正本/副本</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5.45pt;margin-top:1.4pt;height:34.5pt;width:94.5pt;z-index:251663360;mso-width-relative:page;mso-height-relative:page;" fillcolor="#FFFFFF" filled="t" stroked="t" coordsize="21600,21600" o:gfxdata="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PVTK7WAAAACAEAAA8AAAAAAAAAAQAgAAAAIgAAAGRycy9kb3ducmV2Lnht&#10;bFBLAQIUABQAAAAIAIdO4kBhyundNAIAAHoEAAAOAAAAAAAAAAEAIAAAACUBAABkcnMvZTJvRG9j&#10;LnhtbFBLBQYAAAAABgAGAFkBAADLBQAAAAA=&#10;">
                <v:fill on="t" focussize="0,0"/>
                <v:stroke color="#000000" miterlimit="8" joinstyle="miter"/>
                <v:imagedata o:title=""/>
                <o:lock v:ext="edit" aspectratio="f"/>
                <v:textbox>
                  <w:txbxContent>
                    <w:p>
                      <w:pPr>
                        <w:rPr>
                          <w:b/>
                        </w:rPr>
                      </w:pPr>
                      <w:r>
                        <w:rPr>
                          <w:rFonts w:hint="eastAsia"/>
                          <w:b/>
                        </w:rPr>
                        <w:t>正本/副本</w:t>
                      </w:r>
                    </w:p>
                  </w:txbxContent>
                </v:textbox>
              </v:rect>
            </w:pict>
          </mc:Fallback>
        </mc:AlternateContent>
      </w: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jc w:val="center"/>
        <w:rPr>
          <w:rFonts w:ascii="宋体" w:hAnsi="宋体" w:cs="宋体"/>
          <w:b/>
          <w:color w:val="000000" w:themeColor="text1"/>
          <w:sz w:val="66"/>
          <w:szCs w:val="32"/>
          <w14:textFill>
            <w14:solidFill>
              <w14:schemeClr w14:val="tx1"/>
            </w14:solidFill>
          </w14:textFill>
        </w:rPr>
      </w:pPr>
      <w:r>
        <w:rPr>
          <w:rFonts w:hint="eastAsia" w:ascii="宋体" w:hAnsi="宋体" w:cs="宋体"/>
          <w:b/>
          <w:color w:val="000000" w:themeColor="text1"/>
          <w:sz w:val="66"/>
          <w:szCs w:val="32"/>
          <w14:textFill>
            <w14:solidFill>
              <w14:schemeClr w14:val="tx1"/>
            </w14:solidFill>
          </w14:textFill>
        </w:rPr>
        <w:t>其他响应文件</w:t>
      </w: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spacing w:line="560" w:lineRule="exact"/>
        <w:ind w:firstLine="1756" w:firstLineChars="73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项目编号：</w:t>
      </w:r>
      <w:r>
        <w:rPr>
          <w:rFonts w:hint="eastAsia" w:ascii="宋体" w:hAnsi="宋体" w:cs="宋体"/>
          <w:color w:val="000000" w:themeColor="text1"/>
          <w:u w:val="single"/>
          <w14:textFill>
            <w14:solidFill>
              <w14:schemeClr w14:val="tx1"/>
            </w14:solidFill>
          </w14:textFill>
        </w:rPr>
        <w:t xml:space="preserve">                               </w:t>
      </w:r>
    </w:p>
    <w:p>
      <w:pPr>
        <w:pStyle w:val="2"/>
        <w:spacing w:line="560" w:lineRule="exact"/>
        <w:ind w:firstLine="1756" w:firstLineChars="732"/>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项目名称：</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p>
      <w:pPr>
        <w:pStyle w:val="2"/>
        <w:spacing w:line="560" w:lineRule="exact"/>
        <w:ind w:firstLine="1756" w:firstLineChars="73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供应商名称：</w:t>
      </w:r>
      <w:r>
        <w:rPr>
          <w:rFonts w:hint="eastAsia" w:ascii="宋体" w:hAnsi="宋体" w:cs="宋体"/>
          <w:color w:val="000000" w:themeColor="text1"/>
          <w:u w:val="single"/>
          <w14:textFill>
            <w14:solidFill>
              <w14:schemeClr w14:val="tx1"/>
            </w14:solidFill>
          </w14:textFill>
        </w:rPr>
        <w:t xml:space="preserve">                              </w:t>
      </w:r>
    </w:p>
    <w:p>
      <w:pPr>
        <w:pStyle w:val="2"/>
        <w:spacing w:line="560" w:lineRule="exact"/>
        <w:ind w:firstLine="1756" w:firstLineChars="73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日  期：</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w:t>
      </w:r>
    </w:p>
    <w:p>
      <w:pPr>
        <w:pStyle w:val="2"/>
        <w:ind w:firstLine="1653" w:firstLineChars="588"/>
        <w:rPr>
          <w:rFonts w:ascii="宋体" w:hAnsi="宋体" w:cs="宋体"/>
          <w:b/>
          <w:bCs/>
          <w:color w:val="000000" w:themeColor="text1"/>
          <w:sz w:val="28"/>
          <w:szCs w:val="28"/>
          <w14:textFill>
            <w14:solidFill>
              <w14:schemeClr w14:val="tx1"/>
            </w14:solidFill>
          </w14:textFill>
        </w:rPr>
      </w:pPr>
    </w:p>
    <w:p>
      <w:pPr>
        <w:autoSpaceDE w:val="0"/>
        <w:autoSpaceDN w:val="0"/>
        <w:adjustRightInd w:val="0"/>
        <w:jc w:val="center"/>
        <w:rPr>
          <w:rFonts w:hAnsi="宋体" w:cs="宋体"/>
          <w:b/>
          <w:bCs/>
          <w:color w:val="000000" w:themeColor="text1"/>
          <w:sz w:val="28"/>
          <w:szCs w:val="28"/>
          <w14:textFill>
            <w14:solidFill>
              <w14:schemeClr w14:val="tx1"/>
            </w14:solidFill>
          </w14:textFill>
        </w:rPr>
      </w:pPr>
    </w:p>
    <w:p>
      <w:pPr>
        <w:autoSpaceDE w:val="0"/>
        <w:autoSpaceDN w:val="0"/>
        <w:adjustRightInd w:val="0"/>
        <w:jc w:val="center"/>
        <w:rPr>
          <w:rFonts w:hAnsi="宋体" w:cs="宋体"/>
          <w:b/>
          <w:bCs/>
          <w:color w:val="000000" w:themeColor="text1"/>
          <w:sz w:val="28"/>
          <w:szCs w:val="28"/>
          <w14:textFill>
            <w14:solidFill>
              <w14:schemeClr w14:val="tx1"/>
            </w14:solidFill>
          </w14:textFill>
        </w:rPr>
      </w:pPr>
    </w:p>
    <w:p>
      <w:pPr>
        <w:autoSpaceDE w:val="0"/>
        <w:autoSpaceDN w:val="0"/>
        <w:adjustRightInd w:val="0"/>
        <w:jc w:val="center"/>
        <w:rPr>
          <w:rFonts w:hAnsi="宋体" w:cs="宋体"/>
          <w:b/>
          <w:bCs/>
          <w:color w:val="000000" w:themeColor="text1"/>
          <w:sz w:val="28"/>
          <w:szCs w:val="28"/>
          <w14:textFill>
            <w14:solidFill>
              <w14:schemeClr w14:val="tx1"/>
            </w14:solidFill>
          </w14:textFill>
        </w:rPr>
      </w:pPr>
    </w:p>
    <w:p>
      <w:pPr>
        <w:autoSpaceDE w:val="0"/>
        <w:autoSpaceDN w:val="0"/>
        <w:adjustRightInd w:val="0"/>
        <w:jc w:val="center"/>
        <w:rPr>
          <w:rFonts w:hAnsi="宋体" w:cs="宋体"/>
          <w:b/>
          <w:bCs/>
          <w:color w:val="000000" w:themeColor="text1"/>
          <w:sz w:val="28"/>
          <w:szCs w:val="28"/>
          <w14:textFill>
            <w14:solidFill>
              <w14:schemeClr w14:val="tx1"/>
            </w14:solidFill>
          </w14:textFill>
        </w:rPr>
      </w:pPr>
    </w:p>
    <w:p>
      <w:pPr>
        <w:autoSpaceDE w:val="0"/>
        <w:autoSpaceDN w:val="0"/>
        <w:adjustRightInd w:val="0"/>
        <w:jc w:val="center"/>
        <w:rPr>
          <w:rFonts w:hAnsi="宋体" w:cs="宋体"/>
          <w:b/>
          <w:bCs/>
          <w:color w:val="000000" w:themeColor="text1"/>
          <w:sz w:val="28"/>
          <w:szCs w:val="28"/>
          <w14:textFill>
            <w14:solidFill>
              <w14:schemeClr w14:val="tx1"/>
            </w14:solidFill>
          </w14:textFill>
        </w:rPr>
      </w:pPr>
    </w:p>
    <w:p>
      <w:pPr>
        <w:autoSpaceDE w:val="0"/>
        <w:autoSpaceDN w:val="0"/>
        <w:adjustRightInd w:val="0"/>
        <w:jc w:val="center"/>
        <w:rPr>
          <w:rFonts w:hAnsi="宋体" w:cs="宋体"/>
          <w:b/>
          <w:bCs/>
          <w:color w:val="000000" w:themeColor="text1"/>
          <w:sz w:val="28"/>
          <w:szCs w:val="28"/>
          <w14:textFill>
            <w14:solidFill>
              <w14:schemeClr w14:val="tx1"/>
            </w14:solidFill>
          </w14:textFill>
        </w:rPr>
      </w:pPr>
    </w:p>
    <w:p>
      <w:pPr>
        <w:pStyle w:val="4"/>
        <w:keepNext/>
        <w:keepLines/>
        <w:pageBreakBefore w:val="0"/>
        <w:widowControl w:val="0"/>
        <w:kinsoku/>
        <w:wordWrap/>
        <w:overflowPunct/>
        <w:topLinePunct w:val="0"/>
        <w:autoSpaceDE/>
        <w:autoSpaceDN/>
        <w:bidi w:val="0"/>
        <w:adjustRightInd/>
        <w:snapToGrid/>
        <w:spacing w:before="140" w:after="140" w:line="416" w:lineRule="auto"/>
        <w:jc w:val="center"/>
        <w:textAlignment w:val="auto"/>
        <w:rPr>
          <w:rFonts w:ascii="宋体" w:hAnsi="宋体" w:eastAsia="宋体" w:cs="宋体"/>
          <w:bCs w:val="0"/>
          <w:color w:val="000000" w:themeColor="text1"/>
          <w:sz w:val="28"/>
          <w:szCs w:val="28"/>
          <w14:textFill>
            <w14:solidFill>
              <w14:schemeClr w14:val="tx1"/>
            </w14:solidFill>
          </w14:textFill>
        </w:rPr>
      </w:pPr>
      <w:bookmarkStart w:id="147" w:name="BookMK73"/>
      <w:r>
        <w:rPr>
          <w:rFonts w:hint="eastAsia" w:ascii="宋体" w:hAnsi="宋体" w:eastAsia="宋体" w:cs="宋体"/>
          <w:bCs w:val="0"/>
          <w:color w:val="000000" w:themeColor="text1"/>
          <w:sz w:val="28"/>
          <w:szCs w:val="28"/>
          <w14:textFill>
            <w14:solidFill>
              <w14:schemeClr w14:val="tx1"/>
            </w14:solidFill>
          </w14:textFill>
        </w:rPr>
        <w:br w:type="page"/>
      </w:r>
      <w:r>
        <w:rPr>
          <w:rFonts w:hint="eastAsia" w:ascii="宋体" w:hAnsi="宋体" w:eastAsia="宋体" w:cs="宋体"/>
          <w:bCs w:val="0"/>
          <w:color w:val="000000" w:themeColor="text1"/>
          <w:sz w:val="28"/>
          <w:szCs w:val="28"/>
          <w14:textFill>
            <w14:solidFill>
              <w14:schemeClr w14:val="tx1"/>
            </w14:solidFill>
          </w14:textFill>
        </w:rPr>
        <w:t>一、磋商函</w:t>
      </w:r>
    </w:p>
    <w:bookmarkEnd w:id="147"/>
    <w:p>
      <w:pPr>
        <w:pStyle w:val="86"/>
        <w:spacing w:line="520" w:lineRule="exact"/>
        <w:ind w:firstLine="91" w:firstLineChars="38"/>
        <w:rPr>
          <w:rFonts w:hAnsi="宋体" w:cs="宋体"/>
          <w:color w:val="000000" w:themeColor="text1"/>
          <w:sz w:val="24"/>
          <w14:textFill>
            <w14:solidFill>
              <w14:schemeClr w14:val="tx1"/>
            </w14:solidFill>
          </w14:textFill>
        </w:rPr>
      </w:pPr>
      <w:r>
        <w:rPr>
          <w:rFonts w:hint="eastAsia" w:hAnsi="宋体" w:cs="宋体"/>
          <w:color w:val="000000" w:themeColor="text1"/>
          <w:sz w:val="24"/>
          <w:u w:val="single"/>
          <w:lang w:val="en-US" w:eastAsia="zh-CN"/>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（采购代理机构名称)：</w:t>
      </w:r>
    </w:p>
    <w:p>
      <w:pPr>
        <w:pStyle w:val="86"/>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我方全面研究了“</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”项目磋商文件(项目编号：</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)，决定参加贵单位组织的本项目磋商。我方授权</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(姓名、职务)代表我方</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(供应商名称)全权处理本项目磋商的有关事宜。</w:t>
      </w:r>
    </w:p>
    <w:p>
      <w:pPr>
        <w:pStyle w:val="86"/>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1.一旦我方成交，我方将严格履行合同规定的责任和义务，履约时间，按照</w:t>
      </w:r>
    </w:p>
    <w:p>
      <w:pPr>
        <w:pStyle w:val="86"/>
        <w:spacing w:line="520" w:lineRule="exact"/>
        <w:ind w:firstLine="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要求完成项目所有工作内容。</w:t>
      </w:r>
    </w:p>
    <w:p>
      <w:pPr>
        <w:pStyle w:val="86"/>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2.我方为本项目提交的响应文件正本</w:t>
      </w:r>
      <w:r>
        <w:rPr>
          <w:rFonts w:hint="eastAsia" w:hAnsi="宋体" w:cs="宋体"/>
          <w:color w:val="000000" w:themeColor="text1"/>
          <w:sz w:val="24"/>
          <w:u w:val="single"/>
          <w14:textFill>
            <w14:solidFill>
              <w14:schemeClr w14:val="tx1"/>
            </w14:solidFill>
          </w14:textFill>
        </w:rPr>
        <w:t xml:space="preserve"> 1 </w:t>
      </w:r>
      <w:r>
        <w:rPr>
          <w:rFonts w:hint="eastAsia" w:hAnsi="宋体" w:cs="宋体"/>
          <w:color w:val="000000" w:themeColor="text1"/>
          <w:sz w:val="24"/>
          <w14:textFill>
            <w14:solidFill>
              <w14:schemeClr w14:val="tx1"/>
            </w14:solidFill>
          </w14:textFill>
        </w:rPr>
        <w:t>份，副本</w:t>
      </w:r>
      <w:r>
        <w:rPr>
          <w:rFonts w:hint="eastAsia" w:hAnsi="宋体" w:cs="宋体"/>
          <w:color w:val="000000" w:themeColor="text1"/>
          <w:sz w:val="24"/>
          <w:u w:val="single"/>
          <w14:textFill>
            <w14:solidFill>
              <w14:schemeClr w14:val="tx1"/>
            </w14:solidFill>
          </w14:textFill>
        </w:rPr>
        <w:t xml:space="preserve"> 2 </w:t>
      </w:r>
      <w:r>
        <w:rPr>
          <w:rFonts w:hint="eastAsia" w:hAnsi="宋体" w:cs="宋体"/>
          <w:color w:val="000000" w:themeColor="text1"/>
          <w:sz w:val="24"/>
          <w14:textFill>
            <w14:solidFill>
              <w14:schemeClr w14:val="tx1"/>
            </w14:solidFill>
          </w14:textFill>
        </w:rPr>
        <w:t>份。</w:t>
      </w:r>
    </w:p>
    <w:p>
      <w:pPr>
        <w:pStyle w:val="86"/>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3.我方承诺，响应文件有效期为提交响应文件截止日期起</w:t>
      </w:r>
      <w:r>
        <w:rPr>
          <w:rFonts w:hint="eastAsia" w:hAnsi="宋体" w:cs="宋体"/>
          <w:color w:val="000000" w:themeColor="text1"/>
          <w:sz w:val="24"/>
          <w:u w:val="single"/>
          <w14:textFill>
            <w14:solidFill>
              <w14:schemeClr w14:val="tx1"/>
            </w14:solidFill>
          </w14:textFill>
        </w:rPr>
        <w:t>90</w:t>
      </w:r>
      <w:r>
        <w:rPr>
          <w:rFonts w:hint="eastAsia" w:hAnsi="宋体" w:cs="宋体"/>
          <w:color w:val="000000" w:themeColor="text1"/>
          <w:sz w:val="24"/>
          <w14:textFill>
            <w14:solidFill>
              <w14:schemeClr w14:val="tx1"/>
            </w14:solidFill>
          </w14:textFill>
        </w:rPr>
        <w:t>天。</w:t>
      </w:r>
    </w:p>
    <w:p>
      <w:pPr>
        <w:pStyle w:val="86"/>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4.我方愿意提供贵单位可能另外要求的，与磋商有关的文件资料，并保证我方已提供和将要提供的文件资料是真实、准确的。</w:t>
      </w:r>
    </w:p>
    <w:p>
      <w:pPr>
        <w:pStyle w:val="86"/>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5.我方完全理解贵方不一定要接受最低报价的报价。</w:t>
      </w:r>
    </w:p>
    <w:p>
      <w:pPr>
        <w:pStyle w:val="86"/>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6.我方在参与本项目履约过程中涉及国家相关强制标准的，均按照该标准执行。</w:t>
      </w:r>
    </w:p>
    <w:p>
      <w:pPr>
        <w:pStyle w:val="86"/>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完全接受和满足本项目磋商文件中规定的实质性要求，如对磋商文件有异议，已经在磋商截止时间届满前依法进行维权救济，不存在对磋商文件有异议的同时又参加磋商以求侥幸成交或者为实现其他非法目的的行为。</w:t>
      </w:r>
    </w:p>
    <w:p>
      <w:pPr>
        <w:pStyle w:val="86"/>
        <w:spacing w:line="520" w:lineRule="exact"/>
        <w:ind w:firstLine="420" w:firstLineChars="0"/>
        <w:rPr>
          <w:rFonts w:hAnsi="宋体" w:cs="宋体"/>
          <w:color w:val="000000" w:themeColor="text1"/>
          <w14:textFill>
            <w14:solidFill>
              <w14:schemeClr w14:val="tx1"/>
            </w14:solidFill>
          </w14:textFill>
        </w:rPr>
      </w:pPr>
      <w:r>
        <w:rPr>
          <w:rFonts w:hint="eastAsia" w:hAnsi="宋体" w:cs="宋体"/>
          <w:color w:val="000000" w:themeColor="text1"/>
          <w:sz w:val="24"/>
          <w14:textFill>
            <w14:solidFill>
              <w14:schemeClr w14:val="tx1"/>
            </w14:solidFill>
          </w14:textFill>
        </w:rPr>
        <w:t>8.响应文件中提供的技术、服务、商务等响应承诺情况等都是真实的、有效的、合法的。</w:t>
      </w:r>
    </w:p>
    <w:p>
      <w:pPr>
        <w:pStyle w:val="2"/>
        <w:spacing w:line="240" w:lineRule="auto"/>
        <w:rPr>
          <w:rFonts w:hint="eastAsia" w:ascii="宋体" w:hAnsi="宋体" w:cs="宋体"/>
          <w:color w:val="000000" w:themeColor="text1"/>
          <w:szCs w:val="20"/>
          <w14:textFill>
            <w14:solidFill>
              <w14:schemeClr w14:val="tx1"/>
            </w14:solidFill>
          </w14:textFill>
        </w:rPr>
      </w:pPr>
    </w:p>
    <w:p>
      <w:pPr>
        <w:pStyle w:val="2"/>
        <w:spacing w:line="240" w:lineRule="auto"/>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供应商名称：</w:t>
      </w:r>
      <w:r>
        <w:rPr>
          <w:rFonts w:hint="eastAsia" w:ascii="宋体" w:hAnsi="宋体" w:cs="宋体"/>
          <w:color w:val="000000" w:themeColor="text1"/>
          <w:szCs w:val="20"/>
          <w:u w:val="single"/>
          <w14:textFill>
            <w14:solidFill>
              <w14:schemeClr w14:val="tx1"/>
            </w14:solidFill>
          </w14:textFill>
        </w:rPr>
        <w:t xml:space="preserve">                      </w:t>
      </w:r>
      <w:r>
        <w:rPr>
          <w:rFonts w:hint="eastAsia" w:ascii="宋体" w:hAnsi="宋体" w:cs="宋体"/>
          <w:color w:val="000000" w:themeColor="text1"/>
          <w:szCs w:val="20"/>
          <w14:textFill>
            <w14:solidFill>
              <w14:schemeClr w14:val="tx1"/>
            </w14:solidFill>
          </w14:textFill>
        </w:rPr>
        <w:t xml:space="preserve"> (盖章)</w:t>
      </w:r>
    </w:p>
    <w:p>
      <w:pPr>
        <w:pStyle w:val="2"/>
        <w:spacing w:line="24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法定代表人/单位负责人或授权代表：</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(签字或签章)</w:t>
      </w:r>
    </w:p>
    <w:p>
      <w:pPr>
        <w:pStyle w:val="2"/>
        <w:spacing w:line="240" w:lineRule="auto"/>
        <w:rPr>
          <w:rFonts w:ascii="宋体" w:hAnsi="宋体" w:cs="宋体"/>
          <w:color w:val="000000" w:themeColor="text1"/>
          <w:szCs w:val="20"/>
          <w:u w:val="single"/>
          <w14:textFill>
            <w14:solidFill>
              <w14:schemeClr w14:val="tx1"/>
            </w14:solidFill>
          </w14:textFill>
        </w:rPr>
      </w:pPr>
      <w:r>
        <w:rPr>
          <w:rFonts w:hint="eastAsia" w:ascii="宋体" w:hAnsi="宋体" w:cs="宋体"/>
          <w:color w:val="000000" w:themeColor="text1"/>
          <w:szCs w:val="20"/>
          <w14:textFill>
            <w14:solidFill>
              <w14:schemeClr w14:val="tx1"/>
            </w14:solidFill>
          </w14:textFill>
        </w:rPr>
        <w:t>通讯地址：</w:t>
      </w:r>
      <w:r>
        <w:rPr>
          <w:rFonts w:hint="eastAsia" w:ascii="宋体" w:hAnsi="宋体" w:cs="宋体"/>
          <w:color w:val="000000" w:themeColor="text1"/>
          <w:szCs w:val="20"/>
          <w:u w:val="single"/>
          <w14:textFill>
            <w14:solidFill>
              <w14:schemeClr w14:val="tx1"/>
            </w14:solidFill>
          </w14:textFill>
        </w:rPr>
        <w:t xml:space="preserve">                       </w:t>
      </w:r>
    </w:p>
    <w:p>
      <w:pPr>
        <w:pStyle w:val="2"/>
        <w:spacing w:line="240" w:lineRule="auto"/>
        <w:rPr>
          <w:rFonts w:ascii="宋体" w:hAnsi="宋体" w:cs="宋体"/>
          <w:color w:val="000000" w:themeColor="text1"/>
          <w:szCs w:val="20"/>
          <w:u w:val="single"/>
          <w14:textFill>
            <w14:solidFill>
              <w14:schemeClr w14:val="tx1"/>
            </w14:solidFill>
          </w14:textFill>
        </w:rPr>
      </w:pPr>
      <w:r>
        <w:rPr>
          <w:rFonts w:hint="eastAsia" w:ascii="宋体" w:hAnsi="宋体" w:cs="宋体"/>
          <w:color w:val="000000" w:themeColor="text1"/>
          <w:szCs w:val="20"/>
          <w14:textFill>
            <w14:solidFill>
              <w14:schemeClr w14:val="tx1"/>
            </w14:solidFill>
          </w14:textFill>
        </w:rPr>
        <w:t>邮政编码：</w:t>
      </w:r>
      <w:r>
        <w:rPr>
          <w:rFonts w:hint="eastAsia" w:ascii="宋体" w:hAnsi="宋体" w:cs="宋体"/>
          <w:color w:val="000000" w:themeColor="text1"/>
          <w:szCs w:val="20"/>
          <w:u w:val="single"/>
          <w14:textFill>
            <w14:solidFill>
              <w14:schemeClr w14:val="tx1"/>
            </w14:solidFill>
          </w14:textFill>
        </w:rPr>
        <w:t xml:space="preserve">                       </w:t>
      </w:r>
    </w:p>
    <w:p>
      <w:pPr>
        <w:pStyle w:val="2"/>
        <w:spacing w:line="240" w:lineRule="auto"/>
        <w:rPr>
          <w:rFonts w:ascii="宋体" w:hAnsi="宋体" w:cs="宋体"/>
          <w:color w:val="000000" w:themeColor="text1"/>
          <w:szCs w:val="20"/>
          <w:u w:val="single"/>
          <w14:textFill>
            <w14:solidFill>
              <w14:schemeClr w14:val="tx1"/>
            </w14:solidFill>
          </w14:textFill>
        </w:rPr>
      </w:pPr>
      <w:r>
        <w:rPr>
          <w:rFonts w:hint="eastAsia" w:ascii="宋体" w:hAnsi="宋体" w:cs="宋体"/>
          <w:color w:val="000000" w:themeColor="text1"/>
          <w:szCs w:val="20"/>
          <w14:textFill>
            <w14:solidFill>
              <w14:schemeClr w14:val="tx1"/>
            </w14:solidFill>
          </w14:textFill>
        </w:rPr>
        <w:t>联系电话：</w:t>
      </w:r>
      <w:r>
        <w:rPr>
          <w:rFonts w:hint="eastAsia" w:ascii="宋体" w:hAnsi="宋体" w:cs="宋体"/>
          <w:color w:val="000000" w:themeColor="text1"/>
          <w:szCs w:val="20"/>
          <w:u w:val="single"/>
          <w14:textFill>
            <w14:solidFill>
              <w14:schemeClr w14:val="tx1"/>
            </w14:solidFill>
          </w14:textFill>
        </w:rPr>
        <w:t xml:space="preserve">                       </w:t>
      </w:r>
    </w:p>
    <w:p>
      <w:pPr>
        <w:pStyle w:val="2"/>
        <w:spacing w:line="240" w:lineRule="auto"/>
        <w:rPr>
          <w:rFonts w:ascii="宋体" w:hAnsi="宋体" w:cs="宋体"/>
          <w:color w:val="000000" w:themeColor="text1"/>
          <w:szCs w:val="20"/>
          <w:u w:val="single"/>
          <w14:textFill>
            <w14:solidFill>
              <w14:schemeClr w14:val="tx1"/>
            </w14:solidFill>
          </w14:textFill>
        </w:rPr>
      </w:pPr>
      <w:r>
        <w:rPr>
          <w:rFonts w:hint="eastAsia" w:ascii="宋体" w:hAnsi="宋体" w:cs="宋体"/>
          <w:color w:val="000000" w:themeColor="text1"/>
          <w:szCs w:val="20"/>
          <w14:textFill>
            <w14:solidFill>
              <w14:schemeClr w14:val="tx1"/>
            </w14:solidFill>
          </w14:textFill>
        </w:rPr>
        <w:t>传真：</w:t>
      </w:r>
      <w:r>
        <w:rPr>
          <w:rFonts w:hint="eastAsia" w:ascii="宋体" w:hAnsi="宋体" w:cs="宋体"/>
          <w:color w:val="000000" w:themeColor="text1"/>
          <w:szCs w:val="20"/>
          <w:u w:val="single"/>
          <w14:textFill>
            <w14:solidFill>
              <w14:schemeClr w14:val="tx1"/>
            </w14:solidFill>
          </w14:textFill>
        </w:rPr>
        <w:t xml:space="preserve">                          </w:t>
      </w:r>
      <w:r>
        <w:rPr>
          <w:rFonts w:hint="eastAsia" w:ascii="宋体" w:hAnsi="宋体" w:cs="宋体"/>
          <w:color w:val="000000" w:themeColor="text1"/>
          <w:szCs w:val="20"/>
          <w14:textFill>
            <w14:solidFill>
              <w14:schemeClr w14:val="tx1"/>
            </w14:solidFill>
          </w14:textFill>
        </w:rPr>
        <w:t xml:space="preserve"> </w:t>
      </w:r>
      <w:r>
        <w:rPr>
          <w:rFonts w:ascii="宋体" w:hAnsi="宋体" w:cs="宋体"/>
          <w:color w:val="000000" w:themeColor="text1"/>
          <w:szCs w:val="20"/>
          <w14:textFill>
            <w14:solidFill>
              <w14:schemeClr w14:val="tx1"/>
            </w14:solidFill>
          </w14:textFill>
        </w:rPr>
        <w:t xml:space="preserve">    </w:t>
      </w:r>
      <w:r>
        <w:rPr>
          <w:rFonts w:hint="eastAsia" w:ascii="宋体" w:hAnsi="宋体" w:cs="宋体"/>
          <w:color w:val="000000" w:themeColor="text1"/>
          <w:szCs w:val="20"/>
          <w14:textFill>
            <w14:solidFill>
              <w14:schemeClr w14:val="tx1"/>
            </w14:solidFill>
          </w14:textFill>
        </w:rPr>
        <w:t>日期：</w:t>
      </w:r>
      <w:r>
        <w:rPr>
          <w:rFonts w:hint="eastAsia" w:ascii="宋体" w:hAnsi="宋体" w:cs="宋体"/>
          <w:color w:val="000000" w:themeColor="text1"/>
          <w:szCs w:val="20"/>
          <w:u w:val="single"/>
          <w14:textFill>
            <w14:solidFill>
              <w14:schemeClr w14:val="tx1"/>
            </w14:solidFill>
          </w14:textFill>
        </w:rPr>
        <w:t xml:space="preserve">     </w:t>
      </w:r>
      <w:r>
        <w:rPr>
          <w:rFonts w:hint="eastAsia" w:ascii="宋体" w:hAnsi="宋体" w:cs="宋体"/>
          <w:color w:val="000000" w:themeColor="text1"/>
          <w:szCs w:val="20"/>
          <w14:textFill>
            <w14:solidFill>
              <w14:schemeClr w14:val="tx1"/>
            </w14:solidFill>
          </w14:textFill>
        </w:rPr>
        <w:t>年</w:t>
      </w:r>
      <w:r>
        <w:rPr>
          <w:rFonts w:hint="eastAsia" w:ascii="宋体" w:hAnsi="宋体" w:cs="宋体"/>
          <w:color w:val="000000" w:themeColor="text1"/>
          <w:szCs w:val="20"/>
          <w:u w:val="single"/>
          <w14:textFill>
            <w14:solidFill>
              <w14:schemeClr w14:val="tx1"/>
            </w14:solidFill>
          </w14:textFill>
        </w:rPr>
        <w:t xml:space="preserve">     </w:t>
      </w:r>
      <w:r>
        <w:rPr>
          <w:rFonts w:hint="eastAsia" w:ascii="宋体" w:hAnsi="宋体" w:cs="宋体"/>
          <w:color w:val="000000" w:themeColor="text1"/>
          <w:szCs w:val="20"/>
          <w14:textFill>
            <w14:solidFill>
              <w14:schemeClr w14:val="tx1"/>
            </w14:solidFill>
          </w14:textFill>
        </w:rPr>
        <w:t>月</w:t>
      </w:r>
      <w:r>
        <w:rPr>
          <w:rFonts w:hint="eastAsia" w:ascii="宋体" w:hAnsi="宋体" w:cs="宋体"/>
          <w:color w:val="000000" w:themeColor="text1"/>
          <w:szCs w:val="20"/>
          <w:u w:val="single"/>
          <w14:textFill>
            <w14:solidFill>
              <w14:schemeClr w14:val="tx1"/>
            </w14:solidFill>
          </w14:textFill>
        </w:rPr>
        <w:t xml:space="preserve">      </w:t>
      </w:r>
      <w:r>
        <w:rPr>
          <w:rFonts w:hint="eastAsia" w:ascii="宋体" w:hAnsi="宋体" w:cs="宋体"/>
          <w:color w:val="000000" w:themeColor="text1"/>
          <w:szCs w:val="20"/>
          <w14:textFill>
            <w14:solidFill>
              <w14:schemeClr w14:val="tx1"/>
            </w14:solidFill>
          </w14:textFill>
        </w:rPr>
        <w:t>日</w:t>
      </w:r>
    </w:p>
    <w:p>
      <w:pPr>
        <w:pStyle w:val="4"/>
        <w:jc w:val="center"/>
        <w:rPr>
          <w:rFonts w:ascii="宋体" w:hAnsi="宋体" w:eastAsia="宋体" w:cs="宋体"/>
          <w:bCs w:val="0"/>
          <w:color w:val="000000" w:themeColor="text1"/>
          <w:sz w:val="28"/>
          <w:szCs w:val="28"/>
          <w14:textFill>
            <w14:solidFill>
              <w14:schemeClr w14:val="tx1"/>
            </w14:solidFill>
          </w14:textFill>
        </w:rPr>
      </w:pPr>
      <w:r>
        <w:rPr>
          <w:rFonts w:ascii="宋体" w:hAnsi="宋体" w:eastAsia="宋体" w:cs="宋体"/>
          <w:b w:val="0"/>
          <w:bCs w:val="0"/>
          <w:color w:val="000000" w:themeColor="text1"/>
          <w:sz w:val="28"/>
          <w:szCs w:val="28"/>
          <w14:textFill>
            <w14:solidFill>
              <w14:schemeClr w14:val="tx1"/>
            </w14:solidFill>
          </w14:textFill>
        </w:rPr>
        <w:br w:type="page"/>
      </w:r>
      <w:r>
        <w:rPr>
          <w:rFonts w:hint="eastAsia" w:ascii="宋体" w:hAnsi="宋体" w:eastAsia="宋体" w:cs="宋体"/>
          <w:bCs w:val="0"/>
          <w:color w:val="000000" w:themeColor="text1"/>
          <w:sz w:val="30"/>
          <w:szCs w:val="30"/>
          <w14:textFill>
            <w14:solidFill>
              <w14:schemeClr w14:val="tx1"/>
            </w14:solidFill>
          </w14:textFill>
        </w:rPr>
        <w:t>二、实质性要求承诺函</w:t>
      </w:r>
    </w:p>
    <w:p>
      <w:pPr>
        <w:pStyle w:val="86"/>
        <w:spacing w:line="520" w:lineRule="exact"/>
        <w:ind w:firstLine="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u w:val="single"/>
          <w:lang w:val="en-US" w:eastAsia="zh-CN"/>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(采购代理机构名称)：</w:t>
      </w:r>
    </w:p>
    <w:p>
      <w:pPr>
        <w:pStyle w:val="86"/>
        <w:spacing w:line="520" w:lineRule="exact"/>
        <w:ind w:firstLine="420" w:firstLineChars="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我方作为本次采购项目的供应商，根据磋商文件要求，现郑重承诺及声明如下：</w:t>
      </w:r>
    </w:p>
    <w:p>
      <w:pPr>
        <w:pStyle w:val="86"/>
        <w:spacing w:line="520" w:lineRule="exact"/>
        <w:ind w:firstLine="420" w:firstLineChars="0"/>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1.</w:t>
      </w:r>
      <w:r>
        <w:rPr>
          <w:rFonts w:hint="eastAsia" w:hAnsi="宋体" w:cs="宋体"/>
          <w:color w:val="000000" w:themeColor="text1"/>
          <w:sz w:val="24"/>
          <w:szCs w:val="24"/>
          <w14:textFill>
            <w14:solidFill>
              <w14:schemeClr w14:val="tx1"/>
            </w14:solidFill>
          </w14:textFill>
        </w:rPr>
        <w:t>我方已认真阅读并接受本项目磋商文件的全部实质性要求。</w:t>
      </w:r>
    </w:p>
    <w:p>
      <w:pPr>
        <w:pStyle w:val="86"/>
        <w:spacing w:line="520" w:lineRule="exact"/>
        <w:ind w:firstLine="480"/>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2.</w:t>
      </w:r>
      <w:r>
        <w:rPr>
          <w:rFonts w:hint="eastAsia" w:hAnsi="宋体" w:cs="宋体"/>
          <w:color w:val="000000" w:themeColor="text1"/>
          <w:sz w:val="24"/>
          <w14:textFill>
            <w14:solidFill>
              <w14:schemeClr w14:val="tx1"/>
            </w14:solidFill>
          </w14:textFill>
        </w:rPr>
        <w:t>我方参加本次采购活动，不存在与单位负责人为同一人或者存在直接控股、管理关系的其他供应商参与同一合同项下的政府采购活动的行为。与我方存在直接控股关系的单位为：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；存在管理关系的单位为：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w:t>
      </w:r>
      <w:r>
        <w:rPr>
          <w:rFonts w:hAnsi="宋体" w:cs="宋体"/>
          <w:color w:val="000000" w:themeColor="text1"/>
          <w:sz w:val="24"/>
          <w14:textFill>
            <w14:solidFill>
              <w14:schemeClr w14:val="tx1"/>
            </w14:solidFill>
          </w14:textFill>
        </w:rPr>
        <w:t>(</w:t>
      </w:r>
      <w:r>
        <w:rPr>
          <w:rFonts w:hint="eastAsia" w:hAnsi="宋体" w:cs="宋体"/>
          <w:color w:val="000000" w:themeColor="text1"/>
          <w:sz w:val="24"/>
          <w14:textFill>
            <w14:solidFill>
              <w14:schemeClr w14:val="tx1"/>
            </w14:solidFill>
          </w14:textFill>
        </w:rPr>
        <w:t>如不存在直接控股、管理关系的相关供应商填“无”</w:t>
      </w:r>
      <w:r>
        <w:rPr>
          <w:rFonts w:hAnsi="宋体" w:cs="宋体"/>
          <w:color w:val="000000" w:themeColor="text1"/>
          <w:sz w:val="24"/>
          <w14:textFill>
            <w14:solidFill>
              <w14:schemeClr w14:val="tx1"/>
            </w14:solidFill>
          </w14:textFill>
        </w:rPr>
        <w:t>)</w:t>
      </w:r>
      <w:r>
        <w:rPr>
          <w:rFonts w:hint="eastAsia" w:hAnsi="宋体" w:cs="宋体"/>
          <w:color w:val="000000" w:themeColor="text1"/>
          <w:sz w:val="24"/>
          <w14:textFill>
            <w14:solidFill>
              <w14:schemeClr w14:val="tx1"/>
            </w14:solidFill>
          </w14:textFill>
        </w:rPr>
        <w:t>。</w:t>
      </w:r>
    </w:p>
    <w:p>
      <w:pPr>
        <w:pStyle w:val="86"/>
        <w:spacing w:line="520" w:lineRule="exact"/>
        <w:ind w:firstLine="480"/>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3.</w:t>
      </w:r>
      <w:r>
        <w:rPr>
          <w:rFonts w:hint="eastAsia" w:hAnsi="宋体" w:cs="宋体"/>
          <w:color w:val="000000" w:themeColor="text1"/>
          <w:sz w:val="24"/>
          <w14:textFill>
            <w14:solidFill>
              <w14:schemeClr w14:val="tx1"/>
            </w14:solidFill>
          </w14:textFill>
        </w:rPr>
        <w:t>我方参加本次采购活动前本单位未对本次采购项目提供过整体设计、规范编制或者项目管理、监理、检测等服务。</w:t>
      </w:r>
    </w:p>
    <w:p>
      <w:pPr>
        <w:pStyle w:val="86"/>
        <w:spacing w:line="520" w:lineRule="exact"/>
        <w:ind w:firstLine="480"/>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4.</w:t>
      </w:r>
      <w:r>
        <w:rPr>
          <w:rFonts w:hint="eastAsia" w:hAnsi="宋体" w:cs="宋体"/>
          <w:color w:val="000000" w:themeColor="text1"/>
          <w:sz w:val="24"/>
          <w14:textFill>
            <w14:solidFill>
              <w14:schemeClr w14:val="tx1"/>
            </w14:solidFill>
          </w14:textFill>
        </w:rPr>
        <w:t>我方参加本次采购活动，不存在我单位实际控制人或者中高级管理人员是本项目采购代理机构的工作人员的情形。</w:t>
      </w:r>
    </w:p>
    <w:p>
      <w:pPr>
        <w:pStyle w:val="86"/>
        <w:spacing w:line="520" w:lineRule="exact"/>
        <w:ind w:firstLine="480"/>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5.</w:t>
      </w:r>
      <w:r>
        <w:rPr>
          <w:rFonts w:hint="eastAsia" w:hAnsi="宋体" w:cs="宋体"/>
          <w:color w:val="000000" w:themeColor="text1"/>
          <w:sz w:val="24"/>
          <w14:textFill>
            <w14:solidFill>
              <w14:schemeClr w14:val="tx1"/>
            </w14:solidFill>
          </w14:textFill>
        </w:rPr>
        <w:t>我方参加本次采购活动，不存在同一母公司的两家以上的子公司以不同供应商身份同时参加本项目同一合同项下的采购活动的情形。</w:t>
      </w:r>
    </w:p>
    <w:p>
      <w:pPr>
        <w:pStyle w:val="86"/>
        <w:spacing w:line="520" w:lineRule="exact"/>
        <w:ind w:firstLine="480"/>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6.</w:t>
      </w:r>
      <w:r>
        <w:rPr>
          <w:rFonts w:hint="eastAsia" w:hAnsi="宋体" w:cs="宋体"/>
          <w:color w:val="000000" w:themeColor="text1"/>
          <w:sz w:val="24"/>
          <w14:textFill>
            <w14:solidFill>
              <w14:schemeClr w14:val="tx1"/>
            </w14:solidFill>
          </w14:textFill>
        </w:rPr>
        <w:t>我方参加本次采购活动，与采购代理机构不存在关联关系，不为采购代理机构的母公司或子公司。</w:t>
      </w:r>
    </w:p>
    <w:p>
      <w:pPr>
        <w:pStyle w:val="86"/>
        <w:spacing w:line="520" w:lineRule="exact"/>
        <w:ind w:firstLine="480"/>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7.</w:t>
      </w:r>
      <w:r>
        <w:rPr>
          <w:rFonts w:hint="eastAsia" w:hAnsi="宋体" w:cs="宋体"/>
          <w:color w:val="000000" w:themeColor="text1"/>
          <w:sz w:val="24"/>
          <w14:textFill>
            <w14:solidFill>
              <w14:schemeClr w14:val="tx1"/>
            </w14:solidFill>
          </w14:textFill>
        </w:rPr>
        <w:t>我方参加本次采购活动，不存在和其他供应商在同一合同项下的采购项目中，同时委托同一个自然人、同一家庭的人员、同一单位的人员作为代理人的行为。</w:t>
      </w:r>
    </w:p>
    <w:p>
      <w:pPr>
        <w:pStyle w:val="86"/>
        <w:spacing w:line="520" w:lineRule="exact"/>
        <w:ind w:firstLine="480"/>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8.</w:t>
      </w:r>
      <w:r>
        <w:rPr>
          <w:rFonts w:hint="eastAsia" w:hAnsi="宋体" w:cs="宋体"/>
          <w:color w:val="000000" w:themeColor="text1"/>
          <w:sz w:val="24"/>
          <w14:textFill>
            <w14:solidFill>
              <w14:schemeClr w14:val="tx1"/>
            </w14:solidFill>
          </w14:textFill>
        </w:rPr>
        <w:t>如有记入诚信档案的失信行为，将在响应文件中全面如实反映。</w:t>
      </w:r>
    </w:p>
    <w:p>
      <w:pPr>
        <w:pStyle w:val="86"/>
        <w:spacing w:line="520" w:lineRule="exact"/>
        <w:ind w:firstLine="480"/>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9.</w:t>
      </w:r>
      <w:r>
        <w:rPr>
          <w:rFonts w:hint="eastAsia" w:hAnsi="宋体" w:cs="宋体"/>
          <w:color w:val="000000" w:themeColor="text1"/>
          <w:sz w:val="24"/>
          <w14:textFill>
            <w14:solidFill>
              <w14:schemeClr w14:val="tx1"/>
            </w14:solidFill>
          </w14:textFill>
        </w:rPr>
        <w:t>我方响应文件中提供的任何资料和技术、服务、商务等响应承诺情况都是真实的、有效的、合法的。</w:t>
      </w:r>
    </w:p>
    <w:p>
      <w:pPr>
        <w:pStyle w:val="86"/>
        <w:spacing w:line="520" w:lineRule="exact"/>
        <w:ind w:firstLine="480"/>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10.</w:t>
      </w:r>
      <w:r>
        <w:rPr>
          <w:rFonts w:hint="eastAsia" w:hAnsi="宋体" w:cs="宋体"/>
          <w:color w:val="000000" w:themeColor="text1"/>
          <w:sz w:val="24"/>
          <w14:textFill>
            <w14:solidFill>
              <w14:schemeClr w14:val="tx1"/>
            </w14:solidFill>
          </w14:textFill>
        </w:rPr>
        <w:t>我方参加本次采购活动，我方完全同意磋商文件中关于“磋商费用”、“合同分包”、“合同转包”等实质性要求，并承诺严格按照磋商文件要求履行。</w:t>
      </w:r>
    </w:p>
    <w:p>
      <w:pPr>
        <w:pStyle w:val="86"/>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11.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报价中已包括合法获取该知识产权的相关费用。</w:t>
      </w:r>
    </w:p>
    <w:p>
      <w:pPr>
        <w:pStyle w:val="86"/>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12.国家或行业主管部门对采购产品的技术标准、质量标准和资格资质条件等有强制性规定的，我方承诺符合其要求。</w:t>
      </w:r>
    </w:p>
    <w:p>
      <w:pPr>
        <w:pStyle w:val="86"/>
        <w:spacing w:line="520" w:lineRule="exact"/>
        <w:ind w:firstLine="48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本公司对上述承诺的内容事项真实性、合法性负责。如经查实上述承诺的内容事项存在虚假，我公司自愿接受以提供虚假材料谋取成交所带来的所有法律责任。</w:t>
      </w:r>
    </w:p>
    <w:p>
      <w:pPr>
        <w:pStyle w:val="86"/>
        <w:spacing w:line="520" w:lineRule="exact"/>
        <w:ind w:firstLine="480"/>
        <w:rPr>
          <w:rFonts w:hAnsi="宋体" w:cs="宋体"/>
          <w:color w:val="000000" w:themeColor="text1"/>
          <w:sz w:val="24"/>
          <w14:textFill>
            <w14:solidFill>
              <w14:schemeClr w14:val="tx1"/>
            </w14:solidFill>
          </w14:textFill>
        </w:rPr>
      </w:pPr>
    </w:p>
    <w:p>
      <w:pPr>
        <w:pStyle w:val="86"/>
        <w:spacing w:line="520" w:lineRule="exact"/>
        <w:ind w:firstLine="480"/>
        <w:rPr>
          <w:rFonts w:hAnsi="宋体" w:cs="宋体"/>
          <w:color w:val="000000" w:themeColor="text1"/>
          <w:sz w:val="24"/>
          <w14:textFill>
            <w14:solidFill>
              <w14:schemeClr w14:val="tx1"/>
            </w14:solidFill>
          </w14:textFill>
        </w:rPr>
      </w:pPr>
    </w:p>
    <w:p>
      <w:pPr>
        <w:pStyle w:val="86"/>
        <w:spacing w:line="640" w:lineRule="exact"/>
        <w:ind w:firstLine="199" w:firstLineChars="83"/>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供应商名称：</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(盖章)</w:t>
      </w:r>
    </w:p>
    <w:p>
      <w:pPr>
        <w:pStyle w:val="86"/>
        <w:spacing w:line="640" w:lineRule="exact"/>
        <w:ind w:firstLine="199" w:firstLineChars="83"/>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法定代表人/单位负责人或授权代表：</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(签字或签章)</w:t>
      </w:r>
    </w:p>
    <w:p>
      <w:pPr>
        <w:pStyle w:val="86"/>
        <w:spacing w:line="640" w:lineRule="exact"/>
        <w:ind w:firstLine="199" w:firstLineChars="83"/>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日  期：</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年</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月</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日</w:t>
      </w:r>
    </w:p>
    <w:p>
      <w:pPr>
        <w:autoSpaceDE w:val="0"/>
        <w:autoSpaceDN w:val="0"/>
        <w:adjustRightInd w:val="0"/>
        <w:rPr>
          <w:rFonts w:hAnsi="宋体" w:cs="宋体"/>
          <w:b/>
          <w:bCs/>
          <w:color w:val="000000" w:themeColor="text1"/>
          <w:sz w:val="28"/>
          <w:szCs w:val="28"/>
          <w14:textFill>
            <w14:solidFill>
              <w14:schemeClr w14:val="tx1"/>
            </w14:solidFill>
          </w14:textFill>
        </w:rPr>
      </w:pPr>
    </w:p>
    <w:p>
      <w:pPr>
        <w:pStyle w:val="4"/>
        <w:jc w:val="center"/>
        <w:rPr>
          <w:rFonts w:ascii="宋体" w:hAnsi="宋体" w:eastAsia="宋体" w:cs="宋体"/>
          <w:bCs w:val="0"/>
          <w:color w:val="000000" w:themeColor="text1"/>
          <w:sz w:val="28"/>
          <w:szCs w:val="28"/>
          <w14:textFill>
            <w14:solidFill>
              <w14:schemeClr w14:val="tx1"/>
            </w14:solidFill>
          </w14:textFill>
        </w:rPr>
      </w:pPr>
      <w:bookmarkStart w:id="148" w:name="BookMK74"/>
      <w:r>
        <w:rPr>
          <w:rFonts w:hint="eastAsia" w:ascii="宋体" w:hAnsi="宋体" w:eastAsia="宋体" w:cs="宋体"/>
          <w:bCs w:val="0"/>
          <w:color w:val="000000" w:themeColor="text1"/>
          <w:sz w:val="28"/>
          <w:szCs w:val="28"/>
          <w14:textFill>
            <w14:solidFill>
              <w14:schemeClr w14:val="tx1"/>
            </w14:solidFill>
          </w14:textFill>
        </w:rPr>
        <w:br w:type="page"/>
      </w:r>
      <w:r>
        <w:rPr>
          <w:rFonts w:hint="eastAsia" w:ascii="宋体" w:hAnsi="宋体" w:eastAsia="宋体" w:cs="宋体"/>
          <w:bCs w:val="0"/>
          <w:color w:val="000000" w:themeColor="text1"/>
          <w:sz w:val="28"/>
          <w:szCs w:val="28"/>
          <w14:textFill>
            <w14:solidFill>
              <w14:schemeClr w14:val="tx1"/>
            </w14:solidFill>
          </w14:textFill>
        </w:rPr>
        <w:t>三、供应商基本情况表</w:t>
      </w:r>
    </w:p>
    <w:bookmarkEnd w:id="148"/>
    <w:tbl>
      <w:tblPr>
        <w:tblStyle w:val="3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62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供应商名称</w:t>
            </w:r>
          </w:p>
        </w:tc>
        <w:tc>
          <w:tcPr>
            <w:tcW w:w="7560" w:type="dxa"/>
            <w:gridSpan w:val="11"/>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2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注册地址</w:t>
            </w:r>
          </w:p>
        </w:tc>
        <w:tc>
          <w:tcPr>
            <w:tcW w:w="4680" w:type="dxa"/>
            <w:gridSpan w:val="6"/>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26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邮政编码</w:t>
            </w:r>
          </w:p>
        </w:tc>
        <w:tc>
          <w:tcPr>
            <w:tcW w:w="1620" w:type="dxa"/>
            <w:gridSpan w:val="2"/>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1620" w:type="dxa"/>
            <w:vMerge w:val="restart"/>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联系方式</w:t>
            </w:r>
          </w:p>
        </w:tc>
        <w:tc>
          <w:tcPr>
            <w:tcW w:w="108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联系人</w:t>
            </w:r>
          </w:p>
        </w:tc>
        <w:tc>
          <w:tcPr>
            <w:tcW w:w="3600" w:type="dxa"/>
            <w:gridSpan w:val="5"/>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26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联系电话</w:t>
            </w:r>
          </w:p>
        </w:tc>
        <w:tc>
          <w:tcPr>
            <w:tcW w:w="1620" w:type="dxa"/>
            <w:gridSpan w:val="2"/>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1620" w:type="dxa"/>
            <w:vMerge w:val="continue"/>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08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传真</w:t>
            </w:r>
          </w:p>
        </w:tc>
        <w:tc>
          <w:tcPr>
            <w:tcW w:w="3600" w:type="dxa"/>
            <w:gridSpan w:val="5"/>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26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网址</w:t>
            </w:r>
          </w:p>
        </w:tc>
        <w:tc>
          <w:tcPr>
            <w:tcW w:w="1620" w:type="dxa"/>
            <w:gridSpan w:val="2"/>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162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组织结构</w:t>
            </w:r>
          </w:p>
        </w:tc>
        <w:tc>
          <w:tcPr>
            <w:tcW w:w="7560" w:type="dxa"/>
            <w:gridSpan w:val="11"/>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62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法定代表人</w:t>
            </w:r>
          </w:p>
        </w:tc>
        <w:tc>
          <w:tcPr>
            <w:tcW w:w="1260" w:type="dxa"/>
            <w:gridSpan w:val="2"/>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姓名</w:t>
            </w:r>
          </w:p>
        </w:tc>
        <w:tc>
          <w:tcPr>
            <w:tcW w:w="1260" w:type="dxa"/>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26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技术职称</w:t>
            </w:r>
          </w:p>
        </w:tc>
        <w:tc>
          <w:tcPr>
            <w:tcW w:w="126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26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联系电话</w:t>
            </w:r>
          </w:p>
        </w:tc>
        <w:tc>
          <w:tcPr>
            <w:tcW w:w="1260" w:type="dxa"/>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5" w:hRule="exact"/>
          <w:jc w:val="center"/>
        </w:trPr>
        <w:tc>
          <w:tcPr>
            <w:tcW w:w="162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技术负责人</w:t>
            </w:r>
          </w:p>
        </w:tc>
        <w:tc>
          <w:tcPr>
            <w:tcW w:w="1260" w:type="dxa"/>
            <w:gridSpan w:val="2"/>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姓名</w:t>
            </w:r>
          </w:p>
        </w:tc>
        <w:tc>
          <w:tcPr>
            <w:tcW w:w="1260" w:type="dxa"/>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26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技术职称</w:t>
            </w:r>
          </w:p>
        </w:tc>
        <w:tc>
          <w:tcPr>
            <w:tcW w:w="126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26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联系电话</w:t>
            </w:r>
          </w:p>
        </w:tc>
        <w:tc>
          <w:tcPr>
            <w:tcW w:w="1260" w:type="dxa"/>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162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成立时间</w:t>
            </w:r>
          </w:p>
        </w:tc>
        <w:tc>
          <w:tcPr>
            <w:tcW w:w="252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5040" w:type="dxa"/>
            <w:gridSpan w:val="8"/>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620" w:type="dxa"/>
            <w:vAlign w:val="center"/>
          </w:tcPr>
          <w:p>
            <w:pPr>
              <w:spacing w:line="440" w:lineRule="exact"/>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企业资质</w:t>
            </w:r>
          </w:p>
          <w:p>
            <w:pPr>
              <w:spacing w:line="440" w:lineRule="exact"/>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等级</w:t>
            </w:r>
          </w:p>
        </w:tc>
        <w:tc>
          <w:tcPr>
            <w:tcW w:w="252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680" w:type="dxa"/>
            <w:gridSpan w:val="2"/>
            <w:vMerge w:val="restart"/>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其中</w:t>
            </w:r>
          </w:p>
        </w:tc>
        <w:tc>
          <w:tcPr>
            <w:tcW w:w="168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项目经理</w:t>
            </w:r>
          </w:p>
        </w:tc>
        <w:tc>
          <w:tcPr>
            <w:tcW w:w="168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162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营业执照</w:t>
            </w:r>
            <w:r>
              <w:rPr>
                <w:rFonts w:hint="eastAsia" w:hAnsi="宋体" w:cs="宋体"/>
                <w:color w:val="000000" w:themeColor="text1"/>
                <w:sz w:val="24"/>
                <w:szCs w:val="24"/>
                <w14:textFill>
                  <w14:solidFill>
                    <w14:schemeClr w14:val="tx1"/>
                  </w14:solidFill>
                </w14:textFill>
              </w:rPr>
              <w:t>号</w:t>
            </w:r>
          </w:p>
        </w:tc>
        <w:tc>
          <w:tcPr>
            <w:tcW w:w="252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680" w:type="dxa"/>
            <w:gridSpan w:val="2"/>
            <w:vMerge w:val="continue"/>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68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高级职称人员</w:t>
            </w:r>
          </w:p>
        </w:tc>
        <w:tc>
          <w:tcPr>
            <w:tcW w:w="168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162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注册资金</w:t>
            </w:r>
          </w:p>
        </w:tc>
        <w:tc>
          <w:tcPr>
            <w:tcW w:w="252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680" w:type="dxa"/>
            <w:gridSpan w:val="2"/>
            <w:vMerge w:val="continue"/>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68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中级职称人员</w:t>
            </w:r>
          </w:p>
        </w:tc>
        <w:tc>
          <w:tcPr>
            <w:tcW w:w="168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162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开户银行</w:t>
            </w:r>
          </w:p>
        </w:tc>
        <w:tc>
          <w:tcPr>
            <w:tcW w:w="252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680" w:type="dxa"/>
            <w:gridSpan w:val="2"/>
            <w:vMerge w:val="continue"/>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68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初级职称人员</w:t>
            </w:r>
          </w:p>
        </w:tc>
        <w:tc>
          <w:tcPr>
            <w:tcW w:w="168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62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账号</w:t>
            </w:r>
          </w:p>
        </w:tc>
        <w:tc>
          <w:tcPr>
            <w:tcW w:w="252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680" w:type="dxa"/>
            <w:gridSpan w:val="2"/>
            <w:vMerge w:val="continue"/>
            <w:vAlign w:val="center"/>
          </w:tcPr>
          <w:p>
            <w:pPr>
              <w:spacing w:line="360" w:lineRule="auto"/>
              <w:jc w:val="center"/>
              <w:rPr>
                <w:rFonts w:hAnsi="宋体" w:cs="宋体"/>
                <w:bCs/>
                <w:color w:val="000000" w:themeColor="text1"/>
                <w:sz w:val="24"/>
                <w:szCs w:val="24"/>
                <w14:textFill>
                  <w14:solidFill>
                    <w14:schemeClr w14:val="tx1"/>
                  </w14:solidFill>
                </w14:textFill>
              </w:rPr>
            </w:pPr>
          </w:p>
        </w:tc>
        <w:tc>
          <w:tcPr>
            <w:tcW w:w="168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技工</w:t>
            </w:r>
          </w:p>
        </w:tc>
        <w:tc>
          <w:tcPr>
            <w:tcW w:w="1680" w:type="dxa"/>
            <w:gridSpan w:val="3"/>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jc w:val="center"/>
        </w:trPr>
        <w:tc>
          <w:tcPr>
            <w:tcW w:w="162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经营范围</w:t>
            </w:r>
          </w:p>
        </w:tc>
        <w:tc>
          <w:tcPr>
            <w:tcW w:w="7560" w:type="dxa"/>
            <w:gridSpan w:val="11"/>
            <w:vAlign w:val="center"/>
          </w:tcPr>
          <w:p>
            <w:pPr>
              <w:spacing w:line="360" w:lineRule="auto"/>
              <w:jc w:val="center"/>
              <w:rPr>
                <w:rFonts w:hAnsi="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1620" w:type="dxa"/>
            <w:vAlign w:val="center"/>
          </w:tcPr>
          <w:p>
            <w:pPr>
              <w:spacing w:line="360" w:lineRule="auto"/>
              <w:jc w:val="center"/>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备注</w:t>
            </w:r>
          </w:p>
        </w:tc>
        <w:tc>
          <w:tcPr>
            <w:tcW w:w="7560" w:type="dxa"/>
            <w:gridSpan w:val="11"/>
            <w:vAlign w:val="center"/>
          </w:tcPr>
          <w:p>
            <w:pPr>
              <w:spacing w:line="360" w:lineRule="auto"/>
              <w:jc w:val="center"/>
              <w:rPr>
                <w:rFonts w:hAnsi="宋体" w:cs="宋体"/>
                <w:bCs/>
                <w:color w:val="000000" w:themeColor="text1"/>
                <w:sz w:val="24"/>
                <w:szCs w:val="24"/>
                <w14:textFill>
                  <w14:solidFill>
                    <w14:schemeClr w14:val="tx1"/>
                  </w14:solidFill>
                </w14:textFill>
              </w:rPr>
            </w:pPr>
          </w:p>
        </w:tc>
      </w:tr>
    </w:tbl>
    <w:p>
      <w:pPr>
        <w:autoSpaceDE w:val="0"/>
        <w:autoSpaceDN w:val="0"/>
        <w:adjustRightInd w:val="0"/>
        <w:spacing w:line="520" w:lineRule="exact"/>
        <w:jc w:val="left"/>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注：1、其他组织及自然人磋商根据实际情况据实填写此表，若未填报完善不影响磋商资质及效力。2、空白项用“/”填写。</w:t>
      </w:r>
    </w:p>
    <w:p>
      <w:pPr>
        <w:pStyle w:val="86"/>
        <w:spacing w:line="640" w:lineRule="exact"/>
        <w:ind w:firstLine="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供应商名称：</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(盖章)</w:t>
      </w:r>
    </w:p>
    <w:p>
      <w:pPr>
        <w:pStyle w:val="86"/>
        <w:spacing w:line="640" w:lineRule="exact"/>
        <w:ind w:firstLine="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法定代表人/单位负责人或授权代表：</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(签字或签章)</w:t>
      </w:r>
    </w:p>
    <w:p>
      <w:pPr>
        <w:pStyle w:val="86"/>
        <w:spacing w:line="640" w:lineRule="exact"/>
        <w:ind w:firstLine="0" w:firstLineChars="0"/>
        <w:rPr>
          <w:rFonts w:ascii="宋体" w:hAnsi="宋体" w:cs="宋体"/>
          <w:color w:val="000000" w:themeColor="text1"/>
          <w:sz w:val="28"/>
          <w:szCs w:val="28"/>
          <w14:textFill>
            <w14:solidFill>
              <w14:schemeClr w14:val="tx1"/>
            </w14:solidFill>
          </w14:textFill>
        </w:rPr>
      </w:pPr>
      <w:r>
        <w:rPr>
          <w:rFonts w:hint="eastAsia" w:hAnsi="宋体" w:cs="宋体"/>
          <w:color w:val="000000" w:themeColor="text1"/>
          <w:sz w:val="24"/>
          <w14:textFill>
            <w14:solidFill>
              <w14:schemeClr w14:val="tx1"/>
            </w14:solidFill>
          </w14:textFill>
        </w:rPr>
        <w:t>日  期:</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年</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月</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日</w:t>
      </w:r>
    </w:p>
    <w:p>
      <w:pPr>
        <w:pStyle w:val="2"/>
        <w:jc w:val="center"/>
        <w:outlineLvl w:val="1"/>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四、首次报价表</w:t>
      </w:r>
    </w:p>
    <w:p>
      <w:pPr>
        <w:spacing w:line="360" w:lineRule="auto"/>
        <w:ind w:right="2108" w:rightChars="620"/>
        <w:rPr>
          <w:rFonts w:hAnsi="宋体" w:cs="宋体"/>
          <w:color w:val="000000" w:themeColor="text1"/>
          <w:sz w:val="24"/>
          <w:u w:val="single"/>
          <w14:textFill>
            <w14:solidFill>
              <w14:schemeClr w14:val="tx1"/>
            </w14:solidFill>
          </w14:textFill>
        </w:rPr>
      </w:pPr>
      <w:r>
        <w:rPr>
          <w:rFonts w:hint="eastAsia" w:hAnsi="宋体" w:cs="宋体"/>
          <w:color w:val="000000" w:themeColor="text1"/>
          <w:sz w:val="24"/>
          <w14:textFill>
            <w14:solidFill>
              <w14:schemeClr w14:val="tx1"/>
            </w14:solidFill>
          </w14:textFill>
        </w:rPr>
        <w:t>项目名称：</w:t>
      </w:r>
      <w:r>
        <w:rPr>
          <w:rFonts w:hint="eastAsia" w:hAnsi="宋体" w:cs="宋体"/>
          <w:color w:val="000000" w:themeColor="text1"/>
          <w:sz w:val="24"/>
          <w:u w:val="single"/>
          <w14:textFill>
            <w14:solidFill>
              <w14:schemeClr w14:val="tx1"/>
            </w14:solidFill>
          </w14:textFill>
        </w:rPr>
        <w:t xml:space="preserve">                          </w:t>
      </w:r>
    </w:p>
    <w:p>
      <w:pPr>
        <w:spacing w:line="360" w:lineRule="auto"/>
        <w:ind w:right="2108" w:rightChars="620"/>
        <w:rPr>
          <w:rFonts w:hAnsi="宋体" w:cs="宋体"/>
          <w:color w:val="000000" w:themeColor="text1"/>
          <w:sz w:val="24"/>
          <w:u w:val="single"/>
          <w14:textFill>
            <w14:solidFill>
              <w14:schemeClr w14:val="tx1"/>
            </w14:solidFill>
          </w14:textFill>
        </w:rPr>
      </w:pPr>
      <w:r>
        <w:rPr>
          <w:rFonts w:hint="eastAsia" w:hAnsi="宋体" w:cs="宋体"/>
          <w:color w:val="000000" w:themeColor="text1"/>
          <w:sz w:val="24"/>
          <w14:textFill>
            <w14:solidFill>
              <w14:schemeClr w14:val="tx1"/>
            </w14:solidFill>
          </w14:textFill>
        </w:rPr>
        <w:t>项目编号：</w:t>
      </w:r>
      <w:r>
        <w:rPr>
          <w:rFonts w:hint="eastAsia" w:hAnsi="宋体" w:cs="宋体"/>
          <w:color w:val="000000" w:themeColor="text1"/>
          <w:sz w:val="24"/>
          <w:u w:val="single"/>
          <w14:textFill>
            <w14:solidFill>
              <w14:schemeClr w14:val="tx1"/>
            </w14:solidFill>
          </w14:textFill>
        </w:rPr>
        <w:t xml:space="preserve">                          </w:t>
      </w:r>
    </w:p>
    <w:tbl>
      <w:tblPr>
        <w:tblStyle w:val="32"/>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3523"/>
        <w:gridCol w:w="4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853" w:type="dxa"/>
            <w:vAlign w:val="center"/>
          </w:tcPr>
          <w:p>
            <w:pPr>
              <w:jc w:val="center"/>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序号</w:t>
            </w:r>
          </w:p>
        </w:tc>
        <w:tc>
          <w:tcPr>
            <w:tcW w:w="3523" w:type="dxa"/>
            <w:vAlign w:val="center"/>
          </w:tcPr>
          <w:p>
            <w:pPr>
              <w:jc w:val="center"/>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服务内容</w:t>
            </w:r>
          </w:p>
        </w:tc>
        <w:tc>
          <w:tcPr>
            <w:tcW w:w="4756" w:type="dxa"/>
            <w:vAlign w:val="center"/>
          </w:tcPr>
          <w:p>
            <w:pPr>
              <w:jc w:val="center"/>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853" w:type="dxa"/>
            <w:vAlign w:val="center"/>
          </w:tcPr>
          <w:p>
            <w:pPr>
              <w:jc w:val="center"/>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1</w:t>
            </w:r>
          </w:p>
        </w:tc>
        <w:tc>
          <w:tcPr>
            <w:tcW w:w="3523" w:type="dxa"/>
            <w:vAlign w:val="center"/>
          </w:tcPr>
          <w:p>
            <w:pPr>
              <w:jc w:val="center"/>
              <w:rPr>
                <w:rFonts w:hAnsi="宋体" w:cs="宋体"/>
                <w:color w:val="000000" w:themeColor="text1"/>
                <w:sz w:val="24"/>
                <w:szCs w:val="22"/>
                <w14:textFill>
                  <w14:solidFill>
                    <w14:schemeClr w14:val="tx1"/>
                  </w14:solidFill>
                </w14:textFill>
              </w:rPr>
            </w:pPr>
          </w:p>
        </w:tc>
        <w:tc>
          <w:tcPr>
            <w:tcW w:w="4756" w:type="dxa"/>
            <w:vAlign w:val="center"/>
          </w:tcPr>
          <w:p>
            <w:pPr>
              <w:spacing w:line="480" w:lineRule="auto"/>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小写：</w:t>
            </w:r>
            <w:r>
              <w:rPr>
                <w:rFonts w:hint="eastAsia" w:hAnsi="宋体" w:cs="宋体"/>
                <w:color w:val="000000" w:themeColor="text1"/>
                <w:sz w:val="24"/>
                <w:szCs w:val="22"/>
                <w:u w:val="single"/>
                <w14:textFill>
                  <w14:solidFill>
                    <w14:schemeClr w14:val="tx1"/>
                  </w14:solidFill>
                </w14:textFill>
              </w:rPr>
              <w:t xml:space="preserve">             </w:t>
            </w:r>
            <w:r>
              <w:rPr>
                <w:rFonts w:hint="eastAsia" w:hAnsi="宋体" w:cs="宋体"/>
                <w:color w:val="000000" w:themeColor="text1"/>
                <w:sz w:val="24"/>
                <w:szCs w:val="22"/>
                <w14:textFill>
                  <w14:solidFill>
                    <w14:schemeClr w14:val="tx1"/>
                  </w14:solidFill>
                </w14:textFill>
              </w:rPr>
              <w:t>万元</w:t>
            </w:r>
            <w:r>
              <w:rPr>
                <w:rFonts w:hint="eastAsia" w:hAnsi="宋体" w:cs="宋体"/>
                <w:color w:val="000000" w:themeColor="text1"/>
                <w:sz w:val="24"/>
                <w:szCs w:val="22"/>
                <w:lang w:val="en-US" w:eastAsia="zh-CN"/>
                <w14:textFill>
                  <w14:solidFill>
                    <w14:schemeClr w14:val="tx1"/>
                  </w14:solidFill>
                </w14:textFill>
              </w:rPr>
              <w:t>/年</w:t>
            </w:r>
          </w:p>
          <w:p>
            <w:pPr>
              <w:spacing w:line="480" w:lineRule="auto"/>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大写：</w:t>
            </w:r>
            <w:r>
              <w:rPr>
                <w:rFonts w:hint="eastAsia" w:hAnsi="宋体" w:cs="宋体"/>
                <w:color w:val="000000" w:themeColor="text1"/>
                <w:sz w:val="24"/>
                <w:szCs w:val="22"/>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132" w:type="dxa"/>
            <w:gridSpan w:val="3"/>
            <w:tcBorders>
              <w:bottom w:val="single" w:color="auto" w:sz="4" w:space="0"/>
            </w:tcBorders>
            <w:vAlign w:val="center"/>
          </w:tcPr>
          <w:p>
            <w:pPr>
              <w:rPr>
                <w:rFonts w:hAnsi="宋体" w:cs="宋体"/>
                <w:color w:val="000000" w:themeColor="text1"/>
                <w:sz w:val="24"/>
                <w:szCs w:val="22"/>
                <w:u w:val="single"/>
                <w14:textFill>
                  <w14:solidFill>
                    <w14:schemeClr w14:val="tx1"/>
                  </w14:solidFill>
                </w14:textFill>
              </w:rPr>
            </w:pPr>
            <w:r>
              <w:rPr>
                <w:rFonts w:hint="eastAsia" w:hAnsi="宋体" w:cs="宋体"/>
                <w:color w:val="000000" w:themeColor="text1"/>
                <w:sz w:val="24"/>
                <w:szCs w:val="22"/>
                <w14:textFill>
                  <w14:solidFill>
                    <w14:schemeClr w14:val="tx1"/>
                  </w14:solidFill>
                </w14:textFill>
              </w:rPr>
              <w:t>备注：</w:t>
            </w:r>
          </w:p>
        </w:tc>
      </w:tr>
    </w:tbl>
    <w:p>
      <w:pPr>
        <w:rPr>
          <w:rFonts w:hAnsi="宋体" w:cs="宋体"/>
          <w:color w:val="000000" w:themeColor="text1"/>
          <w:sz w:val="24"/>
          <w:szCs w:val="22"/>
          <w14:textFill>
            <w14:solidFill>
              <w14:schemeClr w14:val="tx1"/>
            </w14:solidFill>
          </w14:textFill>
        </w:rPr>
      </w:pPr>
    </w:p>
    <w:p>
      <w:pPr>
        <w:rPr>
          <w:rFonts w:hAnsi="宋体" w:cs="宋体"/>
          <w:color w:val="000000" w:themeColor="text1"/>
          <w:sz w:val="24"/>
          <w:szCs w:val="22"/>
          <w14:textFill>
            <w14:solidFill>
              <w14:schemeClr w14:val="tx1"/>
            </w14:solidFill>
          </w14:textFill>
        </w:rPr>
      </w:pPr>
      <w:r>
        <w:rPr>
          <w:rFonts w:hint="eastAsia" w:hAnsi="宋体" w:cs="宋体"/>
          <w:color w:val="000000" w:themeColor="text1"/>
          <w:sz w:val="24"/>
          <w:szCs w:val="22"/>
          <w14:textFill>
            <w14:solidFill>
              <w14:schemeClr w14:val="tx1"/>
            </w14:solidFill>
          </w14:textFill>
        </w:rPr>
        <w:t xml:space="preserve">注：报价应是供应商完成全部工作内容的总价。 </w:t>
      </w:r>
    </w:p>
    <w:p>
      <w:pPr>
        <w:rPr>
          <w:rFonts w:hAnsi="宋体" w:cs="宋体"/>
          <w:color w:val="000000" w:themeColor="text1"/>
          <w:sz w:val="24"/>
          <w14:textFill>
            <w14:solidFill>
              <w14:schemeClr w14:val="tx1"/>
            </w14:solidFill>
          </w14:textFill>
        </w:rPr>
      </w:pPr>
    </w:p>
    <w:p>
      <w:pPr>
        <w:pStyle w:val="2"/>
        <w:rPr>
          <w:rFonts w:ascii="宋体" w:hAnsi="宋体"/>
          <w:color w:val="000000" w:themeColor="text1"/>
          <w14:textFill>
            <w14:solidFill>
              <w14:schemeClr w14:val="tx1"/>
            </w14:solidFill>
          </w14:textFill>
        </w:rPr>
      </w:pPr>
    </w:p>
    <w:p>
      <w:pPr>
        <w:pStyle w:val="86"/>
        <w:spacing w:line="640" w:lineRule="exact"/>
        <w:ind w:firstLine="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供应商名称：</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(盖章)</w:t>
      </w:r>
    </w:p>
    <w:p>
      <w:pPr>
        <w:pStyle w:val="86"/>
        <w:spacing w:line="640" w:lineRule="exact"/>
        <w:ind w:firstLine="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法定代表人/单位负责人或授权代表：</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(签字或签章)</w:t>
      </w:r>
    </w:p>
    <w:p>
      <w:pPr>
        <w:pStyle w:val="86"/>
        <w:spacing w:line="640" w:lineRule="exact"/>
        <w:ind w:firstLine="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日  期:</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年</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月</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日</w:t>
      </w:r>
    </w:p>
    <w:p>
      <w:pPr>
        <w:pStyle w:val="2"/>
        <w:jc w:val="center"/>
        <w:rPr>
          <w:rFonts w:ascii="宋体" w:hAnsi="宋体" w:cs="宋体"/>
          <w:b/>
          <w:bCs/>
          <w:color w:val="000000" w:themeColor="text1"/>
          <w:sz w:val="28"/>
          <w:szCs w:val="28"/>
          <w14:textFill>
            <w14:solidFill>
              <w14:schemeClr w14:val="tx1"/>
            </w14:solidFill>
          </w14:textFill>
        </w:rPr>
      </w:pPr>
    </w:p>
    <w:p>
      <w:pPr>
        <w:pStyle w:val="2"/>
        <w:jc w:val="both"/>
        <w:rPr>
          <w:rFonts w:ascii="宋体" w:hAnsi="宋体" w:cs="宋体"/>
          <w:b/>
          <w:bCs/>
          <w:color w:val="000000" w:themeColor="text1"/>
          <w:sz w:val="28"/>
          <w:szCs w:val="28"/>
          <w14:textFill>
            <w14:solidFill>
              <w14:schemeClr w14:val="tx1"/>
            </w14:solidFill>
          </w14:textFill>
        </w:rPr>
      </w:pPr>
    </w:p>
    <w:p>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p>
      <w:pPr>
        <w:pStyle w:val="2"/>
        <w:jc w:val="center"/>
        <w:outlineLvl w:val="1"/>
        <w:rPr>
          <w:rFonts w:ascii="宋体" w:hAnsi="宋体" w:cs="宋体"/>
          <w:b/>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br w:type="page"/>
      </w:r>
      <w:r>
        <w:rPr>
          <w:rFonts w:hint="eastAsia" w:ascii="宋体" w:hAnsi="宋体" w:cs="宋体"/>
          <w:b/>
          <w:color w:val="000000" w:themeColor="text1"/>
          <w:sz w:val="28"/>
          <w:szCs w:val="28"/>
          <w14:textFill>
            <w14:solidFill>
              <w14:schemeClr w14:val="tx1"/>
            </w14:solidFill>
          </w14:textFill>
        </w:rPr>
        <w:t>五、服务应答表</w:t>
      </w:r>
    </w:p>
    <w:p>
      <w:pPr>
        <w:pStyle w:val="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项目名称：</w:t>
      </w:r>
      <w:r>
        <w:rPr>
          <w:rFonts w:hint="eastAsia" w:ascii="宋体" w:hAnsi="宋体" w:cs="宋体"/>
          <w:color w:val="000000" w:themeColor="text1"/>
          <w:u w:val="single"/>
          <w14:textFill>
            <w14:solidFill>
              <w14:schemeClr w14:val="tx1"/>
            </w14:solidFill>
          </w14:textFill>
        </w:rPr>
        <w:t xml:space="preserve">                      </w:t>
      </w:r>
    </w:p>
    <w:p>
      <w:pPr>
        <w:pStyle w:val="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项目编号：</w:t>
      </w:r>
      <w:r>
        <w:rPr>
          <w:rFonts w:hint="eastAsia" w:ascii="宋体" w:hAnsi="宋体" w:cs="宋体"/>
          <w:color w:val="000000" w:themeColor="text1"/>
          <w:u w:val="single"/>
          <w14:textFill>
            <w14:solidFill>
              <w14:schemeClr w14:val="tx1"/>
            </w14:solidFill>
          </w14:textFill>
        </w:rPr>
        <w:t xml:space="preserve">                      </w:t>
      </w:r>
    </w:p>
    <w:tbl>
      <w:tblPr>
        <w:tblStyle w:val="32"/>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2268"/>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17"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序号</w:t>
            </w:r>
          </w:p>
        </w:tc>
        <w:tc>
          <w:tcPr>
            <w:tcW w:w="4111"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竞争性磋商文件服务要求</w:t>
            </w:r>
          </w:p>
        </w:tc>
        <w:tc>
          <w:tcPr>
            <w:tcW w:w="2268"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响应文件响应情况</w:t>
            </w:r>
          </w:p>
        </w:tc>
        <w:tc>
          <w:tcPr>
            <w:tcW w:w="1581"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17"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4111"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2268"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1581"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17"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4111"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2268"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1581"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17"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4111"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2268"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1581"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17"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4111"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2268"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1581"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17"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w:t>
            </w:r>
          </w:p>
        </w:tc>
        <w:tc>
          <w:tcPr>
            <w:tcW w:w="4111"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2268"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1581"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r>
    </w:tbl>
    <w:p>
      <w:pPr>
        <w:pStyle w:val="86"/>
        <w:ind w:firstLine="480"/>
        <w:rPr>
          <w:rFonts w:hAnsi="宋体" w:cs="宋体"/>
          <w:color w:val="000000" w:themeColor="text1"/>
          <w:sz w:val="24"/>
          <w:szCs w:val="24"/>
          <w14:textFill>
            <w14:solidFill>
              <w14:schemeClr w14:val="tx1"/>
            </w14:solidFill>
          </w14:textFill>
        </w:rPr>
      </w:pPr>
    </w:p>
    <w:p>
      <w:pPr>
        <w:pStyle w:val="86"/>
        <w:ind w:firstLine="48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注：如与竞争性磋商文件第五章项目服务内容及要求有偏离</w:t>
      </w:r>
      <w:r>
        <w:rPr>
          <w:rFonts w:hAnsi="宋体" w:cs="宋体"/>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包括正偏离和负偏离</w:t>
      </w:r>
      <w:r>
        <w:rPr>
          <w:rFonts w:hAnsi="宋体" w:cs="宋体"/>
          <w:color w:val="000000" w:themeColor="text1"/>
          <w:sz w:val="24"/>
          <w:szCs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请将偏离条款逐条应答。如与竞争性磋商文件第五章项目服务内容及要求所有条款无偏离，则无须在此表中应答，视为默认完全响应和接受竞争性磋商文件第五章服务内容及要求所有的内容。供应商必须据实填写，不得虚假应答，否则将取消其成交资格。</w:t>
      </w:r>
    </w:p>
    <w:p>
      <w:pPr>
        <w:pStyle w:val="86"/>
        <w:spacing w:line="640" w:lineRule="exact"/>
        <w:ind w:firstLine="420" w:firstLineChars="0"/>
        <w:rPr>
          <w:rFonts w:hAnsi="宋体" w:cs="宋体"/>
          <w:color w:val="000000" w:themeColor="text1"/>
          <w:sz w:val="24"/>
          <w14:textFill>
            <w14:solidFill>
              <w14:schemeClr w14:val="tx1"/>
            </w14:solidFill>
          </w14:textFill>
        </w:rPr>
      </w:pPr>
    </w:p>
    <w:p>
      <w:pPr>
        <w:pStyle w:val="86"/>
        <w:spacing w:line="640" w:lineRule="exact"/>
        <w:ind w:firstLine="420" w:firstLineChars="0"/>
        <w:rPr>
          <w:rFonts w:hAnsi="宋体" w:cs="宋体"/>
          <w:color w:val="000000" w:themeColor="text1"/>
          <w:sz w:val="24"/>
          <w14:textFill>
            <w14:solidFill>
              <w14:schemeClr w14:val="tx1"/>
            </w14:solidFill>
          </w14:textFill>
        </w:rPr>
      </w:pPr>
    </w:p>
    <w:p>
      <w:pPr>
        <w:pStyle w:val="86"/>
        <w:spacing w:line="64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供应商名称：</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(盖章)</w:t>
      </w:r>
    </w:p>
    <w:p>
      <w:pPr>
        <w:pStyle w:val="86"/>
        <w:spacing w:line="64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法定代表人/单位负责人或授权代表：</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(签字或签章)</w:t>
      </w:r>
    </w:p>
    <w:p>
      <w:pPr>
        <w:pStyle w:val="86"/>
        <w:spacing w:line="64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日  期:</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年</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月</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日</w:t>
      </w:r>
    </w:p>
    <w:p>
      <w:pPr>
        <w:rPr>
          <w:rFonts w:hAnsi="宋体"/>
          <w:color w:val="000000" w:themeColor="text1"/>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六、商务应答表</w:t>
      </w:r>
    </w:p>
    <w:p>
      <w:pPr>
        <w:pStyle w:val="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项目名称：</w:t>
      </w:r>
      <w:r>
        <w:rPr>
          <w:rFonts w:hint="eastAsia" w:ascii="宋体" w:hAnsi="宋体" w:cs="宋体"/>
          <w:color w:val="000000" w:themeColor="text1"/>
          <w:u w:val="single"/>
          <w14:textFill>
            <w14:solidFill>
              <w14:schemeClr w14:val="tx1"/>
            </w14:solidFill>
          </w14:textFill>
        </w:rPr>
        <w:t xml:space="preserve">                      </w:t>
      </w:r>
    </w:p>
    <w:p>
      <w:pPr>
        <w:pStyle w:val="2"/>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项目编号：</w:t>
      </w:r>
      <w:r>
        <w:rPr>
          <w:rFonts w:hint="eastAsia" w:ascii="宋体" w:hAnsi="宋体" w:cs="宋体"/>
          <w:color w:val="000000" w:themeColor="text1"/>
          <w:u w:val="single"/>
          <w14:textFill>
            <w14:solidFill>
              <w14:schemeClr w14:val="tx1"/>
            </w14:solidFill>
          </w14:textFill>
        </w:rPr>
        <w:t xml:space="preserve">                      </w:t>
      </w:r>
    </w:p>
    <w:tbl>
      <w:tblPr>
        <w:tblStyle w:val="32"/>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429"/>
        <w:gridCol w:w="2194"/>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59"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序号</w:t>
            </w:r>
          </w:p>
        </w:tc>
        <w:tc>
          <w:tcPr>
            <w:tcW w:w="3429"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竞争性磋商文件商务要求</w:t>
            </w:r>
          </w:p>
        </w:tc>
        <w:tc>
          <w:tcPr>
            <w:tcW w:w="2194"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响应文件响应情况</w:t>
            </w:r>
          </w:p>
        </w:tc>
        <w:tc>
          <w:tcPr>
            <w:tcW w:w="2195"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59"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3429"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2194"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2195"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59"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3429"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2194"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2195"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59"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3429"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2194"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2195"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59"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3429"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2194"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2195"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59"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r>
              <w:rPr>
                <w:rFonts w:hAnsi="宋体" w:cs="宋体"/>
                <w:color w:val="000000" w:themeColor="text1"/>
                <w:sz w:val="24"/>
                <w:szCs w:val="24"/>
                <w14:textFill>
                  <w14:solidFill>
                    <w14:schemeClr w14:val="tx1"/>
                  </w14:solidFill>
                </w14:textFill>
              </w:rPr>
              <w:t>…</w:t>
            </w:r>
          </w:p>
        </w:tc>
        <w:tc>
          <w:tcPr>
            <w:tcW w:w="3429"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2194"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c>
          <w:tcPr>
            <w:tcW w:w="2195" w:type="dxa"/>
            <w:vAlign w:val="center"/>
          </w:tcPr>
          <w:p>
            <w:pPr>
              <w:pStyle w:val="86"/>
              <w:ind w:firstLine="0" w:firstLineChars="0"/>
              <w:jc w:val="center"/>
              <w:rPr>
                <w:rFonts w:hAnsi="宋体" w:cs="宋体"/>
                <w:color w:val="000000" w:themeColor="text1"/>
                <w:sz w:val="24"/>
                <w:szCs w:val="24"/>
                <w14:textFill>
                  <w14:solidFill>
                    <w14:schemeClr w14:val="tx1"/>
                  </w14:solidFill>
                </w14:textFill>
              </w:rPr>
            </w:pPr>
          </w:p>
        </w:tc>
      </w:tr>
    </w:tbl>
    <w:p>
      <w:pPr>
        <w:pStyle w:val="86"/>
        <w:ind w:firstLine="0" w:firstLineChars="0"/>
        <w:rPr>
          <w:rFonts w:hAnsi="宋体"/>
          <w:color w:val="000000" w:themeColor="text1"/>
          <w:sz w:val="24"/>
          <w14:textFill>
            <w14:solidFill>
              <w14:schemeClr w14:val="tx1"/>
            </w14:solidFill>
          </w14:textFill>
        </w:rPr>
      </w:pPr>
    </w:p>
    <w:p>
      <w:pPr>
        <w:pStyle w:val="86"/>
        <w:ind w:firstLine="48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注：如与竞争性磋商文件第五章的商务要求有偏离</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包括正偏离和负偏离</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请将偏离条款逐条应答。如与竞争性磋商文件第五章商务要求的所有条款无偏离，则无须在此表中应答，视为默认完全响应和接受竞争性磋商文件所有商务要求。供应商必须据实填写，不得虚假应答，否则将取消其成交资格。</w:t>
      </w:r>
    </w:p>
    <w:p>
      <w:pPr>
        <w:pStyle w:val="86"/>
        <w:ind w:firstLine="480"/>
        <w:rPr>
          <w:rFonts w:hAnsi="宋体"/>
          <w:color w:val="000000" w:themeColor="text1"/>
          <w:sz w:val="24"/>
          <w14:textFill>
            <w14:solidFill>
              <w14:schemeClr w14:val="tx1"/>
            </w14:solidFill>
          </w14:textFill>
        </w:rPr>
      </w:pPr>
    </w:p>
    <w:p>
      <w:pPr>
        <w:pStyle w:val="86"/>
        <w:spacing w:line="64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供应商名称：</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(盖章)</w:t>
      </w:r>
    </w:p>
    <w:p>
      <w:pPr>
        <w:pStyle w:val="86"/>
        <w:spacing w:line="64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法定代表人/单位负责人或授权代表：</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(签字或签章)</w:t>
      </w:r>
    </w:p>
    <w:p>
      <w:pPr>
        <w:pStyle w:val="86"/>
        <w:spacing w:line="64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日  期:</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年</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月</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日</w:t>
      </w:r>
    </w:p>
    <w:p>
      <w:pPr>
        <w:pStyle w:val="2"/>
        <w:jc w:val="center"/>
        <w:rPr>
          <w:rFonts w:ascii="宋体" w:hAnsi="宋体" w:cs="宋体"/>
          <w:b/>
          <w:color w:val="000000" w:themeColor="text1"/>
          <w:sz w:val="28"/>
          <w:szCs w:val="28"/>
          <w14:textFill>
            <w14:solidFill>
              <w14:schemeClr w14:val="tx1"/>
            </w14:solidFill>
          </w14:textFill>
        </w:rPr>
      </w:pPr>
    </w:p>
    <w:p>
      <w:pPr>
        <w:pStyle w:val="2"/>
        <w:jc w:val="center"/>
        <w:outlineLvl w:val="1"/>
        <w:rPr>
          <w:rFonts w:hAnsi="宋体" w:cs="Arial"/>
          <w:color w:val="000000" w:themeColor="text1"/>
          <w:szCs w:val="21"/>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br w:type="page"/>
      </w:r>
      <w:r>
        <w:rPr>
          <w:rFonts w:hint="eastAsia" w:ascii="宋体" w:hAnsi="宋体" w:cs="宋体"/>
          <w:b/>
          <w:color w:val="000000" w:themeColor="text1"/>
          <w:sz w:val="28"/>
          <w:szCs w:val="28"/>
          <w14:textFill>
            <w14:solidFill>
              <w14:schemeClr w14:val="tx1"/>
            </w14:solidFill>
          </w14:textFill>
        </w:rPr>
        <w:t>七、供应商类似项目业绩一览表</w:t>
      </w:r>
    </w:p>
    <w:tbl>
      <w:tblPr>
        <w:tblStyle w:val="32"/>
        <w:tblW w:w="866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6"/>
        <w:gridCol w:w="1455"/>
        <w:gridCol w:w="1333"/>
        <w:gridCol w:w="1172"/>
        <w:gridCol w:w="1273"/>
        <w:gridCol w:w="9"/>
        <w:gridCol w:w="1370"/>
        <w:gridCol w:w="10"/>
        <w:gridCol w:w="131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90" w:hRule="atLeast"/>
          <w:jc w:val="center"/>
        </w:trPr>
        <w:tc>
          <w:tcPr>
            <w:tcW w:w="726" w:type="dxa"/>
            <w:tcBorders>
              <w:top w:val="single" w:color="auto" w:sz="4" w:space="0"/>
            </w:tcBorders>
            <w:vAlign w:val="center"/>
          </w:tcPr>
          <w:p>
            <w:pPr>
              <w:spacing w:line="400" w:lineRule="exact"/>
              <w:ind w:firstLine="105" w:firstLineChars="50"/>
              <w:jc w:val="center"/>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年份</w:t>
            </w:r>
          </w:p>
        </w:tc>
        <w:tc>
          <w:tcPr>
            <w:tcW w:w="1455" w:type="dxa"/>
            <w:vAlign w:val="center"/>
          </w:tcPr>
          <w:p>
            <w:pPr>
              <w:spacing w:line="400" w:lineRule="exact"/>
              <w:jc w:val="center"/>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用户名称</w:t>
            </w:r>
          </w:p>
        </w:tc>
        <w:tc>
          <w:tcPr>
            <w:tcW w:w="1333" w:type="dxa"/>
            <w:vAlign w:val="center"/>
          </w:tcPr>
          <w:p>
            <w:pPr>
              <w:spacing w:line="400" w:lineRule="exact"/>
              <w:jc w:val="center"/>
              <w:rPr>
                <w:rFonts w:hAnsi="宋体" w:cs="Arial"/>
                <w:b/>
                <w:color w:val="000000" w:themeColor="text1"/>
                <w:sz w:val="21"/>
                <w:szCs w:val="21"/>
                <w14:textFill>
                  <w14:solidFill>
                    <w14:schemeClr w14:val="tx1"/>
                  </w14:solidFill>
                </w14:textFill>
              </w:rPr>
            </w:pPr>
            <w:r>
              <w:rPr>
                <w:rFonts w:hAnsi="宋体" w:cs="Arial"/>
                <w:b/>
                <w:color w:val="000000" w:themeColor="text1"/>
                <w:sz w:val="21"/>
                <w:szCs w:val="21"/>
                <w14:textFill>
                  <w14:solidFill>
                    <w14:schemeClr w14:val="tx1"/>
                  </w14:solidFill>
                </w14:textFill>
              </w:rPr>
              <w:t>项目名称</w:t>
            </w:r>
          </w:p>
        </w:tc>
        <w:tc>
          <w:tcPr>
            <w:tcW w:w="1172" w:type="dxa"/>
            <w:vAlign w:val="center"/>
          </w:tcPr>
          <w:p>
            <w:pPr>
              <w:spacing w:line="400" w:lineRule="exact"/>
              <w:jc w:val="center"/>
              <w:rPr>
                <w:rFonts w:hAnsi="宋体" w:cs="Arial"/>
                <w:b/>
                <w:color w:val="000000" w:themeColor="text1"/>
                <w:sz w:val="21"/>
                <w:szCs w:val="21"/>
                <w14:textFill>
                  <w14:solidFill>
                    <w14:schemeClr w14:val="tx1"/>
                  </w14:solidFill>
                </w14:textFill>
              </w:rPr>
            </w:pPr>
            <w:r>
              <w:rPr>
                <w:rFonts w:hAnsi="宋体" w:cs="Arial"/>
                <w:b/>
                <w:color w:val="000000" w:themeColor="text1"/>
                <w:sz w:val="21"/>
                <w:szCs w:val="21"/>
                <w14:textFill>
                  <w14:solidFill>
                    <w14:schemeClr w14:val="tx1"/>
                  </w14:solidFill>
                </w14:textFill>
              </w:rPr>
              <w:t>完成时间</w:t>
            </w:r>
          </w:p>
        </w:tc>
        <w:tc>
          <w:tcPr>
            <w:tcW w:w="1273" w:type="dxa"/>
            <w:vAlign w:val="center"/>
          </w:tcPr>
          <w:p>
            <w:pPr>
              <w:spacing w:line="400" w:lineRule="exact"/>
              <w:ind w:firstLine="105" w:firstLineChars="50"/>
              <w:jc w:val="center"/>
              <w:rPr>
                <w:rFonts w:hAnsi="宋体" w:cs="Arial"/>
                <w:b/>
                <w:color w:val="000000" w:themeColor="text1"/>
                <w:sz w:val="21"/>
                <w:szCs w:val="21"/>
                <w14:textFill>
                  <w14:solidFill>
                    <w14:schemeClr w14:val="tx1"/>
                  </w14:solidFill>
                </w14:textFill>
              </w:rPr>
            </w:pPr>
            <w:r>
              <w:rPr>
                <w:rFonts w:hAnsi="宋体" w:cs="Arial"/>
                <w:b/>
                <w:color w:val="000000" w:themeColor="text1"/>
                <w:sz w:val="21"/>
                <w:szCs w:val="21"/>
                <w14:textFill>
                  <w14:solidFill>
                    <w14:schemeClr w14:val="tx1"/>
                  </w14:solidFill>
                </w14:textFill>
              </w:rPr>
              <w:t>合同金额</w:t>
            </w:r>
          </w:p>
        </w:tc>
        <w:tc>
          <w:tcPr>
            <w:tcW w:w="1389" w:type="dxa"/>
            <w:gridSpan w:val="3"/>
            <w:tcBorders>
              <w:right w:val="single" w:color="auto" w:sz="4" w:space="0"/>
            </w:tcBorders>
            <w:vAlign w:val="center"/>
          </w:tcPr>
          <w:p>
            <w:pPr>
              <w:spacing w:line="400" w:lineRule="exact"/>
              <w:jc w:val="center"/>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项目质量</w:t>
            </w:r>
          </w:p>
        </w:tc>
        <w:tc>
          <w:tcPr>
            <w:tcW w:w="1318" w:type="dxa"/>
            <w:tcBorders>
              <w:left w:val="single" w:color="auto" w:sz="4" w:space="0"/>
            </w:tcBorders>
            <w:vAlign w:val="center"/>
          </w:tcPr>
          <w:p>
            <w:pPr>
              <w:spacing w:line="400" w:lineRule="exact"/>
              <w:jc w:val="center"/>
              <w:rPr>
                <w:rFonts w:hAnsi="宋体" w:cs="Arial"/>
                <w:b/>
                <w:color w:val="000000" w:themeColor="text1"/>
                <w:sz w:val="21"/>
                <w:szCs w:val="21"/>
                <w14:textFill>
                  <w14:solidFill>
                    <w14:schemeClr w14:val="tx1"/>
                  </w14:solidFill>
                </w14:textFill>
              </w:rPr>
            </w:pPr>
            <w:r>
              <w:rPr>
                <w:rFonts w:hint="eastAsia" w:hAnsi="宋体" w:cs="Arial"/>
                <w:b/>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6"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455"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33"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172"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273"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89" w:type="dxa"/>
            <w:gridSpan w:val="3"/>
            <w:tcBorders>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18" w:type="dxa"/>
            <w:tcBorders>
              <w:lef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6"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455"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33"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172"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273"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89" w:type="dxa"/>
            <w:gridSpan w:val="3"/>
            <w:tcBorders>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18" w:type="dxa"/>
            <w:tcBorders>
              <w:lef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6"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455"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33"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172"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273"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89" w:type="dxa"/>
            <w:gridSpan w:val="3"/>
            <w:tcBorders>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18" w:type="dxa"/>
            <w:tcBorders>
              <w:lef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6"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455" w:type="dxa"/>
            <w:tcBorders>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33" w:type="dxa"/>
            <w:tcBorders>
              <w:lef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172"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273"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89" w:type="dxa"/>
            <w:gridSpan w:val="3"/>
            <w:tcBorders>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18" w:type="dxa"/>
            <w:tcBorders>
              <w:lef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6" w:type="dxa"/>
            <w:tcBorders>
              <w:right w:val="single" w:color="auto" w:sz="4" w:space="0"/>
            </w:tcBorders>
            <w:vAlign w:val="center"/>
          </w:tcPr>
          <w:p>
            <w:pPr>
              <w:spacing w:line="400" w:lineRule="exact"/>
              <w:rPr>
                <w:rFonts w:hAnsi="宋体" w:cs="Arial"/>
                <w:color w:val="000000" w:themeColor="text1"/>
                <w:sz w:val="28"/>
                <w:szCs w:val="28"/>
                <w14:textFill>
                  <w14:solidFill>
                    <w14:schemeClr w14:val="tx1"/>
                  </w14:solidFill>
                </w14:textFill>
              </w:rPr>
            </w:pPr>
          </w:p>
        </w:tc>
        <w:tc>
          <w:tcPr>
            <w:tcW w:w="1455" w:type="dxa"/>
            <w:tcBorders>
              <w:left w:val="single" w:color="auto" w:sz="4" w:space="0"/>
              <w:right w:val="single" w:color="auto" w:sz="4" w:space="0"/>
            </w:tcBorders>
            <w:vAlign w:val="center"/>
          </w:tcPr>
          <w:p>
            <w:pPr>
              <w:spacing w:line="400" w:lineRule="exact"/>
              <w:rPr>
                <w:rFonts w:hAnsi="宋体" w:cs="Arial"/>
                <w:color w:val="000000" w:themeColor="text1"/>
                <w:sz w:val="28"/>
                <w:szCs w:val="28"/>
                <w14:textFill>
                  <w14:solidFill>
                    <w14:schemeClr w14:val="tx1"/>
                  </w14:solidFill>
                </w14:textFill>
              </w:rPr>
            </w:pPr>
          </w:p>
        </w:tc>
        <w:tc>
          <w:tcPr>
            <w:tcW w:w="1333" w:type="dxa"/>
            <w:tcBorders>
              <w:left w:val="single" w:color="auto" w:sz="4" w:space="0"/>
              <w:right w:val="single" w:color="auto" w:sz="4" w:space="0"/>
            </w:tcBorders>
            <w:vAlign w:val="center"/>
          </w:tcPr>
          <w:p>
            <w:pPr>
              <w:spacing w:line="400" w:lineRule="exact"/>
              <w:rPr>
                <w:rFonts w:hAnsi="宋体" w:cs="Arial"/>
                <w:color w:val="000000" w:themeColor="text1"/>
                <w:sz w:val="28"/>
                <w:szCs w:val="28"/>
                <w14:textFill>
                  <w14:solidFill>
                    <w14:schemeClr w14:val="tx1"/>
                  </w14:solidFill>
                </w14:textFill>
              </w:rPr>
            </w:pPr>
          </w:p>
        </w:tc>
        <w:tc>
          <w:tcPr>
            <w:tcW w:w="1172" w:type="dxa"/>
            <w:tcBorders>
              <w:left w:val="single" w:color="auto" w:sz="4" w:space="0"/>
              <w:right w:val="single" w:color="auto" w:sz="4" w:space="0"/>
            </w:tcBorders>
            <w:vAlign w:val="center"/>
          </w:tcPr>
          <w:p>
            <w:pPr>
              <w:spacing w:line="400" w:lineRule="exact"/>
              <w:rPr>
                <w:rFonts w:hAnsi="宋体" w:cs="Arial"/>
                <w:color w:val="000000" w:themeColor="text1"/>
                <w:sz w:val="28"/>
                <w:szCs w:val="28"/>
                <w14:textFill>
                  <w14:solidFill>
                    <w14:schemeClr w14:val="tx1"/>
                  </w14:solidFill>
                </w14:textFill>
              </w:rPr>
            </w:pPr>
          </w:p>
        </w:tc>
        <w:tc>
          <w:tcPr>
            <w:tcW w:w="1282" w:type="dxa"/>
            <w:gridSpan w:val="2"/>
            <w:tcBorders>
              <w:left w:val="single" w:color="auto" w:sz="4" w:space="0"/>
              <w:right w:val="single" w:color="auto" w:sz="4" w:space="0"/>
            </w:tcBorders>
            <w:vAlign w:val="center"/>
          </w:tcPr>
          <w:p>
            <w:pPr>
              <w:spacing w:line="400" w:lineRule="exact"/>
              <w:rPr>
                <w:rFonts w:hAnsi="宋体" w:cs="Arial"/>
                <w:color w:val="000000" w:themeColor="text1"/>
                <w:sz w:val="28"/>
                <w:szCs w:val="28"/>
                <w14:textFill>
                  <w14:solidFill>
                    <w14:schemeClr w14:val="tx1"/>
                  </w14:solidFill>
                </w14:textFill>
              </w:rPr>
            </w:pPr>
          </w:p>
        </w:tc>
        <w:tc>
          <w:tcPr>
            <w:tcW w:w="1380" w:type="dxa"/>
            <w:gridSpan w:val="2"/>
            <w:tcBorders>
              <w:left w:val="single" w:color="auto" w:sz="4" w:space="0"/>
              <w:right w:val="single" w:color="auto" w:sz="4" w:space="0"/>
            </w:tcBorders>
            <w:vAlign w:val="center"/>
          </w:tcPr>
          <w:p>
            <w:pPr>
              <w:spacing w:line="400" w:lineRule="exact"/>
              <w:rPr>
                <w:rFonts w:hAnsi="宋体" w:cs="Arial"/>
                <w:color w:val="000000" w:themeColor="text1"/>
                <w:sz w:val="28"/>
                <w:szCs w:val="28"/>
                <w14:textFill>
                  <w14:solidFill>
                    <w14:schemeClr w14:val="tx1"/>
                  </w14:solidFill>
                </w14:textFill>
              </w:rPr>
            </w:pPr>
          </w:p>
        </w:tc>
        <w:tc>
          <w:tcPr>
            <w:tcW w:w="1318" w:type="dxa"/>
            <w:tcBorders>
              <w:left w:val="single" w:color="auto" w:sz="4" w:space="0"/>
            </w:tcBorders>
            <w:vAlign w:val="center"/>
          </w:tcPr>
          <w:p>
            <w:pPr>
              <w:spacing w:line="400" w:lineRule="exact"/>
              <w:rPr>
                <w:rFonts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6" w:type="dxa"/>
            <w:vAlign w:val="center"/>
          </w:tcPr>
          <w:p>
            <w:pPr>
              <w:spacing w:line="400" w:lineRule="exact"/>
              <w:rPr>
                <w:rFonts w:hAnsi="宋体" w:cs="Arial"/>
                <w:color w:val="000000" w:themeColor="text1"/>
                <w:sz w:val="28"/>
                <w:szCs w:val="28"/>
                <w14:textFill>
                  <w14:solidFill>
                    <w14:schemeClr w14:val="tx1"/>
                  </w14:solidFill>
                </w14:textFill>
              </w:rPr>
            </w:pPr>
          </w:p>
        </w:tc>
        <w:tc>
          <w:tcPr>
            <w:tcW w:w="1455" w:type="dxa"/>
            <w:vAlign w:val="center"/>
          </w:tcPr>
          <w:p>
            <w:pPr>
              <w:spacing w:line="400" w:lineRule="exact"/>
              <w:rPr>
                <w:rFonts w:hAnsi="宋体" w:cs="Arial"/>
                <w:color w:val="000000" w:themeColor="text1"/>
                <w:sz w:val="28"/>
                <w:szCs w:val="28"/>
                <w14:textFill>
                  <w14:solidFill>
                    <w14:schemeClr w14:val="tx1"/>
                  </w14:solidFill>
                </w14:textFill>
              </w:rPr>
            </w:pPr>
          </w:p>
        </w:tc>
        <w:tc>
          <w:tcPr>
            <w:tcW w:w="1333" w:type="dxa"/>
            <w:vAlign w:val="center"/>
          </w:tcPr>
          <w:p>
            <w:pPr>
              <w:spacing w:line="400" w:lineRule="exact"/>
              <w:rPr>
                <w:rFonts w:hAnsi="宋体" w:cs="Arial"/>
                <w:color w:val="000000" w:themeColor="text1"/>
                <w:sz w:val="28"/>
                <w:szCs w:val="28"/>
                <w14:textFill>
                  <w14:solidFill>
                    <w14:schemeClr w14:val="tx1"/>
                  </w14:solidFill>
                </w14:textFill>
              </w:rPr>
            </w:pPr>
          </w:p>
        </w:tc>
        <w:tc>
          <w:tcPr>
            <w:tcW w:w="1172" w:type="dxa"/>
            <w:vAlign w:val="center"/>
          </w:tcPr>
          <w:p>
            <w:pPr>
              <w:spacing w:line="400" w:lineRule="exact"/>
              <w:rPr>
                <w:rFonts w:hAnsi="宋体" w:cs="Arial"/>
                <w:color w:val="000000" w:themeColor="text1"/>
                <w:sz w:val="28"/>
                <w:szCs w:val="28"/>
                <w14:textFill>
                  <w14:solidFill>
                    <w14:schemeClr w14:val="tx1"/>
                  </w14:solidFill>
                </w14:textFill>
              </w:rPr>
            </w:pPr>
          </w:p>
        </w:tc>
        <w:tc>
          <w:tcPr>
            <w:tcW w:w="1282" w:type="dxa"/>
            <w:gridSpan w:val="2"/>
            <w:tcBorders>
              <w:right w:val="single" w:color="auto" w:sz="4" w:space="0"/>
            </w:tcBorders>
            <w:vAlign w:val="center"/>
          </w:tcPr>
          <w:p>
            <w:pPr>
              <w:spacing w:line="400" w:lineRule="exact"/>
              <w:rPr>
                <w:rFonts w:hAnsi="宋体" w:cs="Arial"/>
                <w:color w:val="000000" w:themeColor="text1"/>
                <w:sz w:val="28"/>
                <w:szCs w:val="28"/>
                <w14:textFill>
                  <w14:solidFill>
                    <w14:schemeClr w14:val="tx1"/>
                  </w14:solidFill>
                </w14:textFill>
              </w:rPr>
            </w:pPr>
          </w:p>
        </w:tc>
        <w:tc>
          <w:tcPr>
            <w:tcW w:w="1370" w:type="dxa"/>
            <w:tcBorders>
              <w:left w:val="single" w:color="auto" w:sz="4" w:space="0"/>
              <w:right w:val="single" w:color="auto" w:sz="4" w:space="0"/>
            </w:tcBorders>
            <w:vAlign w:val="center"/>
          </w:tcPr>
          <w:p>
            <w:pPr>
              <w:spacing w:line="400" w:lineRule="exact"/>
              <w:rPr>
                <w:rFonts w:hAnsi="宋体" w:cs="Arial"/>
                <w:color w:val="000000" w:themeColor="text1"/>
                <w:sz w:val="28"/>
                <w:szCs w:val="28"/>
                <w14:textFill>
                  <w14:solidFill>
                    <w14:schemeClr w14:val="tx1"/>
                  </w14:solidFill>
                </w14:textFill>
              </w:rPr>
            </w:pPr>
          </w:p>
        </w:tc>
        <w:tc>
          <w:tcPr>
            <w:tcW w:w="1328" w:type="dxa"/>
            <w:gridSpan w:val="2"/>
            <w:tcBorders>
              <w:left w:val="single" w:color="auto" w:sz="4" w:space="0"/>
            </w:tcBorders>
            <w:vAlign w:val="center"/>
          </w:tcPr>
          <w:p>
            <w:pPr>
              <w:spacing w:line="400" w:lineRule="exact"/>
              <w:rPr>
                <w:rFonts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6"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455"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33"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172"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282" w:type="dxa"/>
            <w:gridSpan w:val="2"/>
            <w:tcBorders>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70" w:type="dxa"/>
            <w:tcBorders>
              <w:left w:val="single" w:color="auto" w:sz="4" w:space="0"/>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28" w:type="dxa"/>
            <w:gridSpan w:val="2"/>
            <w:tcBorders>
              <w:lef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6"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455"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33"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172" w:type="dxa"/>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282" w:type="dxa"/>
            <w:gridSpan w:val="2"/>
            <w:tcBorders>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70" w:type="dxa"/>
            <w:tcBorders>
              <w:left w:val="single" w:color="auto" w:sz="4" w:space="0"/>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28" w:type="dxa"/>
            <w:gridSpan w:val="2"/>
            <w:tcBorders>
              <w:lef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6" w:type="dxa"/>
            <w:tcBorders>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455" w:type="dxa"/>
            <w:tcBorders>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33" w:type="dxa"/>
            <w:tcBorders>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172" w:type="dxa"/>
            <w:tcBorders>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282" w:type="dxa"/>
            <w:gridSpan w:val="2"/>
            <w:tcBorders>
              <w:bottom w:val="single" w:color="auto" w:sz="4" w:space="0"/>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70" w:type="dxa"/>
            <w:tcBorders>
              <w:left w:val="single" w:color="auto" w:sz="4" w:space="0"/>
              <w:bottom w:val="single" w:color="auto" w:sz="4" w:space="0"/>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28" w:type="dxa"/>
            <w:gridSpan w:val="2"/>
            <w:tcBorders>
              <w:left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6" w:type="dxa"/>
            <w:tcBorders>
              <w:top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455" w:type="dxa"/>
            <w:tcBorders>
              <w:top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33" w:type="dxa"/>
            <w:tcBorders>
              <w:top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172" w:type="dxa"/>
            <w:tcBorders>
              <w:top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282" w:type="dxa"/>
            <w:gridSpan w:val="2"/>
            <w:tcBorders>
              <w:top w:val="single" w:color="auto" w:sz="4" w:space="0"/>
              <w:bottom w:val="single" w:color="auto" w:sz="4" w:space="0"/>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28" w:type="dxa"/>
            <w:gridSpan w:val="2"/>
            <w:tcBorders>
              <w:top w:val="single" w:color="auto" w:sz="4" w:space="0"/>
              <w:left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55" w:hRule="atLeast"/>
          <w:jc w:val="center"/>
        </w:trPr>
        <w:tc>
          <w:tcPr>
            <w:tcW w:w="726" w:type="dxa"/>
            <w:tcBorders>
              <w:top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455" w:type="dxa"/>
            <w:tcBorders>
              <w:top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33" w:type="dxa"/>
            <w:tcBorders>
              <w:top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172" w:type="dxa"/>
            <w:tcBorders>
              <w:top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282" w:type="dxa"/>
            <w:gridSpan w:val="2"/>
            <w:tcBorders>
              <w:top w:val="single" w:color="auto" w:sz="4" w:space="0"/>
              <w:bottom w:val="single" w:color="auto" w:sz="4" w:space="0"/>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28" w:type="dxa"/>
            <w:gridSpan w:val="2"/>
            <w:tcBorders>
              <w:top w:val="single" w:color="auto" w:sz="4" w:space="0"/>
              <w:left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6" w:type="dxa"/>
            <w:tcBorders>
              <w:top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455" w:type="dxa"/>
            <w:tcBorders>
              <w:top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33" w:type="dxa"/>
            <w:tcBorders>
              <w:top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172" w:type="dxa"/>
            <w:tcBorders>
              <w:top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282" w:type="dxa"/>
            <w:gridSpan w:val="2"/>
            <w:tcBorders>
              <w:top w:val="single" w:color="auto" w:sz="4" w:space="0"/>
              <w:bottom w:val="single" w:color="auto" w:sz="4" w:space="0"/>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28" w:type="dxa"/>
            <w:gridSpan w:val="2"/>
            <w:tcBorders>
              <w:top w:val="single" w:color="auto" w:sz="4" w:space="0"/>
              <w:left w:val="single" w:color="auto" w:sz="4" w:space="0"/>
              <w:bottom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6" w:type="dxa"/>
            <w:tcBorders>
              <w:top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455" w:type="dxa"/>
            <w:tcBorders>
              <w:top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33" w:type="dxa"/>
            <w:tcBorders>
              <w:top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172" w:type="dxa"/>
            <w:tcBorders>
              <w:top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282" w:type="dxa"/>
            <w:gridSpan w:val="2"/>
            <w:tcBorders>
              <w:top w:val="single" w:color="auto" w:sz="4" w:space="0"/>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70" w:type="dxa"/>
            <w:tcBorders>
              <w:top w:val="single" w:color="auto" w:sz="4" w:space="0"/>
              <w:left w:val="single" w:color="auto" w:sz="4" w:space="0"/>
              <w:righ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c>
          <w:tcPr>
            <w:tcW w:w="1328" w:type="dxa"/>
            <w:gridSpan w:val="2"/>
            <w:tcBorders>
              <w:top w:val="single" w:color="auto" w:sz="4" w:space="0"/>
              <w:left w:val="single" w:color="auto" w:sz="4" w:space="0"/>
            </w:tcBorders>
            <w:vAlign w:val="center"/>
          </w:tcPr>
          <w:p>
            <w:pPr>
              <w:spacing w:line="400" w:lineRule="exact"/>
              <w:jc w:val="center"/>
              <w:rPr>
                <w:rFonts w:hAnsi="宋体" w:cs="Arial"/>
                <w:color w:val="000000" w:themeColor="text1"/>
                <w:sz w:val="28"/>
                <w:szCs w:val="28"/>
                <w14:textFill>
                  <w14:solidFill>
                    <w14:schemeClr w14:val="tx1"/>
                  </w14:solidFill>
                </w14:textFill>
              </w:rPr>
            </w:pPr>
          </w:p>
        </w:tc>
      </w:tr>
    </w:tbl>
    <w:p>
      <w:pPr>
        <w:rPr>
          <w:rFonts w:hAnsi="宋体" w:cs="华文中宋"/>
          <w:b/>
          <w:bCs/>
          <w:color w:val="000000" w:themeColor="text1"/>
          <w:sz w:val="18"/>
          <w:szCs w:val="18"/>
          <w14:textFill>
            <w14:solidFill>
              <w14:schemeClr w14:val="tx1"/>
            </w14:solidFill>
          </w14:textFill>
        </w:rPr>
      </w:pPr>
      <w:r>
        <w:rPr>
          <w:rFonts w:hint="eastAsia" w:hAnsi="宋体" w:cs="Arial"/>
          <w:b/>
          <w:bCs/>
          <w:color w:val="000000" w:themeColor="text1"/>
          <w:sz w:val="18"/>
          <w:szCs w:val="18"/>
          <w14:textFill>
            <w14:solidFill>
              <w14:schemeClr w14:val="tx1"/>
            </w14:solidFill>
          </w14:textFill>
        </w:rPr>
        <w:t>注：1、提供业绩证明材料详见综合评分明细表。</w:t>
      </w:r>
      <w:r>
        <w:rPr>
          <w:rFonts w:hint="eastAsia" w:hAnsi="宋体" w:cs="华文中宋"/>
          <w:b/>
          <w:bCs/>
          <w:color w:val="000000" w:themeColor="text1"/>
          <w:sz w:val="18"/>
          <w:szCs w:val="18"/>
          <w14:textFill>
            <w14:solidFill>
              <w14:schemeClr w14:val="tx1"/>
            </w14:solidFill>
          </w14:textFill>
        </w:rPr>
        <w:t>如不实，属于弄虚作假，取消磋商或成交资格。</w:t>
      </w:r>
    </w:p>
    <w:p>
      <w:pPr>
        <w:rPr>
          <w:rFonts w:hAnsi="宋体" w:cs="Arial"/>
          <w:b/>
          <w:bCs/>
          <w:color w:val="000000" w:themeColor="text1"/>
          <w:szCs w:val="21"/>
          <w14:textFill>
            <w14:solidFill>
              <w14:schemeClr w14:val="tx1"/>
            </w14:solidFill>
          </w14:textFill>
        </w:rPr>
      </w:pPr>
      <w:r>
        <w:rPr>
          <w:rFonts w:hint="eastAsia" w:hAnsi="宋体" w:cs="华文中宋"/>
          <w:b/>
          <w:bCs/>
          <w:color w:val="000000" w:themeColor="text1"/>
          <w:sz w:val="18"/>
          <w:szCs w:val="18"/>
          <w14:textFill>
            <w14:solidFill>
              <w14:schemeClr w14:val="tx1"/>
            </w14:solidFill>
          </w14:textFill>
        </w:rPr>
        <w:t xml:space="preserve">    2、供应商可根据实际情况增加或变动此表格式。</w:t>
      </w:r>
    </w:p>
    <w:p>
      <w:pPr>
        <w:tabs>
          <w:tab w:val="left" w:pos="555"/>
          <w:tab w:val="left" w:pos="2214"/>
          <w:tab w:val="left" w:pos="3774"/>
          <w:tab w:val="left" w:pos="4854"/>
          <w:tab w:val="left" w:pos="5934"/>
          <w:tab w:val="left" w:pos="7014"/>
          <w:tab w:val="left" w:pos="8214"/>
          <w:tab w:val="left" w:pos="10134"/>
          <w:tab w:val="left" w:pos="11124"/>
        </w:tabs>
        <w:ind w:firstLine="405"/>
        <w:rPr>
          <w:rFonts w:hAnsi="宋体" w:cs="Arial"/>
          <w:color w:val="000000" w:themeColor="text1"/>
          <w:szCs w:val="21"/>
          <w14:textFill>
            <w14:solidFill>
              <w14:schemeClr w14:val="tx1"/>
            </w14:solidFill>
          </w14:textFill>
        </w:rPr>
      </w:pPr>
    </w:p>
    <w:p>
      <w:pPr>
        <w:spacing w:line="400" w:lineRule="exact"/>
        <w:ind w:left="360"/>
        <w:jc w:val="center"/>
        <w:rPr>
          <w:rFonts w:hAnsi="宋体" w:cs="Arial"/>
          <w:color w:val="000000" w:themeColor="text1"/>
          <w14:textFill>
            <w14:solidFill>
              <w14:schemeClr w14:val="tx1"/>
            </w14:solidFill>
          </w14:textFill>
        </w:rPr>
      </w:pPr>
    </w:p>
    <w:p>
      <w:pPr>
        <w:pStyle w:val="86"/>
        <w:spacing w:line="640" w:lineRule="exact"/>
        <w:ind w:firstLine="420" w:firstLineChars="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供应商名称：</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(盖章)</w:t>
      </w:r>
    </w:p>
    <w:p>
      <w:pPr>
        <w:pStyle w:val="86"/>
        <w:spacing w:line="640" w:lineRule="exact"/>
        <w:ind w:firstLine="420" w:firstLineChars="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法定代表人/单位负责人或授权代表：</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(签字或签章)</w:t>
      </w:r>
    </w:p>
    <w:p>
      <w:pPr>
        <w:pStyle w:val="86"/>
        <w:spacing w:line="640" w:lineRule="exact"/>
        <w:ind w:firstLine="420" w:firstLineChars="0"/>
        <w:rPr>
          <w:rFonts w:hAnsi="宋体" w:cs="宋体"/>
          <w:b/>
          <w:color w:val="000000" w:themeColor="text1"/>
          <w:sz w:val="28"/>
          <w:szCs w:val="28"/>
          <w14:textFill>
            <w14:solidFill>
              <w14:schemeClr w14:val="tx1"/>
            </w14:solidFill>
          </w14:textFill>
        </w:rPr>
      </w:pPr>
      <w:r>
        <w:rPr>
          <w:rFonts w:hint="eastAsia" w:hAnsi="宋体"/>
          <w:color w:val="000000" w:themeColor="text1"/>
          <w:sz w:val="24"/>
          <w14:textFill>
            <w14:solidFill>
              <w14:schemeClr w14:val="tx1"/>
            </w14:solidFill>
          </w14:textFill>
        </w:rPr>
        <w:t>日  期:</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年</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月</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日</w:t>
      </w:r>
    </w:p>
    <w:p>
      <w:pPr>
        <w:pStyle w:val="2"/>
        <w:jc w:val="center"/>
        <w:rPr>
          <w:rFonts w:ascii="宋体" w:hAnsi="宋体" w:cs="宋体"/>
          <w:b/>
          <w:color w:val="000000" w:themeColor="text1"/>
          <w:sz w:val="28"/>
          <w:szCs w:val="28"/>
          <w14:textFill>
            <w14:solidFill>
              <w14:schemeClr w14:val="tx1"/>
            </w14:solidFill>
          </w14:textFill>
        </w:rPr>
      </w:pPr>
    </w:p>
    <w:p>
      <w:pPr>
        <w:pStyle w:val="2"/>
        <w:jc w:val="center"/>
        <w:rPr>
          <w:rFonts w:ascii="宋体" w:hAnsi="宋体" w:cs="宋体"/>
          <w:b/>
          <w:color w:val="000000" w:themeColor="text1"/>
          <w:sz w:val="28"/>
          <w:szCs w:val="28"/>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八、供应商针对本项目人员配置情况表</w:t>
      </w:r>
    </w:p>
    <w:tbl>
      <w:tblPr>
        <w:tblStyle w:val="32"/>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962"/>
        <w:gridCol w:w="962"/>
        <w:gridCol w:w="961"/>
        <w:gridCol w:w="1095"/>
        <w:gridCol w:w="1285"/>
        <w:gridCol w:w="850"/>
        <w:gridCol w:w="851"/>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restart"/>
            <w:vAlign w:val="center"/>
          </w:tcPr>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类别</w:t>
            </w:r>
          </w:p>
        </w:tc>
        <w:tc>
          <w:tcPr>
            <w:tcW w:w="962" w:type="dxa"/>
            <w:vMerge w:val="restart"/>
            <w:vAlign w:val="center"/>
          </w:tcPr>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职务</w:t>
            </w:r>
          </w:p>
        </w:tc>
        <w:tc>
          <w:tcPr>
            <w:tcW w:w="962" w:type="dxa"/>
            <w:vMerge w:val="restart"/>
            <w:vAlign w:val="center"/>
          </w:tcPr>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姓名</w:t>
            </w:r>
          </w:p>
        </w:tc>
        <w:tc>
          <w:tcPr>
            <w:tcW w:w="961" w:type="dxa"/>
            <w:vMerge w:val="restart"/>
            <w:vAlign w:val="center"/>
          </w:tcPr>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职称</w:t>
            </w:r>
          </w:p>
        </w:tc>
        <w:tc>
          <w:tcPr>
            <w:tcW w:w="1095" w:type="dxa"/>
            <w:vMerge w:val="restart"/>
            <w:vAlign w:val="center"/>
          </w:tcPr>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常住地</w:t>
            </w:r>
          </w:p>
        </w:tc>
        <w:tc>
          <w:tcPr>
            <w:tcW w:w="4000" w:type="dxa"/>
            <w:gridSpan w:val="4"/>
            <w:vAlign w:val="center"/>
          </w:tcPr>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continue"/>
          </w:tcPr>
          <w:p>
            <w:pPr>
              <w:pStyle w:val="2"/>
              <w:jc w:val="center"/>
              <w:rPr>
                <w:rFonts w:ascii="宋体" w:hAnsi="宋体" w:cs="宋体"/>
                <w:color w:val="000000" w:themeColor="text1"/>
                <w14:textFill>
                  <w14:solidFill>
                    <w14:schemeClr w14:val="tx1"/>
                  </w14:solidFill>
                </w14:textFill>
              </w:rPr>
            </w:pPr>
          </w:p>
        </w:tc>
        <w:tc>
          <w:tcPr>
            <w:tcW w:w="962" w:type="dxa"/>
            <w:vMerge w:val="continue"/>
          </w:tcPr>
          <w:p>
            <w:pPr>
              <w:pStyle w:val="2"/>
              <w:jc w:val="center"/>
              <w:rPr>
                <w:rFonts w:ascii="宋体" w:hAnsi="宋体" w:cs="宋体"/>
                <w:color w:val="000000" w:themeColor="text1"/>
                <w14:textFill>
                  <w14:solidFill>
                    <w14:schemeClr w14:val="tx1"/>
                  </w14:solidFill>
                </w14:textFill>
              </w:rPr>
            </w:pPr>
          </w:p>
        </w:tc>
        <w:tc>
          <w:tcPr>
            <w:tcW w:w="962" w:type="dxa"/>
            <w:vMerge w:val="continue"/>
          </w:tcPr>
          <w:p>
            <w:pPr>
              <w:pStyle w:val="2"/>
              <w:jc w:val="center"/>
              <w:rPr>
                <w:rFonts w:ascii="宋体" w:hAnsi="宋体" w:cs="宋体"/>
                <w:color w:val="000000" w:themeColor="text1"/>
                <w14:textFill>
                  <w14:solidFill>
                    <w14:schemeClr w14:val="tx1"/>
                  </w14:solidFill>
                </w14:textFill>
              </w:rPr>
            </w:pPr>
          </w:p>
        </w:tc>
        <w:tc>
          <w:tcPr>
            <w:tcW w:w="961" w:type="dxa"/>
            <w:vMerge w:val="continue"/>
          </w:tcPr>
          <w:p>
            <w:pPr>
              <w:pStyle w:val="2"/>
              <w:jc w:val="center"/>
              <w:rPr>
                <w:rFonts w:ascii="宋体" w:hAnsi="宋体" w:cs="宋体"/>
                <w:color w:val="000000" w:themeColor="text1"/>
                <w14:textFill>
                  <w14:solidFill>
                    <w14:schemeClr w14:val="tx1"/>
                  </w14:solidFill>
                </w14:textFill>
              </w:rPr>
            </w:pPr>
          </w:p>
        </w:tc>
        <w:tc>
          <w:tcPr>
            <w:tcW w:w="1095" w:type="dxa"/>
            <w:vMerge w:val="continue"/>
          </w:tcPr>
          <w:p>
            <w:pPr>
              <w:pStyle w:val="2"/>
              <w:jc w:val="center"/>
              <w:rPr>
                <w:rFonts w:ascii="宋体" w:hAnsi="宋体" w:cs="宋体"/>
                <w:color w:val="000000" w:themeColor="text1"/>
                <w14:textFill>
                  <w14:solidFill>
                    <w14:schemeClr w14:val="tx1"/>
                  </w14:solidFill>
                </w14:textFill>
              </w:rPr>
            </w:pPr>
          </w:p>
        </w:tc>
        <w:tc>
          <w:tcPr>
            <w:tcW w:w="1285" w:type="dxa"/>
            <w:vAlign w:val="bottom"/>
          </w:tcPr>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证书名称</w:t>
            </w:r>
          </w:p>
        </w:tc>
        <w:tc>
          <w:tcPr>
            <w:tcW w:w="850" w:type="dxa"/>
            <w:vAlign w:val="bottom"/>
          </w:tcPr>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级别</w:t>
            </w:r>
          </w:p>
        </w:tc>
        <w:tc>
          <w:tcPr>
            <w:tcW w:w="851" w:type="dxa"/>
            <w:vAlign w:val="bottom"/>
          </w:tcPr>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证号</w:t>
            </w:r>
          </w:p>
        </w:tc>
        <w:tc>
          <w:tcPr>
            <w:tcW w:w="1014" w:type="dxa"/>
            <w:vAlign w:val="bottom"/>
          </w:tcPr>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restart"/>
            <w:vAlign w:val="center"/>
          </w:tcPr>
          <w:p>
            <w:pPr>
              <w:pStyle w:val="2"/>
              <w:spacing w:line="480" w:lineRule="exact"/>
              <w:jc w:val="center"/>
              <w:rPr>
                <w:rFonts w:ascii="宋体" w:hAnsi="宋体" w:cs="宋体"/>
                <w:b/>
                <w:color w:val="000000" w:themeColor="text1"/>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1" w:type="dxa"/>
          </w:tcPr>
          <w:p>
            <w:pPr>
              <w:pStyle w:val="2"/>
              <w:jc w:val="center"/>
              <w:rPr>
                <w:rFonts w:ascii="宋体" w:hAnsi="宋体" w:cs="宋体"/>
                <w:b/>
                <w:color w:val="000000" w:themeColor="text1"/>
                <w:sz w:val="28"/>
                <w:szCs w:val="28"/>
                <w14:textFill>
                  <w14:solidFill>
                    <w14:schemeClr w14:val="tx1"/>
                  </w14:solidFill>
                </w14:textFill>
              </w:rPr>
            </w:pPr>
          </w:p>
        </w:tc>
        <w:tc>
          <w:tcPr>
            <w:tcW w:w="1095" w:type="dxa"/>
          </w:tcPr>
          <w:p>
            <w:pPr>
              <w:pStyle w:val="2"/>
              <w:jc w:val="center"/>
              <w:rPr>
                <w:rFonts w:ascii="宋体" w:hAnsi="宋体" w:cs="宋体"/>
                <w:b/>
                <w:color w:val="000000" w:themeColor="text1"/>
                <w:sz w:val="28"/>
                <w:szCs w:val="28"/>
                <w14:textFill>
                  <w14:solidFill>
                    <w14:schemeClr w14:val="tx1"/>
                  </w14:solidFill>
                </w14:textFill>
              </w:rPr>
            </w:pPr>
          </w:p>
        </w:tc>
        <w:tc>
          <w:tcPr>
            <w:tcW w:w="1285" w:type="dxa"/>
          </w:tcPr>
          <w:p>
            <w:pPr>
              <w:pStyle w:val="2"/>
              <w:jc w:val="center"/>
              <w:rPr>
                <w:rFonts w:ascii="宋体" w:hAnsi="宋体" w:cs="宋体"/>
                <w:b/>
                <w:color w:val="000000" w:themeColor="text1"/>
                <w:sz w:val="28"/>
                <w:szCs w:val="28"/>
                <w14:textFill>
                  <w14:solidFill>
                    <w14:schemeClr w14:val="tx1"/>
                  </w14:solidFill>
                </w14:textFill>
              </w:rPr>
            </w:pPr>
          </w:p>
        </w:tc>
        <w:tc>
          <w:tcPr>
            <w:tcW w:w="850" w:type="dxa"/>
          </w:tcPr>
          <w:p>
            <w:pPr>
              <w:pStyle w:val="2"/>
              <w:jc w:val="center"/>
              <w:rPr>
                <w:rFonts w:ascii="宋体" w:hAnsi="宋体" w:cs="宋体"/>
                <w:b/>
                <w:color w:val="000000" w:themeColor="text1"/>
                <w:sz w:val="28"/>
                <w:szCs w:val="28"/>
                <w14:textFill>
                  <w14:solidFill>
                    <w14:schemeClr w14:val="tx1"/>
                  </w14:solidFill>
                </w14:textFill>
              </w:rPr>
            </w:pPr>
          </w:p>
        </w:tc>
        <w:tc>
          <w:tcPr>
            <w:tcW w:w="851" w:type="dxa"/>
          </w:tcPr>
          <w:p>
            <w:pPr>
              <w:pStyle w:val="2"/>
              <w:jc w:val="center"/>
              <w:rPr>
                <w:rFonts w:ascii="宋体" w:hAnsi="宋体" w:cs="宋体"/>
                <w:b/>
                <w:color w:val="000000" w:themeColor="text1"/>
                <w:sz w:val="28"/>
                <w:szCs w:val="28"/>
                <w14:textFill>
                  <w14:solidFill>
                    <w14:schemeClr w14:val="tx1"/>
                  </w14:solidFill>
                </w14:textFill>
              </w:rPr>
            </w:pPr>
          </w:p>
        </w:tc>
        <w:tc>
          <w:tcPr>
            <w:tcW w:w="1014" w:type="dxa"/>
          </w:tcPr>
          <w:p>
            <w:pPr>
              <w:pStyle w:val="2"/>
              <w:jc w:val="center"/>
              <w:rPr>
                <w:rFonts w:ascii="宋体"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continue"/>
          </w:tcPr>
          <w:p>
            <w:pPr>
              <w:pStyle w:val="2"/>
              <w:spacing w:line="480" w:lineRule="exact"/>
              <w:jc w:val="center"/>
              <w:rPr>
                <w:rFonts w:ascii="宋体" w:hAnsi="宋体" w:cs="宋体"/>
                <w:b/>
                <w:color w:val="000000" w:themeColor="text1"/>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1" w:type="dxa"/>
          </w:tcPr>
          <w:p>
            <w:pPr>
              <w:pStyle w:val="2"/>
              <w:jc w:val="center"/>
              <w:rPr>
                <w:rFonts w:ascii="宋体" w:hAnsi="宋体" w:cs="宋体"/>
                <w:b/>
                <w:color w:val="000000" w:themeColor="text1"/>
                <w:sz w:val="28"/>
                <w:szCs w:val="28"/>
                <w14:textFill>
                  <w14:solidFill>
                    <w14:schemeClr w14:val="tx1"/>
                  </w14:solidFill>
                </w14:textFill>
              </w:rPr>
            </w:pPr>
          </w:p>
        </w:tc>
        <w:tc>
          <w:tcPr>
            <w:tcW w:w="1095" w:type="dxa"/>
          </w:tcPr>
          <w:p>
            <w:pPr>
              <w:pStyle w:val="2"/>
              <w:jc w:val="center"/>
              <w:rPr>
                <w:rFonts w:ascii="宋体" w:hAnsi="宋体" w:cs="宋体"/>
                <w:b/>
                <w:color w:val="000000" w:themeColor="text1"/>
                <w:sz w:val="28"/>
                <w:szCs w:val="28"/>
                <w14:textFill>
                  <w14:solidFill>
                    <w14:schemeClr w14:val="tx1"/>
                  </w14:solidFill>
                </w14:textFill>
              </w:rPr>
            </w:pPr>
          </w:p>
        </w:tc>
        <w:tc>
          <w:tcPr>
            <w:tcW w:w="1285" w:type="dxa"/>
          </w:tcPr>
          <w:p>
            <w:pPr>
              <w:pStyle w:val="2"/>
              <w:jc w:val="center"/>
              <w:rPr>
                <w:rFonts w:ascii="宋体" w:hAnsi="宋体" w:cs="宋体"/>
                <w:b/>
                <w:color w:val="000000" w:themeColor="text1"/>
                <w:sz w:val="28"/>
                <w:szCs w:val="28"/>
                <w14:textFill>
                  <w14:solidFill>
                    <w14:schemeClr w14:val="tx1"/>
                  </w14:solidFill>
                </w14:textFill>
              </w:rPr>
            </w:pPr>
          </w:p>
        </w:tc>
        <w:tc>
          <w:tcPr>
            <w:tcW w:w="850" w:type="dxa"/>
          </w:tcPr>
          <w:p>
            <w:pPr>
              <w:pStyle w:val="2"/>
              <w:jc w:val="center"/>
              <w:rPr>
                <w:rFonts w:ascii="宋体" w:hAnsi="宋体" w:cs="宋体"/>
                <w:b/>
                <w:color w:val="000000" w:themeColor="text1"/>
                <w:sz w:val="28"/>
                <w:szCs w:val="28"/>
                <w14:textFill>
                  <w14:solidFill>
                    <w14:schemeClr w14:val="tx1"/>
                  </w14:solidFill>
                </w14:textFill>
              </w:rPr>
            </w:pPr>
          </w:p>
        </w:tc>
        <w:tc>
          <w:tcPr>
            <w:tcW w:w="851" w:type="dxa"/>
          </w:tcPr>
          <w:p>
            <w:pPr>
              <w:pStyle w:val="2"/>
              <w:jc w:val="center"/>
              <w:rPr>
                <w:rFonts w:ascii="宋体" w:hAnsi="宋体" w:cs="宋体"/>
                <w:b/>
                <w:color w:val="000000" w:themeColor="text1"/>
                <w:sz w:val="28"/>
                <w:szCs w:val="28"/>
                <w14:textFill>
                  <w14:solidFill>
                    <w14:schemeClr w14:val="tx1"/>
                  </w14:solidFill>
                </w14:textFill>
              </w:rPr>
            </w:pPr>
          </w:p>
        </w:tc>
        <w:tc>
          <w:tcPr>
            <w:tcW w:w="1014" w:type="dxa"/>
          </w:tcPr>
          <w:p>
            <w:pPr>
              <w:pStyle w:val="2"/>
              <w:jc w:val="center"/>
              <w:rPr>
                <w:rFonts w:ascii="宋体"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97" w:type="dxa"/>
            <w:vMerge w:val="continue"/>
          </w:tcPr>
          <w:p>
            <w:pPr>
              <w:pStyle w:val="2"/>
              <w:spacing w:line="480" w:lineRule="exact"/>
              <w:jc w:val="center"/>
              <w:rPr>
                <w:rFonts w:ascii="宋体" w:hAnsi="宋体" w:cs="宋体"/>
                <w:b/>
                <w:color w:val="000000" w:themeColor="text1"/>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1" w:type="dxa"/>
          </w:tcPr>
          <w:p>
            <w:pPr>
              <w:pStyle w:val="2"/>
              <w:jc w:val="center"/>
              <w:rPr>
                <w:rFonts w:ascii="宋体" w:hAnsi="宋体" w:cs="宋体"/>
                <w:b/>
                <w:color w:val="000000" w:themeColor="text1"/>
                <w:sz w:val="28"/>
                <w:szCs w:val="28"/>
                <w14:textFill>
                  <w14:solidFill>
                    <w14:schemeClr w14:val="tx1"/>
                  </w14:solidFill>
                </w14:textFill>
              </w:rPr>
            </w:pPr>
          </w:p>
        </w:tc>
        <w:tc>
          <w:tcPr>
            <w:tcW w:w="1095" w:type="dxa"/>
          </w:tcPr>
          <w:p>
            <w:pPr>
              <w:pStyle w:val="2"/>
              <w:jc w:val="center"/>
              <w:rPr>
                <w:rFonts w:ascii="宋体" w:hAnsi="宋体" w:cs="宋体"/>
                <w:b/>
                <w:color w:val="000000" w:themeColor="text1"/>
                <w:sz w:val="28"/>
                <w:szCs w:val="28"/>
                <w14:textFill>
                  <w14:solidFill>
                    <w14:schemeClr w14:val="tx1"/>
                  </w14:solidFill>
                </w14:textFill>
              </w:rPr>
            </w:pPr>
          </w:p>
        </w:tc>
        <w:tc>
          <w:tcPr>
            <w:tcW w:w="1285" w:type="dxa"/>
          </w:tcPr>
          <w:p>
            <w:pPr>
              <w:pStyle w:val="2"/>
              <w:jc w:val="center"/>
              <w:rPr>
                <w:rFonts w:ascii="宋体" w:hAnsi="宋体" w:cs="宋体"/>
                <w:b/>
                <w:color w:val="000000" w:themeColor="text1"/>
                <w:sz w:val="28"/>
                <w:szCs w:val="28"/>
                <w14:textFill>
                  <w14:solidFill>
                    <w14:schemeClr w14:val="tx1"/>
                  </w14:solidFill>
                </w14:textFill>
              </w:rPr>
            </w:pPr>
          </w:p>
        </w:tc>
        <w:tc>
          <w:tcPr>
            <w:tcW w:w="850" w:type="dxa"/>
          </w:tcPr>
          <w:p>
            <w:pPr>
              <w:pStyle w:val="2"/>
              <w:jc w:val="center"/>
              <w:rPr>
                <w:rFonts w:ascii="宋体" w:hAnsi="宋体" w:cs="宋体"/>
                <w:b/>
                <w:color w:val="000000" w:themeColor="text1"/>
                <w:sz w:val="28"/>
                <w:szCs w:val="28"/>
                <w14:textFill>
                  <w14:solidFill>
                    <w14:schemeClr w14:val="tx1"/>
                  </w14:solidFill>
                </w14:textFill>
              </w:rPr>
            </w:pPr>
          </w:p>
        </w:tc>
        <w:tc>
          <w:tcPr>
            <w:tcW w:w="851" w:type="dxa"/>
          </w:tcPr>
          <w:p>
            <w:pPr>
              <w:pStyle w:val="2"/>
              <w:jc w:val="center"/>
              <w:rPr>
                <w:rFonts w:ascii="宋体" w:hAnsi="宋体" w:cs="宋体"/>
                <w:b/>
                <w:color w:val="000000" w:themeColor="text1"/>
                <w:sz w:val="28"/>
                <w:szCs w:val="28"/>
                <w14:textFill>
                  <w14:solidFill>
                    <w14:schemeClr w14:val="tx1"/>
                  </w14:solidFill>
                </w14:textFill>
              </w:rPr>
            </w:pPr>
          </w:p>
        </w:tc>
        <w:tc>
          <w:tcPr>
            <w:tcW w:w="1014" w:type="dxa"/>
          </w:tcPr>
          <w:p>
            <w:pPr>
              <w:pStyle w:val="2"/>
              <w:jc w:val="center"/>
              <w:rPr>
                <w:rFonts w:ascii="宋体"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restart"/>
            <w:vAlign w:val="center"/>
          </w:tcPr>
          <w:p>
            <w:pPr>
              <w:pStyle w:val="2"/>
              <w:spacing w:line="480" w:lineRule="exact"/>
              <w:jc w:val="center"/>
              <w:rPr>
                <w:rFonts w:ascii="宋体" w:hAnsi="宋体" w:cs="宋体"/>
                <w:b/>
                <w:color w:val="000000" w:themeColor="text1"/>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1" w:type="dxa"/>
          </w:tcPr>
          <w:p>
            <w:pPr>
              <w:pStyle w:val="2"/>
              <w:jc w:val="center"/>
              <w:rPr>
                <w:rFonts w:ascii="宋体" w:hAnsi="宋体" w:cs="宋体"/>
                <w:b/>
                <w:color w:val="000000" w:themeColor="text1"/>
                <w:sz w:val="28"/>
                <w:szCs w:val="28"/>
                <w14:textFill>
                  <w14:solidFill>
                    <w14:schemeClr w14:val="tx1"/>
                  </w14:solidFill>
                </w14:textFill>
              </w:rPr>
            </w:pPr>
          </w:p>
        </w:tc>
        <w:tc>
          <w:tcPr>
            <w:tcW w:w="1095" w:type="dxa"/>
          </w:tcPr>
          <w:p>
            <w:pPr>
              <w:pStyle w:val="2"/>
              <w:jc w:val="center"/>
              <w:rPr>
                <w:rFonts w:ascii="宋体" w:hAnsi="宋体" w:cs="宋体"/>
                <w:b/>
                <w:color w:val="000000" w:themeColor="text1"/>
                <w:sz w:val="28"/>
                <w:szCs w:val="28"/>
                <w14:textFill>
                  <w14:solidFill>
                    <w14:schemeClr w14:val="tx1"/>
                  </w14:solidFill>
                </w14:textFill>
              </w:rPr>
            </w:pPr>
          </w:p>
        </w:tc>
        <w:tc>
          <w:tcPr>
            <w:tcW w:w="1285" w:type="dxa"/>
          </w:tcPr>
          <w:p>
            <w:pPr>
              <w:pStyle w:val="2"/>
              <w:jc w:val="center"/>
              <w:rPr>
                <w:rFonts w:ascii="宋体" w:hAnsi="宋体" w:cs="宋体"/>
                <w:b/>
                <w:color w:val="000000" w:themeColor="text1"/>
                <w:sz w:val="28"/>
                <w:szCs w:val="28"/>
                <w14:textFill>
                  <w14:solidFill>
                    <w14:schemeClr w14:val="tx1"/>
                  </w14:solidFill>
                </w14:textFill>
              </w:rPr>
            </w:pPr>
          </w:p>
        </w:tc>
        <w:tc>
          <w:tcPr>
            <w:tcW w:w="850" w:type="dxa"/>
          </w:tcPr>
          <w:p>
            <w:pPr>
              <w:pStyle w:val="2"/>
              <w:jc w:val="center"/>
              <w:rPr>
                <w:rFonts w:ascii="宋体" w:hAnsi="宋体" w:cs="宋体"/>
                <w:b/>
                <w:color w:val="000000" w:themeColor="text1"/>
                <w:sz w:val="28"/>
                <w:szCs w:val="28"/>
                <w14:textFill>
                  <w14:solidFill>
                    <w14:schemeClr w14:val="tx1"/>
                  </w14:solidFill>
                </w14:textFill>
              </w:rPr>
            </w:pPr>
          </w:p>
        </w:tc>
        <w:tc>
          <w:tcPr>
            <w:tcW w:w="851" w:type="dxa"/>
          </w:tcPr>
          <w:p>
            <w:pPr>
              <w:pStyle w:val="2"/>
              <w:jc w:val="center"/>
              <w:rPr>
                <w:rFonts w:ascii="宋体" w:hAnsi="宋体" w:cs="宋体"/>
                <w:b/>
                <w:color w:val="000000" w:themeColor="text1"/>
                <w:sz w:val="28"/>
                <w:szCs w:val="28"/>
                <w14:textFill>
                  <w14:solidFill>
                    <w14:schemeClr w14:val="tx1"/>
                  </w14:solidFill>
                </w14:textFill>
              </w:rPr>
            </w:pPr>
          </w:p>
        </w:tc>
        <w:tc>
          <w:tcPr>
            <w:tcW w:w="1014" w:type="dxa"/>
          </w:tcPr>
          <w:p>
            <w:pPr>
              <w:pStyle w:val="2"/>
              <w:jc w:val="center"/>
              <w:rPr>
                <w:rFonts w:ascii="宋体"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continue"/>
          </w:tcPr>
          <w:p>
            <w:pPr>
              <w:pStyle w:val="2"/>
              <w:spacing w:line="480" w:lineRule="exact"/>
              <w:jc w:val="center"/>
              <w:rPr>
                <w:rFonts w:ascii="宋体" w:hAnsi="宋体" w:cs="宋体"/>
                <w:b/>
                <w:color w:val="000000" w:themeColor="text1"/>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1" w:type="dxa"/>
          </w:tcPr>
          <w:p>
            <w:pPr>
              <w:pStyle w:val="2"/>
              <w:jc w:val="center"/>
              <w:rPr>
                <w:rFonts w:ascii="宋体" w:hAnsi="宋体" w:cs="宋体"/>
                <w:b/>
                <w:color w:val="000000" w:themeColor="text1"/>
                <w:sz w:val="28"/>
                <w:szCs w:val="28"/>
                <w14:textFill>
                  <w14:solidFill>
                    <w14:schemeClr w14:val="tx1"/>
                  </w14:solidFill>
                </w14:textFill>
              </w:rPr>
            </w:pPr>
          </w:p>
        </w:tc>
        <w:tc>
          <w:tcPr>
            <w:tcW w:w="1095" w:type="dxa"/>
          </w:tcPr>
          <w:p>
            <w:pPr>
              <w:pStyle w:val="2"/>
              <w:jc w:val="center"/>
              <w:rPr>
                <w:rFonts w:ascii="宋体" w:hAnsi="宋体" w:cs="宋体"/>
                <w:b/>
                <w:color w:val="000000" w:themeColor="text1"/>
                <w:sz w:val="28"/>
                <w:szCs w:val="28"/>
                <w14:textFill>
                  <w14:solidFill>
                    <w14:schemeClr w14:val="tx1"/>
                  </w14:solidFill>
                </w14:textFill>
              </w:rPr>
            </w:pPr>
          </w:p>
        </w:tc>
        <w:tc>
          <w:tcPr>
            <w:tcW w:w="1285" w:type="dxa"/>
          </w:tcPr>
          <w:p>
            <w:pPr>
              <w:pStyle w:val="2"/>
              <w:jc w:val="center"/>
              <w:rPr>
                <w:rFonts w:ascii="宋体" w:hAnsi="宋体" w:cs="宋体"/>
                <w:b/>
                <w:color w:val="000000" w:themeColor="text1"/>
                <w:sz w:val="28"/>
                <w:szCs w:val="28"/>
                <w14:textFill>
                  <w14:solidFill>
                    <w14:schemeClr w14:val="tx1"/>
                  </w14:solidFill>
                </w14:textFill>
              </w:rPr>
            </w:pPr>
          </w:p>
        </w:tc>
        <w:tc>
          <w:tcPr>
            <w:tcW w:w="850" w:type="dxa"/>
          </w:tcPr>
          <w:p>
            <w:pPr>
              <w:pStyle w:val="2"/>
              <w:jc w:val="center"/>
              <w:rPr>
                <w:rFonts w:ascii="宋体" w:hAnsi="宋体" w:cs="宋体"/>
                <w:b/>
                <w:color w:val="000000" w:themeColor="text1"/>
                <w:sz w:val="28"/>
                <w:szCs w:val="28"/>
                <w14:textFill>
                  <w14:solidFill>
                    <w14:schemeClr w14:val="tx1"/>
                  </w14:solidFill>
                </w14:textFill>
              </w:rPr>
            </w:pPr>
          </w:p>
        </w:tc>
        <w:tc>
          <w:tcPr>
            <w:tcW w:w="851" w:type="dxa"/>
          </w:tcPr>
          <w:p>
            <w:pPr>
              <w:pStyle w:val="2"/>
              <w:jc w:val="center"/>
              <w:rPr>
                <w:rFonts w:ascii="宋体" w:hAnsi="宋体" w:cs="宋体"/>
                <w:b/>
                <w:color w:val="000000" w:themeColor="text1"/>
                <w:sz w:val="28"/>
                <w:szCs w:val="28"/>
                <w14:textFill>
                  <w14:solidFill>
                    <w14:schemeClr w14:val="tx1"/>
                  </w14:solidFill>
                </w14:textFill>
              </w:rPr>
            </w:pPr>
          </w:p>
        </w:tc>
        <w:tc>
          <w:tcPr>
            <w:tcW w:w="1014" w:type="dxa"/>
          </w:tcPr>
          <w:p>
            <w:pPr>
              <w:pStyle w:val="2"/>
              <w:jc w:val="center"/>
              <w:rPr>
                <w:rFonts w:ascii="宋体"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97" w:type="dxa"/>
            <w:vMerge w:val="continue"/>
          </w:tcPr>
          <w:p>
            <w:pPr>
              <w:pStyle w:val="2"/>
              <w:spacing w:line="480" w:lineRule="exact"/>
              <w:jc w:val="center"/>
              <w:rPr>
                <w:rFonts w:ascii="宋体" w:hAnsi="宋体" w:cs="宋体"/>
                <w:b/>
                <w:color w:val="000000" w:themeColor="text1"/>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1" w:type="dxa"/>
          </w:tcPr>
          <w:p>
            <w:pPr>
              <w:pStyle w:val="2"/>
              <w:jc w:val="center"/>
              <w:rPr>
                <w:rFonts w:ascii="宋体" w:hAnsi="宋体" w:cs="宋体"/>
                <w:b/>
                <w:color w:val="000000" w:themeColor="text1"/>
                <w:sz w:val="28"/>
                <w:szCs w:val="28"/>
                <w14:textFill>
                  <w14:solidFill>
                    <w14:schemeClr w14:val="tx1"/>
                  </w14:solidFill>
                </w14:textFill>
              </w:rPr>
            </w:pPr>
          </w:p>
        </w:tc>
        <w:tc>
          <w:tcPr>
            <w:tcW w:w="1095" w:type="dxa"/>
          </w:tcPr>
          <w:p>
            <w:pPr>
              <w:pStyle w:val="2"/>
              <w:jc w:val="center"/>
              <w:rPr>
                <w:rFonts w:ascii="宋体" w:hAnsi="宋体" w:cs="宋体"/>
                <w:b/>
                <w:color w:val="000000" w:themeColor="text1"/>
                <w:sz w:val="28"/>
                <w:szCs w:val="28"/>
                <w14:textFill>
                  <w14:solidFill>
                    <w14:schemeClr w14:val="tx1"/>
                  </w14:solidFill>
                </w14:textFill>
              </w:rPr>
            </w:pPr>
          </w:p>
        </w:tc>
        <w:tc>
          <w:tcPr>
            <w:tcW w:w="1285" w:type="dxa"/>
          </w:tcPr>
          <w:p>
            <w:pPr>
              <w:pStyle w:val="2"/>
              <w:jc w:val="center"/>
              <w:rPr>
                <w:rFonts w:ascii="宋体" w:hAnsi="宋体" w:cs="宋体"/>
                <w:b/>
                <w:color w:val="000000" w:themeColor="text1"/>
                <w:sz w:val="28"/>
                <w:szCs w:val="28"/>
                <w14:textFill>
                  <w14:solidFill>
                    <w14:schemeClr w14:val="tx1"/>
                  </w14:solidFill>
                </w14:textFill>
              </w:rPr>
            </w:pPr>
          </w:p>
        </w:tc>
        <w:tc>
          <w:tcPr>
            <w:tcW w:w="850" w:type="dxa"/>
          </w:tcPr>
          <w:p>
            <w:pPr>
              <w:pStyle w:val="2"/>
              <w:jc w:val="center"/>
              <w:rPr>
                <w:rFonts w:ascii="宋体" w:hAnsi="宋体" w:cs="宋体"/>
                <w:b/>
                <w:color w:val="000000" w:themeColor="text1"/>
                <w:sz w:val="28"/>
                <w:szCs w:val="28"/>
                <w14:textFill>
                  <w14:solidFill>
                    <w14:schemeClr w14:val="tx1"/>
                  </w14:solidFill>
                </w14:textFill>
              </w:rPr>
            </w:pPr>
          </w:p>
        </w:tc>
        <w:tc>
          <w:tcPr>
            <w:tcW w:w="851" w:type="dxa"/>
          </w:tcPr>
          <w:p>
            <w:pPr>
              <w:pStyle w:val="2"/>
              <w:jc w:val="center"/>
              <w:rPr>
                <w:rFonts w:ascii="宋体" w:hAnsi="宋体" w:cs="宋体"/>
                <w:b/>
                <w:color w:val="000000" w:themeColor="text1"/>
                <w:sz w:val="28"/>
                <w:szCs w:val="28"/>
                <w14:textFill>
                  <w14:solidFill>
                    <w14:schemeClr w14:val="tx1"/>
                  </w14:solidFill>
                </w14:textFill>
              </w:rPr>
            </w:pPr>
          </w:p>
        </w:tc>
        <w:tc>
          <w:tcPr>
            <w:tcW w:w="1014" w:type="dxa"/>
          </w:tcPr>
          <w:p>
            <w:pPr>
              <w:pStyle w:val="2"/>
              <w:jc w:val="center"/>
              <w:rPr>
                <w:rFonts w:ascii="宋体"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restart"/>
            <w:vAlign w:val="center"/>
          </w:tcPr>
          <w:p>
            <w:pPr>
              <w:pStyle w:val="2"/>
              <w:spacing w:line="480" w:lineRule="exact"/>
              <w:jc w:val="center"/>
              <w:rPr>
                <w:rFonts w:ascii="宋体" w:hAnsi="宋体" w:cs="宋体"/>
                <w:b/>
                <w:color w:val="000000" w:themeColor="text1"/>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1" w:type="dxa"/>
          </w:tcPr>
          <w:p>
            <w:pPr>
              <w:pStyle w:val="2"/>
              <w:jc w:val="center"/>
              <w:rPr>
                <w:rFonts w:ascii="宋体" w:hAnsi="宋体" w:cs="宋体"/>
                <w:b/>
                <w:color w:val="000000" w:themeColor="text1"/>
                <w:sz w:val="28"/>
                <w:szCs w:val="28"/>
                <w14:textFill>
                  <w14:solidFill>
                    <w14:schemeClr w14:val="tx1"/>
                  </w14:solidFill>
                </w14:textFill>
              </w:rPr>
            </w:pPr>
          </w:p>
        </w:tc>
        <w:tc>
          <w:tcPr>
            <w:tcW w:w="1095" w:type="dxa"/>
          </w:tcPr>
          <w:p>
            <w:pPr>
              <w:pStyle w:val="2"/>
              <w:jc w:val="center"/>
              <w:rPr>
                <w:rFonts w:ascii="宋体" w:hAnsi="宋体" w:cs="宋体"/>
                <w:b/>
                <w:color w:val="000000" w:themeColor="text1"/>
                <w:sz w:val="28"/>
                <w:szCs w:val="28"/>
                <w14:textFill>
                  <w14:solidFill>
                    <w14:schemeClr w14:val="tx1"/>
                  </w14:solidFill>
                </w14:textFill>
              </w:rPr>
            </w:pPr>
          </w:p>
        </w:tc>
        <w:tc>
          <w:tcPr>
            <w:tcW w:w="1285" w:type="dxa"/>
          </w:tcPr>
          <w:p>
            <w:pPr>
              <w:pStyle w:val="2"/>
              <w:jc w:val="center"/>
              <w:rPr>
                <w:rFonts w:ascii="宋体" w:hAnsi="宋体" w:cs="宋体"/>
                <w:b/>
                <w:color w:val="000000" w:themeColor="text1"/>
                <w:sz w:val="28"/>
                <w:szCs w:val="28"/>
                <w14:textFill>
                  <w14:solidFill>
                    <w14:schemeClr w14:val="tx1"/>
                  </w14:solidFill>
                </w14:textFill>
              </w:rPr>
            </w:pPr>
          </w:p>
        </w:tc>
        <w:tc>
          <w:tcPr>
            <w:tcW w:w="850" w:type="dxa"/>
          </w:tcPr>
          <w:p>
            <w:pPr>
              <w:pStyle w:val="2"/>
              <w:jc w:val="center"/>
              <w:rPr>
                <w:rFonts w:ascii="宋体" w:hAnsi="宋体" w:cs="宋体"/>
                <w:b/>
                <w:color w:val="000000" w:themeColor="text1"/>
                <w:sz w:val="28"/>
                <w:szCs w:val="28"/>
                <w14:textFill>
                  <w14:solidFill>
                    <w14:schemeClr w14:val="tx1"/>
                  </w14:solidFill>
                </w14:textFill>
              </w:rPr>
            </w:pPr>
          </w:p>
        </w:tc>
        <w:tc>
          <w:tcPr>
            <w:tcW w:w="851" w:type="dxa"/>
          </w:tcPr>
          <w:p>
            <w:pPr>
              <w:pStyle w:val="2"/>
              <w:jc w:val="center"/>
              <w:rPr>
                <w:rFonts w:ascii="宋体" w:hAnsi="宋体" w:cs="宋体"/>
                <w:b/>
                <w:color w:val="000000" w:themeColor="text1"/>
                <w:sz w:val="28"/>
                <w:szCs w:val="28"/>
                <w14:textFill>
                  <w14:solidFill>
                    <w14:schemeClr w14:val="tx1"/>
                  </w14:solidFill>
                </w14:textFill>
              </w:rPr>
            </w:pPr>
          </w:p>
        </w:tc>
        <w:tc>
          <w:tcPr>
            <w:tcW w:w="1014" w:type="dxa"/>
          </w:tcPr>
          <w:p>
            <w:pPr>
              <w:pStyle w:val="2"/>
              <w:jc w:val="center"/>
              <w:rPr>
                <w:rFonts w:ascii="宋体"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continue"/>
          </w:tcPr>
          <w:p>
            <w:pPr>
              <w:pStyle w:val="2"/>
              <w:jc w:val="center"/>
              <w:rPr>
                <w:rFonts w:ascii="宋体" w:hAnsi="宋体" w:cs="宋体"/>
                <w:b/>
                <w:color w:val="000000" w:themeColor="text1"/>
                <w:sz w:val="28"/>
                <w:szCs w:val="28"/>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1" w:type="dxa"/>
          </w:tcPr>
          <w:p>
            <w:pPr>
              <w:pStyle w:val="2"/>
              <w:jc w:val="center"/>
              <w:rPr>
                <w:rFonts w:ascii="宋体" w:hAnsi="宋体" w:cs="宋体"/>
                <w:b/>
                <w:color w:val="000000" w:themeColor="text1"/>
                <w:sz w:val="28"/>
                <w:szCs w:val="28"/>
                <w14:textFill>
                  <w14:solidFill>
                    <w14:schemeClr w14:val="tx1"/>
                  </w14:solidFill>
                </w14:textFill>
              </w:rPr>
            </w:pPr>
          </w:p>
        </w:tc>
        <w:tc>
          <w:tcPr>
            <w:tcW w:w="1095" w:type="dxa"/>
          </w:tcPr>
          <w:p>
            <w:pPr>
              <w:pStyle w:val="2"/>
              <w:jc w:val="center"/>
              <w:rPr>
                <w:rFonts w:ascii="宋体" w:hAnsi="宋体" w:cs="宋体"/>
                <w:b/>
                <w:color w:val="000000" w:themeColor="text1"/>
                <w:sz w:val="28"/>
                <w:szCs w:val="28"/>
                <w14:textFill>
                  <w14:solidFill>
                    <w14:schemeClr w14:val="tx1"/>
                  </w14:solidFill>
                </w14:textFill>
              </w:rPr>
            </w:pPr>
          </w:p>
        </w:tc>
        <w:tc>
          <w:tcPr>
            <w:tcW w:w="1285" w:type="dxa"/>
          </w:tcPr>
          <w:p>
            <w:pPr>
              <w:pStyle w:val="2"/>
              <w:jc w:val="center"/>
              <w:rPr>
                <w:rFonts w:ascii="宋体" w:hAnsi="宋体" w:cs="宋体"/>
                <w:b/>
                <w:color w:val="000000" w:themeColor="text1"/>
                <w:sz w:val="28"/>
                <w:szCs w:val="28"/>
                <w14:textFill>
                  <w14:solidFill>
                    <w14:schemeClr w14:val="tx1"/>
                  </w14:solidFill>
                </w14:textFill>
              </w:rPr>
            </w:pPr>
          </w:p>
        </w:tc>
        <w:tc>
          <w:tcPr>
            <w:tcW w:w="850" w:type="dxa"/>
          </w:tcPr>
          <w:p>
            <w:pPr>
              <w:pStyle w:val="2"/>
              <w:jc w:val="center"/>
              <w:rPr>
                <w:rFonts w:ascii="宋体" w:hAnsi="宋体" w:cs="宋体"/>
                <w:b/>
                <w:color w:val="000000" w:themeColor="text1"/>
                <w:sz w:val="28"/>
                <w:szCs w:val="28"/>
                <w14:textFill>
                  <w14:solidFill>
                    <w14:schemeClr w14:val="tx1"/>
                  </w14:solidFill>
                </w14:textFill>
              </w:rPr>
            </w:pPr>
          </w:p>
        </w:tc>
        <w:tc>
          <w:tcPr>
            <w:tcW w:w="851" w:type="dxa"/>
          </w:tcPr>
          <w:p>
            <w:pPr>
              <w:pStyle w:val="2"/>
              <w:jc w:val="center"/>
              <w:rPr>
                <w:rFonts w:ascii="宋体" w:hAnsi="宋体" w:cs="宋体"/>
                <w:b/>
                <w:color w:val="000000" w:themeColor="text1"/>
                <w:sz w:val="28"/>
                <w:szCs w:val="28"/>
                <w14:textFill>
                  <w14:solidFill>
                    <w14:schemeClr w14:val="tx1"/>
                  </w14:solidFill>
                </w14:textFill>
              </w:rPr>
            </w:pPr>
          </w:p>
        </w:tc>
        <w:tc>
          <w:tcPr>
            <w:tcW w:w="1014" w:type="dxa"/>
          </w:tcPr>
          <w:p>
            <w:pPr>
              <w:pStyle w:val="2"/>
              <w:jc w:val="center"/>
              <w:rPr>
                <w:rFonts w:ascii="宋体" w:hAnsi="宋体" w:cs="宋体"/>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continue"/>
          </w:tcPr>
          <w:p>
            <w:pPr>
              <w:pStyle w:val="2"/>
              <w:jc w:val="center"/>
              <w:rPr>
                <w:rFonts w:ascii="宋体" w:hAnsi="宋体" w:cs="宋体"/>
                <w:b/>
                <w:color w:val="000000" w:themeColor="text1"/>
                <w:sz w:val="28"/>
                <w:szCs w:val="28"/>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2" w:type="dxa"/>
          </w:tcPr>
          <w:p>
            <w:pPr>
              <w:pStyle w:val="2"/>
              <w:jc w:val="center"/>
              <w:rPr>
                <w:rFonts w:ascii="宋体" w:hAnsi="宋体" w:cs="宋体"/>
                <w:b/>
                <w:color w:val="000000" w:themeColor="text1"/>
                <w:sz w:val="28"/>
                <w:szCs w:val="28"/>
                <w14:textFill>
                  <w14:solidFill>
                    <w14:schemeClr w14:val="tx1"/>
                  </w14:solidFill>
                </w14:textFill>
              </w:rPr>
            </w:pPr>
          </w:p>
        </w:tc>
        <w:tc>
          <w:tcPr>
            <w:tcW w:w="961" w:type="dxa"/>
          </w:tcPr>
          <w:p>
            <w:pPr>
              <w:pStyle w:val="2"/>
              <w:jc w:val="center"/>
              <w:rPr>
                <w:rFonts w:ascii="宋体" w:hAnsi="宋体" w:cs="宋体"/>
                <w:b/>
                <w:color w:val="000000" w:themeColor="text1"/>
                <w:sz w:val="28"/>
                <w:szCs w:val="28"/>
                <w14:textFill>
                  <w14:solidFill>
                    <w14:schemeClr w14:val="tx1"/>
                  </w14:solidFill>
                </w14:textFill>
              </w:rPr>
            </w:pPr>
          </w:p>
        </w:tc>
        <w:tc>
          <w:tcPr>
            <w:tcW w:w="1095" w:type="dxa"/>
          </w:tcPr>
          <w:p>
            <w:pPr>
              <w:pStyle w:val="2"/>
              <w:jc w:val="center"/>
              <w:rPr>
                <w:rFonts w:ascii="宋体" w:hAnsi="宋体" w:cs="宋体"/>
                <w:b/>
                <w:color w:val="000000" w:themeColor="text1"/>
                <w:sz w:val="28"/>
                <w:szCs w:val="28"/>
                <w14:textFill>
                  <w14:solidFill>
                    <w14:schemeClr w14:val="tx1"/>
                  </w14:solidFill>
                </w14:textFill>
              </w:rPr>
            </w:pPr>
          </w:p>
        </w:tc>
        <w:tc>
          <w:tcPr>
            <w:tcW w:w="1285" w:type="dxa"/>
          </w:tcPr>
          <w:p>
            <w:pPr>
              <w:pStyle w:val="2"/>
              <w:jc w:val="center"/>
              <w:rPr>
                <w:rFonts w:ascii="宋体" w:hAnsi="宋体" w:cs="宋体"/>
                <w:b/>
                <w:color w:val="000000" w:themeColor="text1"/>
                <w:sz w:val="28"/>
                <w:szCs w:val="28"/>
                <w14:textFill>
                  <w14:solidFill>
                    <w14:schemeClr w14:val="tx1"/>
                  </w14:solidFill>
                </w14:textFill>
              </w:rPr>
            </w:pPr>
          </w:p>
        </w:tc>
        <w:tc>
          <w:tcPr>
            <w:tcW w:w="850" w:type="dxa"/>
          </w:tcPr>
          <w:p>
            <w:pPr>
              <w:pStyle w:val="2"/>
              <w:jc w:val="center"/>
              <w:rPr>
                <w:rFonts w:ascii="宋体" w:hAnsi="宋体" w:cs="宋体"/>
                <w:b/>
                <w:color w:val="000000" w:themeColor="text1"/>
                <w:sz w:val="28"/>
                <w:szCs w:val="28"/>
                <w14:textFill>
                  <w14:solidFill>
                    <w14:schemeClr w14:val="tx1"/>
                  </w14:solidFill>
                </w14:textFill>
              </w:rPr>
            </w:pPr>
          </w:p>
        </w:tc>
        <w:tc>
          <w:tcPr>
            <w:tcW w:w="851" w:type="dxa"/>
          </w:tcPr>
          <w:p>
            <w:pPr>
              <w:pStyle w:val="2"/>
              <w:jc w:val="center"/>
              <w:rPr>
                <w:rFonts w:ascii="宋体" w:hAnsi="宋体" w:cs="宋体"/>
                <w:b/>
                <w:color w:val="000000" w:themeColor="text1"/>
                <w:sz w:val="28"/>
                <w:szCs w:val="28"/>
                <w14:textFill>
                  <w14:solidFill>
                    <w14:schemeClr w14:val="tx1"/>
                  </w14:solidFill>
                </w14:textFill>
              </w:rPr>
            </w:pPr>
          </w:p>
        </w:tc>
        <w:tc>
          <w:tcPr>
            <w:tcW w:w="1014" w:type="dxa"/>
          </w:tcPr>
          <w:p>
            <w:pPr>
              <w:pStyle w:val="2"/>
              <w:jc w:val="center"/>
              <w:rPr>
                <w:rFonts w:ascii="宋体" w:hAnsi="宋体" w:cs="宋体"/>
                <w:b/>
                <w:color w:val="000000" w:themeColor="text1"/>
                <w:sz w:val="28"/>
                <w:szCs w:val="28"/>
                <w14:textFill>
                  <w14:solidFill>
                    <w14:schemeClr w14:val="tx1"/>
                  </w14:solidFill>
                </w14:textFill>
              </w:rPr>
            </w:pPr>
          </w:p>
        </w:tc>
      </w:tr>
    </w:tbl>
    <w:p>
      <w:pPr>
        <w:pStyle w:val="2"/>
        <w:rPr>
          <w:rFonts w:ascii="宋体" w:hAnsi="宋体" w:cs="宋体"/>
          <w:color w:val="000000" w:themeColor="text1"/>
          <w14:textFill>
            <w14:solidFill>
              <w14:schemeClr w14:val="tx1"/>
            </w14:solidFill>
          </w14:textFill>
        </w:rPr>
      </w:pPr>
    </w:p>
    <w:p>
      <w:pPr>
        <w:pStyle w:val="2"/>
        <w:rPr>
          <w:rFonts w:ascii="宋体" w:hAnsi="宋体" w:cs="宋体"/>
          <w:b/>
          <w:color w:val="000000" w:themeColor="text1"/>
          <w:sz w:val="28"/>
          <w:szCs w:val="28"/>
          <w14:textFill>
            <w14:solidFill>
              <w14:schemeClr w14:val="tx1"/>
            </w14:solidFill>
          </w14:textFill>
        </w:rPr>
      </w:pPr>
      <w:r>
        <w:rPr>
          <w:rFonts w:hint="eastAsia" w:ascii="宋体" w:hAnsi="宋体" w:cs="宋体"/>
          <w:color w:val="000000" w:themeColor="text1"/>
          <w14:textFill>
            <w14:solidFill>
              <w14:schemeClr w14:val="tx1"/>
            </w14:solidFill>
          </w14:textFill>
        </w:rPr>
        <w:t>注：供应商根据自身实际情况填写，对不涉及的内容可填写“/”。</w:t>
      </w:r>
    </w:p>
    <w:p>
      <w:pPr>
        <w:pStyle w:val="86"/>
        <w:ind w:firstLine="420" w:firstLineChars="0"/>
        <w:rPr>
          <w:rFonts w:hAnsi="宋体" w:cs="宋体"/>
          <w:color w:val="000000" w:themeColor="text1"/>
          <w:sz w:val="24"/>
          <w14:textFill>
            <w14:solidFill>
              <w14:schemeClr w14:val="tx1"/>
            </w14:solidFill>
          </w14:textFill>
        </w:rPr>
      </w:pPr>
    </w:p>
    <w:p>
      <w:pPr>
        <w:pStyle w:val="86"/>
        <w:spacing w:line="640" w:lineRule="exact"/>
        <w:ind w:firstLine="420" w:firstLineChars="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供应商名称：</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(盖章)</w:t>
      </w:r>
    </w:p>
    <w:p>
      <w:pPr>
        <w:pStyle w:val="86"/>
        <w:spacing w:line="640" w:lineRule="exact"/>
        <w:ind w:firstLine="420" w:firstLineChars="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法定代表人/单位负责人或授权代表：</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(签字或签章)</w:t>
      </w:r>
    </w:p>
    <w:p>
      <w:pPr>
        <w:pStyle w:val="86"/>
        <w:spacing w:line="640" w:lineRule="exact"/>
        <w:ind w:firstLine="420" w:firstLineChars="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日  期:</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年</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月</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日</w:t>
      </w:r>
    </w:p>
    <w:p>
      <w:pPr>
        <w:pStyle w:val="2"/>
        <w:rPr>
          <w:rFonts w:ascii="宋体" w:hAnsi="宋体" w:cs="宋体"/>
          <w:color w:val="000000" w:themeColor="text1"/>
          <w14:textFill>
            <w14:solidFill>
              <w14:schemeClr w14:val="tx1"/>
            </w14:solidFill>
          </w14:textFill>
        </w:rPr>
      </w:pPr>
    </w:p>
    <w:p>
      <w:pPr>
        <w:pStyle w:val="2"/>
        <w:jc w:val="both"/>
        <w:outlineLvl w:val="1"/>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九、服务方案</w:t>
      </w:r>
    </w:p>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（格式自拟）</w:t>
      </w: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86"/>
        <w:spacing w:line="520" w:lineRule="exact"/>
        <w:ind w:firstLine="420" w:firstLineChars="0"/>
        <w:rPr>
          <w:rFonts w:hAnsi="宋体" w:cs="宋体"/>
          <w:color w:val="000000" w:themeColor="text1"/>
          <w:sz w:val="24"/>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jc w:val="center"/>
        <w:rPr>
          <w:rFonts w:ascii="宋体" w:hAnsi="宋体" w:cs="宋体"/>
          <w:b/>
          <w:color w:val="000000" w:themeColor="text1"/>
          <w:sz w:val="28"/>
          <w:szCs w:val="28"/>
          <w14:textFill>
            <w14:solidFill>
              <w14:schemeClr w14:val="tx1"/>
            </w14:solidFill>
          </w14:textFill>
        </w:rPr>
      </w:pPr>
    </w:p>
    <w:p>
      <w:pPr>
        <w:pStyle w:val="2"/>
        <w:jc w:val="center"/>
        <w:rPr>
          <w:rFonts w:ascii="宋体" w:hAnsi="宋体" w:cs="宋体"/>
          <w:b/>
          <w:color w:val="000000" w:themeColor="text1"/>
          <w:sz w:val="28"/>
          <w:szCs w:val="28"/>
          <w14:textFill>
            <w14:solidFill>
              <w14:schemeClr w14:val="tx1"/>
            </w14:solidFill>
          </w14:textFill>
        </w:rPr>
      </w:pPr>
    </w:p>
    <w:p>
      <w:pPr>
        <w:pStyle w:val="2"/>
        <w:jc w:val="center"/>
        <w:rPr>
          <w:rFonts w:ascii="宋体" w:hAnsi="宋体" w:cs="宋体"/>
          <w:b/>
          <w:color w:val="000000" w:themeColor="text1"/>
          <w:sz w:val="28"/>
          <w:szCs w:val="28"/>
          <w14:textFill>
            <w14:solidFill>
              <w14:schemeClr w14:val="tx1"/>
            </w14:solidFill>
          </w14:textFill>
        </w:rPr>
      </w:pPr>
    </w:p>
    <w:p>
      <w:pPr>
        <w:pStyle w:val="2"/>
        <w:jc w:val="center"/>
        <w:rPr>
          <w:rFonts w:ascii="宋体" w:hAnsi="宋体" w:cs="宋体"/>
          <w:b/>
          <w:color w:val="000000" w:themeColor="text1"/>
          <w:sz w:val="28"/>
          <w:szCs w:val="28"/>
          <w14:textFill>
            <w14:solidFill>
              <w14:schemeClr w14:val="tx1"/>
            </w14:solidFill>
          </w14:textFill>
        </w:rPr>
      </w:pPr>
    </w:p>
    <w:p>
      <w:pPr>
        <w:pStyle w:val="2"/>
        <w:jc w:val="center"/>
        <w:rPr>
          <w:rFonts w:ascii="宋体" w:hAnsi="宋体" w:cs="宋体"/>
          <w:b/>
          <w:color w:val="000000" w:themeColor="text1"/>
          <w:sz w:val="28"/>
          <w:szCs w:val="28"/>
          <w14:textFill>
            <w14:solidFill>
              <w14:schemeClr w14:val="tx1"/>
            </w14:solidFill>
          </w14:textFill>
        </w:rPr>
      </w:pPr>
    </w:p>
    <w:p>
      <w:pPr>
        <w:pStyle w:val="2"/>
        <w:rPr>
          <w:rFonts w:ascii="宋体" w:hAnsi="宋体" w:cs="宋体"/>
          <w:b/>
          <w:color w:val="000000" w:themeColor="text1"/>
          <w:sz w:val="28"/>
          <w:szCs w:val="28"/>
          <w14:textFill>
            <w14:solidFill>
              <w14:schemeClr w14:val="tx1"/>
            </w14:solidFill>
          </w14:textFill>
        </w:rPr>
      </w:pPr>
    </w:p>
    <w:p>
      <w:pPr>
        <w:pStyle w:val="2"/>
        <w:jc w:val="both"/>
        <w:outlineLvl w:val="1"/>
        <w:rPr>
          <w:rFonts w:ascii="宋体" w:hAnsi="宋体" w:cs="宋体"/>
          <w:b/>
          <w:color w:val="000000" w:themeColor="text1"/>
          <w:sz w:val="28"/>
          <w:szCs w:val="28"/>
          <w14:textFill>
            <w14:solidFill>
              <w14:schemeClr w14:val="tx1"/>
            </w14:solidFill>
          </w14:textFill>
        </w:rPr>
      </w:pPr>
    </w:p>
    <w:p>
      <w:pPr>
        <w:rPr>
          <w:rFonts w:hAnsi="宋体" w:cs="宋体"/>
          <w:b/>
          <w:color w:val="000000" w:themeColor="text1"/>
          <w:sz w:val="28"/>
          <w:szCs w:val="28"/>
          <w14:textFill>
            <w14:solidFill>
              <w14:schemeClr w14:val="tx1"/>
            </w14:solidFill>
          </w14:textFill>
        </w:rPr>
      </w:pPr>
    </w:p>
    <w:p>
      <w:pPr>
        <w:pStyle w:val="2"/>
        <w:rPr>
          <w:rFonts w:ascii="宋体" w:hAnsi="宋体" w:cs="宋体"/>
          <w:b/>
          <w:color w:val="000000" w:themeColor="text1"/>
          <w:sz w:val="28"/>
          <w:szCs w:val="28"/>
          <w14:textFill>
            <w14:solidFill>
              <w14:schemeClr w14:val="tx1"/>
            </w14:solidFill>
          </w14:textFill>
        </w:rPr>
      </w:pPr>
    </w:p>
    <w:p>
      <w:pPr>
        <w:rPr>
          <w:rFonts w:hAnsi="宋体" w:cs="宋体"/>
          <w:b/>
          <w:color w:val="000000" w:themeColor="text1"/>
          <w:sz w:val="28"/>
          <w:szCs w:val="28"/>
          <w14:textFill>
            <w14:solidFill>
              <w14:schemeClr w14:val="tx1"/>
            </w14:solidFill>
          </w14:textFill>
        </w:rPr>
      </w:pPr>
    </w:p>
    <w:p>
      <w:pPr>
        <w:pStyle w:val="2"/>
        <w:rPr>
          <w:rFonts w:ascii="宋体" w:hAnsi="宋体" w:cs="宋体"/>
          <w:b/>
          <w:color w:val="000000" w:themeColor="text1"/>
          <w:sz w:val="28"/>
          <w:szCs w:val="28"/>
          <w14:textFill>
            <w14:solidFill>
              <w14:schemeClr w14:val="tx1"/>
            </w14:solidFill>
          </w14:textFill>
        </w:rPr>
      </w:pPr>
    </w:p>
    <w:p>
      <w:pPr>
        <w:rPr>
          <w:color w:val="000000" w:themeColor="text1"/>
          <w14:textFill>
            <w14:solidFill>
              <w14:schemeClr w14:val="tx1"/>
            </w14:solidFill>
          </w14:textFill>
        </w:rPr>
      </w:pPr>
    </w:p>
    <w:p>
      <w:pPr>
        <w:pStyle w:val="2"/>
        <w:jc w:val="center"/>
        <w:outlineLvl w:val="1"/>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十、采购代理服务费承诺函</w:t>
      </w:r>
    </w:p>
    <w:p>
      <w:pPr>
        <w:pStyle w:val="86"/>
        <w:spacing w:line="520" w:lineRule="exact"/>
        <w:ind w:firstLine="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四川华韵新诚工程管理咨询有限公司：</w:t>
      </w:r>
    </w:p>
    <w:p>
      <w:pPr>
        <w:pStyle w:val="86"/>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我公司在贵公司代理的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（项目名称）(项目编号：</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竞争性磋商中若获成交，我方保证在领取成交通知书前，向四川华韵新诚工程管理咨询有限公司指定的银行帐号，按照磋商文件中要求的采购代理服务费收取标准一次性支付采购代理服务费。如因我公司自身原因造成取消成交资格或自愿放弃成交资格的，我司缴纳的采购代理服务费不予退还，由此造成的损失由我方自行承担。</w:t>
      </w:r>
    </w:p>
    <w:p>
      <w:pPr>
        <w:pStyle w:val="86"/>
        <w:spacing w:line="520" w:lineRule="exact"/>
        <w:ind w:firstLine="420" w:firstLineChars="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特此承诺。</w:t>
      </w:r>
    </w:p>
    <w:p>
      <w:pPr>
        <w:jc w:val="center"/>
        <w:rPr>
          <w:rFonts w:hAnsi="宋体" w:cs="宋体"/>
          <w:color w:val="000000" w:themeColor="text1"/>
          <w:sz w:val="24"/>
          <w:szCs w:val="24"/>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86"/>
        <w:spacing w:line="520" w:lineRule="exact"/>
        <w:ind w:right="607" w:firstLine="556" w:firstLineChars="2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供应商名称：</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(盖章)</w:t>
      </w:r>
    </w:p>
    <w:p>
      <w:pPr>
        <w:pStyle w:val="86"/>
        <w:spacing w:line="520" w:lineRule="exact"/>
        <w:ind w:right="607" w:firstLine="556" w:firstLineChars="23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法定代表人或授权代表：</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（签字或签章）地址:</w:t>
      </w:r>
      <w:r>
        <w:rPr>
          <w:rFonts w:hint="eastAsia" w:hAnsi="宋体"/>
          <w:color w:val="000000" w:themeColor="text1"/>
          <w:sz w:val="24"/>
          <w:u w:val="single"/>
          <w14:textFill>
            <w14:solidFill>
              <w14:schemeClr w14:val="tx1"/>
            </w14:solidFill>
          </w14:textFill>
        </w:rPr>
        <w:t xml:space="preserve">                           </w:t>
      </w:r>
    </w:p>
    <w:p>
      <w:pPr>
        <w:pStyle w:val="86"/>
        <w:spacing w:line="520" w:lineRule="exact"/>
        <w:ind w:right="607" w:firstLine="556" w:firstLineChars="23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联系电话：</w:t>
      </w:r>
      <w:r>
        <w:rPr>
          <w:rFonts w:hint="eastAsia" w:hAnsi="宋体"/>
          <w:color w:val="000000" w:themeColor="text1"/>
          <w:sz w:val="24"/>
          <w:u w:val="single"/>
          <w14:textFill>
            <w14:solidFill>
              <w14:schemeClr w14:val="tx1"/>
            </w14:solidFill>
          </w14:textFill>
        </w:rPr>
        <w:t xml:space="preserve">                         </w:t>
      </w:r>
    </w:p>
    <w:p>
      <w:pPr>
        <w:pStyle w:val="86"/>
        <w:spacing w:line="520" w:lineRule="exact"/>
        <w:ind w:right="607" w:firstLine="556" w:firstLineChars="232"/>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日    期：</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年</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月</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日</w:t>
      </w:r>
    </w:p>
    <w:p>
      <w:pPr>
        <w:jc w:val="center"/>
        <w:rPr>
          <w:rFonts w:hAnsi="宋体" w:cs="宋体"/>
          <w:b/>
          <w:color w:val="000000" w:themeColor="text1"/>
          <w:sz w:val="32"/>
          <w:szCs w:val="32"/>
          <w14:textFill>
            <w14:solidFill>
              <w14:schemeClr w14:val="tx1"/>
            </w14:solidFill>
          </w14:textFill>
        </w:rPr>
      </w:pPr>
    </w:p>
    <w:p>
      <w:pPr>
        <w:jc w:val="center"/>
        <w:rPr>
          <w:rFonts w:hAnsi="宋体" w:cs="宋体"/>
          <w:b/>
          <w:color w:val="000000" w:themeColor="text1"/>
          <w:sz w:val="32"/>
          <w:szCs w:val="32"/>
          <w14:textFill>
            <w14:solidFill>
              <w14:schemeClr w14:val="tx1"/>
            </w14:solidFill>
          </w14:textFill>
        </w:rPr>
      </w:pPr>
    </w:p>
    <w:p>
      <w:pPr>
        <w:jc w:val="center"/>
        <w:rPr>
          <w:rFonts w:hAnsi="宋体" w:cs="宋体"/>
          <w:b/>
          <w:color w:val="000000" w:themeColor="text1"/>
          <w:sz w:val="32"/>
          <w:szCs w:val="32"/>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pStyle w:val="2"/>
        <w:jc w:val="center"/>
        <w:outlineLvl w:val="1"/>
        <w:rPr>
          <w:rFonts w:ascii="宋体" w:hAnsi="宋体" w:cs="宋体"/>
          <w:bCs/>
          <w:color w:val="000000" w:themeColor="text1"/>
          <w:sz w:val="28"/>
          <w:szCs w:val="28"/>
          <w14:textFill>
            <w14:solidFill>
              <w14:schemeClr w14:val="tx1"/>
            </w14:solidFill>
          </w14:textFill>
        </w:rPr>
      </w:pPr>
      <w:bookmarkStart w:id="149" w:name="_Toc3991894"/>
      <w:r>
        <w:rPr>
          <w:rFonts w:hint="eastAsia" w:ascii="宋体" w:hAnsi="宋体" w:cs="宋体"/>
          <w:color w:val="000000" w:themeColor="text1"/>
          <w:sz w:val="36"/>
          <w:szCs w:val="36"/>
          <w14:textFill>
            <w14:solidFill>
              <w14:schemeClr w14:val="tx1"/>
            </w14:solidFill>
          </w14:textFill>
        </w:rPr>
        <w:br w:type="page"/>
      </w:r>
      <w:bookmarkStart w:id="150" w:name="_Toc7188"/>
      <w:r>
        <w:rPr>
          <w:rFonts w:hint="eastAsia" w:ascii="宋体" w:hAnsi="宋体" w:cs="宋体"/>
          <w:b/>
          <w:color w:val="000000" w:themeColor="text1"/>
          <w:sz w:val="28"/>
          <w:szCs w:val="28"/>
          <w14:textFill>
            <w14:solidFill>
              <w14:schemeClr w14:val="tx1"/>
            </w14:solidFill>
          </w14:textFill>
        </w:rPr>
        <w:t>十一、其他证明材料</w:t>
      </w:r>
    </w:p>
    <w:p>
      <w:pPr>
        <w:pStyle w:val="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（格式自拟）</w:t>
      </w:r>
    </w:p>
    <w:p>
      <w:pPr>
        <w:pStyle w:val="3"/>
        <w:keepNext w:val="0"/>
        <w:keepLines w:val="0"/>
        <w:spacing w:before="0" w:line="240" w:lineRule="atLeast"/>
        <w:jc w:val="center"/>
        <w:rPr>
          <w:rFonts w:hAnsi="宋体" w:cs="宋体"/>
          <w:color w:val="000000" w:themeColor="text1"/>
          <w14:textFill>
            <w14:solidFill>
              <w14:schemeClr w14:val="tx1"/>
            </w14:solidFill>
          </w14:textFill>
        </w:rPr>
      </w:pPr>
      <w:bookmarkStart w:id="151" w:name="BookMK75"/>
      <w:r>
        <w:rPr>
          <w:rFonts w:hint="eastAsia" w:hAnsi="宋体" w:cs="宋体"/>
          <w:color w:val="000000" w:themeColor="text1"/>
          <w:sz w:val="36"/>
          <w:szCs w:val="36"/>
          <w14:textFill>
            <w14:solidFill>
              <w14:schemeClr w14:val="tx1"/>
            </w14:solidFill>
          </w14:textFill>
        </w:rPr>
        <w:br w:type="page"/>
      </w:r>
      <w:bookmarkStart w:id="152" w:name="_Toc3034"/>
      <w:r>
        <w:rPr>
          <w:rFonts w:hint="eastAsia" w:hAnsi="宋体" w:cs="宋体"/>
          <w:color w:val="000000" w:themeColor="text1"/>
          <w:sz w:val="36"/>
          <w:szCs w:val="36"/>
          <w14:textFill>
            <w14:solidFill>
              <w14:schemeClr w14:val="tx1"/>
            </w14:solidFill>
          </w14:textFill>
        </w:rPr>
        <w:t>第九章 评审方法</w:t>
      </w:r>
      <w:bookmarkEnd w:id="149"/>
      <w:bookmarkEnd w:id="150"/>
      <w:bookmarkEnd w:id="152"/>
      <w:bookmarkStart w:id="153" w:name="_Toc101338358"/>
      <w:bookmarkStart w:id="154" w:name="_Toc209847065"/>
      <w:bookmarkStart w:id="155" w:name="_Toc101250640"/>
      <w:bookmarkStart w:id="156" w:name="_Toc101174146"/>
      <w:bookmarkStart w:id="157" w:name="_Toc430773924"/>
    </w:p>
    <w:bookmarkEnd w:id="151"/>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58" w:name="BookMK76"/>
      <w:r>
        <w:rPr>
          <w:rFonts w:hint="eastAsia" w:hAnsi="宋体" w:cs="宋体"/>
          <w:color w:val="000000" w:themeColor="text1"/>
          <w:sz w:val="24"/>
          <w14:textFill>
            <w14:solidFill>
              <w14:schemeClr w14:val="tx1"/>
            </w14:solidFill>
          </w14:textFill>
        </w:rPr>
        <w:t>1.总则</w:t>
      </w:r>
    </w:p>
    <w:bookmarkEnd w:id="158"/>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1.1根据《中华人民共和国政府采购法》、《中华人民共和国政府采购法实施条例》、《政府采购竞争性磋商采购方式管理暂行办法》等法律制度，结合本采购项目特点制定本磋商方法。</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1.2磋商工作由采购代理机构负责组织，具体磋商由采购代理机构依法组建的磋商小组负责。</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1.3磋商工作应遵循公平、公正、科学及择优的原则，并以相同的磋商程序和标准对待所有的供应商。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1.4磋商小组按照磋商文件规定的磋商程序、评分方法和标准进行评审，并独立履行下列职责：</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（一）熟悉和理解磋商文件，确定磋商文件内容是否违反国家有关强制性规定或者磋商文件存在歧义、重大缺陷，根据需要书面要求采购人、采购代理机构对磋商文件作出解释；</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（二）审查供应商响应文件是否满足磋商文件要求，并作出公正评价；</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（三）根据需要要求供应商对响应文件中含义不明确、同类问题表述不一致或者有明显文字和计算错误的内容等作出必要的澄清、说明或者更正；</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（四）推荐成交供应商，或者受采购人委托确定成交供应商；</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（五）起草评审报告并进行签署；</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（六）向采购人和采购代理机构、财政部门或者其他监督部门报告非法干预评审工作的行为；</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（七）法律、法规和规章规定的其他职责。</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w:t>
      </w:r>
      <w:r>
        <w:rPr>
          <w:rFonts w:hint="eastAsia" w:hAnsi="宋体" w:cs="宋体"/>
          <w:b/>
          <w:color w:val="000000" w:themeColor="text1"/>
          <w:sz w:val="24"/>
          <w:szCs w:val="24"/>
          <w14:textFill>
            <w14:solidFill>
              <w14:schemeClr w14:val="tx1"/>
            </w14:solidFill>
          </w14:textFill>
        </w:rPr>
        <w:t>（实质性要求）</w:t>
      </w:r>
      <w:r>
        <w:rPr>
          <w:rFonts w:hint="eastAsia" w:hAnsi="宋体" w:cs="宋体"/>
          <w:color w:val="000000" w:themeColor="text1"/>
          <w:sz w:val="24"/>
          <w:szCs w:val="24"/>
          <w14:textFill>
            <w14:solidFill>
              <w14:schemeClr w14:val="tx1"/>
            </w14:solidFill>
          </w14:textFill>
        </w:rPr>
        <w:t>磋商过程独立、保密。供应商非法干预磋商过程的，其响应文件作无效处理。</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59" w:name="BookMK77"/>
      <w:r>
        <w:rPr>
          <w:rFonts w:hint="eastAsia" w:hAnsi="宋体" w:cs="宋体"/>
          <w:color w:val="000000" w:themeColor="text1"/>
          <w:sz w:val="24"/>
          <w14:textFill>
            <w14:solidFill>
              <w14:schemeClr w14:val="tx1"/>
            </w14:solidFill>
          </w14:textFill>
        </w:rPr>
        <w:t>2.磋商程序</w:t>
      </w:r>
    </w:p>
    <w:bookmarkEnd w:id="159"/>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2.1审查磋商文件和停止评审。</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2.1.1磋商小组正式评审前，应当对磋商文件进行熟悉和理解，内容主要包括磋商文件中供应商资格条件要求、采购项目技术、服务和商务要求、磋商办法和标准、政府采购政策要求以及政府采购合同主要条款等。</w:t>
      </w:r>
    </w:p>
    <w:p>
      <w:pPr>
        <w:tabs>
          <w:tab w:val="left" w:pos="7665"/>
        </w:tabs>
        <w:spacing w:line="520" w:lineRule="exact"/>
        <w:ind w:firstLine="360" w:firstLineChars="150"/>
        <w:rPr>
          <w:rFonts w:hAnsi="宋体" w:cs="宋体"/>
          <w:color w:val="000000" w:themeColor="text1"/>
          <w:sz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2.1.2本磋商文件有下列情形之一的，磋商小组应当停止评审：</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（1）磋商文件的规定存在歧义、重大缺陷的；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（2）磋商文件明显以不合理条件对供应商实行差别待遇或者歧视待遇的；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（3）采购项目属于国家规定的优先、强制采购范围，但是磋商文件未依法体现优先、强制采购相关规定的；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（4）采购项目属于政府采购促进中小企业发展的范围，但是磋商文件未依法体现促进中小企业发展相关规定的；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（5）磋商文件将供应商的资格条件列为评分因素的；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（6）磋商文件载明的成交原则不合法的；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（7）磋商文件有违反国家其他有关强制性规定的情形。</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2.1.3出现本条2.1.2规定应当停止评审情形的，磋商小组应当向采购人书面说明情况。除本条规定的情形外，磋商小组不得以任何方式和理由停止评审。</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2.2资格性审查。</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在磋商响应文件开启时间后，采购代理机构组织磋商小组对供应商递交的响应文件进行资格审查。</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2.2.1磋商小组应依据法律法规和磋商文件的规定，对响应文件是否按照规定要求提供资格性证明材料、是否属于禁止参加磋商的供应商等进行审查，以确定供应商是否具备磋商资格。</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2.2.2资格性审查结束后，磋商小组应当出具资格性审查报告，没有通过资格审查的供应商，磋商小组应当在资格审查报告中说明原因。</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2.2.3磋商小组应依据磋商文件规定的实质性要求，对符合资格的响应文件进行有效性、完整性和响应程度审查，以确定参加磋商的供应商名单。</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2.2.4采购人或者采购代理机构宣布未通过资格性审查的供应商名单时，应当告知供应商未通过审查的原因。</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2.3通过资格性审查的供应商不足3家的，终止本次采购活动，并发布终止采购活动公告。</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2.4磋商。</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2.4.2每轮磋商开始前，磋商小组应根据磋商文件的规定，并结合各供应商的响应文件拟定磋商内容。</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2.4.3在磋商过程中，磋商小组可以根据磋商文件和磋商情况实质性变动磋商文件的技术、服务要求以及合同草案条款，但不得变动磋商文件中的其他内容。实质性变动的内容，须经采购人代表书面确认。</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2.4.4对磋商文件作出的实质性变动是磋商文件的有效组成部分，磋商小组应当及时以书面形式同时通知所有参加磋商的供应商。</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2.4.6磋商过程中，磋商小组对响应文件的有效性、完整性和响应程度进行审查，审查中发现供应商响应文件属于下列情况之一的，应按照无效响应文件处理：</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（1）响应文件正副本数量不足的；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（2）响应文件组成明显不符合采购文件的规定要求，影响评审委员会评判的；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（3）响应文件的语言、计量单位、知识产权、响应有效期等不符合采购文件的规定，影响磋商小组评判的；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（4）经最终磋商后，供应商的响应文件仍不能完全响应采购文件的实质性要求的；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（5）未载明或者载明的采购项目履约时间、方式、数量及其他政府采购合同实质性内容与本竞争性磋商文件要求不一致，且采购单位无法接受的。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（6）属于竞争性磋商文件中无效响应情形的。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但磋商小组对响应文件签署、盖章等进行审查过程中，有下列情形的，磋商小组应当评定为不影响整个响应文件有效性和采购活动公平竞争，并通过响应文件的有效性审查：</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（1）响应文件正副本数量齐全，只是未按照采购文件要求进行分装或者统装的；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（2）响应文件存在个别地方（总数不能超过2个）没有法定代表人/单位负责人签字，但有法定代表人/单位负责人的私人印章或者有效授权代理人签字的；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（3）响应文件除采购文件明确要求加盖单位(法人)公章的以外，其他地方以相关专用章加盖的；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（4）以骑缝章的形式代替响应文件内容逐页盖章的（但是骑缝章模糊不清，印章名称无法辨认的除外）。</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磋商小组对所有响应文件的有效性、完整性和响应程度进行审查后，向采购代理机构出具有效性、完整性和响应程度审查报告，确定继续磋商的供应商名单。没有通过有效性、完整性和响应程度审查的供应商，磋商小组应在有效性、完整性和响应程度审查报告中说明原因。</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2.4.7磋商过程中，磋商的任何一方不得透露与磋商有关的其他供应商的技术资料、价格和其他信息。</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2.4.8磋商过程中，磋商小组发现或者知晓供应商存在违法、违纪行为的，磋商小组应当将该供应商响应文件作无效处理，不允许其提交最后报价。</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2.4.9磋商完成后，磋商小组应出具磋商情况记录表，磋商情况记录表需包含磋商内容、磋商意见、实质性变动内容等。</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2.5报价。</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2.5.1磋商结束后，磋商小组应当要求所有实质性响应的供应商在规定时间内提交最后报价，提交最后报价的供应商不得少于3家(市场竞争不充分的科研项目、需要扶持的科技成果转化项目以及政府购买服务项目可以为2家)。已提交响应文件的供应商，在提交最后报价之前，可以根据磋商情况退出磋商。</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2.5.2磋商文件不能详细列明采购标的工程、技术、服务要求，需经磋商由供应商提供最终设计方案或解决方案的，磋商结束后，磋商小组应当按照少数服从多数的原则投票推荐3家以上供应商的设计方案或者解决方案，并要求其在规定时间内提交最后报价(报价格式表由采购代理机构现场提供)。</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2.5.3供应商进行现场报价，应当在评审室外填写报价单，密封递交采购人、采购代理机构工作人员，由采购人、采购代理机构工作人员收齐后集中递交评审委员会。采购人、采购代理机构工作人员不能拆封供应商报价单。</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2.5.4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2.5.5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2.5.6最后报价中的算术错误将按以下方法修正：响应文件大写金额和小写金额不一致的，以大写金额为准，但大写金额文字存在错误的，应当先对大写金额的文字错误进行澄清、说明或者更正，再行修正；</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总价金额与按单价汇总金额不一致的，以单价金额计算结果为准，但单价或者单价汇总金额存在数字或者文字错误的，应当先对数字或者文字错误进行澄清、说明或者更正，再行修正；</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单价金额小数点或者百分比有明显错位的，以总价为准，修正单价。</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同时出现两种以上不一致的，按照上述规定的顺序修正。修正后的报价经供应商确认后产生约束力，供应商不确认的，其响应文件作为无效处理。供应商确认采取书面且加盖单位公章或者供应商授权代表签字的方式。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2.6比较与评价。</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由磋商小组采用综合评分法对提交最后报价的供应商的响应文件和最后报价进行综合评分，具体要求详见本章综合评分部分。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2.7推荐成交候选供应商。</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成交候选人应当排序。采用综合评分法的：评审结果按评审后得分由高到低顺序排列。得分相同的，按最后报价由低到高顺序排列。得分且最后报价相同的并列（注：为扶持不发达地区和少数民族地区，得分且最后报价相同的，评审委员会优先推荐企业注册地在不发达地区和少数民族地区的供应商）。响应文件满足磋商文件全部实质性要求，且按照评审因素的量化指标评审得分最高的供应商为排名第一的成交候选人。</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2.8磋商小组复核。</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磋商小组评分汇总结束后，磋商小组应当进行评审复核，对拟推荐为成交候选供应商的、报价最低的、供应商资格审查未通过的、供应商响应文件作无效处理的重点复核。</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2.9采购组织单位现场复核评审结果。</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w:t>
      </w:r>
      <w:r>
        <w:rPr>
          <w:rFonts w:hint="eastAsia" w:hAnsi="宋体" w:cs="宋体"/>
          <w:color w:val="000000" w:themeColor="text1"/>
          <w:sz w:val="24"/>
          <w:szCs w:val="24"/>
          <w14:textFill>
            <w14:solidFill>
              <w14:schemeClr w14:val="tx1"/>
            </w14:solidFill>
          </w14:textFill>
        </w:rPr>
        <w:t>1）资格性审查认定错误的；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（2）分值汇总计算错误的；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（3）分项评分超出评分标准范围的；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（4）客观评分不一致的。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接照规定程序要求继续组织实施采购活动，不得擅自中止采购活动。采购人/采购代理机构认为磋商小组评审结果不合法的，应当书面报告采购项目同级财政部门。</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采购人/采购代理机构复核过程中，磋商小组成员不得离开评审现场。</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2.9.2有下列情形之一的，不得现场修改评审结果：</w:t>
      </w:r>
    </w:p>
    <w:p>
      <w:pPr>
        <w:tabs>
          <w:tab w:val="left" w:pos="7665"/>
        </w:tabs>
        <w:spacing w:line="520" w:lineRule="exact"/>
        <w:ind w:firstLine="360" w:firstLineChars="1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（1）磋商小组已经出具磋商报告并且离开评审现场的；</w:t>
      </w:r>
    </w:p>
    <w:p>
      <w:pPr>
        <w:tabs>
          <w:tab w:val="left" w:pos="7665"/>
        </w:tabs>
        <w:spacing w:line="520" w:lineRule="exact"/>
        <w:ind w:firstLine="360" w:firstLineChars="1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（2）采购代理机构现场复核时，复核工作人员数量不足的；</w:t>
      </w:r>
    </w:p>
    <w:p>
      <w:pPr>
        <w:tabs>
          <w:tab w:val="left" w:pos="7665"/>
        </w:tabs>
        <w:spacing w:line="520" w:lineRule="exact"/>
        <w:ind w:firstLine="360" w:firstLineChars="1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（3）采购代理机构现场复核时，没有采购监督人员现场监督的；</w:t>
      </w:r>
    </w:p>
    <w:p>
      <w:pPr>
        <w:tabs>
          <w:tab w:val="left" w:pos="7665"/>
        </w:tabs>
        <w:spacing w:line="520" w:lineRule="exact"/>
        <w:ind w:firstLine="360" w:firstLineChars="1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（4）采购代理机构现场复核内容超出规定范围的；</w:t>
      </w:r>
    </w:p>
    <w:p>
      <w:pPr>
        <w:tabs>
          <w:tab w:val="left" w:pos="7665"/>
        </w:tabs>
        <w:spacing w:line="520" w:lineRule="exact"/>
        <w:ind w:firstLine="360" w:firstLineChars="1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（5）采购代理机构未提供书面建议的。</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2.10编写磋商报告。</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磋商小组推荐成交候选供应商后，应向采购代理机构出具磋商报告。磋商报告应当包括以下主要内容：</w:t>
      </w:r>
    </w:p>
    <w:p>
      <w:pPr>
        <w:tabs>
          <w:tab w:val="left" w:pos="7665"/>
        </w:tabs>
        <w:spacing w:line="520" w:lineRule="exact"/>
        <w:ind w:firstLine="360" w:firstLineChars="1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（1）邀请供应商参加采购活动的具体方式和相关情况；</w:t>
      </w:r>
    </w:p>
    <w:p>
      <w:pPr>
        <w:tabs>
          <w:tab w:val="left" w:pos="7665"/>
        </w:tabs>
        <w:spacing w:line="520" w:lineRule="exact"/>
        <w:ind w:firstLine="360" w:firstLineChars="1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（2）响应文件开启日期和地点；</w:t>
      </w:r>
    </w:p>
    <w:p>
      <w:pPr>
        <w:tabs>
          <w:tab w:val="left" w:pos="7665"/>
        </w:tabs>
        <w:spacing w:line="520" w:lineRule="exact"/>
        <w:ind w:firstLine="360" w:firstLineChars="1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（3）获取磋商文件的供应商名单和磋商小组成员名单；</w:t>
      </w:r>
    </w:p>
    <w:p>
      <w:pPr>
        <w:tabs>
          <w:tab w:val="left" w:pos="7665"/>
        </w:tabs>
        <w:spacing w:line="520" w:lineRule="exact"/>
        <w:ind w:firstLine="360" w:firstLineChars="1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（4）评审情况记录和说明，包括对供应商的资格审查情况、供应商响应文件审查情况、磋商情况、报价情况等；</w:t>
      </w:r>
    </w:p>
    <w:p>
      <w:pPr>
        <w:tabs>
          <w:tab w:val="left" w:pos="7665"/>
        </w:tabs>
        <w:spacing w:line="520" w:lineRule="exact"/>
        <w:ind w:firstLine="360" w:firstLineChars="15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（5）提出的成交候选供应商的排序名单及理由。</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2.11磋商异议处理规则。</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2.12供应商澄清、说明</w:t>
      </w:r>
    </w:p>
    <w:p>
      <w:pPr>
        <w:tabs>
          <w:tab w:val="left" w:pos="7665"/>
        </w:tabs>
        <w:spacing w:line="52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7665"/>
        </w:tabs>
        <w:spacing w:line="52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2.12.2磋商小组要求供应商澄清、说明或者更正响应文件应当以书面形式作出。供应商的澄清、说明或者更正应当由法定代表人/主要负责人/本人或其授权代表签字或者加盖公章。</w:t>
      </w:r>
    </w:p>
    <w:p>
      <w:pPr>
        <w:tabs>
          <w:tab w:val="left" w:pos="7665"/>
        </w:tabs>
        <w:spacing w:line="520" w:lineRule="exact"/>
        <w:ind w:firstLine="360" w:firstLineChars="15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2.13终止磋商采购活动。</w:t>
      </w:r>
    </w:p>
    <w:p>
      <w:pPr>
        <w:tabs>
          <w:tab w:val="left" w:pos="7665"/>
        </w:tabs>
        <w:spacing w:line="52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出现下列情形之一的，采购人或者采购代理机构应当终止竞争性磋商采购活动，发布项目终止公告并说明原因，重新开展采购活动：</w:t>
      </w:r>
    </w:p>
    <w:p>
      <w:pPr>
        <w:tabs>
          <w:tab w:val="left" w:pos="7665"/>
        </w:tabs>
        <w:spacing w:line="52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（1）因情况变化，不再符合规定的竞争性磋商采购方式适用情形的；</w:t>
      </w:r>
    </w:p>
    <w:p>
      <w:pPr>
        <w:tabs>
          <w:tab w:val="left" w:pos="7665"/>
        </w:tabs>
        <w:spacing w:line="52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（2）出现影响采购公正的违法、违规行为的；</w:t>
      </w:r>
    </w:p>
    <w:p>
      <w:pPr>
        <w:tabs>
          <w:tab w:val="left" w:pos="7665"/>
        </w:tabs>
        <w:spacing w:line="52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（3）在采购过程中符合要求的供应商或者报价未超过采购预算的供应商不足3家的(市场竞争不充分的科研项目、需要扶持的科技成果转化项目以及政府购买服务项目，提交最后报价的供应商可以为2家)。</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60" w:name="BookMK78"/>
      <w:r>
        <w:rPr>
          <w:rFonts w:hint="eastAsia" w:hAnsi="宋体" w:cs="宋体"/>
          <w:color w:val="000000" w:themeColor="text1"/>
          <w:sz w:val="24"/>
          <w14:textFill>
            <w14:solidFill>
              <w14:schemeClr w14:val="tx1"/>
            </w14:solidFill>
          </w14:textFill>
        </w:rPr>
        <w:t>3.综合评分</w:t>
      </w:r>
    </w:p>
    <w:bookmarkEnd w:id="160"/>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3.1本次综合评分的因素是：详见综合评分明细表。</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3.2综合评分明细表的制定以科学合理、降低评委会自由裁量权为原则。</w:t>
      </w:r>
    </w:p>
    <w:p>
      <w:pPr>
        <w:tabs>
          <w:tab w:val="left" w:pos="7665"/>
        </w:tabs>
        <w:spacing w:line="520" w:lineRule="exact"/>
        <w:ind w:firstLine="240" w:firstLineChars="1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3.3综合评分明细表</w:t>
      </w:r>
    </w:p>
    <w:tbl>
      <w:tblPr>
        <w:tblStyle w:val="32"/>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223"/>
        <w:gridCol w:w="794"/>
        <w:gridCol w:w="5057"/>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pPr>
              <w:spacing w:line="580" w:lineRule="exact"/>
              <w:jc w:val="center"/>
              <w:rPr>
                <w:rFonts w:ascii="宋体" w:hAnsi="宋体" w:eastAsia="宋体" w:cs="仿宋"/>
                <w:b/>
                <w:sz w:val="24"/>
                <w:szCs w:val="24"/>
              </w:rPr>
            </w:pPr>
            <w:r>
              <w:rPr>
                <w:rFonts w:hint="eastAsia" w:ascii="宋体" w:hAnsi="宋体" w:eastAsia="宋体" w:cs="仿宋"/>
                <w:b/>
                <w:sz w:val="24"/>
                <w:szCs w:val="24"/>
              </w:rPr>
              <w:t>序号</w:t>
            </w:r>
          </w:p>
        </w:tc>
        <w:tc>
          <w:tcPr>
            <w:tcW w:w="1223" w:type="dxa"/>
            <w:vAlign w:val="center"/>
          </w:tcPr>
          <w:p>
            <w:pPr>
              <w:spacing w:line="580" w:lineRule="exact"/>
              <w:jc w:val="center"/>
              <w:rPr>
                <w:rFonts w:ascii="宋体" w:hAnsi="宋体" w:eastAsia="宋体" w:cs="仿宋"/>
                <w:b/>
                <w:sz w:val="24"/>
                <w:szCs w:val="24"/>
              </w:rPr>
            </w:pPr>
            <w:r>
              <w:rPr>
                <w:rFonts w:hint="eastAsia" w:ascii="宋体" w:hAnsi="宋体" w:eastAsia="宋体" w:cs="仿宋"/>
                <w:b/>
                <w:sz w:val="24"/>
                <w:szCs w:val="24"/>
              </w:rPr>
              <w:t>评分因素</w:t>
            </w:r>
          </w:p>
          <w:p>
            <w:pPr>
              <w:spacing w:line="580" w:lineRule="exact"/>
              <w:jc w:val="center"/>
              <w:rPr>
                <w:rFonts w:ascii="宋体" w:hAnsi="宋体" w:eastAsia="宋体" w:cs="仿宋"/>
                <w:b/>
                <w:sz w:val="24"/>
                <w:szCs w:val="24"/>
              </w:rPr>
            </w:pPr>
            <w:r>
              <w:rPr>
                <w:rFonts w:hint="eastAsia" w:ascii="宋体" w:hAnsi="宋体" w:eastAsia="宋体" w:cs="仿宋"/>
                <w:b/>
                <w:sz w:val="24"/>
                <w:szCs w:val="24"/>
              </w:rPr>
              <w:t>及权重</w:t>
            </w:r>
          </w:p>
        </w:tc>
        <w:tc>
          <w:tcPr>
            <w:tcW w:w="794" w:type="dxa"/>
            <w:vAlign w:val="center"/>
          </w:tcPr>
          <w:p>
            <w:pPr>
              <w:spacing w:line="580" w:lineRule="exact"/>
              <w:jc w:val="center"/>
              <w:rPr>
                <w:rFonts w:ascii="宋体" w:hAnsi="宋体" w:eastAsia="宋体" w:cs="仿宋"/>
                <w:b/>
                <w:sz w:val="24"/>
                <w:szCs w:val="24"/>
              </w:rPr>
            </w:pPr>
            <w:r>
              <w:rPr>
                <w:rFonts w:hint="eastAsia" w:ascii="宋体" w:hAnsi="宋体" w:eastAsia="宋体" w:cs="仿宋"/>
                <w:b/>
                <w:sz w:val="24"/>
                <w:szCs w:val="24"/>
              </w:rPr>
              <w:t>分值</w:t>
            </w:r>
          </w:p>
        </w:tc>
        <w:tc>
          <w:tcPr>
            <w:tcW w:w="5057" w:type="dxa"/>
            <w:vAlign w:val="center"/>
          </w:tcPr>
          <w:p>
            <w:pPr>
              <w:spacing w:line="580" w:lineRule="exact"/>
              <w:jc w:val="center"/>
              <w:rPr>
                <w:rFonts w:ascii="宋体" w:hAnsi="宋体" w:eastAsia="宋体" w:cs="仿宋"/>
                <w:b/>
                <w:sz w:val="24"/>
                <w:szCs w:val="24"/>
              </w:rPr>
            </w:pPr>
            <w:r>
              <w:rPr>
                <w:rFonts w:hint="eastAsia" w:ascii="宋体" w:hAnsi="宋体" w:eastAsia="宋体" w:cs="仿宋"/>
                <w:b/>
                <w:sz w:val="24"/>
                <w:szCs w:val="24"/>
              </w:rPr>
              <w:t>评分标准</w:t>
            </w:r>
          </w:p>
        </w:tc>
        <w:tc>
          <w:tcPr>
            <w:tcW w:w="1109" w:type="dxa"/>
            <w:vAlign w:val="center"/>
          </w:tcPr>
          <w:p>
            <w:pPr>
              <w:spacing w:line="580" w:lineRule="exact"/>
              <w:jc w:val="center"/>
              <w:rPr>
                <w:rFonts w:ascii="宋体" w:hAnsi="宋体" w:eastAsia="宋体" w:cs="仿宋"/>
                <w:b/>
                <w:sz w:val="24"/>
                <w:szCs w:val="24"/>
              </w:rPr>
            </w:pPr>
            <w:r>
              <w:rPr>
                <w:rFonts w:hint="eastAsia" w:ascii="宋体" w:hAnsi="宋体" w:eastAsia="宋体" w:cs="仿宋"/>
                <w:b/>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pPr>
              <w:spacing w:line="580" w:lineRule="exact"/>
              <w:jc w:val="center"/>
              <w:rPr>
                <w:rFonts w:ascii="宋体" w:hAnsi="宋体" w:eastAsia="宋体" w:cs="仿宋"/>
                <w:sz w:val="24"/>
                <w:szCs w:val="24"/>
              </w:rPr>
            </w:pPr>
            <w:r>
              <w:rPr>
                <w:rFonts w:hint="eastAsia" w:ascii="宋体" w:hAnsi="宋体" w:eastAsia="宋体" w:cs="仿宋"/>
                <w:sz w:val="24"/>
                <w:szCs w:val="24"/>
              </w:rPr>
              <w:t>1</w:t>
            </w:r>
          </w:p>
        </w:tc>
        <w:tc>
          <w:tcPr>
            <w:tcW w:w="1223" w:type="dxa"/>
            <w:vAlign w:val="center"/>
          </w:tcPr>
          <w:p>
            <w:pPr>
              <w:spacing w:line="580" w:lineRule="exact"/>
              <w:jc w:val="center"/>
              <w:rPr>
                <w:rFonts w:ascii="宋体" w:hAnsi="宋体" w:eastAsia="宋体" w:cs="仿宋"/>
                <w:sz w:val="24"/>
                <w:szCs w:val="24"/>
              </w:rPr>
            </w:pPr>
            <w:r>
              <w:rPr>
                <w:rFonts w:hint="eastAsia" w:ascii="宋体" w:hAnsi="宋体" w:eastAsia="宋体" w:cs="仿宋"/>
                <w:sz w:val="24"/>
                <w:szCs w:val="24"/>
              </w:rPr>
              <w:t>报价10%</w:t>
            </w:r>
          </w:p>
        </w:tc>
        <w:tc>
          <w:tcPr>
            <w:tcW w:w="794" w:type="dxa"/>
            <w:vAlign w:val="center"/>
          </w:tcPr>
          <w:p>
            <w:pPr>
              <w:spacing w:line="580" w:lineRule="exact"/>
              <w:jc w:val="center"/>
              <w:rPr>
                <w:rFonts w:ascii="宋体" w:hAnsi="宋体" w:eastAsia="宋体" w:cs="仿宋"/>
                <w:sz w:val="24"/>
                <w:szCs w:val="24"/>
              </w:rPr>
            </w:pPr>
            <w:r>
              <w:rPr>
                <w:rFonts w:hint="eastAsia" w:ascii="宋体" w:hAnsi="宋体" w:eastAsia="宋体" w:cs="仿宋"/>
                <w:sz w:val="24"/>
                <w:szCs w:val="24"/>
              </w:rPr>
              <w:t>10分</w:t>
            </w:r>
          </w:p>
        </w:tc>
        <w:tc>
          <w:tcPr>
            <w:tcW w:w="5057" w:type="dxa"/>
            <w:vAlign w:val="center"/>
          </w:tcPr>
          <w:p>
            <w:pPr>
              <w:spacing w:line="580" w:lineRule="exact"/>
              <w:jc w:val="left"/>
              <w:rPr>
                <w:rFonts w:ascii="宋体" w:hAnsi="宋体" w:eastAsia="宋体" w:cs="仿宋"/>
                <w:sz w:val="24"/>
                <w:szCs w:val="24"/>
              </w:rPr>
            </w:pPr>
            <w:r>
              <w:rPr>
                <w:rFonts w:hint="eastAsia" w:ascii="宋体" w:hAnsi="宋体" w:eastAsia="宋体" w:cs="宋体"/>
                <w:sz w:val="24"/>
                <w:szCs w:val="24"/>
              </w:rPr>
              <w:t>满足磋商文件要求且最后报价最低的价格为评审基准价，其价格分为满分。其他供应商的价格分统一按照下列公式计算：</w:t>
            </w:r>
            <w:r>
              <w:rPr>
                <w:rFonts w:hint="eastAsia" w:ascii="宋体" w:hAnsi="宋体" w:eastAsia="宋体" w:cs="宋体"/>
                <w:sz w:val="24"/>
                <w:szCs w:val="24"/>
                <w:lang w:eastAsia="zh-CN"/>
              </w:rPr>
              <w:t>磋商</w:t>
            </w:r>
            <w:r>
              <w:rPr>
                <w:rFonts w:hint="eastAsia" w:ascii="宋体" w:hAnsi="宋体" w:eastAsia="宋体" w:cs="宋体"/>
                <w:sz w:val="24"/>
                <w:szCs w:val="24"/>
              </w:rPr>
              <w:t>报价得分=(评标基准价／投标报价)×分值。</w:t>
            </w:r>
          </w:p>
        </w:tc>
        <w:tc>
          <w:tcPr>
            <w:tcW w:w="1109" w:type="dxa"/>
            <w:vAlign w:val="center"/>
          </w:tcPr>
          <w:p>
            <w:pPr>
              <w:spacing w:line="580" w:lineRule="exact"/>
              <w:jc w:val="center"/>
              <w:rPr>
                <w:rFonts w:ascii="宋体" w:hAnsi="宋体" w:eastAsia="宋体" w:cs="仿宋"/>
                <w:sz w:val="24"/>
                <w:szCs w:val="24"/>
              </w:rPr>
            </w:pPr>
            <w:r>
              <w:rPr>
                <w:rFonts w:hint="eastAsia" w:ascii="宋体" w:hAnsi="宋体" w:eastAsia="宋体" w:cs="仿宋"/>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pPr>
              <w:spacing w:line="580" w:lineRule="exact"/>
              <w:jc w:val="center"/>
              <w:rPr>
                <w:rFonts w:ascii="宋体" w:hAnsi="宋体" w:eastAsia="宋体" w:cs="仿宋"/>
                <w:sz w:val="24"/>
                <w:szCs w:val="24"/>
              </w:rPr>
            </w:pPr>
            <w:r>
              <w:rPr>
                <w:rFonts w:hint="eastAsia" w:ascii="宋体" w:hAnsi="宋体" w:eastAsia="宋体" w:cs="仿宋"/>
                <w:sz w:val="24"/>
                <w:szCs w:val="24"/>
              </w:rPr>
              <w:t>2</w:t>
            </w:r>
          </w:p>
        </w:tc>
        <w:tc>
          <w:tcPr>
            <w:tcW w:w="1223" w:type="dxa"/>
            <w:vAlign w:val="center"/>
          </w:tcPr>
          <w:p>
            <w:pPr>
              <w:spacing w:line="580" w:lineRule="exact"/>
              <w:jc w:val="center"/>
              <w:rPr>
                <w:rFonts w:ascii="宋体" w:hAnsi="宋体" w:eastAsia="宋体" w:cs="仿宋"/>
                <w:sz w:val="24"/>
                <w:szCs w:val="24"/>
              </w:rPr>
            </w:pPr>
            <w:r>
              <w:rPr>
                <w:rFonts w:hint="eastAsia" w:ascii="宋体" w:hAnsi="宋体" w:eastAsia="宋体" w:cs="仿宋"/>
                <w:sz w:val="24"/>
                <w:szCs w:val="24"/>
              </w:rPr>
              <w:t>管理制度</w:t>
            </w:r>
            <w:r>
              <w:rPr>
                <w:rFonts w:hint="eastAsia" w:ascii="宋体" w:hAnsi="宋体" w:eastAsia="宋体" w:cs="仿宋"/>
                <w:sz w:val="24"/>
                <w:szCs w:val="24"/>
                <w:lang w:val="en-US" w:eastAsia="zh-CN"/>
              </w:rPr>
              <w:t>15</w:t>
            </w:r>
            <w:r>
              <w:rPr>
                <w:rFonts w:hint="eastAsia" w:ascii="宋体" w:hAnsi="宋体" w:eastAsia="宋体" w:cs="仿宋"/>
                <w:sz w:val="24"/>
                <w:szCs w:val="24"/>
              </w:rPr>
              <w:t>%</w:t>
            </w:r>
          </w:p>
        </w:tc>
        <w:tc>
          <w:tcPr>
            <w:tcW w:w="794" w:type="dxa"/>
            <w:vAlign w:val="center"/>
          </w:tcPr>
          <w:p>
            <w:pPr>
              <w:spacing w:line="580" w:lineRule="exact"/>
              <w:jc w:val="center"/>
              <w:rPr>
                <w:rFonts w:ascii="宋体" w:hAnsi="宋体" w:eastAsia="宋体" w:cs="仿宋"/>
                <w:sz w:val="24"/>
                <w:szCs w:val="24"/>
              </w:rPr>
            </w:pPr>
            <w:r>
              <w:rPr>
                <w:rFonts w:hint="eastAsia" w:ascii="宋体" w:hAnsi="宋体" w:eastAsia="宋体" w:cs="仿宋"/>
                <w:sz w:val="24"/>
                <w:szCs w:val="24"/>
                <w:lang w:val="en-US" w:eastAsia="zh-CN"/>
              </w:rPr>
              <w:t>15</w:t>
            </w:r>
            <w:r>
              <w:rPr>
                <w:rFonts w:hint="eastAsia" w:ascii="宋体" w:hAnsi="宋体" w:eastAsia="宋体" w:cs="仿宋"/>
                <w:sz w:val="24"/>
                <w:szCs w:val="24"/>
              </w:rPr>
              <w:t>分</w:t>
            </w:r>
          </w:p>
        </w:tc>
        <w:tc>
          <w:tcPr>
            <w:tcW w:w="5057" w:type="dxa"/>
            <w:vAlign w:val="center"/>
          </w:tcPr>
          <w:p>
            <w:pPr>
              <w:pStyle w:val="2"/>
              <w:spacing w:line="360" w:lineRule="auto"/>
            </w:pPr>
            <w:r>
              <w:rPr>
                <w:rFonts w:hint="eastAsia" w:asciiTheme="minorEastAsia" w:hAnsiTheme="minorEastAsia" w:eastAsiaTheme="minorEastAsia" w:cstheme="minorEastAsia"/>
                <w:sz w:val="24"/>
                <w:szCs w:val="24"/>
              </w:rPr>
              <w:t>供应商针对磋商文件第</w:t>
            </w:r>
            <w:r>
              <w:rPr>
                <w:rFonts w:hint="eastAsia" w:asciiTheme="minorEastAsia" w:hAnsiTheme="minorEastAsia" w:eastAsiaTheme="minorEastAsia" w:cstheme="minorEastAsia"/>
                <w:sz w:val="24"/>
                <w:szCs w:val="24"/>
                <w:lang w:eastAsia="zh-CN"/>
              </w:rPr>
              <w:t>五</w:t>
            </w:r>
            <w:r>
              <w:rPr>
                <w:rFonts w:hint="eastAsia" w:asciiTheme="minorEastAsia" w:hAnsiTheme="minorEastAsia" w:eastAsiaTheme="minorEastAsia" w:cstheme="minorEastAsia"/>
                <w:sz w:val="24"/>
                <w:szCs w:val="24"/>
              </w:rPr>
              <w:t>章</w:t>
            </w:r>
            <w:r>
              <w:rPr>
                <w:rFonts w:hint="eastAsia" w:asciiTheme="minorEastAsia" w:hAnsiTheme="minorEastAsia" w:eastAsiaTheme="minorEastAsia" w:cstheme="minorEastAsia"/>
                <w:sz w:val="24"/>
                <w:szCs w:val="24"/>
                <w:lang w:val="en-US" w:eastAsia="zh-CN"/>
              </w:rPr>
              <w:t>中</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管理制度</w:t>
            </w:r>
            <w:r>
              <w:rPr>
                <w:rFonts w:hint="eastAsia" w:asciiTheme="minorEastAsia" w:hAnsiTheme="minorEastAsia" w:eastAsiaTheme="minorEastAsia" w:cstheme="minorEastAsia"/>
                <w:sz w:val="24"/>
                <w:szCs w:val="24"/>
                <w:lang w:eastAsia="zh-CN"/>
              </w:rPr>
              <w:t>要求</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(提供本项目的</w:t>
            </w:r>
            <w:r>
              <w:rPr>
                <w:rFonts w:hint="eastAsia" w:asciiTheme="minorEastAsia" w:hAnsiTheme="minorEastAsia" w:eastAsiaTheme="minorEastAsia" w:cstheme="minorEastAsia"/>
                <w:sz w:val="24"/>
                <w:szCs w:val="24"/>
                <w:lang w:eastAsia="zh-CN"/>
              </w:rPr>
              <w:t>管理制度</w:t>
            </w:r>
            <w:r>
              <w:rPr>
                <w:rFonts w:hint="eastAsia" w:asciiTheme="minorEastAsia" w:hAnsiTheme="minorEastAsia" w:eastAsiaTheme="minorEastAsia" w:cstheme="minorEastAsia"/>
                <w:sz w:val="24"/>
                <w:szCs w:val="24"/>
              </w:rPr>
              <w:t>(共</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条),其中每有一项未提供方案的扣</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r>
              <w:rPr>
                <w:rFonts w:hint="eastAsia" w:ascii="宋体" w:hAnsi="宋体" w:eastAsia="宋体"/>
                <w:color w:val="auto"/>
                <w:sz w:val="24"/>
                <w:szCs w:val="24"/>
              </w:rPr>
              <w:t>每有一项内容存在缺陷(缺陷为分析内容与实际情况不符或存在偏差或过于简略或存在无关的内容或不满足要求)的扣</w:t>
            </w:r>
            <w:r>
              <w:rPr>
                <w:rFonts w:hint="eastAsia" w:ascii="宋体" w:hAnsi="宋体" w:eastAsia="宋体"/>
                <w:color w:val="auto"/>
                <w:sz w:val="24"/>
                <w:szCs w:val="24"/>
                <w:lang w:val="en-US" w:eastAsia="zh-CN"/>
              </w:rPr>
              <w:t>2.5</w:t>
            </w:r>
            <w:r>
              <w:rPr>
                <w:rFonts w:hint="eastAsia" w:ascii="宋体" w:hAnsi="宋体" w:eastAsia="宋体"/>
                <w:color w:val="auto"/>
                <w:sz w:val="24"/>
                <w:szCs w:val="24"/>
              </w:rPr>
              <w:t>分；扣完为止，其他或未提供不得分。</w:t>
            </w:r>
          </w:p>
        </w:tc>
        <w:tc>
          <w:tcPr>
            <w:tcW w:w="1109" w:type="dxa"/>
            <w:vAlign w:val="center"/>
          </w:tcPr>
          <w:p>
            <w:pPr>
              <w:spacing w:line="580" w:lineRule="exact"/>
              <w:jc w:val="center"/>
              <w:rPr>
                <w:rFonts w:ascii="宋体" w:hAnsi="宋体" w:eastAsia="宋体" w:cs="仿宋"/>
                <w:sz w:val="24"/>
                <w:szCs w:val="24"/>
              </w:rPr>
            </w:pPr>
            <w:r>
              <w:rPr>
                <w:rFonts w:hint="eastAsia" w:ascii="宋体" w:hAnsi="宋体" w:eastAsia="宋体" w:cs="仿宋"/>
                <w:sz w:val="24"/>
                <w:szCs w:val="24"/>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594" w:type="dxa"/>
            <w:vMerge w:val="restart"/>
            <w:vAlign w:val="center"/>
          </w:tcPr>
          <w:p>
            <w:pPr>
              <w:spacing w:line="580" w:lineRule="exact"/>
              <w:jc w:val="center"/>
              <w:rPr>
                <w:rFonts w:ascii="宋体" w:hAnsi="宋体" w:eastAsia="宋体" w:cs="仿宋"/>
                <w:sz w:val="24"/>
                <w:szCs w:val="24"/>
              </w:rPr>
            </w:pPr>
            <w:r>
              <w:rPr>
                <w:rFonts w:hint="eastAsia" w:ascii="宋体" w:hAnsi="宋体" w:eastAsia="宋体" w:cs="仿宋"/>
                <w:sz w:val="24"/>
                <w:szCs w:val="24"/>
              </w:rPr>
              <w:t>3</w:t>
            </w:r>
          </w:p>
        </w:tc>
        <w:tc>
          <w:tcPr>
            <w:tcW w:w="1223" w:type="dxa"/>
            <w:vMerge w:val="restart"/>
            <w:vAlign w:val="center"/>
          </w:tcPr>
          <w:p>
            <w:pPr>
              <w:spacing w:line="580" w:lineRule="exact"/>
              <w:jc w:val="center"/>
              <w:rPr>
                <w:rFonts w:ascii="宋体" w:hAnsi="宋体" w:eastAsia="宋体" w:cs="仿宋"/>
                <w:sz w:val="24"/>
                <w:szCs w:val="24"/>
              </w:rPr>
            </w:pPr>
            <w:r>
              <w:rPr>
                <w:rFonts w:hint="eastAsia" w:ascii="宋体" w:hAnsi="宋体" w:eastAsia="宋体" w:cs="仿宋"/>
                <w:sz w:val="24"/>
                <w:szCs w:val="24"/>
              </w:rPr>
              <w:t>服务方案</w:t>
            </w:r>
            <w:r>
              <w:rPr>
                <w:rFonts w:hint="eastAsia" w:ascii="宋体" w:hAnsi="宋体" w:eastAsia="宋体" w:cs="仿宋"/>
                <w:sz w:val="24"/>
                <w:szCs w:val="24"/>
                <w:lang w:val="en-US" w:eastAsia="zh-CN"/>
              </w:rPr>
              <w:t>43</w:t>
            </w:r>
            <w:r>
              <w:rPr>
                <w:rFonts w:hint="eastAsia" w:ascii="宋体" w:hAnsi="宋体" w:eastAsia="宋体" w:cs="仿宋"/>
                <w:sz w:val="24"/>
                <w:szCs w:val="24"/>
              </w:rPr>
              <w:t>%</w:t>
            </w:r>
          </w:p>
        </w:tc>
        <w:tc>
          <w:tcPr>
            <w:tcW w:w="794" w:type="dxa"/>
            <w:vAlign w:val="center"/>
          </w:tcPr>
          <w:p>
            <w:pPr>
              <w:spacing w:line="580" w:lineRule="exact"/>
              <w:jc w:val="center"/>
              <w:rPr>
                <w:rFonts w:ascii="宋体" w:hAnsi="宋体" w:eastAsia="宋体" w:cs="仿宋"/>
                <w:sz w:val="24"/>
                <w:szCs w:val="24"/>
              </w:rPr>
            </w:pPr>
            <w:r>
              <w:rPr>
                <w:rFonts w:hint="eastAsia" w:ascii="宋体" w:hAnsi="宋体" w:eastAsia="宋体" w:cs="仿宋"/>
                <w:sz w:val="24"/>
                <w:szCs w:val="24"/>
                <w:lang w:eastAsia="zh-CN"/>
              </w:rPr>
              <w:t>总体</w:t>
            </w:r>
            <w:r>
              <w:rPr>
                <w:rFonts w:hint="eastAsia" w:ascii="宋体" w:hAnsi="宋体" w:eastAsia="宋体" w:cs="仿宋"/>
                <w:sz w:val="24"/>
                <w:szCs w:val="24"/>
              </w:rPr>
              <w:t>方案</w:t>
            </w:r>
            <w:r>
              <w:rPr>
                <w:rFonts w:hint="eastAsia" w:ascii="宋体" w:hAnsi="宋体" w:eastAsia="宋体" w:cs="仿宋"/>
                <w:sz w:val="24"/>
                <w:szCs w:val="24"/>
                <w:lang w:val="en-US" w:eastAsia="zh-CN"/>
              </w:rPr>
              <w:t>16</w:t>
            </w:r>
            <w:r>
              <w:rPr>
                <w:rFonts w:hint="eastAsia" w:ascii="宋体" w:hAnsi="宋体" w:eastAsia="宋体" w:cs="仿宋"/>
                <w:sz w:val="24"/>
                <w:szCs w:val="24"/>
              </w:rPr>
              <w:t>分</w:t>
            </w:r>
          </w:p>
        </w:tc>
        <w:tc>
          <w:tcPr>
            <w:tcW w:w="5057"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00" w:lineRule="exact"/>
              <w:ind w:left="0" w:right="0"/>
              <w:jc w:val="both"/>
              <w:textAlignment w:val="auto"/>
              <w:rPr>
                <w:rFonts w:ascii="宋体" w:hAnsi="宋体" w:eastAsia="宋体" w:cs="仿宋"/>
                <w:sz w:val="24"/>
                <w:szCs w:val="24"/>
              </w:rPr>
            </w:pPr>
            <w:r>
              <w:rPr>
                <w:rFonts w:hint="eastAsia" w:asciiTheme="minorEastAsia" w:hAnsiTheme="minorEastAsia" w:eastAsiaTheme="minorEastAsia" w:cstheme="minorEastAsia"/>
                <w:sz w:val="24"/>
                <w:szCs w:val="24"/>
              </w:rPr>
              <w:t>供应商针对磋商文件第</w:t>
            </w:r>
            <w:r>
              <w:rPr>
                <w:rFonts w:hint="eastAsia" w:asciiTheme="minorEastAsia" w:hAnsiTheme="minorEastAsia" w:eastAsiaTheme="minorEastAsia" w:cstheme="minorEastAsia"/>
                <w:sz w:val="24"/>
                <w:szCs w:val="24"/>
                <w:lang w:eastAsia="zh-CN"/>
              </w:rPr>
              <w:t>五</w:t>
            </w:r>
            <w:r>
              <w:rPr>
                <w:rFonts w:hint="eastAsia" w:asciiTheme="minorEastAsia" w:hAnsiTheme="minorEastAsia" w:eastAsiaTheme="minorEastAsia" w:cstheme="minorEastAsia"/>
                <w:sz w:val="24"/>
                <w:szCs w:val="24"/>
              </w:rPr>
              <w:t>章</w:t>
            </w:r>
            <w:r>
              <w:rPr>
                <w:rFonts w:hint="eastAsia" w:asciiTheme="minorEastAsia" w:hAnsiTheme="minorEastAsia" w:cstheme="minorEastAsia"/>
                <w:sz w:val="24"/>
                <w:szCs w:val="24"/>
                <w:lang w:eastAsia="zh-CN"/>
              </w:rPr>
              <w:t>中“</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宋体" w:hAnsi="宋体" w:eastAsia="宋体" w:cs="仿宋"/>
                <w:sz w:val="24"/>
                <w:szCs w:val="24"/>
                <w:lang w:eastAsia="zh-CN"/>
              </w:rPr>
              <w:t>服务</w:t>
            </w:r>
            <w:r>
              <w:rPr>
                <w:rFonts w:hint="eastAsia" w:ascii="宋体" w:hAnsi="宋体" w:eastAsia="宋体" w:cs="仿宋"/>
                <w:sz w:val="24"/>
                <w:szCs w:val="24"/>
              </w:rPr>
              <w:t>方案</w:t>
            </w:r>
            <w:r>
              <w:rPr>
                <w:rFonts w:hint="eastAsia" w:ascii="宋体" w:hAnsi="宋体" w:eastAsia="宋体" w:cs="仿宋"/>
                <w:sz w:val="24"/>
                <w:szCs w:val="24"/>
                <w:lang w:eastAsia="zh-CN"/>
              </w:rPr>
              <w:t>中</w:t>
            </w:r>
            <w:r>
              <w:rPr>
                <w:rFonts w:hint="eastAsia" w:ascii="宋体" w:hAnsi="宋体" w:eastAsia="宋体" w:cs="仿宋"/>
                <w:sz w:val="24"/>
                <w:szCs w:val="24"/>
                <w:lang w:val="en-US" w:eastAsia="zh-CN"/>
              </w:rPr>
              <w:t>1</w:t>
            </w:r>
            <w:r>
              <w:rPr>
                <w:rFonts w:hint="eastAsia" w:asciiTheme="minorEastAsia" w:hAnsiTheme="minorEastAsia" w:cstheme="minorEastAsia"/>
                <w:sz w:val="24"/>
                <w:szCs w:val="24"/>
                <w:lang w:eastAsia="zh-CN"/>
              </w:rPr>
              <w:t>）总体方案”</w:t>
            </w:r>
            <w:r>
              <w:rPr>
                <w:rFonts w:hint="eastAsia" w:asciiTheme="minorEastAsia" w:hAnsiTheme="minorEastAsia" w:eastAsiaTheme="minorEastAsia" w:cstheme="minorEastAsia"/>
                <w:sz w:val="24"/>
                <w:szCs w:val="24"/>
              </w:rPr>
              <w:t>提供本项目的</w:t>
            </w:r>
            <w:r>
              <w:rPr>
                <w:rFonts w:hint="eastAsia" w:ascii="宋体" w:hAnsi="宋体" w:eastAsia="宋体" w:cs="仿宋"/>
                <w:sz w:val="24"/>
                <w:szCs w:val="24"/>
                <w:lang w:eastAsia="zh-CN"/>
              </w:rPr>
              <w:t>总体</w:t>
            </w:r>
            <w:r>
              <w:rPr>
                <w:rFonts w:hint="eastAsia" w:ascii="宋体" w:hAnsi="宋体" w:eastAsia="宋体" w:cs="仿宋"/>
                <w:sz w:val="24"/>
                <w:szCs w:val="24"/>
              </w:rPr>
              <w:t>方案</w:t>
            </w:r>
            <w:r>
              <w:rPr>
                <w:rFonts w:hint="eastAsia" w:asciiTheme="minorEastAsia" w:hAnsiTheme="minorEastAsia" w:eastAsiaTheme="minorEastAsia" w:cstheme="minorEastAsia"/>
                <w:sz w:val="24"/>
                <w:szCs w:val="24"/>
              </w:rPr>
              <w:t>(共</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条),其中每有一项未提供方案的扣</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分,</w:t>
            </w:r>
            <w:r>
              <w:rPr>
                <w:rFonts w:hint="eastAsia" w:ascii="宋体" w:hAnsi="宋体" w:eastAsia="宋体"/>
                <w:color w:val="auto"/>
                <w:sz w:val="24"/>
                <w:szCs w:val="24"/>
              </w:rPr>
              <w:t>每有一项内容存在缺陷(缺陷为分析内容与实际情况不符或存在偏差或过于简略或存在无关的内容或不满足要求)的扣</w:t>
            </w:r>
            <w:r>
              <w:rPr>
                <w:rFonts w:hint="eastAsia" w:ascii="宋体" w:hAnsi="宋体" w:eastAsia="宋体"/>
                <w:color w:val="auto"/>
                <w:sz w:val="24"/>
                <w:szCs w:val="24"/>
                <w:lang w:val="en-US" w:eastAsia="zh-CN"/>
              </w:rPr>
              <w:t>2</w:t>
            </w:r>
            <w:r>
              <w:rPr>
                <w:rFonts w:hint="eastAsia" w:ascii="宋体" w:hAnsi="宋体" w:eastAsia="宋体"/>
                <w:color w:val="auto"/>
                <w:sz w:val="24"/>
                <w:szCs w:val="24"/>
              </w:rPr>
              <w:t>分；扣完为止，其他或未提供不得分。</w:t>
            </w:r>
          </w:p>
        </w:tc>
        <w:tc>
          <w:tcPr>
            <w:tcW w:w="1109" w:type="dxa"/>
            <w:vAlign w:val="center"/>
          </w:tcPr>
          <w:p>
            <w:pPr>
              <w:spacing w:line="580" w:lineRule="exact"/>
              <w:jc w:val="center"/>
              <w:rPr>
                <w:rFonts w:ascii="宋体" w:hAnsi="宋体" w:eastAsia="宋体" w:cs="仿宋"/>
                <w:sz w:val="24"/>
                <w:szCs w:val="24"/>
              </w:rPr>
            </w:pPr>
            <w:r>
              <w:rPr>
                <w:rFonts w:hint="eastAsia" w:ascii="宋体" w:hAnsi="宋体" w:eastAsia="宋体" w:cs="仿宋"/>
                <w:sz w:val="24"/>
                <w:szCs w:val="24"/>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dxa"/>
            <w:vMerge w:val="continue"/>
            <w:vAlign w:val="center"/>
          </w:tcPr>
          <w:p>
            <w:pPr>
              <w:spacing w:line="580" w:lineRule="exact"/>
              <w:jc w:val="center"/>
              <w:rPr>
                <w:rFonts w:ascii="宋体" w:hAnsi="宋体" w:eastAsia="宋体" w:cs="仿宋"/>
                <w:sz w:val="24"/>
                <w:szCs w:val="24"/>
              </w:rPr>
            </w:pPr>
          </w:p>
        </w:tc>
        <w:tc>
          <w:tcPr>
            <w:tcW w:w="1223" w:type="dxa"/>
            <w:vMerge w:val="continue"/>
            <w:vAlign w:val="center"/>
          </w:tcPr>
          <w:p>
            <w:pPr>
              <w:spacing w:line="580" w:lineRule="exact"/>
              <w:jc w:val="center"/>
              <w:rPr>
                <w:rFonts w:ascii="宋体" w:hAnsi="宋体" w:eastAsia="宋体" w:cs="仿宋"/>
                <w:sz w:val="24"/>
                <w:szCs w:val="24"/>
              </w:rPr>
            </w:pPr>
          </w:p>
        </w:tc>
        <w:tc>
          <w:tcPr>
            <w:tcW w:w="794" w:type="dxa"/>
            <w:vAlign w:val="center"/>
          </w:tcPr>
          <w:p>
            <w:pPr>
              <w:spacing w:line="580" w:lineRule="exact"/>
              <w:jc w:val="center"/>
              <w:rPr>
                <w:rFonts w:hint="default" w:ascii="宋体" w:hAnsi="宋体" w:eastAsia="宋体" w:cs="仿宋"/>
                <w:sz w:val="24"/>
                <w:szCs w:val="24"/>
                <w:lang w:val="en-US" w:eastAsia="zh-CN"/>
              </w:rPr>
            </w:pPr>
            <w:r>
              <w:rPr>
                <w:rFonts w:hint="eastAsia" w:ascii="宋体" w:hAnsi="宋体" w:eastAsia="宋体" w:cs="宋体"/>
                <w:kern w:val="2"/>
                <w:sz w:val="24"/>
                <w:szCs w:val="24"/>
                <w:lang w:val="en-US" w:eastAsia="zh-CN" w:bidi="ar"/>
              </w:rPr>
              <w:t>质量保障12分</w:t>
            </w:r>
          </w:p>
        </w:tc>
        <w:tc>
          <w:tcPr>
            <w:tcW w:w="5057" w:type="dxa"/>
            <w:vAlign w:val="center"/>
          </w:tcPr>
          <w:p>
            <w:pPr>
              <w:spacing w:line="360" w:lineRule="auto"/>
              <w:ind w:right="207" w:rightChars="61"/>
              <w:jc w:val="left"/>
              <w:rPr>
                <w:rFonts w:ascii="宋体" w:hAnsi="宋体" w:eastAsia="宋体" w:cs="仿宋"/>
                <w:sz w:val="24"/>
                <w:szCs w:val="24"/>
              </w:rPr>
            </w:pPr>
            <w:r>
              <w:rPr>
                <w:rFonts w:hint="eastAsia" w:asciiTheme="minorEastAsia" w:hAnsiTheme="minorEastAsia" w:eastAsiaTheme="minorEastAsia" w:cstheme="minorEastAsia"/>
                <w:sz w:val="24"/>
                <w:szCs w:val="24"/>
              </w:rPr>
              <w:t>供应商针对磋商文件第</w:t>
            </w:r>
            <w:r>
              <w:rPr>
                <w:rFonts w:hint="eastAsia" w:asciiTheme="minorEastAsia" w:hAnsiTheme="minorEastAsia" w:eastAsiaTheme="minorEastAsia" w:cstheme="minorEastAsia"/>
                <w:sz w:val="24"/>
                <w:szCs w:val="24"/>
                <w:lang w:eastAsia="zh-CN"/>
              </w:rPr>
              <w:t>五</w:t>
            </w:r>
            <w:r>
              <w:rPr>
                <w:rFonts w:hint="eastAsia" w:asciiTheme="minorEastAsia" w:hAnsiTheme="minorEastAsia" w:eastAsiaTheme="minorEastAsia" w:cstheme="minorEastAsia"/>
                <w:sz w:val="24"/>
                <w:szCs w:val="24"/>
              </w:rPr>
              <w:t>章</w:t>
            </w:r>
            <w:r>
              <w:rPr>
                <w:rFonts w:hint="eastAsia" w:asciiTheme="minorEastAsia" w:hAnsiTheme="minorEastAsia" w:cstheme="minorEastAsia"/>
                <w:sz w:val="24"/>
                <w:szCs w:val="24"/>
                <w:lang w:eastAsia="zh-CN"/>
              </w:rPr>
              <w:t>中“</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宋体" w:hAnsi="宋体" w:eastAsia="宋体" w:cs="仿宋"/>
                <w:sz w:val="24"/>
                <w:szCs w:val="24"/>
                <w:lang w:eastAsia="zh-CN"/>
              </w:rPr>
              <w:t>服务</w:t>
            </w:r>
            <w:r>
              <w:rPr>
                <w:rFonts w:hint="eastAsia" w:ascii="宋体" w:hAnsi="宋体" w:eastAsia="宋体" w:cs="仿宋"/>
                <w:sz w:val="24"/>
                <w:szCs w:val="24"/>
              </w:rPr>
              <w:t>方案</w:t>
            </w:r>
            <w:r>
              <w:rPr>
                <w:rFonts w:hint="eastAsia" w:ascii="宋体" w:hAnsi="宋体" w:eastAsia="宋体" w:cs="仿宋"/>
                <w:sz w:val="24"/>
                <w:szCs w:val="24"/>
                <w:lang w:eastAsia="zh-CN"/>
              </w:rPr>
              <w:t>中</w:t>
            </w:r>
            <w:r>
              <w:rPr>
                <w:rFonts w:hint="eastAsia" w:ascii="宋体" w:hAnsi="宋体" w:eastAsia="宋体" w:cs="仿宋"/>
                <w:sz w:val="24"/>
                <w:szCs w:val="24"/>
                <w:lang w:val="en-US" w:eastAsia="zh-CN"/>
              </w:rPr>
              <w:t>2</w:t>
            </w:r>
            <w:r>
              <w:rPr>
                <w:rFonts w:hint="eastAsia" w:asciiTheme="minorEastAsia" w:hAnsiTheme="minorEastAsia" w:cstheme="minorEastAsia"/>
                <w:sz w:val="24"/>
                <w:szCs w:val="24"/>
                <w:lang w:eastAsia="zh-CN"/>
              </w:rPr>
              <w:t>）质量保障”</w:t>
            </w:r>
            <w:r>
              <w:rPr>
                <w:rFonts w:hint="eastAsia" w:asciiTheme="minorEastAsia" w:hAnsiTheme="minorEastAsia" w:eastAsiaTheme="minorEastAsia" w:cstheme="minorEastAsia"/>
                <w:sz w:val="24"/>
                <w:szCs w:val="24"/>
              </w:rPr>
              <w:t>提供本项目的</w:t>
            </w:r>
            <w:r>
              <w:rPr>
                <w:rFonts w:hint="eastAsia" w:ascii="宋体" w:hAnsi="宋体" w:eastAsia="宋体" w:cs="宋体"/>
                <w:kern w:val="2"/>
                <w:sz w:val="24"/>
                <w:szCs w:val="24"/>
                <w:lang w:val="en-US" w:eastAsia="zh-CN" w:bidi="ar"/>
              </w:rPr>
              <w:t>质量保障</w:t>
            </w:r>
            <w:r>
              <w:rPr>
                <w:rFonts w:hint="eastAsia" w:asciiTheme="minorEastAsia" w:hAnsiTheme="minorEastAsia" w:eastAsiaTheme="minorEastAsia" w:cstheme="minorEastAsia"/>
                <w:sz w:val="24"/>
                <w:szCs w:val="24"/>
              </w:rPr>
              <w:t>(共</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条),其中每有一项未提供方案的扣</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分,</w:t>
            </w:r>
            <w:r>
              <w:rPr>
                <w:rFonts w:hint="eastAsia" w:ascii="宋体" w:hAnsi="宋体" w:eastAsia="宋体"/>
                <w:color w:val="auto"/>
                <w:sz w:val="24"/>
                <w:szCs w:val="24"/>
              </w:rPr>
              <w:t>每有一项内容存在缺陷(缺陷为分析内容与实际情况不符或存在偏差或过于简略或存在无关的内容或不满足要求)的扣</w:t>
            </w:r>
            <w:r>
              <w:rPr>
                <w:rFonts w:hint="eastAsia" w:ascii="宋体" w:hAnsi="宋体" w:eastAsia="宋体"/>
                <w:color w:val="auto"/>
                <w:sz w:val="24"/>
                <w:szCs w:val="24"/>
                <w:lang w:val="en-US" w:eastAsia="zh-CN"/>
              </w:rPr>
              <w:t>2</w:t>
            </w:r>
            <w:r>
              <w:rPr>
                <w:rFonts w:hint="eastAsia" w:ascii="宋体" w:hAnsi="宋体" w:eastAsia="宋体"/>
                <w:color w:val="auto"/>
                <w:sz w:val="24"/>
                <w:szCs w:val="24"/>
              </w:rPr>
              <w:t>分；扣完为止，其他或未提供不得分。</w:t>
            </w:r>
          </w:p>
        </w:tc>
        <w:tc>
          <w:tcPr>
            <w:tcW w:w="1109" w:type="dxa"/>
            <w:vAlign w:val="center"/>
          </w:tcPr>
          <w:p>
            <w:pPr>
              <w:spacing w:line="580" w:lineRule="exact"/>
              <w:jc w:val="center"/>
              <w:rPr>
                <w:rFonts w:ascii="宋体" w:hAnsi="宋体" w:eastAsia="宋体" w:cs="仿宋"/>
                <w:sz w:val="24"/>
                <w:szCs w:val="24"/>
              </w:rPr>
            </w:pPr>
            <w:r>
              <w:rPr>
                <w:rFonts w:hint="eastAsia" w:ascii="宋体" w:hAnsi="宋体" w:eastAsia="宋体" w:cs="仿宋"/>
                <w:sz w:val="24"/>
                <w:szCs w:val="24"/>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Merge w:val="continue"/>
            <w:vAlign w:val="center"/>
          </w:tcPr>
          <w:p>
            <w:pPr>
              <w:spacing w:line="580" w:lineRule="exact"/>
              <w:jc w:val="center"/>
              <w:rPr>
                <w:rFonts w:ascii="宋体" w:hAnsi="宋体" w:eastAsia="宋体" w:cs="仿宋"/>
                <w:sz w:val="24"/>
                <w:szCs w:val="24"/>
              </w:rPr>
            </w:pPr>
          </w:p>
        </w:tc>
        <w:tc>
          <w:tcPr>
            <w:tcW w:w="1223" w:type="dxa"/>
            <w:vMerge w:val="continue"/>
            <w:vAlign w:val="center"/>
          </w:tcPr>
          <w:p>
            <w:pPr>
              <w:spacing w:line="580" w:lineRule="exact"/>
              <w:jc w:val="center"/>
              <w:rPr>
                <w:rFonts w:ascii="宋体" w:hAnsi="宋体" w:eastAsia="宋体" w:cs="仿宋"/>
                <w:sz w:val="24"/>
                <w:szCs w:val="24"/>
              </w:rPr>
            </w:pPr>
          </w:p>
        </w:tc>
        <w:tc>
          <w:tcPr>
            <w:tcW w:w="794" w:type="dxa"/>
            <w:vAlign w:val="center"/>
          </w:tcPr>
          <w:p>
            <w:pPr>
              <w:spacing w:line="580" w:lineRule="exact"/>
              <w:jc w:val="center"/>
              <w:rPr>
                <w:rFonts w:hint="eastAsia" w:ascii="宋体" w:hAnsi="宋体" w:eastAsia="宋体" w:cs="仿宋"/>
                <w:sz w:val="24"/>
                <w:szCs w:val="24"/>
                <w:lang w:eastAsia="zh-CN"/>
              </w:rPr>
            </w:pPr>
            <w:r>
              <w:rPr>
                <w:rFonts w:hint="eastAsia" w:ascii="宋体" w:hAnsi="宋体" w:eastAsia="宋体" w:cs="仿宋"/>
                <w:sz w:val="24"/>
                <w:szCs w:val="24"/>
              </w:rPr>
              <w:t>人员</w:t>
            </w:r>
            <w:r>
              <w:rPr>
                <w:rFonts w:hint="eastAsia" w:ascii="宋体" w:hAnsi="宋体" w:eastAsia="宋体" w:cs="仿宋"/>
                <w:sz w:val="24"/>
                <w:szCs w:val="24"/>
                <w:lang w:eastAsia="zh-CN"/>
              </w:rPr>
              <w:t>管理制度</w:t>
            </w:r>
          </w:p>
          <w:p>
            <w:pPr>
              <w:spacing w:line="580" w:lineRule="exact"/>
              <w:jc w:val="center"/>
              <w:rPr>
                <w:rFonts w:ascii="宋体" w:hAnsi="宋体" w:eastAsia="宋体" w:cs="仿宋"/>
                <w:sz w:val="24"/>
                <w:szCs w:val="24"/>
              </w:rPr>
            </w:pPr>
            <w:r>
              <w:rPr>
                <w:rFonts w:hint="eastAsia" w:ascii="宋体" w:hAnsi="宋体" w:eastAsia="宋体" w:cs="仿宋"/>
                <w:sz w:val="24"/>
                <w:szCs w:val="24"/>
                <w:lang w:val="en-US" w:eastAsia="zh-CN"/>
              </w:rPr>
              <w:t>15</w:t>
            </w:r>
            <w:r>
              <w:rPr>
                <w:rFonts w:hint="eastAsia" w:ascii="宋体" w:hAnsi="宋体" w:eastAsia="宋体" w:cs="仿宋"/>
                <w:sz w:val="24"/>
                <w:szCs w:val="24"/>
              </w:rPr>
              <w:t>分</w:t>
            </w:r>
          </w:p>
        </w:tc>
        <w:tc>
          <w:tcPr>
            <w:tcW w:w="5057" w:type="dxa"/>
            <w:vAlign w:val="center"/>
          </w:tcPr>
          <w:p>
            <w:pPr>
              <w:spacing w:line="360" w:lineRule="auto"/>
              <w:jc w:val="both"/>
              <w:rPr>
                <w:rFonts w:ascii="宋体" w:hAnsi="宋体" w:eastAsia="宋体" w:cs="仿宋"/>
                <w:color w:val="00B050"/>
                <w:sz w:val="24"/>
                <w:szCs w:val="24"/>
              </w:rPr>
            </w:pPr>
            <w:r>
              <w:rPr>
                <w:rFonts w:hint="eastAsia" w:asciiTheme="minorEastAsia" w:hAnsiTheme="minorEastAsia" w:eastAsiaTheme="minorEastAsia" w:cstheme="minorEastAsia"/>
                <w:sz w:val="24"/>
                <w:szCs w:val="24"/>
              </w:rPr>
              <w:t>供应商针对磋商文件第</w:t>
            </w:r>
            <w:r>
              <w:rPr>
                <w:rFonts w:hint="eastAsia" w:asciiTheme="minorEastAsia" w:hAnsiTheme="minorEastAsia" w:eastAsiaTheme="minorEastAsia" w:cstheme="minorEastAsia"/>
                <w:sz w:val="24"/>
                <w:szCs w:val="24"/>
                <w:lang w:eastAsia="zh-CN"/>
              </w:rPr>
              <w:t>五</w:t>
            </w:r>
            <w:r>
              <w:rPr>
                <w:rFonts w:hint="eastAsia" w:asciiTheme="minorEastAsia" w:hAnsiTheme="minorEastAsia" w:eastAsiaTheme="minorEastAsia" w:cstheme="minorEastAsia"/>
                <w:sz w:val="24"/>
                <w:szCs w:val="24"/>
              </w:rPr>
              <w:t>章</w:t>
            </w:r>
            <w:r>
              <w:rPr>
                <w:rFonts w:hint="eastAsia" w:asciiTheme="minorEastAsia" w:hAnsiTheme="minorEastAsia" w:cstheme="minorEastAsia"/>
                <w:sz w:val="24"/>
                <w:szCs w:val="24"/>
                <w:lang w:eastAsia="zh-CN"/>
              </w:rPr>
              <w:t>中“</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宋体" w:hAnsi="宋体" w:eastAsia="宋体" w:cs="仿宋"/>
                <w:sz w:val="24"/>
                <w:szCs w:val="24"/>
                <w:lang w:eastAsia="zh-CN"/>
              </w:rPr>
              <w:t>服务</w:t>
            </w:r>
            <w:r>
              <w:rPr>
                <w:rFonts w:hint="eastAsia" w:ascii="宋体" w:hAnsi="宋体" w:eastAsia="宋体" w:cs="仿宋"/>
                <w:sz w:val="24"/>
                <w:szCs w:val="24"/>
              </w:rPr>
              <w:t>方案</w:t>
            </w:r>
            <w:r>
              <w:rPr>
                <w:rFonts w:hint="eastAsia" w:ascii="宋体" w:hAnsi="宋体" w:eastAsia="宋体" w:cs="仿宋"/>
                <w:sz w:val="24"/>
                <w:szCs w:val="24"/>
                <w:lang w:eastAsia="zh-CN"/>
              </w:rPr>
              <w:t>中</w:t>
            </w:r>
            <w:r>
              <w:rPr>
                <w:rFonts w:hint="eastAsia" w:ascii="宋体" w:hAnsi="宋体" w:eastAsia="宋体" w:cs="仿宋"/>
                <w:sz w:val="24"/>
                <w:szCs w:val="24"/>
                <w:lang w:val="en-US" w:eastAsia="zh-CN"/>
              </w:rPr>
              <w:t>3</w:t>
            </w:r>
            <w:r>
              <w:rPr>
                <w:rFonts w:hint="eastAsia" w:asciiTheme="minorEastAsia" w:hAnsiTheme="minorEastAsia" w:cstheme="minorEastAsia"/>
                <w:sz w:val="24"/>
                <w:szCs w:val="24"/>
                <w:lang w:eastAsia="zh-CN"/>
              </w:rPr>
              <w:t>）人员管理制度”</w:t>
            </w:r>
            <w:r>
              <w:rPr>
                <w:rFonts w:hint="eastAsia" w:asciiTheme="minorEastAsia" w:hAnsiTheme="minorEastAsia" w:eastAsiaTheme="minorEastAsia" w:cstheme="minorEastAsia"/>
                <w:sz w:val="24"/>
                <w:szCs w:val="24"/>
              </w:rPr>
              <w:t>提供本项目的人员</w:t>
            </w:r>
            <w:r>
              <w:rPr>
                <w:rFonts w:hint="eastAsia" w:asciiTheme="minorEastAsia" w:hAnsiTheme="minorEastAsia" w:eastAsiaTheme="minorEastAsia" w:cstheme="minorEastAsia"/>
                <w:sz w:val="24"/>
                <w:szCs w:val="24"/>
                <w:lang w:eastAsia="zh-CN"/>
              </w:rPr>
              <w:t>管理制度</w:t>
            </w:r>
            <w:r>
              <w:rPr>
                <w:rFonts w:hint="eastAsia" w:asciiTheme="minorEastAsia" w:hAnsiTheme="minorEastAsia" w:eastAsiaTheme="minorEastAsia" w:cstheme="minorEastAsia"/>
                <w:sz w:val="24"/>
                <w:szCs w:val="24"/>
              </w:rPr>
              <w:t>(共</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条),其中每有一项未提供方案的扣</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分,</w:t>
            </w:r>
            <w:r>
              <w:rPr>
                <w:rFonts w:hint="eastAsia" w:ascii="宋体" w:hAnsi="宋体" w:eastAsia="宋体"/>
                <w:color w:val="auto"/>
                <w:sz w:val="24"/>
                <w:szCs w:val="24"/>
              </w:rPr>
              <w:t>每有一项内容存在缺陷(缺陷为分析内容与实际情况不符或存在偏差或过于简略或存在无关的内容或不满足要求)的扣</w:t>
            </w:r>
            <w:r>
              <w:rPr>
                <w:rFonts w:hint="eastAsia" w:ascii="宋体" w:hAnsi="宋体" w:eastAsia="宋体"/>
                <w:color w:val="auto"/>
                <w:sz w:val="24"/>
                <w:szCs w:val="24"/>
                <w:lang w:val="en-US" w:eastAsia="zh-CN"/>
              </w:rPr>
              <w:t>1.5</w:t>
            </w:r>
            <w:r>
              <w:rPr>
                <w:rFonts w:hint="eastAsia" w:ascii="宋体" w:hAnsi="宋体" w:eastAsia="宋体"/>
                <w:color w:val="auto"/>
                <w:sz w:val="24"/>
                <w:szCs w:val="24"/>
              </w:rPr>
              <w:t>分；扣完为止，其他或未提供不得分。</w:t>
            </w:r>
          </w:p>
        </w:tc>
        <w:tc>
          <w:tcPr>
            <w:tcW w:w="1109" w:type="dxa"/>
            <w:vAlign w:val="center"/>
          </w:tcPr>
          <w:p>
            <w:pPr>
              <w:spacing w:line="580" w:lineRule="exact"/>
              <w:jc w:val="center"/>
              <w:rPr>
                <w:rFonts w:ascii="宋体" w:hAnsi="宋体" w:eastAsia="宋体" w:cs="仿宋"/>
                <w:sz w:val="24"/>
                <w:szCs w:val="24"/>
              </w:rPr>
            </w:pPr>
            <w:r>
              <w:rPr>
                <w:rFonts w:hint="eastAsia" w:ascii="宋体" w:hAnsi="宋体" w:eastAsia="宋体" w:cs="仿宋"/>
                <w:sz w:val="24"/>
                <w:szCs w:val="24"/>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pPr>
              <w:spacing w:line="580" w:lineRule="exact"/>
              <w:jc w:val="center"/>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4</w:t>
            </w:r>
          </w:p>
        </w:tc>
        <w:tc>
          <w:tcPr>
            <w:tcW w:w="1223" w:type="dxa"/>
            <w:vAlign w:val="center"/>
          </w:tcPr>
          <w:p>
            <w:pPr>
              <w:spacing w:line="580" w:lineRule="exact"/>
              <w:jc w:val="center"/>
              <w:rPr>
                <w:rFonts w:ascii="宋体" w:hAnsi="宋体" w:eastAsia="宋体" w:cs="仿宋"/>
                <w:sz w:val="24"/>
                <w:szCs w:val="24"/>
              </w:rPr>
            </w:pPr>
            <w:r>
              <w:rPr>
                <w:rFonts w:hint="eastAsia" w:ascii="宋体" w:hAnsi="宋体" w:eastAsia="宋体" w:cs="仿宋"/>
                <w:sz w:val="24"/>
                <w:szCs w:val="24"/>
              </w:rPr>
              <w:t>应急措施</w:t>
            </w:r>
          </w:p>
          <w:p>
            <w:pPr>
              <w:spacing w:line="580" w:lineRule="exact"/>
              <w:jc w:val="center"/>
              <w:rPr>
                <w:rFonts w:hint="default" w:ascii="宋体" w:hAnsi="宋体" w:eastAsia="宋体" w:cs="仿宋"/>
                <w:sz w:val="24"/>
                <w:szCs w:val="24"/>
                <w:lang w:val="en-US"/>
              </w:rPr>
            </w:pPr>
            <w:r>
              <w:rPr>
                <w:rFonts w:hint="eastAsia" w:ascii="宋体" w:hAnsi="宋体" w:eastAsia="宋体" w:cs="仿宋"/>
                <w:sz w:val="24"/>
                <w:szCs w:val="24"/>
                <w:lang w:val="en-US" w:eastAsia="zh-CN"/>
              </w:rPr>
              <w:t>12%</w:t>
            </w:r>
          </w:p>
        </w:tc>
        <w:tc>
          <w:tcPr>
            <w:tcW w:w="794" w:type="dxa"/>
            <w:vAlign w:val="center"/>
          </w:tcPr>
          <w:p>
            <w:pPr>
              <w:spacing w:line="580" w:lineRule="exact"/>
              <w:jc w:val="center"/>
              <w:rPr>
                <w:rFonts w:ascii="宋体" w:hAnsi="宋体" w:eastAsia="宋体" w:cs="仿宋"/>
                <w:sz w:val="24"/>
                <w:szCs w:val="24"/>
              </w:rPr>
            </w:pPr>
            <w:r>
              <w:rPr>
                <w:rFonts w:hint="eastAsia" w:ascii="宋体" w:hAnsi="宋体" w:eastAsia="宋体" w:cs="仿宋"/>
                <w:sz w:val="24"/>
                <w:szCs w:val="24"/>
              </w:rPr>
              <w:t>应急措施</w:t>
            </w:r>
          </w:p>
          <w:p>
            <w:pPr>
              <w:spacing w:line="580" w:lineRule="exact"/>
              <w:jc w:val="center"/>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12</w:t>
            </w:r>
            <w:r>
              <w:rPr>
                <w:rFonts w:hint="eastAsia" w:ascii="宋体" w:hAnsi="宋体" w:eastAsia="宋体" w:cs="仿宋"/>
                <w:sz w:val="24"/>
                <w:szCs w:val="24"/>
              </w:rPr>
              <w:t>分</w:t>
            </w:r>
          </w:p>
        </w:tc>
        <w:tc>
          <w:tcPr>
            <w:tcW w:w="5057" w:type="dxa"/>
            <w:vAlign w:val="center"/>
          </w:tcPr>
          <w:p>
            <w:pPr>
              <w:spacing w:line="580" w:lineRule="exact"/>
              <w:rPr>
                <w:rFonts w:hint="eastAsia" w:ascii="宋体" w:hAnsi="宋体" w:eastAsia="宋体" w:cs="宋体"/>
                <w:kern w:val="2"/>
                <w:sz w:val="24"/>
                <w:szCs w:val="24"/>
                <w:lang w:val="en-US" w:eastAsia="zh-CN" w:bidi="ar"/>
              </w:rPr>
            </w:pPr>
            <w:r>
              <w:rPr>
                <w:rFonts w:hint="eastAsia" w:asciiTheme="minorEastAsia" w:hAnsiTheme="minorEastAsia" w:eastAsiaTheme="minorEastAsia" w:cstheme="minorEastAsia"/>
                <w:sz w:val="24"/>
                <w:szCs w:val="24"/>
              </w:rPr>
              <w:t>供应商针对磋商文件第</w:t>
            </w:r>
            <w:r>
              <w:rPr>
                <w:rFonts w:hint="eastAsia" w:asciiTheme="minorEastAsia" w:hAnsiTheme="minorEastAsia" w:eastAsiaTheme="minorEastAsia" w:cstheme="minorEastAsia"/>
                <w:sz w:val="24"/>
                <w:szCs w:val="24"/>
                <w:lang w:eastAsia="zh-CN"/>
              </w:rPr>
              <w:t>五</w:t>
            </w:r>
            <w:r>
              <w:rPr>
                <w:rFonts w:hint="eastAsia" w:asciiTheme="minorEastAsia" w:hAnsiTheme="minorEastAsia" w:eastAsiaTheme="minorEastAsia" w:cstheme="minorEastAsia"/>
                <w:sz w:val="24"/>
                <w:szCs w:val="24"/>
              </w:rPr>
              <w:t>章</w:t>
            </w:r>
            <w:r>
              <w:rPr>
                <w:rFonts w:hint="eastAsia" w:asciiTheme="minorEastAsia" w:hAnsiTheme="minorEastAsia" w:eastAsiaTheme="minorEastAsia" w:cstheme="minorEastAsia"/>
                <w:sz w:val="24"/>
                <w:szCs w:val="24"/>
                <w:lang w:val="en-US" w:eastAsia="zh-CN"/>
              </w:rPr>
              <w:t>中</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）应急措施</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提供本项目的应急措施(共</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条),其中每有一项未提供方案的扣</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分,</w:t>
            </w:r>
            <w:r>
              <w:rPr>
                <w:rFonts w:hint="eastAsia" w:ascii="宋体" w:hAnsi="宋体" w:eastAsia="宋体"/>
                <w:color w:val="auto"/>
                <w:sz w:val="24"/>
                <w:szCs w:val="24"/>
              </w:rPr>
              <w:t>每有一项内容存在缺陷(缺陷为分析内容与实际情况不符或存在偏差或过于简略或存在无关的内容或不满足要求)的扣</w:t>
            </w:r>
            <w:r>
              <w:rPr>
                <w:rFonts w:hint="eastAsia" w:ascii="宋体" w:hAnsi="宋体" w:eastAsia="宋体"/>
                <w:color w:val="auto"/>
                <w:sz w:val="24"/>
                <w:szCs w:val="24"/>
                <w:lang w:val="en-US" w:eastAsia="zh-CN"/>
              </w:rPr>
              <w:t>2</w:t>
            </w:r>
            <w:r>
              <w:rPr>
                <w:rFonts w:hint="eastAsia" w:ascii="宋体" w:hAnsi="宋体" w:eastAsia="宋体"/>
                <w:color w:val="auto"/>
                <w:sz w:val="24"/>
                <w:szCs w:val="24"/>
              </w:rPr>
              <w:t>分；扣完为止，其他或未提供不得分。</w:t>
            </w:r>
          </w:p>
        </w:tc>
        <w:tc>
          <w:tcPr>
            <w:tcW w:w="1109" w:type="dxa"/>
            <w:vAlign w:val="center"/>
          </w:tcPr>
          <w:p>
            <w:pPr>
              <w:spacing w:line="580" w:lineRule="exact"/>
              <w:jc w:val="center"/>
              <w:rPr>
                <w:rFonts w:ascii="宋体" w:hAnsi="宋体" w:eastAsia="宋体" w:cs="仿宋"/>
                <w:sz w:val="24"/>
                <w:szCs w:val="24"/>
              </w:rPr>
            </w:pPr>
            <w:r>
              <w:rPr>
                <w:rFonts w:hint="eastAsia" w:ascii="宋体" w:hAnsi="宋体" w:eastAsia="宋体" w:cs="仿宋"/>
                <w:sz w:val="24"/>
                <w:szCs w:val="24"/>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Align w:val="center"/>
          </w:tcPr>
          <w:p>
            <w:pPr>
              <w:spacing w:line="580" w:lineRule="exact"/>
              <w:jc w:val="center"/>
              <w:rPr>
                <w:rFonts w:hint="eastAsia" w:ascii="宋体" w:hAnsi="宋体" w:eastAsia="宋体" w:cs="仿宋"/>
                <w:color w:val="auto"/>
                <w:sz w:val="24"/>
                <w:szCs w:val="24"/>
                <w:lang w:eastAsia="zh-CN"/>
              </w:rPr>
            </w:pPr>
            <w:r>
              <w:rPr>
                <w:rFonts w:hint="eastAsia" w:ascii="宋体" w:hAnsi="宋体" w:eastAsia="宋体" w:cs="仿宋"/>
                <w:color w:val="auto"/>
                <w:sz w:val="24"/>
                <w:szCs w:val="24"/>
                <w:lang w:val="en-US" w:eastAsia="zh-CN"/>
              </w:rPr>
              <w:t>5</w:t>
            </w:r>
          </w:p>
        </w:tc>
        <w:tc>
          <w:tcPr>
            <w:tcW w:w="1223" w:type="dxa"/>
            <w:vAlign w:val="center"/>
          </w:tcPr>
          <w:p>
            <w:pPr>
              <w:spacing w:line="580" w:lineRule="exact"/>
              <w:jc w:val="center"/>
              <w:rPr>
                <w:rFonts w:ascii="宋体" w:hAnsi="宋体" w:eastAsia="宋体" w:cs="仿宋"/>
                <w:color w:val="auto"/>
                <w:sz w:val="24"/>
                <w:szCs w:val="24"/>
              </w:rPr>
            </w:pPr>
            <w:r>
              <w:rPr>
                <w:rFonts w:hint="eastAsia" w:ascii="宋体" w:hAnsi="宋体" w:eastAsia="宋体" w:cs="仿宋"/>
                <w:color w:val="auto"/>
                <w:sz w:val="24"/>
                <w:szCs w:val="24"/>
              </w:rPr>
              <w:t>履约能力</w:t>
            </w:r>
            <w:r>
              <w:rPr>
                <w:rFonts w:hint="eastAsia" w:ascii="宋体" w:hAnsi="宋体" w:eastAsia="宋体" w:cs="仿宋"/>
                <w:color w:val="auto"/>
                <w:sz w:val="24"/>
                <w:szCs w:val="24"/>
                <w:lang w:val="en-US" w:eastAsia="zh-CN"/>
              </w:rPr>
              <w:t>20</w:t>
            </w:r>
            <w:r>
              <w:rPr>
                <w:rFonts w:hint="eastAsia" w:ascii="宋体" w:hAnsi="宋体" w:eastAsia="宋体" w:cs="仿宋"/>
                <w:color w:val="auto"/>
                <w:sz w:val="24"/>
                <w:szCs w:val="24"/>
              </w:rPr>
              <w:t>%</w:t>
            </w:r>
          </w:p>
        </w:tc>
        <w:tc>
          <w:tcPr>
            <w:tcW w:w="794" w:type="dxa"/>
            <w:vAlign w:val="center"/>
          </w:tcPr>
          <w:p>
            <w:pPr>
              <w:spacing w:line="580" w:lineRule="exact"/>
              <w:jc w:val="center"/>
              <w:rPr>
                <w:rFonts w:ascii="宋体" w:hAnsi="宋体" w:eastAsia="宋体" w:cs="仿宋"/>
                <w:color w:val="auto"/>
                <w:sz w:val="24"/>
                <w:szCs w:val="24"/>
              </w:rPr>
            </w:pPr>
            <w:r>
              <w:rPr>
                <w:rFonts w:hint="eastAsia" w:ascii="宋体" w:hAnsi="宋体" w:eastAsia="宋体" w:cs="仿宋"/>
                <w:color w:val="auto"/>
                <w:sz w:val="24"/>
                <w:szCs w:val="24"/>
                <w:lang w:val="en-US" w:eastAsia="zh-CN"/>
              </w:rPr>
              <w:t>20</w:t>
            </w:r>
            <w:r>
              <w:rPr>
                <w:rFonts w:hint="eastAsia" w:ascii="宋体" w:hAnsi="宋体" w:eastAsia="宋体" w:cs="仿宋"/>
                <w:color w:val="auto"/>
                <w:sz w:val="24"/>
                <w:szCs w:val="24"/>
              </w:rPr>
              <w:t>分</w:t>
            </w:r>
          </w:p>
        </w:tc>
        <w:tc>
          <w:tcPr>
            <w:tcW w:w="5057" w:type="dxa"/>
            <w:vAlign w:val="center"/>
          </w:tcPr>
          <w:p>
            <w:pPr>
              <w:spacing w:line="276" w:lineRule="auto"/>
              <w:rPr>
                <w:rFonts w:ascii="宋体" w:hAnsi="宋体" w:eastAsia="宋体" w:cs="仿宋"/>
                <w:color w:val="auto"/>
                <w:sz w:val="24"/>
                <w:szCs w:val="24"/>
              </w:rPr>
            </w:pPr>
            <w:r>
              <w:rPr>
                <w:rFonts w:hint="eastAsia" w:ascii="宋体" w:hAnsi="宋体" w:eastAsia="宋体" w:cs="仿宋"/>
                <w:color w:val="auto"/>
                <w:sz w:val="24"/>
                <w:szCs w:val="24"/>
                <w:lang w:eastAsia="zh-CN"/>
              </w:rPr>
              <w:t>供应商</w:t>
            </w:r>
            <w:r>
              <w:rPr>
                <w:rFonts w:hint="eastAsia" w:ascii="宋体" w:hAnsi="宋体" w:eastAsia="宋体" w:cs="仿宋"/>
                <w:color w:val="auto"/>
                <w:sz w:val="24"/>
                <w:szCs w:val="24"/>
              </w:rPr>
              <w:t>从2019年1月1日（含1日）至今有过类似项目业绩，每有1个得</w:t>
            </w:r>
            <w:r>
              <w:rPr>
                <w:rFonts w:hint="eastAsia" w:ascii="宋体" w:hAnsi="宋体" w:eastAsia="宋体" w:cs="仿宋"/>
                <w:color w:val="auto"/>
                <w:sz w:val="24"/>
                <w:szCs w:val="24"/>
                <w:lang w:val="en-US" w:eastAsia="zh-CN"/>
              </w:rPr>
              <w:t>4</w:t>
            </w:r>
            <w:r>
              <w:rPr>
                <w:rFonts w:hint="eastAsia" w:ascii="宋体" w:hAnsi="宋体" w:eastAsia="宋体" w:cs="仿宋"/>
                <w:color w:val="auto"/>
                <w:sz w:val="24"/>
                <w:szCs w:val="24"/>
              </w:rPr>
              <w:t>分，最多得</w:t>
            </w:r>
            <w:r>
              <w:rPr>
                <w:rFonts w:hint="eastAsia" w:ascii="宋体" w:hAnsi="宋体" w:eastAsia="宋体" w:cs="仿宋"/>
                <w:color w:val="auto"/>
                <w:sz w:val="24"/>
                <w:szCs w:val="24"/>
                <w:lang w:val="en-US" w:eastAsia="zh-CN"/>
              </w:rPr>
              <w:t>20</w:t>
            </w:r>
            <w:r>
              <w:rPr>
                <w:rFonts w:hint="eastAsia" w:ascii="宋体" w:hAnsi="宋体" w:eastAsia="宋体" w:cs="仿宋"/>
                <w:color w:val="auto"/>
                <w:sz w:val="24"/>
                <w:szCs w:val="24"/>
              </w:rPr>
              <w:t>分。</w:t>
            </w:r>
          </w:p>
          <w:p>
            <w:pPr>
              <w:pStyle w:val="2"/>
              <w:spacing w:line="276" w:lineRule="auto"/>
              <w:rPr>
                <w:rFonts w:ascii="宋体" w:hAnsi="宋体" w:eastAsia="宋体"/>
                <w:color w:val="auto"/>
                <w:sz w:val="24"/>
                <w:szCs w:val="24"/>
              </w:rPr>
            </w:pPr>
            <w:r>
              <w:rPr>
                <w:rFonts w:ascii="宋体" w:hAnsi="宋体" w:eastAsia="宋体"/>
                <w:color w:val="auto"/>
                <w:sz w:val="24"/>
                <w:szCs w:val="24"/>
              </w:rPr>
              <w:t>注：</w:t>
            </w:r>
            <w:r>
              <w:rPr>
                <w:rFonts w:hint="eastAsia" w:ascii="宋体" w:hAnsi="宋体" w:eastAsia="宋体" w:cs="仿宋"/>
                <w:color w:val="auto"/>
                <w:sz w:val="24"/>
                <w:szCs w:val="24"/>
              </w:rPr>
              <w:t>提供中标（成交）通知书或合同等证明材料的复印件。</w:t>
            </w:r>
          </w:p>
        </w:tc>
        <w:tc>
          <w:tcPr>
            <w:tcW w:w="1109" w:type="dxa"/>
            <w:vAlign w:val="center"/>
          </w:tcPr>
          <w:p>
            <w:pPr>
              <w:spacing w:line="580" w:lineRule="exact"/>
              <w:jc w:val="center"/>
              <w:rPr>
                <w:rFonts w:ascii="宋体" w:hAnsi="宋体" w:eastAsia="宋体" w:cs="仿宋"/>
                <w:color w:val="auto"/>
                <w:sz w:val="24"/>
                <w:szCs w:val="24"/>
              </w:rPr>
            </w:pPr>
            <w:r>
              <w:rPr>
                <w:rFonts w:hint="eastAsia" w:ascii="宋体" w:hAnsi="宋体" w:eastAsia="宋体" w:cs="仿宋"/>
                <w:color w:val="auto"/>
                <w:sz w:val="24"/>
                <w:szCs w:val="24"/>
              </w:rPr>
              <w:t>共同评分因素</w:t>
            </w:r>
          </w:p>
        </w:tc>
      </w:tr>
    </w:tbl>
    <w:p>
      <w:pPr>
        <w:pStyle w:val="2"/>
      </w:pPr>
    </w:p>
    <w:p>
      <w:pPr>
        <w:pStyle w:val="2"/>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注：评分的取值按四舍五入法，保留小数点后两位。</w:t>
      </w:r>
    </w:p>
    <w:bookmarkEnd w:id="153"/>
    <w:bookmarkEnd w:id="154"/>
    <w:bookmarkEnd w:id="155"/>
    <w:bookmarkEnd w:id="156"/>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61" w:name="BookMK79"/>
      <w:r>
        <w:rPr>
          <w:rFonts w:hint="eastAsia" w:hAnsi="宋体" w:cs="宋体"/>
          <w:color w:val="000000" w:themeColor="text1"/>
          <w:sz w:val="24"/>
          <w14:textFill>
            <w14:solidFill>
              <w14:schemeClr w14:val="tx1"/>
            </w14:solidFill>
          </w14:textFill>
        </w:rPr>
        <w:t>4.磋商纪律及注意事项</w:t>
      </w:r>
    </w:p>
    <w:bookmarkEnd w:id="161"/>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4.1磋商小组内部讨论的情况和意见必须保密，任何人不得以任何形式透露给供应商或与供应商有关的单位或个人。</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4.2在磋商过程中，供应商不得以任何形式对磋商小组成员进行旨在影响谈判结果的私下接触，否则将取消其参与磋商的资格。</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4.3对各供应商的商业秘密，磋商小组成员应予以保密，不得泄露给其他供应商。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4.4 磋商小组独立评判，推荐成交候选人，并写出书面报告。</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4.5 磋商小组可根据需要对供应商进行实地考察。</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62" w:name="BookMK80"/>
      <w:r>
        <w:rPr>
          <w:rFonts w:hint="eastAsia" w:hAnsi="宋体" w:cs="宋体"/>
          <w:color w:val="000000" w:themeColor="text1"/>
          <w:sz w:val="24"/>
          <w14:textFill>
            <w14:solidFill>
              <w14:schemeClr w14:val="tx1"/>
            </w14:solidFill>
          </w14:textFill>
        </w:rPr>
        <w:t>5.</w:t>
      </w:r>
      <w:bookmarkEnd w:id="157"/>
      <w:r>
        <w:rPr>
          <w:rFonts w:hint="eastAsia" w:hAnsi="宋体" w:cs="宋体"/>
          <w:color w:val="000000" w:themeColor="text1"/>
          <w:sz w:val="24"/>
          <w14:textFill>
            <w14:solidFill>
              <w14:schemeClr w14:val="tx1"/>
            </w14:solidFill>
          </w14:textFill>
        </w:rPr>
        <w:t>磋商小组在政府采购活动中承担以下义务：</w:t>
      </w:r>
    </w:p>
    <w:bookmarkEnd w:id="162"/>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（一）遵守评审工作纪律；</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（二）按照客观、公正、审慎的原则，根据磋商文件规定的评审程序、评审方法和评审标准进行独立评审；</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（三）不得泄露评审文件、评审情况和在评审过程中获悉的商业秘密；</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（四）及时向财政部门报告评审过程中发现的采购人、采购代理机构向评审专家做倾向性、误导性的解释或者说明，以及供应商行贿、提供虚假材料或者串通等违法行为；</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（五）发现磋商文件内容违反国家有关强制性规定或者磋商文件存在歧义、重大缺陷导致评审工作无法进行时，停止评审并向采购人或者采购代理机构书面说明情况；</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（六）及时向财政、监察等部门举报在评审过程中受到非法干预的情况；</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（七）配合答复处理供应商的询问、质疑和投诉等事项；</w:t>
      </w:r>
    </w:p>
    <w:p>
      <w:pPr>
        <w:tabs>
          <w:tab w:val="left" w:pos="7665"/>
        </w:tabs>
        <w:spacing w:line="52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（八）法律、法规和规章规定的其他义务。</w:t>
      </w:r>
    </w:p>
    <w:p>
      <w:pPr>
        <w:pStyle w:val="5"/>
        <w:keepNext w:val="0"/>
        <w:keepLines w:val="0"/>
        <w:spacing w:before="0" w:after="0" w:line="520" w:lineRule="exact"/>
        <w:rPr>
          <w:rFonts w:hAnsi="宋体" w:cs="宋体"/>
          <w:color w:val="000000" w:themeColor="text1"/>
          <w:sz w:val="24"/>
          <w14:textFill>
            <w14:solidFill>
              <w14:schemeClr w14:val="tx1"/>
            </w14:solidFill>
          </w14:textFill>
        </w:rPr>
      </w:pPr>
      <w:bookmarkStart w:id="163" w:name="BookMK81"/>
      <w:r>
        <w:rPr>
          <w:rFonts w:hint="eastAsia" w:hAnsi="宋体" w:cs="宋体"/>
          <w:color w:val="000000" w:themeColor="text1"/>
          <w:sz w:val="24"/>
          <w14:textFill>
            <w14:solidFill>
              <w14:schemeClr w14:val="tx1"/>
            </w14:solidFill>
          </w14:textFill>
        </w:rPr>
        <w:t>6.评审专家在政府采购活动中应当遵守以下工作纪律：</w:t>
      </w:r>
    </w:p>
    <w:bookmarkEnd w:id="163"/>
    <w:p>
      <w:pPr>
        <w:tabs>
          <w:tab w:val="left" w:pos="7665"/>
        </w:tabs>
        <w:spacing w:line="48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48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（二）评审前，应当将通讯工具或者相关电子设备交由采购代理机构统一保管；</w:t>
      </w:r>
    </w:p>
    <w:p>
      <w:pPr>
        <w:tabs>
          <w:tab w:val="left" w:pos="7665"/>
        </w:tabs>
        <w:spacing w:line="48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（三）评审过程中，不得与外界联系，因发生不可预见情况，确实需要与外界联系的，应当在监督人员监督之下办理；</w:t>
      </w:r>
    </w:p>
    <w:p>
      <w:pPr>
        <w:tabs>
          <w:tab w:val="left" w:pos="7665"/>
        </w:tabs>
        <w:spacing w:line="48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8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（五）在评审过程中和评审结束后，不得记录、复制或带走任何评审资料，不得向外界透露评审内容；</w:t>
      </w:r>
    </w:p>
    <w:p>
      <w:pPr>
        <w:tabs>
          <w:tab w:val="left" w:pos="7665"/>
        </w:tabs>
        <w:spacing w:line="480" w:lineRule="exact"/>
        <w:ind w:firstLine="240" w:firstLineChars="1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（六）评审现场服从采购代理机构工作人员的管理，接受现场监督人员的合法监督；</w:t>
      </w:r>
    </w:p>
    <w:p>
      <w:pPr>
        <w:tabs>
          <w:tab w:val="left" w:pos="7665"/>
        </w:tabs>
        <w:spacing w:line="480" w:lineRule="exact"/>
        <w:ind w:firstLine="240" w:firstLineChars="100"/>
        <w:rPr>
          <w:color w:val="000000" w:themeColor="text1"/>
          <w14:textFill>
            <w14:solidFill>
              <w14:schemeClr w14:val="tx1"/>
            </w14:solidFill>
          </w14:textFill>
        </w:rPr>
      </w:pPr>
      <w:r>
        <w:rPr>
          <w:rFonts w:hint="eastAsia" w:hAnsi="宋体" w:cs="宋体"/>
          <w:color w:val="000000" w:themeColor="text1"/>
          <w:sz w:val="24"/>
          <w:szCs w:val="24"/>
          <w14:textFill>
            <w14:solidFill>
              <w14:schemeClr w14:val="tx1"/>
            </w14:solidFill>
          </w14:textFill>
        </w:rPr>
        <w:t>（七）遵守有关廉洁自律规定，不得私下接触供应商，不得收受供应商及有关业务单位和个人的财物或好处，不得接受采购代理机构的请托。</w:t>
      </w:r>
      <w:bookmarkStart w:id="164" w:name="_Toc3991895"/>
    </w:p>
    <w:p>
      <w:pPr>
        <w:pStyle w:val="3"/>
        <w:keepNext w:val="0"/>
        <w:keepLines w:val="0"/>
        <w:spacing w:before="0" w:line="240" w:lineRule="atLeast"/>
        <w:jc w:val="center"/>
        <w:rPr>
          <w:rFonts w:hAnsi="宋体" w:cs="宋体"/>
          <w:color w:val="000000" w:themeColor="text1"/>
          <w:sz w:val="24"/>
          <w:szCs w:val="22"/>
          <w14:textFill>
            <w14:solidFill>
              <w14:schemeClr w14:val="tx1"/>
            </w14:solidFill>
          </w14:textFill>
        </w:rPr>
      </w:pPr>
      <w:bookmarkStart w:id="165" w:name="_Toc12723"/>
      <w:bookmarkStart w:id="166" w:name="BookMK82"/>
      <w:r>
        <w:rPr>
          <w:rFonts w:hint="eastAsia" w:hAnsi="宋体" w:cs="宋体"/>
          <w:color w:val="000000" w:themeColor="text1"/>
          <w:sz w:val="36"/>
          <w:szCs w:val="36"/>
          <w14:textFill>
            <w14:solidFill>
              <w14:schemeClr w14:val="tx1"/>
            </w14:solidFill>
          </w14:textFill>
        </w:rPr>
        <w:br w:type="page"/>
      </w:r>
      <w:r>
        <w:rPr>
          <w:rFonts w:hint="eastAsia" w:hAnsi="宋体" w:cs="宋体"/>
          <w:color w:val="000000" w:themeColor="text1"/>
          <w:sz w:val="36"/>
          <w:szCs w:val="36"/>
          <w14:textFill>
            <w14:solidFill>
              <w14:schemeClr w14:val="tx1"/>
            </w14:solidFill>
          </w14:textFill>
        </w:rPr>
        <w:t>第十章 政府采购合同（草案）</w:t>
      </w:r>
      <w:bookmarkEnd w:id="127"/>
      <w:bookmarkEnd w:id="128"/>
      <w:bookmarkEnd w:id="129"/>
      <w:bookmarkEnd w:id="164"/>
      <w:bookmarkEnd w:id="165"/>
      <w:bookmarkEnd w:id="166"/>
      <w:bookmarkStart w:id="167" w:name="_Hlt101846155"/>
      <w:bookmarkEnd w:id="167"/>
    </w:p>
    <w:p>
      <w:pPr>
        <w:widowControl/>
        <w:shd w:val="clear" w:color="auto" w:fill="FFFFFF"/>
        <w:spacing w:line="360" w:lineRule="auto"/>
        <w:ind w:firstLine="480" w:firstLineChars="200"/>
        <w:jc w:val="left"/>
        <w:rPr>
          <w:rFonts w:hAnsi="宋体" w:cs="宋体"/>
          <w:color w:val="000000" w:themeColor="text1"/>
          <w:kern w:val="2"/>
          <w:sz w:val="24"/>
          <w:szCs w:val="24"/>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 xml:space="preserve">（仅供参考。特别提醒：采购合同的签订不得偏离磋商文件要约及响应文件承诺的实质性内容） </w:t>
      </w:r>
    </w:p>
    <w:p>
      <w:pPr>
        <w:widowControl/>
        <w:spacing w:line="360" w:lineRule="auto"/>
        <w:jc w:val="left"/>
        <w:rPr>
          <w:rFonts w:hAnsi="宋体" w:cs="宋体"/>
          <w:color w:val="000000" w:themeColor="text1"/>
          <w:spacing w:val="-20"/>
          <w:sz w:val="24"/>
          <w:szCs w:val="24"/>
          <w14:textFill>
            <w14:solidFill>
              <w14:schemeClr w14:val="tx1"/>
            </w14:solidFill>
          </w14:textFill>
        </w:rPr>
      </w:pPr>
    </w:p>
    <w:p>
      <w:pPr>
        <w:widowControl/>
        <w:spacing w:line="360" w:lineRule="auto"/>
        <w:jc w:val="left"/>
        <w:rPr>
          <w:rFonts w:hAnsi="宋体" w:cs="宋体"/>
          <w:color w:val="000000" w:themeColor="text1"/>
          <w:spacing w:val="-20"/>
          <w:sz w:val="24"/>
          <w:szCs w:val="24"/>
          <w14:textFill>
            <w14:solidFill>
              <w14:schemeClr w14:val="tx1"/>
            </w14:solidFill>
          </w14:textFill>
        </w:rPr>
      </w:pPr>
      <w:r>
        <w:rPr>
          <w:rFonts w:hint="eastAsia" w:hAnsi="宋体" w:cs="宋体"/>
          <w:color w:val="000000" w:themeColor="text1"/>
          <w:spacing w:val="-20"/>
          <w:sz w:val="24"/>
          <w:szCs w:val="24"/>
          <w14:textFill>
            <w14:solidFill>
              <w14:schemeClr w14:val="tx1"/>
            </w14:solidFill>
          </w14:textFill>
        </w:rPr>
        <w:t>签订地点：XXXX。</w:t>
      </w:r>
    </w:p>
    <w:p>
      <w:pPr>
        <w:widowControl/>
        <w:spacing w:line="360" w:lineRule="auto"/>
        <w:jc w:val="left"/>
        <w:rPr>
          <w:rFonts w:hAnsi="宋体" w:cs="宋体"/>
          <w:color w:val="000000" w:themeColor="text1"/>
          <w:spacing w:val="-20"/>
          <w:sz w:val="24"/>
          <w:szCs w:val="24"/>
          <w14:textFill>
            <w14:solidFill>
              <w14:schemeClr w14:val="tx1"/>
            </w14:solidFill>
          </w14:textFill>
        </w:rPr>
      </w:pPr>
      <w:r>
        <w:rPr>
          <w:rFonts w:hint="eastAsia" w:hAnsi="宋体" w:cs="宋体"/>
          <w:color w:val="000000" w:themeColor="text1"/>
          <w:spacing w:val="-20"/>
          <w:sz w:val="24"/>
          <w:szCs w:val="24"/>
          <w14:textFill>
            <w14:solidFill>
              <w14:schemeClr w14:val="tx1"/>
            </w14:solidFill>
          </w14:textFill>
        </w:rPr>
        <w:t>签订时间：XXXX年XX月XX日。</w:t>
      </w:r>
    </w:p>
    <w:p>
      <w:pPr>
        <w:widowControl/>
        <w:spacing w:line="360" w:lineRule="auto"/>
        <w:jc w:val="left"/>
        <w:rPr>
          <w:rFonts w:hAnsi="宋体" w:cs="宋体"/>
          <w:color w:val="000000" w:themeColor="text1"/>
          <w:spacing w:val="-20"/>
          <w:sz w:val="24"/>
          <w:szCs w:val="24"/>
          <w14:textFill>
            <w14:solidFill>
              <w14:schemeClr w14:val="tx1"/>
            </w14:solidFill>
          </w14:textFill>
        </w:rPr>
      </w:pPr>
      <w:r>
        <w:rPr>
          <w:rFonts w:hint="eastAsia" w:hAnsi="宋体" w:cs="宋体"/>
          <w:color w:val="000000" w:themeColor="text1"/>
          <w:spacing w:val="-20"/>
          <w:sz w:val="24"/>
          <w:szCs w:val="24"/>
          <w14:textFill>
            <w14:solidFill>
              <w14:schemeClr w14:val="tx1"/>
            </w14:solidFill>
          </w14:textFill>
        </w:rPr>
        <w:t xml:space="preserve">采购人（甲方）：                              </w:t>
      </w:r>
    </w:p>
    <w:p>
      <w:pPr>
        <w:widowControl/>
        <w:spacing w:line="360" w:lineRule="auto"/>
        <w:jc w:val="left"/>
        <w:rPr>
          <w:rFonts w:hAnsi="宋体" w:cs="宋体"/>
          <w:color w:val="000000" w:themeColor="text1"/>
          <w:spacing w:val="-20"/>
          <w:sz w:val="24"/>
          <w:szCs w:val="24"/>
          <w14:textFill>
            <w14:solidFill>
              <w14:schemeClr w14:val="tx1"/>
            </w14:solidFill>
          </w14:textFill>
        </w:rPr>
      </w:pPr>
      <w:r>
        <w:rPr>
          <w:rFonts w:hint="eastAsia" w:hAnsi="宋体" w:cs="宋体"/>
          <w:color w:val="000000" w:themeColor="text1"/>
          <w:spacing w:val="-20"/>
          <w:sz w:val="24"/>
          <w:szCs w:val="24"/>
          <w14:textFill>
            <w14:solidFill>
              <w14:schemeClr w14:val="tx1"/>
            </w14:solidFill>
          </w14:textFill>
        </w:rPr>
        <w:t xml:space="preserve">供应商（乙方）：                              </w:t>
      </w:r>
    </w:p>
    <w:p>
      <w:pPr>
        <w:widowControl/>
        <w:spacing w:line="360" w:lineRule="auto"/>
        <w:jc w:val="left"/>
        <w:rPr>
          <w:rFonts w:hAnsi="宋体" w:cs="宋体"/>
          <w:color w:val="000000" w:themeColor="text1"/>
          <w:spacing w:val="-20"/>
          <w:sz w:val="24"/>
          <w:szCs w:val="24"/>
          <w14:textFill>
            <w14:solidFill>
              <w14:schemeClr w14:val="tx1"/>
            </w14:solidFill>
          </w14:textFill>
        </w:rPr>
      </w:pP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 xml:space="preserve">依据《中华人民共和国民法典》、《中华人民共和国政府采购法》与项目行业有关的法律法规，以及XXXX项目（采购项目编号：XXXX）的《采购文件》，乙方的《响应文件》及《成交通知书》，甲、乙双方同意签订本合同。详细技术说明及其他有关合同项目的特定信息由合同附件予以说明，合同附件及本项目的《磋商文件》、《响应文件》、《成交通知书》等均为本合同的组成部分。 </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第一条 项目基本情况</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第二条 合同期限</w:t>
      </w:r>
    </w:p>
    <w:p>
      <w:pPr>
        <w:widowControl/>
        <w:spacing w:line="360" w:lineRule="auto"/>
        <w:jc w:val="left"/>
        <w:rPr>
          <w:rFonts w:hAnsi="宋体" w:cs="宋体"/>
          <w:color w:val="000000" w:themeColor="text1"/>
          <w:spacing w:val="-20"/>
          <w:sz w:val="24"/>
          <w:szCs w:val="24"/>
          <w14:textFill>
            <w14:solidFill>
              <w14:schemeClr w14:val="tx1"/>
            </w14:solidFill>
          </w14:textFill>
        </w:rPr>
      </w:pP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第三条 服务内容与质量标准</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第四条 服务费用及支付方式</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1、本项目合同费用为   万元；</w:t>
      </w:r>
    </w:p>
    <w:p>
      <w:pPr>
        <w:spacing w:line="360" w:lineRule="auto"/>
        <w:ind w:firstLine="480" w:firstLineChars="200"/>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2、支付方式：</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第五条 知识产权</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乙方应保证所提供的服务或其任何一部分均不会侵犯任何第三方的专利权、商标权或著作权。</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第六条 无产权瑕疵条款</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乙方保证所提供的服务的所有权完全属于乙方且无任何抵押、查封等产权瑕疵。如有产权瑕疵的，视为乙方违约。乙方应负担由此而产生的一切损失。</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第七条 履约保证金</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1、乙方交纳人民币XX元作为本合同的履约保证金。</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2、履约保证金作为违约金的一部分及用于补偿甲方因乙方不能履行合同义务而蒙受的损失。</w:t>
      </w:r>
    </w:p>
    <w:p>
      <w:pPr>
        <w:spacing w:after="120"/>
        <w:ind w:firstLine="482" w:firstLineChars="200"/>
        <w:rPr>
          <w:rFonts w:hAnsi="宋体"/>
          <w:b/>
          <w:bCs/>
          <w:color w:val="000000" w:themeColor="text1"/>
          <w:kern w:val="2"/>
          <w:sz w:val="24"/>
          <w:szCs w:val="22"/>
          <w14:textFill>
            <w14:solidFill>
              <w14:schemeClr w14:val="tx1"/>
            </w14:solidFill>
          </w14:textFill>
        </w:rPr>
      </w:pPr>
      <w:r>
        <w:rPr>
          <w:rFonts w:hint="eastAsia" w:hAnsi="宋体"/>
          <w:b/>
          <w:bCs/>
          <w:color w:val="000000" w:themeColor="text1"/>
          <w:kern w:val="2"/>
          <w:sz w:val="24"/>
          <w:szCs w:val="22"/>
          <w14:textFill>
            <w14:solidFill>
              <w14:schemeClr w14:val="tx1"/>
            </w14:solidFill>
          </w14:textFill>
        </w:rPr>
        <w:t>第八条 项目</w:t>
      </w:r>
      <w:r>
        <w:rPr>
          <w:rFonts w:hAnsi="宋体"/>
          <w:b/>
          <w:bCs/>
          <w:color w:val="000000" w:themeColor="text1"/>
          <w:kern w:val="2"/>
          <w:sz w:val="24"/>
          <w:szCs w:val="22"/>
          <w14:textFill>
            <w14:solidFill>
              <w14:schemeClr w14:val="tx1"/>
            </w14:solidFill>
          </w14:textFill>
        </w:rPr>
        <w:t>履约</w:t>
      </w:r>
      <w:r>
        <w:rPr>
          <w:rFonts w:hint="eastAsia" w:hAnsi="宋体"/>
          <w:b/>
          <w:bCs/>
          <w:color w:val="000000" w:themeColor="text1"/>
          <w:kern w:val="2"/>
          <w:sz w:val="24"/>
          <w:szCs w:val="22"/>
          <w14:textFill>
            <w14:solidFill>
              <w14:schemeClr w14:val="tx1"/>
            </w14:solidFill>
          </w14:textFill>
        </w:rPr>
        <w:t>验收</w:t>
      </w:r>
      <w:r>
        <w:rPr>
          <w:rFonts w:hAnsi="宋体"/>
          <w:b/>
          <w:bCs/>
          <w:color w:val="000000" w:themeColor="text1"/>
          <w:kern w:val="2"/>
          <w:sz w:val="24"/>
          <w:szCs w:val="22"/>
          <w14:textFill>
            <w14:solidFill>
              <w14:schemeClr w14:val="tx1"/>
            </w14:solidFill>
          </w14:textFill>
        </w:rPr>
        <w:t>方式</w:t>
      </w:r>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1、本项目采购人及其委托的采购代理机构将按照政府采购相关法律法规以及《财政部关于进一步加强政府采购需求和履约验收管理的指导意见》（财库〔2016〕205号）的要求进行验收。</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第九条 甲方的权利和义务</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1、甲方有权对合同规定范围内乙方的服务行为进行监督和检查，拥有监管权。有权定期核对乙方提供服务所配备的人员数量。对甲方认为不合理的部分有权下达整改通知书，并要求乙方限期整改。</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2、负责检查监督乙方管理工作的实施及制度的执行情况。</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3、根据本合同规定，按时向乙方支付应付服务费用。</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4、国家法律、法规所规定由甲方承担的其它责任。</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第十条 乙方的权利和义务</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1、对本合同规定的委托服务范围内的项目享有管理权及服务义务。</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2、根据本合同的规定向甲方收取相关服务费用，并有权在本项目管理范围内管理及合理使用。</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3、及时向甲方通告本项目服务范围内有关服务的重大事项，及时配合处理投诉。</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4、接受项目行业管理部门及政府有关部门的指导，接受甲方的监督。</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5、国家法律、法规所规定由乙方承担的其它责任。</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第十一条 违约责任</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1、甲乙双方必须遵守本合同并执行合同中的各项规定，保证本合同的正常履行。</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第十二条 不可抗力事件处理</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1、在合同有效期内，任何一方因不可抗力事件导致不能履行合同，则合同履行期可延长，其延长期与不可抗力影响期相同。</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2、不可抗力事件发生后，应立即通知对方，并寄送有关权威机构出具的证明。</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3、不可抗力事件延续XX天以上，双方应通过友好协商，确定是否继续履行合同。</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第十三条 解决合同纠纷的方式</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1、在执行本合同中发生的或与本合同有关的争端，双方应通过友好协商解决，经协商在XX天内不能达成协议时，应提交成都仲裁委员会仲裁。</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2、仲裁裁决应为最终决定，并对双方具有约束力。</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 xml:space="preserve">3、除另有裁决外，仲裁费应由败诉方负担。 </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 xml:space="preserve">4、在仲裁期间，除正在进行仲裁部分外，合同其他部分继续执行。  </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第十四条 合同生效及其他</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1、合同经双方法定代表人或授权委托代理人签字并加盖单位公章后生效。</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2、本合同一式XX份，自双方签章之日起起效。甲方XX份，乙方XX份，政府采购代理机构XX份，具有同等法律效力。</w:t>
      </w:r>
    </w:p>
    <w:p>
      <w:pPr>
        <w:widowControl/>
        <w:spacing w:line="360" w:lineRule="auto"/>
        <w:ind w:firstLine="482" w:firstLineChars="200"/>
        <w:jc w:val="left"/>
        <w:rPr>
          <w:rFonts w:hAnsi="宋体"/>
          <w:b/>
          <w:bCs/>
          <w:color w:val="000000" w:themeColor="text1"/>
          <w:sz w:val="24"/>
          <w:szCs w:val="22"/>
          <w14:textFill>
            <w14:solidFill>
              <w14:schemeClr w14:val="tx1"/>
            </w14:solidFill>
          </w14:textFill>
        </w:rPr>
      </w:pPr>
      <w:r>
        <w:rPr>
          <w:rFonts w:hint="eastAsia" w:hAnsi="宋体"/>
          <w:b/>
          <w:bCs/>
          <w:color w:val="000000" w:themeColor="text1"/>
          <w:sz w:val="24"/>
          <w:szCs w:val="22"/>
          <w14:textFill>
            <w14:solidFill>
              <w14:schemeClr w14:val="tx1"/>
            </w14:solidFill>
          </w14:textFill>
        </w:rPr>
        <w:t>第十五条 附件</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1、项目采购文件</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2、项目修改澄清文件</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3、项目响应文件</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4、成交通知书</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5、其他</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 xml:space="preserve">甲方：   （盖章）   </w:t>
      </w:r>
      <w:r>
        <w:rPr>
          <w:rFonts w:hint="eastAsia" w:hAnsi="宋体"/>
          <w:color w:val="000000" w:themeColor="text1"/>
          <w:sz w:val="24"/>
          <w:szCs w:val="22"/>
          <w14:textFill>
            <w14:solidFill>
              <w14:schemeClr w14:val="tx1"/>
            </w14:solidFill>
          </w14:textFill>
        </w:rPr>
        <w:tab/>
      </w:r>
      <w:r>
        <w:rPr>
          <w:rFonts w:hint="eastAsia" w:hAnsi="宋体"/>
          <w:color w:val="000000" w:themeColor="text1"/>
          <w:sz w:val="24"/>
          <w:szCs w:val="22"/>
          <w14:textFill>
            <w14:solidFill>
              <w14:schemeClr w14:val="tx1"/>
            </w14:solidFill>
          </w14:textFill>
        </w:rPr>
        <w:tab/>
      </w:r>
      <w:r>
        <w:rPr>
          <w:rFonts w:hint="eastAsia" w:hAnsi="宋体"/>
          <w:color w:val="000000" w:themeColor="text1"/>
          <w:sz w:val="24"/>
          <w:szCs w:val="22"/>
          <w14:textFill>
            <w14:solidFill>
              <w14:schemeClr w14:val="tx1"/>
            </w14:solidFill>
          </w14:textFill>
        </w:rPr>
        <w:tab/>
      </w:r>
      <w:r>
        <w:rPr>
          <w:rFonts w:hint="eastAsia" w:hAnsi="宋体"/>
          <w:color w:val="000000" w:themeColor="text1"/>
          <w:sz w:val="24"/>
          <w:szCs w:val="22"/>
          <w14:textFill>
            <w14:solidFill>
              <w14:schemeClr w14:val="tx1"/>
            </w14:solidFill>
          </w14:textFill>
        </w:rPr>
        <w:t xml:space="preserve">           乙方：   （盖章）</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法定代表人（授权代表）：              法定代表人（授权代表）：</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地    址：                            地    址：</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开户银行：                            开户银行：</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账号：                                账号：</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电    话：                            电    话：</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传    真：                            传    真：</w:t>
      </w:r>
    </w:p>
    <w:p>
      <w:pPr>
        <w:widowControl/>
        <w:spacing w:line="360" w:lineRule="auto"/>
        <w:ind w:firstLine="480" w:firstLineChars="200"/>
        <w:jc w:val="left"/>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 xml:space="preserve">签约日期：XX年XX月XX日 </w:t>
      </w:r>
      <w:r>
        <w:rPr>
          <w:rFonts w:hint="eastAsia" w:hAnsi="宋体"/>
          <w:color w:val="000000" w:themeColor="text1"/>
          <w:sz w:val="24"/>
          <w:szCs w:val="22"/>
          <w14:textFill>
            <w14:solidFill>
              <w14:schemeClr w14:val="tx1"/>
            </w14:solidFill>
          </w14:textFill>
        </w:rPr>
        <w:tab/>
      </w:r>
      <w:r>
        <w:rPr>
          <w:rFonts w:hint="eastAsia" w:hAnsi="宋体"/>
          <w:color w:val="000000" w:themeColor="text1"/>
          <w:sz w:val="24"/>
          <w:szCs w:val="22"/>
          <w14:textFill>
            <w14:solidFill>
              <w14:schemeClr w14:val="tx1"/>
            </w14:solidFill>
          </w14:textFill>
        </w:rPr>
        <w:tab/>
      </w:r>
      <w:r>
        <w:rPr>
          <w:rFonts w:hint="eastAsia" w:hAnsi="宋体"/>
          <w:color w:val="000000" w:themeColor="text1"/>
          <w:sz w:val="24"/>
          <w:szCs w:val="22"/>
          <w14:textFill>
            <w14:solidFill>
              <w14:schemeClr w14:val="tx1"/>
            </w14:solidFill>
          </w14:textFill>
        </w:rPr>
        <w:t xml:space="preserve">       签约日期：XX年XX月XX日</w:t>
      </w:r>
    </w:p>
    <w:p>
      <w:pPr>
        <w:widowControl/>
        <w:spacing w:line="360" w:lineRule="auto"/>
        <w:jc w:val="left"/>
        <w:rPr>
          <w:rFonts w:hAnsi="宋体" w:cs="宋体"/>
          <w:color w:val="000000" w:themeColor="text1"/>
          <w:kern w:val="2"/>
          <w:sz w:val="24"/>
          <w:szCs w:val="24"/>
          <w14:textFill>
            <w14:solidFill>
              <w14:schemeClr w14:val="tx1"/>
            </w14:solidFill>
          </w14:textFill>
        </w:rPr>
      </w:pPr>
    </w:p>
    <w:p>
      <w:pPr>
        <w:pStyle w:val="2"/>
        <w:rPr>
          <w:color w:val="000000" w:themeColor="text1"/>
          <w14:textFill>
            <w14:solidFill>
              <w14:schemeClr w14:val="tx1"/>
            </w14:solidFill>
          </w14:textFill>
        </w:rPr>
      </w:pPr>
    </w:p>
    <w:p>
      <w:pPr>
        <w:spacing w:line="360" w:lineRule="auto"/>
        <w:ind w:firstLine="482" w:firstLineChars="200"/>
        <w:jc w:val="left"/>
        <w:rPr>
          <w:rFonts w:hAnsi="宋体" w:cs="宋体"/>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注：采购人与成交供应商可以根据实际情况对本合同的具体内容及格式进行协商并作出双方一致同意的调整后再签订。</w:t>
      </w: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3"/>
        <w:spacing w:before="240" w:after="200"/>
        <w:jc w:val="center"/>
        <w:rPr>
          <w:rFonts w:hAnsi="宋体"/>
          <w:color w:val="auto"/>
          <w:sz w:val="30"/>
          <w:szCs w:val="30"/>
        </w:rPr>
      </w:pPr>
      <w:bookmarkStart w:id="168" w:name="_Toc83728834"/>
      <w:r>
        <w:rPr>
          <w:rFonts w:hAnsi="宋体"/>
          <w:color w:val="auto"/>
          <w:sz w:val="30"/>
          <w:szCs w:val="30"/>
        </w:rPr>
        <w:t>第</w:t>
      </w:r>
      <w:r>
        <w:rPr>
          <w:rFonts w:hint="eastAsia" w:hAnsi="宋体"/>
          <w:color w:val="auto"/>
          <w:sz w:val="30"/>
          <w:szCs w:val="30"/>
          <w:lang w:eastAsia="zh-CN"/>
        </w:rPr>
        <w:t>十一</w:t>
      </w:r>
      <w:r>
        <w:rPr>
          <w:rFonts w:hAnsi="宋体"/>
          <w:color w:val="auto"/>
          <w:sz w:val="30"/>
          <w:szCs w:val="30"/>
        </w:rPr>
        <w:t>章</w:t>
      </w:r>
      <w:r>
        <w:rPr>
          <w:rFonts w:hint="eastAsia" w:hAnsi="宋体"/>
          <w:color w:val="auto"/>
          <w:sz w:val="30"/>
          <w:szCs w:val="30"/>
        </w:rPr>
        <w:t xml:space="preserve"> </w:t>
      </w:r>
      <w:r>
        <w:rPr>
          <w:rFonts w:hAnsi="宋体"/>
          <w:color w:val="auto"/>
          <w:sz w:val="30"/>
          <w:szCs w:val="30"/>
        </w:rPr>
        <w:t>附件</w:t>
      </w:r>
      <w:bookmarkEnd w:id="168"/>
    </w:p>
    <w:p>
      <w:pPr>
        <w:spacing w:after="120"/>
        <w:rPr>
          <w:rFonts w:hAnsi="宋体"/>
          <w:b/>
          <w:color w:val="auto"/>
          <w:kern w:val="2"/>
          <w:sz w:val="24"/>
          <w:szCs w:val="24"/>
        </w:rPr>
      </w:pPr>
      <w:r>
        <w:rPr>
          <w:rFonts w:hint="eastAsia" w:hAnsi="宋体"/>
          <w:b/>
          <w:color w:val="auto"/>
          <w:kern w:val="2"/>
          <w:sz w:val="24"/>
          <w:szCs w:val="24"/>
        </w:rPr>
        <w:t>附件1：</w:t>
      </w:r>
      <w:r>
        <w:rPr>
          <w:rFonts w:hAnsi="宋体"/>
          <w:b/>
          <w:color w:val="auto"/>
          <w:kern w:val="2"/>
          <w:sz w:val="24"/>
          <w:szCs w:val="24"/>
          <w:shd w:val="clear" w:color="auto" w:fill="FFFFFF"/>
        </w:rPr>
        <w:t>统计上大中小微型企业划分标准</w:t>
      </w:r>
    </w:p>
    <w:tbl>
      <w:tblPr>
        <w:tblStyle w:val="32"/>
        <w:tblW w:w="51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69"/>
        <w:gridCol w:w="1336"/>
        <w:gridCol w:w="1200"/>
        <w:gridCol w:w="955"/>
        <w:gridCol w:w="1603"/>
        <w:gridCol w:w="1336"/>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noWrap w:val="0"/>
            <w:tcMar>
              <w:top w:w="75" w:type="dxa"/>
              <w:left w:w="75" w:type="dxa"/>
              <w:bottom w:w="75" w:type="dxa"/>
              <w:right w:w="75" w:type="dxa"/>
            </w:tcMar>
            <w:vAlign w:val="center"/>
          </w:tcPr>
          <w:p>
            <w:pPr>
              <w:widowControl/>
              <w:jc w:val="center"/>
              <w:rPr>
                <w:rFonts w:hAnsi="宋体" w:cs="宋体"/>
                <w:b/>
                <w:bCs/>
                <w:color w:val="auto"/>
                <w:sz w:val="21"/>
                <w:szCs w:val="21"/>
              </w:rPr>
            </w:pPr>
            <w:r>
              <w:rPr>
                <w:rFonts w:hAnsi="宋体" w:cs="宋体"/>
                <w:b/>
                <w:bCs/>
                <w:color w:val="auto"/>
                <w:sz w:val="21"/>
                <w:szCs w:val="21"/>
              </w:rPr>
              <w:t>行业名称</w:t>
            </w:r>
          </w:p>
        </w:tc>
        <w:tc>
          <w:tcPr>
            <w:tcW w:w="741" w:type="pct"/>
            <w:noWrap w:val="0"/>
            <w:tcMar>
              <w:top w:w="75" w:type="dxa"/>
              <w:left w:w="75" w:type="dxa"/>
              <w:bottom w:w="75" w:type="dxa"/>
              <w:right w:w="75" w:type="dxa"/>
            </w:tcMar>
            <w:vAlign w:val="center"/>
          </w:tcPr>
          <w:p>
            <w:pPr>
              <w:widowControl/>
              <w:jc w:val="center"/>
              <w:rPr>
                <w:rFonts w:hAnsi="宋体" w:cs="宋体"/>
                <w:b/>
                <w:bCs/>
                <w:color w:val="auto"/>
                <w:sz w:val="21"/>
                <w:szCs w:val="21"/>
              </w:rPr>
            </w:pPr>
            <w:r>
              <w:rPr>
                <w:rFonts w:hAnsi="宋体" w:cs="宋体"/>
                <w:b/>
                <w:bCs/>
                <w:color w:val="auto"/>
                <w:sz w:val="21"/>
                <w:szCs w:val="21"/>
              </w:rPr>
              <w:t>指标名称</w:t>
            </w:r>
          </w:p>
        </w:tc>
        <w:tc>
          <w:tcPr>
            <w:tcW w:w="666" w:type="pct"/>
            <w:noWrap w:val="0"/>
            <w:tcMar>
              <w:top w:w="75" w:type="dxa"/>
              <w:left w:w="75" w:type="dxa"/>
              <w:bottom w:w="75" w:type="dxa"/>
              <w:right w:w="75" w:type="dxa"/>
            </w:tcMar>
            <w:vAlign w:val="center"/>
          </w:tcPr>
          <w:p>
            <w:pPr>
              <w:widowControl/>
              <w:jc w:val="center"/>
              <w:rPr>
                <w:rFonts w:hAnsi="宋体" w:cs="宋体"/>
                <w:b/>
                <w:bCs/>
                <w:color w:val="auto"/>
                <w:sz w:val="21"/>
                <w:szCs w:val="21"/>
              </w:rPr>
            </w:pPr>
            <w:r>
              <w:rPr>
                <w:rFonts w:hAnsi="宋体" w:cs="宋体"/>
                <w:b/>
                <w:bCs/>
                <w:color w:val="auto"/>
                <w:sz w:val="21"/>
                <w:szCs w:val="21"/>
              </w:rPr>
              <w:t>计量单位</w:t>
            </w:r>
          </w:p>
        </w:tc>
        <w:tc>
          <w:tcPr>
            <w:tcW w:w="519" w:type="pct"/>
            <w:noWrap w:val="0"/>
            <w:tcMar>
              <w:top w:w="75" w:type="dxa"/>
              <w:left w:w="75" w:type="dxa"/>
              <w:bottom w:w="75" w:type="dxa"/>
              <w:right w:w="75" w:type="dxa"/>
            </w:tcMar>
            <w:vAlign w:val="center"/>
          </w:tcPr>
          <w:p>
            <w:pPr>
              <w:widowControl/>
              <w:jc w:val="center"/>
              <w:rPr>
                <w:rFonts w:hAnsi="宋体" w:cs="宋体"/>
                <w:b/>
                <w:bCs/>
                <w:color w:val="auto"/>
                <w:sz w:val="21"/>
                <w:szCs w:val="21"/>
              </w:rPr>
            </w:pPr>
            <w:r>
              <w:rPr>
                <w:rFonts w:hAnsi="宋体" w:cs="宋体"/>
                <w:b/>
                <w:bCs/>
                <w:color w:val="auto"/>
                <w:sz w:val="21"/>
                <w:szCs w:val="21"/>
              </w:rPr>
              <w:t>大型</w:t>
            </w:r>
          </w:p>
        </w:tc>
        <w:tc>
          <w:tcPr>
            <w:tcW w:w="889" w:type="pct"/>
            <w:noWrap w:val="0"/>
            <w:tcMar>
              <w:top w:w="75" w:type="dxa"/>
              <w:left w:w="75" w:type="dxa"/>
              <w:bottom w:w="75" w:type="dxa"/>
              <w:right w:w="75" w:type="dxa"/>
            </w:tcMar>
            <w:vAlign w:val="center"/>
          </w:tcPr>
          <w:p>
            <w:pPr>
              <w:widowControl/>
              <w:jc w:val="center"/>
              <w:rPr>
                <w:rFonts w:hAnsi="宋体" w:cs="宋体"/>
                <w:b/>
                <w:bCs/>
                <w:color w:val="auto"/>
                <w:sz w:val="21"/>
                <w:szCs w:val="21"/>
              </w:rPr>
            </w:pPr>
            <w:r>
              <w:rPr>
                <w:rFonts w:hAnsi="宋体" w:cs="宋体"/>
                <w:b/>
                <w:bCs/>
                <w:color w:val="auto"/>
                <w:sz w:val="21"/>
                <w:szCs w:val="21"/>
              </w:rPr>
              <w:t>中型</w:t>
            </w:r>
          </w:p>
        </w:tc>
        <w:tc>
          <w:tcPr>
            <w:tcW w:w="741" w:type="pct"/>
            <w:noWrap w:val="0"/>
            <w:tcMar>
              <w:top w:w="75" w:type="dxa"/>
              <w:left w:w="75" w:type="dxa"/>
              <w:bottom w:w="75" w:type="dxa"/>
              <w:right w:w="75" w:type="dxa"/>
            </w:tcMar>
            <w:vAlign w:val="center"/>
          </w:tcPr>
          <w:p>
            <w:pPr>
              <w:widowControl/>
              <w:jc w:val="center"/>
              <w:rPr>
                <w:rFonts w:hAnsi="宋体" w:cs="宋体"/>
                <w:b/>
                <w:bCs/>
                <w:color w:val="auto"/>
                <w:sz w:val="21"/>
                <w:szCs w:val="21"/>
              </w:rPr>
            </w:pPr>
            <w:r>
              <w:rPr>
                <w:rFonts w:hAnsi="宋体" w:cs="宋体"/>
                <w:b/>
                <w:bCs/>
                <w:color w:val="auto"/>
                <w:sz w:val="21"/>
                <w:szCs w:val="21"/>
              </w:rPr>
              <w:t>小型</w:t>
            </w:r>
          </w:p>
        </w:tc>
        <w:tc>
          <w:tcPr>
            <w:tcW w:w="518" w:type="pct"/>
            <w:noWrap w:val="0"/>
            <w:tcMar>
              <w:top w:w="75" w:type="dxa"/>
              <w:left w:w="75" w:type="dxa"/>
              <w:bottom w:w="75" w:type="dxa"/>
              <w:right w:w="75" w:type="dxa"/>
            </w:tcMar>
            <w:vAlign w:val="center"/>
          </w:tcPr>
          <w:p>
            <w:pPr>
              <w:widowControl/>
              <w:jc w:val="center"/>
              <w:rPr>
                <w:rFonts w:hAnsi="宋体" w:cs="宋体"/>
                <w:b/>
                <w:bCs/>
                <w:color w:val="auto"/>
                <w:sz w:val="21"/>
                <w:szCs w:val="21"/>
              </w:rPr>
            </w:pPr>
            <w:r>
              <w:rPr>
                <w:rFonts w:hAnsi="宋体" w:cs="宋体"/>
                <w:b/>
                <w:bCs/>
                <w:color w:val="auto"/>
                <w:sz w:val="21"/>
                <w:szCs w:val="21"/>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926"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农、林、牧、渔业</w:t>
            </w: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营业收入(Y)</w:t>
            </w:r>
          </w:p>
        </w:tc>
        <w:tc>
          <w:tcPr>
            <w:tcW w:w="666" w:type="pct"/>
            <w:noWrap w:val="0"/>
            <w:vAlign w:val="center"/>
          </w:tcPr>
          <w:p>
            <w:pPr>
              <w:widowControl/>
              <w:spacing w:line="400" w:lineRule="exact"/>
              <w:jc w:val="center"/>
              <w:rPr>
                <w:rFonts w:hAnsi="宋体" w:cs="宋体"/>
                <w:color w:val="auto"/>
                <w:sz w:val="21"/>
                <w:szCs w:val="21"/>
              </w:rPr>
            </w:pPr>
            <w:r>
              <w:rPr>
                <w:rFonts w:hAnsi="宋体" w:cs="宋体"/>
                <w:color w:val="auto"/>
                <w:sz w:val="21"/>
                <w:szCs w:val="21"/>
              </w:rPr>
              <w:t>万元</w:t>
            </w:r>
          </w:p>
        </w:tc>
        <w:tc>
          <w:tcPr>
            <w:tcW w:w="51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Y≥20000</w:t>
            </w:r>
          </w:p>
        </w:tc>
        <w:tc>
          <w:tcPr>
            <w:tcW w:w="88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500≤Y＜20000</w:t>
            </w: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50≤Y＜500</w:t>
            </w:r>
          </w:p>
        </w:tc>
        <w:tc>
          <w:tcPr>
            <w:tcW w:w="518"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restart"/>
            <w:noWrap w:val="0"/>
            <w:vAlign w:val="center"/>
          </w:tcPr>
          <w:p>
            <w:pPr>
              <w:widowControl/>
              <w:spacing w:line="400" w:lineRule="exact"/>
              <w:jc w:val="center"/>
              <w:rPr>
                <w:rFonts w:hAnsi="宋体" w:cs="宋体"/>
                <w:color w:val="auto"/>
                <w:sz w:val="21"/>
                <w:szCs w:val="21"/>
              </w:rPr>
            </w:pPr>
            <w:r>
              <w:rPr>
                <w:rFonts w:hAnsi="宋体" w:cs="宋体"/>
                <w:color w:val="auto"/>
                <w:sz w:val="21"/>
                <w:szCs w:val="21"/>
              </w:rPr>
              <w:t>工业</w:t>
            </w:r>
            <w:r>
              <w:rPr>
                <w:rFonts w:hAnsi="Calibri" w:cs="宋体"/>
                <w:color w:val="auto"/>
                <w:sz w:val="15"/>
                <w:szCs w:val="15"/>
              </w:rPr>
              <w:t>*</w:t>
            </w: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从业人员(X)</w:t>
            </w:r>
          </w:p>
        </w:tc>
        <w:tc>
          <w:tcPr>
            <w:tcW w:w="666" w:type="pct"/>
            <w:noWrap w:val="0"/>
            <w:vAlign w:val="center"/>
          </w:tcPr>
          <w:p>
            <w:pPr>
              <w:widowControl/>
              <w:spacing w:line="400" w:lineRule="exact"/>
              <w:jc w:val="center"/>
              <w:rPr>
                <w:rFonts w:hAnsi="宋体" w:cs="宋体"/>
                <w:color w:val="auto"/>
                <w:sz w:val="21"/>
                <w:szCs w:val="21"/>
              </w:rPr>
            </w:pPr>
            <w:r>
              <w:rPr>
                <w:rFonts w:hAnsi="宋体" w:cs="宋体"/>
                <w:color w:val="auto"/>
                <w:sz w:val="21"/>
                <w:szCs w:val="21"/>
              </w:rPr>
              <w:t>人</w:t>
            </w:r>
          </w:p>
        </w:tc>
        <w:tc>
          <w:tcPr>
            <w:tcW w:w="51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X≥1000</w:t>
            </w:r>
          </w:p>
        </w:tc>
        <w:tc>
          <w:tcPr>
            <w:tcW w:w="88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300≤X＜1000</w:t>
            </w: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20≤X＜300</w:t>
            </w:r>
          </w:p>
        </w:tc>
        <w:tc>
          <w:tcPr>
            <w:tcW w:w="518"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continue"/>
            <w:noWrap w:val="0"/>
            <w:vAlign w:val="center"/>
          </w:tcPr>
          <w:p>
            <w:pPr>
              <w:widowControl/>
              <w:spacing w:line="400" w:lineRule="exact"/>
              <w:jc w:val="center"/>
              <w:rPr>
                <w:rFonts w:hAnsi="宋体" w:cs="宋体"/>
                <w:color w:val="auto"/>
                <w:sz w:val="21"/>
                <w:szCs w:val="21"/>
              </w:rPr>
            </w:pP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营业收入(Y)</w:t>
            </w:r>
          </w:p>
        </w:tc>
        <w:tc>
          <w:tcPr>
            <w:tcW w:w="666" w:type="pct"/>
            <w:noWrap w:val="0"/>
            <w:vAlign w:val="center"/>
          </w:tcPr>
          <w:p>
            <w:pPr>
              <w:widowControl/>
              <w:spacing w:line="400" w:lineRule="exact"/>
              <w:jc w:val="center"/>
              <w:rPr>
                <w:rFonts w:hAnsi="宋体" w:cs="宋体"/>
                <w:color w:val="auto"/>
                <w:sz w:val="21"/>
                <w:szCs w:val="21"/>
              </w:rPr>
            </w:pPr>
            <w:r>
              <w:rPr>
                <w:rFonts w:hAnsi="宋体" w:cs="宋体"/>
                <w:color w:val="auto"/>
                <w:sz w:val="21"/>
                <w:szCs w:val="21"/>
              </w:rPr>
              <w:t>万元</w:t>
            </w:r>
          </w:p>
        </w:tc>
        <w:tc>
          <w:tcPr>
            <w:tcW w:w="51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Y≥40000</w:t>
            </w:r>
          </w:p>
        </w:tc>
        <w:tc>
          <w:tcPr>
            <w:tcW w:w="88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2000≤Y＜40000</w:t>
            </w: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300≤Y＜2000</w:t>
            </w:r>
          </w:p>
        </w:tc>
        <w:tc>
          <w:tcPr>
            <w:tcW w:w="518"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restart"/>
            <w:noWrap w:val="0"/>
            <w:vAlign w:val="center"/>
          </w:tcPr>
          <w:p>
            <w:pPr>
              <w:widowControl/>
              <w:spacing w:line="400" w:lineRule="exact"/>
              <w:jc w:val="center"/>
              <w:rPr>
                <w:rFonts w:hAnsi="宋体" w:cs="宋体"/>
                <w:color w:val="auto"/>
                <w:sz w:val="21"/>
                <w:szCs w:val="21"/>
              </w:rPr>
            </w:pPr>
            <w:r>
              <w:rPr>
                <w:rFonts w:hAnsi="宋体" w:cs="宋体"/>
                <w:color w:val="auto"/>
                <w:sz w:val="21"/>
                <w:szCs w:val="21"/>
              </w:rPr>
              <w:t>建筑业</w:t>
            </w: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营业收入(Y)</w:t>
            </w:r>
          </w:p>
        </w:tc>
        <w:tc>
          <w:tcPr>
            <w:tcW w:w="666" w:type="pct"/>
            <w:noWrap w:val="0"/>
            <w:vAlign w:val="center"/>
          </w:tcPr>
          <w:p>
            <w:pPr>
              <w:widowControl/>
              <w:spacing w:line="400" w:lineRule="exact"/>
              <w:jc w:val="center"/>
              <w:rPr>
                <w:rFonts w:hAnsi="宋体" w:cs="宋体"/>
                <w:color w:val="auto"/>
                <w:sz w:val="21"/>
                <w:szCs w:val="21"/>
              </w:rPr>
            </w:pPr>
            <w:r>
              <w:rPr>
                <w:rFonts w:hAnsi="宋体" w:cs="宋体"/>
                <w:color w:val="auto"/>
                <w:sz w:val="21"/>
                <w:szCs w:val="21"/>
              </w:rPr>
              <w:t>万元</w:t>
            </w:r>
          </w:p>
        </w:tc>
        <w:tc>
          <w:tcPr>
            <w:tcW w:w="51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Y≥80000</w:t>
            </w:r>
          </w:p>
        </w:tc>
        <w:tc>
          <w:tcPr>
            <w:tcW w:w="88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6000≤Y＜80000</w:t>
            </w: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300≤Y＜6000</w:t>
            </w:r>
          </w:p>
        </w:tc>
        <w:tc>
          <w:tcPr>
            <w:tcW w:w="518"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continue"/>
            <w:noWrap w:val="0"/>
            <w:vAlign w:val="center"/>
          </w:tcPr>
          <w:p>
            <w:pPr>
              <w:widowControl/>
              <w:spacing w:line="400" w:lineRule="exact"/>
              <w:jc w:val="center"/>
              <w:rPr>
                <w:rFonts w:hAnsi="宋体" w:cs="宋体"/>
                <w:color w:val="auto"/>
                <w:sz w:val="21"/>
                <w:szCs w:val="21"/>
              </w:rPr>
            </w:pP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资产总额(Z)</w:t>
            </w:r>
          </w:p>
        </w:tc>
        <w:tc>
          <w:tcPr>
            <w:tcW w:w="666" w:type="pct"/>
            <w:noWrap w:val="0"/>
            <w:vAlign w:val="center"/>
          </w:tcPr>
          <w:p>
            <w:pPr>
              <w:widowControl/>
              <w:spacing w:line="400" w:lineRule="exact"/>
              <w:jc w:val="center"/>
              <w:rPr>
                <w:rFonts w:hAnsi="宋体" w:cs="宋体"/>
                <w:color w:val="auto"/>
                <w:sz w:val="21"/>
                <w:szCs w:val="21"/>
              </w:rPr>
            </w:pPr>
            <w:r>
              <w:rPr>
                <w:rFonts w:hAnsi="宋体" w:cs="宋体"/>
                <w:color w:val="auto"/>
                <w:sz w:val="21"/>
                <w:szCs w:val="21"/>
              </w:rPr>
              <w:t>万元</w:t>
            </w:r>
          </w:p>
        </w:tc>
        <w:tc>
          <w:tcPr>
            <w:tcW w:w="51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Z≥80000</w:t>
            </w:r>
          </w:p>
        </w:tc>
        <w:tc>
          <w:tcPr>
            <w:tcW w:w="88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5000≤Z＜80000</w:t>
            </w: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300≤Z＜5000</w:t>
            </w:r>
          </w:p>
        </w:tc>
        <w:tc>
          <w:tcPr>
            <w:tcW w:w="518"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restart"/>
            <w:noWrap w:val="0"/>
            <w:vAlign w:val="center"/>
          </w:tcPr>
          <w:p>
            <w:pPr>
              <w:widowControl/>
              <w:spacing w:line="400" w:lineRule="exact"/>
              <w:jc w:val="center"/>
              <w:rPr>
                <w:rFonts w:hAnsi="宋体" w:cs="宋体"/>
                <w:color w:val="auto"/>
                <w:sz w:val="21"/>
                <w:szCs w:val="21"/>
              </w:rPr>
            </w:pPr>
            <w:r>
              <w:rPr>
                <w:rFonts w:hAnsi="宋体" w:cs="宋体"/>
                <w:color w:val="auto"/>
                <w:sz w:val="21"/>
                <w:szCs w:val="21"/>
              </w:rPr>
              <w:t>批发业</w:t>
            </w: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从业人员(X)</w:t>
            </w:r>
          </w:p>
        </w:tc>
        <w:tc>
          <w:tcPr>
            <w:tcW w:w="666" w:type="pct"/>
            <w:noWrap w:val="0"/>
            <w:vAlign w:val="center"/>
          </w:tcPr>
          <w:p>
            <w:pPr>
              <w:widowControl/>
              <w:spacing w:line="400" w:lineRule="exact"/>
              <w:jc w:val="center"/>
              <w:rPr>
                <w:rFonts w:hAnsi="宋体" w:cs="宋体"/>
                <w:color w:val="auto"/>
                <w:sz w:val="21"/>
                <w:szCs w:val="21"/>
              </w:rPr>
            </w:pPr>
            <w:r>
              <w:rPr>
                <w:rFonts w:hAnsi="宋体" w:cs="宋体"/>
                <w:color w:val="auto"/>
                <w:sz w:val="21"/>
                <w:szCs w:val="21"/>
              </w:rPr>
              <w:t>人</w:t>
            </w:r>
          </w:p>
        </w:tc>
        <w:tc>
          <w:tcPr>
            <w:tcW w:w="51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X≥200</w:t>
            </w:r>
          </w:p>
        </w:tc>
        <w:tc>
          <w:tcPr>
            <w:tcW w:w="88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20≤X＜200</w:t>
            </w: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5≤X＜20</w:t>
            </w:r>
          </w:p>
        </w:tc>
        <w:tc>
          <w:tcPr>
            <w:tcW w:w="518"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continue"/>
            <w:noWrap w:val="0"/>
            <w:vAlign w:val="center"/>
          </w:tcPr>
          <w:p>
            <w:pPr>
              <w:widowControl/>
              <w:spacing w:line="400" w:lineRule="exact"/>
              <w:jc w:val="center"/>
              <w:rPr>
                <w:rFonts w:hAnsi="宋体" w:cs="宋体"/>
                <w:color w:val="auto"/>
                <w:sz w:val="21"/>
                <w:szCs w:val="21"/>
              </w:rPr>
            </w:pP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营业收入(Y)</w:t>
            </w:r>
          </w:p>
        </w:tc>
        <w:tc>
          <w:tcPr>
            <w:tcW w:w="666" w:type="pct"/>
            <w:noWrap w:val="0"/>
            <w:vAlign w:val="center"/>
          </w:tcPr>
          <w:p>
            <w:pPr>
              <w:widowControl/>
              <w:spacing w:line="400" w:lineRule="exact"/>
              <w:jc w:val="center"/>
              <w:rPr>
                <w:rFonts w:hAnsi="宋体" w:cs="宋体"/>
                <w:color w:val="auto"/>
                <w:sz w:val="21"/>
                <w:szCs w:val="21"/>
              </w:rPr>
            </w:pPr>
            <w:r>
              <w:rPr>
                <w:rFonts w:hAnsi="宋体" w:cs="宋体"/>
                <w:color w:val="auto"/>
                <w:sz w:val="21"/>
                <w:szCs w:val="21"/>
              </w:rPr>
              <w:t>万元</w:t>
            </w:r>
          </w:p>
        </w:tc>
        <w:tc>
          <w:tcPr>
            <w:tcW w:w="51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Y≥40000</w:t>
            </w:r>
          </w:p>
        </w:tc>
        <w:tc>
          <w:tcPr>
            <w:tcW w:w="88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5000≤Y＜40000</w:t>
            </w: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1000≤Y＜5000</w:t>
            </w:r>
          </w:p>
        </w:tc>
        <w:tc>
          <w:tcPr>
            <w:tcW w:w="518"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restart"/>
            <w:noWrap w:val="0"/>
            <w:vAlign w:val="center"/>
          </w:tcPr>
          <w:p>
            <w:pPr>
              <w:widowControl/>
              <w:spacing w:line="400" w:lineRule="exact"/>
              <w:jc w:val="center"/>
              <w:rPr>
                <w:rFonts w:hAnsi="宋体" w:cs="宋体"/>
                <w:color w:val="auto"/>
                <w:sz w:val="21"/>
                <w:szCs w:val="21"/>
              </w:rPr>
            </w:pPr>
            <w:r>
              <w:rPr>
                <w:rFonts w:hAnsi="宋体" w:cs="宋体"/>
                <w:color w:val="auto"/>
                <w:sz w:val="21"/>
                <w:szCs w:val="21"/>
              </w:rPr>
              <w:t>零售业</w:t>
            </w: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从业人员(X)</w:t>
            </w:r>
          </w:p>
        </w:tc>
        <w:tc>
          <w:tcPr>
            <w:tcW w:w="666" w:type="pct"/>
            <w:noWrap w:val="0"/>
            <w:vAlign w:val="center"/>
          </w:tcPr>
          <w:p>
            <w:pPr>
              <w:widowControl/>
              <w:spacing w:line="400" w:lineRule="exact"/>
              <w:jc w:val="center"/>
              <w:rPr>
                <w:rFonts w:hAnsi="宋体" w:cs="宋体"/>
                <w:color w:val="auto"/>
                <w:sz w:val="21"/>
                <w:szCs w:val="21"/>
              </w:rPr>
            </w:pPr>
            <w:r>
              <w:rPr>
                <w:rFonts w:hAnsi="宋体" w:cs="宋体"/>
                <w:color w:val="auto"/>
                <w:sz w:val="21"/>
                <w:szCs w:val="21"/>
              </w:rPr>
              <w:t>人</w:t>
            </w:r>
          </w:p>
        </w:tc>
        <w:tc>
          <w:tcPr>
            <w:tcW w:w="51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X≥300</w:t>
            </w:r>
          </w:p>
        </w:tc>
        <w:tc>
          <w:tcPr>
            <w:tcW w:w="88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50≤X＜300</w:t>
            </w: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10≤X＜50</w:t>
            </w:r>
          </w:p>
        </w:tc>
        <w:tc>
          <w:tcPr>
            <w:tcW w:w="518"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continue"/>
            <w:noWrap w:val="0"/>
            <w:vAlign w:val="center"/>
          </w:tcPr>
          <w:p>
            <w:pPr>
              <w:widowControl/>
              <w:spacing w:line="400" w:lineRule="exact"/>
              <w:jc w:val="center"/>
              <w:rPr>
                <w:rFonts w:hAnsi="宋体" w:cs="宋体"/>
                <w:color w:val="auto"/>
                <w:sz w:val="21"/>
                <w:szCs w:val="21"/>
              </w:rPr>
            </w:pP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营业收入(Y)</w:t>
            </w:r>
          </w:p>
        </w:tc>
        <w:tc>
          <w:tcPr>
            <w:tcW w:w="666" w:type="pct"/>
            <w:noWrap w:val="0"/>
            <w:vAlign w:val="center"/>
          </w:tcPr>
          <w:p>
            <w:pPr>
              <w:widowControl/>
              <w:spacing w:line="400" w:lineRule="exact"/>
              <w:jc w:val="center"/>
              <w:rPr>
                <w:rFonts w:hAnsi="宋体" w:cs="宋体"/>
                <w:color w:val="auto"/>
                <w:sz w:val="21"/>
                <w:szCs w:val="21"/>
              </w:rPr>
            </w:pPr>
            <w:r>
              <w:rPr>
                <w:rFonts w:hAnsi="宋体" w:cs="宋体"/>
                <w:color w:val="auto"/>
                <w:sz w:val="21"/>
                <w:szCs w:val="21"/>
              </w:rPr>
              <w:t>万元</w:t>
            </w:r>
          </w:p>
        </w:tc>
        <w:tc>
          <w:tcPr>
            <w:tcW w:w="51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Y≥20000</w:t>
            </w:r>
          </w:p>
        </w:tc>
        <w:tc>
          <w:tcPr>
            <w:tcW w:w="88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500≤Y＜20000</w:t>
            </w: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100≤Y＜500</w:t>
            </w:r>
          </w:p>
        </w:tc>
        <w:tc>
          <w:tcPr>
            <w:tcW w:w="518"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restart"/>
            <w:noWrap w:val="0"/>
            <w:vAlign w:val="center"/>
          </w:tcPr>
          <w:p>
            <w:pPr>
              <w:widowControl/>
              <w:spacing w:line="400" w:lineRule="exact"/>
              <w:jc w:val="center"/>
              <w:rPr>
                <w:rFonts w:hAnsi="宋体" w:cs="宋体"/>
                <w:color w:val="auto"/>
                <w:sz w:val="21"/>
                <w:szCs w:val="21"/>
              </w:rPr>
            </w:pPr>
            <w:r>
              <w:rPr>
                <w:rFonts w:hAnsi="宋体" w:cs="宋体"/>
                <w:color w:val="auto"/>
                <w:sz w:val="21"/>
                <w:szCs w:val="21"/>
              </w:rPr>
              <w:t>交通运输业*</w:t>
            </w: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从业人员(X)</w:t>
            </w:r>
          </w:p>
        </w:tc>
        <w:tc>
          <w:tcPr>
            <w:tcW w:w="666" w:type="pct"/>
            <w:noWrap w:val="0"/>
            <w:vAlign w:val="center"/>
          </w:tcPr>
          <w:p>
            <w:pPr>
              <w:widowControl/>
              <w:spacing w:line="400" w:lineRule="exact"/>
              <w:jc w:val="center"/>
              <w:rPr>
                <w:rFonts w:hAnsi="宋体" w:cs="宋体"/>
                <w:color w:val="auto"/>
                <w:sz w:val="21"/>
                <w:szCs w:val="21"/>
              </w:rPr>
            </w:pPr>
            <w:r>
              <w:rPr>
                <w:rFonts w:hAnsi="宋体" w:cs="宋体"/>
                <w:color w:val="auto"/>
                <w:sz w:val="21"/>
                <w:szCs w:val="21"/>
              </w:rPr>
              <w:t>人</w:t>
            </w:r>
          </w:p>
        </w:tc>
        <w:tc>
          <w:tcPr>
            <w:tcW w:w="51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X≥1000</w:t>
            </w:r>
          </w:p>
        </w:tc>
        <w:tc>
          <w:tcPr>
            <w:tcW w:w="88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300≤X＜1000</w:t>
            </w: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20≤X＜300</w:t>
            </w:r>
          </w:p>
        </w:tc>
        <w:tc>
          <w:tcPr>
            <w:tcW w:w="518"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continue"/>
            <w:noWrap w:val="0"/>
            <w:vAlign w:val="center"/>
          </w:tcPr>
          <w:p>
            <w:pPr>
              <w:widowControl/>
              <w:spacing w:line="400" w:lineRule="exact"/>
              <w:jc w:val="center"/>
              <w:rPr>
                <w:rFonts w:hAnsi="宋体" w:cs="宋体"/>
                <w:color w:val="auto"/>
                <w:sz w:val="21"/>
                <w:szCs w:val="21"/>
              </w:rPr>
            </w:pP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营业收入(Y)</w:t>
            </w:r>
          </w:p>
        </w:tc>
        <w:tc>
          <w:tcPr>
            <w:tcW w:w="666" w:type="pct"/>
            <w:noWrap w:val="0"/>
            <w:vAlign w:val="center"/>
          </w:tcPr>
          <w:p>
            <w:pPr>
              <w:widowControl/>
              <w:spacing w:line="400" w:lineRule="exact"/>
              <w:jc w:val="center"/>
              <w:rPr>
                <w:rFonts w:hAnsi="宋体" w:cs="宋体"/>
                <w:color w:val="auto"/>
                <w:sz w:val="21"/>
                <w:szCs w:val="21"/>
              </w:rPr>
            </w:pPr>
            <w:r>
              <w:rPr>
                <w:rFonts w:hAnsi="宋体" w:cs="宋体"/>
                <w:color w:val="auto"/>
                <w:sz w:val="21"/>
                <w:szCs w:val="21"/>
              </w:rPr>
              <w:t>万元</w:t>
            </w:r>
          </w:p>
        </w:tc>
        <w:tc>
          <w:tcPr>
            <w:tcW w:w="51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Y≥30000</w:t>
            </w:r>
          </w:p>
        </w:tc>
        <w:tc>
          <w:tcPr>
            <w:tcW w:w="88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3000≤Y＜30000</w:t>
            </w: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200≤Y＜3000</w:t>
            </w:r>
          </w:p>
        </w:tc>
        <w:tc>
          <w:tcPr>
            <w:tcW w:w="518"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restart"/>
            <w:noWrap w:val="0"/>
            <w:vAlign w:val="center"/>
          </w:tcPr>
          <w:p>
            <w:pPr>
              <w:widowControl/>
              <w:spacing w:line="400" w:lineRule="exact"/>
              <w:jc w:val="center"/>
              <w:rPr>
                <w:rFonts w:hAnsi="宋体" w:cs="宋体"/>
                <w:color w:val="auto"/>
                <w:sz w:val="21"/>
                <w:szCs w:val="21"/>
              </w:rPr>
            </w:pPr>
            <w:r>
              <w:rPr>
                <w:rFonts w:hAnsi="宋体" w:cs="宋体"/>
                <w:color w:val="auto"/>
                <w:sz w:val="21"/>
                <w:szCs w:val="21"/>
              </w:rPr>
              <w:t>仓储业*</w:t>
            </w: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从业人员(X)</w:t>
            </w:r>
          </w:p>
        </w:tc>
        <w:tc>
          <w:tcPr>
            <w:tcW w:w="666" w:type="pct"/>
            <w:noWrap w:val="0"/>
            <w:vAlign w:val="center"/>
          </w:tcPr>
          <w:p>
            <w:pPr>
              <w:widowControl/>
              <w:spacing w:line="400" w:lineRule="exact"/>
              <w:jc w:val="center"/>
              <w:rPr>
                <w:rFonts w:hAnsi="宋体" w:cs="宋体"/>
                <w:color w:val="auto"/>
                <w:sz w:val="21"/>
                <w:szCs w:val="21"/>
              </w:rPr>
            </w:pPr>
            <w:r>
              <w:rPr>
                <w:rFonts w:hAnsi="宋体" w:cs="宋体"/>
                <w:color w:val="auto"/>
                <w:sz w:val="21"/>
                <w:szCs w:val="21"/>
              </w:rPr>
              <w:t>人</w:t>
            </w:r>
          </w:p>
        </w:tc>
        <w:tc>
          <w:tcPr>
            <w:tcW w:w="51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X≥200</w:t>
            </w:r>
          </w:p>
        </w:tc>
        <w:tc>
          <w:tcPr>
            <w:tcW w:w="88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100≤X＜200</w:t>
            </w: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20≤X＜100</w:t>
            </w:r>
          </w:p>
        </w:tc>
        <w:tc>
          <w:tcPr>
            <w:tcW w:w="518"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continue"/>
            <w:noWrap w:val="0"/>
            <w:vAlign w:val="center"/>
          </w:tcPr>
          <w:p>
            <w:pPr>
              <w:widowControl/>
              <w:spacing w:line="400" w:lineRule="exact"/>
              <w:jc w:val="center"/>
              <w:rPr>
                <w:rFonts w:hAnsi="宋体" w:cs="宋体"/>
                <w:color w:val="auto"/>
                <w:sz w:val="21"/>
                <w:szCs w:val="21"/>
              </w:rPr>
            </w:pP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营业收入(Y)</w:t>
            </w:r>
          </w:p>
        </w:tc>
        <w:tc>
          <w:tcPr>
            <w:tcW w:w="666" w:type="pct"/>
            <w:noWrap w:val="0"/>
            <w:vAlign w:val="center"/>
          </w:tcPr>
          <w:p>
            <w:pPr>
              <w:widowControl/>
              <w:spacing w:line="400" w:lineRule="exact"/>
              <w:jc w:val="center"/>
              <w:rPr>
                <w:rFonts w:hAnsi="宋体" w:cs="宋体"/>
                <w:color w:val="auto"/>
                <w:sz w:val="21"/>
                <w:szCs w:val="21"/>
              </w:rPr>
            </w:pPr>
            <w:r>
              <w:rPr>
                <w:rFonts w:hAnsi="宋体" w:cs="宋体"/>
                <w:color w:val="auto"/>
                <w:sz w:val="21"/>
                <w:szCs w:val="21"/>
              </w:rPr>
              <w:t>万元</w:t>
            </w:r>
          </w:p>
        </w:tc>
        <w:tc>
          <w:tcPr>
            <w:tcW w:w="51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Y≥30000</w:t>
            </w:r>
          </w:p>
        </w:tc>
        <w:tc>
          <w:tcPr>
            <w:tcW w:w="88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1000≤Y＜30000</w:t>
            </w: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100≤Y＜1000</w:t>
            </w:r>
          </w:p>
        </w:tc>
        <w:tc>
          <w:tcPr>
            <w:tcW w:w="518"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restart"/>
            <w:noWrap w:val="0"/>
            <w:vAlign w:val="center"/>
          </w:tcPr>
          <w:p>
            <w:pPr>
              <w:widowControl/>
              <w:spacing w:line="400" w:lineRule="exact"/>
              <w:jc w:val="center"/>
              <w:rPr>
                <w:rFonts w:hAnsi="宋体" w:cs="宋体"/>
                <w:color w:val="auto"/>
                <w:sz w:val="21"/>
                <w:szCs w:val="21"/>
              </w:rPr>
            </w:pPr>
            <w:r>
              <w:rPr>
                <w:rFonts w:hAnsi="宋体" w:cs="宋体"/>
                <w:color w:val="auto"/>
                <w:sz w:val="21"/>
                <w:szCs w:val="21"/>
              </w:rPr>
              <w:t>邮政业</w:t>
            </w: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从业人员(X)</w:t>
            </w:r>
          </w:p>
        </w:tc>
        <w:tc>
          <w:tcPr>
            <w:tcW w:w="666" w:type="pct"/>
            <w:noWrap w:val="0"/>
            <w:vAlign w:val="center"/>
          </w:tcPr>
          <w:p>
            <w:pPr>
              <w:widowControl/>
              <w:spacing w:line="400" w:lineRule="exact"/>
              <w:jc w:val="center"/>
              <w:rPr>
                <w:rFonts w:hAnsi="宋体" w:cs="宋体"/>
                <w:color w:val="auto"/>
                <w:sz w:val="21"/>
                <w:szCs w:val="21"/>
              </w:rPr>
            </w:pPr>
            <w:r>
              <w:rPr>
                <w:rFonts w:hAnsi="宋体" w:cs="宋体"/>
                <w:color w:val="auto"/>
                <w:sz w:val="21"/>
                <w:szCs w:val="21"/>
              </w:rPr>
              <w:t>人</w:t>
            </w:r>
          </w:p>
        </w:tc>
        <w:tc>
          <w:tcPr>
            <w:tcW w:w="51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X≥1000</w:t>
            </w:r>
          </w:p>
        </w:tc>
        <w:tc>
          <w:tcPr>
            <w:tcW w:w="88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300≤X＜1000</w:t>
            </w: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20≤X＜300</w:t>
            </w:r>
          </w:p>
        </w:tc>
        <w:tc>
          <w:tcPr>
            <w:tcW w:w="518"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continue"/>
            <w:noWrap w:val="0"/>
            <w:vAlign w:val="center"/>
          </w:tcPr>
          <w:p>
            <w:pPr>
              <w:widowControl/>
              <w:spacing w:line="400" w:lineRule="exact"/>
              <w:jc w:val="center"/>
              <w:rPr>
                <w:rFonts w:hAnsi="宋体" w:cs="宋体"/>
                <w:color w:val="auto"/>
                <w:sz w:val="21"/>
                <w:szCs w:val="21"/>
              </w:rPr>
            </w:pP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营业收入(Y)</w:t>
            </w:r>
          </w:p>
        </w:tc>
        <w:tc>
          <w:tcPr>
            <w:tcW w:w="666" w:type="pct"/>
            <w:noWrap w:val="0"/>
            <w:vAlign w:val="center"/>
          </w:tcPr>
          <w:p>
            <w:pPr>
              <w:widowControl/>
              <w:spacing w:line="400" w:lineRule="exact"/>
              <w:jc w:val="center"/>
              <w:rPr>
                <w:rFonts w:hAnsi="宋体" w:cs="宋体"/>
                <w:color w:val="auto"/>
                <w:sz w:val="21"/>
                <w:szCs w:val="21"/>
              </w:rPr>
            </w:pPr>
            <w:r>
              <w:rPr>
                <w:rFonts w:hAnsi="宋体" w:cs="宋体"/>
                <w:color w:val="auto"/>
                <w:sz w:val="21"/>
                <w:szCs w:val="21"/>
              </w:rPr>
              <w:t>万元</w:t>
            </w:r>
          </w:p>
        </w:tc>
        <w:tc>
          <w:tcPr>
            <w:tcW w:w="51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Y≥30000</w:t>
            </w:r>
          </w:p>
        </w:tc>
        <w:tc>
          <w:tcPr>
            <w:tcW w:w="88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2000≤Y＜30000</w:t>
            </w: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100≤Y＜2000</w:t>
            </w:r>
          </w:p>
        </w:tc>
        <w:tc>
          <w:tcPr>
            <w:tcW w:w="518"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restart"/>
            <w:noWrap w:val="0"/>
            <w:vAlign w:val="center"/>
          </w:tcPr>
          <w:p>
            <w:pPr>
              <w:widowControl/>
              <w:spacing w:line="400" w:lineRule="exact"/>
              <w:jc w:val="center"/>
              <w:rPr>
                <w:rFonts w:hAnsi="宋体" w:cs="宋体"/>
                <w:color w:val="auto"/>
                <w:sz w:val="21"/>
                <w:szCs w:val="21"/>
              </w:rPr>
            </w:pPr>
            <w:r>
              <w:rPr>
                <w:rFonts w:hAnsi="宋体" w:cs="宋体"/>
                <w:color w:val="auto"/>
                <w:sz w:val="21"/>
                <w:szCs w:val="21"/>
              </w:rPr>
              <w:t>住宿业</w:t>
            </w: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从业人员(X)</w:t>
            </w:r>
          </w:p>
        </w:tc>
        <w:tc>
          <w:tcPr>
            <w:tcW w:w="666" w:type="pct"/>
            <w:noWrap w:val="0"/>
            <w:vAlign w:val="center"/>
          </w:tcPr>
          <w:p>
            <w:pPr>
              <w:widowControl/>
              <w:spacing w:line="400" w:lineRule="exact"/>
              <w:jc w:val="center"/>
              <w:rPr>
                <w:rFonts w:hAnsi="宋体" w:cs="宋体"/>
                <w:color w:val="auto"/>
                <w:sz w:val="21"/>
                <w:szCs w:val="21"/>
              </w:rPr>
            </w:pPr>
            <w:r>
              <w:rPr>
                <w:rFonts w:hAnsi="宋体" w:cs="宋体"/>
                <w:color w:val="auto"/>
                <w:sz w:val="21"/>
                <w:szCs w:val="21"/>
              </w:rPr>
              <w:t>人</w:t>
            </w:r>
          </w:p>
        </w:tc>
        <w:tc>
          <w:tcPr>
            <w:tcW w:w="51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X≥300</w:t>
            </w:r>
          </w:p>
        </w:tc>
        <w:tc>
          <w:tcPr>
            <w:tcW w:w="88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100≤X＜300</w:t>
            </w: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10≤X＜100</w:t>
            </w:r>
          </w:p>
        </w:tc>
        <w:tc>
          <w:tcPr>
            <w:tcW w:w="518"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continue"/>
            <w:noWrap w:val="0"/>
            <w:vAlign w:val="center"/>
          </w:tcPr>
          <w:p>
            <w:pPr>
              <w:widowControl/>
              <w:spacing w:line="400" w:lineRule="exact"/>
              <w:jc w:val="center"/>
              <w:rPr>
                <w:rFonts w:hAnsi="宋体" w:cs="宋体"/>
                <w:color w:val="auto"/>
                <w:sz w:val="21"/>
                <w:szCs w:val="21"/>
              </w:rPr>
            </w:pP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营业收入(Y)</w:t>
            </w:r>
          </w:p>
        </w:tc>
        <w:tc>
          <w:tcPr>
            <w:tcW w:w="666" w:type="pct"/>
            <w:noWrap w:val="0"/>
            <w:vAlign w:val="center"/>
          </w:tcPr>
          <w:p>
            <w:pPr>
              <w:widowControl/>
              <w:spacing w:line="400" w:lineRule="exact"/>
              <w:jc w:val="center"/>
              <w:rPr>
                <w:rFonts w:hAnsi="宋体" w:cs="宋体"/>
                <w:color w:val="auto"/>
                <w:sz w:val="21"/>
                <w:szCs w:val="21"/>
              </w:rPr>
            </w:pPr>
            <w:r>
              <w:rPr>
                <w:rFonts w:hAnsi="宋体" w:cs="宋体"/>
                <w:color w:val="auto"/>
                <w:sz w:val="21"/>
                <w:szCs w:val="21"/>
              </w:rPr>
              <w:t>万元</w:t>
            </w:r>
          </w:p>
        </w:tc>
        <w:tc>
          <w:tcPr>
            <w:tcW w:w="51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Y≥10000</w:t>
            </w:r>
          </w:p>
        </w:tc>
        <w:tc>
          <w:tcPr>
            <w:tcW w:w="88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2000≤Y＜10000</w:t>
            </w: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100≤Y＜2000</w:t>
            </w:r>
          </w:p>
        </w:tc>
        <w:tc>
          <w:tcPr>
            <w:tcW w:w="518"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restart"/>
            <w:noWrap w:val="0"/>
            <w:vAlign w:val="center"/>
          </w:tcPr>
          <w:p>
            <w:pPr>
              <w:widowControl/>
              <w:spacing w:line="400" w:lineRule="exact"/>
              <w:jc w:val="center"/>
              <w:rPr>
                <w:rFonts w:hAnsi="宋体" w:cs="宋体"/>
                <w:color w:val="auto"/>
                <w:sz w:val="21"/>
                <w:szCs w:val="21"/>
              </w:rPr>
            </w:pPr>
            <w:r>
              <w:rPr>
                <w:rFonts w:hAnsi="宋体" w:cs="宋体"/>
                <w:color w:val="auto"/>
                <w:sz w:val="21"/>
                <w:szCs w:val="21"/>
              </w:rPr>
              <w:t>餐饮业</w:t>
            </w: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从业人员(X)</w:t>
            </w:r>
          </w:p>
        </w:tc>
        <w:tc>
          <w:tcPr>
            <w:tcW w:w="666" w:type="pct"/>
            <w:noWrap w:val="0"/>
            <w:vAlign w:val="center"/>
          </w:tcPr>
          <w:p>
            <w:pPr>
              <w:widowControl/>
              <w:spacing w:line="400" w:lineRule="exact"/>
              <w:jc w:val="center"/>
              <w:rPr>
                <w:rFonts w:hAnsi="宋体" w:cs="宋体"/>
                <w:color w:val="auto"/>
                <w:sz w:val="21"/>
                <w:szCs w:val="21"/>
              </w:rPr>
            </w:pPr>
            <w:r>
              <w:rPr>
                <w:rFonts w:hAnsi="宋体" w:cs="宋体"/>
                <w:color w:val="auto"/>
                <w:sz w:val="21"/>
                <w:szCs w:val="21"/>
              </w:rPr>
              <w:t>人</w:t>
            </w:r>
          </w:p>
        </w:tc>
        <w:tc>
          <w:tcPr>
            <w:tcW w:w="51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X≥300</w:t>
            </w:r>
          </w:p>
        </w:tc>
        <w:tc>
          <w:tcPr>
            <w:tcW w:w="88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100≤X＜300</w:t>
            </w: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10≤X＜100</w:t>
            </w:r>
          </w:p>
        </w:tc>
        <w:tc>
          <w:tcPr>
            <w:tcW w:w="518"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continue"/>
            <w:noWrap w:val="0"/>
            <w:vAlign w:val="center"/>
          </w:tcPr>
          <w:p>
            <w:pPr>
              <w:widowControl/>
              <w:spacing w:line="400" w:lineRule="exact"/>
              <w:jc w:val="center"/>
              <w:rPr>
                <w:rFonts w:hAnsi="宋体" w:cs="宋体"/>
                <w:color w:val="auto"/>
                <w:sz w:val="21"/>
                <w:szCs w:val="21"/>
              </w:rPr>
            </w:pP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营业收入(Y)</w:t>
            </w:r>
          </w:p>
        </w:tc>
        <w:tc>
          <w:tcPr>
            <w:tcW w:w="666" w:type="pct"/>
            <w:noWrap w:val="0"/>
            <w:vAlign w:val="center"/>
          </w:tcPr>
          <w:p>
            <w:pPr>
              <w:widowControl/>
              <w:spacing w:line="400" w:lineRule="exact"/>
              <w:jc w:val="center"/>
              <w:rPr>
                <w:rFonts w:hAnsi="宋体" w:cs="宋体"/>
                <w:color w:val="auto"/>
                <w:sz w:val="21"/>
                <w:szCs w:val="21"/>
              </w:rPr>
            </w:pPr>
            <w:r>
              <w:rPr>
                <w:rFonts w:hAnsi="宋体" w:cs="宋体"/>
                <w:color w:val="auto"/>
                <w:sz w:val="21"/>
                <w:szCs w:val="21"/>
              </w:rPr>
              <w:t>万元</w:t>
            </w:r>
          </w:p>
        </w:tc>
        <w:tc>
          <w:tcPr>
            <w:tcW w:w="51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Y≥10000</w:t>
            </w:r>
          </w:p>
        </w:tc>
        <w:tc>
          <w:tcPr>
            <w:tcW w:w="88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2000≤Y＜10000</w:t>
            </w: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100≤Y＜2000</w:t>
            </w:r>
          </w:p>
        </w:tc>
        <w:tc>
          <w:tcPr>
            <w:tcW w:w="518"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restart"/>
            <w:noWrap w:val="0"/>
            <w:vAlign w:val="center"/>
          </w:tcPr>
          <w:p>
            <w:pPr>
              <w:widowControl/>
              <w:spacing w:line="400" w:lineRule="exact"/>
              <w:jc w:val="center"/>
              <w:rPr>
                <w:rFonts w:hAnsi="宋体" w:cs="宋体"/>
                <w:color w:val="auto"/>
                <w:sz w:val="21"/>
                <w:szCs w:val="21"/>
              </w:rPr>
            </w:pPr>
            <w:r>
              <w:rPr>
                <w:rFonts w:hAnsi="宋体" w:cs="宋体"/>
                <w:color w:val="auto"/>
                <w:sz w:val="21"/>
                <w:szCs w:val="21"/>
              </w:rPr>
              <w:t>信息传输业*</w:t>
            </w: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从业人员(X)</w:t>
            </w:r>
          </w:p>
        </w:tc>
        <w:tc>
          <w:tcPr>
            <w:tcW w:w="666" w:type="pct"/>
            <w:noWrap w:val="0"/>
            <w:vAlign w:val="center"/>
          </w:tcPr>
          <w:p>
            <w:pPr>
              <w:widowControl/>
              <w:spacing w:line="400" w:lineRule="exact"/>
              <w:jc w:val="center"/>
              <w:rPr>
                <w:rFonts w:hAnsi="宋体" w:cs="宋体"/>
                <w:color w:val="auto"/>
                <w:sz w:val="21"/>
                <w:szCs w:val="21"/>
              </w:rPr>
            </w:pPr>
            <w:r>
              <w:rPr>
                <w:rFonts w:hAnsi="宋体" w:cs="宋体"/>
                <w:color w:val="auto"/>
                <w:sz w:val="21"/>
                <w:szCs w:val="21"/>
              </w:rPr>
              <w:t>人</w:t>
            </w:r>
          </w:p>
        </w:tc>
        <w:tc>
          <w:tcPr>
            <w:tcW w:w="51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X≥2000</w:t>
            </w:r>
          </w:p>
        </w:tc>
        <w:tc>
          <w:tcPr>
            <w:tcW w:w="88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100≤X＜2000</w:t>
            </w: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10≤X＜100</w:t>
            </w:r>
          </w:p>
        </w:tc>
        <w:tc>
          <w:tcPr>
            <w:tcW w:w="518"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continue"/>
            <w:noWrap w:val="0"/>
            <w:vAlign w:val="center"/>
          </w:tcPr>
          <w:p>
            <w:pPr>
              <w:widowControl/>
              <w:spacing w:line="400" w:lineRule="exact"/>
              <w:jc w:val="center"/>
              <w:rPr>
                <w:rFonts w:hAnsi="宋体" w:cs="宋体"/>
                <w:color w:val="auto"/>
                <w:sz w:val="21"/>
                <w:szCs w:val="21"/>
              </w:rPr>
            </w:pP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营业收入(Y)</w:t>
            </w:r>
          </w:p>
        </w:tc>
        <w:tc>
          <w:tcPr>
            <w:tcW w:w="666" w:type="pct"/>
            <w:noWrap w:val="0"/>
            <w:vAlign w:val="center"/>
          </w:tcPr>
          <w:p>
            <w:pPr>
              <w:widowControl/>
              <w:spacing w:line="400" w:lineRule="exact"/>
              <w:jc w:val="center"/>
              <w:rPr>
                <w:rFonts w:hAnsi="宋体" w:cs="宋体"/>
                <w:color w:val="auto"/>
                <w:sz w:val="21"/>
                <w:szCs w:val="21"/>
              </w:rPr>
            </w:pPr>
            <w:r>
              <w:rPr>
                <w:rFonts w:hAnsi="宋体" w:cs="宋体"/>
                <w:color w:val="auto"/>
                <w:sz w:val="21"/>
                <w:szCs w:val="21"/>
              </w:rPr>
              <w:t>万元</w:t>
            </w:r>
          </w:p>
        </w:tc>
        <w:tc>
          <w:tcPr>
            <w:tcW w:w="51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Y≥100000</w:t>
            </w:r>
          </w:p>
        </w:tc>
        <w:tc>
          <w:tcPr>
            <w:tcW w:w="88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1000≤Y＜100000</w:t>
            </w: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100≤Y＜1000</w:t>
            </w:r>
          </w:p>
        </w:tc>
        <w:tc>
          <w:tcPr>
            <w:tcW w:w="518"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restart"/>
            <w:noWrap w:val="0"/>
            <w:vAlign w:val="center"/>
          </w:tcPr>
          <w:p>
            <w:pPr>
              <w:widowControl/>
              <w:spacing w:line="400" w:lineRule="exact"/>
              <w:jc w:val="center"/>
              <w:rPr>
                <w:rFonts w:hAnsi="宋体" w:cs="宋体"/>
                <w:color w:val="auto"/>
                <w:sz w:val="21"/>
                <w:szCs w:val="21"/>
              </w:rPr>
            </w:pPr>
            <w:r>
              <w:rPr>
                <w:rFonts w:hAnsi="宋体" w:cs="宋体"/>
                <w:color w:val="auto"/>
                <w:sz w:val="21"/>
                <w:szCs w:val="21"/>
              </w:rPr>
              <w:t>软件和信息技术服务业</w:t>
            </w: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从业人员(X)</w:t>
            </w:r>
          </w:p>
        </w:tc>
        <w:tc>
          <w:tcPr>
            <w:tcW w:w="666" w:type="pct"/>
            <w:noWrap w:val="0"/>
            <w:vAlign w:val="center"/>
          </w:tcPr>
          <w:p>
            <w:pPr>
              <w:widowControl/>
              <w:spacing w:line="400" w:lineRule="exact"/>
              <w:jc w:val="center"/>
              <w:rPr>
                <w:rFonts w:hAnsi="宋体" w:cs="宋体"/>
                <w:color w:val="auto"/>
                <w:sz w:val="21"/>
                <w:szCs w:val="21"/>
              </w:rPr>
            </w:pPr>
            <w:r>
              <w:rPr>
                <w:rFonts w:hAnsi="宋体" w:cs="宋体"/>
                <w:color w:val="auto"/>
                <w:sz w:val="21"/>
                <w:szCs w:val="21"/>
              </w:rPr>
              <w:t>人</w:t>
            </w:r>
          </w:p>
        </w:tc>
        <w:tc>
          <w:tcPr>
            <w:tcW w:w="51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X≥300</w:t>
            </w:r>
          </w:p>
        </w:tc>
        <w:tc>
          <w:tcPr>
            <w:tcW w:w="88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100≤X＜300</w:t>
            </w: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10≤X＜100</w:t>
            </w:r>
          </w:p>
        </w:tc>
        <w:tc>
          <w:tcPr>
            <w:tcW w:w="518"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continue"/>
            <w:noWrap w:val="0"/>
            <w:vAlign w:val="center"/>
          </w:tcPr>
          <w:p>
            <w:pPr>
              <w:widowControl/>
              <w:spacing w:line="400" w:lineRule="exact"/>
              <w:jc w:val="center"/>
              <w:rPr>
                <w:rFonts w:hAnsi="宋体" w:cs="宋体"/>
                <w:color w:val="auto"/>
                <w:sz w:val="21"/>
                <w:szCs w:val="21"/>
              </w:rPr>
            </w:pP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营业收入(Y)</w:t>
            </w:r>
          </w:p>
        </w:tc>
        <w:tc>
          <w:tcPr>
            <w:tcW w:w="666" w:type="pct"/>
            <w:noWrap w:val="0"/>
            <w:vAlign w:val="center"/>
          </w:tcPr>
          <w:p>
            <w:pPr>
              <w:widowControl/>
              <w:spacing w:line="400" w:lineRule="exact"/>
              <w:jc w:val="center"/>
              <w:rPr>
                <w:rFonts w:hAnsi="宋体" w:cs="宋体"/>
                <w:color w:val="auto"/>
                <w:sz w:val="21"/>
                <w:szCs w:val="21"/>
              </w:rPr>
            </w:pPr>
            <w:r>
              <w:rPr>
                <w:rFonts w:hAnsi="宋体" w:cs="宋体"/>
                <w:color w:val="auto"/>
                <w:sz w:val="21"/>
                <w:szCs w:val="21"/>
              </w:rPr>
              <w:t>万元</w:t>
            </w:r>
          </w:p>
        </w:tc>
        <w:tc>
          <w:tcPr>
            <w:tcW w:w="51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Y≥10000</w:t>
            </w:r>
          </w:p>
        </w:tc>
        <w:tc>
          <w:tcPr>
            <w:tcW w:w="88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1000≤Y＜10000</w:t>
            </w: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50≤Y＜1000</w:t>
            </w:r>
          </w:p>
        </w:tc>
        <w:tc>
          <w:tcPr>
            <w:tcW w:w="518"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restart"/>
            <w:noWrap w:val="0"/>
            <w:vAlign w:val="center"/>
          </w:tcPr>
          <w:p>
            <w:pPr>
              <w:widowControl/>
              <w:spacing w:line="400" w:lineRule="exact"/>
              <w:jc w:val="center"/>
              <w:rPr>
                <w:rFonts w:hAnsi="宋体" w:cs="宋体"/>
                <w:color w:val="auto"/>
                <w:sz w:val="21"/>
                <w:szCs w:val="21"/>
              </w:rPr>
            </w:pPr>
            <w:r>
              <w:rPr>
                <w:rFonts w:hAnsi="宋体" w:cs="宋体"/>
                <w:color w:val="auto"/>
                <w:sz w:val="21"/>
                <w:szCs w:val="21"/>
              </w:rPr>
              <w:t>房地产开发经营</w:t>
            </w: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营业收入(Y)</w:t>
            </w:r>
          </w:p>
        </w:tc>
        <w:tc>
          <w:tcPr>
            <w:tcW w:w="666" w:type="pct"/>
            <w:noWrap w:val="0"/>
            <w:vAlign w:val="center"/>
          </w:tcPr>
          <w:p>
            <w:pPr>
              <w:widowControl/>
              <w:spacing w:line="400" w:lineRule="exact"/>
              <w:jc w:val="center"/>
              <w:rPr>
                <w:rFonts w:hAnsi="宋体" w:cs="宋体"/>
                <w:color w:val="auto"/>
                <w:sz w:val="21"/>
                <w:szCs w:val="21"/>
              </w:rPr>
            </w:pPr>
            <w:r>
              <w:rPr>
                <w:rFonts w:hAnsi="宋体" w:cs="宋体"/>
                <w:color w:val="auto"/>
                <w:sz w:val="21"/>
                <w:szCs w:val="21"/>
              </w:rPr>
              <w:t>万元</w:t>
            </w:r>
          </w:p>
        </w:tc>
        <w:tc>
          <w:tcPr>
            <w:tcW w:w="51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Y≥200000</w:t>
            </w:r>
          </w:p>
        </w:tc>
        <w:tc>
          <w:tcPr>
            <w:tcW w:w="88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1000≤Y＜200000</w:t>
            </w: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100≤Y＜1000</w:t>
            </w:r>
          </w:p>
        </w:tc>
        <w:tc>
          <w:tcPr>
            <w:tcW w:w="518"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continue"/>
            <w:noWrap w:val="0"/>
            <w:vAlign w:val="center"/>
          </w:tcPr>
          <w:p>
            <w:pPr>
              <w:widowControl/>
              <w:spacing w:line="400" w:lineRule="exact"/>
              <w:jc w:val="center"/>
              <w:rPr>
                <w:rFonts w:hAnsi="宋体" w:cs="宋体"/>
                <w:color w:val="auto"/>
                <w:sz w:val="21"/>
                <w:szCs w:val="21"/>
              </w:rPr>
            </w:pP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资产总额(Z)</w:t>
            </w:r>
          </w:p>
        </w:tc>
        <w:tc>
          <w:tcPr>
            <w:tcW w:w="666" w:type="pct"/>
            <w:noWrap w:val="0"/>
            <w:vAlign w:val="center"/>
          </w:tcPr>
          <w:p>
            <w:pPr>
              <w:widowControl/>
              <w:spacing w:line="400" w:lineRule="exact"/>
              <w:jc w:val="center"/>
              <w:rPr>
                <w:rFonts w:hAnsi="宋体" w:cs="宋体"/>
                <w:color w:val="auto"/>
                <w:sz w:val="21"/>
                <w:szCs w:val="21"/>
              </w:rPr>
            </w:pPr>
            <w:r>
              <w:rPr>
                <w:rFonts w:hAnsi="宋体" w:cs="宋体"/>
                <w:color w:val="auto"/>
                <w:sz w:val="21"/>
                <w:szCs w:val="21"/>
              </w:rPr>
              <w:t>万元</w:t>
            </w:r>
          </w:p>
        </w:tc>
        <w:tc>
          <w:tcPr>
            <w:tcW w:w="51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Z≥10000</w:t>
            </w:r>
          </w:p>
        </w:tc>
        <w:tc>
          <w:tcPr>
            <w:tcW w:w="88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5000≤Z＜10000</w:t>
            </w: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2000≤Z＜5000</w:t>
            </w:r>
          </w:p>
        </w:tc>
        <w:tc>
          <w:tcPr>
            <w:tcW w:w="518"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restart"/>
            <w:noWrap w:val="0"/>
            <w:vAlign w:val="center"/>
          </w:tcPr>
          <w:p>
            <w:pPr>
              <w:widowControl/>
              <w:spacing w:line="400" w:lineRule="exact"/>
              <w:jc w:val="center"/>
              <w:rPr>
                <w:rFonts w:hAnsi="宋体" w:cs="宋体"/>
                <w:color w:val="auto"/>
                <w:sz w:val="21"/>
                <w:szCs w:val="21"/>
              </w:rPr>
            </w:pPr>
            <w:r>
              <w:rPr>
                <w:rFonts w:hAnsi="宋体" w:cs="宋体"/>
                <w:color w:val="auto"/>
                <w:sz w:val="21"/>
                <w:szCs w:val="21"/>
              </w:rPr>
              <w:t>物业管理</w:t>
            </w: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从业人员(X)</w:t>
            </w:r>
          </w:p>
        </w:tc>
        <w:tc>
          <w:tcPr>
            <w:tcW w:w="666" w:type="pct"/>
            <w:noWrap w:val="0"/>
            <w:vAlign w:val="center"/>
          </w:tcPr>
          <w:p>
            <w:pPr>
              <w:widowControl/>
              <w:spacing w:line="400" w:lineRule="exact"/>
              <w:jc w:val="center"/>
              <w:rPr>
                <w:rFonts w:hAnsi="宋体" w:cs="宋体"/>
                <w:color w:val="auto"/>
                <w:sz w:val="21"/>
                <w:szCs w:val="21"/>
              </w:rPr>
            </w:pPr>
            <w:r>
              <w:rPr>
                <w:rFonts w:hAnsi="宋体" w:cs="宋体"/>
                <w:color w:val="auto"/>
                <w:sz w:val="21"/>
                <w:szCs w:val="21"/>
              </w:rPr>
              <w:t>人</w:t>
            </w:r>
          </w:p>
        </w:tc>
        <w:tc>
          <w:tcPr>
            <w:tcW w:w="51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X≥1000</w:t>
            </w:r>
          </w:p>
        </w:tc>
        <w:tc>
          <w:tcPr>
            <w:tcW w:w="88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300≤X＜1000</w:t>
            </w: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100≤X＜300</w:t>
            </w:r>
          </w:p>
        </w:tc>
        <w:tc>
          <w:tcPr>
            <w:tcW w:w="518"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continue"/>
            <w:noWrap w:val="0"/>
            <w:vAlign w:val="center"/>
          </w:tcPr>
          <w:p>
            <w:pPr>
              <w:widowControl/>
              <w:spacing w:line="400" w:lineRule="exact"/>
              <w:jc w:val="center"/>
              <w:rPr>
                <w:rFonts w:hAnsi="宋体" w:cs="宋体"/>
                <w:color w:val="auto"/>
                <w:sz w:val="21"/>
                <w:szCs w:val="21"/>
              </w:rPr>
            </w:pP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营业收入(Y)</w:t>
            </w:r>
          </w:p>
        </w:tc>
        <w:tc>
          <w:tcPr>
            <w:tcW w:w="666" w:type="pct"/>
            <w:noWrap w:val="0"/>
            <w:vAlign w:val="center"/>
          </w:tcPr>
          <w:p>
            <w:pPr>
              <w:widowControl/>
              <w:spacing w:line="400" w:lineRule="exact"/>
              <w:jc w:val="center"/>
              <w:rPr>
                <w:rFonts w:hAnsi="宋体" w:cs="宋体"/>
                <w:color w:val="auto"/>
                <w:sz w:val="21"/>
                <w:szCs w:val="21"/>
              </w:rPr>
            </w:pPr>
            <w:r>
              <w:rPr>
                <w:rFonts w:hAnsi="宋体" w:cs="宋体"/>
                <w:color w:val="auto"/>
                <w:sz w:val="21"/>
                <w:szCs w:val="21"/>
              </w:rPr>
              <w:t>万元</w:t>
            </w:r>
          </w:p>
        </w:tc>
        <w:tc>
          <w:tcPr>
            <w:tcW w:w="51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Y≥5000</w:t>
            </w:r>
          </w:p>
        </w:tc>
        <w:tc>
          <w:tcPr>
            <w:tcW w:w="88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1000≤Y＜5000</w:t>
            </w: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500≤Y＜1000</w:t>
            </w:r>
          </w:p>
        </w:tc>
        <w:tc>
          <w:tcPr>
            <w:tcW w:w="518"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restart"/>
            <w:noWrap w:val="0"/>
            <w:vAlign w:val="center"/>
          </w:tcPr>
          <w:p>
            <w:pPr>
              <w:widowControl/>
              <w:spacing w:line="400" w:lineRule="exact"/>
              <w:jc w:val="center"/>
              <w:rPr>
                <w:rFonts w:hAnsi="宋体" w:cs="宋体"/>
                <w:color w:val="auto"/>
                <w:sz w:val="21"/>
                <w:szCs w:val="21"/>
              </w:rPr>
            </w:pPr>
            <w:r>
              <w:rPr>
                <w:rFonts w:hAnsi="宋体" w:cs="宋体"/>
                <w:color w:val="auto"/>
                <w:sz w:val="21"/>
                <w:szCs w:val="21"/>
              </w:rPr>
              <w:t>租赁和商务服务业</w:t>
            </w: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从业人员(X)</w:t>
            </w:r>
          </w:p>
        </w:tc>
        <w:tc>
          <w:tcPr>
            <w:tcW w:w="666" w:type="pct"/>
            <w:noWrap w:val="0"/>
            <w:vAlign w:val="center"/>
          </w:tcPr>
          <w:p>
            <w:pPr>
              <w:widowControl/>
              <w:spacing w:line="400" w:lineRule="exact"/>
              <w:jc w:val="center"/>
              <w:rPr>
                <w:rFonts w:hAnsi="宋体" w:cs="宋体"/>
                <w:color w:val="auto"/>
                <w:sz w:val="21"/>
                <w:szCs w:val="21"/>
              </w:rPr>
            </w:pPr>
            <w:r>
              <w:rPr>
                <w:rFonts w:hAnsi="宋体" w:cs="宋体"/>
                <w:color w:val="auto"/>
                <w:sz w:val="21"/>
                <w:szCs w:val="21"/>
              </w:rPr>
              <w:t>人</w:t>
            </w:r>
          </w:p>
        </w:tc>
        <w:tc>
          <w:tcPr>
            <w:tcW w:w="51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X≥300</w:t>
            </w:r>
          </w:p>
        </w:tc>
        <w:tc>
          <w:tcPr>
            <w:tcW w:w="88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100≤X＜300</w:t>
            </w: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10≤X＜100</w:t>
            </w:r>
          </w:p>
        </w:tc>
        <w:tc>
          <w:tcPr>
            <w:tcW w:w="518"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vMerge w:val="continue"/>
            <w:noWrap w:val="0"/>
            <w:vAlign w:val="center"/>
          </w:tcPr>
          <w:p>
            <w:pPr>
              <w:widowControl/>
              <w:spacing w:line="400" w:lineRule="exact"/>
              <w:jc w:val="center"/>
              <w:rPr>
                <w:rFonts w:hAnsi="宋体" w:cs="宋体"/>
                <w:color w:val="auto"/>
                <w:sz w:val="21"/>
                <w:szCs w:val="21"/>
              </w:rPr>
            </w:pP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资产总额(Z)</w:t>
            </w:r>
          </w:p>
        </w:tc>
        <w:tc>
          <w:tcPr>
            <w:tcW w:w="666" w:type="pct"/>
            <w:noWrap w:val="0"/>
            <w:vAlign w:val="center"/>
          </w:tcPr>
          <w:p>
            <w:pPr>
              <w:widowControl/>
              <w:spacing w:line="400" w:lineRule="exact"/>
              <w:jc w:val="center"/>
              <w:rPr>
                <w:rFonts w:hAnsi="宋体" w:cs="宋体"/>
                <w:color w:val="auto"/>
                <w:sz w:val="21"/>
                <w:szCs w:val="21"/>
              </w:rPr>
            </w:pPr>
            <w:r>
              <w:rPr>
                <w:rFonts w:hAnsi="宋体" w:cs="宋体"/>
                <w:color w:val="auto"/>
                <w:sz w:val="21"/>
                <w:szCs w:val="21"/>
              </w:rPr>
              <w:t>万元</w:t>
            </w:r>
          </w:p>
        </w:tc>
        <w:tc>
          <w:tcPr>
            <w:tcW w:w="51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Z≥120000</w:t>
            </w:r>
          </w:p>
        </w:tc>
        <w:tc>
          <w:tcPr>
            <w:tcW w:w="88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8000≤Z＜120000</w:t>
            </w: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100≤Z＜8000</w:t>
            </w:r>
          </w:p>
        </w:tc>
        <w:tc>
          <w:tcPr>
            <w:tcW w:w="518"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26" w:type="pct"/>
            <w:noWrap w:val="0"/>
            <w:vAlign w:val="center"/>
          </w:tcPr>
          <w:p>
            <w:pPr>
              <w:widowControl/>
              <w:spacing w:line="400" w:lineRule="exact"/>
              <w:jc w:val="center"/>
              <w:rPr>
                <w:rFonts w:hAnsi="宋体" w:cs="宋体"/>
                <w:color w:val="auto"/>
                <w:sz w:val="21"/>
                <w:szCs w:val="21"/>
              </w:rPr>
            </w:pPr>
            <w:r>
              <w:rPr>
                <w:rFonts w:hAnsi="宋体" w:cs="宋体"/>
                <w:color w:val="auto"/>
                <w:sz w:val="21"/>
                <w:szCs w:val="21"/>
              </w:rPr>
              <w:t>其他未列明行业</w:t>
            </w:r>
            <w:r>
              <w:rPr>
                <w:rFonts w:hAnsi="宋体" w:cs="宋体"/>
                <w:color w:val="auto"/>
                <w:sz w:val="24"/>
                <w:szCs w:val="24"/>
              </w:rPr>
              <w:t>*</w:t>
            </w: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从业人员(X)</w:t>
            </w:r>
          </w:p>
        </w:tc>
        <w:tc>
          <w:tcPr>
            <w:tcW w:w="666" w:type="pct"/>
            <w:noWrap w:val="0"/>
            <w:vAlign w:val="center"/>
          </w:tcPr>
          <w:p>
            <w:pPr>
              <w:widowControl/>
              <w:spacing w:line="400" w:lineRule="exact"/>
              <w:jc w:val="center"/>
              <w:rPr>
                <w:rFonts w:hAnsi="宋体" w:cs="宋体"/>
                <w:color w:val="auto"/>
                <w:sz w:val="21"/>
                <w:szCs w:val="21"/>
              </w:rPr>
            </w:pPr>
            <w:r>
              <w:rPr>
                <w:rFonts w:hAnsi="宋体" w:cs="宋体"/>
                <w:color w:val="auto"/>
                <w:sz w:val="21"/>
                <w:szCs w:val="21"/>
              </w:rPr>
              <w:t>人</w:t>
            </w:r>
          </w:p>
        </w:tc>
        <w:tc>
          <w:tcPr>
            <w:tcW w:w="51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X≥300</w:t>
            </w:r>
          </w:p>
        </w:tc>
        <w:tc>
          <w:tcPr>
            <w:tcW w:w="889"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100≤X＜300</w:t>
            </w:r>
          </w:p>
        </w:tc>
        <w:tc>
          <w:tcPr>
            <w:tcW w:w="741"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10≤X＜100</w:t>
            </w:r>
          </w:p>
        </w:tc>
        <w:tc>
          <w:tcPr>
            <w:tcW w:w="518" w:type="pct"/>
            <w:noWrap w:val="0"/>
            <w:vAlign w:val="center"/>
          </w:tcPr>
          <w:p>
            <w:pPr>
              <w:widowControl/>
              <w:spacing w:line="400" w:lineRule="exact"/>
              <w:jc w:val="left"/>
              <w:rPr>
                <w:rFonts w:hAnsi="宋体" w:cs="宋体"/>
                <w:color w:val="auto"/>
                <w:sz w:val="21"/>
                <w:szCs w:val="21"/>
              </w:rPr>
            </w:pPr>
            <w:r>
              <w:rPr>
                <w:rFonts w:hAnsi="宋体" w:cs="宋体"/>
                <w:color w:val="auto"/>
                <w:sz w:val="21"/>
                <w:szCs w:val="21"/>
              </w:rPr>
              <w:t>X＜10</w:t>
            </w:r>
          </w:p>
        </w:tc>
      </w:tr>
    </w:tbl>
    <w:p>
      <w:pPr>
        <w:widowControl/>
        <w:shd w:val="clear" w:color="auto" w:fill="FFFFFF"/>
        <w:spacing w:line="420" w:lineRule="atLeast"/>
        <w:jc w:val="left"/>
        <w:textAlignment w:val="baseline"/>
        <w:rPr>
          <w:rFonts w:hAnsi="宋体" w:cs="宋体"/>
          <w:color w:val="auto"/>
          <w:sz w:val="24"/>
          <w:szCs w:val="24"/>
        </w:rPr>
      </w:pPr>
    </w:p>
    <w:p>
      <w:pPr>
        <w:widowControl/>
        <w:shd w:val="clear" w:color="auto" w:fill="FFFFFF"/>
        <w:spacing w:line="440" w:lineRule="exact"/>
        <w:ind w:firstLine="420"/>
        <w:jc w:val="left"/>
        <w:textAlignment w:val="baseline"/>
        <w:rPr>
          <w:rFonts w:hAnsi="宋体" w:cs="宋体"/>
          <w:color w:val="auto"/>
          <w:sz w:val="24"/>
          <w:szCs w:val="24"/>
        </w:rPr>
      </w:pPr>
      <w:r>
        <w:rPr>
          <w:rFonts w:hAnsi="宋体" w:cs="宋体"/>
          <w:b/>
          <w:color w:val="auto"/>
          <w:sz w:val="24"/>
          <w:szCs w:val="24"/>
        </w:rPr>
        <w:t>说明：</w:t>
      </w:r>
      <w:r>
        <w:rPr>
          <w:rFonts w:hAnsi="宋体" w:cs="宋体"/>
          <w:color w:val="auto"/>
          <w:sz w:val="24"/>
          <w:szCs w:val="24"/>
        </w:rPr>
        <w:t>1.大型、中型和小型企业须同时满足所列指标的下限，否则下划一档；微型企业只须满足所列指标中的一项即可。</w:t>
      </w:r>
    </w:p>
    <w:p>
      <w:pPr>
        <w:widowControl/>
        <w:shd w:val="clear" w:color="auto" w:fill="FFFFFF"/>
        <w:spacing w:line="440" w:lineRule="exact"/>
        <w:ind w:firstLine="420"/>
        <w:jc w:val="left"/>
        <w:textAlignment w:val="baseline"/>
        <w:rPr>
          <w:rFonts w:hAnsi="宋体" w:cs="宋体"/>
          <w:color w:val="auto"/>
          <w:sz w:val="24"/>
          <w:szCs w:val="24"/>
        </w:rPr>
      </w:pPr>
      <w:r>
        <w:rPr>
          <w:rFonts w:hAnsi="宋体" w:cs="宋体"/>
          <w:color w:val="auto"/>
          <w:sz w:val="24"/>
          <w:szCs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440" w:lineRule="exact"/>
        <w:ind w:firstLine="420"/>
        <w:jc w:val="left"/>
        <w:textAlignment w:val="baseline"/>
        <w:rPr>
          <w:rFonts w:hAnsi="宋体" w:cs="宋体"/>
          <w:color w:val="auto"/>
          <w:sz w:val="24"/>
          <w:szCs w:val="24"/>
        </w:rPr>
      </w:pPr>
      <w:r>
        <w:rPr>
          <w:rFonts w:hAnsi="宋体" w:cs="宋体"/>
          <w:color w:val="auto"/>
          <w:sz w:val="24"/>
          <w:szCs w:val="24"/>
        </w:rPr>
        <w:t>3.企业划分指标以现行统计制度为准。</w:t>
      </w:r>
    </w:p>
    <w:p>
      <w:pPr>
        <w:widowControl/>
        <w:shd w:val="clear" w:color="auto" w:fill="FFFFFF"/>
        <w:spacing w:line="440" w:lineRule="exact"/>
        <w:ind w:firstLine="420"/>
        <w:jc w:val="left"/>
        <w:textAlignment w:val="baseline"/>
        <w:rPr>
          <w:rFonts w:hAnsi="宋体" w:cs="宋体"/>
          <w:color w:val="auto"/>
          <w:sz w:val="24"/>
          <w:szCs w:val="24"/>
        </w:rPr>
      </w:pPr>
      <w:r>
        <w:rPr>
          <w:rFonts w:hAnsi="宋体" w:cs="宋体"/>
          <w:color w:val="auto"/>
          <w:sz w:val="24"/>
          <w:szCs w:val="24"/>
        </w:rPr>
        <w:t>（1）从业人员，是指期末从业人员数，没有期末从业人员数的，采用全年平均人员数代替。</w:t>
      </w:r>
    </w:p>
    <w:p>
      <w:pPr>
        <w:widowControl/>
        <w:shd w:val="clear" w:color="auto" w:fill="FFFFFF"/>
        <w:spacing w:line="440" w:lineRule="exact"/>
        <w:ind w:firstLine="420"/>
        <w:jc w:val="left"/>
        <w:textAlignment w:val="baseline"/>
        <w:rPr>
          <w:rFonts w:hAnsi="宋体" w:cs="宋体"/>
          <w:color w:val="auto"/>
          <w:sz w:val="24"/>
          <w:szCs w:val="24"/>
        </w:rPr>
      </w:pPr>
      <w:r>
        <w:rPr>
          <w:rFonts w:hAnsi="宋体" w:cs="宋体"/>
          <w:color w:val="auto"/>
          <w:sz w:val="24"/>
          <w:szCs w:val="24"/>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pStyle w:val="2"/>
        <w:rPr>
          <w:color w:val="auto"/>
        </w:rPr>
      </w:pPr>
      <w:r>
        <w:rPr>
          <w:rFonts w:hAnsi="宋体" w:cs="宋体"/>
          <w:color w:val="auto"/>
          <w:sz w:val="24"/>
          <w:szCs w:val="24"/>
        </w:rPr>
        <w:t>（3）资产总额，采用资产总计代替。</w:t>
      </w:r>
    </w:p>
    <w:p/>
    <w:sectPr>
      <w:headerReference r:id="rId10" w:type="default"/>
      <w:footerReference r:id="rId11" w:type="default"/>
      <w:pgSz w:w="11849" w:h="16781"/>
      <w:pgMar w:top="1587" w:right="1587" w:bottom="1440"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alibri Light">
    <w:panose1 w:val="020F0302020204030204"/>
    <w:charset w:val="00"/>
    <w:family w:val="auto"/>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Ans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1"/>
      </w:pBdr>
      <w:tabs>
        <w:tab w:val="left" w:pos="289"/>
        <w:tab w:val="right" w:pos="8246"/>
      </w:tabs>
      <w:ind w:right="180"/>
      <w:jc w:val="left"/>
    </w:pPr>
    <w:r>
      <w:rPr>
        <w:rFonts w:hint="eastAsia"/>
      </w:rPr>
      <w:tab/>
    </w:r>
  </w:p>
  <w:p>
    <w:pPr>
      <w:pStyle w:val="19"/>
      <w:pBdr>
        <w:bottom w:val="single" w:color="auto" w:sz="4" w:space="1"/>
      </w:pBdr>
      <w:tabs>
        <w:tab w:val="left" w:pos="289"/>
        <w:tab w:val="right" w:pos="8246"/>
      </w:tabs>
      <w:ind w:right="180" w:firstLine="5220" w:firstLineChars="290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1"/>
      </w:pBdr>
    </w:pPr>
  </w:p>
  <w:p>
    <w:pPr>
      <w:pStyle w:val="19"/>
      <w:pBdr>
        <w:bottom w:val="single" w:color="auto" w:sz="4" w:space="1"/>
      </w:pBdr>
    </w:pPr>
  </w:p>
  <w:p>
    <w:pPr>
      <w:pStyle w:val="19"/>
      <w:pBdr>
        <w:bottom w:val="single" w:color="auto" w:sz="4" w:space="1"/>
      </w:pBd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3366AB"/>
    <w:multiLevelType w:val="singleLevel"/>
    <w:tmpl w:val="CA3366AB"/>
    <w:lvl w:ilvl="0" w:tentative="0">
      <w:start w:val="1"/>
      <w:numFmt w:val="decimal"/>
      <w:suff w:val="space"/>
      <w:lvlText w:val="%1."/>
      <w:lvlJc w:val="left"/>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1"/>
      <w:numFmt w:val="lowerLetter"/>
      <w:pStyle w:val="46"/>
      <w:lvlText w:val="%5)"/>
      <w:lvlJc w:val="left"/>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5CCC533"/>
    <w:multiLevelType w:val="singleLevel"/>
    <w:tmpl w:val="55CCC533"/>
    <w:lvl w:ilvl="0" w:tentative="0">
      <w:start w:val="4"/>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70"/>
  <w:drawingGridVerticalSpacing w:val="23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50D"/>
    <w:rsid w:val="000167E2"/>
    <w:rsid w:val="0005450F"/>
    <w:rsid w:val="00082288"/>
    <w:rsid w:val="00094724"/>
    <w:rsid w:val="000A6575"/>
    <w:rsid w:val="000B2F21"/>
    <w:rsid w:val="000B7B18"/>
    <w:rsid w:val="000F6BA4"/>
    <w:rsid w:val="00106DE0"/>
    <w:rsid w:val="001216C6"/>
    <w:rsid w:val="001339B5"/>
    <w:rsid w:val="00136E48"/>
    <w:rsid w:val="0015150D"/>
    <w:rsid w:val="001664DE"/>
    <w:rsid w:val="001668DD"/>
    <w:rsid w:val="00173CFC"/>
    <w:rsid w:val="00192EA7"/>
    <w:rsid w:val="00196D53"/>
    <w:rsid w:val="001A1054"/>
    <w:rsid w:val="001A6960"/>
    <w:rsid w:val="001D64BE"/>
    <w:rsid w:val="001F3647"/>
    <w:rsid w:val="001F3878"/>
    <w:rsid w:val="001F42DC"/>
    <w:rsid w:val="00203CBB"/>
    <w:rsid w:val="00226958"/>
    <w:rsid w:val="002300CE"/>
    <w:rsid w:val="00234EDF"/>
    <w:rsid w:val="00275846"/>
    <w:rsid w:val="00276A40"/>
    <w:rsid w:val="0029259A"/>
    <w:rsid w:val="0029588D"/>
    <w:rsid w:val="002A135D"/>
    <w:rsid w:val="002C4F14"/>
    <w:rsid w:val="002D0E72"/>
    <w:rsid w:val="002D5818"/>
    <w:rsid w:val="002E7827"/>
    <w:rsid w:val="002F3F42"/>
    <w:rsid w:val="003030F6"/>
    <w:rsid w:val="003060E7"/>
    <w:rsid w:val="00313B98"/>
    <w:rsid w:val="0033548E"/>
    <w:rsid w:val="003478B3"/>
    <w:rsid w:val="00371C9F"/>
    <w:rsid w:val="00373E51"/>
    <w:rsid w:val="00396D7B"/>
    <w:rsid w:val="003A3ADD"/>
    <w:rsid w:val="003E22E9"/>
    <w:rsid w:val="003F09BF"/>
    <w:rsid w:val="003F2237"/>
    <w:rsid w:val="004305EC"/>
    <w:rsid w:val="00457365"/>
    <w:rsid w:val="004B28F1"/>
    <w:rsid w:val="004B47F9"/>
    <w:rsid w:val="004B6B45"/>
    <w:rsid w:val="004C71B8"/>
    <w:rsid w:val="004E015B"/>
    <w:rsid w:val="004E683F"/>
    <w:rsid w:val="004F7200"/>
    <w:rsid w:val="0051332B"/>
    <w:rsid w:val="00556AAD"/>
    <w:rsid w:val="00557FAF"/>
    <w:rsid w:val="005C598B"/>
    <w:rsid w:val="005C787F"/>
    <w:rsid w:val="005D7BD4"/>
    <w:rsid w:val="005E4372"/>
    <w:rsid w:val="005F31B9"/>
    <w:rsid w:val="00603211"/>
    <w:rsid w:val="006037C2"/>
    <w:rsid w:val="006065E5"/>
    <w:rsid w:val="006165BE"/>
    <w:rsid w:val="00670FFE"/>
    <w:rsid w:val="00676688"/>
    <w:rsid w:val="00676751"/>
    <w:rsid w:val="006927EA"/>
    <w:rsid w:val="006B00BD"/>
    <w:rsid w:val="006D5EE8"/>
    <w:rsid w:val="006F4A36"/>
    <w:rsid w:val="00704872"/>
    <w:rsid w:val="00705DFB"/>
    <w:rsid w:val="00707F3F"/>
    <w:rsid w:val="00715C68"/>
    <w:rsid w:val="00716FDA"/>
    <w:rsid w:val="007302CB"/>
    <w:rsid w:val="00752C85"/>
    <w:rsid w:val="00755D5F"/>
    <w:rsid w:val="0078156A"/>
    <w:rsid w:val="00793384"/>
    <w:rsid w:val="007935BC"/>
    <w:rsid w:val="007A0237"/>
    <w:rsid w:val="007A03A5"/>
    <w:rsid w:val="007A3C75"/>
    <w:rsid w:val="007A718B"/>
    <w:rsid w:val="007C4765"/>
    <w:rsid w:val="007C51D7"/>
    <w:rsid w:val="007D044C"/>
    <w:rsid w:val="007D5225"/>
    <w:rsid w:val="007F4D44"/>
    <w:rsid w:val="00804D10"/>
    <w:rsid w:val="00823497"/>
    <w:rsid w:val="00844D71"/>
    <w:rsid w:val="00857E22"/>
    <w:rsid w:val="00864060"/>
    <w:rsid w:val="00875FA1"/>
    <w:rsid w:val="00892DCB"/>
    <w:rsid w:val="008B2FF9"/>
    <w:rsid w:val="00913610"/>
    <w:rsid w:val="00932EF0"/>
    <w:rsid w:val="00935989"/>
    <w:rsid w:val="00954881"/>
    <w:rsid w:val="009A635F"/>
    <w:rsid w:val="009B3079"/>
    <w:rsid w:val="009B5659"/>
    <w:rsid w:val="00A0116B"/>
    <w:rsid w:val="00A038B4"/>
    <w:rsid w:val="00A0514A"/>
    <w:rsid w:val="00A45BBF"/>
    <w:rsid w:val="00A46A0B"/>
    <w:rsid w:val="00A53F90"/>
    <w:rsid w:val="00A57153"/>
    <w:rsid w:val="00A65ADA"/>
    <w:rsid w:val="00A679B5"/>
    <w:rsid w:val="00A704FB"/>
    <w:rsid w:val="00A80B19"/>
    <w:rsid w:val="00A81B62"/>
    <w:rsid w:val="00A85F70"/>
    <w:rsid w:val="00A974CC"/>
    <w:rsid w:val="00AA427A"/>
    <w:rsid w:val="00AB3BF8"/>
    <w:rsid w:val="00AB51F8"/>
    <w:rsid w:val="00AB59CF"/>
    <w:rsid w:val="00AB75C5"/>
    <w:rsid w:val="00AF5879"/>
    <w:rsid w:val="00B358D2"/>
    <w:rsid w:val="00B3798F"/>
    <w:rsid w:val="00B40AE3"/>
    <w:rsid w:val="00B42A99"/>
    <w:rsid w:val="00B4468B"/>
    <w:rsid w:val="00B95A72"/>
    <w:rsid w:val="00BA67EA"/>
    <w:rsid w:val="00BB21C6"/>
    <w:rsid w:val="00BD1E3B"/>
    <w:rsid w:val="00BD5FD8"/>
    <w:rsid w:val="00BD7AF6"/>
    <w:rsid w:val="00BE7AB9"/>
    <w:rsid w:val="00BF71F7"/>
    <w:rsid w:val="00C01390"/>
    <w:rsid w:val="00C3255B"/>
    <w:rsid w:val="00C55B06"/>
    <w:rsid w:val="00C708FF"/>
    <w:rsid w:val="00C92831"/>
    <w:rsid w:val="00C93607"/>
    <w:rsid w:val="00CC175D"/>
    <w:rsid w:val="00D0625D"/>
    <w:rsid w:val="00D32A94"/>
    <w:rsid w:val="00D4754F"/>
    <w:rsid w:val="00D52AAF"/>
    <w:rsid w:val="00D538E1"/>
    <w:rsid w:val="00D62F1B"/>
    <w:rsid w:val="00D66F57"/>
    <w:rsid w:val="00D74F77"/>
    <w:rsid w:val="00D778CB"/>
    <w:rsid w:val="00D957E3"/>
    <w:rsid w:val="00DA4F7A"/>
    <w:rsid w:val="00DB0C29"/>
    <w:rsid w:val="00DB23EF"/>
    <w:rsid w:val="00DD6A47"/>
    <w:rsid w:val="00DF2EF4"/>
    <w:rsid w:val="00E0094F"/>
    <w:rsid w:val="00E115FA"/>
    <w:rsid w:val="00E116EE"/>
    <w:rsid w:val="00E209EF"/>
    <w:rsid w:val="00E209F4"/>
    <w:rsid w:val="00E2504F"/>
    <w:rsid w:val="00E3064C"/>
    <w:rsid w:val="00E407FE"/>
    <w:rsid w:val="00EB4147"/>
    <w:rsid w:val="00EE0F5A"/>
    <w:rsid w:val="00EF0106"/>
    <w:rsid w:val="00F05268"/>
    <w:rsid w:val="00F061DC"/>
    <w:rsid w:val="00F17399"/>
    <w:rsid w:val="00F22A79"/>
    <w:rsid w:val="00F47C37"/>
    <w:rsid w:val="00F47D22"/>
    <w:rsid w:val="00F6713E"/>
    <w:rsid w:val="00F67BB0"/>
    <w:rsid w:val="00F81957"/>
    <w:rsid w:val="00F9533D"/>
    <w:rsid w:val="00FB02EE"/>
    <w:rsid w:val="00FB618A"/>
    <w:rsid w:val="00FD16BB"/>
    <w:rsid w:val="00FE3CA9"/>
    <w:rsid w:val="032405EE"/>
    <w:rsid w:val="033F5627"/>
    <w:rsid w:val="03936CB9"/>
    <w:rsid w:val="0BA9761C"/>
    <w:rsid w:val="0BDC382F"/>
    <w:rsid w:val="0BE05E81"/>
    <w:rsid w:val="0D533F18"/>
    <w:rsid w:val="0D7F1402"/>
    <w:rsid w:val="0E3C1CFB"/>
    <w:rsid w:val="0ECE5E09"/>
    <w:rsid w:val="0F825E34"/>
    <w:rsid w:val="10596FD8"/>
    <w:rsid w:val="10A672E7"/>
    <w:rsid w:val="10DF0238"/>
    <w:rsid w:val="11134E71"/>
    <w:rsid w:val="11264A32"/>
    <w:rsid w:val="119031BB"/>
    <w:rsid w:val="133917C1"/>
    <w:rsid w:val="143670D1"/>
    <w:rsid w:val="15485E88"/>
    <w:rsid w:val="17F353CE"/>
    <w:rsid w:val="18344375"/>
    <w:rsid w:val="18535025"/>
    <w:rsid w:val="186C6688"/>
    <w:rsid w:val="18E65685"/>
    <w:rsid w:val="19881895"/>
    <w:rsid w:val="19C62F75"/>
    <w:rsid w:val="1C142509"/>
    <w:rsid w:val="1C4E1F7A"/>
    <w:rsid w:val="1D903E12"/>
    <w:rsid w:val="1DBB7BBC"/>
    <w:rsid w:val="1DE8440C"/>
    <w:rsid w:val="1E260022"/>
    <w:rsid w:val="20C45267"/>
    <w:rsid w:val="24816913"/>
    <w:rsid w:val="24C57173"/>
    <w:rsid w:val="258D5271"/>
    <w:rsid w:val="25DF40CF"/>
    <w:rsid w:val="25EC4D99"/>
    <w:rsid w:val="27537266"/>
    <w:rsid w:val="28163325"/>
    <w:rsid w:val="29752580"/>
    <w:rsid w:val="29E237DB"/>
    <w:rsid w:val="2A372F8B"/>
    <w:rsid w:val="2BA43820"/>
    <w:rsid w:val="2C5726C1"/>
    <w:rsid w:val="2D446023"/>
    <w:rsid w:val="2FB5688C"/>
    <w:rsid w:val="2FF027E6"/>
    <w:rsid w:val="30236717"/>
    <w:rsid w:val="31272222"/>
    <w:rsid w:val="31E01B5C"/>
    <w:rsid w:val="320F6459"/>
    <w:rsid w:val="321C29CB"/>
    <w:rsid w:val="3275602C"/>
    <w:rsid w:val="336977C8"/>
    <w:rsid w:val="33E83915"/>
    <w:rsid w:val="346C7CD4"/>
    <w:rsid w:val="35264A4C"/>
    <w:rsid w:val="35EA18B0"/>
    <w:rsid w:val="366C7E55"/>
    <w:rsid w:val="36EB62B2"/>
    <w:rsid w:val="399740DF"/>
    <w:rsid w:val="3A721974"/>
    <w:rsid w:val="3AC7098B"/>
    <w:rsid w:val="3B0C26E0"/>
    <w:rsid w:val="3B9D6516"/>
    <w:rsid w:val="3EC5388E"/>
    <w:rsid w:val="3EDC03EA"/>
    <w:rsid w:val="3FF5663E"/>
    <w:rsid w:val="40F00144"/>
    <w:rsid w:val="41C775C6"/>
    <w:rsid w:val="41F24F0F"/>
    <w:rsid w:val="43841006"/>
    <w:rsid w:val="447E2AA4"/>
    <w:rsid w:val="464403B9"/>
    <w:rsid w:val="472204FB"/>
    <w:rsid w:val="48A42A24"/>
    <w:rsid w:val="48D13260"/>
    <w:rsid w:val="49AC1CC1"/>
    <w:rsid w:val="4ADB68CD"/>
    <w:rsid w:val="4C8875F2"/>
    <w:rsid w:val="4E2D24B8"/>
    <w:rsid w:val="4E8F7500"/>
    <w:rsid w:val="4FD712A8"/>
    <w:rsid w:val="508E611B"/>
    <w:rsid w:val="51B01E5A"/>
    <w:rsid w:val="52F74B95"/>
    <w:rsid w:val="553E18EF"/>
    <w:rsid w:val="55C051EF"/>
    <w:rsid w:val="561210B2"/>
    <w:rsid w:val="58853BB5"/>
    <w:rsid w:val="58DB061F"/>
    <w:rsid w:val="59874879"/>
    <w:rsid w:val="59A57245"/>
    <w:rsid w:val="5A3265C7"/>
    <w:rsid w:val="5B3E042E"/>
    <w:rsid w:val="5B620509"/>
    <w:rsid w:val="5B77473F"/>
    <w:rsid w:val="5C3D369B"/>
    <w:rsid w:val="5C670557"/>
    <w:rsid w:val="5CB91727"/>
    <w:rsid w:val="5D797955"/>
    <w:rsid w:val="5D8479D5"/>
    <w:rsid w:val="5E7874C4"/>
    <w:rsid w:val="5EC751A8"/>
    <w:rsid w:val="5F5643DE"/>
    <w:rsid w:val="6063642B"/>
    <w:rsid w:val="65052D2D"/>
    <w:rsid w:val="66C50BE5"/>
    <w:rsid w:val="66E542DE"/>
    <w:rsid w:val="671F4A01"/>
    <w:rsid w:val="67653328"/>
    <w:rsid w:val="68A90FBA"/>
    <w:rsid w:val="69746ECA"/>
    <w:rsid w:val="6B5A0A5A"/>
    <w:rsid w:val="6BC05C8E"/>
    <w:rsid w:val="6C48231B"/>
    <w:rsid w:val="6C7F4171"/>
    <w:rsid w:val="6D1B0190"/>
    <w:rsid w:val="6D5E428B"/>
    <w:rsid w:val="6D8343C6"/>
    <w:rsid w:val="6D8B3249"/>
    <w:rsid w:val="6E6A4AE2"/>
    <w:rsid w:val="6EF320EF"/>
    <w:rsid w:val="6F6A65C7"/>
    <w:rsid w:val="6F81648A"/>
    <w:rsid w:val="6F9A6D21"/>
    <w:rsid w:val="70953B59"/>
    <w:rsid w:val="70F127CE"/>
    <w:rsid w:val="723627DD"/>
    <w:rsid w:val="72BD4EAB"/>
    <w:rsid w:val="730475B9"/>
    <w:rsid w:val="744A45F1"/>
    <w:rsid w:val="74A555D9"/>
    <w:rsid w:val="74B1270D"/>
    <w:rsid w:val="752D2108"/>
    <w:rsid w:val="758D3239"/>
    <w:rsid w:val="76474EF2"/>
    <w:rsid w:val="766D176F"/>
    <w:rsid w:val="774320FF"/>
    <w:rsid w:val="797B6134"/>
    <w:rsid w:val="7BB120FE"/>
    <w:rsid w:val="7D0F4E96"/>
    <w:rsid w:val="7DBA1B2D"/>
    <w:rsid w:val="7E123328"/>
    <w:rsid w:val="7E297B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qFormat="1" w:unhideWhenUsed="0" w:uiPriority="99" w:semiHidden="0"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link w:val="4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0"/>
    <w:qFormat/>
    <w:uiPriority w:val="0"/>
    <w:pPr>
      <w:keepNext/>
      <w:keepLines/>
      <w:spacing w:before="260" w:after="260" w:line="416" w:lineRule="auto"/>
      <w:outlineLvl w:val="2"/>
    </w:pPr>
    <w:rPr>
      <w:b/>
      <w:bCs/>
      <w:sz w:val="32"/>
      <w:szCs w:val="32"/>
    </w:rPr>
  </w:style>
  <w:style w:type="paragraph" w:styleId="6">
    <w:name w:val="heading 4"/>
    <w:basedOn w:val="1"/>
    <w:next w:val="1"/>
    <w:link w:val="51"/>
    <w:qFormat/>
    <w:uiPriority w:val="0"/>
    <w:pPr>
      <w:keepNext/>
      <w:keepLines/>
      <w:spacing w:before="280" w:after="290" w:line="376" w:lineRule="auto"/>
      <w:outlineLvl w:val="3"/>
    </w:pPr>
    <w:rPr>
      <w:rFonts w:ascii="Arial" w:hAnsi="Arial" w:eastAsia="黑体"/>
      <w:b/>
      <w:bCs/>
      <w:sz w:val="28"/>
      <w:szCs w:val="28"/>
    </w:rPr>
  </w:style>
  <w:style w:type="character" w:default="1" w:styleId="34">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53"/>
    <w:qFormat/>
    <w:uiPriority w:val="99"/>
    <w:pPr>
      <w:widowControl/>
      <w:spacing w:after="120"/>
      <w:jc w:val="left"/>
    </w:pPr>
    <w:rPr>
      <w:rFonts w:ascii="Times New Roman"/>
      <w:sz w:val="24"/>
      <w:szCs w:val="24"/>
    </w:rPr>
  </w:style>
  <w:style w:type="paragraph" w:styleId="7">
    <w:name w:val="toc 7"/>
    <w:basedOn w:val="1"/>
    <w:next w:val="1"/>
    <w:qFormat/>
    <w:uiPriority w:val="0"/>
    <w:pPr>
      <w:ind w:left="2520" w:leftChars="1200"/>
    </w:pPr>
  </w:style>
  <w:style w:type="paragraph" w:styleId="8">
    <w:name w:val="Normal Indent"/>
    <w:basedOn w:val="1"/>
    <w:link w:val="54"/>
    <w:qFormat/>
    <w:uiPriority w:val="0"/>
    <w:pPr>
      <w:ind w:firstLine="420" w:firstLineChars="200"/>
    </w:pPr>
    <w:rPr>
      <w:rFonts w:ascii="Times New Roman"/>
      <w:kern w:val="2"/>
      <w:sz w:val="21"/>
      <w:szCs w:val="24"/>
    </w:rPr>
  </w:style>
  <w:style w:type="paragraph" w:styleId="9">
    <w:name w:val="annotation text"/>
    <w:basedOn w:val="1"/>
    <w:link w:val="55"/>
    <w:qFormat/>
    <w:uiPriority w:val="0"/>
    <w:pPr>
      <w:jc w:val="left"/>
    </w:pPr>
    <w:rPr>
      <w:rFonts w:ascii="Times New Roman"/>
      <w:kern w:val="2"/>
      <w:sz w:val="18"/>
    </w:rPr>
  </w:style>
  <w:style w:type="paragraph" w:styleId="10">
    <w:name w:val="Body Text Indent"/>
    <w:basedOn w:val="1"/>
    <w:link w:val="56"/>
    <w:qFormat/>
    <w:uiPriority w:val="99"/>
    <w:pPr>
      <w:ind w:firstLine="630"/>
    </w:pPr>
    <w:rPr>
      <w:rFonts w:ascii="Times New Roman"/>
      <w:kern w:val="2"/>
      <w:sz w:val="32"/>
    </w:rPr>
  </w:style>
  <w:style w:type="paragraph" w:styleId="11">
    <w:name w:val="toc 5"/>
    <w:basedOn w:val="1"/>
    <w:next w:val="1"/>
    <w:qFormat/>
    <w:uiPriority w:val="0"/>
    <w:pPr>
      <w:ind w:left="1680" w:leftChars="800"/>
    </w:pPr>
  </w:style>
  <w:style w:type="paragraph" w:styleId="12">
    <w:name w:val="toc 3"/>
    <w:basedOn w:val="1"/>
    <w:next w:val="1"/>
    <w:qFormat/>
    <w:uiPriority w:val="0"/>
    <w:pPr>
      <w:ind w:left="840" w:leftChars="400"/>
    </w:pPr>
  </w:style>
  <w:style w:type="paragraph" w:styleId="13">
    <w:name w:val="Plain Text"/>
    <w:basedOn w:val="1"/>
    <w:link w:val="57"/>
    <w:qFormat/>
    <w:uiPriority w:val="0"/>
    <w:pPr>
      <w:autoSpaceDE w:val="0"/>
      <w:autoSpaceDN w:val="0"/>
      <w:adjustRightInd w:val="0"/>
    </w:pPr>
    <w:rPr>
      <w:rFonts w:hAnsi="Tms Rmn"/>
      <w:sz w:val="21"/>
    </w:rPr>
  </w:style>
  <w:style w:type="paragraph" w:styleId="14">
    <w:name w:val="toc 8"/>
    <w:basedOn w:val="1"/>
    <w:next w:val="1"/>
    <w:qFormat/>
    <w:uiPriority w:val="0"/>
    <w:pPr>
      <w:ind w:left="2940" w:leftChars="1400"/>
    </w:pPr>
  </w:style>
  <w:style w:type="paragraph" w:styleId="15">
    <w:name w:val="Date"/>
    <w:basedOn w:val="1"/>
    <w:next w:val="1"/>
    <w:link w:val="58"/>
    <w:qFormat/>
    <w:uiPriority w:val="0"/>
    <w:pPr>
      <w:ind w:left="100" w:leftChars="2500"/>
    </w:pPr>
  </w:style>
  <w:style w:type="paragraph" w:styleId="16">
    <w:name w:val="Body Text Indent 2"/>
    <w:basedOn w:val="1"/>
    <w:link w:val="59"/>
    <w:qFormat/>
    <w:uiPriority w:val="0"/>
    <w:pPr>
      <w:spacing w:after="120" w:line="480" w:lineRule="auto"/>
      <w:ind w:left="420" w:leftChars="200"/>
    </w:pPr>
  </w:style>
  <w:style w:type="paragraph" w:styleId="17">
    <w:name w:val="Balloon Text"/>
    <w:basedOn w:val="1"/>
    <w:link w:val="60"/>
    <w:semiHidden/>
    <w:qFormat/>
    <w:uiPriority w:val="99"/>
    <w:rPr>
      <w:sz w:val="18"/>
      <w:szCs w:val="18"/>
    </w:rPr>
  </w:style>
  <w:style w:type="paragraph" w:styleId="18">
    <w:name w:val="footer"/>
    <w:basedOn w:val="1"/>
    <w:link w:val="61"/>
    <w:qFormat/>
    <w:uiPriority w:val="99"/>
    <w:pPr>
      <w:tabs>
        <w:tab w:val="center" w:pos="4153"/>
        <w:tab w:val="right" w:pos="8306"/>
      </w:tabs>
      <w:snapToGrid w:val="0"/>
      <w:jc w:val="left"/>
    </w:pPr>
    <w:rPr>
      <w:rFonts w:ascii="Times New Roman"/>
      <w:kern w:val="2"/>
      <w:sz w:val="18"/>
    </w:rPr>
  </w:style>
  <w:style w:type="paragraph" w:styleId="19">
    <w:name w:val="header"/>
    <w:basedOn w:val="1"/>
    <w:link w:val="62"/>
    <w:qFormat/>
    <w:uiPriority w:val="99"/>
    <w:pPr>
      <w:pBdr>
        <w:bottom w:val="single" w:color="auto" w:sz="6" w:space="1"/>
      </w:pBdr>
      <w:tabs>
        <w:tab w:val="center" w:pos="4153"/>
        <w:tab w:val="right" w:pos="8306"/>
      </w:tabs>
      <w:snapToGrid w:val="0"/>
      <w:jc w:val="center"/>
    </w:pPr>
    <w:rPr>
      <w:rFonts w:ascii="Times New Roman"/>
      <w:kern w:val="2"/>
      <w:sz w:val="18"/>
    </w:rPr>
  </w:style>
  <w:style w:type="paragraph" w:styleId="20">
    <w:name w:val="toc 1"/>
    <w:basedOn w:val="1"/>
    <w:next w:val="1"/>
    <w:qFormat/>
    <w:uiPriority w:val="39"/>
  </w:style>
  <w:style w:type="paragraph" w:styleId="21">
    <w:name w:val="toc 4"/>
    <w:basedOn w:val="1"/>
    <w:next w:val="1"/>
    <w:qFormat/>
    <w:uiPriority w:val="0"/>
    <w:pPr>
      <w:ind w:left="1260" w:leftChars="600"/>
    </w:pPr>
  </w:style>
  <w:style w:type="paragraph" w:styleId="22">
    <w:name w:val="Subtitle"/>
    <w:basedOn w:val="1"/>
    <w:link w:val="63"/>
    <w:qFormat/>
    <w:uiPriority w:val="0"/>
    <w:pPr>
      <w:spacing w:before="240" w:after="60" w:line="312" w:lineRule="auto"/>
      <w:jc w:val="center"/>
      <w:outlineLvl w:val="1"/>
    </w:pPr>
    <w:rPr>
      <w:rFonts w:ascii="Arial" w:hAnsi="Arial" w:cs="Arial"/>
      <w:b/>
      <w:bCs/>
      <w:kern w:val="28"/>
      <w:sz w:val="32"/>
      <w:szCs w:val="32"/>
    </w:rPr>
  </w:style>
  <w:style w:type="paragraph" w:styleId="23">
    <w:name w:val="toc 6"/>
    <w:basedOn w:val="1"/>
    <w:next w:val="1"/>
    <w:qFormat/>
    <w:uiPriority w:val="0"/>
    <w:pPr>
      <w:ind w:left="2100" w:leftChars="1000"/>
    </w:pPr>
  </w:style>
  <w:style w:type="paragraph" w:styleId="24">
    <w:name w:val="Body Text Indent 3"/>
    <w:basedOn w:val="1"/>
    <w:link w:val="64"/>
    <w:qFormat/>
    <w:uiPriority w:val="0"/>
    <w:pPr>
      <w:spacing w:after="120"/>
      <w:ind w:left="420" w:leftChars="200"/>
    </w:pPr>
    <w:rPr>
      <w:sz w:val="16"/>
      <w:szCs w:val="16"/>
    </w:rPr>
  </w:style>
  <w:style w:type="paragraph" w:styleId="25">
    <w:name w:val="toc 2"/>
    <w:basedOn w:val="1"/>
    <w:next w:val="1"/>
    <w:qFormat/>
    <w:uiPriority w:val="0"/>
    <w:pPr>
      <w:ind w:left="420" w:leftChars="200"/>
    </w:pPr>
  </w:style>
  <w:style w:type="paragraph" w:styleId="26">
    <w:name w:val="toc 9"/>
    <w:basedOn w:val="1"/>
    <w:next w:val="1"/>
    <w:qFormat/>
    <w:uiPriority w:val="0"/>
    <w:pPr>
      <w:ind w:left="3360" w:leftChars="1600"/>
    </w:pPr>
  </w:style>
  <w:style w:type="paragraph" w:styleId="27">
    <w:name w:val="Normal (Web)"/>
    <w:basedOn w:val="1"/>
    <w:qFormat/>
    <w:uiPriority w:val="99"/>
    <w:pPr>
      <w:widowControl/>
      <w:spacing w:before="100" w:beforeAutospacing="1" w:after="100" w:afterAutospacing="1"/>
      <w:jc w:val="left"/>
    </w:pPr>
    <w:rPr>
      <w:rFonts w:hAnsi="宋体"/>
      <w:sz w:val="18"/>
      <w:szCs w:val="18"/>
    </w:rPr>
  </w:style>
  <w:style w:type="paragraph" w:styleId="28">
    <w:name w:val="Title"/>
    <w:basedOn w:val="1"/>
    <w:next w:val="1"/>
    <w:link w:val="137"/>
    <w:qFormat/>
    <w:uiPriority w:val="10"/>
    <w:pPr>
      <w:spacing w:before="240" w:after="60"/>
      <w:jc w:val="center"/>
      <w:outlineLvl w:val="0"/>
    </w:pPr>
    <w:rPr>
      <w:rFonts w:asciiTheme="majorHAnsi" w:hAnsiTheme="majorHAnsi" w:eastAsiaTheme="majorEastAsia" w:cstheme="majorBidi"/>
      <w:b/>
      <w:bCs/>
      <w:kern w:val="2"/>
      <w:sz w:val="32"/>
      <w:szCs w:val="32"/>
    </w:rPr>
  </w:style>
  <w:style w:type="paragraph" w:styleId="29">
    <w:name w:val="annotation subject"/>
    <w:basedOn w:val="9"/>
    <w:next w:val="9"/>
    <w:link w:val="65"/>
    <w:qFormat/>
    <w:uiPriority w:val="99"/>
    <w:rPr>
      <w:b/>
      <w:bCs/>
      <w:sz w:val="21"/>
      <w:szCs w:val="24"/>
    </w:rPr>
  </w:style>
  <w:style w:type="paragraph" w:styleId="30">
    <w:name w:val="Body Text First Indent"/>
    <w:basedOn w:val="2"/>
    <w:link w:val="66"/>
    <w:qFormat/>
    <w:uiPriority w:val="99"/>
    <w:pPr>
      <w:widowControl w:val="0"/>
      <w:ind w:firstLine="420" w:firstLineChars="100"/>
      <w:jc w:val="both"/>
    </w:pPr>
    <w:rPr>
      <w:rFonts w:ascii="宋体"/>
      <w:sz w:val="34"/>
      <w:szCs w:val="20"/>
    </w:rPr>
  </w:style>
  <w:style w:type="paragraph" w:styleId="31">
    <w:name w:val="Body Text First Indent 2"/>
    <w:basedOn w:val="10"/>
    <w:link w:val="138"/>
    <w:unhideWhenUsed/>
    <w:qFormat/>
    <w:uiPriority w:val="99"/>
    <w:pPr>
      <w:spacing w:after="120"/>
      <w:ind w:left="420" w:leftChars="200" w:firstLine="420" w:firstLineChars="200"/>
    </w:pPr>
    <w:rPr>
      <w:rFonts w:asciiTheme="minorHAnsi" w:hAnsiTheme="minorHAnsi" w:eastAsiaTheme="minorEastAsia" w:cstheme="minorBidi"/>
      <w:sz w:val="21"/>
      <w:szCs w:val="22"/>
    </w:rPr>
  </w:style>
  <w:style w:type="table" w:styleId="33">
    <w:name w:val="Table Grid"/>
    <w:basedOn w:val="3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bCs/>
    </w:rPr>
  </w:style>
  <w:style w:type="character" w:styleId="36">
    <w:name w:val="page number"/>
    <w:qFormat/>
    <w:uiPriority w:val="0"/>
  </w:style>
  <w:style w:type="character" w:styleId="37">
    <w:name w:val="FollowedHyperlink"/>
    <w:qFormat/>
    <w:uiPriority w:val="99"/>
    <w:rPr>
      <w:color w:val="3D3D3D"/>
      <w:u w:val="none"/>
    </w:rPr>
  </w:style>
  <w:style w:type="character" w:styleId="38">
    <w:name w:val="HTML Definition"/>
    <w:qFormat/>
    <w:uiPriority w:val="99"/>
  </w:style>
  <w:style w:type="character" w:styleId="39">
    <w:name w:val="HTML Variable"/>
    <w:qFormat/>
    <w:uiPriority w:val="99"/>
  </w:style>
  <w:style w:type="character" w:styleId="40">
    <w:name w:val="Hyperlink"/>
    <w:qFormat/>
    <w:uiPriority w:val="99"/>
    <w:rPr>
      <w:color w:val="3D3D3D"/>
      <w:u w:val="none"/>
    </w:rPr>
  </w:style>
  <w:style w:type="character" w:styleId="41">
    <w:name w:val="HTML Code"/>
    <w:qFormat/>
    <w:uiPriority w:val="99"/>
    <w:rPr>
      <w:rFonts w:hint="default" w:ascii="monospace" w:hAnsi="monospace" w:eastAsia="monospace" w:cs="monospace"/>
      <w:sz w:val="21"/>
      <w:szCs w:val="21"/>
    </w:rPr>
  </w:style>
  <w:style w:type="character" w:styleId="42">
    <w:name w:val="annotation reference"/>
    <w:qFormat/>
    <w:uiPriority w:val="0"/>
    <w:rPr>
      <w:sz w:val="21"/>
      <w:szCs w:val="21"/>
    </w:rPr>
  </w:style>
  <w:style w:type="character" w:styleId="43">
    <w:name w:val="HTML Cite"/>
    <w:qFormat/>
    <w:uiPriority w:val="99"/>
  </w:style>
  <w:style w:type="character" w:styleId="44">
    <w:name w:val="HTML Keyboard"/>
    <w:qFormat/>
    <w:uiPriority w:val="0"/>
    <w:rPr>
      <w:rFonts w:hint="default" w:ascii="monospace" w:hAnsi="monospace" w:eastAsia="monospace" w:cs="monospace"/>
      <w:sz w:val="21"/>
      <w:szCs w:val="21"/>
    </w:rPr>
  </w:style>
  <w:style w:type="character" w:styleId="45">
    <w:name w:val="HTML Sample"/>
    <w:qFormat/>
    <w:uiPriority w:val="0"/>
    <w:rPr>
      <w:rFonts w:ascii="monospace" w:hAnsi="monospace" w:eastAsia="monospace" w:cs="monospace"/>
      <w:sz w:val="21"/>
      <w:szCs w:val="21"/>
    </w:rPr>
  </w:style>
  <w:style w:type="paragraph" w:customStyle="1" w:styleId="46">
    <w:name w:val="标题 5（有编号）（绿盟科技）"/>
    <w:next w:val="47"/>
    <w:qFormat/>
    <w:uiPriority w:val="0"/>
    <w:pPr>
      <w:keepNext/>
      <w:keepLines/>
      <w:widowControl w:val="0"/>
      <w:numPr>
        <w:ilvl w:val="4"/>
        <w:numId w:val="1"/>
      </w:numPr>
      <w:spacing w:before="280" w:after="156" w:line="377" w:lineRule="auto"/>
      <w:outlineLvl w:val="4"/>
    </w:pPr>
    <w:rPr>
      <w:rFonts w:ascii="Arial" w:hAnsi="Arial" w:eastAsia="黑体" w:cs="Times New Roman"/>
      <w:b/>
      <w:sz w:val="24"/>
      <w:szCs w:val="28"/>
      <w:lang w:val="en-US" w:eastAsia="zh-CN" w:bidi="ar-SA"/>
    </w:rPr>
  </w:style>
  <w:style w:type="paragraph" w:customStyle="1" w:styleId="47">
    <w:name w:val="正文（绿盟科技）"/>
    <w:qFormat/>
    <w:uiPriority w:val="0"/>
    <w:pPr>
      <w:spacing w:line="300" w:lineRule="auto"/>
    </w:pPr>
    <w:rPr>
      <w:rFonts w:ascii="Arial" w:hAnsi="Arial" w:eastAsia="Calibri" w:cs="Times New Roman"/>
      <w:sz w:val="21"/>
      <w:szCs w:val="21"/>
      <w:lang w:val="en-US" w:eastAsia="zh-CN" w:bidi="ar-SA"/>
    </w:rPr>
  </w:style>
  <w:style w:type="character" w:customStyle="1" w:styleId="48">
    <w:name w:val="标题 1 Char"/>
    <w:basedOn w:val="34"/>
    <w:link w:val="3"/>
    <w:qFormat/>
    <w:uiPriority w:val="0"/>
    <w:rPr>
      <w:rFonts w:ascii="宋体" w:hAnsi="Times New Roman" w:eastAsia="宋体" w:cs="Times New Roman"/>
      <w:b/>
      <w:bCs/>
      <w:kern w:val="44"/>
      <w:sz w:val="44"/>
      <w:szCs w:val="44"/>
    </w:rPr>
  </w:style>
  <w:style w:type="character" w:customStyle="1" w:styleId="49">
    <w:name w:val="标题 2 Char"/>
    <w:basedOn w:val="34"/>
    <w:link w:val="4"/>
    <w:qFormat/>
    <w:uiPriority w:val="0"/>
    <w:rPr>
      <w:rFonts w:ascii="Arial" w:hAnsi="Arial" w:eastAsia="黑体" w:cs="Times New Roman"/>
      <w:b/>
      <w:bCs/>
      <w:kern w:val="0"/>
      <w:sz w:val="32"/>
      <w:szCs w:val="32"/>
    </w:rPr>
  </w:style>
  <w:style w:type="character" w:customStyle="1" w:styleId="50">
    <w:name w:val="标题 3 Char"/>
    <w:basedOn w:val="34"/>
    <w:link w:val="5"/>
    <w:qFormat/>
    <w:uiPriority w:val="0"/>
    <w:rPr>
      <w:rFonts w:ascii="宋体" w:hAnsi="Times New Roman" w:eastAsia="宋体" w:cs="Times New Roman"/>
      <w:b/>
      <w:bCs/>
      <w:kern w:val="0"/>
      <w:sz w:val="32"/>
      <w:szCs w:val="32"/>
    </w:rPr>
  </w:style>
  <w:style w:type="character" w:customStyle="1" w:styleId="51">
    <w:name w:val="标题 4 Char"/>
    <w:basedOn w:val="34"/>
    <w:link w:val="6"/>
    <w:qFormat/>
    <w:uiPriority w:val="0"/>
    <w:rPr>
      <w:rFonts w:ascii="Arial" w:hAnsi="Arial" w:eastAsia="黑体" w:cs="Times New Roman"/>
      <w:b/>
      <w:bCs/>
      <w:kern w:val="0"/>
      <w:sz w:val="28"/>
      <w:szCs w:val="28"/>
    </w:rPr>
  </w:style>
  <w:style w:type="paragraph" w:customStyle="1" w:styleId="52">
    <w:name w:val="Body Text First Indent1"/>
    <w:basedOn w:val="2"/>
    <w:qFormat/>
    <w:uiPriority w:val="0"/>
    <w:pPr>
      <w:adjustRightInd w:val="0"/>
      <w:spacing w:line="360" w:lineRule="atLeast"/>
      <w:ind w:firstLine="420" w:firstLineChars="100"/>
      <w:textAlignment w:val="baseline"/>
    </w:pPr>
    <w:rPr>
      <w:sz w:val="28"/>
      <w:szCs w:val="28"/>
    </w:rPr>
  </w:style>
  <w:style w:type="character" w:customStyle="1" w:styleId="53">
    <w:name w:val="正文文本 Char"/>
    <w:basedOn w:val="34"/>
    <w:link w:val="2"/>
    <w:qFormat/>
    <w:uiPriority w:val="99"/>
    <w:rPr>
      <w:rFonts w:ascii="Times New Roman" w:hAnsi="Times New Roman" w:eastAsia="宋体" w:cs="Times New Roman"/>
      <w:kern w:val="0"/>
      <w:sz w:val="24"/>
      <w:szCs w:val="24"/>
    </w:rPr>
  </w:style>
  <w:style w:type="character" w:customStyle="1" w:styleId="54">
    <w:name w:val="正文缩进 Char"/>
    <w:link w:val="8"/>
    <w:qFormat/>
    <w:uiPriority w:val="0"/>
    <w:rPr>
      <w:rFonts w:ascii="Times New Roman" w:hAnsi="Times New Roman" w:eastAsia="宋体" w:cs="Times New Roman"/>
      <w:szCs w:val="24"/>
    </w:rPr>
  </w:style>
  <w:style w:type="character" w:customStyle="1" w:styleId="55">
    <w:name w:val="批注文字 Char"/>
    <w:basedOn w:val="34"/>
    <w:link w:val="9"/>
    <w:qFormat/>
    <w:uiPriority w:val="0"/>
    <w:rPr>
      <w:rFonts w:ascii="Times New Roman" w:hAnsi="Times New Roman" w:eastAsia="宋体" w:cs="Times New Roman"/>
      <w:sz w:val="18"/>
      <w:szCs w:val="20"/>
    </w:rPr>
  </w:style>
  <w:style w:type="character" w:customStyle="1" w:styleId="56">
    <w:name w:val="正文文本缩进 Char"/>
    <w:basedOn w:val="34"/>
    <w:link w:val="10"/>
    <w:qFormat/>
    <w:uiPriority w:val="99"/>
    <w:rPr>
      <w:rFonts w:ascii="Times New Roman" w:hAnsi="Times New Roman" w:eastAsia="宋体" w:cs="Times New Roman"/>
      <w:sz w:val="32"/>
      <w:szCs w:val="20"/>
    </w:rPr>
  </w:style>
  <w:style w:type="character" w:customStyle="1" w:styleId="57">
    <w:name w:val="纯文本 Char"/>
    <w:basedOn w:val="34"/>
    <w:link w:val="13"/>
    <w:qFormat/>
    <w:uiPriority w:val="0"/>
    <w:rPr>
      <w:rFonts w:ascii="宋体" w:hAnsi="Tms Rmn" w:eastAsia="宋体" w:cs="Times New Roman"/>
      <w:kern w:val="0"/>
      <w:szCs w:val="20"/>
    </w:rPr>
  </w:style>
  <w:style w:type="character" w:customStyle="1" w:styleId="58">
    <w:name w:val="日期 Char"/>
    <w:basedOn w:val="34"/>
    <w:link w:val="15"/>
    <w:qFormat/>
    <w:uiPriority w:val="0"/>
    <w:rPr>
      <w:rFonts w:ascii="宋体" w:hAnsi="Times New Roman" w:eastAsia="宋体" w:cs="Times New Roman"/>
      <w:kern w:val="0"/>
      <w:sz w:val="34"/>
      <w:szCs w:val="20"/>
    </w:rPr>
  </w:style>
  <w:style w:type="character" w:customStyle="1" w:styleId="59">
    <w:name w:val="正文文本缩进 2 Char"/>
    <w:basedOn w:val="34"/>
    <w:link w:val="16"/>
    <w:qFormat/>
    <w:uiPriority w:val="0"/>
    <w:rPr>
      <w:rFonts w:ascii="宋体" w:hAnsi="Times New Roman" w:eastAsia="宋体" w:cs="Times New Roman"/>
      <w:kern w:val="0"/>
      <w:sz w:val="34"/>
      <w:szCs w:val="20"/>
    </w:rPr>
  </w:style>
  <w:style w:type="character" w:customStyle="1" w:styleId="60">
    <w:name w:val="批注框文本 Char"/>
    <w:basedOn w:val="34"/>
    <w:link w:val="17"/>
    <w:semiHidden/>
    <w:qFormat/>
    <w:uiPriority w:val="99"/>
    <w:rPr>
      <w:rFonts w:ascii="宋体" w:hAnsi="Times New Roman" w:eastAsia="宋体" w:cs="Times New Roman"/>
      <w:kern w:val="0"/>
      <w:sz w:val="18"/>
      <w:szCs w:val="18"/>
    </w:rPr>
  </w:style>
  <w:style w:type="character" w:customStyle="1" w:styleId="61">
    <w:name w:val="页脚 Char"/>
    <w:basedOn w:val="34"/>
    <w:link w:val="18"/>
    <w:qFormat/>
    <w:uiPriority w:val="99"/>
    <w:rPr>
      <w:rFonts w:ascii="Times New Roman" w:hAnsi="Times New Roman" w:eastAsia="宋体" w:cs="Times New Roman"/>
      <w:sz w:val="18"/>
      <w:szCs w:val="20"/>
    </w:rPr>
  </w:style>
  <w:style w:type="character" w:customStyle="1" w:styleId="62">
    <w:name w:val="页眉 Char"/>
    <w:basedOn w:val="34"/>
    <w:link w:val="19"/>
    <w:qFormat/>
    <w:uiPriority w:val="99"/>
    <w:rPr>
      <w:rFonts w:ascii="Times New Roman" w:hAnsi="Times New Roman" w:eastAsia="宋体" w:cs="Times New Roman"/>
      <w:sz w:val="18"/>
      <w:szCs w:val="20"/>
    </w:rPr>
  </w:style>
  <w:style w:type="character" w:customStyle="1" w:styleId="63">
    <w:name w:val="副标题 Char"/>
    <w:basedOn w:val="34"/>
    <w:link w:val="22"/>
    <w:qFormat/>
    <w:uiPriority w:val="0"/>
    <w:rPr>
      <w:rFonts w:ascii="Arial" w:hAnsi="Arial" w:eastAsia="宋体" w:cs="Arial"/>
      <w:b/>
      <w:bCs/>
      <w:kern w:val="28"/>
      <w:sz w:val="32"/>
      <w:szCs w:val="32"/>
    </w:rPr>
  </w:style>
  <w:style w:type="character" w:customStyle="1" w:styleId="64">
    <w:name w:val="正文文本缩进 3 Char"/>
    <w:basedOn w:val="34"/>
    <w:link w:val="24"/>
    <w:qFormat/>
    <w:uiPriority w:val="0"/>
    <w:rPr>
      <w:rFonts w:ascii="宋体" w:hAnsi="Times New Roman" w:eastAsia="宋体" w:cs="Times New Roman"/>
      <w:kern w:val="0"/>
      <w:sz w:val="16"/>
      <w:szCs w:val="16"/>
    </w:rPr>
  </w:style>
  <w:style w:type="character" w:customStyle="1" w:styleId="65">
    <w:name w:val="批注主题 Char"/>
    <w:basedOn w:val="55"/>
    <w:link w:val="29"/>
    <w:qFormat/>
    <w:uiPriority w:val="99"/>
    <w:rPr>
      <w:rFonts w:ascii="Times New Roman" w:hAnsi="Times New Roman" w:eastAsia="宋体" w:cs="Times New Roman"/>
      <w:b/>
      <w:bCs/>
      <w:sz w:val="18"/>
      <w:szCs w:val="24"/>
    </w:rPr>
  </w:style>
  <w:style w:type="character" w:customStyle="1" w:styleId="66">
    <w:name w:val="正文首行缩进 Char"/>
    <w:basedOn w:val="53"/>
    <w:link w:val="30"/>
    <w:qFormat/>
    <w:uiPriority w:val="0"/>
    <w:rPr>
      <w:rFonts w:ascii="宋体" w:hAnsi="Times New Roman" w:eastAsia="宋体" w:cs="Times New Roman"/>
      <w:kern w:val="0"/>
      <w:sz w:val="34"/>
      <w:szCs w:val="20"/>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8">
    <w:name w:val="正文文本 Char1"/>
    <w:qFormat/>
    <w:uiPriority w:val="0"/>
    <w:rPr>
      <w:rFonts w:ascii="宋体"/>
      <w:sz w:val="34"/>
    </w:rPr>
  </w:style>
  <w:style w:type="character" w:customStyle="1" w:styleId="69">
    <w:name w:val="批注文字 Char1"/>
    <w:qFormat/>
    <w:uiPriority w:val="0"/>
    <w:rPr>
      <w:kern w:val="2"/>
      <w:sz w:val="18"/>
      <w:lang w:bidi="ar-SA"/>
    </w:rPr>
  </w:style>
  <w:style w:type="character" w:customStyle="1" w:styleId="70">
    <w:name w:val="img1"/>
    <w:qFormat/>
    <w:uiPriority w:val="0"/>
  </w:style>
  <w:style w:type="character" w:customStyle="1" w:styleId="71">
    <w:name w:val="img"/>
    <w:qFormat/>
    <w:uiPriority w:val="0"/>
  </w:style>
  <w:style w:type="character" w:customStyle="1" w:styleId="72">
    <w:name w:val="列出段落 Char"/>
    <w:link w:val="73"/>
    <w:qFormat/>
    <w:uiPriority w:val="0"/>
    <w:rPr>
      <w:rFonts w:eastAsia="宋体"/>
      <w:szCs w:val="24"/>
    </w:rPr>
  </w:style>
  <w:style w:type="paragraph" w:customStyle="1" w:styleId="73">
    <w:name w:val="List Paragraph"/>
    <w:basedOn w:val="1"/>
    <w:link w:val="72"/>
    <w:qFormat/>
    <w:uiPriority w:val="34"/>
    <w:pPr>
      <w:ind w:firstLine="420" w:firstLineChars="200"/>
    </w:pPr>
    <w:rPr>
      <w:rFonts w:asciiTheme="minorHAnsi" w:hAnsiTheme="minorHAnsi" w:cstheme="minorBidi"/>
      <w:kern w:val="2"/>
      <w:sz w:val="21"/>
      <w:szCs w:val="24"/>
    </w:rPr>
  </w:style>
  <w:style w:type="character" w:customStyle="1" w:styleId="74">
    <w:name w:val="Char Char9"/>
    <w:qFormat/>
    <w:uiPriority w:val="0"/>
    <w:rPr>
      <w:kern w:val="2"/>
      <w:sz w:val="21"/>
    </w:rPr>
  </w:style>
  <w:style w:type="character" w:customStyle="1" w:styleId="75">
    <w:name w:val="not([class*=suffix])1"/>
    <w:qFormat/>
    <w:uiPriority w:val="0"/>
  </w:style>
  <w:style w:type="character" w:customStyle="1" w:styleId="76">
    <w:name w:val="not([class*=suffix])"/>
    <w:qFormat/>
    <w:uiPriority w:val="0"/>
    <w:rPr>
      <w:sz w:val="19"/>
      <w:szCs w:val="19"/>
    </w:rPr>
  </w:style>
  <w:style w:type="character" w:customStyle="1" w:styleId="77">
    <w:name w:val="GW-正文 Char"/>
    <w:link w:val="78"/>
    <w:qFormat/>
    <w:uiPriority w:val="0"/>
    <w:rPr>
      <w:rFonts w:eastAsia="仿宋_GB2312"/>
      <w:sz w:val="24"/>
      <w:szCs w:val="24"/>
    </w:rPr>
  </w:style>
  <w:style w:type="paragraph" w:customStyle="1" w:styleId="78">
    <w:name w:val="GW-正文"/>
    <w:basedOn w:val="1"/>
    <w:link w:val="77"/>
    <w:qFormat/>
    <w:uiPriority w:val="0"/>
    <w:pPr>
      <w:spacing w:line="360" w:lineRule="auto"/>
      <w:ind w:firstLine="200" w:firstLineChars="200"/>
    </w:pPr>
    <w:rPr>
      <w:rFonts w:eastAsia="仿宋_GB2312" w:asciiTheme="minorHAnsi" w:hAnsiTheme="minorHAnsi" w:cstheme="minorBidi"/>
      <w:kern w:val="2"/>
      <w:sz w:val="24"/>
      <w:szCs w:val="24"/>
    </w:rPr>
  </w:style>
  <w:style w:type="character" w:customStyle="1" w:styleId="79">
    <w:name w:val="正文文本 字符"/>
    <w:qFormat/>
    <w:uiPriority w:val="0"/>
    <w:rPr>
      <w:sz w:val="24"/>
      <w:szCs w:val="24"/>
    </w:rPr>
  </w:style>
  <w:style w:type="character" w:customStyle="1" w:styleId="80">
    <w:name w:val="（符号）邀请函中一、"/>
    <w:qFormat/>
    <w:uiPriority w:val="0"/>
    <w:rPr>
      <w:rFonts w:ascii="黑体" w:hAnsi="黑体" w:eastAsia="黑体"/>
      <w:b/>
      <w:bCs/>
      <w:sz w:val="24"/>
    </w:rPr>
  </w:style>
  <w:style w:type="paragraph" w:customStyle="1" w:styleId="81">
    <w:name w:val="Char Char Char Char Char Char Char Char Char Char Char Char Char Char1 Char Char Char Char"/>
    <w:basedOn w:val="1"/>
    <w:qFormat/>
    <w:uiPriority w:val="0"/>
    <w:rPr>
      <w:szCs w:val="21"/>
    </w:rPr>
  </w:style>
  <w:style w:type="paragraph" w:customStyle="1" w:styleId="82">
    <w:name w:val="样式 首行缩进:  2 字符"/>
    <w:basedOn w:val="1"/>
    <w:qFormat/>
    <w:uiPriority w:val="0"/>
    <w:pPr>
      <w:spacing w:line="400" w:lineRule="exact"/>
      <w:ind w:firstLine="200" w:firstLineChars="200"/>
    </w:pPr>
    <w:rPr>
      <w:rFonts w:cs="宋体"/>
      <w:sz w:val="24"/>
    </w:rPr>
  </w:style>
  <w:style w:type="paragraph" w:customStyle="1" w:styleId="83">
    <w:name w:val="p15"/>
    <w:basedOn w:val="1"/>
    <w:qFormat/>
    <w:uiPriority w:val="0"/>
    <w:pPr>
      <w:widowControl/>
      <w:spacing w:before="100" w:after="100"/>
    </w:pPr>
    <w:rPr>
      <w:rFonts w:hAnsi="宋体" w:cs="宋体"/>
      <w:sz w:val="24"/>
      <w:szCs w:val="24"/>
    </w:rPr>
  </w:style>
  <w:style w:type="paragraph" w:customStyle="1" w:styleId="84">
    <w:name w:val="p0"/>
    <w:basedOn w:val="1"/>
    <w:qFormat/>
    <w:uiPriority w:val="0"/>
    <w:pPr>
      <w:widowControl/>
    </w:pPr>
    <w:rPr>
      <w:rFonts w:ascii="Times New Roman"/>
      <w:sz w:val="21"/>
    </w:rPr>
  </w:style>
  <w:style w:type="paragraph" w:customStyle="1" w:styleId="85">
    <w:name w:val="正文首缩2"/>
    <w:basedOn w:val="1"/>
    <w:qFormat/>
    <w:uiPriority w:val="0"/>
    <w:pPr>
      <w:ind w:firstLine="200" w:firstLineChars="200"/>
    </w:pPr>
  </w:style>
  <w:style w:type="paragraph" w:customStyle="1" w:styleId="86">
    <w:name w:val="正文首行缩进两字符"/>
    <w:basedOn w:val="1"/>
    <w:next w:val="1"/>
    <w:qFormat/>
    <w:uiPriority w:val="99"/>
    <w:pPr>
      <w:spacing w:line="360" w:lineRule="auto"/>
      <w:ind w:firstLine="200" w:firstLineChars="200"/>
    </w:pPr>
  </w:style>
  <w:style w:type="paragraph" w:customStyle="1" w:styleId="87">
    <w:name w:val="表格"/>
    <w:basedOn w:val="1"/>
    <w:qFormat/>
    <w:uiPriority w:val="0"/>
    <w:pPr>
      <w:spacing w:line="400" w:lineRule="exact"/>
    </w:pPr>
    <w:rPr>
      <w:sz w:val="24"/>
    </w:rPr>
  </w:style>
  <w:style w:type="paragraph" w:customStyle="1" w:styleId="88">
    <w:name w:val="列出段落1"/>
    <w:basedOn w:val="1"/>
    <w:qFormat/>
    <w:uiPriority w:val="0"/>
    <w:pPr>
      <w:ind w:firstLine="420" w:firstLineChars="200"/>
    </w:pPr>
    <w:rPr>
      <w:rFonts w:ascii="Times New Roman"/>
      <w:kern w:val="2"/>
      <w:sz w:val="21"/>
      <w:szCs w:val="24"/>
    </w:rPr>
  </w:style>
  <w:style w:type="paragraph" w:customStyle="1" w:styleId="8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1">
    <w:name w:val="Char Char1 Char Char Char Char"/>
    <w:basedOn w:val="1"/>
    <w:qFormat/>
    <w:uiPriority w:val="0"/>
    <w:pPr>
      <w:spacing w:line="240" w:lineRule="atLeast"/>
      <w:ind w:left="420" w:firstLine="420"/>
    </w:pPr>
    <w:rPr>
      <w:rFonts w:ascii="仿宋_GB2312" w:eastAsia="仿宋_GB2312"/>
      <w:bCs/>
      <w:kern w:val="2"/>
      <w:sz w:val="32"/>
      <w:szCs w:val="24"/>
    </w:rPr>
  </w:style>
  <w:style w:type="paragraph" w:customStyle="1" w:styleId="92">
    <w:name w:val="Table Paragraph"/>
    <w:basedOn w:val="1"/>
    <w:qFormat/>
    <w:uiPriority w:val="1"/>
    <w:pPr>
      <w:jc w:val="left"/>
    </w:pPr>
    <w:rPr>
      <w:rFonts w:ascii="Calibri" w:hAnsi="Calibri"/>
      <w:sz w:val="22"/>
      <w:szCs w:val="22"/>
      <w:lang w:eastAsia="en-US"/>
    </w:rPr>
  </w:style>
  <w:style w:type="table" w:customStyle="1" w:styleId="93">
    <w:name w:val="Table Normal"/>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character" w:customStyle="1" w:styleId="94">
    <w:name w:val="NormalCharacter"/>
    <w:qFormat/>
    <w:uiPriority w:val="0"/>
    <w:rPr>
      <w:rFonts w:ascii="宋体"/>
      <w:sz w:val="34"/>
      <w:lang w:val="en-US" w:eastAsia="zh-CN" w:bidi="ar-SA"/>
    </w:rPr>
  </w:style>
  <w:style w:type="paragraph" w:customStyle="1" w:styleId="95">
    <w:name w:val="BodyText"/>
    <w:basedOn w:val="1"/>
    <w:next w:val="96"/>
    <w:qFormat/>
    <w:uiPriority w:val="0"/>
    <w:pPr>
      <w:spacing w:after="120"/>
      <w:textAlignment w:val="baseline"/>
    </w:pPr>
    <w:rPr>
      <w:rFonts w:ascii="Times New Roman"/>
      <w:szCs w:val="24"/>
    </w:rPr>
  </w:style>
  <w:style w:type="paragraph" w:customStyle="1" w:styleId="96">
    <w:name w:val="UserStyle_40"/>
    <w:next w:val="1"/>
    <w:qFormat/>
    <w:uiPriority w:val="0"/>
    <w:pPr>
      <w:spacing w:before="200" w:after="160"/>
      <w:ind w:left="864" w:right="864"/>
      <w:jc w:val="center"/>
      <w:textAlignment w:val="baseline"/>
    </w:pPr>
    <w:rPr>
      <w:rFonts w:ascii="Times New Roman" w:hAnsi="Times New Roman" w:eastAsia="宋体" w:cs="Times New Roman"/>
      <w:i/>
      <w:sz w:val="21"/>
      <w:lang w:val="en-US" w:eastAsia="zh-CN" w:bidi="ar-SA"/>
    </w:rPr>
  </w:style>
  <w:style w:type="character" w:customStyle="1" w:styleId="97">
    <w:name w:val="ant-select-tree-switcher"/>
    <w:qFormat/>
    <w:uiPriority w:val="0"/>
  </w:style>
  <w:style w:type="character" w:customStyle="1" w:styleId="98">
    <w:name w:val="ant-select-tree-iconele"/>
    <w:qFormat/>
    <w:uiPriority w:val="0"/>
  </w:style>
  <w:style w:type="character" w:customStyle="1" w:styleId="99">
    <w:name w:val="content10"/>
    <w:qFormat/>
    <w:uiPriority w:val="0"/>
  </w:style>
  <w:style w:type="character" w:customStyle="1" w:styleId="100">
    <w:name w:val="ant-radio+*"/>
    <w:qFormat/>
    <w:uiPriority w:val="0"/>
  </w:style>
  <w:style w:type="character" w:customStyle="1" w:styleId="101">
    <w:name w:val="ant-radio+*1"/>
    <w:qFormat/>
    <w:uiPriority w:val="0"/>
  </w:style>
  <w:style w:type="character" w:customStyle="1" w:styleId="102">
    <w:name w:val="tag-type"/>
    <w:qFormat/>
    <w:uiPriority w:val="0"/>
    <w:rPr>
      <w:color w:val="FFFFFF"/>
      <w:sz w:val="18"/>
      <w:szCs w:val="18"/>
      <w:shd w:val="clear" w:color="auto" w:fill="317FFD"/>
    </w:rPr>
  </w:style>
  <w:style w:type="character" w:customStyle="1" w:styleId="103">
    <w:name w:val="tag-type1"/>
    <w:qFormat/>
    <w:uiPriority w:val="0"/>
    <w:rPr>
      <w:color w:val="FFFFFF"/>
      <w:sz w:val="18"/>
      <w:szCs w:val="18"/>
      <w:shd w:val="clear" w:color="auto" w:fill="317FFD"/>
    </w:rPr>
  </w:style>
  <w:style w:type="character" w:customStyle="1" w:styleId="104">
    <w:name w:val="hover10"/>
    <w:qFormat/>
    <w:uiPriority w:val="0"/>
    <w:rPr>
      <w:color w:val="3177FD"/>
    </w:rPr>
  </w:style>
  <w:style w:type="character" w:customStyle="1" w:styleId="105">
    <w:name w:val="info-content"/>
    <w:qFormat/>
    <w:uiPriority w:val="0"/>
    <w:rPr>
      <w:color w:val="808080"/>
    </w:rPr>
  </w:style>
  <w:style w:type="character" w:customStyle="1" w:styleId="106">
    <w:name w:val="ant-badge-status-dot2"/>
    <w:qFormat/>
    <w:uiPriority w:val="0"/>
    <w:rPr>
      <w:shd w:val="clear" w:color="auto" w:fill="FFFFFF"/>
    </w:rPr>
  </w:style>
  <w:style w:type="character" w:customStyle="1" w:styleId="107">
    <w:name w:val="first-child2"/>
    <w:qFormat/>
    <w:uiPriority w:val="0"/>
  </w:style>
  <w:style w:type="character" w:customStyle="1" w:styleId="108">
    <w:name w:val="ant-tree-switcher"/>
    <w:qFormat/>
    <w:uiPriority w:val="0"/>
  </w:style>
  <w:style w:type="character" w:customStyle="1" w:styleId="109">
    <w:name w:val="last-child6"/>
    <w:qFormat/>
    <w:uiPriority w:val="0"/>
  </w:style>
  <w:style w:type="character" w:customStyle="1" w:styleId="110">
    <w:name w:val="last-child7"/>
    <w:qFormat/>
    <w:uiPriority w:val="0"/>
  </w:style>
  <w:style w:type="character" w:customStyle="1" w:styleId="111">
    <w:name w:val="last-child8"/>
    <w:qFormat/>
    <w:uiPriority w:val="0"/>
  </w:style>
  <w:style w:type="character" w:customStyle="1" w:styleId="112">
    <w:name w:val="last-child9"/>
    <w:qFormat/>
    <w:uiPriority w:val="0"/>
  </w:style>
  <w:style w:type="character" w:customStyle="1" w:styleId="113">
    <w:name w:val="ant-input56"/>
    <w:qFormat/>
    <w:uiPriority w:val="0"/>
  </w:style>
  <w:style w:type="character" w:customStyle="1" w:styleId="114">
    <w:name w:val="info-label"/>
    <w:qFormat/>
    <w:uiPriority w:val="0"/>
    <w:rPr>
      <w:b/>
      <w:bCs/>
    </w:rPr>
  </w:style>
  <w:style w:type="character" w:customStyle="1" w:styleId="115">
    <w:name w:val="ant-tree-checkbox"/>
    <w:qFormat/>
    <w:uiPriority w:val="0"/>
  </w:style>
  <w:style w:type="character" w:customStyle="1" w:styleId="116">
    <w:name w:val="current"/>
    <w:qFormat/>
    <w:uiPriority w:val="0"/>
    <w:rPr>
      <w:color w:val="00C1DE"/>
    </w:rPr>
  </w:style>
  <w:style w:type="character" w:customStyle="1" w:styleId="117">
    <w:name w:val="current1"/>
    <w:qFormat/>
    <w:uiPriority w:val="0"/>
    <w:rPr>
      <w:color w:val="00C1DE"/>
    </w:rPr>
  </w:style>
  <w:style w:type="character" w:customStyle="1" w:styleId="118">
    <w:name w:val="ant-select-tree-checkbox"/>
    <w:qFormat/>
    <w:uiPriority w:val="0"/>
  </w:style>
  <w:style w:type="character" w:customStyle="1" w:styleId="119">
    <w:name w:val="ant-tree-iconele"/>
    <w:qFormat/>
    <w:uiPriority w:val="0"/>
  </w:style>
  <w:style w:type="character" w:customStyle="1" w:styleId="120">
    <w:name w:val="ant-tree-icon_loading"/>
    <w:qFormat/>
    <w:uiPriority w:val="0"/>
    <w:rPr>
      <w:shd w:val="clear" w:color="auto" w:fill="FFFFFF"/>
    </w:rPr>
  </w:style>
  <w:style w:type="character" w:customStyle="1" w:styleId="121">
    <w:name w:val="label2"/>
    <w:qFormat/>
    <w:uiPriority w:val="0"/>
  </w:style>
  <w:style w:type="character" w:customStyle="1" w:styleId="122">
    <w:name w:val="last-of-type"/>
    <w:qFormat/>
    <w:uiPriority w:val="0"/>
    <w:rPr>
      <w:color w:val="FF4A44"/>
      <w:sz w:val="27"/>
      <w:szCs w:val="27"/>
    </w:rPr>
  </w:style>
  <w:style w:type="character" w:customStyle="1" w:styleId="123">
    <w:name w:val="change-camera-place"/>
    <w:qFormat/>
    <w:uiPriority w:val="0"/>
    <w:rPr>
      <w:color w:val="3177FD"/>
    </w:rPr>
  </w:style>
  <w:style w:type="character" w:customStyle="1" w:styleId="124">
    <w:name w:val="last-child"/>
    <w:qFormat/>
    <w:uiPriority w:val="0"/>
  </w:style>
  <w:style w:type="character" w:customStyle="1" w:styleId="125">
    <w:name w:val="last-child1"/>
    <w:qFormat/>
    <w:uiPriority w:val="0"/>
  </w:style>
  <w:style w:type="character" w:customStyle="1" w:styleId="126">
    <w:name w:val="last-child2"/>
    <w:qFormat/>
    <w:uiPriority w:val="0"/>
  </w:style>
  <w:style w:type="character" w:customStyle="1" w:styleId="127">
    <w:name w:val="last-child3"/>
    <w:qFormat/>
    <w:uiPriority w:val="0"/>
  </w:style>
  <w:style w:type="character" w:customStyle="1" w:styleId="128">
    <w:name w:val="label"/>
    <w:qFormat/>
    <w:uiPriority w:val="0"/>
  </w:style>
  <w:style w:type="character" w:customStyle="1" w:styleId="129">
    <w:name w:val="first-child"/>
    <w:qFormat/>
    <w:uiPriority w:val="0"/>
  </w:style>
  <w:style w:type="character" w:customStyle="1" w:styleId="130">
    <w:name w:val="hover7"/>
    <w:qFormat/>
    <w:uiPriority w:val="0"/>
    <w:rPr>
      <w:color w:val="3177FD"/>
    </w:rPr>
  </w:style>
  <w:style w:type="character" w:customStyle="1" w:styleId="131">
    <w:name w:val="ant-input28"/>
    <w:qFormat/>
    <w:uiPriority w:val="0"/>
  </w:style>
  <w:style w:type="paragraph" w:customStyle="1" w:styleId="132">
    <w:name w:val="z-窗体顶端1"/>
    <w:basedOn w:val="1"/>
    <w:next w:val="1"/>
    <w:link w:val="133"/>
    <w:qFormat/>
    <w:uiPriority w:val="0"/>
    <w:pPr>
      <w:pBdr>
        <w:bottom w:val="single" w:color="auto" w:sz="6" w:space="1"/>
      </w:pBdr>
      <w:jc w:val="center"/>
    </w:pPr>
    <w:rPr>
      <w:rFonts w:ascii="Arial"/>
      <w:vanish/>
      <w:sz w:val="16"/>
    </w:rPr>
  </w:style>
  <w:style w:type="character" w:customStyle="1" w:styleId="133">
    <w:name w:val="z-窗体顶端 Char"/>
    <w:basedOn w:val="34"/>
    <w:link w:val="132"/>
    <w:qFormat/>
    <w:uiPriority w:val="0"/>
    <w:rPr>
      <w:rFonts w:ascii="Arial" w:hAnsi="Times New Roman" w:eastAsia="宋体" w:cs="Times New Roman"/>
      <w:vanish/>
      <w:kern w:val="0"/>
      <w:sz w:val="16"/>
      <w:szCs w:val="20"/>
    </w:rPr>
  </w:style>
  <w:style w:type="paragraph" w:customStyle="1" w:styleId="134">
    <w:name w:val="z-窗体底端1"/>
    <w:basedOn w:val="1"/>
    <w:next w:val="1"/>
    <w:link w:val="135"/>
    <w:qFormat/>
    <w:uiPriority w:val="0"/>
    <w:pPr>
      <w:pBdr>
        <w:top w:val="single" w:color="auto" w:sz="6" w:space="1"/>
      </w:pBdr>
      <w:jc w:val="center"/>
    </w:pPr>
    <w:rPr>
      <w:rFonts w:ascii="Arial"/>
      <w:vanish/>
      <w:sz w:val="16"/>
    </w:rPr>
  </w:style>
  <w:style w:type="character" w:customStyle="1" w:styleId="135">
    <w:name w:val="z-窗体底端 Char"/>
    <w:basedOn w:val="34"/>
    <w:link w:val="134"/>
    <w:qFormat/>
    <w:uiPriority w:val="0"/>
    <w:rPr>
      <w:rFonts w:ascii="Arial" w:hAnsi="Times New Roman" w:eastAsia="宋体" w:cs="Times New Roman"/>
      <w:vanish/>
      <w:kern w:val="0"/>
      <w:sz w:val="16"/>
      <w:szCs w:val="20"/>
    </w:rPr>
  </w:style>
  <w:style w:type="character" w:customStyle="1" w:styleId="136">
    <w:name w:val="ant-form-item-children1"/>
    <w:qFormat/>
    <w:uiPriority w:val="0"/>
  </w:style>
  <w:style w:type="character" w:customStyle="1" w:styleId="137">
    <w:name w:val="标题 Char"/>
    <w:basedOn w:val="34"/>
    <w:link w:val="28"/>
    <w:qFormat/>
    <w:uiPriority w:val="10"/>
    <w:rPr>
      <w:rFonts w:asciiTheme="majorHAnsi" w:hAnsiTheme="majorHAnsi" w:eastAsiaTheme="majorEastAsia" w:cstheme="majorBidi"/>
      <w:b/>
      <w:bCs/>
      <w:kern w:val="2"/>
      <w:sz w:val="32"/>
      <w:szCs w:val="32"/>
    </w:rPr>
  </w:style>
  <w:style w:type="character" w:customStyle="1" w:styleId="138">
    <w:name w:val="正文首行缩进 2 Char"/>
    <w:basedOn w:val="56"/>
    <w:link w:val="31"/>
    <w:semiHidden/>
    <w:qFormat/>
    <w:uiPriority w:val="99"/>
    <w:rPr>
      <w:rFonts w:ascii="Times New Roman" w:hAnsi="Times New Roman" w:eastAsia="宋体" w:cs="Times New Roman"/>
      <w:kern w:val="2"/>
      <w:sz w:val="21"/>
      <w:szCs w:val="22"/>
    </w:rPr>
  </w:style>
  <w:style w:type="paragraph" w:customStyle="1" w:styleId="13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列表段落1"/>
    <w:basedOn w:val="1"/>
    <w:qFormat/>
    <w:uiPriority w:val="34"/>
    <w:pPr>
      <w:ind w:firstLine="420" w:firstLineChars="200"/>
    </w:pPr>
    <w:rPr>
      <w:rFonts w:ascii="Calibri" w:hAnsi="Calibri"/>
      <w:kern w:val="2"/>
      <w:sz w:val="21"/>
      <w:szCs w:val="22"/>
    </w:rPr>
  </w:style>
  <w:style w:type="paragraph" w:customStyle="1" w:styleId="141">
    <w:name w:val="reader-word-layer reader-word-s4-1"/>
    <w:basedOn w:val="1"/>
    <w:qFormat/>
    <w:uiPriority w:val="0"/>
    <w:pPr>
      <w:widowControl/>
      <w:spacing w:before="100" w:beforeAutospacing="1" w:after="100" w:afterAutospacing="1"/>
      <w:jc w:val="left"/>
    </w:pPr>
    <w:rPr>
      <w:rFonts w:hAnsi="宋体" w:cs="宋体"/>
      <w:sz w:val="24"/>
      <w:szCs w:val="24"/>
    </w:rPr>
  </w:style>
  <w:style w:type="character" w:customStyle="1" w:styleId="142">
    <w:name w:val="qowt-font2"/>
    <w:basedOn w:val="34"/>
    <w:qFormat/>
    <w:uiPriority w:val="0"/>
  </w:style>
  <w:style w:type="paragraph" w:customStyle="1" w:styleId="143">
    <w:name w:val="font5"/>
    <w:basedOn w:val="1"/>
    <w:qFormat/>
    <w:uiPriority w:val="0"/>
    <w:pPr>
      <w:widowControl/>
      <w:spacing w:before="100" w:beforeAutospacing="1" w:after="100" w:afterAutospacing="1"/>
      <w:jc w:val="left"/>
    </w:pPr>
    <w:rPr>
      <w:rFonts w:hAnsi="宋体" w:cs="宋体"/>
      <w:color w:val="000000"/>
      <w:sz w:val="20"/>
    </w:rPr>
  </w:style>
  <w:style w:type="paragraph" w:customStyle="1" w:styleId="144">
    <w:name w:val="font6"/>
    <w:basedOn w:val="1"/>
    <w:qFormat/>
    <w:uiPriority w:val="0"/>
    <w:pPr>
      <w:widowControl/>
      <w:spacing w:before="100" w:beforeAutospacing="1" w:after="100" w:afterAutospacing="1"/>
      <w:jc w:val="left"/>
    </w:pPr>
    <w:rPr>
      <w:rFonts w:hAnsi="宋体" w:cs="宋体"/>
      <w:sz w:val="20"/>
    </w:rPr>
  </w:style>
  <w:style w:type="paragraph" w:customStyle="1" w:styleId="145">
    <w:name w:val="font7"/>
    <w:basedOn w:val="1"/>
    <w:qFormat/>
    <w:uiPriority w:val="0"/>
    <w:pPr>
      <w:widowControl/>
      <w:spacing w:before="100" w:beforeAutospacing="1" w:after="100" w:afterAutospacing="1"/>
      <w:jc w:val="left"/>
    </w:pPr>
    <w:rPr>
      <w:rFonts w:hAnsi="宋体" w:cs="宋体"/>
      <w:color w:val="000000"/>
      <w:sz w:val="20"/>
    </w:rPr>
  </w:style>
  <w:style w:type="paragraph" w:customStyle="1" w:styleId="146">
    <w:name w:val="xl65"/>
    <w:basedOn w:val="1"/>
    <w:qFormat/>
    <w:uiPriority w:val="0"/>
    <w:pPr>
      <w:widowControl/>
      <w:spacing w:before="100" w:beforeAutospacing="1" w:after="100" w:afterAutospacing="1"/>
      <w:jc w:val="left"/>
    </w:pPr>
    <w:rPr>
      <w:rFonts w:hAnsi="宋体" w:cs="宋体"/>
      <w:sz w:val="24"/>
      <w:szCs w:val="24"/>
    </w:rPr>
  </w:style>
  <w:style w:type="paragraph" w:customStyle="1" w:styleId="147">
    <w:name w:val="xl66"/>
    <w:basedOn w:val="1"/>
    <w:qFormat/>
    <w:uiPriority w:val="0"/>
    <w:pPr>
      <w:widowControl/>
      <w:spacing w:before="100" w:beforeAutospacing="1" w:after="100" w:afterAutospacing="1"/>
      <w:jc w:val="left"/>
    </w:pPr>
    <w:rPr>
      <w:rFonts w:hAnsi="宋体" w:cs="宋体"/>
      <w:b/>
      <w:bCs/>
      <w:sz w:val="24"/>
      <w:szCs w:val="24"/>
    </w:rPr>
  </w:style>
  <w:style w:type="paragraph" w:customStyle="1" w:styleId="148">
    <w:name w:val="xl67"/>
    <w:basedOn w:val="1"/>
    <w:qFormat/>
    <w:uiPriority w:val="0"/>
    <w:pPr>
      <w:widowControl/>
      <w:spacing w:before="100" w:beforeAutospacing="1" w:after="100" w:afterAutospacing="1"/>
      <w:jc w:val="center"/>
    </w:pPr>
    <w:rPr>
      <w:rFonts w:hAnsi="宋体" w:cs="宋体"/>
      <w:sz w:val="24"/>
      <w:szCs w:val="24"/>
    </w:rPr>
  </w:style>
  <w:style w:type="paragraph" w:customStyle="1" w:styleId="14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color w:val="000000"/>
      <w:sz w:val="20"/>
    </w:rPr>
  </w:style>
  <w:style w:type="paragraph" w:customStyle="1" w:styleId="15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color w:val="000000"/>
      <w:sz w:val="20"/>
    </w:rPr>
  </w:style>
  <w:style w:type="paragraph" w:customStyle="1" w:styleId="15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b/>
      <w:bCs/>
      <w:color w:val="000000"/>
      <w:sz w:val="20"/>
    </w:rPr>
  </w:style>
  <w:style w:type="paragraph" w:customStyle="1" w:styleId="15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hAnsi="宋体" w:cs="宋体"/>
      <w:sz w:val="20"/>
    </w:rPr>
  </w:style>
  <w:style w:type="paragraph" w:customStyle="1" w:styleId="15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hAnsi="宋体" w:cs="宋体"/>
      <w:sz w:val="20"/>
    </w:rPr>
  </w:style>
  <w:style w:type="paragraph" w:customStyle="1" w:styleId="15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宋体"/>
      <w:sz w:val="20"/>
    </w:rPr>
  </w:style>
  <w:style w:type="paragraph" w:customStyle="1" w:styleId="15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sz w:val="20"/>
    </w:rPr>
  </w:style>
  <w:style w:type="paragraph" w:customStyle="1" w:styleId="156">
    <w:name w:val="xl7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Ansi="宋体" w:cs="宋体"/>
      <w:color w:val="000000"/>
      <w:sz w:val="20"/>
    </w:rPr>
  </w:style>
  <w:style w:type="paragraph" w:customStyle="1" w:styleId="15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color w:val="000000"/>
      <w:sz w:val="20"/>
    </w:rPr>
  </w:style>
  <w:style w:type="paragraph" w:customStyle="1" w:styleId="15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cs="宋体"/>
      <w:b/>
      <w:bCs/>
      <w:color w:val="000000"/>
      <w:sz w:val="20"/>
    </w:rPr>
  </w:style>
  <w:style w:type="paragraph" w:customStyle="1" w:styleId="159">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hAnsi="宋体" w:cs="宋体"/>
      <w:color w:val="FF0000"/>
      <w:sz w:val="20"/>
    </w:rPr>
  </w:style>
  <w:style w:type="paragraph" w:customStyle="1" w:styleId="160">
    <w:name w:val="xl7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hAnsi="宋体" w:cs="宋体"/>
      <w:color w:val="FF0000"/>
      <w:sz w:val="20"/>
    </w:rPr>
  </w:style>
  <w:style w:type="paragraph" w:customStyle="1" w:styleId="161">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hAnsi="宋体" w:cs="宋体"/>
      <w:color w:val="FF0000"/>
      <w:sz w:val="20"/>
    </w:rPr>
  </w:style>
  <w:style w:type="paragraph" w:customStyle="1" w:styleId="162">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hAnsi="宋体" w:cs="宋体"/>
      <w:color w:val="FF0000"/>
      <w:sz w:val="20"/>
    </w:rPr>
  </w:style>
  <w:style w:type="paragraph" w:customStyle="1" w:styleId="163">
    <w:name w:val="正文缩进2格"/>
    <w:basedOn w:val="1"/>
    <w:qFormat/>
    <w:uiPriority w:val="0"/>
    <w:pPr>
      <w:spacing w:line="600" w:lineRule="exact"/>
      <w:ind w:firstLine="639" w:firstLineChars="206"/>
    </w:pPr>
    <w:rPr>
      <w:rFonts w:ascii="仿宋_GB2312" w:hAnsi="宋体" w:eastAsia="仿宋_GB2312" w:cstheme="minorBidi"/>
      <w:kern w:val="2"/>
      <w:sz w:val="31"/>
    </w:rPr>
  </w:style>
  <w:style w:type="paragraph" w:customStyle="1" w:styleId="164">
    <w:name w:val="Heading2"/>
    <w:basedOn w:val="1"/>
    <w:next w:val="1"/>
    <w:qFormat/>
    <w:uiPriority w:val="0"/>
    <w:pPr>
      <w:keepNext/>
      <w:keepLines/>
      <w:spacing w:before="260" w:after="260" w:line="416" w:lineRule="auto"/>
      <w:textAlignment w:val="baseline"/>
    </w:pPr>
    <w:rPr>
      <w:rFonts w:ascii="Cambria" w:hAnsi="Cambria"/>
      <w:b/>
      <w:bCs/>
      <w:sz w:val="32"/>
      <w:szCs w:val="32"/>
    </w:rPr>
  </w:style>
  <w:style w:type="paragraph" w:customStyle="1" w:styleId="165">
    <w:name w:val="Quote"/>
    <w:next w:val="1"/>
    <w:qFormat/>
    <w:uiPriority w:val="0"/>
    <w:pPr>
      <w:wordWrap w:val="0"/>
      <w:spacing w:before="200" w:after="160"/>
      <w:ind w:left="864" w:right="864"/>
      <w:jc w:val="center"/>
    </w:pPr>
    <w:rPr>
      <w:rFonts w:ascii="Calibri" w:hAnsi="Calibri" w:eastAsia="Calibri" w:cs="Times New Roman"/>
      <w:i/>
      <w:sz w:val="21"/>
      <w:lang w:val="en-US" w:eastAsia="zh-CN" w:bidi="ar-SA"/>
    </w:rPr>
  </w:style>
  <w:style w:type="character" w:customStyle="1" w:styleId="166">
    <w:name w:val="font11"/>
    <w:basedOn w:val="34"/>
    <w:qFormat/>
    <w:uiPriority w:val="0"/>
    <w:rPr>
      <w:rFonts w:hint="default" w:ascii="Times New Roman" w:hAnsi="Times New Roman" w:cs="Times New Roman"/>
      <w:color w:val="000000"/>
      <w:sz w:val="21"/>
      <w:szCs w:val="21"/>
      <w:u w:val="none"/>
    </w:rPr>
  </w:style>
  <w:style w:type="character" w:customStyle="1" w:styleId="167">
    <w:name w:val="font21"/>
    <w:basedOn w:val="3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E9C707-5CA8-44A5-9197-1C4C6038DD8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76</Pages>
  <Words>5774</Words>
  <Characters>32916</Characters>
  <Lines>274</Lines>
  <Paragraphs>77</Paragraphs>
  <TotalTime>2</TotalTime>
  <ScaleCrop>false</ScaleCrop>
  <LinksUpToDate>false</LinksUpToDate>
  <CharactersWithSpaces>38613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2021-11-30T01:18:00Z</dcterms:created>
  <dc:creator>China</dc:creator>
  <cp:lastModifiedBy>Administrator</cp:lastModifiedBy>
  <cp:lastPrinted>2021-11-30T02:35:00Z</cp:lastPrinted>
  <dcterms:modified xsi:type="dcterms:W3CDTF">2022-02-25T02:31:18Z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2F62EA610D1B4F42B03A398BF777AC1C</vt:lpwstr>
  </property>
</Properties>
</file>