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val="0"/>
          <w:color w:val="auto"/>
          <w:sz w:val="36"/>
          <w:szCs w:val="36"/>
          <w:highlight w:val="none"/>
          <w:lang w:val="en-US" w:eastAsia="zh-CN"/>
        </w:rPr>
      </w:pPr>
      <w:bookmarkStart w:id="0" w:name="_Hlt101843627"/>
      <w:bookmarkEnd w:id="0"/>
      <w:bookmarkStart w:id="1" w:name="_Hlt101233737"/>
      <w:bookmarkEnd w:id="1"/>
      <w:r>
        <w:rPr>
          <w:rFonts w:hint="eastAsia" w:ascii="宋体" w:hAnsi="宋体" w:eastAsia="宋体" w:cs="宋体"/>
          <w:b/>
          <w:bCs w:val="0"/>
          <w:color w:val="auto"/>
          <w:sz w:val="36"/>
          <w:szCs w:val="36"/>
          <w:highlight w:val="none"/>
          <w:lang w:val="en-US" w:eastAsia="zh-CN"/>
        </w:rPr>
        <w:t>项目编号：510185202100022</w:t>
      </w:r>
    </w:p>
    <w:p>
      <w:pPr>
        <w:jc w:val="center"/>
        <w:rPr>
          <w:rFonts w:hint="eastAsia" w:ascii="宋体" w:hAnsi="宋体" w:eastAsia="宋体" w:cs="宋体"/>
          <w:b/>
          <w:color w:val="auto"/>
          <w:sz w:val="36"/>
          <w:szCs w:val="36"/>
          <w:highlight w:val="none"/>
          <w:lang w:eastAsia="zh-CN"/>
        </w:rPr>
      </w:pPr>
    </w:p>
    <w:p>
      <w:pPr>
        <w:pStyle w:val="2"/>
        <w:rPr>
          <w:rFonts w:hint="eastAsia" w:ascii="宋体" w:hAnsi="宋体" w:eastAsia="宋体" w:cs="宋体"/>
          <w:color w:val="auto"/>
          <w:highlight w:val="none"/>
        </w:rPr>
      </w:pPr>
    </w:p>
    <w:p>
      <w:pPr>
        <w:jc w:val="center"/>
        <w:rPr>
          <w:rFonts w:hint="eastAsia" w:ascii="宋体" w:hAnsi="宋体" w:eastAsia="宋体" w:cs="宋体"/>
          <w:b/>
          <w:bCs w:val="0"/>
          <w:color w:val="auto"/>
          <w:sz w:val="72"/>
          <w:szCs w:val="72"/>
          <w:highlight w:val="none"/>
        </w:rPr>
      </w:pPr>
    </w:p>
    <w:p>
      <w:pPr>
        <w:pStyle w:val="2"/>
        <w:rPr>
          <w:rFonts w:hint="eastAsia" w:ascii="宋体" w:hAnsi="宋体" w:eastAsia="宋体" w:cs="宋体"/>
          <w:color w:val="auto"/>
          <w:highlight w:val="none"/>
        </w:rPr>
      </w:pPr>
    </w:p>
    <w:p>
      <w:pPr>
        <w:jc w:val="center"/>
        <w:rPr>
          <w:rFonts w:hint="eastAsia" w:ascii="宋体" w:hAnsi="宋体" w:eastAsia="宋体" w:cs="宋体"/>
          <w:b/>
          <w:color w:val="auto"/>
          <w:kern w:val="0"/>
          <w:sz w:val="24"/>
          <w:szCs w:val="24"/>
          <w:highlight w:val="none"/>
        </w:rPr>
      </w:pPr>
      <w:r>
        <w:rPr>
          <w:rFonts w:hint="eastAsia" w:ascii="宋体" w:hAnsi="宋体" w:eastAsia="宋体" w:cs="宋体"/>
          <w:b/>
          <w:bCs w:val="0"/>
          <w:color w:val="auto"/>
          <w:sz w:val="112"/>
          <w:szCs w:val="112"/>
          <w:highlight w:val="none"/>
        </w:rPr>
        <w:t>竞争性磋商文件</w:t>
      </w:r>
    </w:p>
    <w:p>
      <w:pPr>
        <w:tabs>
          <w:tab w:val="left" w:pos="0"/>
        </w:tabs>
        <w:autoSpaceDE w:val="0"/>
        <w:autoSpaceDN w:val="0"/>
        <w:adjustRightInd w:val="0"/>
        <w:spacing w:line="480" w:lineRule="auto"/>
        <w:ind w:right="94" w:rightChars="45"/>
        <w:rPr>
          <w:rFonts w:hint="eastAsia" w:ascii="宋体" w:hAnsi="宋体" w:eastAsia="宋体" w:cs="宋体"/>
          <w:b/>
          <w:color w:val="auto"/>
          <w:kern w:val="0"/>
          <w:sz w:val="24"/>
          <w:szCs w:val="24"/>
          <w:highlight w:val="none"/>
        </w:rPr>
      </w:pPr>
    </w:p>
    <w:p>
      <w:pPr>
        <w:tabs>
          <w:tab w:val="left" w:pos="0"/>
        </w:tabs>
        <w:autoSpaceDE w:val="0"/>
        <w:autoSpaceDN w:val="0"/>
        <w:adjustRightInd w:val="0"/>
        <w:spacing w:line="480" w:lineRule="auto"/>
        <w:ind w:right="94" w:rightChars="45"/>
        <w:rPr>
          <w:rFonts w:hint="eastAsia" w:ascii="宋体" w:hAnsi="宋体" w:eastAsia="宋体" w:cs="宋体"/>
          <w:b/>
          <w:color w:val="auto"/>
          <w:kern w:val="0"/>
          <w:sz w:val="24"/>
          <w:szCs w:val="24"/>
          <w:highlight w:val="none"/>
        </w:rPr>
      </w:pPr>
    </w:p>
    <w:p>
      <w:pPr>
        <w:tabs>
          <w:tab w:val="left" w:pos="0"/>
        </w:tabs>
        <w:autoSpaceDE w:val="0"/>
        <w:autoSpaceDN w:val="0"/>
        <w:adjustRightInd w:val="0"/>
        <w:spacing w:line="480" w:lineRule="auto"/>
        <w:ind w:left="1400" w:right="94" w:rightChars="45" w:hanging="1400" w:hangingChars="500"/>
        <w:rPr>
          <w:rFonts w:hint="eastAsia" w:ascii="宋体" w:hAnsi="宋体" w:eastAsia="宋体" w:cs="宋体"/>
          <w:b/>
          <w:color w:val="auto"/>
          <w:kern w:val="0"/>
          <w:sz w:val="28"/>
          <w:szCs w:val="28"/>
          <w:highlight w:val="none"/>
        </w:rPr>
      </w:pPr>
    </w:p>
    <w:p>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0" w:right="0" w:rightChars="0" w:hanging="1400" w:hangingChars="500"/>
        <w:textAlignment w:val="auto"/>
        <w:rPr>
          <w:rFonts w:hint="eastAsia" w:ascii="宋体" w:hAnsi="宋体" w:eastAsia="宋体" w:cs="宋体"/>
          <w:b/>
          <w:color w:val="auto"/>
          <w:kern w:val="0"/>
          <w:sz w:val="28"/>
          <w:szCs w:val="28"/>
          <w:highlight w:val="none"/>
          <w:u w:val="single"/>
          <w:lang w:val="en-US" w:eastAsia="zh-CN"/>
        </w:rPr>
      </w:pPr>
      <w:r>
        <w:rPr>
          <w:rFonts w:hint="eastAsia" w:ascii="宋体" w:hAnsi="宋体" w:eastAsia="宋体" w:cs="宋体"/>
          <w:b/>
          <w:color w:val="auto"/>
          <w:kern w:val="0"/>
          <w:sz w:val="28"/>
          <w:szCs w:val="28"/>
          <w:highlight w:val="none"/>
        </w:rPr>
        <w:t>项目名称</w:t>
      </w:r>
      <w:r>
        <w:rPr>
          <w:rFonts w:hint="eastAsia" w:ascii="宋体" w:hAnsi="宋体" w:eastAsia="宋体" w:cs="宋体"/>
          <w:b/>
          <w:bCs/>
          <w:color w:val="auto"/>
          <w:kern w:val="0"/>
          <w:sz w:val="28"/>
          <w:szCs w:val="28"/>
          <w:highlight w:val="none"/>
        </w:rPr>
        <w:t>:</w:t>
      </w:r>
      <w:r>
        <w:rPr>
          <w:rFonts w:hint="eastAsia" w:ascii="宋体" w:hAnsi="宋体" w:cs="宋体"/>
          <w:b/>
          <w:bCs/>
          <w:color w:val="auto"/>
          <w:kern w:val="0"/>
          <w:sz w:val="28"/>
          <w:szCs w:val="28"/>
          <w:highlight w:val="none"/>
          <w:lang w:val="en-US" w:eastAsia="zh-CN"/>
        </w:rPr>
        <w:t xml:space="preserve"> </w:t>
      </w:r>
      <w:r>
        <w:rPr>
          <w:rFonts w:hint="eastAsia" w:ascii="宋体" w:hAnsi="宋体" w:cs="宋体"/>
          <w:b/>
          <w:bCs/>
          <w:color w:val="auto"/>
          <w:sz w:val="28"/>
          <w:szCs w:val="28"/>
          <w:highlight w:val="none"/>
          <w:u w:val="single"/>
          <w:lang w:eastAsia="zh-CN"/>
        </w:rPr>
        <w:t>简阳市水务局黑臭河渠综合治理水质监测及综合评价评估报告编制服务采购项目</w:t>
      </w:r>
      <w:r>
        <w:rPr>
          <w:rFonts w:hint="eastAsia" w:ascii="宋体" w:hAnsi="宋体" w:eastAsia="宋体" w:cs="宋体"/>
          <w:b/>
          <w:bCs/>
          <w:color w:val="auto"/>
          <w:sz w:val="28"/>
          <w:szCs w:val="28"/>
          <w:highlight w:val="none"/>
          <w:u w:val="single"/>
          <w:lang w:val="en-US" w:eastAsia="zh-CN"/>
        </w:rPr>
        <w:t xml:space="preserve">                                          </w:t>
      </w:r>
    </w:p>
    <w:p>
      <w:pPr>
        <w:tabs>
          <w:tab w:val="left" w:pos="0"/>
        </w:tabs>
        <w:autoSpaceDE w:val="0"/>
        <w:autoSpaceDN w:val="0"/>
        <w:adjustRightInd w:val="0"/>
        <w:spacing w:line="480" w:lineRule="auto"/>
        <w:ind w:right="94" w:rightChars="45"/>
        <w:rPr>
          <w:rFonts w:hint="eastAsia" w:ascii="宋体" w:hAnsi="宋体" w:eastAsia="宋体" w:cs="宋体"/>
          <w:b/>
          <w:color w:val="auto"/>
          <w:kern w:val="0"/>
          <w:sz w:val="28"/>
          <w:szCs w:val="28"/>
          <w:highlight w:val="none"/>
          <w:u w:val="single"/>
        </w:rPr>
      </w:pPr>
      <w:r>
        <w:rPr>
          <w:rFonts w:hint="eastAsia" w:ascii="宋体" w:hAnsi="宋体" w:eastAsia="宋体" w:cs="宋体"/>
          <w:b/>
          <w:color w:val="auto"/>
          <w:kern w:val="0"/>
          <w:sz w:val="28"/>
          <w:szCs w:val="28"/>
          <w:highlight w:val="none"/>
        </w:rPr>
        <w:t>采购方式</w:t>
      </w:r>
      <w:r>
        <w:rPr>
          <w:rFonts w:hint="eastAsia" w:ascii="宋体" w:hAnsi="宋体" w:cs="宋体"/>
          <w:b/>
          <w:color w:val="auto"/>
          <w:kern w:val="0"/>
          <w:sz w:val="28"/>
          <w:szCs w:val="28"/>
          <w:highlight w:val="none"/>
          <w:lang w:eastAsia="zh-CN"/>
        </w:rPr>
        <w:t>：</w:t>
      </w:r>
      <w:r>
        <w:rPr>
          <w:rFonts w:hint="eastAsia" w:ascii="宋体" w:hAnsi="宋体" w:eastAsia="宋体" w:cs="宋体"/>
          <w:b/>
          <w:color w:val="auto"/>
          <w:kern w:val="0"/>
          <w:sz w:val="28"/>
          <w:szCs w:val="28"/>
          <w:highlight w:val="none"/>
          <w:u w:val="single"/>
        </w:rPr>
        <w:t xml:space="preserve">        </w:t>
      </w:r>
      <w:r>
        <w:rPr>
          <w:rFonts w:hint="eastAsia" w:ascii="宋体" w:hAnsi="宋体" w:eastAsia="宋体" w:cs="宋体"/>
          <w:b/>
          <w:color w:val="auto"/>
          <w:kern w:val="0"/>
          <w:sz w:val="28"/>
          <w:szCs w:val="28"/>
          <w:highlight w:val="none"/>
          <w:u w:val="single"/>
          <w:lang w:val="en-US" w:eastAsia="zh-CN"/>
        </w:rPr>
        <w:t xml:space="preserve">    </w:t>
      </w:r>
      <w:r>
        <w:rPr>
          <w:rFonts w:hint="eastAsia" w:ascii="宋体" w:hAnsi="宋体" w:eastAsia="宋体" w:cs="宋体"/>
          <w:b/>
          <w:color w:val="auto"/>
          <w:kern w:val="0"/>
          <w:sz w:val="28"/>
          <w:szCs w:val="28"/>
          <w:highlight w:val="none"/>
          <w:u w:val="single"/>
        </w:rPr>
        <w:t xml:space="preserve"> </w:t>
      </w:r>
      <w:r>
        <w:rPr>
          <w:rFonts w:hint="eastAsia" w:ascii="宋体" w:hAnsi="宋体" w:eastAsia="宋体" w:cs="宋体"/>
          <w:b/>
          <w:color w:val="auto"/>
          <w:kern w:val="0"/>
          <w:sz w:val="28"/>
          <w:szCs w:val="28"/>
          <w:highlight w:val="none"/>
          <w:u w:val="single"/>
          <w:lang w:val="en-US" w:eastAsia="zh-CN"/>
        </w:rPr>
        <w:t xml:space="preserve">      </w:t>
      </w:r>
      <w:r>
        <w:rPr>
          <w:rFonts w:hint="eastAsia" w:ascii="宋体" w:hAnsi="宋体" w:eastAsia="宋体" w:cs="宋体"/>
          <w:b/>
          <w:color w:val="auto"/>
          <w:kern w:val="0"/>
          <w:sz w:val="28"/>
          <w:szCs w:val="28"/>
          <w:highlight w:val="none"/>
          <w:u w:val="single"/>
        </w:rPr>
        <w:t xml:space="preserve">竞争性磋商     </w:t>
      </w:r>
      <w:r>
        <w:rPr>
          <w:rFonts w:hint="eastAsia" w:ascii="宋体" w:hAnsi="宋体" w:eastAsia="宋体" w:cs="宋体"/>
          <w:b/>
          <w:color w:val="auto"/>
          <w:kern w:val="0"/>
          <w:sz w:val="28"/>
          <w:szCs w:val="28"/>
          <w:highlight w:val="none"/>
          <w:u w:val="single"/>
          <w:lang w:val="en-US" w:eastAsia="zh-CN"/>
        </w:rPr>
        <w:t xml:space="preserve"> </w:t>
      </w:r>
      <w:r>
        <w:rPr>
          <w:rFonts w:hint="eastAsia" w:ascii="宋体" w:hAnsi="宋体" w:eastAsia="宋体" w:cs="宋体"/>
          <w:b/>
          <w:color w:val="auto"/>
          <w:kern w:val="0"/>
          <w:sz w:val="28"/>
          <w:szCs w:val="28"/>
          <w:highlight w:val="none"/>
          <w:u w:val="single"/>
        </w:rPr>
        <w:t xml:space="preserve">   </w:t>
      </w:r>
      <w:r>
        <w:rPr>
          <w:rFonts w:hint="eastAsia" w:ascii="宋体" w:hAnsi="宋体" w:eastAsia="宋体" w:cs="宋体"/>
          <w:b/>
          <w:color w:val="auto"/>
          <w:kern w:val="0"/>
          <w:sz w:val="28"/>
          <w:szCs w:val="28"/>
          <w:highlight w:val="none"/>
          <w:u w:val="single"/>
          <w:lang w:val="en-US" w:eastAsia="zh-CN"/>
        </w:rPr>
        <w:t xml:space="preserve">       </w:t>
      </w:r>
      <w:r>
        <w:rPr>
          <w:rFonts w:hint="eastAsia" w:ascii="宋体" w:hAnsi="宋体" w:eastAsia="宋体" w:cs="宋体"/>
          <w:b/>
          <w:color w:val="auto"/>
          <w:kern w:val="0"/>
          <w:sz w:val="28"/>
          <w:szCs w:val="28"/>
          <w:highlight w:val="none"/>
          <w:u w:val="single"/>
        </w:rPr>
        <w:t xml:space="preserve">    </w:t>
      </w:r>
      <w:r>
        <w:rPr>
          <w:rFonts w:hint="eastAsia" w:ascii="宋体" w:hAnsi="宋体" w:eastAsia="宋体" w:cs="宋体"/>
          <w:b/>
          <w:color w:val="auto"/>
          <w:kern w:val="0"/>
          <w:sz w:val="28"/>
          <w:szCs w:val="28"/>
          <w:highlight w:val="none"/>
          <w:u w:val="single"/>
          <w:lang w:val="en-US" w:eastAsia="zh-CN"/>
        </w:rPr>
        <w:t xml:space="preserve">  </w:t>
      </w:r>
      <w:r>
        <w:rPr>
          <w:rFonts w:hint="eastAsia" w:ascii="宋体" w:hAnsi="宋体" w:eastAsia="宋体" w:cs="宋体"/>
          <w:b/>
          <w:color w:val="auto"/>
          <w:kern w:val="0"/>
          <w:sz w:val="28"/>
          <w:szCs w:val="28"/>
          <w:highlight w:val="none"/>
          <w:u w:val="single"/>
        </w:rPr>
        <w:t xml:space="preserve">  </w:t>
      </w:r>
    </w:p>
    <w:p>
      <w:pPr>
        <w:tabs>
          <w:tab w:val="left" w:pos="0"/>
          <w:tab w:val="left" w:pos="4773"/>
        </w:tabs>
        <w:autoSpaceDE w:val="0"/>
        <w:autoSpaceDN w:val="0"/>
        <w:adjustRightInd w:val="0"/>
        <w:spacing w:line="480" w:lineRule="auto"/>
        <w:ind w:right="94" w:rightChars="45"/>
        <w:rPr>
          <w:rFonts w:hint="eastAsia" w:ascii="宋体" w:hAnsi="宋体" w:eastAsia="宋体" w:cs="宋体"/>
          <w:b/>
          <w:color w:val="auto"/>
          <w:kern w:val="0"/>
          <w:sz w:val="28"/>
          <w:szCs w:val="28"/>
          <w:highlight w:val="none"/>
          <w:u w:val="single"/>
        </w:rPr>
      </w:pPr>
      <w:r>
        <w:rPr>
          <w:rFonts w:hint="eastAsia" w:ascii="宋体" w:hAnsi="宋体" w:eastAsia="宋体" w:cs="宋体"/>
          <w:b/>
          <w:color w:val="auto"/>
          <w:kern w:val="0"/>
          <w:sz w:val="28"/>
          <w:szCs w:val="28"/>
          <w:highlight w:val="none"/>
        </w:rPr>
        <w:t>采</w:t>
      </w:r>
      <w:r>
        <w:rPr>
          <w:rFonts w:hint="eastAsia" w:ascii="宋体" w:hAnsi="宋体" w:eastAsia="宋体" w:cs="宋体"/>
          <w:b/>
          <w:color w:val="auto"/>
          <w:kern w:val="0"/>
          <w:sz w:val="28"/>
          <w:szCs w:val="28"/>
          <w:highlight w:val="none"/>
          <w:lang w:val="en-US" w:eastAsia="zh-CN"/>
        </w:rPr>
        <w:t xml:space="preserve"> </w:t>
      </w:r>
      <w:r>
        <w:rPr>
          <w:rFonts w:hint="eastAsia" w:ascii="宋体" w:hAnsi="宋体" w:eastAsia="宋体" w:cs="宋体"/>
          <w:b/>
          <w:color w:val="auto"/>
          <w:kern w:val="0"/>
          <w:sz w:val="28"/>
          <w:szCs w:val="28"/>
          <w:highlight w:val="none"/>
        </w:rPr>
        <w:t>购</w:t>
      </w:r>
      <w:r>
        <w:rPr>
          <w:rFonts w:hint="eastAsia" w:ascii="宋体" w:hAnsi="宋体" w:eastAsia="宋体" w:cs="宋体"/>
          <w:b/>
          <w:color w:val="auto"/>
          <w:kern w:val="0"/>
          <w:sz w:val="28"/>
          <w:szCs w:val="28"/>
          <w:highlight w:val="none"/>
          <w:lang w:val="en-US" w:eastAsia="zh-CN"/>
        </w:rPr>
        <w:t xml:space="preserve"> </w:t>
      </w:r>
      <w:r>
        <w:rPr>
          <w:rFonts w:hint="eastAsia" w:ascii="宋体" w:hAnsi="宋体" w:eastAsia="宋体" w:cs="宋体"/>
          <w:b/>
          <w:color w:val="auto"/>
          <w:kern w:val="0"/>
          <w:sz w:val="28"/>
          <w:szCs w:val="28"/>
          <w:highlight w:val="none"/>
        </w:rPr>
        <w:t>人</w:t>
      </w:r>
      <w:r>
        <w:rPr>
          <w:rFonts w:hint="eastAsia" w:ascii="宋体" w:hAnsi="宋体" w:eastAsia="宋体" w:cs="宋体"/>
          <w:b/>
          <w:bCs/>
          <w:color w:val="auto"/>
          <w:kern w:val="0"/>
          <w:sz w:val="28"/>
          <w:szCs w:val="28"/>
          <w:highlight w:val="none"/>
        </w:rPr>
        <w:t>:</w:t>
      </w:r>
      <w:r>
        <w:rPr>
          <w:rFonts w:hint="eastAsia" w:ascii="宋体" w:hAnsi="宋体" w:cs="宋体"/>
          <w:b/>
          <w:bCs/>
          <w:color w:val="auto"/>
          <w:kern w:val="0"/>
          <w:sz w:val="28"/>
          <w:szCs w:val="28"/>
          <w:highlight w:val="none"/>
          <w:lang w:val="en-US" w:eastAsia="zh-CN"/>
        </w:rPr>
        <w:t xml:space="preserve"> </w:t>
      </w:r>
      <w:r>
        <w:rPr>
          <w:rFonts w:hint="eastAsia" w:ascii="宋体" w:hAnsi="宋体" w:eastAsia="宋体" w:cs="宋体"/>
          <w:b/>
          <w:bCs/>
          <w:color w:val="auto"/>
          <w:kern w:val="0"/>
          <w:sz w:val="28"/>
          <w:szCs w:val="28"/>
          <w:highlight w:val="none"/>
          <w:u w:val="single"/>
        </w:rPr>
        <w:t xml:space="preserve"> </w:t>
      </w:r>
      <w:r>
        <w:rPr>
          <w:rFonts w:hint="eastAsia" w:ascii="宋体" w:hAnsi="宋体" w:eastAsia="宋体" w:cs="宋体"/>
          <w:b/>
          <w:bCs/>
          <w:color w:val="auto"/>
          <w:kern w:val="0"/>
          <w:sz w:val="28"/>
          <w:szCs w:val="28"/>
          <w:highlight w:val="none"/>
          <w:u w:val="single"/>
          <w:lang w:val="en-US" w:eastAsia="zh-CN"/>
        </w:rPr>
        <w:t xml:space="preserve">  </w:t>
      </w:r>
      <w:r>
        <w:rPr>
          <w:rFonts w:hint="eastAsia" w:ascii="宋体" w:hAnsi="宋体" w:eastAsia="宋体" w:cs="宋体"/>
          <w:b/>
          <w:bCs/>
          <w:color w:val="auto"/>
          <w:kern w:val="0"/>
          <w:sz w:val="28"/>
          <w:szCs w:val="28"/>
          <w:highlight w:val="none"/>
          <w:u w:val="single"/>
        </w:rPr>
        <w:t xml:space="preserve"> </w:t>
      </w:r>
      <w:r>
        <w:rPr>
          <w:rFonts w:hint="eastAsia" w:ascii="宋体" w:hAnsi="宋体" w:eastAsia="宋体" w:cs="宋体"/>
          <w:b/>
          <w:bCs/>
          <w:color w:val="auto"/>
          <w:kern w:val="0"/>
          <w:sz w:val="28"/>
          <w:szCs w:val="28"/>
          <w:highlight w:val="none"/>
          <w:u w:val="single"/>
          <w:lang w:val="en-US" w:eastAsia="zh-CN"/>
        </w:rPr>
        <w:t xml:space="preserve">  </w:t>
      </w:r>
      <w:r>
        <w:rPr>
          <w:rFonts w:hint="eastAsia" w:ascii="宋体" w:hAnsi="宋体" w:eastAsia="宋体" w:cs="宋体"/>
          <w:b/>
          <w:bCs/>
          <w:color w:val="auto"/>
          <w:kern w:val="0"/>
          <w:sz w:val="28"/>
          <w:szCs w:val="28"/>
          <w:highlight w:val="none"/>
          <w:u w:val="single"/>
        </w:rPr>
        <w:t xml:space="preserve"> </w:t>
      </w:r>
      <w:r>
        <w:rPr>
          <w:rFonts w:hint="eastAsia" w:ascii="宋体" w:hAnsi="宋体" w:eastAsia="宋体" w:cs="宋体"/>
          <w:b/>
          <w:bCs/>
          <w:color w:val="auto"/>
          <w:kern w:val="0"/>
          <w:sz w:val="28"/>
          <w:szCs w:val="28"/>
          <w:highlight w:val="none"/>
          <w:u w:val="single"/>
          <w:lang w:val="en-US" w:eastAsia="zh-CN"/>
        </w:rPr>
        <w:t xml:space="preserve">           </w:t>
      </w:r>
      <w:r>
        <w:rPr>
          <w:rFonts w:hint="eastAsia" w:ascii="宋体" w:hAnsi="宋体" w:cs="宋体"/>
          <w:b/>
          <w:bCs w:val="0"/>
          <w:color w:val="auto"/>
          <w:sz w:val="28"/>
          <w:szCs w:val="28"/>
          <w:highlight w:val="none"/>
          <w:u w:val="single"/>
          <w:lang w:val="en-US" w:eastAsia="zh-CN"/>
        </w:rPr>
        <w:t>简阳市水务局</w:t>
      </w:r>
      <w:r>
        <w:rPr>
          <w:rFonts w:hint="eastAsia" w:ascii="宋体" w:hAnsi="宋体" w:eastAsia="宋体" w:cs="宋体"/>
          <w:b/>
          <w:color w:val="auto"/>
          <w:kern w:val="0"/>
          <w:sz w:val="28"/>
          <w:szCs w:val="28"/>
          <w:highlight w:val="none"/>
          <w:u w:val="single"/>
        </w:rPr>
        <w:t xml:space="preserve">        </w:t>
      </w:r>
      <w:r>
        <w:rPr>
          <w:rFonts w:hint="eastAsia" w:ascii="宋体" w:hAnsi="宋体" w:eastAsia="宋体" w:cs="宋体"/>
          <w:b/>
          <w:color w:val="auto"/>
          <w:kern w:val="0"/>
          <w:sz w:val="28"/>
          <w:szCs w:val="28"/>
          <w:highlight w:val="none"/>
          <w:u w:val="single"/>
          <w:lang w:val="en-US" w:eastAsia="zh-CN"/>
        </w:rPr>
        <w:t xml:space="preserve">          </w:t>
      </w:r>
      <w:r>
        <w:rPr>
          <w:rFonts w:hint="eastAsia" w:ascii="宋体" w:hAnsi="宋体" w:eastAsia="宋体" w:cs="宋体"/>
          <w:b/>
          <w:color w:val="auto"/>
          <w:kern w:val="0"/>
          <w:sz w:val="28"/>
          <w:szCs w:val="28"/>
          <w:highlight w:val="none"/>
          <w:u w:val="single"/>
        </w:rPr>
        <w:t xml:space="preserve"> </w:t>
      </w:r>
      <w:r>
        <w:rPr>
          <w:rFonts w:hint="eastAsia" w:ascii="宋体" w:hAnsi="宋体" w:eastAsia="宋体" w:cs="宋体"/>
          <w:b/>
          <w:color w:val="auto"/>
          <w:kern w:val="0"/>
          <w:sz w:val="28"/>
          <w:szCs w:val="28"/>
          <w:highlight w:val="none"/>
          <w:u w:val="single"/>
          <w:lang w:val="en-US" w:eastAsia="zh-CN"/>
        </w:rPr>
        <w:t xml:space="preserve"> </w:t>
      </w:r>
      <w:r>
        <w:rPr>
          <w:rFonts w:hint="eastAsia" w:ascii="宋体" w:hAnsi="宋体" w:eastAsia="宋体" w:cs="宋体"/>
          <w:b/>
          <w:color w:val="auto"/>
          <w:kern w:val="0"/>
          <w:sz w:val="28"/>
          <w:szCs w:val="28"/>
          <w:highlight w:val="none"/>
          <w:u w:val="single"/>
        </w:rPr>
        <w:t xml:space="preserve"> </w:t>
      </w:r>
      <w:r>
        <w:rPr>
          <w:rFonts w:hint="eastAsia" w:ascii="宋体" w:hAnsi="宋体" w:eastAsia="宋体" w:cs="宋体"/>
          <w:b/>
          <w:color w:val="auto"/>
          <w:kern w:val="0"/>
          <w:sz w:val="28"/>
          <w:szCs w:val="28"/>
          <w:highlight w:val="none"/>
          <w:u w:val="single"/>
          <w:lang w:val="en-US" w:eastAsia="zh-CN"/>
        </w:rPr>
        <w:t xml:space="preserve"> </w:t>
      </w:r>
      <w:r>
        <w:rPr>
          <w:rFonts w:hint="eastAsia" w:ascii="宋体" w:hAnsi="宋体" w:eastAsia="宋体" w:cs="宋体"/>
          <w:b/>
          <w:color w:val="auto"/>
          <w:kern w:val="0"/>
          <w:sz w:val="28"/>
          <w:szCs w:val="28"/>
          <w:highlight w:val="none"/>
          <w:u w:val="single"/>
        </w:rPr>
        <w:t xml:space="preserve"> </w:t>
      </w:r>
    </w:p>
    <w:p>
      <w:pPr>
        <w:tabs>
          <w:tab w:val="left" w:pos="0"/>
          <w:tab w:val="left" w:pos="4773"/>
        </w:tabs>
        <w:autoSpaceDE w:val="0"/>
        <w:autoSpaceDN w:val="0"/>
        <w:adjustRightInd w:val="0"/>
        <w:spacing w:line="480" w:lineRule="auto"/>
        <w:ind w:right="94" w:rightChars="45"/>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8"/>
          <w:szCs w:val="28"/>
          <w:highlight w:val="none"/>
        </w:rPr>
        <w:t>采购代理机构</w:t>
      </w:r>
      <w:r>
        <w:rPr>
          <w:rFonts w:hint="eastAsia" w:ascii="宋体" w:hAnsi="宋体" w:eastAsia="宋体" w:cs="宋体"/>
          <w:b/>
          <w:bCs/>
          <w:color w:val="auto"/>
          <w:kern w:val="0"/>
          <w:sz w:val="28"/>
          <w:szCs w:val="28"/>
          <w:highlight w:val="none"/>
        </w:rPr>
        <w:t>:</w:t>
      </w:r>
      <w:r>
        <w:rPr>
          <w:rFonts w:hint="eastAsia" w:ascii="宋体" w:hAnsi="宋体" w:cs="宋体"/>
          <w:b/>
          <w:bCs/>
          <w:color w:val="auto"/>
          <w:kern w:val="0"/>
          <w:sz w:val="28"/>
          <w:szCs w:val="28"/>
          <w:highlight w:val="none"/>
          <w:lang w:val="en-US" w:eastAsia="zh-CN"/>
        </w:rPr>
        <w:t xml:space="preserve"> </w:t>
      </w:r>
      <w:r>
        <w:rPr>
          <w:rFonts w:hint="eastAsia" w:ascii="宋体" w:hAnsi="宋体" w:eastAsia="宋体" w:cs="宋体"/>
          <w:b/>
          <w:bCs/>
          <w:color w:val="auto"/>
          <w:kern w:val="0"/>
          <w:sz w:val="28"/>
          <w:szCs w:val="28"/>
          <w:highlight w:val="none"/>
          <w:u w:val="single"/>
        </w:rPr>
        <w:t xml:space="preserve"> </w:t>
      </w:r>
      <w:r>
        <w:rPr>
          <w:rFonts w:hint="eastAsia" w:ascii="宋体" w:hAnsi="宋体" w:eastAsia="宋体" w:cs="宋体"/>
          <w:b/>
          <w:bCs/>
          <w:color w:val="auto"/>
          <w:kern w:val="0"/>
          <w:sz w:val="28"/>
          <w:szCs w:val="28"/>
          <w:highlight w:val="none"/>
          <w:u w:val="single"/>
          <w:lang w:val="en-US" w:eastAsia="zh-CN"/>
        </w:rPr>
        <w:t xml:space="preserve">       </w:t>
      </w:r>
      <w:r>
        <w:rPr>
          <w:rFonts w:hint="eastAsia" w:ascii="宋体" w:hAnsi="宋体" w:eastAsia="宋体" w:cs="宋体"/>
          <w:b/>
          <w:color w:val="auto"/>
          <w:kern w:val="0"/>
          <w:sz w:val="28"/>
          <w:szCs w:val="28"/>
          <w:highlight w:val="none"/>
          <w:u w:val="single"/>
          <w:lang w:eastAsia="zh-CN"/>
        </w:rPr>
        <w:t>四川东来印象招标代理有限公司</w:t>
      </w:r>
      <w:r>
        <w:rPr>
          <w:rFonts w:hint="eastAsia" w:ascii="宋体" w:hAnsi="宋体" w:eastAsia="宋体" w:cs="宋体"/>
          <w:b/>
          <w:color w:val="auto"/>
          <w:kern w:val="0"/>
          <w:sz w:val="28"/>
          <w:szCs w:val="28"/>
          <w:highlight w:val="none"/>
          <w:u w:val="single"/>
        </w:rPr>
        <w:t xml:space="preserve"> </w:t>
      </w:r>
      <w:r>
        <w:rPr>
          <w:rFonts w:hint="eastAsia" w:ascii="宋体" w:hAnsi="宋体" w:eastAsia="宋体" w:cs="宋体"/>
          <w:b/>
          <w:color w:val="auto"/>
          <w:kern w:val="0"/>
          <w:sz w:val="28"/>
          <w:szCs w:val="28"/>
          <w:highlight w:val="none"/>
          <w:u w:val="single"/>
          <w:lang w:val="en-US" w:eastAsia="zh-CN"/>
        </w:rPr>
        <w:t xml:space="preserve">           </w:t>
      </w:r>
      <w:r>
        <w:rPr>
          <w:rFonts w:hint="eastAsia" w:ascii="宋体" w:hAnsi="宋体" w:eastAsia="宋体" w:cs="宋体"/>
          <w:b/>
          <w:color w:val="auto"/>
          <w:kern w:val="0"/>
          <w:sz w:val="28"/>
          <w:szCs w:val="28"/>
          <w:highlight w:val="none"/>
          <w:u w:val="single"/>
        </w:rPr>
        <w:t xml:space="preserve"> </w:t>
      </w:r>
    </w:p>
    <w:p>
      <w:pPr>
        <w:spacing w:line="500" w:lineRule="exact"/>
        <w:jc w:val="both"/>
        <w:rPr>
          <w:rFonts w:hint="eastAsia" w:ascii="宋体" w:hAnsi="宋体" w:eastAsia="宋体" w:cs="宋体"/>
          <w:b/>
          <w:bCs/>
          <w:color w:val="auto"/>
          <w:sz w:val="32"/>
          <w:szCs w:val="40"/>
          <w:highlight w:val="none"/>
        </w:rPr>
      </w:pPr>
    </w:p>
    <w:p>
      <w:pPr>
        <w:spacing w:line="500" w:lineRule="exact"/>
        <w:ind w:firstLine="640"/>
        <w:jc w:val="center"/>
        <w:rPr>
          <w:rFonts w:hint="eastAsia" w:ascii="宋体" w:hAnsi="宋体" w:eastAsia="宋体" w:cs="宋体"/>
          <w:b/>
          <w:bCs/>
          <w:color w:val="auto"/>
          <w:sz w:val="32"/>
          <w:szCs w:val="40"/>
          <w:highlight w:val="none"/>
        </w:rPr>
      </w:pPr>
    </w:p>
    <w:p>
      <w:pPr>
        <w:spacing w:line="500" w:lineRule="exact"/>
        <w:ind w:firstLine="640"/>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中国·四川（成都）</w:t>
      </w:r>
    </w:p>
    <w:p>
      <w:pPr>
        <w:spacing w:line="500" w:lineRule="exact"/>
        <w:ind w:firstLine="320" w:firstLineChars="100"/>
        <w:jc w:val="center"/>
        <w:rPr>
          <w:rFonts w:hint="eastAsia" w:ascii="宋体" w:hAnsi="宋体" w:eastAsia="宋体" w:cs="宋体"/>
          <w:color w:val="auto"/>
          <w:highlight w:val="none"/>
          <w:lang w:val="en-US" w:eastAsia="zh-CN"/>
        </w:rPr>
      </w:pPr>
      <w:r>
        <w:rPr>
          <w:rFonts w:hint="eastAsia" w:ascii="宋体" w:hAnsi="宋体" w:eastAsia="宋体" w:cs="宋体"/>
          <w:b/>
          <w:bCs/>
          <w:color w:val="auto"/>
          <w:sz w:val="32"/>
          <w:szCs w:val="40"/>
          <w:highlight w:val="none"/>
          <w:lang w:val="en-US" w:eastAsia="zh-CN"/>
        </w:rPr>
        <w:t>采购人：</w:t>
      </w:r>
      <w:r>
        <w:rPr>
          <w:rFonts w:hint="eastAsia" w:ascii="宋体" w:hAnsi="宋体" w:cs="宋体"/>
          <w:b/>
          <w:bCs/>
          <w:color w:val="auto"/>
          <w:sz w:val="32"/>
          <w:szCs w:val="40"/>
          <w:highlight w:val="none"/>
          <w:lang w:val="en-US" w:eastAsia="zh-CN"/>
        </w:rPr>
        <w:t>简阳市水务局</w:t>
      </w:r>
    </w:p>
    <w:p>
      <w:pPr>
        <w:spacing w:line="500" w:lineRule="exact"/>
        <w:ind w:firstLine="320" w:firstLineChars="100"/>
        <w:jc w:val="center"/>
        <w:rPr>
          <w:rFonts w:hint="eastAsia" w:ascii="宋体" w:hAnsi="宋体" w:eastAsia="宋体" w:cs="宋体"/>
          <w:b/>
          <w:bCs/>
          <w:color w:val="auto"/>
          <w:sz w:val="32"/>
          <w:szCs w:val="40"/>
          <w:highlight w:val="none"/>
          <w:lang w:eastAsia="zh-CN"/>
        </w:rPr>
      </w:pPr>
      <w:r>
        <w:rPr>
          <w:rFonts w:hint="eastAsia" w:ascii="宋体" w:hAnsi="宋体" w:eastAsia="宋体" w:cs="宋体"/>
          <w:b/>
          <w:bCs/>
          <w:color w:val="auto"/>
          <w:sz w:val="32"/>
          <w:szCs w:val="32"/>
          <w:highlight w:val="none"/>
          <w:u w:val="none"/>
          <w:lang w:eastAsia="zh-CN"/>
        </w:rPr>
        <w:t>采购代理机构：四川东来印象招标代理有限公司</w:t>
      </w:r>
    </w:p>
    <w:p>
      <w:pPr>
        <w:spacing w:line="500" w:lineRule="exact"/>
        <w:ind w:firstLine="320" w:firstLineChars="100"/>
        <w:jc w:val="center"/>
        <w:rPr>
          <w:rFonts w:hint="eastAsia" w:ascii="宋体" w:hAnsi="宋体" w:eastAsia="宋体" w:cs="宋体"/>
          <w:color w:val="auto"/>
          <w:szCs w:val="21"/>
          <w:highlight w:val="none"/>
        </w:rPr>
      </w:pPr>
      <w:r>
        <w:rPr>
          <w:rFonts w:hint="eastAsia" w:ascii="宋体" w:hAnsi="宋体" w:eastAsia="宋体" w:cs="宋体"/>
          <w:b/>
          <w:bCs/>
          <w:color w:val="auto"/>
          <w:sz w:val="32"/>
          <w:szCs w:val="40"/>
          <w:highlight w:val="none"/>
          <w:lang w:eastAsia="zh-CN"/>
        </w:rPr>
        <w:t>文件编制：由采购人和采购代理机构</w:t>
      </w:r>
      <w:r>
        <w:rPr>
          <w:rFonts w:hint="eastAsia" w:ascii="宋体" w:hAnsi="宋体" w:eastAsia="宋体" w:cs="宋体"/>
          <w:b/>
          <w:bCs/>
          <w:color w:val="auto"/>
          <w:sz w:val="32"/>
          <w:szCs w:val="40"/>
          <w:highlight w:val="none"/>
        </w:rPr>
        <w:t>共同</w:t>
      </w:r>
      <w:r>
        <w:rPr>
          <w:rFonts w:hint="eastAsia" w:ascii="宋体" w:hAnsi="宋体" w:eastAsia="宋体" w:cs="宋体"/>
          <w:b/>
          <w:bCs/>
          <w:color w:val="auto"/>
          <w:sz w:val="32"/>
          <w:szCs w:val="40"/>
          <w:highlight w:val="none"/>
          <w:lang w:eastAsia="zh-CN"/>
        </w:rPr>
        <w:t>编制</w:t>
      </w:r>
    </w:p>
    <w:p>
      <w:pPr>
        <w:spacing w:line="500" w:lineRule="exact"/>
        <w:jc w:val="center"/>
        <w:rPr>
          <w:rFonts w:hint="eastAsia" w:ascii="宋体" w:hAnsi="宋体" w:eastAsia="宋体" w:cs="宋体"/>
          <w:b/>
          <w:bCs/>
          <w:color w:val="auto"/>
          <w:sz w:val="32"/>
          <w:szCs w:val="40"/>
          <w:highlight w:val="none"/>
        </w:rPr>
      </w:pPr>
    </w:p>
    <w:p>
      <w:pPr>
        <w:spacing w:line="500" w:lineRule="exact"/>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二〇二</w:t>
      </w:r>
      <w:r>
        <w:rPr>
          <w:rFonts w:hint="eastAsia" w:ascii="宋体" w:hAnsi="宋体" w:eastAsia="宋体" w:cs="宋体"/>
          <w:b/>
          <w:bCs/>
          <w:color w:val="auto"/>
          <w:sz w:val="32"/>
          <w:szCs w:val="40"/>
          <w:highlight w:val="none"/>
          <w:lang w:eastAsia="zh-CN"/>
        </w:rPr>
        <w:t>一</w:t>
      </w:r>
      <w:r>
        <w:rPr>
          <w:rFonts w:hint="eastAsia" w:ascii="宋体" w:hAnsi="宋体" w:eastAsia="宋体" w:cs="宋体"/>
          <w:b/>
          <w:bCs/>
          <w:color w:val="auto"/>
          <w:sz w:val="32"/>
          <w:szCs w:val="40"/>
          <w:highlight w:val="none"/>
        </w:rPr>
        <w:t>年</w:t>
      </w:r>
      <w:r>
        <w:rPr>
          <w:rFonts w:hint="eastAsia" w:ascii="宋体" w:hAnsi="宋体" w:cs="宋体"/>
          <w:b/>
          <w:bCs/>
          <w:color w:val="auto"/>
          <w:sz w:val="32"/>
          <w:szCs w:val="40"/>
          <w:highlight w:val="none"/>
          <w:lang w:eastAsia="zh-CN"/>
        </w:rPr>
        <w:t>五</w:t>
      </w:r>
      <w:r>
        <w:rPr>
          <w:rFonts w:hint="eastAsia" w:ascii="宋体" w:hAnsi="宋体" w:eastAsia="宋体" w:cs="宋体"/>
          <w:b/>
          <w:bCs/>
          <w:color w:val="auto"/>
          <w:sz w:val="32"/>
          <w:szCs w:val="40"/>
          <w:highlight w:val="none"/>
        </w:rPr>
        <w:t>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Style w:val="20"/>
          <w:rFonts w:hint="eastAsia" w:ascii="宋体" w:hAnsi="宋体" w:eastAsia="宋体" w:cs="宋体"/>
          <w:color w:val="auto"/>
          <w:highlight w:val="none"/>
          <w:lang w:eastAsia="zh-CN"/>
        </w:rPr>
        <w:sectPr>
          <w:headerReference r:id="rId4" w:type="first"/>
          <w:footerReference r:id="rId5" w:type="first"/>
          <w:headerReference r:id="rId3" w:type="default"/>
          <w:pgSz w:w="11906" w:h="16838"/>
          <w:pgMar w:top="1440" w:right="1800" w:bottom="1440" w:left="1800" w:header="850" w:footer="1134" w:gutter="0"/>
          <w:pgBorders>
            <w:top w:val="none" w:sz="0" w:space="0"/>
            <w:left w:val="none" w:sz="0" w:space="0"/>
            <w:bottom w:val="single" w:color="auto" w:sz="4" w:space="1"/>
            <w:right w:val="none" w:sz="0" w:space="0"/>
          </w:pgBorders>
          <w:pgNumType w:fmt="decimal"/>
          <w:cols w:space="720" w:num="1"/>
          <w:titlePg/>
          <w:docGrid w:type="linesAndChar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Style w:val="20"/>
          <w:rFonts w:hint="eastAsia" w:ascii="宋体" w:hAnsi="宋体" w:eastAsia="宋体" w:cs="宋体"/>
          <w:color w:val="auto"/>
          <w:highlight w:val="none"/>
          <w:lang w:eastAsia="zh-CN"/>
        </w:rPr>
      </w:pPr>
      <w:bookmarkStart w:id="2" w:name="_Toc10674"/>
      <w:r>
        <w:rPr>
          <w:rStyle w:val="20"/>
          <w:rFonts w:hint="eastAsia" w:ascii="宋体" w:hAnsi="宋体" w:eastAsia="宋体" w:cs="宋体"/>
          <w:color w:val="auto"/>
          <w:highlight w:val="none"/>
          <w:lang w:eastAsia="zh-CN"/>
        </w:rPr>
        <w:t>目</w:t>
      </w:r>
      <w:r>
        <w:rPr>
          <w:rStyle w:val="20"/>
          <w:rFonts w:hint="eastAsia" w:ascii="宋体" w:hAnsi="宋体" w:eastAsia="宋体" w:cs="宋体"/>
          <w:color w:val="auto"/>
          <w:highlight w:val="none"/>
          <w:lang w:val="en-US" w:eastAsia="zh-CN"/>
        </w:rPr>
        <w:t xml:space="preserve"> </w:t>
      </w:r>
      <w:r>
        <w:rPr>
          <w:rStyle w:val="20"/>
          <w:rFonts w:hint="eastAsia" w:ascii="宋体" w:hAnsi="宋体" w:eastAsia="宋体" w:cs="宋体"/>
          <w:color w:val="auto"/>
          <w:highlight w:val="none"/>
          <w:lang w:eastAsia="zh-CN"/>
        </w:rPr>
        <w:t>录</w:t>
      </w:r>
      <w:bookmarkEnd w:id="2"/>
    </w:p>
    <w:p>
      <w:pPr>
        <w:pStyle w:val="12"/>
        <w:tabs>
          <w:tab w:val="right" w:leader="dot" w:pos="8307"/>
        </w:tabs>
        <w:spacing w:line="360" w:lineRule="auto"/>
        <w:rPr>
          <w:rFonts w:hint="eastAsia" w:ascii="宋体" w:hAnsi="宋体" w:eastAsia="宋体" w:cs="宋体"/>
          <w:b/>
          <w:bCs/>
          <w:sz w:val="28"/>
          <w:szCs w:val="28"/>
        </w:rPr>
      </w:pPr>
      <w:r>
        <w:rPr>
          <w:rFonts w:hint="eastAsia" w:ascii="宋体" w:hAnsi="宋体" w:eastAsia="宋体" w:cs="宋体"/>
          <w:b/>
          <w:bCs/>
          <w:color w:val="auto"/>
          <w:sz w:val="28"/>
          <w:szCs w:val="28"/>
          <w:highlight w:val="none"/>
          <w:lang w:eastAsia="zh-CN"/>
        </w:rPr>
        <w:fldChar w:fldCharType="begin"/>
      </w:r>
      <w:r>
        <w:rPr>
          <w:rFonts w:hint="eastAsia" w:ascii="宋体" w:hAnsi="宋体" w:eastAsia="宋体" w:cs="宋体"/>
          <w:b/>
          <w:bCs/>
          <w:color w:val="auto"/>
          <w:sz w:val="28"/>
          <w:szCs w:val="28"/>
          <w:highlight w:val="none"/>
          <w:lang w:eastAsia="zh-CN"/>
        </w:rPr>
        <w:instrText xml:space="preserve">TOC \o "1-3" \h \u </w:instrText>
      </w:r>
      <w:r>
        <w:rPr>
          <w:rFonts w:hint="eastAsia" w:ascii="宋体" w:hAnsi="宋体" w:eastAsia="宋体" w:cs="宋体"/>
          <w:b/>
          <w:bCs/>
          <w:color w:val="auto"/>
          <w:sz w:val="28"/>
          <w:szCs w:val="28"/>
          <w:highlight w:val="none"/>
          <w:lang w:eastAsia="zh-CN"/>
        </w:rPr>
        <w:fldChar w:fldCharType="separate"/>
      </w:r>
      <w:r>
        <w:rPr>
          <w:rFonts w:hint="eastAsia" w:ascii="宋体" w:hAnsi="宋体" w:eastAsia="宋体" w:cs="宋体"/>
          <w:b/>
          <w:bCs/>
          <w:color w:val="auto"/>
          <w:sz w:val="28"/>
          <w:szCs w:val="28"/>
          <w:highlight w:val="none"/>
          <w:lang w:eastAsia="zh-CN"/>
        </w:rPr>
        <w:fldChar w:fldCharType="begin"/>
      </w:r>
      <w:r>
        <w:rPr>
          <w:rFonts w:hint="eastAsia" w:ascii="宋体" w:hAnsi="宋体" w:eastAsia="宋体" w:cs="宋体"/>
          <w:b/>
          <w:bCs/>
          <w:sz w:val="28"/>
          <w:szCs w:val="28"/>
          <w:highlight w:val="none"/>
          <w:lang w:eastAsia="zh-CN"/>
        </w:rPr>
        <w:instrText xml:space="preserve"> HYPERLINK \l _Toc10674 </w:instrText>
      </w:r>
      <w:r>
        <w:rPr>
          <w:rFonts w:hint="eastAsia" w:ascii="宋体" w:hAnsi="宋体" w:eastAsia="宋体" w:cs="宋体"/>
          <w:b/>
          <w:bCs/>
          <w:sz w:val="28"/>
          <w:szCs w:val="28"/>
          <w:highlight w:val="none"/>
          <w:lang w:eastAsia="zh-CN"/>
        </w:rPr>
        <w:fldChar w:fldCharType="separate"/>
      </w:r>
      <w:r>
        <w:rPr>
          <w:rFonts w:hint="eastAsia" w:ascii="宋体" w:hAnsi="宋体" w:eastAsia="宋体" w:cs="宋体"/>
          <w:b/>
          <w:bCs/>
          <w:sz w:val="28"/>
          <w:szCs w:val="28"/>
          <w:highlight w:val="none"/>
          <w:lang w:eastAsia="zh-CN"/>
        </w:rPr>
        <w:t>目</w:t>
      </w:r>
      <w:r>
        <w:rPr>
          <w:rFonts w:hint="eastAsia" w:ascii="宋体" w:hAnsi="宋体" w:eastAsia="宋体" w:cs="宋体"/>
          <w:b/>
          <w:bCs/>
          <w:sz w:val="28"/>
          <w:szCs w:val="28"/>
          <w:highlight w:val="none"/>
          <w:lang w:val="en-US" w:eastAsia="zh-CN"/>
        </w:rPr>
        <w:t xml:space="preserve"> </w:t>
      </w:r>
      <w:r>
        <w:rPr>
          <w:rFonts w:hint="eastAsia" w:ascii="宋体" w:hAnsi="宋体" w:eastAsia="宋体" w:cs="宋体"/>
          <w:b/>
          <w:bCs/>
          <w:sz w:val="28"/>
          <w:szCs w:val="28"/>
          <w:highlight w:val="none"/>
          <w:lang w:eastAsia="zh-CN"/>
        </w:rPr>
        <w:t>录</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_Toc10674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highlight w:val="none"/>
          <w:lang w:eastAsia="zh-CN"/>
        </w:rPr>
        <w:fldChar w:fldCharType="end"/>
      </w:r>
    </w:p>
    <w:p>
      <w:pPr>
        <w:pStyle w:val="12"/>
        <w:tabs>
          <w:tab w:val="right" w:leader="dot" w:pos="8307"/>
        </w:tabs>
        <w:spacing w:line="360" w:lineRule="auto"/>
        <w:rPr>
          <w:rFonts w:hint="eastAsia" w:ascii="宋体" w:hAnsi="宋体" w:eastAsia="宋体" w:cs="宋体"/>
          <w:b/>
          <w:bCs/>
          <w:sz w:val="28"/>
          <w:szCs w:val="28"/>
        </w:rPr>
      </w:pPr>
      <w:r>
        <w:rPr>
          <w:rFonts w:hint="eastAsia" w:ascii="宋体" w:hAnsi="宋体" w:eastAsia="宋体" w:cs="宋体"/>
          <w:b/>
          <w:bCs/>
          <w:color w:val="auto"/>
          <w:sz w:val="28"/>
          <w:szCs w:val="28"/>
          <w:highlight w:val="none"/>
          <w:lang w:eastAsia="zh-CN"/>
        </w:rPr>
        <w:fldChar w:fldCharType="begin"/>
      </w:r>
      <w:r>
        <w:rPr>
          <w:rFonts w:hint="eastAsia" w:ascii="宋体" w:hAnsi="宋体" w:eastAsia="宋体" w:cs="宋体"/>
          <w:b/>
          <w:bCs/>
          <w:sz w:val="28"/>
          <w:szCs w:val="28"/>
          <w:highlight w:val="none"/>
          <w:lang w:eastAsia="zh-CN"/>
        </w:rPr>
        <w:instrText xml:space="preserve"> HYPERLINK \l _Toc31035 </w:instrText>
      </w:r>
      <w:r>
        <w:rPr>
          <w:rFonts w:hint="eastAsia" w:ascii="宋体" w:hAnsi="宋体" w:eastAsia="宋体" w:cs="宋体"/>
          <w:b/>
          <w:bCs/>
          <w:sz w:val="28"/>
          <w:szCs w:val="28"/>
          <w:highlight w:val="none"/>
          <w:lang w:eastAsia="zh-CN"/>
        </w:rPr>
        <w:fldChar w:fldCharType="separate"/>
      </w:r>
      <w:r>
        <w:rPr>
          <w:rFonts w:hint="eastAsia" w:ascii="宋体" w:hAnsi="宋体" w:eastAsia="宋体" w:cs="宋体"/>
          <w:b/>
          <w:bCs/>
          <w:sz w:val="28"/>
          <w:szCs w:val="28"/>
          <w:highlight w:val="none"/>
        </w:rPr>
        <w:t>第一章</w:t>
      </w:r>
      <w:r>
        <w:rPr>
          <w:rFonts w:hint="eastAsia" w:ascii="宋体" w:hAnsi="宋体" w:eastAsia="宋体" w:cs="宋体"/>
          <w:b/>
          <w:bCs/>
          <w:sz w:val="28"/>
          <w:szCs w:val="28"/>
          <w:highlight w:val="none"/>
          <w:lang w:val="en-US" w:eastAsia="zh-CN"/>
        </w:rPr>
        <w:t xml:space="preserve">  </w:t>
      </w:r>
      <w:r>
        <w:rPr>
          <w:rFonts w:hint="eastAsia" w:ascii="宋体" w:hAnsi="宋体" w:eastAsia="宋体" w:cs="宋体"/>
          <w:b/>
          <w:bCs/>
          <w:sz w:val="28"/>
          <w:szCs w:val="28"/>
          <w:highlight w:val="none"/>
        </w:rPr>
        <w:t>磋商邀请</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_Toc31035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highlight w:val="none"/>
          <w:lang w:eastAsia="zh-CN"/>
        </w:rPr>
        <w:fldChar w:fldCharType="end"/>
      </w:r>
    </w:p>
    <w:p>
      <w:pPr>
        <w:pStyle w:val="12"/>
        <w:tabs>
          <w:tab w:val="right" w:leader="dot" w:pos="8307"/>
        </w:tabs>
        <w:spacing w:line="360" w:lineRule="auto"/>
        <w:rPr>
          <w:rFonts w:hint="eastAsia" w:ascii="宋体" w:hAnsi="宋体" w:eastAsia="宋体" w:cs="宋体"/>
          <w:b/>
          <w:bCs/>
          <w:sz w:val="28"/>
          <w:szCs w:val="28"/>
        </w:rPr>
      </w:pPr>
      <w:r>
        <w:rPr>
          <w:rFonts w:hint="eastAsia" w:ascii="宋体" w:hAnsi="宋体" w:eastAsia="宋体" w:cs="宋体"/>
          <w:b/>
          <w:bCs/>
          <w:color w:val="auto"/>
          <w:sz w:val="28"/>
          <w:szCs w:val="28"/>
          <w:highlight w:val="none"/>
          <w:lang w:eastAsia="zh-CN"/>
        </w:rPr>
        <w:fldChar w:fldCharType="begin"/>
      </w:r>
      <w:r>
        <w:rPr>
          <w:rFonts w:hint="eastAsia" w:ascii="宋体" w:hAnsi="宋体" w:eastAsia="宋体" w:cs="宋体"/>
          <w:b/>
          <w:bCs/>
          <w:sz w:val="28"/>
          <w:szCs w:val="28"/>
          <w:highlight w:val="none"/>
          <w:lang w:eastAsia="zh-CN"/>
        </w:rPr>
        <w:instrText xml:space="preserve"> HYPERLINK \l _Toc2129 </w:instrText>
      </w:r>
      <w:r>
        <w:rPr>
          <w:rFonts w:hint="eastAsia" w:ascii="宋体" w:hAnsi="宋体" w:eastAsia="宋体" w:cs="宋体"/>
          <w:b/>
          <w:bCs/>
          <w:sz w:val="28"/>
          <w:szCs w:val="28"/>
          <w:highlight w:val="none"/>
          <w:lang w:eastAsia="zh-CN"/>
        </w:rPr>
        <w:fldChar w:fldCharType="separate"/>
      </w:r>
      <w:r>
        <w:rPr>
          <w:rFonts w:hint="eastAsia" w:ascii="宋体" w:hAnsi="宋体" w:eastAsia="宋体" w:cs="宋体"/>
          <w:b/>
          <w:bCs/>
          <w:sz w:val="28"/>
          <w:szCs w:val="28"/>
          <w:highlight w:val="none"/>
          <w:lang w:val="en-US" w:eastAsia="zh-CN" w:bidi="ar-SA"/>
        </w:rPr>
        <w:t>第二章  磋商须知</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_Toc2129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6</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highlight w:val="none"/>
          <w:lang w:eastAsia="zh-CN"/>
        </w:rPr>
        <w:fldChar w:fldCharType="end"/>
      </w:r>
    </w:p>
    <w:p>
      <w:pPr>
        <w:pStyle w:val="12"/>
        <w:tabs>
          <w:tab w:val="right" w:leader="dot" w:pos="8307"/>
        </w:tabs>
        <w:spacing w:line="360" w:lineRule="auto"/>
        <w:rPr>
          <w:rFonts w:hint="eastAsia" w:ascii="宋体" w:hAnsi="宋体" w:eastAsia="宋体" w:cs="宋体"/>
          <w:b/>
          <w:bCs/>
          <w:sz w:val="28"/>
          <w:szCs w:val="28"/>
        </w:rPr>
      </w:pPr>
      <w:r>
        <w:rPr>
          <w:rFonts w:hint="eastAsia" w:ascii="宋体" w:hAnsi="宋体" w:eastAsia="宋体" w:cs="宋体"/>
          <w:b/>
          <w:bCs/>
          <w:color w:val="auto"/>
          <w:sz w:val="28"/>
          <w:szCs w:val="28"/>
          <w:highlight w:val="none"/>
          <w:lang w:eastAsia="zh-CN"/>
        </w:rPr>
        <w:fldChar w:fldCharType="begin"/>
      </w:r>
      <w:r>
        <w:rPr>
          <w:rFonts w:hint="eastAsia" w:ascii="宋体" w:hAnsi="宋体" w:eastAsia="宋体" w:cs="宋体"/>
          <w:b/>
          <w:bCs/>
          <w:sz w:val="28"/>
          <w:szCs w:val="28"/>
          <w:highlight w:val="none"/>
          <w:lang w:eastAsia="zh-CN"/>
        </w:rPr>
        <w:instrText xml:space="preserve"> HYPERLINK \l _Toc12578 </w:instrText>
      </w:r>
      <w:r>
        <w:rPr>
          <w:rFonts w:hint="eastAsia" w:ascii="宋体" w:hAnsi="宋体" w:eastAsia="宋体" w:cs="宋体"/>
          <w:b/>
          <w:bCs/>
          <w:sz w:val="28"/>
          <w:szCs w:val="28"/>
          <w:highlight w:val="none"/>
          <w:lang w:eastAsia="zh-CN"/>
        </w:rPr>
        <w:fldChar w:fldCharType="separate"/>
      </w:r>
      <w:r>
        <w:rPr>
          <w:rFonts w:hint="eastAsia" w:ascii="宋体" w:hAnsi="宋体" w:eastAsia="宋体" w:cs="宋体"/>
          <w:b/>
          <w:bCs/>
          <w:sz w:val="28"/>
          <w:szCs w:val="28"/>
          <w:highlight w:val="none"/>
        </w:rPr>
        <w:t>第三章</w:t>
      </w:r>
      <w:r>
        <w:rPr>
          <w:rFonts w:hint="eastAsia" w:ascii="宋体" w:hAnsi="宋体" w:eastAsia="宋体" w:cs="宋体"/>
          <w:b/>
          <w:bCs/>
          <w:sz w:val="28"/>
          <w:szCs w:val="28"/>
          <w:highlight w:val="none"/>
          <w:lang w:val="en-US" w:eastAsia="zh-CN"/>
        </w:rPr>
        <w:t xml:space="preserve">  </w:t>
      </w:r>
      <w:r>
        <w:rPr>
          <w:rFonts w:hint="eastAsia" w:ascii="宋体" w:hAnsi="宋体" w:eastAsia="宋体" w:cs="宋体"/>
          <w:b/>
          <w:bCs/>
          <w:sz w:val="28"/>
          <w:szCs w:val="28"/>
          <w:highlight w:val="none"/>
        </w:rPr>
        <w:t>供应商资格条件要求</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_Toc12578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27</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highlight w:val="none"/>
          <w:lang w:eastAsia="zh-CN"/>
        </w:rPr>
        <w:fldChar w:fldCharType="end"/>
      </w:r>
    </w:p>
    <w:p>
      <w:pPr>
        <w:pStyle w:val="12"/>
        <w:tabs>
          <w:tab w:val="right" w:leader="dot" w:pos="8307"/>
        </w:tabs>
        <w:spacing w:line="360" w:lineRule="auto"/>
        <w:rPr>
          <w:rFonts w:hint="eastAsia" w:ascii="宋体" w:hAnsi="宋体" w:eastAsia="宋体" w:cs="宋体"/>
          <w:b/>
          <w:bCs/>
          <w:sz w:val="28"/>
          <w:szCs w:val="28"/>
        </w:rPr>
      </w:pPr>
      <w:r>
        <w:rPr>
          <w:rFonts w:hint="eastAsia" w:ascii="宋体" w:hAnsi="宋体" w:eastAsia="宋体" w:cs="宋体"/>
          <w:b/>
          <w:bCs/>
          <w:color w:val="auto"/>
          <w:sz w:val="28"/>
          <w:szCs w:val="28"/>
          <w:highlight w:val="none"/>
          <w:lang w:eastAsia="zh-CN"/>
        </w:rPr>
        <w:fldChar w:fldCharType="begin"/>
      </w:r>
      <w:r>
        <w:rPr>
          <w:rFonts w:hint="eastAsia" w:ascii="宋体" w:hAnsi="宋体" w:eastAsia="宋体" w:cs="宋体"/>
          <w:b/>
          <w:bCs/>
          <w:sz w:val="28"/>
          <w:szCs w:val="28"/>
          <w:highlight w:val="none"/>
          <w:lang w:eastAsia="zh-CN"/>
        </w:rPr>
        <w:instrText xml:space="preserve"> HYPERLINK \l _Toc31608 </w:instrText>
      </w:r>
      <w:r>
        <w:rPr>
          <w:rFonts w:hint="eastAsia" w:ascii="宋体" w:hAnsi="宋体" w:eastAsia="宋体" w:cs="宋体"/>
          <w:b/>
          <w:bCs/>
          <w:sz w:val="28"/>
          <w:szCs w:val="28"/>
          <w:highlight w:val="none"/>
          <w:lang w:eastAsia="zh-CN"/>
        </w:rPr>
        <w:fldChar w:fldCharType="separate"/>
      </w:r>
      <w:r>
        <w:rPr>
          <w:rFonts w:hint="eastAsia" w:ascii="宋体" w:hAnsi="宋体" w:eastAsia="宋体" w:cs="宋体"/>
          <w:b/>
          <w:bCs/>
          <w:sz w:val="28"/>
          <w:szCs w:val="28"/>
          <w:highlight w:val="none"/>
        </w:rPr>
        <w:t>第四章  供应商资格证明材料</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_Toc31608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29</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highlight w:val="none"/>
          <w:lang w:eastAsia="zh-CN"/>
        </w:rPr>
        <w:fldChar w:fldCharType="end"/>
      </w:r>
    </w:p>
    <w:p>
      <w:pPr>
        <w:pStyle w:val="12"/>
        <w:tabs>
          <w:tab w:val="right" w:leader="dot" w:pos="8307"/>
        </w:tabs>
        <w:spacing w:line="360" w:lineRule="auto"/>
        <w:rPr>
          <w:rFonts w:hint="eastAsia" w:ascii="宋体" w:hAnsi="宋体" w:eastAsia="宋体" w:cs="宋体"/>
          <w:b/>
          <w:bCs/>
          <w:sz w:val="28"/>
          <w:szCs w:val="28"/>
        </w:rPr>
      </w:pPr>
      <w:r>
        <w:rPr>
          <w:rFonts w:hint="eastAsia" w:ascii="宋体" w:hAnsi="宋体" w:eastAsia="宋体" w:cs="宋体"/>
          <w:b/>
          <w:bCs/>
          <w:color w:val="auto"/>
          <w:sz w:val="28"/>
          <w:szCs w:val="28"/>
          <w:highlight w:val="none"/>
          <w:lang w:eastAsia="zh-CN"/>
        </w:rPr>
        <w:fldChar w:fldCharType="begin"/>
      </w:r>
      <w:r>
        <w:rPr>
          <w:rFonts w:hint="eastAsia" w:ascii="宋体" w:hAnsi="宋体" w:eastAsia="宋体" w:cs="宋体"/>
          <w:b/>
          <w:bCs/>
          <w:sz w:val="28"/>
          <w:szCs w:val="28"/>
          <w:highlight w:val="none"/>
          <w:lang w:eastAsia="zh-CN"/>
        </w:rPr>
        <w:instrText xml:space="preserve"> HYPERLINK \l _Toc23942 </w:instrText>
      </w:r>
      <w:r>
        <w:rPr>
          <w:rFonts w:hint="eastAsia" w:ascii="宋体" w:hAnsi="宋体" w:eastAsia="宋体" w:cs="宋体"/>
          <w:b/>
          <w:bCs/>
          <w:sz w:val="28"/>
          <w:szCs w:val="28"/>
          <w:highlight w:val="none"/>
          <w:lang w:eastAsia="zh-CN"/>
        </w:rPr>
        <w:fldChar w:fldCharType="separate"/>
      </w:r>
      <w:r>
        <w:rPr>
          <w:rFonts w:hint="eastAsia" w:ascii="宋体" w:hAnsi="宋体" w:eastAsia="宋体" w:cs="宋体"/>
          <w:b/>
          <w:bCs/>
          <w:sz w:val="28"/>
          <w:szCs w:val="28"/>
        </w:rPr>
        <w:t xml:space="preserve">第五章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highlight w:val="none"/>
        </w:rPr>
        <w:t>采购项目技术、服务及商务要求</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_Toc23942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32</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highlight w:val="none"/>
          <w:lang w:eastAsia="zh-CN"/>
        </w:rPr>
        <w:fldChar w:fldCharType="end"/>
      </w:r>
    </w:p>
    <w:p>
      <w:pPr>
        <w:pStyle w:val="12"/>
        <w:tabs>
          <w:tab w:val="right" w:leader="dot" w:pos="8307"/>
        </w:tabs>
        <w:spacing w:line="360" w:lineRule="auto"/>
        <w:rPr>
          <w:rFonts w:hint="eastAsia" w:ascii="宋体" w:hAnsi="宋体" w:eastAsia="宋体" w:cs="宋体"/>
          <w:b/>
          <w:bCs/>
          <w:sz w:val="28"/>
          <w:szCs w:val="28"/>
        </w:rPr>
      </w:pPr>
      <w:r>
        <w:rPr>
          <w:rFonts w:hint="eastAsia" w:ascii="宋体" w:hAnsi="宋体" w:eastAsia="宋体" w:cs="宋体"/>
          <w:b/>
          <w:bCs/>
          <w:color w:val="auto"/>
          <w:sz w:val="28"/>
          <w:szCs w:val="28"/>
          <w:highlight w:val="none"/>
          <w:lang w:eastAsia="zh-CN"/>
        </w:rPr>
        <w:fldChar w:fldCharType="begin"/>
      </w:r>
      <w:r>
        <w:rPr>
          <w:rFonts w:hint="eastAsia" w:ascii="宋体" w:hAnsi="宋体" w:eastAsia="宋体" w:cs="宋体"/>
          <w:b/>
          <w:bCs/>
          <w:sz w:val="28"/>
          <w:szCs w:val="28"/>
          <w:highlight w:val="none"/>
          <w:lang w:eastAsia="zh-CN"/>
        </w:rPr>
        <w:instrText xml:space="preserve"> HYPERLINK \l _Toc6212 </w:instrText>
      </w:r>
      <w:r>
        <w:rPr>
          <w:rFonts w:hint="eastAsia" w:ascii="宋体" w:hAnsi="宋体" w:eastAsia="宋体" w:cs="宋体"/>
          <w:b/>
          <w:bCs/>
          <w:sz w:val="28"/>
          <w:szCs w:val="28"/>
          <w:highlight w:val="none"/>
          <w:lang w:eastAsia="zh-CN"/>
        </w:rPr>
        <w:fldChar w:fldCharType="separate"/>
      </w:r>
      <w:r>
        <w:rPr>
          <w:rFonts w:hint="eastAsia" w:ascii="宋体" w:hAnsi="宋体" w:eastAsia="宋体" w:cs="宋体"/>
          <w:b/>
          <w:bCs/>
          <w:sz w:val="28"/>
          <w:szCs w:val="28"/>
          <w:highlight w:val="none"/>
        </w:rPr>
        <w:t>第六章  采购项目实质性要求</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_Toc6212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39</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highlight w:val="none"/>
          <w:lang w:eastAsia="zh-CN"/>
        </w:rPr>
        <w:fldChar w:fldCharType="end"/>
      </w:r>
    </w:p>
    <w:p>
      <w:pPr>
        <w:pStyle w:val="12"/>
        <w:tabs>
          <w:tab w:val="right" w:leader="dot" w:pos="8307"/>
        </w:tabs>
        <w:spacing w:line="360" w:lineRule="auto"/>
        <w:rPr>
          <w:rFonts w:hint="eastAsia" w:ascii="宋体" w:hAnsi="宋体" w:eastAsia="宋体" w:cs="宋体"/>
          <w:b/>
          <w:bCs/>
          <w:sz w:val="28"/>
          <w:szCs w:val="28"/>
        </w:rPr>
      </w:pPr>
      <w:r>
        <w:rPr>
          <w:rFonts w:hint="eastAsia" w:ascii="宋体" w:hAnsi="宋体" w:eastAsia="宋体" w:cs="宋体"/>
          <w:b/>
          <w:bCs/>
          <w:color w:val="auto"/>
          <w:sz w:val="28"/>
          <w:szCs w:val="28"/>
          <w:highlight w:val="none"/>
          <w:lang w:eastAsia="zh-CN"/>
        </w:rPr>
        <w:fldChar w:fldCharType="begin"/>
      </w:r>
      <w:r>
        <w:rPr>
          <w:rFonts w:hint="eastAsia" w:ascii="宋体" w:hAnsi="宋体" w:eastAsia="宋体" w:cs="宋体"/>
          <w:b/>
          <w:bCs/>
          <w:sz w:val="28"/>
          <w:szCs w:val="28"/>
          <w:highlight w:val="none"/>
          <w:lang w:eastAsia="zh-CN"/>
        </w:rPr>
        <w:instrText xml:space="preserve"> HYPERLINK \l _Toc11519 </w:instrText>
      </w:r>
      <w:r>
        <w:rPr>
          <w:rFonts w:hint="eastAsia" w:ascii="宋体" w:hAnsi="宋体" w:eastAsia="宋体" w:cs="宋体"/>
          <w:b/>
          <w:bCs/>
          <w:sz w:val="28"/>
          <w:szCs w:val="28"/>
          <w:highlight w:val="none"/>
          <w:lang w:eastAsia="zh-CN"/>
        </w:rPr>
        <w:fldChar w:fldCharType="separate"/>
      </w:r>
      <w:r>
        <w:rPr>
          <w:rFonts w:hint="eastAsia" w:ascii="宋体" w:hAnsi="宋体" w:eastAsia="宋体" w:cs="宋体"/>
          <w:b/>
          <w:bCs/>
          <w:sz w:val="28"/>
          <w:szCs w:val="28"/>
          <w:highlight w:val="none"/>
        </w:rPr>
        <w:t>第</w:t>
      </w:r>
      <w:r>
        <w:rPr>
          <w:rFonts w:hint="eastAsia" w:ascii="宋体" w:hAnsi="宋体" w:eastAsia="宋体" w:cs="宋体"/>
          <w:b/>
          <w:bCs/>
          <w:sz w:val="28"/>
          <w:szCs w:val="28"/>
          <w:highlight w:val="none"/>
          <w:lang w:eastAsia="zh-CN"/>
        </w:rPr>
        <w:t>七</w:t>
      </w:r>
      <w:r>
        <w:rPr>
          <w:rFonts w:hint="eastAsia" w:ascii="宋体" w:hAnsi="宋体" w:eastAsia="宋体" w:cs="宋体"/>
          <w:b/>
          <w:bCs/>
          <w:sz w:val="28"/>
          <w:szCs w:val="28"/>
          <w:highlight w:val="none"/>
        </w:rPr>
        <w:t>章  响应文件格式</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_Toc11519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40</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highlight w:val="none"/>
          <w:lang w:eastAsia="zh-CN"/>
        </w:rPr>
        <w:fldChar w:fldCharType="end"/>
      </w:r>
    </w:p>
    <w:p>
      <w:pPr>
        <w:pStyle w:val="12"/>
        <w:tabs>
          <w:tab w:val="right" w:leader="dot" w:pos="8307"/>
        </w:tabs>
        <w:spacing w:line="360" w:lineRule="auto"/>
        <w:rPr>
          <w:rFonts w:hint="eastAsia" w:ascii="宋体" w:hAnsi="宋体" w:eastAsia="宋体" w:cs="宋体"/>
          <w:b/>
          <w:bCs/>
          <w:sz w:val="28"/>
          <w:szCs w:val="28"/>
        </w:rPr>
      </w:pPr>
      <w:r>
        <w:rPr>
          <w:rFonts w:hint="eastAsia" w:ascii="宋体" w:hAnsi="宋体" w:eastAsia="宋体" w:cs="宋体"/>
          <w:b/>
          <w:bCs/>
          <w:color w:val="auto"/>
          <w:sz w:val="28"/>
          <w:szCs w:val="28"/>
          <w:highlight w:val="none"/>
          <w:lang w:eastAsia="zh-CN"/>
        </w:rPr>
        <w:fldChar w:fldCharType="begin"/>
      </w:r>
      <w:r>
        <w:rPr>
          <w:rFonts w:hint="eastAsia" w:ascii="宋体" w:hAnsi="宋体" w:eastAsia="宋体" w:cs="宋体"/>
          <w:b/>
          <w:bCs/>
          <w:sz w:val="28"/>
          <w:szCs w:val="28"/>
          <w:highlight w:val="none"/>
          <w:lang w:eastAsia="zh-CN"/>
        </w:rPr>
        <w:instrText xml:space="preserve"> HYPERLINK \l _Toc30039 </w:instrText>
      </w:r>
      <w:r>
        <w:rPr>
          <w:rFonts w:hint="eastAsia" w:ascii="宋体" w:hAnsi="宋体" w:eastAsia="宋体" w:cs="宋体"/>
          <w:b/>
          <w:bCs/>
          <w:sz w:val="28"/>
          <w:szCs w:val="28"/>
          <w:highlight w:val="none"/>
          <w:lang w:eastAsia="zh-CN"/>
        </w:rPr>
        <w:fldChar w:fldCharType="separate"/>
      </w:r>
      <w:r>
        <w:rPr>
          <w:rFonts w:hint="eastAsia" w:ascii="宋体" w:hAnsi="宋体" w:eastAsia="宋体" w:cs="宋体"/>
          <w:b/>
          <w:bCs/>
          <w:sz w:val="28"/>
          <w:szCs w:val="28"/>
          <w:highlight w:val="none"/>
        </w:rPr>
        <w:t>第</w:t>
      </w:r>
      <w:r>
        <w:rPr>
          <w:rFonts w:hint="eastAsia" w:ascii="宋体" w:hAnsi="宋体" w:eastAsia="宋体" w:cs="宋体"/>
          <w:b/>
          <w:bCs/>
          <w:sz w:val="28"/>
          <w:szCs w:val="28"/>
          <w:highlight w:val="none"/>
          <w:lang w:eastAsia="zh-CN"/>
        </w:rPr>
        <w:t>八</w:t>
      </w:r>
      <w:r>
        <w:rPr>
          <w:rFonts w:hint="eastAsia" w:ascii="宋体" w:hAnsi="宋体" w:eastAsia="宋体" w:cs="宋体"/>
          <w:b/>
          <w:bCs/>
          <w:sz w:val="28"/>
          <w:szCs w:val="28"/>
          <w:highlight w:val="none"/>
        </w:rPr>
        <w:t>章  评审方法</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_Toc30039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59</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highlight w:val="none"/>
          <w:lang w:eastAsia="zh-CN"/>
        </w:rPr>
        <w:fldChar w:fldCharType="end"/>
      </w:r>
    </w:p>
    <w:p>
      <w:pPr>
        <w:pStyle w:val="12"/>
        <w:tabs>
          <w:tab w:val="right" w:leader="dot" w:pos="8307"/>
        </w:tabs>
        <w:spacing w:line="360" w:lineRule="auto"/>
        <w:rPr>
          <w:rFonts w:hint="eastAsia" w:ascii="宋体" w:hAnsi="宋体" w:eastAsia="宋体" w:cs="宋体"/>
          <w:b/>
          <w:bCs/>
          <w:sz w:val="28"/>
          <w:szCs w:val="28"/>
        </w:rPr>
      </w:pPr>
      <w:r>
        <w:rPr>
          <w:rFonts w:hint="eastAsia" w:ascii="宋体" w:hAnsi="宋体" w:eastAsia="宋体" w:cs="宋体"/>
          <w:b/>
          <w:bCs/>
          <w:color w:val="auto"/>
          <w:sz w:val="28"/>
          <w:szCs w:val="28"/>
          <w:highlight w:val="none"/>
          <w:lang w:eastAsia="zh-CN"/>
        </w:rPr>
        <w:fldChar w:fldCharType="begin"/>
      </w:r>
      <w:r>
        <w:rPr>
          <w:rFonts w:hint="eastAsia" w:ascii="宋体" w:hAnsi="宋体" w:eastAsia="宋体" w:cs="宋体"/>
          <w:b/>
          <w:bCs/>
          <w:sz w:val="28"/>
          <w:szCs w:val="28"/>
          <w:highlight w:val="none"/>
          <w:lang w:eastAsia="zh-CN"/>
        </w:rPr>
        <w:instrText xml:space="preserve"> HYPERLINK \l _Toc24740 </w:instrText>
      </w:r>
      <w:r>
        <w:rPr>
          <w:rFonts w:hint="eastAsia" w:ascii="宋体" w:hAnsi="宋体" w:eastAsia="宋体" w:cs="宋体"/>
          <w:b/>
          <w:bCs/>
          <w:sz w:val="28"/>
          <w:szCs w:val="28"/>
          <w:highlight w:val="none"/>
          <w:lang w:eastAsia="zh-CN"/>
        </w:rPr>
        <w:fldChar w:fldCharType="separate"/>
      </w:r>
      <w:r>
        <w:rPr>
          <w:rFonts w:hint="eastAsia" w:ascii="宋体" w:hAnsi="宋体" w:eastAsia="宋体" w:cs="宋体"/>
          <w:b/>
          <w:bCs/>
          <w:sz w:val="28"/>
          <w:szCs w:val="28"/>
        </w:rPr>
        <w:t xml:space="preserve">第九章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highlight w:val="none"/>
        </w:rPr>
        <w:t>政府采购合同（草案</w:t>
      </w:r>
      <w:r>
        <w:rPr>
          <w:rFonts w:hint="eastAsia" w:ascii="宋体" w:hAnsi="宋体" w:eastAsia="宋体" w:cs="宋体"/>
          <w:b/>
          <w:bCs/>
          <w:sz w:val="28"/>
          <w:szCs w:val="28"/>
          <w:highlight w:val="none"/>
          <w:lang w:eastAsia="zh-CN"/>
        </w:rPr>
        <w:t>、仅供参考</w:t>
      </w:r>
      <w:r>
        <w:rPr>
          <w:rFonts w:hint="eastAsia" w:ascii="宋体" w:hAnsi="宋体" w:eastAsia="宋体" w:cs="宋体"/>
          <w:b/>
          <w:bCs/>
          <w:sz w:val="28"/>
          <w:szCs w:val="28"/>
          <w:highlight w:val="none"/>
        </w:rPr>
        <w:t>）</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_Toc24740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67</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highlight w:val="none"/>
          <w:lang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Cs w:val="24"/>
          <w:highlight w:val="none"/>
          <w:lang w:eastAsia="zh-CN"/>
        </w:rPr>
      </w:pPr>
      <w:r>
        <w:rPr>
          <w:rFonts w:hint="eastAsia" w:ascii="宋体" w:hAnsi="宋体" w:eastAsia="宋体" w:cs="宋体"/>
          <w:b/>
          <w:bCs/>
          <w:color w:val="auto"/>
          <w:sz w:val="28"/>
          <w:szCs w:val="28"/>
          <w:highlight w:val="none"/>
          <w:lang w:eastAsia="zh-CN"/>
        </w:rPr>
        <w:fldChar w:fldCharType="end"/>
      </w:r>
      <w:bookmarkStart w:id="3" w:name="_Toc8198"/>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eastAsia" w:ascii="宋体" w:hAnsi="宋体" w:eastAsia="宋体" w:cs="宋体"/>
          <w:color w:val="auto"/>
          <w:sz w:val="24"/>
          <w:highlight w:val="none"/>
          <w:u w:val="single"/>
        </w:rPr>
      </w:pPr>
      <w:r>
        <w:rPr>
          <w:rFonts w:hint="eastAsia" w:ascii="宋体" w:hAnsi="宋体" w:eastAsia="宋体" w:cs="宋体"/>
          <w:color w:val="auto"/>
          <w:szCs w:val="24"/>
          <w:highlight w:val="none"/>
          <w:lang w:eastAsia="zh-CN"/>
        </w:rPr>
        <w:br w:type="page"/>
      </w:r>
      <w:bookmarkStart w:id="4" w:name="_Toc31035"/>
      <w:r>
        <w:rPr>
          <w:rStyle w:val="20"/>
          <w:rFonts w:hint="eastAsia" w:ascii="宋体" w:hAnsi="宋体" w:eastAsia="宋体" w:cs="宋体"/>
          <w:color w:val="auto"/>
          <w:highlight w:val="none"/>
        </w:rPr>
        <w:t>第一章</w:t>
      </w:r>
      <w:r>
        <w:rPr>
          <w:rStyle w:val="20"/>
          <w:rFonts w:hint="eastAsia" w:ascii="宋体" w:hAnsi="宋体" w:eastAsia="宋体" w:cs="宋体"/>
          <w:color w:val="auto"/>
          <w:highlight w:val="none"/>
          <w:lang w:val="en-US" w:eastAsia="zh-CN"/>
        </w:rPr>
        <w:t xml:space="preserve">  </w:t>
      </w:r>
      <w:r>
        <w:rPr>
          <w:rStyle w:val="20"/>
          <w:rFonts w:hint="eastAsia" w:ascii="宋体" w:hAnsi="宋体" w:eastAsia="宋体" w:cs="宋体"/>
          <w:color w:val="auto"/>
          <w:highlight w:val="none"/>
        </w:rPr>
        <w:t>磋商邀请</w:t>
      </w:r>
      <w:bookmarkEnd w:id="3"/>
      <w:bookmarkEnd w:id="4"/>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u w:val="single"/>
          <w:lang w:eastAsia="zh-CN"/>
        </w:rPr>
        <w:t>四川东来印象招标代理有限公司</w:t>
      </w:r>
      <w:r>
        <w:rPr>
          <w:rFonts w:hint="eastAsia" w:ascii="宋体" w:hAnsi="宋体" w:eastAsia="宋体" w:cs="宋体"/>
          <w:b/>
          <w:bCs/>
          <w:color w:val="auto"/>
          <w:sz w:val="24"/>
          <w:szCs w:val="24"/>
          <w:highlight w:val="none"/>
        </w:rPr>
        <w:t>（采购代理机构）</w:t>
      </w:r>
      <w:r>
        <w:rPr>
          <w:rFonts w:hint="eastAsia" w:ascii="宋体" w:hAnsi="宋体" w:eastAsia="宋体" w:cs="宋体"/>
          <w:color w:val="auto"/>
          <w:sz w:val="24"/>
          <w:szCs w:val="24"/>
          <w:highlight w:val="none"/>
        </w:rPr>
        <w:t>受</w:t>
      </w:r>
      <w:r>
        <w:rPr>
          <w:rFonts w:hint="eastAsia" w:ascii="宋体" w:hAnsi="宋体" w:cs="宋体"/>
          <w:bCs/>
          <w:color w:val="auto"/>
          <w:sz w:val="24"/>
          <w:szCs w:val="24"/>
          <w:highlight w:val="none"/>
          <w:u w:val="single"/>
          <w:lang w:val="en-US" w:eastAsia="zh-CN"/>
        </w:rPr>
        <w:t>简阳市水务局</w:t>
      </w:r>
      <w:r>
        <w:rPr>
          <w:rFonts w:hint="eastAsia" w:ascii="宋体" w:hAnsi="宋体" w:eastAsia="宋体" w:cs="宋体"/>
          <w:b/>
          <w:bCs w:val="0"/>
          <w:color w:val="auto"/>
          <w:sz w:val="24"/>
          <w:szCs w:val="24"/>
          <w:highlight w:val="none"/>
          <w:u w:val="none"/>
          <w:lang w:val="en-US" w:eastAsia="zh-CN"/>
        </w:rPr>
        <w:t>（</w:t>
      </w:r>
      <w:r>
        <w:rPr>
          <w:rFonts w:hint="eastAsia" w:ascii="宋体" w:hAnsi="宋体" w:eastAsia="宋体" w:cs="宋体"/>
          <w:b/>
          <w:bCs w:val="0"/>
          <w:color w:val="auto"/>
          <w:sz w:val="24"/>
          <w:szCs w:val="24"/>
          <w:highlight w:val="none"/>
        </w:rPr>
        <w:t>采购人）</w:t>
      </w:r>
      <w:r>
        <w:rPr>
          <w:rFonts w:hint="eastAsia" w:ascii="宋体" w:hAnsi="宋体" w:eastAsia="宋体" w:cs="宋体"/>
          <w:color w:val="auto"/>
          <w:sz w:val="24"/>
          <w:szCs w:val="24"/>
          <w:highlight w:val="none"/>
        </w:rPr>
        <w:t>委托，拟对</w:t>
      </w:r>
      <w:r>
        <w:rPr>
          <w:rFonts w:hint="eastAsia" w:ascii="宋体" w:hAnsi="宋体" w:cs="宋体"/>
          <w:b/>
          <w:bCs/>
          <w:color w:val="auto"/>
          <w:sz w:val="24"/>
          <w:szCs w:val="24"/>
          <w:highlight w:val="none"/>
          <w:u w:val="single"/>
          <w:lang w:eastAsia="zh-CN"/>
        </w:rPr>
        <w:t>简阳市水务局黑臭河渠综合治理水质监测及综合评价评估报告编制服务采购项目</w:t>
      </w:r>
      <w:r>
        <w:rPr>
          <w:rFonts w:hint="eastAsia" w:ascii="宋体" w:hAnsi="宋体" w:eastAsia="宋体" w:cs="宋体"/>
          <w:color w:val="auto"/>
          <w:sz w:val="24"/>
          <w:szCs w:val="24"/>
          <w:highlight w:val="none"/>
        </w:rPr>
        <w:t>采用竞争性磋商方式进行采购，特邀请符合本次采购要求的供应商参加本项目的竞争性磋商。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一、采购项目基本情况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项目</w:t>
      </w:r>
      <w:r>
        <w:rPr>
          <w:rFonts w:hint="eastAsia" w:ascii="宋体" w:hAnsi="宋体" w:eastAsia="宋体" w:cs="宋体"/>
          <w:b/>
          <w:bCs/>
          <w:color w:val="auto"/>
          <w:sz w:val="24"/>
          <w:szCs w:val="24"/>
          <w:highlight w:val="none"/>
        </w:rPr>
        <w:t>编号：</w:t>
      </w:r>
      <w:r>
        <w:rPr>
          <w:rFonts w:hint="eastAsia" w:ascii="宋体" w:hAnsi="宋体" w:eastAsia="宋体" w:cs="宋体"/>
          <w:b w:val="0"/>
          <w:bCs w:val="0"/>
          <w:color w:val="auto"/>
          <w:sz w:val="24"/>
          <w:szCs w:val="24"/>
          <w:highlight w:val="none"/>
        </w:rPr>
        <w:t>510185202100022</w:t>
      </w:r>
      <w:r>
        <w:rPr>
          <w:rFonts w:hint="eastAsia" w:ascii="宋体" w:hAnsi="宋体" w:cs="宋体"/>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2.项目名称：</w:t>
      </w:r>
      <w:r>
        <w:rPr>
          <w:rFonts w:hint="eastAsia" w:ascii="宋体" w:hAnsi="宋体" w:cs="宋体"/>
          <w:b w:val="0"/>
          <w:bCs/>
          <w:color w:val="auto"/>
          <w:sz w:val="24"/>
          <w:szCs w:val="24"/>
          <w:highlight w:val="none"/>
          <w:lang w:eastAsia="zh-CN"/>
        </w:rPr>
        <w:t>简阳市水务局黑臭河渠综合治理水质监测及综合评价评估报告编制服务采购项目</w:t>
      </w:r>
      <w:r>
        <w:rPr>
          <w:rFonts w:hint="eastAsia" w:ascii="宋体" w:hAnsi="宋体" w:eastAsia="宋体" w:cs="宋体"/>
          <w:b w:val="0"/>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3.采购人：</w:t>
      </w:r>
      <w:r>
        <w:rPr>
          <w:rFonts w:hint="eastAsia" w:ascii="宋体" w:hAnsi="宋体" w:cs="宋体"/>
          <w:b w:val="0"/>
          <w:bCs/>
          <w:color w:val="auto"/>
          <w:sz w:val="24"/>
          <w:szCs w:val="24"/>
          <w:highlight w:val="none"/>
          <w:u w:val="none"/>
          <w:lang w:val="en-US" w:eastAsia="zh-CN"/>
        </w:rPr>
        <w:t>简阳市水务局</w:t>
      </w:r>
      <w:r>
        <w:rPr>
          <w:rFonts w:hint="eastAsia" w:ascii="宋体" w:hAnsi="宋体" w:eastAsia="宋体" w:cs="宋体"/>
          <w:b w:val="0"/>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4.采购代理机构：</w:t>
      </w:r>
      <w:r>
        <w:rPr>
          <w:rFonts w:hint="eastAsia" w:ascii="宋体" w:hAnsi="宋体" w:eastAsia="宋体" w:cs="宋体"/>
          <w:b w:val="0"/>
          <w:bCs/>
          <w:color w:val="auto"/>
          <w:sz w:val="24"/>
          <w:highlight w:val="none"/>
          <w:u w:val="none"/>
          <w:lang w:eastAsia="zh-CN"/>
        </w:rPr>
        <w:t>四川东来印象招标代理有限公司</w:t>
      </w:r>
      <w:r>
        <w:rPr>
          <w:rFonts w:hint="eastAsia" w:ascii="宋体" w:hAnsi="宋体" w:eastAsia="宋体" w:cs="宋体"/>
          <w:b w:val="0"/>
          <w:bCs/>
          <w:color w:val="auto"/>
          <w:sz w:val="24"/>
          <w:szCs w:val="24"/>
          <w:highlight w:val="none"/>
        </w:rPr>
        <w:t>。</w:t>
      </w:r>
    </w:p>
    <w:p>
      <w:pPr>
        <w:keepNext w:val="0"/>
        <w:keepLines w:val="0"/>
        <w:pageBreakBefore w:val="0"/>
        <w:widowControl w:val="0"/>
        <w:tabs>
          <w:tab w:val="left" w:pos="360"/>
        </w:tabs>
        <w:kinsoku/>
        <w:wordWrap w:val="0"/>
        <w:overflowPunct/>
        <w:topLinePunct w:val="0"/>
        <w:autoSpaceDE/>
        <w:autoSpaceDN/>
        <w:bidi w:val="0"/>
        <w:adjustRightInd/>
        <w:snapToGrid/>
        <w:spacing w:line="360" w:lineRule="auto"/>
        <w:ind w:right="31" w:rightChars="15" w:firstLine="482"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二、资金情况</w:t>
      </w:r>
      <w:r>
        <w:rPr>
          <w:rFonts w:hint="eastAsia" w:ascii="宋体" w:hAnsi="宋体" w:eastAsia="宋体" w:cs="宋体"/>
          <w:b/>
          <w:color w:val="auto"/>
          <w:sz w:val="24"/>
          <w:szCs w:val="24"/>
          <w:highlight w:val="none"/>
          <w:lang w:eastAsia="zh-CN"/>
        </w:rPr>
        <w:t>：</w:t>
      </w:r>
      <w:r>
        <w:rPr>
          <w:rFonts w:hint="eastAsia" w:ascii="宋体" w:hAnsi="宋体" w:eastAsia="宋体" w:cs="宋体"/>
          <w:b w:val="0"/>
          <w:bCs/>
          <w:color w:val="auto"/>
          <w:sz w:val="24"/>
          <w:szCs w:val="24"/>
          <w:highlight w:val="none"/>
          <w:lang w:eastAsia="zh-CN"/>
        </w:rPr>
        <w:t>财政资金，已落实。本项目预算为1632600.00元</w:t>
      </w:r>
      <w:r>
        <w:rPr>
          <w:rFonts w:hint="eastAsia" w:ascii="宋体" w:hAnsi="宋体" w:eastAsia="宋体" w:cs="宋体"/>
          <w:b w:val="0"/>
          <w:bCs/>
          <w:color w:val="auto"/>
          <w:sz w:val="24"/>
          <w:highlight w:val="none"/>
          <w:lang w:val="en-US" w:eastAsia="zh-CN"/>
        </w:rPr>
        <w:t>，最高限价为1632600.00元，备案号：</w:t>
      </w:r>
      <w:r>
        <w:rPr>
          <w:rFonts w:hint="eastAsia" w:ascii="宋体" w:hAnsi="宋体" w:cs="宋体"/>
          <w:b w:val="0"/>
          <w:bCs/>
          <w:color w:val="auto"/>
          <w:sz w:val="24"/>
          <w:highlight w:val="none"/>
          <w:u w:val="none"/>
          <w:lang w:val="en-US" w:eastAsia="zh-CN"/>
        </w:rPr>
        <w:t xml:space="preserve">（2021）0125号 </w:t>
      </w:r>
      <w:r>
        <w:rPr>
          <w:rFonts w:hint="eastAsia" w:ascii="宋体" w:hAnsi="宋体" w:eastAsia="宋体" w:cs="宋体"/>
          <w:b w:val="0"/>
          <w:bCs/>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采购项目简介</w:t>
      </w:r>
    </w:p>
    <w:tbl>
      <w:tblPr>
        <w:tblStyle w:val="17"/>
        <w:tblW w:w="10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5"/>
        <w:gridCol w:w="2345"/>
        <w:gridCol w:w="2237"/>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5" w:type="dxa"/>
            <w:vAlign w:val="center"/>
          </w:tcPr>
          <w:p>
            <w:pPr>
              <w:pStyle w:val="2"/>
              <w:pageBreakBefore w:val="0"/>
              <w:kinsoku/>
              <w:overflowPunct/>
              <w:topLinePunct w:val="0"/>
              <w:bidi w:val="0"/>
              <w:snapToGrid/>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采购内容</w:t>
            </w:r>
          </w:p>
        </w:tc>
        <w:tc>
          <w:tcPr>
            <w:tcW w:w="2345" w:type="dxa"/>
            <w:vAlign w:val="center"/>
          </w:tcPr>
          <w:p>
            <w:pPr>
              <w:pStyle w:val="2"/>
              <w:pageBreakBefore w:val="0"/>
              <w:kinsoku/>
              <w:overflowPunct/>
              <w:topLinePunct w:val="0"/>
              <w:bidi w:val="0"/>
              <w:snapToGrid/>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行业类别</w:t>
            </w:r>
          </w:p>
        </w:tc>
        <w:tc>
          <w:tcPr>
            <w:tcW w:w="2237" w:type="dxa"/>
            <w:vAlign w:val="center"/>
          </w:tcPr>
          <w:p>
            <w:pPr>
              <w:pStyle w:val="2"/>
              <w:pageBreakBefore w:val="0"/>
              <w:kinsoku/>
              <w:overflowPunct/>
              <w:topLinePunct w:val="0"/>
              <w:bidi w:val="0"/>
              <w:snapToGrid/>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采购预算（元）</w:t>
            </w:r>
          </w:p>
        </w:tc>
        <w:tc>
          <w:tcPr>
            <w:tcW w:w="2237" w:type="dxa"/>
            <w:vAlign w:val="center"/>
          </w:tcPr>
          <w:p>
            <w:pPr>
              <w:pStyle w:val="2"/>
              <w:pageBreakBefore w:val="0"/>
              <w:kinsoku/>
              <w:overflowPunct/>
              <w:topLinePunct w:val="0"/>
              <w:bidi w:val="0"/>
              <w:snapToGrid/>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5" w:type="dxa"/>
            <w:vAlign w:val="center"/>
          </w:tcPr>
          <w:p>
            <w:pPr>
              <w:pStyle w:val="2"/>
              <w:pageBreakBefore w:val="0"/>
              <w:kinsoku/>
              <w:overflowPunct/>
              <w:topLinePunct w:val="0"/>
              <w:bidi w:val="0"/>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简阳市水务局黑臭河渠综合治理水质监测及综合评价评估报告编制服务</w:t>
            </w:r>
          </w:p>
        </w:tc>
        <w:tc>
          <w:tcPr>
            <w:tcW w:w="2345" w:type="dxa"/>
            <w:vAlign w:val="center"/>
          </w:tcPr>
          <w:p>
            <w:pPr>
              <w:pStyle w:val="21"/>
              <w:keepNext w:val="0"/>
              <w:keepLines w:val="0"/>
              <w:pageBreakBefore w:val="0"/>
              <w:widowControl w:val="0"/>
              <w:kinsoku/>
              <w:wordWrap/>
              <w:overflowPunct/>
              <w:topLinePunct w:val="0"/>
              <w:bidi w:val="0"/>
              <w:snapToGrid/>
              <w:spacing w:line="360" w:lineRule="auto"/>
              <w:jc w:val="center"/>
              <w:textAlignment w:val="auto"/>
              <w:outlineLvl w:val="9"/>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水污染治理</w:t>
            </w:r>
          </w:p>
        </w:tc>
        <w:tc>
          <w:tcPr>
            <w:tcW w:w="2237" w:type="dxa"/>
            <w:vAlign w:val="center"/>
          </w:tcPr>
          <w:p>
            <w:pPr>
              <w:pStyle w:val="2"/>
              <w:pageBreakBefore w:val="0"/>
              <w:kinsoku/>
              <w:overflowPunct/>
              <w:topLinePunct w:val="0"/>
              <w:bidi w:val="0"/>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eastAsia="zh-CN"/>
              </w:rPr>
              <w:t>1632600.00元</w:t>
            </w:r>
          </w:p>
        </w:tc>
        <w:tc>
          <w:tcPr>
            <w:tcW w:w="2237" w:type="dxa"/>
            <w:vAlign w:val="center"/>
          </w:tcPr>
          <w:p>
            <w:pPr>
              <w:pStyle w:val="2"/>
              <w:pageBreakBefore w:val="0"/>
              <w:kinsoku/>
              <w:overflowPunct/>
              <w:topLinePunct w:val="0"/>
              <w:bidi w:val="0"/>
              <w:snapToGrid/>
              <w:spacing w:line="360" w:lineRule="auto"/>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1632600.00元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4" w:type="dxa"/>
            <w:gridSpan w:val="4"/>
            <w:vAlign w:val="center"/>
          </w:tcPr>
          <w:p>
            <w:pPr>
              <w:pStyle w:val="2"/>
              <w:pageBreakBefore w:val="0"/>
              <w:kinsoku/>
              <w:overflowPunct/>
              <w:topLinePunct w:val="0"/>
              <w:bidi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详见磋商文件第</w:t>
            </w:r>
            <w:r>
              <w:rPr>
                <w:rFonts w:hint="eastAsia" w:ascii="宋体" w:hAnsi="宋体" w:eastAsia="宋体" w:cs="宋体"/>
                <w:b/>
                <w:bCs/>
                <w:color w:val="auto"/>
                <w:sz w:val="24"/>
                <w:szCs w:val="24"/>
                <w:highlight w:val="none"/>
                <w:lang w:eastAsia="zh-CN"/>
              </w:rPr>
              <w:t>五</w:t>
            </w:r>
            <w:r>
              <w:rPr>
                <w:rFonts w:hint="eastAsia" w:ascii="宋体" w:hAnsi="宋体" w:eastAsia="宋体" w:cs="宋体"/>
                <w:color w:val="auto"/>
                <w:sz w:val="24"/>
                <w:szCs w:val="24"/>
                <w:highlight w:val="none"/>
              </w:rPr>
              <w:t>章</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四、供应商邀请方式</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highlight w:val="none"/>
        </w:rPr>
        <w:t>公告方式：本次竞争性</w:t>
      </w:r>
      <w:r>
        <w:rPr>
          <w:rFonts w:hint="eastAsia" w:ascii="宋体" w:hAnsi="宋体" w:eastAsia="宋体" w:cs="宋体"/>
          <w:bCs/>
          <w:color w:val="auto"/>
          <w:sz w:val="24"/>
          <w:highlight w:val="none"/>
          <w:lang w:eastAsia="zh-CN"/>
        </w:rPr>
        <w:t>磋商</w:t>
      </w:r>
      <w:r>
        <w:rPr>
          <w:rFonts w:hint="eastAsia" w:ascii="宋体" w:hAnsi="宋体" w:eastAsia="宋体" w:cs="宋体"/>
          <w:bCs/>
          <w:color w:val="auto"/>
          <w:sz w:val="24"/>
          <w:highlight w:val="none"/>
        </w:rPr>
        <w:t>邀请在四川政府采购网（</w:t>
      </w:r>
      <w:r>
        <w:rPr>
          <w:rFonts w:hint="eastAsia" w:ascii="宋体" w:hAnsi="宋体" w:eastAsia="宋体" w:cs="宋体"/>
          <w:bCs/>
          <w:color w:val="auto"/>
          <w:sz w:val="28"/>
          <w:szCs w:val="28"/>
          <w:highlight w:val="none"/>
        </w:rPr>
        <w:t>http://www.ccgp-sichuan.gov.cn</w:t>
      </w:r>
      <w:r>
        <w:rPr>
          <w:rFonts w:hint="eastAsia" w:ascii="宋体" w:hAnsi="宋体" w:eastAsia="宋体" w:cs="宋体"/>
          <w:bCs/>
          <w:color w:val="auto"/>
          <w:sz w:val="24"/>
          <w:highlight w:val="none"/>
        </w:rPr>
        <w:t>）上以公告形式发布。</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供应商参加本次政府采购活动应具备下列条件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2" w:firstLineChars="200"/>
        <w:jc w:val="left"/>
        <w:textAlignment w:val="auto"/>
        <w:rPr>
          <w:rFonts w:hint="eastAsia" w:ascii="宋体" w:hAnsi="宋体" w:eastAsia="宋体" w:cs="宋体"/>
          <w:color w:val="auto"/>
          <w:highlight w:val="none"/>
        </w:rPr>
      </w:pPr>
      <w:r>
        <w:rPr>
          <w:rFonts w:hint="eastAsia" w:ascii="宋体" w:hAnsi="宋体" w:eastAsia="宋体" w:cs="宋体"/>
          <w:b/>
          <w:bCs/>
          <w:color w:val="auto"/>
          <w:kern w:val="2"/>
          <w:sz w:val="24"/>
          <w:szCs w:val="24"/>
          <w:highlight w:val="none"/>
          <w:lang w:val="en-US" w:eastAsia="zh-CN" w:bidi="ar-SA"/>
        </w:rPr>
        <w:t>（一）《中华人民共和国政府采购法》</w:t>
      </w:r>
      <w:r>
        <w:rPr>
          <w:rFonts w:hint="eastAsia" w:ascii="宋体" w:hAnsi="宋体" w:eastAsia="宋体" w:cs="宋体"/>
          <w:b/>
          <w:bCs/>
          <w:color w:val="auto"/>
          <w:sz w:val="24"/>
          <w:szCs w:val="24"/>
          <w:highlight w:val="none"/>
        </w:rPr>
        <w:t>第二十二条第一款第（一）至（六）规定的</w:t>
      </w:r>
      <w:r>
        <w:rPr>
          <w:rFonts w:hint="eastAsia" w:ascii="宋体" w:hAnsi="宋体" w:eastAsia="宋体" w:cs="宋体"/>
          <w:b/>
          <w:bCs/>
          <w:color w:val="auto"/>
          <w:kern w:val="2"/>
          <w:sz w:val="24"/>
          <w:szCs w:val="24"/>
          <w:highlight w:val="none"/>
          <w:lang w:val="en-US" w:eastAsia="zh-CN" w:bidi="ar-SA"/>
        </w:rPr>
        <w:t>基本条件：</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600" w:firstLineChars="25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600" w:firstLineChars="25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600" w:firstLineChars="25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w:t>
      </w:r>
      <w:r>
        <w:rPr>
          <w:rFonts w:hint="eastAsia" w:ascii="宋体" w:hAnsi="宋体" w:eastAsia="宋体" w:cs="宋体"/>
          <w:color w:val="auto"/>
          <w:sz w:val="24"/>
          <w:szCs w:val="24"/>
          <w:highlight w:val="none"/>
          <w:lang w:eastAsia="zh-CN"/>
        </w:rPr>
        <w:t>需</w:t>
      </w:r>
      <w:r>
        <w:rPr>
          <w:rFonts w:hint="eastAsia" w:ascii="宋体" w:hAnsi="宋体" w:eastAsia="宋体" w:cs="宋体"/>
          <w:color w:val="auto"/>
          <w:sz w:val="24"/>
          <w:szCs w:val="24"/>
          <w:highlight w:val="none"/>
        </w:rPr>
        <w:t>的设备和专业技术能力；</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600" w:firstLineChars="25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4.具有依法缴纳税收和社会保障资金的良好记录；</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600" w:firstLineChars="25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5.参加本次政府采购活动前三年内，在经营活动中没有重大违法记录；</w:t>
      </w:r>
    </w:p>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5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pPr>
        <w:pStyle w:val="2"/>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0"/>
          <w:kern w:val="0"/>
          <w:sz w:val="24"/>
          <w:szCs w:val="24"/>
          <w:highlight w:val="none"/>
          <w:lang w:eastAsia="zh-CN"/>
        </w:rPr>
        <w:t>（二）落实政府采购政策需满足的资格条件：</w:t>
      </w:r>
      <w:r>
        <w:rPr>
          <w:rFonts w:hint="eastAsia" w:ascii="宋体" w:hAnsi="宋体" w:eastAsia="宋体" w:cs="宋体"/>
          <w:b w:val="0"/>
          <w:color w:val="auto"/>
          <w:spacing w:val="0"/>
          <w:kern w:val="0"/>
          <w:sz w:val="24"/>
          <w:szCs w:val="24"/>
          <w:highlight w:val="none"/>
          <w:lang w:eastAsia="zh-CN"/>
        </w:rPr>
        <w:t>本项目为专门面向中小企业采购的项目。供应商为中型企业、小型企业或微型企业，监狱企业或残疾人福利性单位视同为小微企业</w:t>
      </w:r>
      <w:r>
        <w:rPr>
          <w:rFonts w:hint="eastAsia" w:ascii="宋体" w:hAnsi="宋体" w:eastAsia="宋体" w:cs="宋体"/>
          <w:color w:val="auto"/>
          <w:kern w:val="2"/>
          <w:sz w:val="24"/>
          <w:szCs w:val="24"/>
          <w:highlight w:val="none"/>
          <w:lang w:val="en-US" w:eastAsia="zh-CN" w:bidi="ar-SA"/>
        </w:rPr>
        <w:t>。</w:t>
      </w:r>
    </w:p>
    <w:p>
      <w:pPr>
        <w:pStyle w:val="2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rPr>
        <w:t>根据采购项目提出的特殊条件：</w:t>
      </w:r>
    </w:p>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5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不得为“信用中国”网站(</w:t>
      </w:r>
      <w:r>
        <w:rPr>
          <w:rFonts w:hint="eastAsia" w:ascii="宋体" w:hAnsi="宋体" w:eastAsia="宋体" w:cs="宋体"/>
          <w:color w:val="auto"/>
          <w:sz w:val="24"/>
          <w:szCs w:val="24"/>
          <w:highlight w:val="none"/>
        </w:rPr>
        <w:drawing>
          <wp:inline distT="0" distB="0" distL="114300" distR="114300">
            <wp:extent cx="190500" cy="142875"/>
            <wp:effectExtent l="0" t="0" r="0" b="952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14"/>
                    <a:stretch>
                      <a:fillRect/>
                    </a:stretch>
                  </pic:blipFill>
                  <pic:spPr>
                    <a:xfrm>
                      <a:off x="0" y="0"/>
                      <a:ext cx="190500" cy="142875"/>
                    </a:xfrm>
                    <a:prstGeom prst="rect">
                      <a:avLst/>
                    </a:prstGeom>
                    <a:noFill/>
                    <a:ln w="9525">
                      <a:noFill/>
                    </a:ln>
                  </pic:spPr>
                </pic:pic>
              </a:graphicData>
            </a:graphic>
          </wp:inline>
        </w:drawing>
      </w:r>
      <w:r>
        <w:rPr>
          <w:rFonts w:hint="eastAsia" w:ascii="宋体" w:hAnsi="宋体" w:eastAsia="宋体" w:cs="宋体"/>
          <w:color w:val="auto"/>
          <w:sz w:val="24"/>
          <w:szCs w:val="24"/>
          <w:highlight w:val="none"/>
        </w:rPr>
        <w:t>www.creditchina.gov.cn)中列入失信被执行人和重大税收违法案件当事人名单的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，不得为中国政府采购网(</w:t>
      </w:r>
      <w:r>
        <w:rPr>
          <w:rFonts w:hint="eastAsia" w:ascii="宋体" w:hAnsi="宋体" w:eastAsia="宋体" w:cs="宋体"/>
          <w:color w:val="auto"/>
          <w:sz w:val="24"/>
          <w:szCs w:val="24"/>
          <w:highlight w:val="none"/>
        </w:rPr>
        <w:drawing>
          <wp:inline distT="0" distB="0" distL="114300" distR="114300">
            <wp:extent cx="190500" cy="142875"/>
            <wp:effectExtent l="0" t="0" r="0" b="9525"/>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14"/>
                    <a:stretch>
                      <a:fillRect/>
                    </a:stretch>
                  </pic:blipFill>
                  <pic:spPr>
                    <a:xfrm>
                      <a:off x="0" y="0"/>
                      <a:ext cx="190500" cy="142875"/>
                    </a:xfrm>
                    <a:prstGeom prst="rect">
                      <a:avLst/>
                    </a:prstGeom>
                    <a:noFill/>
                    <a:ln w="9525">
                      <a:noFill/>
                    </a:ln>
                  </pic:spPr>
                </pic:pic>
              </a:graphicData>
            </a:graphic>
          </wp:inline>
        </w:drawing>
      </w:r>
      <w:r>
        <w:rPr>
          <w:rFonts w:hint="eastAsia" w:ascii="宋体" w:hAnsi="宋体" w:eastAsia="宋体" w:cs="宋体"/>
          <w:color w:val="auto"/>
          <w:sz w:val="24"/>
          <w:szCs w:val="24"/>
          <w:highlight w:val="none"/>
        </w:rPr>
        <w:t>www.ccgp.gov.cn)政府采购严重违法失信行为记录名单中被财政部门禁止参加政府采购活动的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(处罚决定规定的时间和地域范围内)；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color w:val="auto"/>
          <w:spacing w:val="0"/>
          <w:kern w:val="0"/>
          <w:sz w:val="24"/>
          <w:szCs w:val="24"/>
          <w:highlight w:val="none"/>
          <w:lang w:val="en-US" w:eastAsia="zh-CN"/>
        </w:rPr>
        <w:t>2</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lang w:eastAsia="zh-CN"/>
        </w:rPr>
        <w:t>本次</w:t>
      </w:r>
      <w:r>
        <w:rPr>
          <w:rFonts w:hint="eastAsia" w:ascii="宋体" w:hAnsi="宋体" w:eastAsia="宋体" w:cs="宋体"/>
          <w:color w:val="auto"/>
          <w:sz w:val="24"/>
          <w:szCs w:val="24"/>
          <w:highlight w:val="none"/>
        </w:rPr>
        <w:t>采购活动的供应商、法定代表人、主要负责人在</w:t>
      </w:r>
      <w:r>
        <w:rPr>
          <w:rFonts w:hint="eastAsia" w:ascii="宋体" w:hAnsi="宋体" w:eastAsia="宋体" w:cs="宋体"/>
          <w:color w:val="auto"/>
          <w:sz w:val="24"/>
          <w:szCs w:val="24"/>
          <w:highlight w:val="none"/>
          <w:lang w:val="en-US" w:eastAsia="zh-CN"/>
        </w:rPr>
        <w:t>2018</w:t>
      </w:r>
      <w:r>
        <w:rPr>
          <w:rFonts w:hint="eastAsia" w:ascii="宋体" w:hAnsi="宋体" w:eastAsia="宋体" w:cs="宋体"/>
          <w:color w:val="auto"/>
          <w:sz w:val="24"/>
          <w:szCs w:val="24"/>
          <w:highlight w:val="none"/>
        </w:rPr>
        <w:t>年至今不得具有行贿犯罪记录；</w:t>
      </w:r>
    </w:p>
    <w:p>
      <w:pPr>
        <w:pStyle w:val="2"/>
        <w:spacing w:line="360" w:lineRule="auto"/>
        <w:ind w:firstLine="480" w:firstLineChars="200"/>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3</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0"/>
          <w:highlight w:val="none"/>
          <w:lang w:val="en-US" w:eastAsia="zh-CN" w:bidi="ar-SA"/>
        </w:rPr>
        <w:t>不属于为采购项目提供整体设计、规范编制或者项目管理、监理、检测等服务的供应商；</w:t>
      </w:r>
    </w:p>
    <w:p>
      <w:pPr>
        <w:pStyle w:val="14"/>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highlight w:val="none"/>
          <w:lang w:val="en-US" w:eastAsia="zh-CN"/>
        </w:rPr>
        <w:t>单位（自然人）没有列入失信被执行人、重大税收违法案件当事人名单、政府采购严重违法失信行为记录名单</w:t>
      </w:r>
      <w:r>
        <w:rPr>
          <w:rFonts w:hint="eastAsia" w:ascii="宋体" w:hAnsi="宋体" w:eastAsia="宋体" w:cs="宋体"/>
          <w:color w:val="auto"/>
          <w:sz w:val="24"/>
          <w:szCs w:val="24"/>
          <w:highlight w:val="none"/>
          <w:lang w:val="en-US" w:eastAsia="zh-CN"/>
        </w:rPr>
        <w:t>；</w:t>
      </w:r>
    </w:p>
    <w:p>
      <w:pPr>
        <w:pStyle w:val="14"/>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.具有国家行政主管部门颁发的检验检测机构资质CMA 证书（检测范围包含本项目检测项目内容）；</w:t>
      </w:r>
    </w:p>
    <w:p>
      <w:pPr>
        <w:pStyle w:val="14"/>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.本项目不接受联合体参加磋商；</w:t>
      </w:r>
    </w:p>
    <w:p>
      <w:pPr>
        <w:pStyle w:val="14"/>
        <w:spacing w:line="360" w:lineRule="auto"/>
        <w:ind w:firstLine="480" w:firstLineChars="200"/>
        <w:rPr>
          <w:rFonts w:hint="eastAsia" w:ascii="宋体" w:hAnsi="宋体" w:eastAsia="宋体" w:cs="宋体"/>
          <w:color w:val="auto"/>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按规定获取磋商文件。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六、禁止参加本次采购活动的供应商</w:t>
      </w:r>
    </w:p>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5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关于在政府采购活动中查询及使用信用记录有关问题的通知》（财库〔2016〕125号）的要求，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5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七、磋商文件获取方式、时间、地点：</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239" w:leftChars="114" w:right="0" w:rightChars="0" w:firstLine="307" w:firstLineChars="128"/>
        <w:textAlignment w:val="auto"/>
        <w:outlineLvl w:val="9"/>
        <w:rPr>
          <w:rFonts w:hint="eastAsia" w:ascii="宋体" w:hAnsi="宋体" w:eastAsia="宋体" w:cs="宋体"/>
          <w:b w:val="0"/>
          <w:color w:val="auto"/>
          <w:kern w:val="2"/>
          <w:sz w:val="24"/>
          <w:szCs w:val="24"/>
          <w:highlight w:val="none"/>
          <w:shd w:val="clear" w:color="auto" w:fill="auto"/>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.磋商文件</w:t>
      </w:r>
      <w:r>
        <w:rPr>
          <w:rFonts w:hint="eastAsia" w:ascii="宋体" w:hAnsi="宋体" w:eastAsia="宋体" w:cs="宋体"/>
          <w:color w:val="auto"/>
          <w:sz w:val="24"/>
          <w:szCs w:val="24"/>
          <w:highlight w:val="none"/>
          <w:lang w:eastAsia="zh-CN"/>
        </w:rPr>
        <w:t>的获取时间：</w:t>
      </w:r>
      <w:r>
        <w:rPr>
          <w:rFonts w:hint="eastAsia" w:ascii="宋体" w:hAnsi="宋体" w:eastAsia="宋体" w:cs="宋体"/>
          <w:color w:val="auto"/>
          <w:sz w:val="24"/>
          <w:szCs w:val="24"/>
          <w:highlight w:val="none"/>
          <w:shd w:val="clear" w:color="auto" w:fill="auto"/>
        </w:rPr>
        <w:t>磋商文件自</w:t>
      </w:r>
      <w:r>
        <w:rPr>
          <w:rFonts w:hint="eastAsia" w:ascii="宋体" w:hAnsi="宋体" w:eastAsia="宋体" w:cs="宋体"/>
          <w:color w:val="auto"/>
          <w:sz w:val="24"/>
          <w:szCs w:val="24"/>
          <w:highlight w:val="none"/>
          <w:shd w:val="clear" w:color="auto" w:fill="auto"/>
          <w:lang w:val="en-US" w:eastAsia="zh-CN"/>
        </w:rPr>
        <w:t>2021年0</w:t>
      </w:r>
      <w:r>
        <w:rPr>
          <w:rFonts w:hint="eastAsia" w:ascii="宋体" w:hAnsi="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月</w:t>
      </w:r>
      <w:r>
        <w:rPr>
          <w:rFonts w:hint="eastAsia" w:ascii="宋体" w:hAnsi="宋体" w:cs="宋体"/>
          <w:color w:val="auto"/>
          <w:sz w:val="24"/>
          <w:szCs w:val="24"/>
          <w:highlight w:val="none"/>
          <w:shd w:val="clear" w:color="auto" w:fill="auto"/>
          <w:lang w:val="en-US" w:eastAsia="zh-CN"/>
        </w:rPr>
        <w:t>14</w:t>
      </w:r>
      <w:r>
        <w:rPr>
          <w:rFonts w:hint="eastAsia" w:ascii="宋体" w:hAnsi="宋体" w:eastAsia="宋体" w:cs="宋体"/>
          <w:color w:val="auto"/>
          <w:sz w:val="24"/>
          <w:szCs w:val="24"/>
          <w:highlight w:val="none"/>
          <w:shd w:val="clear" w:color="auto" w:fill="auto"/>
        </w:rPr>
        <w:t>日至</w:t>
      </w:r>
      <w:r>
        <w:rPr>
          <w:rFonts w:hint="eastAsia" w:ascii="宋体" w:hAnsi="宋体" w:eastAsia="宋体" w:cs="宋体"/>
          <w:color w:val="auto"/>
          <w:sz w:val="24"/>
          <w:szCs w:val="24"/>
          <w:highlight w:val="none"/>
          <w:shd w:val="clear" w:color="auto" w:fill="auto"/>
          <w:lang w:val="en-US" w:eastAsia="zh-CN"/>
        </w:rPr>
        <w:t>2021</w:t>
      </w:r>
      <w:r>
        <w:rPr>
          <w:rFonts w:hint="eastAsia" w:ascii="宋体" w:hAnsi="宋体" w:eastAsia="宋体" w:cs="宋体"/>
          <w:color w:val="auto"/>
          <w:sz w:val="24"/>
          <w:szCs w:val="24"/>
          <w:highlight w:val="none"/>
          <w:shd w:val="clear" w:color="auto" w:fill="auto"/>
        </w:rPr>
        <w:t>年</w:t>
      </w:r>
      <w:r>
        <w:rPr>
          <w:rFonts w:hint="eastAsia" w:ascii="宋体" w:hAnsi="宋体" w:cs="宋体"/>
          <w:color w:val="auto"/>
          <w:sz w:val="24"/>
          <w:szCs w:val="24"/>
          <w:highlight w:val="none"/>
          <w:shd w:val="clear" w:color="auto" w:fill="auto"/>
          <w:lang w:val="en-US" w:eastAsia="zh-CN"/>
        </w:rPr>
        <w:t>05</w:t>
      </w:r>
      <w:r>
        <w:rPr>
          <w:rFonts w:hint="eastAsia" w:ascii="宋体" w:hAnsi="宋体" w:eastAsia="宋体" w:cs="宋体"/>
          <w:color w:val="auto"/>
          <w:sz w:val="24"/>
          <w:szCs w:val="24"/>
          <w:highlight w:val="none"/>
          <w:shd w:val="clear" w:color="auto" w:fill="auto"/>
          <w:lang w:val="en-US" w:eastAsia="zh-CN"/>
        </w:rPr>
        <w:t>月</w:t>
      </w:r>
      <w:r>
        <w:rPr>
          <w:rFonts w:hint="eastAsia" w:ascii="宋体" w:hAnsi="宋体" w:cs="宋体"/>
          <w:color w:val="auto"/>
          <w:sz w:val="24"/>
          <w:szCs w:val="24"/>
          <w:highlight w:val="none"/>
          <w:shd w:val="clear" w:color="auto" w:fill="auto"/>
          <w:lang w:val="en-US" w:eastAsia="zh-CN"/>
        </w:rPr>
        <w:t>21</w:t>
      </w:r>
      <w:r>
        <w:rPr>
          <w:rFonts w:hint="eastAsia" w:ascii="宋体" w:hAnsi="宋体" w:eastAsia="宋体" w:cs="宋体"/>
          <w:color w:val="auto"/>
          <w:sz w:val="24"/>
          <w:szCs w:val="24"/>
          <w:highlight w:val="none"/>
          <w:shd w:val="clear" w:color="auto" w:fill="auto"/>
        </w:rPr>
        <w:t>日</w:t>
      </w:r>
      <w:r>
        <w:rPr>
          <w:rFonts w:hint="eastAsia" w:ascii="宋体" w:hAnsi="宋体" w:eastAsia="宋体" w:cs="宋体"/>
          <w:b w:val="0"/>
          <w:color w:val="auto"/>
          <w:kern w:val="2"/>
          <w:sz w:val="24"/>
          <w:szCs w:val="24"/>
          <w:highlight w:val="none"/>
          <w:shd w:val="clear" w:color="auto" w:fill="auto"/>
          <w:lang w:val="en-US"/>
        </w:rPr>
        <w:t>9:30-17:00（北京时间，法定节假日除外）</w:t>
      </w:r>
      <w:r>
        <w:rPr>
          <w:rFonts w:hint="eastAsia" w:ascii="宋体" w:hAnsi="宋体" w:eastAsia="宋体" w:cs="宋体"/>
          <w:b w:val="0"/>
          <w:color w:val="auto"/>
          <w:kern w:val="2"/>
          <w:sz w:val="24"/>
          <w:szCs w:val="24"/>
          <w:highlight w:val="none"/>
          <w:shd w:val="clear" w:color="auto" w:fill="auto"/>
          <w:lang w:val="en-US" w:eastAsia="zh-CN"/>
        </w:rPr>
        <w:t>。</w:t>
      </w:r>
    </w:p>
    <w:p>
      <w:pPr>
        <w:pStyle w:val="2"/>
        <w:pageBreakBefore w:val="0"/>
        <w:kinsoku/>
        <w:overflowPunct/>
        <w:topLinePunct w:val="0"/>
        <w:bidi w:val="0"/>
        <w:snapToGrid/>
        <w:spacing w:line="360" w:lineRule="auto"/>
        <w:ind w:firstLine="480" w:firstLineChars="200"/>
        <w:textAlignment w:val="auto"/>
        <w:rPr>
          <w:rFonts w:hint="eastAsia" w:ascii="宋体" w:hAnsi="宋体" w:eastAsia="宋体" w:cs="宋体"/>
          <w:b w:val="0"/>
          <w:color w:val="auto"/>
          <w:kern w:val="2"/>
          <w:sz w:val="24"/>
          <w:szCs w:val="24"/>
          <w:highlight w:val="none"/>
          <w:shd w:val="clear" w:color="auto" w:fill="auto"/>
          <w:lang w:val="en-US" w:eastAsia="zh-CN"/>
        </w:rPr>
      </w:pPr>
      <w:r>
        <w:rPr>
          <w:rFonts w:hint="eastAsia" w:ascii="宋体" w:hAnsi="宋体" w:eastAsia="宋体" w:cs="宋体"/>
          <w:b w:val="0"/>
          <w:color w:val="auto"/>
          <w:kern w:val="2"/>
          <w:sz w:val="24"/>
          <w:szCs w:val="24"/>
          <w:highlight w:val="none"/>
          <w:shd w:val="clear" w:color="auto" w:fill="auto"/>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b w:val="0"/>
          <w:color w:val="auto"/>
          <w:kern w:val="2"/>
          <w:sz w:val="24"/>
          <w:szCs w:val="24"/>
          <w:highlight w:val="none"/>
          <w:shd w:val="clear" w:color="auto" w:fill="auto"/>
          <w:lang w:val="en-US" w:eastAsia="zh-CN"/>
        </w:rPr>
        <w:t>磋商文件的获取方式：</w:t>
      </w:r>
    </w:p>
    <w:p>
      <w:pPr>
        <w:pStyle w:val="2"/>
        <w:pageBreakBefore w:val="0"/>
        <w:kinsoku/>
        <w:overflowPunct/>
        <w:topLinePunct w:val="0"/>
        <w:bidi w:val="0"/>
        <w:snapToGrid/>
        <w:spacing w:line="360" w:lineRule="auto"/>
        <w:ind w:firstLine="480" w:firstLineChars="200"/>
        <w:textAlignment w:val="auto"/>
        <w:rPr>
          <w:rFonts w:hint="eastAsia" w:ascii="宋体" w:hAnsi="宋体" w:eastAsia="宋体" w:cs="宋体"/>
          <w:b w:val="0"/>
          <w:color w:val="auto"/>
          <w:kern w:val="2"/>
          <w:sz w:val="24"/>
          <w:szCs w:val="24"/>
          <w:highlight w:val="none"/>
          <w:shd w:val="clear" w:color="auto" w:fill="auto"/>
          <w:lang w:val="en-US" w:eastAsia="zh-CN"/>
        </w:rPr>
      </w:pPr>
      <w:r>
        <w:rPr>
          <w:rFonts w:hint="eastAsia" w:ascii="宋体" w:hAnsi="宋体" w:eastAsia="宋体" w:cs="宋体"/>
          <w:b w:val="0"/>
          <w:color w:val="auto"/>
          <w:kern w:val="2"/>
          <w:sz w:val="24"/>
          <w:szCs w:val="24"/>
          <w:highlight w:val="none"/>
          <w:shd w:val="clear" w:color="auto" w:fill="auto"/>
          <w:lang w:val="en-US" w:eastAsia="zh-CN"/>
        </w:rPr>
        <w:t>（一）网上（远程）办理（在公告界面下载报名相关资料）：（1）供应商网上（远程）办理</w:t>
      </w:r>
      <w:r>
        <w:rPr>
          <w:rFonts w:hint="eastAsia" w:ascii="宋体" w:hAnsi="宋体" w:cs="宋体"/>
          <w:b w:val="0"/>
          <w:color w:val="auto"/>
          <w:kern w:val="2"/>
          <w:sz w:val="24"/>
          <w:szCs w:val="24"/>
          <w:highlight w:val="none"/>
          <w:shd w:val="clear" w:color="auto" w:fill="auto"/>
          <w:lang w:val="en-US" w:eastAsia="zh-CN"/>
        </w:rPr>
        <w:t>获取</w:t>
      </w:r>
      <w:r>
        <w:rPr>
          <w:rFonts w:hint="eastAsia" w:ascii="宋体" w:hAnsi="宋体" w:eastAsia="宋体" w:cs="宋体"/>
          <w:b w:val="0"/>
          <w:color w:val="auto"/>
          <w:kern w:val="2"/>
          <w:sz w:val="24"/>
          <w:szCs w:val="24"/>
          <w:highlight w:val="none"/>
          <w:shd w:val="clear" w:color="auto" w:fill="auto"/>
          <w:lang w:val="en-US" w:eastAsia="zh-CN"/>
        </w:rPr>
        <w:t>磋商文件时，请先下载公告附件中的《报名信息登记表》《介绍信（格式）》，并按照相关要求填写信息（单位名称、经办人姓名、经办人手机号、单位座机及传真号、电子邮箱等）（2）</w:t>
      </w:r>
      <w:r>
        <w:rPr>
          <w:rFonts w:hint="eastAsia" w:ascii="宋体" w:hAnsi="宋体" w:eastAsia="宋体" w:cs="宋体"/>
          <w:color w:val="auto"/>
          <w:sz w:val="24"/>
          <w:szCs w:val="24"/>
          <w:highlight w:val="none"/>
          <w:lang w:val="en-US" w:eastAsia="zh-CN"/>
        </w:rPr>
        <w:t>将已填写好的</w:t>
      </w:r>
      <w:r>
        <w:rPr>
          <w:rFonts w:hint="eastAsia" w:ascii="宋体" w:hAnsi="宋体" w:eastAsia="宋体" w:cs="宋体"/>
          <w:b w:val="0"/>
          <w:color w:val="auto"/>
          <w:kern w:val="2"/>
          <w:sz w:val="24"/>
          <w:szCs w:val="24"/>
          <w:highlight w:val="none"/>
          <w:shd w:val="clear" w:color="auto" w:fill="auto"/>
          <w:lang w:val="en-US" w:eastAsia="zh-CN"/>
        </w:rPr>
        <w:t>《报名信息登记表》《介绍信（格式）》（附经办人身份证），加盖供应商单位公章后扫描成图片发送至</w:t>
      </w:r>
      <w:r>
        <w:rPr>
          <w:rFonts w:hint="eastAsia" w:ascii="宋体" w:hAnsi="宋体" w:eastAsia="宋体" w:cs="宋体"/>
          <w:color w:val="auto"/>
          <w:sz w:val="24"/>
          <w:szCs w:val="24"/>
          <w:highlight w:val="none"/>
          <w:u w:val="none"/>
          <w:lang w:val="en-US" w:eastAsia="zh-CN"/>
        </w:rPr>
        <w:fldChar w:fldCharType="begin"/>
      </w:r>
      <w:r>
        <w:rPr>
          <w:rFonts w:hint="eastAsia" w:ascii="宋体" w:hAnsi="宋体" w:eastAsia="宋体" w:cs="宋体"/>
          <w:color w:val="auto"/>
          <w:sz w:val="24"/>
          <w:szCs w:val="24"/>
          <w:highlight w:val="none"/>
          <w:u w:val="none"/>
          <w:lang w:val="en-US" w:eastAsia="zh-CN"/>
        </w:rPr>
        <w:instrText xml:space="preserve"> HYPERLINK "mailto:501108294@qq.com" </w:instrText>
      </w:r>
      <w:r>
        <w:rPr>
          <w:rFonts w:hint="eastAsia" w:ascii="宋体" w:hAnsi="宋体" w:eastAsia="宋体" w:cs="宋体"/>
          <w:color w:val="auto"/>
          <w:sz w:val="24"/>
          <w:szCs w:val="24"/>
          <w:highlight w:val="none"/>
          <w:u w:val="none"/>
          <w:lang w:val="en-US" w:eastAsia="zh-CN"/>
        </w:rPr>
        <w:fldChar w:fldCharType="separate"/>
      </w:r>
      <w:r>
        <w:rPr>
          <w:rStyle w:val="19"/>
          <w:rFonts w:hint="eastAsia" w:ascii="宋体" w:hAnsi="宋体" w:cs="宋体"/>
          <w:color w:val="auto"/>
          <w:sz w:val="24"/>
          <w:szCs w:val="24"/>
          <w:highlight w:val="none"/>
          <w:u w:val="none"/>
          <w:lang w:val="en-US" w:eastAsia="zh-CN"/>
        </w:rPr>
        <w:t>317892677</w:t>
      </w:r>
      <w:r>
        <w:rPr>
          <w:rStyle w:val="19"/>
          <w:rFonts w:hint="eastAsia" w:ascii="宋体" w:hAnsi="宋体" w:eastAsia="宋体" w:cs="宋体"/>
          <w:color w:val="auto"/>
          <w:sz w:val="24"/>
          <w:szCs w:val="24"/>
          <w:highlight w:val="none"/>
          <w:u w:val="none"/>
          <w:lang w:val="en-US" w:eastAsia="zh-CN"/>
        </w:rPr>
        <w:t>@qq.com</w:t>
      </w:r>
      <w:r>
        <w:rPr>
          <w:rFonts w:hint="eastAsia" w:ascii="宋体" w:hAnsi="宋体" w:eastAsia="宋体" w:cs="宋体"/>
          <w:color w:val="auto"/>
          <w:sz w:val="24"/>
          <w:szCs w:val="24"/>
          <w:highlight w:val="none"/>
          <w:u w:val="none"/>
          <w:lang w:val="en-US" w:eastAsia="zh-CN"/>
        </w:rPr>
        <w:fldChar w:fldCharType="end"/>
      </w:r>
      <w:r>
        <w:rPr>
          <w:rFonts w:hint="eastAsia" w:ascii="宋体" w:hAnsi="宋体" w:eastAsia="宋体" w:cs="宋体"/>
          <w:color w:val="auto"/>
          <w:sz w:val="24"/>
          <w:szCs w:val="24"/>
          <w:highlight w:val="none"/>
          <w:u w:val="none"/>
          <w:lang w:val="en-US" w:eastAsia="zh-CN"/>
        </w:rPr>
        <w:t>。</w:t>
      </w:r>
    </w:p>
    <w:p>
      <w:pPr>
        <w:pStyle w:val="2"/>
        <w:pageBreakBefore w:val="0"/>
        <w:kinsoku/>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val="en-US" w:eastAsia="zh-CN"/>
        </w:rPr>
        <w:t>注：</w:t>
      </w:r>
      <w:r>
        <w:rPr>
          <w:rFonts w:hint="eastAsia" w:ascii="宋体" w:hAnsi="宋体" w:eastAsia="宋体" w:cs="宋体"/>
          <w:b w:val="0"/>
          <w:color w:val="auto"/>
          <w:kern w:val="2"/>
          <w:sz w:val="24"/>
          <w:szCs w:val="24"/>
          <w:highlight w:val="none"/>
          <w:shd w:val="clear" w:color="auto" w:fill="auto"/>
          <w:lang w:val="en-US" w:eastAsia="zh-CN"/>
        </w:rPr>
        <w:t>《报名信息登记表》《介绍信（格式）》（附经办人身份证），加盖公章的原件请于开标当日交于</w:t>
      </w:r>
      <w:r>
        <w:rPr>
          <w:rFonts w:hint="eastAsia" w:ascii="宋体" w:hAnsi="宋体" w:eastAsia="宋体" w:cs="宋体"/>
          <w:color w:val="auto"/>
          <w:sz w:val="24"/>
          <w:szCs w:val="24"/>
          <w:highlight w:val="none"/>
          <w:u w:val="none"/>
          <w:lang w:eastAsia="zh-CN"/>
        </w:rPr>
        <w:t>四川东来印象招标代理有限公司磋商文件</w:t>
      </w:r>
      <w:r>
        <w:rPr>
          <w:rFonts w:hint="eastAsia" w:ascii="宋体" w:hAnsi="宋体" w:cs="宋体"/>
          <w:color w:val="auto"/>
          <w:sz w:val="24"/>
          <w:szCs w:val="24"/>
          <w:highlight w:val="none"/>
          <w:u w:val="none"/>
          <w:lang w:val="en-US" w:eastAsia="zh-CN"/>
        </w:rPr>
        <w:t>获取</w:t>
      </w:r>
      <w:r>
        <w:rPr>
          <w:rFonts w:hint="eastAsia" w:ascii="宋体" w:hAnsi="宋体" w:eastAsia="宋体" w:cs="宋体"/>
          <w:color w:val="auto"/>
          <w:sz w:val="24"/>
          <w:szCs w:val="24"/>
          <w:highlight w:val="none"/>
          <w:u w:val="none"/>
          <w:lang w:eastAsia="zh-CN"/>
        </w:rPr>
        <w:t>办理处。</w:t>
      </w:r>
    </w:p>
    <w:p>
      <w:pPr>
        <w:pStyle w:val="2"/>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color w:val="auto"/>
          <w:kern w:val="2"/>
          <w:sz w:val="24"/>
          <w:szCs w:val="24"/>
          <w:highlight w:val="none"/>
          <w:lang w:val="en-US"/>
        </w:rPr>
      </w:pPr>
      <w:r>
        <w:rPr>
          <w:rFonts w:hint="eastAsia" w:ascii="宋体" w:hAnsi="宋体" w:cs="宋体"/>
          <w:color w:val="auto"/>
          <w:sz w:val="24"/>
          <w:szCs w:val="24"/>
          <w:highlight w:val="none"/>
          <w:u w:val="none"/>
          <w:lang w:val="en-US" w:eastAsia="zh-CN"/>
        </w:rPr>
        <w:t>（二）</w:t>
      </w:r>
      <w:r>
        <w:rPr>
          <w:rFonts w:hint="eastAsia" w:ascii="宋体" w:hAnsi="宋体" w:eastAsia="宋体" w:cs="宋体"/>
          <w:color w:val="auto"/>
          <w:sz w:val="24"/>
          <w:szCs w:val="24"/>
          <w:highlight w:val="none"/>
          <w:u w:val="none"/>
          <w:lang w:val="en-US" w:eastAsia="zh-CN"/>
        </w:rPr>
        <w:t>现场报名：</w:t>
      </w:r>
      <w:r>
        <w:rPr>
          <w:rFonts w:hint="eastAsia" w:ascii="宋体" w:hAnsi="宋体" w:eastAsia="宋体" w:cs="宋体"/>
          <w:b w:val="0"/>
          <w:color w:val="auto"/>
          <w:kern w:val="2"/>
          <w:sz w:val="24"/>
          <w:szCs w:val="24"/>
          <w:highlight w:val="none"/>
          <w:shd w:val="clear" w:color="auto" w:fill="auto"/>
          <w:lang w:val="en-US" w:eastAsia="zh-CN"/>
        </w:rPr>
        <w:t>（1）供应商</w:t>
      </w:r>
      <w:r>
        <w:rPr>
          <w:rFonts w:hint="eastAsia" w:ascii="宋体" w:hAnsi="宋体" w:eastAsia="宋体" w:cs="宋体"/>
          <w:color w:val="auto"/>
          <w:sz w:val="24"/>
          <w:szCs w:val="24"/>
          <w:highlight w:val="none"/>
          <w:u w:val="none"/>
          <w:lang w:val="en-US" w:eastAsia="zh-CN"/>
        </w:rPr>
        <w:t>在</w:t>
      </w:r>
      <w:r>
        <w:rPr>
          <w:rFonts w:hint="eastAsia" w:ascii="宋体" w:hAnsi="宋体" w:cs="宋体"/>
          <w:color w:val="auto"/>
          <w:sz w:val="24"/>
          <w:szCs w:val="24"/>
          <w:highlight w:val="none"/>
          <w:u w:val="none"/>
          <w:lang w:val="en-US" w:eastAsia="zh-CN"/>
        </w:rPr>
        <w:t>获取</w:t>
      </w:r>
      <w:r>
        <w:rPr>
          <w:rFonts w:hint="eastAsia" w:ascii="宋体" w:hAnsi="宋体" w:eastAsia="宋体" w:cs="宋体"/>
          <w:color w:val="auto"/>
          <w:sz w:val="24"/>
          <w:szCs w:val="24"/>
          <w:highlight w:val="none"/>
          <w:u w:val="none"/>
          <w:lang w:val="en-US" w:eastAsia="zh-CN"/>
        </w:rPr>
        <w:t>磋商文件时须携带下列有效证明文件：单位介绍信及经办人身份证复印件,以上资料均需加盖单位公章。</w:t>
      </w:r>
      <w:r>
        <w:rPr>
          <w:rFonts w:hint="eastAsia" w:ascii="宋体" w:hAnsi="宋体" w:eastAsia="宋体" w:cs="宋体"/>
          <w:b w:val="0"/>
          <w:color w:val="auto"/>
          <w:kern w:val="2"/>
          <w:sz w:val="24"/>
          <w:szCs w:val="24"/>
          <w:highlight w:val="none"/>
          <w:shd w:val="clear" w:color="auto" w:fill="auto"/>
          <w:lang w:val="en-US" w:eastAsia="zh-CN"/>
        </w:rPr>
        <w:t>（2）</w:t>
      </w:r>
      <w:r>
        <w:rPr>
          <w:rFonts w:hint="eastAsia" w:ascii="宋体" w:hAnsi="宋体" w:eastAsia="宋体" w:cs="宋体"/>
          <w:b w:val="0"/>
          <w:color w:val="auto"/>
          <w:kern w:val="2"/>
          <w:sz w:val="24"/>
          <w:szCs w:val="24"/>
          <w:highlight w:val="none"/>
          <w:lang w:val="en-US" w:eastAsia="zh-CN"/>
        </w:rPr>
        <w:t>磋商文件</w:t>
      </w:r>
      <w:r>
        <w:rPr>
          <w:rFonts w:hint="eastAsia" w:ascii="宋体" w:hAnsi="宋体" w:cs="宋体"/>
          <w:b w:val="0"/>
          <w:color w:val="auto"/>
          <w:kern w:val="2"/>
          <w:sz w:val="24"/>
          <w:szCs w:val="24"/>
          <w:highlight w:val="none"/>
          <w:lang w:val="en-US" w:eastAsia="zh-CN"/>
        </w:rPr>
        <w:t>获取</w:t>
      </w:r>
      <w:r>
        <w:rPr>
          <w:rFonts w:hint="eastAsia" w:ascii="宋体" w:hAnsi="宋体" w:eastAsia="宋体" w:cs="宋体"/>
          <w:b w:val="0"/>
          <w:color w:val="auto"/>
          <w:kern w:val="2"/>
          <w:sz w:val="24"/>
          <w:szCs w:val="24"/>
          <w:highlight w:val="none"/>
          <w:lang w:val="en-US"/>
        </w:rPr>
        <w:t>地点：</w:t>
      </w:r>
      <w:r>
        <w:rPr>
          <w:rFonts w:hint="eastAsia" w:ascii="宋体" w:hAnsi="宋体" w:eastAsia="宋体" w:cs="宋体"/>
          <w:b w:val="0"/>
          <w:bCs/>
          <w:color w:val="auto"/>
          <w:kern w:val="2"/>
          <w:sz w:val="24"/>
          <w:szCs w:val="24"/>
          <w:highlight w:val="none"/>
          <w:lang w:val="en-US" w:eastAsia="zh-CN"/>
        </w:rPr>
        <w:t>成都市锦江区驿都西路316号绿地468中心锦峰1507</w:t>
      </w:r>
      <w:r>
        <w:rPr>
          <w:rFonts w:hint="eastAsia" w:ascii="宋体" w:hAnsi="宋体" w:eastAsia="宋体" w:cs="宋体"/>
          <w:bCs/>
          <w:color w:val="auto"/>
          <w:sz w:val="24"/>
          <w:szCs w:val="24"/>
          <w:highlight w:val="none"/>
          <w:lang w:val="en-US" w:eastAsia="zh-CN"/>
        </w:rPr>
        <w:t>（</w:t>
      </w:r>
      <w:r>
        <w:rPr>
          <w:rFonts w:hint="eastAsia" w:ascii="宋体" w:hAnsi="宋体" w:eastAsia="宋体" w:cs="宋体"/>
          <w:color w:val="auto"/>
          <w:sz w:val="24"/>
          <w:szCs w:val="24"/>
          <w:highlight w:val="none"/>
          <w:u w:val="none"/>
          <w:lang w:eastAsia="zh-CN"/>
        </w:rPr>
        <w:t>四川东来印象招标代理有限公司</w:t>
      </w:r>
      <w:r>
        <w:rPr>
          <w:rFonts w:hint="eastAsia" w:ascii="宋体" w:hAnsi="宋体" w:eastAsia="宋体" w:cs="宋体"/>
          <w:bCs/>
          <w:color w:val="auto"/>
          <w:sz w:val="24"/>
          <w:szCs w:val="24"/>
          <w:highlight w:val="none"/>
          <w:lang w:val="en-US" w:eastAsia="zh-CN"/>
        </w:rPr>
        <w:t>）</w:t>
      </w:r>
      <w:r>
        <w:rPr>
          <w:rFonts w:hint="eastAsia" w:ascii="宋体" w:hAnsi="宋体" w:eastAsia="宋体" w:cs="宋体"/>
          <w:b w:val="0"/>
          <w:color w:val="auto"/>
          <w:kern w:val="2"/>
          <w:sz w:val="24"/>
          <w:szCs w:val="24"/>
          <w:highlight w:val="none"/>
          <w:lang w:val="en-US"/>
        </w:rPr>
        <w:t>。</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（三）备注：以上</w:t>
      </w:r>
      <w:r>
        <w:rPr>
          <w:rFonts w:hint="eastAsia" w:ascii="宋体" w:hAnsi="宋体" w:eastAsia="宋体" w:cs="宋体"/>
          <w:b/>
          <w:bCs/>
          <w:color w:val="auto"/>
          <w:kern w:val="2"/>
          <w:sz w:val="24"/>
          <w:szCs w:val="24"/>
          <w:highlight w:val="none"/>
          <w:shd w:val="clear" w:color="auto" w:fill="auto"/>
          <w:lang w:val="en-US" w:eastAsia="zh-CN"/>
        </w:rPr>
        <w:t>（一）网上（远程）办理、（二）</w:t>
      </w:r>
      <w:r>
        <w:rPr>
          <w:rFonts w:hint="eastAsia" w:ascii="宋体" w:hAnsi="宋体" w:eastAsia="宋体" w:cs="宋体"/>
          <w:b/>
          <w:bCs/>
          <w:color w:val="auto"/>
          <w:sz w:val="24"/>
          <w:szCs w:val="24"/>
          <w:highlight w:val="none"/>
          <w:u w:val="none"/>
          <w:lang w:val="en-US" w:eastAsia="zh-CN"/>
        </w:rPr>
        <w:t>现场报名两种</w:t>
      </w:r>
      <w:r>
        <w:rPr>
          <w:rFonts w:hint="eastAsia" w:ascii="宋体" w:hAnsi="宋体" w:eastAsia="宋体" w:cs="宋体"/>
          <w:b/>
          <w:bCs/>
          <w:color w:val="auto"/>
          <w:sz w:val="24"/>
          <w:szCs w:val="24"/>
          <w:highlight w:val="none"/>
          <w:lang w:val="en-US" w:eastAsia="zh-CN"/>
        </w:rPr>
        <w:t>报名方式，供应商可自行选择，二选一。</w:t>
      </w:r>
    </w:p>
    <w:p>
      <w:pPr>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360" w:lineRule="auto"/>
        <w:ind w:left="480" w:leftChars="0" w:right="0" w:rightChars="0"/>
        <w:textAlignment w:val="auto"/>
        <w:outlineLvl w:val="9"/>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b w:val="0"/>
          <w:color w:val="auto"/>
          <w:kern w:val="2"/>
          <w:sz w:val="24"/>
          <w:szCs w:val="24"/>
          <w:highlight w:val="none"/>
          <w:lang w:val="en-US" w:eastAsia="zh-CN"/>
        </w:rPr>
        <w:t>磋商文件</w:t>
      </w:r>
      <w:r>
        <w:rPr>
          <w:rFonts w:hint="eastAsia" w:ascii="宋体" w:hAnsi="宋体" w:eastAsia="宋体" w:cs="宋体"/>
          <w:b w:val="0"/>
          <w:color w:val="auto"/>
          <w:kern w:val="2"/>
          <w:sz w:val="24"/>
          <w:szCs w:val="24"/>
          <w:highlight w:val="none"/>
          <w:lang w:val="en-US"/>
        </w:rPr>
        <w:t>售价：人民币</w:t>
      </w:r>
      <w:r>
        <w:rPr>
          <w:rFonts w:hint="eastAsia" w:ascii="宋体" w:hAnsi="宋体" w:cs="宋体"/>
          <w:b w:val="0"/>
          <w:color w:val="auto"/>
          <w:kern w:val="2"/>
          <w:sz w:val="24"/>
          <w:szCs w:val="24"/>
          <w:highlight w:val="none"/>
          <w:lang w:val="en-US" w:eastAsia="zh-CN"/>
        </w:rPr>
        <w:t>0</w:t>
      </w:r>
      <w:r>
        <w:rPr>
          <w:rFonts w:hint="eastAsia" w:ascii="宋体" w:hAnsi="宋体" w:eastAsia="宋体" w:cs="宋体"/>
          <w:b w:val="0"/>
          <w:color w:val="auto"/>
          <w:kern w:val="2"/>
          <w:sz w:val="24"/>
          <w:szCs w:val="24"/>
          <w:highlight w:val="none"/>
          <w:lang w:val="en-US"/>
        </w:rPr>
        <w:t>元/份（售后不退，投标资格不能转让）</w:t>
      </w:r>
      <w:r>
        <w:rPr>
          <w:rFonts w:hint="eastAsia" w:ascii="宋体" w:hAnsi="宋体" w:eastAsia="宋体" w:cs="宋体"/>
          <w:b w:val="0"/>
          <w:color w:val="auto"/>
          <w:kern w:val="2"/>
          <w:sz w:val="24"/>
          <w:szCs w:val="24"/>
          <w:highlight w:val="none"/>
          <w:lang w:val="en-US" w:eastAsia="zh-CN"/>
        </w:rPr>
        <w:t>。</w:t>
      </w:r>
    </w:p>
    <w:p>
      <w:pPr>
        <w:pStyle w:val="2"/>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报名咨询电话：</w:t>
      </w:r>
      <w:r>
        <w:rPr>
          <w:rFonts w:hint="eastAsia" w:ascii="宋体" w:hAnsi="宋体" w:eastAsia="宋体" w:cs="宋体"/>
          <w:color w:val="auto"/>
          <w:kern w:val="0"/>
          <w:sz w:val="24"/>
          <w:szCs w:val="24"/>
          <w:highlight w:val="none"/>
          <w:lang w:val="en-US" w:eastAsia="zh-CN" w:bidi="ar"/>
        </w:rPr>
        <w:t>028-86981015、15196691603。</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right="0" w:rightChars="0"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b w:val="0"/>
          <w:color w:val="auto"/>
          <w:kern w:val="2"/>
          <w:sz w:val="24"/>
          <w:szCs w:val="24"/>
          <w:highlight w:val="none"/>
          <w:lang w:val="en-US" w:eastAsia="zh-CN"/>
        </w:rPr>
        <w:t>供应商</w:t>
      </w:r>
      <w:r>
        <w:rPr>
          <w:rFonts w:hint="eastAsia" w:ascii="宋体" w:hAnsi="宋体" w:cs="宋体"/>
          <w:b w:val="0"/>
          <w:color w:val="auto"/>
          <w:kern w:val="2"/>
          <w:sz w:val="24"/>
          <w:szCs w:val="24"/>
          <w:highlight w:val="none"/>
          <w:lang w:val="en-US" w:eastAsia="zh-CN"/>
        </w:rPr>
        <w:t>获取</w:t>
      </w:r>
      <w:r>
        <w:rPr>
          <w:rFonts w:hint="eastAsia" w:ascii="宋体" w:hAnsi="宋体" w:eastAsia="宋体" w:cs="宋体"/>
          <w:b w:val="0"/>
          <w:color w:val="auto"/>
          <w:kern w:val="2"/>
          <w:sz w:val="24"/>
          <w:szCs w:val="24"/>
          <w:highlight w:val="none"/>
          <w:lang w:val="en-US" w:eastAsia="zh-CN"/>
        </w:rPr>
        <w:t>磋商文件</w:t>
      </w:r>
      <w:r>
        <w:rPr>
          <w:rFonts w:hint="eastAsia" w:ascii="宋体" w:hAnsi="宋体" w:eastAsia="宋体" w:cs="宋体"/>
          <w:b w:val="0"/>
          <w:color w:val="auto"/>
          <w:kern w:val="2"/>
          <w:sz w:val="24"/>
          <w:szCs w:val="24"/>
          <w:highlight w:val="none"/>
          <w:lang w:val="en-US"/>
        </w:rPr>
        <w:t>时必须如实认真填写项目信息及</w:t>
      </w:r>
      <w:r>
        <w:rPr>
          <w:rFonts w:hint="eastAsia" w:ascii="宋体" w:hAnsi="宋体" w:eastAsia="宋体" w:cs="宋体"/>
          <w:b w:val="0"/>
          <w:color w:val="auto"/>
          <w:kern w:val="2"/>
          <w:sz w:val="24"/>
          <w:szCs w:val="24"/>
          <w:highlight w:val="none"/>
          <w:lang w:val="en-US" w:eastAsia="zh-CN"/>
        </w:rPr>
        <w:t>供应商</w:t>
      </w:r>
      <w:r>
        <w:rPr>
          <w:rFonts w:hint="eastAsia" w:ascii="宋体" w:hAnsi="宋体" w:eastAsia="宋体" w:cs="宋体"/>
          <w:b w:val="0"/>
          <w:color w:val="auto"/>
          <w:kern w:val="2"/>
          <w:sz w:val="24"/>
          <w:szCs w:val="24"/>
          <w:highlight w:val="none"/>
          <w:lang w:val="en-US"/>
        </w:rPr>
        <w:t>信息；若因</w:t>
      </w:r>
      <w:r>
        <w:rPr>
          <w:rFonts w:hint="eastAsia" w:ascii="宋体" w:hAnsi="宋体" w:eastAsia="宋体" w:cs="宋体"/>
          <w:b w:val="0"/>
          <w:color w:val="auto"/>
          <w:kern w:val="2"/>
          <w:sz w:val="24"/>
          <w:szCs w:val="24"/>
          <w:highlight w:val="none"/>
          <w:lang w:val="en-US" w:eastAsia="zh-CN"/>
        </w:rPr>
        <w:t>供应商</w:t>
      </w:r>
      <w:r>
        <w:rPr>
          <w:rFonts w:hint="eastAsia" w:ascii="宋体" w:hAnsi="宋体" w:eastAsia="宋体" w:cs="宋体"/>
          <w:b w:val="0"/>
          <w:color w:val="auto"/>
          <w:kern w:val="2"/>
          <w:sz w:val="24"/>
          <w:szCs w:val="24"/>
          <w:highlight w:val="none"/>
          <w:lang w:val="en-US"/>
        </w:rPr>
        <w:t>提供的错误信息，对自身投标事宜造成影响的，由</w:t>
      </w:r>
      <w:r>
        <w:rPr>
          <w:rFonts w:hint="eastAsia" w:ascii="宋体" w:hAnsi="宋体" w:eastAsia="宋体" w:cs="宋体"/>
          <w:b w:val="0"/>
          <w:color w:val="auto"/>
          <w:kern w:val="2"/>
          <w:sz w:val="24"/>
          <w:szCs w:val="24"/>
          <w:highlight w:val="none"/>
          <w:lang w:val="en-US" w:eastAsia="zh-CN"/>
        </w:rPr>
        <w:t>供应商</w:t>
      </w:r>
      <w:r>
        <w:rPr>
          <w:rFonts w:hint="eastAsia" w:ascii="宋体" w:hAnsi="宋体" w:eastAsia="宋体" w:cs="宋体"/>
          <w:b w:val="0"/>
          <w:color w:val="auto"/>
          <w:kern w:val="2"/>
          <w:sz w:val="24"/>
          <w:szCs w:val="24"/>
          <w:highlight w:val="none"/>
          <w:lang w:val="en-US"/>
        </w:rPr>
        <w:t>自行承担责任（</w:t>
      </w:r>
      <w:r>
        <w:rPr>
          <w:rFonts w:hint="eastAsia" w:ascii="宋体" w:hAnsi="宋体" w:eastAsia="宋体" w:cs="宋体"/>
          <w:b w:val="0"/>
          <w:color w:val="auto"/>
          <w:kern w:val="2"/>
          <w:sz w:val="24"/>
          <w:szCs w:val="24"/>
          <w:highlight w:val="none"/>
          <w:lang w:val="en-US" w:eastAsia="zh-CN"/>
        </w:rPr>
        <w:t>供应商</w:t>
      </w:r>
      <w:r>
        <w:rPr>
          <w:rFonts w:hint="eastAsia" w:ascii="宋体" w:hAnsi="宋体" w:eastAsia="宋体" w:cs="宋体"/>
          <w:b w:val="0"/>
          <w:color w:val="auto"/>
          <w:kern w:val="2"/>
          <w:sz w:val="24"/>
          <w:szCs w:val="24"/>
          <w:highlight w:val="none"/>
          <w:lang w:val="en-US"/>
        </w:rPr>
        <w:t>欲修改报名信息，请于</w:t>
      </w:r>
      <w:r>
        <w:rPr>
          <w:rFonts w:hint="eastAsia" w:ascii="宋体" w:hAnsi="宋体" w:eastAsia="宋体" w:cs="宋体"/>
          <w:b w:val="0"/>
          <w:color w:val="auto"/>
          <w:kern w:val="2"/>
          <w:sz w:val="24"/>
          <w:szCs w:val="24"/>
          <w:highlight w:val="none"/>
          <w:lang w:val="en-US" w:eastAsia="zh-CN"/>
        </w:rPr>
        <w:t>递交响应文件</w:t>
      </w:r>
      <w:r>
        <w:rPr>
          <w:rFonts w:hint="eastAsia" w:ascii="宋体" w:hAnsi="宋体" w:eastAsia="宋体" w:cs="宋体"/>
          <w:b w:val="0"/>
          <w:color w:val="auto"/>
          <w:kern w:val="2"/>
          <w:sz w:val="24"/>
          <w:szCs w:val="24"/>
          <w:highlight w:val="none"/>
          <w:lang w:val="en-US"/>
        </w:rPr>
        <w:t>截止</w:t>
      </w:r>
      <w:r>
        <w:rPr>
          <w:rFonts w:hint="eastAsia" w:ascii="宋体" w:hAnsi="宋体" w:eastAsia="宋体" w:cs="宋体"/>
          <w:b w:val="0"/>
          <w:color w:val="auto"/>
          <w:kern w:val="2"/>
          <w:sz w:val="24"/>
          <w:szCs w:val="24"/>
          <w:highlight w:val="none"/>
          <w:lang w:val="en-US" w:eastAsia="zh-CN"/>
        </w:rPr>
        <w:t>时间</w:t>
      </w:r>
      <w:r>
        <w:rPr>
          <w:rFonts w:hint="eastAsia" w:ascii="宋体" w:hAnsi="宋体" w:eastAsia="宋体" w:cs="宋体"/>
          <w:b w:val="0"/>
          <w:color w:val="auto"/>
          <w:kern w:val="2"/>
          <w:sz w:val="24"/>
          <w:szCs w:val="24"/>
          <w:highlight w:val="none"/>
          <w:lang w:val="en-US"/>
        </w:rPr>
        <w:t>前</w:t>
      </w:r>
      <w:r>
        <w:rPr>
          <w:rFonts w:hint="eastAsia" w:ascii="宋体" w:hAnsi="宋体" w:eastAsia="宋体" w:cs="宋体"/>
          <w:b w:val="0"/>
          <w:color w:val="auto"/>
          <w:kern w:val="2"/>
          <w:sz w:val="24"/>
          <w:szCs w:val="24"/>
          <w:highlight w:val="none"/>
          <w:lang w:val="en-US" w:eastAsia="zh-CN"/>
        </w:rPr>
        <w:t>一天</w:t>
      </w:r>
      <w:r>
        <w:rPr>
          <w:rFonts w:hint="eastAsia" w:ascii="宋体" w:hAnsi="宋体" w:eastAsia="宋体" w:cs="宋体"/>
          <w:b w:val="0"/>
          <w:color w:val="auto"/>
          <w:kern w:val="2"/>
          <w:sz w:val="24"/>
          <w:szCs w:val="24"/>
          <w:highlight w:val="none"/>
          <w:lang w:val="en-US"/>
        </w:rPr>
        <w:t>到我单位重新填写报名登记表）。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八、递交响应文件截止时间：</w:t>
      </w:r>
      <w:r>
        <w:rPr>
          <w:rFonts w:hint="eastAsia" w:ascii="宋体" w:hAnsi="宋体" w:eastAsia="宋体" w:cs="宋体"/>
          <w:color w:val="auto"/>
          <w:sz w:val="24"/>
          <w:szCs w:val="24"/>
          <w:highlight w:val="none"/>
          <w:shd w:val="clear" w:color="auto" w:fill="auto"/>
          <w:lang w:val="en-US" w:eastAsia="zh-CN"/>
        </w:rPr>
        <w:t>2021</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4"/>
          <w:szCs w:val="24"/>
          <w:highlight w:val="none"/>
          <w:shd w:val="clear" w:color="auto" w:fill="auto"/>
          <w:lang w:val="en-US" w:eastAsia="zh-CN"/>
        </w:rPr>
        <w:t>0</w:t>
      </w:r>
      <w:r>
        <w:rPr>
          <w:rFonts w:hint="eastAsia" w:ascii="宋体" w:hAnsi="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月</w:t>
      </w:r>
      <w:r>
        <w:rPr>
          <w:rFonts w:hint="eastAsia" w:ascii="宋体" w:hAnsi="宋体" w:cs="宋体"/>
          <w:color w:val="auto"/>
          <w:sz w:val="24"/>
          <w:szCs w:val="24"/>
          <w:highlight w:val="none"/>
          <w:shd w:val="clear" w:color="auto" w:fill="auto"/>
          <w:lang w:val="en-US" w:eastAsia="zh-CN"/>
        </w:rPr>
        <w:t>24</w:t>
      </w:r>
      <w:r>
        <w:rPr>
          <w:rFonts w:hint="eastAsia" w:ascii="宋体" w:hAnsi="宋体" w:eastAsia="宋体" w:cs="宋体"/>
          <w:color w:val="auto"/>
          <w:sz w:val="24"/>
          <w:szCs w:val="24"/>
          <w:highlight w:val="none"/>
          <w:shd w:val="clear" w:color="auto" w:fill="auto"/>
        </w:rPr>
        <w:t>日</w:t>
      </w:r>
      <w:r>
        <w:rPr>
          <w:rFonts w:hint="eastAsia" w:ascii="宋体" w:hAnsi="宋体" w:eastAsia="宋体" w:cs="宋体"/>
          <w:bCs/>
          <w:color w:val="auto"/>
          <w:sz w:val="24"/>
          <w:szCs w:val="24"/>
          <w:highlight w:val="none"/>
          <w:shd w:val="clear" w:color="auto" w:fill="auto"/>
          <w:lang w:val="en-US" w:eastAsia="zh-CN"/>
        </w:rPr>
        <w:t>13：30</w:t>
      </w:r>
      <w:r>
        <w:rPr>
          <w:rFonts w:hint="eastAsia" w:ascii="宋体" w:hAnsi="宋体" w:eastAsia="宋体" w:cs="宋体"/>
          <w:color w:val="auto"/>
          <w:sz w:val="24"/>
          <w:szCs w:val="24"/>
          <w:highlight w:val="none"/>
          <w:shd w:val="clear" w:color="auto" w:fill="auto"/>
        </w:rPr>
        <w:t>（北京时间）。</w:t>
      </w:r>
    </w:p>
    <w:p>
      <w:pPr>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left"/>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color w:val="auto"/>
          <w:sz w:val="24"/>
          <w:szCs w:val="24"/>
          <w:highlight w:val="none"/>
        </w:rPr>
        <w:t>九、递交响应文件地点：</w:t>
      </w:r>
      <w:r>
        <w:rPr>
          <w:rFonts w:hint="eastAsia" w:ascii="宋体" w:hAnsi="宋体" w:eastAsia="宋体" w:cs="宋体"/>
          <w:color w:val="auto"/>
          <w:sz w:val="24"/>
          <w:szCs w:val="24"/>
          <w:highlight w:val="none"/>
        </w:rPr>
        <w:t>响应文件必须在递交响应文件截止时间前送达磋商地点。逾期送达、密封和标注错误的响应文件，采购代理机构恕不接收。</w:t>
      </w:r>
      <w:r>
        <w:rPr>
          <w:rFonts w:hint="eastAsia" w:ascii="宋体" w:hAnsi="宋体" w:eastAsia="宋体" w:cs="宋体"/>
          <w:b/>
          <w:bCs/>
          <w:color w:val="auto"/>
          <w:sz w:val="24"/>
          <w:szCs w:val="24"/>
          <w:highlight w:val="none"/>
        </w:rPr>
        <w:t>本次采购</w:t>
      </w:r>
      <w:r>
        <w:rPr>
          <w:rFonts w:hint="eastAsia" w:ascii="宋体" w:hAnsi="宋体" w:eastAsia="宋体" w:cs="宋体"/>
          <w:b/>
          <w:bCs/>
          <w:color w:val="auto"/>
          <w:sz w:val="24"/>
          <w:szCs w:val="24"/>
          <w:highlight w:val="none"/>
          <w:lang w:eastAsia="zh-CN"/>
        </w:rPr>
        <w:t>不</w:t>
      </w:r>
      <w:r>
        <w:rPr>
          <w:rFonts w:hint="eastAsia" w:ascii="宋体" w:hAnsi="宋体" w:eastAsia="宋体" w:cs="宋体"/>
          <w:b/>
          <w:bCs/>
          <w:color w:val="auto"/>
          <w:sz w:val="24"/>
          <w:szCs w:val="24"/>
          <w:highlight w:val="none"/>
        </w:rPr>
        <w:t>接收邮寄的</w:t>
      </w:r>
      <w:r>
        <w:rPr>
          <w:rFonts w:hint="eastAsia" w:ascii="宋体" w:hAnsi="宋体" w:eastAsia="宋体" w:cs="宋体"/>
          <w:b/>
          <w:bCs/>
          <w:color w:val="auto"/>
          <w:sz w:val="24"/>
          <w:szCs w:val="24"/>
          <w:highlight w:val="none"/>
          <w:lang w:eastAsia="zh-CN"/>
        </w:rPr>
        <w:t>响应</w:t>
      </w:r>
      <w:r>
        <w:rPr>
          <w:rFonts w:hint="eastAsia" w:ascii="宋体" w:hAnsi="宋体" w:eastAsia="宋体" w:cs="宋体"/>
          <w:b/>
          <w:bCs/>
          <w:color w:val="auto"/>
          <w:sz w:val="24"/>
          <w:szCs w:val="24"/>
          <w:highlight w:val="none"/>
        </w:rPr>
        <w:t>文件</w:t>
      </w:r>
      <w:r>
        <w:rPr>
          <w:rFonts w:hint="eastAsia" w:ascii="宋体" w:hAnsi="宋体" w:eastAsia="宋体" w:cs="宋体"/>
          <w:b/>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textAlignment w:val="auto"/>
        <w:outlineLvl w:val="9"/>
        <w:rPr>
          <w:rFonts w:hint="eastAsia" w:ascii="宋体" w:hAnsi="宋体" w:eastAsia="宋体" w:cs="宋体"/>
          <w:b w:val="0"/>
          <w:color w:val="auto"/>
          <w:kern w:val="2"/>
          <w:sz w:val="24"/>
          <w:szCs w:val="24"/>
          <w:highlight w:val="none"/>
          <w:lang w:val="en-US"/>
        </w:rPr>
      </w:pPr>
      <w:r>
        <w:rPr>
          <w:rFonts w:hint="eastAsia" w:ascii="宋体" w:hAnsi="宋体" w:eastAsia="宋体" w:cs="宋体"/>
          <w:b w:val="0"/>
          <w:color w:val="auto"/>
          <w:kern w:val="2"/>
          <w:sz w:val="24"/>
          <w:szCs w:val="24"/>
          <w:highlight w:val="none"/>
          <w:lang w:val="en-US"/>
        </w:rPr>
        <w:t>请</w:t>
      </w:r>
      <w:r>
        <w:rPr>
          <w:rFonts w:hint="eastAsia" w:ascii="宋体" w:hAnsi="宋体" w:eastAsia="宋体" w:cs="宋体"/>
          <w:b w:val="0"/>
          <w:color w:val="auto"/>
          <w:kern w:val="2"/>
          <w:sz w:val="24"/>
          <w:szCs w:val="24"/>
          <w:highlight w:val="none"/>
          <w:lang w:val="en-US" w:eastAsia="zh-CN"/>
        </w:rPr>
        <w:t>供应商</w:t>
      </w:r>
      <w:r>
        <w:rPr>
          <w:rFonts w:hint="eastAsia" w:ascii="宋体" w:hAnsi="宋体" w:eastAsia="宋体" w:cs="宋体"/>
          <w:b w:val="0"/>
          <w:color w:val="auto"/>
          <w:kern w:val="2"/>
          <w:sz w:val="24"/>
          <w:szCs w:val="24"/>
          <w:highlight w:val="none"/>
          <w:lang w:val="en-US"/>
        </w:rPr>
        <w:t>按时参与本项目的开标，</w:t>
      </w:r>
      <w:r>
        <w:rPr>
          <w:rFonts w:hint="eastAsia" w:ascii="宋体" w:hAnsi="宋体" w:eastAsia="宋体" w:cs="宋体"/>
          <w:b w:val="0"/>
          <w:color w:val="auto"/>
          <w:kern w:val="2"/>
          <w:sz w:val="24"/>
          <w:szCs w:val="24"/>
          <w:highlight w:val="none"/>
          <w:lang w:val="en-US" w:eastAsia="zh-CN"/>
        </w:rPr>
        <w:t>供应商</w:t>
      </w:r>
      <w:r>
        <w:rPr>
          <w:rFonts w:hint="eastAsia" w:ascii="宋体" w:hAnsi="宋体" w:eastAsia="宋体" w:cs="宋体"/>
          <w:b w:val="0"/>
          <w:color w:val="auto"/>
          <w:kern w:val="2"/>
          <w:sz w:val="24"/>
          <w:szCs w:val="24"/>
          <w:highlight w:val="none"/>
          <w:lang w:val="en-US"/>
        </w:rPr>
        <w:t>未参加开标的，视同认可开标结果。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十、响应文件开启时间：</w:t>
      </w:r>
      <w:r>
        <w:rPr>
          <w:rFonts w:hint="eastAsia" w:ascii="宋体" w:hAnsi="宋体" w:eastAsia="宋体" w:cs="宋体"/>
          <w:color w:val="auto"/>
          <w:sz w:val="24"/>
          <w:szCs w:val="24"/>
          <w:highlight w:val="none"/>
          <w:shd w:val="clear" w:color="auto" w:fill="auto"/>
          <w:lang w:val="en-US" w:eastAsia="zh-CN"/>
        </w:rPr>
        <w:t>2021</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4"/>
          <w:szCs w:val="24"/>
          <w:highlight w:val="none"/>
          <w:shd w:val="clear" w:color="auto" w:fill="auto"/>
          <w:lang w:val="en-US" w:eastAsia="zh-CN"/>
        </w:rPr>
        <w:t>0</w:t>
      </w:r>
      <w:r>
        <w:rPr>
          <w:rFonts w:hint="eastAsia" w:ascii="宋体" w:hAnsi="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月</w:t>
      </w:r>
      <w:r>
        <w:rPr>
          <w:rFonts w:hint="eastAsia" w:ascii="宋体" w:hAnsi="宋体" w:cs="宋体"/>
          <w:color w:val="auto"/>
          <w:sz w:val="24"/>
          <w:szCs w:val="24"/>
          <w:highlight w:val="none"/>
          <w:shd w:val="clear" w:color="auto" w:fill="auto"/>
          <w:lang w:val="en-US" w:eastAsia="zh-CN"/>
        </w:rPr>
        <w:t>24</w:t>
      </w:r>
      <w:r>
        <w:rPr>
          <w:rFonts w:hint="eastAsia" w:ascii="宋体" w:hAnsi="宋体" w:eastAsia="宋体" w:cs="宋体"/>
          <w:color w:val="auto"/>
          <w:sz w:val="24"/>
          <w:szCs w:val="24"/>
          <w:highlight w:val="none"/>
          <w:shd w:val="clear" w:color="auto" w:fill="auto"/>
        </w:rPr>
        <w:t>日</w:t>
      </w:r>
      <w:r>
        <w:rPr>
          <w:rFonts w:hint="eastAsia" w:ascii="宋体" w:hAnsi="宋体" w:eastAsia="宋体" w:cs="宋体"/>
          <w:bCs/>
          <w:color w:val="auto"/>
          <w:sz w:val="24"/>
          <w:szCs w:val="24"/>
          <w:highlight w:val="none"/>
          <w:shd w:val="clear" w:color="auto" w:fill="auto"/>
          <w:lang w:val="en-US" w:eastAsia="zh-CN"/>
        </w:rPr>
        <w:t>13：30</w:t>
      </w:r>
      <w:r>
        <w:rPr>
          <w:rFonts w:hint="eastAsia" w:ascii="宋体" w:hAnsi="宋体" w:eastAsia="宋体" w:cs="宋体"/>
          <w:color w:val="auto"/>
          <w:sz w:val="24"/>
          <w:szCs w:val="24"/>
          <w:highlight w:val="none"/>
          <w:shd w:val="clear" w:color="auto" w:fill="auto"/>
        </w:rPr>
        <w:t>（北京时间）在磋商地点开启。</w:t>
      </w:r>
    </w:p>
    <w:p>
      <w:pPr>
        <w:pStyle w:val="2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十一、磋商地点：</w:t>
      </w:r>
      <w:r>
        <w:rPr>
          <w:rFonts w:hint="eastAsia" w:ascii="宋体" w:hAnsi="宋体" w:eastAsia="宋体" w:cs="宋体"/>
          <w:b w:val="0"/>
          <w:bCs/>
          <w:color w:val="auto"/>
          <w:kern w:val="2"/>
          <w:sz w:val="24"/>
          <w:szCs w:val="24"/>
          <w:highlight w:val="none"/>
          <w:lang w:val="en-US" w:eastAsia="zh-CN"/>
        </w:rPr>
        <w:t>成都市锦江区驿都西路316号绿地468中心锦峰2207（四川东来印象招标代理有限公司）</w:t>
      </w:r>
      <w:r>
        <w:rPr>
          <w:rFonts w:hint="eastAsia" w:ascii="宋体" w:hAnsi="宋体" w:eastAsia="宋体" w:cs="宋体"/>
          <w:b w:val="0"/>
          <w:bCs/>
          <w:color w:val="auto"/>
          <w:sz w:val="24"/>
          <w:szCs w:val="24"/>
          <w:highlight w:val="none"/>
        </w:rPr>
        <w:t>。</w:t>
      </w:r>
    </w:p>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textAlignment w:val="auto"/>
        <w:outlineLvl w:val="9"/>
        <w:rPr>
          <w:rFonts w:hint="eastAsia" w:ascii="宋体" w:hAnsi="宋体" w:eastAsia="宋体" w:cs="宋体"/>
          <w:b/>
          <w:bCs w:val="0"/>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textAlignment w:val="auto"/>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十二、联系方式</w:t>
      </w:r>
    </w:p>
    <w:p>
      <w:pPr>
        <w:pStyle w:val="2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采购人：</w:t>
      </w:r>
      <w:r>
        <w:rPr>
          <w:rFonts w:hint="eastAsia" w:ascii="宋体" w:hAnsi="宋体" w:cs="宋体"/>
          <w:b w:val="0"/>
          <w:bCs/>
          <w:color w:val="auto"/>
          <w:sz w:val="24"/>
          <w:szCs w:val="24"/>
          <w:highlight w:val="none"/>
          <w:u w:val="none"/>
          <w:lang w:val="en-US" w:eastAsia="zh-CN"/>
        </w:rPr>
        <w:t>简阳市水务局</w:t>
      </w:r>
    </w:p>
    <w:p>
      <w:pPr>
        <w:pStyle w:val="2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通讯地址</w:t>
      </w:r>
      <w:r>
        <w:rPr>
          <w:rFonts w:hint="eastAsia" w:ascii="宋体" w:hAnsi="宋体" w:eastAsia="宋体" w:cs="宋体"/>
          <w:color w:val="auto"/>
          <w:sz w:val="24"/>
          <w:szCs w:val="24"/>
          <w:highlight w:val="none"/>
          <w:lang w:eastAsia="zh-CN"/>
        </w:rPr>
        <w:t>：简阳市滨江路574号</w:t>
      </w:r>
      <w:r>
        <w:rPr>
          <w:rFonts w:hint="eastAsia" w:ascii="宋体" w:hAnsi="宋体" w:eastAsia="宋体" w:cs="宋体"/>
          <w:color w:val="auto"/>
          <w:sz w:val="24"/>
          <w:highlight w:val="none"/>
          <w:lang w:val="en-US" w:eastAsia="zh-CN"/>
        </w:rPr>
        <w:t xml:space="preserve"> </w:t>
      </w:r>
    </w:p>
    <w:p>
      <w:pPr>
        <w:pStyle w:val="2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 系 人：刘</w:t>
      </w:r>
      <w:r>
        <w:rPr>
          <w:rFonts w:hint="eastAsia" w:ascii="宋体" w:hAnsi="宋体" w:cs="宋体"/>
          <w:color w:val="auto"/>
          <w:sz w:val="24"/>
          <w:szCs w:val="24"/>
          <w:highlight w:val="none"/>
          <w:lang w:eastAsia="zh-CN"/>
        </w:rPr>
        <w:t>先生</w:t>
      </w:r>
    </w:p>
    <w:p>
      <w:pPr>
        <w:pStyle w:val="2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auto"/>
          <w:highlight w:val="none"/>
          <w:lang w:val="en-US"/>
        </w:rPr>
      </w:pPr>
      <w:r>
        <w:rPr>
          <w:rFonts w:hint="eastAsia" w:ascii="宋体" w:hAnsi="宋体" w:eastAsia="宋体" w:cs="宋体"/>
          <w:color w:val="auto"/>
          <w:sz w:val="24"/>
          <w:szCs w:val="24"/>
          <w:highlight w:val="none"/>
        </w:rPr>
        <w:t>联系</w:t>
      </w:r>
      <w:r>
        <w:rPr>
          <w:rFonts w:hint="eastAsia" w:ascii="宋体" w:hAnsi="宋体" w:eastAsia="宋体" w:cs="宋体"/>
          <w:color w:val="auto"/>
          <w:kern w:val="0"/>
          <w:sz w:val="24"/>
          <w:szCs w:val="24"/>
          <w:highlight w:val="none"/>
          <w:lang w:val="en-US" w:eastAsia="zh-CN" w:bidi="ar"/>
        </w:rPr>
        <w:t>电话：</w:t>
      </w:r>
      <w:r>
        <w:rPr>
          <w:rFonts w:hint="eastAsia" w:ascii="宋体" w:hAnsi="宋体" w:cs="宋体"/>
          <w:color w:val="auto"/>
          <w:kern w:val="0"/>
          <w:sz w:val="24"/>
          <w:szCs w:val="24"/>
          <w:highlight w:val="none"/>
          <w:lang w:val="en-US" w:eastAsia="zh-CN" w:bidi="ar"/>
        </w:rPr>
        <w:t>028-27243973</w:t>
      </w:r>
    </w:p>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720" w:firstLineChars="300"/>
        <w:textAlignment w:val="auto"/>
        <w:outlineLvl w:val="9"/>
        <w:rPr>
          <w:rFonts w:hint="eastAsia" w:ascii="宋体" w:hAnsi="宋体" w:eastAsia="宋体" w:cs="宋体"/>
          <w:bCs/>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auto"/>
          <w:sz w:val="24"/>
          <w:highlight w:val="none"/>
          <w:u w:val="single"/>
          <w:lang w:eastAsia="zh-CN"/>
        </w:rPr>
      </w:pPr>
      <w:r>
        <w:rPr>
          <w:rFonts w:hint="eastAsia" w:ascii="宋体" w:hAnsi="宋体" w:eastAsia="宋体" w:cs="宋体"/>
          <w:b/>
          <w:bCs w:val="0"/>
          <w:color w:val="auto"/>
          <w:sz w:val="24"/>
          <w:szCs w:val="24"/>
          <w:highlight w:val="none"/>
        </w:rPr>
        <w:t>采购代理机构</w:t>
      </w:r>
      <w:r>
        <w:rPr>
          <w:rFonts w:hint="eastAsia" w:ascii="宋体" w:hAnsi="宋体" w:eastAsia="宋体" w:cs="宋体"/>
          <w:bCs/>
          <w:color w:val="auto"/>
          <w:sz w:val="24"/>
          <w:szCs w:val="24"/>
          <w:highlight w:val="none"/>
        </w:rPr>
        <w:t>：</w:t>
      </w:r>
      <w:r>
        <w:rPr>
          <w:rFonts w:hint="eastAsia" w:ascii="宋体" w:hAnsi="宋体" w:eastAsia="宋体" w:cs="宋体"/>
          <w:color w:val="auto"/>
          <w:sz w:val="24"/>
          <w:highlight w:val="none"/>
          <w:u w:val="none"/>
          <w:lang w:eastAsia="zh-CN"/>
        </w:rPr>
        <w:t>四川东来印象招标代理有限公司</w:t>
      </w:r>
    </w:p>
    <w:p>
      <w:pPr>
        <w:pStyle w:val="2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Cs/>
          <w:color w:val="auto"/>
          <w:sz w:val="24"/>
          <w:szCs w:val="24"/>
          <w:highlight w:val="none"/>
        </w:rPr>
        <w:t>地    址</w:t>
      </w:r>
      <w:r>
        <w:rPr>
          <w:rFonts w:hint="eastAsia" w:ascii="宋体" w:hAnsi="宋体" w:eastAsia="宋体" w:cs="宋体"/>
          <w:b/>
          <w:bCs w:val="0"/>
          <w:color w:val="auto"/>
          <w:sz w:val="24"/>
          <w:szCs w:val="24"/>
          <w:highlight w:val="none"/>
        </w:rPr>
        <w:t>：</w:t>
      </w:r>
      <w:r>
        <w:rPr>
          <w:rFonts w:hint="eastAsia" w:ascii="宋体" w:hAnsi="宋体" w:eastAsia="宋体" w:cs="宋体"/>
          <w:b w:val="0"/>
          <w:bCs/>
          <w:color w:val="auto"/>
          <w:kern w:val="2"/>
          <w:sz w:val="24"/>
          <w:szCs w:val="24"/>
          <w:highlight w:val="none"/>
          <w:lang w:val="en-US" w:eastAsia="zh-CN"/>
        </w:rPr>
        <w:t>成都市锦江区驿都西路316号绿地468中心锦峰1507</w:t>
      </w:r>
    </w:p>
    <w:p>
      <w:pPr>
        <w:pStyle w:val="7"/>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联系人：</w:t>
      </w:r>
      <w:r>
        <w:rPr>
          <w:rFonts w:hint="eastAsia" w:ascii="宋体" w:hAnsi="宋体" w:cs="宋体"/>
          <w:bCs/>
          <w:color w:val="auto"/>
          <w:sz w:val="24"/>
          <w:szCs w:val="24"/>
          <w:highlight w:val="none"/>
          <w:lang w:eastAsia="zh-CN"/>
        </w:rPr>
        <w:t>王先生</w:t>
      </w:r>
    </w:p>
    <w:p>
      <w:pPr>
        <w:keepNext/>
        <w:keepLines/>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Style w:val="20"/>
          <w:rFonts w:hint="eastAsia" w:ascii="宋体" w:hAnsi="宋体" w:eastAsia="宋体" w:cs="宋体"/>
          <w:color w:val="auto"/>
          <w:highlight w:val="none"/>
        </w:rPr>
      </w:pPr>
      <w:r>
        <w:rPr>
          <w:rFonts w:hint="eastAsia" w:ascii="宋体" w:hAnsi="宋体" w:eastAsia="宋体" w:cs="宋体"/>
          <w:color w:val="auto"/>
          <w:sz w:val="24"/>
          <w:szCs w:val="24"/>
          <w:highlight w:val="none"/>
        </w:rPr>
        <w:t>联系</w:t>
      </w:r>
      <w:r>
        <w:rPr>
          <w:rFonts w:hint="eastAsia" w:ascii="宋体" w:hAnsi="宋体" w:eastAsia="宋体" w:cs="宋体"/>
          <w:color w:val="auto"/>
          <w:kern w:val="0"/>
          <w:sz w:val="24"/>
          <w:szCs w:val="24"/>
          <w:highlight w:val="none"/>
          <w:lang w:val="en-US" w:eastAsia="zh-CN" w:bidi="ar"/>
        </w:rPr>
        <w:t>电话：028-86981015、15196691603</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highlight w:val="none"/>
        </w:rPr>
      </w:pPr>
      <w:bookmarkStart w:id="5" w:name="_Toc4913"/>
      <w:bookmarkStart w:id="6" w:name="_Toc138"/>
    </w:p>
    <w:p>
      <w:pPr>
        <w:pStyle w:val="2"/>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pStyle w:val="7"/>
        <w:keepNext w:val="0"/>
        <w:keepLines w:val="0"/>
        <w:pageBreakBefore w:val="0"/>
        <w:widowControl w:val="0"/>
        <w:kinsoku/>
        <w:wordWrap/>
        <w:overflowPunct/>
        <w:topLinePunct w:val="0"/>
        <w:autoSpaceDE/>
        <w:autoSpaceDN/>
        <w:bidi w:val="0"/>
        <w:adjustRightInd/>
        <w:snapToGrid/>
        <w:spacing w:line="360" w:lineRule="auto"/>
        <w:ind w:right="0" w:rightChars="0"/>
        <w:jc w:val="right"/>
        <w:textAlignment w:val="auto"/>
        <w:outlineLvl w:val="9"/>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t>2021</w:t>
      </w: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t>05</w:t>
      </w: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t>13</w:t>
      </w:r>
      <w:r>
        <w:rPr>
          <w:rFonts w:hint="eastAsia" w:asciiTheme="minorEastAsia" w:hAnsiTheme="minorEastAsia" w:eastAsiaTheme="minorEastAsia" w:cstheme="minorEastAsia"/>
          <w:color w:val="000000" w:themeColor="text1"/>
          <w:sz w:val="24"/>
          <w:szCs w:val="24"/>
          <w:highlight w:val="none"/>
          <w:shd w:val="clear" w:color="auto" w:fill="auto"/>
          <w:lang w:eastAsia="zh-CN"/>
          <w14:textFill>
            <w14:solidFill>
              <w14:schemeClr w14:val="tx1"/>
            </w14:solidFill>
          </w14:textFill>
        </w:rPr>
        <w:t>日</w:t>
      </w: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3"/>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0"/>
        <w:rPr>
          <w:rStyle w:val="20"/>
          <w:rFonts w:hint="default" w:ascii="宋体" w:hAnsi="宋体" w:eastAsia="宋体" w:cs="宋体"/>
          <w:b/>
          <w:bCs/>
          <w:color w:val="auto"/>
          <w:highlight w:val="none"/>
          <w:lang w:val="en-US" w:eastAsia="zh-CN" w:bidi="ar-SA"/>
        </w:rPr>
      </w:pPr>
      <w:bookmarkStart w:id="7" w:name="_Toc2129"/>
      <w:r>
        <w:rPr>
          <w:rStyle w:val="20"/>
          <w:rFonts w:hint="eastAsia" w:ascii="宋体" w:hAnsi="宋体" w:eastAsia="宋体" w:cs="宋体"/>
          <w:b/>
          <w:bCs/>
          <w:color w:val="auto"/>
          <w:highlight w:val="none"/>
          <w:lang w:val="en-US" w:eastAsia="zh-CN" w:bidi="ar-SA"/>
        </w:rPr>
        <w:t>第二章 磋商须知</w:t>
      </w:r>
      <w:bookmarkEnd w:id="7"/>
    </w:p>
    <w:p>
      <w:pPr>
        <w:pStyle w:val="4"/>
        <w:keepNext w:val="0"/>
        <w:keepLines w:val="0"/>
        <w:spacing w:line="240" w:lineRule="auto"/>
        <w:jc w:val="center"/>
        <w:rPr>
          <w:rFonts w:hint="eastAsia" w:ascii="宋体" w:hAnsi="宋体" w:eastAsia="宋体" w:cs="宋体"/>
          <w:color w:val="auto"/>
          <w:highlight w:val="none"/>
        </w:rPr>
      </w:pPr>
      <w:bookmarkStart w:id="8" w:name="_Toc11375"/>
      <w:r>
        <w:rPr>
          <w:rFonts w:hint="eastAsia" w:ascii="宋体" w:hAnsi="宋体" w:eastAsia="宋体" w:cs="宋体"/>
          <w:color w:val="auto"/>
          <w:highlight w:val="none"/>
        </w:rPr>
        <w:t>一、供应商须知附表</w:t>
      </w:r>
      <w:bookmarkEnd w:id="5"/>
      <w:bookmarkEnd w:id="6"/>
      <w:bookmarkEnd w:id="8"/>
    </w:p>
    <w:tbl>
      <w:tblPr>
        <w:tblStyle w:val="16"/>
        <w:tblW w:w="9220"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10"/>
        <w:gridCol w:w="2208"/>
        <w:gridCol w:w="6302"/>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18" w:hRule="atLeast"/>
          <w:jc w:val="center"/>
        </w:trPr>
        <w:tc>
          <w:tcPr>
            <w:tcW w:w="710" w:type="dxa"/>
            <w:tcBorders>
              <w:bottom w:val="single" w:color="auto" w:sz="6" w:space="0"/>
              <w:right w:val="single" w:color="auto" w:sz="6" w:space="0"/>
            </w:tcBorders>
            <w:noWrap w:val="0"/>
            <w:vAlign w:val="center"/>
          </w:tcPr>
          <w:p>
            <w:pPr>
              <w:keepNext w:val="0"/>
              <w:keepLines w:val="0"/>
              <w:pageBreakBefore w:val="0"/>
              <w:tabs>
                <w:tab w:val="left" w:pos="7665"/>
              </w:tabs>
              <w:kinsoku/>
              <w:wordWrap/>
              <w:overflowPunct/>
              <w:topLinePunct w:val="0"/>
              <w:bidi w:val="0"/>
              <w:snapToGrid/>
              <w:spacing w:line="324" w:lineRule="auto"/>
              <w:ind w:firstLine="0" w:firstLineChars="0"/>
              <w:jc w:val="center"/>
              <w:textAlignment w:val="auto"/>
              <w:outlineLvl w:val="9"/>
              <w:rPr>
                <w:rFonts w:hint="eastAsia" w:ascii="宋体" w:hAnsi="宋体" w:eastAsia="宋体" w:cs="宋体"/>
                <w:b/>
                <w:bCs w:val="0"/>
                <w:color w:val="auto"/>
                <w:kern w:val="2"/>
                <w:sz w:val="24"/>
                <w:szCs w:val="24"/>
                <w:highlight w:val="none"/>
                <w:lang w:val="en-US"/>
              </w:rPr>
            </w:pPr>
            <w:r>
              <w:rPr>
                <w:rFonts w:hint="eastAsia" w:ascii="宋体" w:hAnsi="宋体" w:eastAsia="宋体" w:cs="宋体"/>
                <w:b/>
                <w:bCs w:val="0"/>
                <w:color w:val="auto"/>
                <w:kern w:val="2"/>
                <w:sz w:val="24"/>
                <w:szCs w:val="24"/>
                <w:highlight w:val="none"/>
                <w:lang w:val="en-US"/>
              </w:rPr>
              <w:t>序号</w:t>
            </w:r>
          </w:p>
        </w:tc>
        <w:tc>
          <w:tcPr>
            <w:tcW w:w="2208" w:type="dxa"/>
            <w:tcBorders>
              <w:left w:val="single" w:color="auto" w:sz="6" w:space="0"/>
              <w:bottom w:val="single" w:color="auto" w:sz="6" w:space="0"/>
              <w:right w:val="single" w:color="auto" w:sz="6" w:space="0"/>
            </w:tcBorders>
            <w:noWrap w:val="0"/>
            <w:vAlign w:val="center"/>
          </w:tcPr>
          <w:p>
            <w:pPr>
              <w:keepNext w:val="0"/>
              <w:keepLines w:val="0"/>
              <w:pageBreakBefore w:val="0"/>
              <w:tabs>
                <w:tab w:val="left" w:pos="7665"/>
              </w:tabs>
              <w:kinsoku/>
              <w:wordWrap/>
              <w:overflowPunct/>
              <w:topLinePunct w:val="0"/>
              <w:bidi w:val="0"/>
              <w:snapToGrid/>
              <w:spacing w:line="324" w:lineRule="auto"/>
              <w:ind w:firstLine="0" w:firstLineChars="0"/>
              <w:jc w:val="center"/>
              <w:textAlignment w:val="auto"/>
              <w:outlineLvl w:val="9"/>
              <w:rPr>
                <w:rFonts w:hint="eastAsia" w:ascii="宋体" w:hAnsi="宋体" w:eastAsia="宋体" w:cs="宋体"/>
                <w:b/>
                <w:bCs w:val="0"/>
                <w:color w:val="auto"/>
                <w:kern w:val="2"/>
                <w:sz w:val="24"/>
                <w:szCs w:val="24"/>
                <w:highlight w:val="none"/>
                <w:lang w:val="en-US"/>
              </w:rPr>
            </w:pPr>
            <w:r>
              <w:rPr>
                <w:rFonts w:hint="eastAsia" w:ascii="宋体" w:hAnsi="宋体" w:eastAsia="宋体" w:cs="宋体"/>
                <w:b/>
                <w:bCs w:val="0"/>
                <w:color w:val="auto"/>
                <w:kern w:val="2"/>
                <w:sz w:val="24"/>
                <w:szCs w:val="24"/>
                <w:highlight w:val="none"/>
                <w:lang w:val="en-US"/>
              </w:rPr>
              <w:t>条款名称</w:t>
            </w:r>
          </w:p>
        </w:tc>
        <w:tc>
          <w:tcPr>
            <w:tcW w:w="6302" w:type="dxa"/>
            <w:tcBorders>
              <w:left w:val="single" w:color="auto" w:sz="6" w:space="0"/>
              <w:bottom w:val="single" w:color="auto" w:sz="6" w:space="0"/>
            </w:tcBorders>
            <w:noWrap w:val="0"/>
            <w:vAlign w:val="center"/>
          </w:tcPr>
          <w:p>
            <w:pPr>
              <w:keepNext w:val="0"/>
              <w:keepLines w:val="0"/>
              <w:pageBreakBefore w:val="0"/>
              <w:tabs>
                <w:tab w:val="left" w:pos="7665"/>
              </w:tabs>
              <w:kinsoku/>
              <w:wordWrap/>
              <w:overflowPunct/>
              <w:topLinePunct w:val="0"/>
              <w:bidi w:val="0"/>
              <w:snapToGrid/>
              <w:spacing w:line="324" w:lineRule="auto"/>
              <w:ind w:firstLine="0" w:firstLineChars="0"/>
              <w:jc w:val="center"/>
              <w:textAlignment w:val="auto"/>
              <w:outlineLvl w:val="9"/>
              <w:rPr>
                <w:rFonts w:hint="eastAsia" w:ascii="宋体" w:hAnsi="宋体" w:eastAsia="宋体" w:cs="宋体"/>
                <w:b/>
                <w:bCs w:val="0"/>
                <w:color w:val="auto"/>
                <w:kern w:val="2"/>
                <w:sz w:val="24"/>
                <w:szCs w:val="24"/>
                <w:highlight w:val="none"/>
                <w:lang w:val="en-US"/>
              </w:rPr>
            </w:pPr>
            <w:r>
              <w:rPr>
                <w:rFonts w:hint="eastAsia" w:ascii="宋体" w:hAnsi="宋体" w:eastAsia="宋体" w:cs="宋体"/>
                <w:b/>
                <w:bCs w:val="0"/>
                <w:color w:val="auto"/>
                <w:kern w:val="2"/>
                <w:sz w:val="24"/>
                <w:szCs w:val="24"/>
                <w:highlight w:val="none"/>
                <w:lang w:val="en-US"/>
              </w:rPr>
              <w:t>说明与要求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18" w:hRule="atLeast"/>
          <w:jc w:val="center"/>
        </w:trPr>
        <w:tc>
          <w:tcPr>
            <w:tcW w:w="710" w:type="dxa"/>
            <w:tcBorders>
              <w:bottom w:val="single" w:color="auto" w:sz="6" w:space="0"/>
              <w:right w:val="single" w:color="auto" w:sz="6" w:space="0"/>
            </w:tcBorders>
            <w:noWrap w:val="0"/>
            <w:vAlign w:val="center"/>
          </w:tcPr>
          <w:p>
            <w:pPr>
              <w:keepNext w:val="0"/>
              <w:keepLines w:val="0"/>
              <w:pageBreakBefore w:val="0"/>
              <w:tabs>
                <w:tab w:val="left" w:pos="7665"/>
              </w:tabs>
              <w:kinsoku/>
              <w:wordWrap/>
              <w:overflowPunct/>
              <w:topLinePunct w:val="0"/>
              <w:bidi w:val="0"/>
              <w:snapToGrid/>
              <w:spacing w:line="324" w:lineRule="auto"/>
              <w:ind w:firstLine="0" w:firstLineChars="0"/>
              <w:jc w:val="center"/>
              <w:textAlignment w:val="auto"/>
              <w:outlineLvl w:val="9"/>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1</w:t>
            </w:r>
          </w:p>
        </w:tc>
        <w:tc>
          <w:tcPr>
            <w:tcW w:w="2208" w:type="dxa"/>
            <w:tcBorders>
              <w:left w:val="single" w:color="auto" w:sz="6" w:space="0"/>
              <w:bottom w:val="single" w:color="auto" w:sz="6" w:space="0"/>
              <w:right w:val="single" w:color="auto" w:sz="6" w:space="0"/>
            </w:tcBorders>
            <w:noWrap w:val="0"/>
            <w:vAlign w:val="center"/>
          </w:tcPr>
          <w:p>
            <w:pPr>
              <w:keepNext w:val="0"/>
              <w:keepLines w:val="0"/>
              <w:pageBreakBefore w:val="0"/>
              <w:widowControl w:val="0"/>
              <w:kinsoku/>
              <w:overflowPunct/>
              <w:topLinePunct w:val="0"/>
              <w:bidi w:val="0"/>
              <w:snapToGrid/>
              <w:spacing w:line="336"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zh-CN"/>
              </w:rPr>
              <w:t>确定邀请磋商的供应商数量和方式</w:t>
            </w:r>
          </w:p>
        </w:tc>
        <w:tc>
          <w:tcPr>
            <w:tcW w:w="6302" w:type="dxa"/>
            <w:tcBorders>
              <w:left w:val="single" w:color="auto" w:sz="6" w:space="0"/>
              <w:bottom w:val="single" w:color="auto" w:sz="6" w:space="0"/>
            </w:tcBorders>
            <w:noWrap w:val="0"/>
            <w:vAlign w:val="center"/>
          </w:tcPr>
          <w:p>
            <w:pPr>
              <w:pStyle w:val="21"/>
              <w:keepNext w:val="0"/>
              <w:keepLines w:val="0"/>
              <w:pageBreakBefore w:val="0"/>
              <w:widowControl w:val="0"/>
              <w:kinsoku/>
              <w:wordWrap w:val="0"/>
              <w:overflowPunct/>
              <w:topLinePunct w:val="0"/>
              <w:bidi w:val="0"/>
              <w:snapToGrid/>
              <w:spacing w:line="336" w:lineRule="auto"/>
              <w:ind w:right="0" w:rightChars="0"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本次磋商邀请的供应商数量和方式：</w:t>
            </w:r>
          </w:p>
          <w:p>
            <w:pPr>
              <w:keepNext w:val="0"/>
              <w:keepLines w:val="0"/>
              <w:pageBreakBefore w:val="0"/>
              <w:widowControl w:val="0"/>
              <w:kinsoku/>
              <w:wordWrap w:val="0"/>
              <w:overflowPunct/>
              <w:topLinePunct w:val="0"/>
              <w:bidi w:val="0"/>
              <w:snapToGrid/>
              <w:spacing w:line="336" w:lineRule="auto"/>
              <w:ind w:right="0" w:rightChars="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公告方式：</w:t>
            </w:r>
            <w:r>
              <w:rPr>
                <w:rFonts w:hint="eastAsia" w:ascii="宋体" w:hAnsi="宋体" w:eastAsia="宋体" w:cs="宋体"/>
                <w:bCs/>
                <w:color w:val="auto"/>
                <w:sz w:val="24"/>
                <w:szCs w:val="24"/>
                <w:highlight w:val="none"/>
              </w:rPr>
              <w:t>本次竞争性</w:t>
            </w:r>
            <w:r>
              <w:rPr>
                <w:rFonts w:hint="eastAsia" w:ascii="宋体" w:hAnsi="宋体" w:eastAsia="宋体" w:cs="宋体"/>
                <w:color w:val="auto"/>
                <w:sz w:val="24"/>
                <w:szCs w:val="24"/>
                <w:highlight w:val="none"/>
                <w:lang w:val="zh-CN"/>
              </w:rPr>
              <w:t>磋商</w:t>
            </w:r>
            <w:r>
              <w:rPr>
                <w:rFonts w:hint="eastAsia" w:ascii="宋体" w:hAnsi="宋体" w:eastAsia="宋体" w:cs="宋体"/>
                <w:bCs/>
                <w:color w:val="auto"/>
                <w:sz w:val="24"/>
                <w:szCs w:val="24"/>
                <w:highlight w:val="none"/>
              </w:rPr>
              <w:t>邀请在</w:t>
            </w:r>
            <w:r>
              <w:rPr>
                <w:rFonts w:hint="eastAsia" w:ascii="宋体" w:hAnsi="宋体" w:eastAsia="宋体" w:cs="宋体"/>
                <w:color w:val="auto"/>
                <w:sz w:val="24"/>
                <w:highlight w:val="none"/>
                <w:lang w:eastAsia="zh-CN"/>
              </w:rPr>
              <w:t>四川政府采购网（（http://www.ccgp-sichuan.gov.cn）</w:t>
            </w:r>
            <w:r>
              <w:rPr>
                <w:rFonts w:hint="eastAsia" w:ascii="宋体" w:hAnsi="宋体" w:eastAsia="宋体" w:cs="宋体"/>
                <w:color w:val="auto"/>
                <w:sz w:val="24"/>
                <w:szCs w:val="24"/>
                <w:highlight w:val="none"/>
                <w:lang w:eastAsia="zh-CN"/>
              </w:rPr>
              <w:t>网</w:t>
            </w:r>
            <w:r>
              <w:rPr>
                <w:rFonts w:hint="eastAsia" w:ascii="宋体" w:hAnsi="宋体" w:eastAsia="宋体" w:cs="宋体"/>
                <w:bCs/>
                <w:color w:val="auto"/>
                <w:sz w:val="24"/>
                <w:szCs w:val="24"/>
                <w:highlight w:val="none"/>
              </w:rPr>
              <w:t>上以公告形式发布</w:t>
            </w:r>
            <w:r>
              <w:rPr>
                <w:rFonts w:hint="eastAsia" w:ascii="宋体" w:hAnsi="宋体" w:eastAsia="宋体" w:cs="宋体"/>
                <w:bCs/>
                <w:color w:val="auto"/>
                <w:sz w:val="24"/>
                <w:szCs w:val="24"/>
                <w:highlight w:val="none"/>
                <w:lang w:eastAsia="zh-CN"/>
              </w:rPr>
              <w:t>，供应商的数量为报名并参加采购活动的数量。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vMerge w:val="restart"/>
            <w:tcBorders>
              <w:top w:val="single" w:color="auto" w:sz="6" w:space="0"/>
              <w:right w:val="single" w:color="auto" w:sz="6" w:space="0"/>
            </w:tcBorders>
            <w:noWrap w:val="0"/>
            <w:vAlign w:val="center"/>
          </w:tcPr>
          <w:p>
            <w:pPr>
              <w:pStyle w:val="21"/>
              <w:keepNext w:val="0"/>
              <w:keepLines w:val="0"/>
              <w:pageBreakBefore w:val="0"/>
              <w:kinsoku/>
              <w:wordWrap/>
              <w:overflowPunct/>
              <w:topLinePunct w:val="0"/>
              <w:bidi w:val="0"/>
              <w:spacing w:line="324"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pStyle w:val="21"/>
              <w:keepNext w:val="0"/>
              <w:keepLines w:val="0"/>
              <w:pageBreakBefore w:val="0"/>
              <w:widowControl w:val="0"/>
              <w:kinsoku/>
              <w:wordWrap/>
              <w:overflowPunct/>
              <w:topLinePunct w:val="0"/>
              <w:autoSpaceDE w:val="0"/>
              <w:autoSpaceDN w:val="0"/>
              <w:bidi w:val="0"/>
              <w:adjustRightInd w:val="0"/>
              <w:snapToGrid w:val="0"/>
              <w:spacing w:line="324" w:lineRule="auto"/>
              <w:jc w:val="center"/>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采购预算</w:t>
            </w:r>
          </w:p>
        </w:tc>
        <w:tc>
          <w:tcPr>
            <w:tcW w:w="6302" w:type="dxa"/>
            <w:tcBorders>
              <w:top w:val="single" w:color="auto" w:sz="6" w:space="0"/>
              <w:left w:val="single" w:color="auto" w:sz="6" w:space="0"/>
              <w:bottom w:val="single" w:color="auto" w:sz="6" w:space="0"/>
            </w:tcBorders>
            <w:noWrap w:val="0"/>
            <w:vAlign w:val="center"/>
          </w:tcPr>
          <w:p>
            <w:pPr>
              <w:pStyle w:val="21"/>
              <w:keepNext w:val="0"/>
              <w:keepLines w:val="0"/>
              <w:pageBreakBefore w:val="0"/>
              <w:widowControl w:val="0"/>
              <w:kinsoku/>
              <w:wordWrap/>
              <w:overflowPunct/>
              <w:topLinePunct w:val="0"/>
              <w:autoSpaceDE w:val="0"/>
              <w:autoSpaceDN w:val="0"/>
              <w:bidi w:val="0"/>
              <w:adjustRightInd w:val="0"/>
              <w:snapToGrid/>
              <w:spacing w:line="324"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1632600.00元（壹佰陆拾叁万贰仟陆佰元整）</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54" w:hRule="atLeast"/>
          <w:jc w:val="center"/>
        </w:trPr>
        <w:tc>
          <w:tcPr>
            <w:tcW w:w="710" w:type="dxa"/>
            <w:vMerge w:val="continue"/>
            <w:tcBorders>
              <w:top w:val="single" w:color="auto" w:sz="6" w:space="0"/>
              <w:right w:val="single" w:color="auto" w:sz="6" w:space="0"/>
            </w:tcBorders>
            <w:noWrap w:val="0"/>
            <w:vAlign w:val="center"/>
          </w:tcPr>
          <w:p>
            <w:pPr>
              <w:pStyle w:val="21"/>
              <w:keepNext w:val="0"/>
              <w:keepLines w:val="0"/>
              <w:pageBreakBefore w:val="0"/>
              <w:kinsoku/>
              <w:wordWrap/>
              <w:overflowPunct/>
              <w:topLinePunct w:val="0"/>
              <w:bidi w:val="0"/>
              <w:spacing w:line="324" w:lineRule="auto"/>
              <w:jc w:val="center"/>
              <w:textAlignment w:val="auto"/>
              <w:outlineLvl w:val="9"/>
              <w:rPr>
                <w:rFonts w:hint="eastAsia" w:ascii="宋体" w:hAnsi="宋体" w:eastAsia="宋体" w:cs="宋体"/>
                <w:color w:val="auto"/>
                <w:sz w:val="24"/>
                <w:szCs w:val="24"/>
                <w:highlight w:val="none"/>
                <w:lang w:val="zh-CN"/>
              </w:rPr>
            </w:pPr>
          </w:p>
        </w:tc>
        <w:tc>
          <w:tcPr>
            <w:tcW w:w="2208" w:type="dxa"/>
            <w:tcBorders>
              <w:top w:val="single" w:color="auto" w:sz="6" w:space="0"/>
              <w:left w:val="single" w:color="auto" w:sz="6" w:space="0"/>
              <w:bottom w:val="single" w:color="auto" w:sz="6" w:space="0"/>
              <w:right w:val="single" w:color="auto" w:sz="6" w:space="0"/>
            </w:tcBorders>
            <w:noWrap w:val="0"/>
            <w:vAlign w:val="center"/>
          </w:tcPr>
          <w:p>
            <w:pPr>
              <w:pStyle w:val="21"/>
              <w:keepNext w:val="0"/>
              <w:keepLines w:val="0"/>
              <w:pageBreakBefore w:val="0"/>
              <w:widowControl w:val="0"/>
              <w:kinsoku/>
              <w:wordWrap/>
              <w:overflowPunct/>
              <w:topLinePunct w:val="0"/>
              <w:autoSpaceDE w:val="0"/>
              <w:autoSpaceDN w:val="0"/>
              <w:bidi w:val="0"/>
              <w:adjustRightInd w:val="0"/>
              <w:snapToGrid w:val="0"/>
              <w:spacing w:line="324" w:lineRule="auto"/>
              <w:jc w:val="center"/>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是否专门面向中小企业</w:t>
            </w:r>
            <w:r>
              <w:rPr>
                <w:rFonts w:hint="eastAsia" w:ascii="宋体" w:hAnsi="宋体" w:eastAsia="宋体" w:cs="宋体"/>
                <w:b/>
                <w:color w:val="auto"/>
                <w:sz w:val="24"/>
                <w:szCs w:val="24"/>
                <w:highlight w:val="none"/>
                <w:lang w:val="zh-CN"/>
              </w:rPr>
              <w:t>（</w:t>
            </w:r>
            <w:r>
              <w:rPr>
                <w:rFonts w:hint="eastAsia" w:ascii="宋体" w:hAnsi="宋体" w:eastAsia="宋体" w:cs="宋体"/>
                <w:b/>
                <w:color w:val="auto"/>
                <w:sz w:val="24"/>
                <w:szCs w:val="24"/>
                <w:highlight w:val="none"/>
              </w:rPr>
              <w:t>实质性要求）</w:t>
            </w:r>
          </w:p>
        </w:tc>
        <w:tc>
          <w:tcPr>
            <w:tcW w:w="6302" w:type="dxa"/>
            <w:tcBorders>
              <w:top w:val="single" w:color="auto" w:sz="6" w:space="0"/>
              <w:left w:val="single" w:color="auto" w:sz="6" w:space="0"/>
              <w:bottom w:val="single" w:color="auto" w:sz="6" w:space="0"/>
            </w:tcBorders>
            <w:noWrap w:val="0"/>
            <w:vAlign w:val="center"/>
          </w:tcPr>
          <w:p>
            <w:pPr>
              <w:pStyle w:val="21"/>
              <w:keepNext w:val="0"/>
              <w:keepLines w:val="0"/>
              <w:pageBreakBefore w:val="0"/>
              <w:widowControl w:val="0"/>
              <w:kinsoku/>
              <w:wordWrap/>
              <w:overflowPunct/>
              <w:topLinePunct w:val="0"/>
              <w:autoSpaceDE w:val="0"/>
              <w:autoSpaceDN w:val="0"/>
              <w:bidi w:val="0"/>
              <w:adjustRightInd w:val="0"/>
              <w:snapToGrid w:val="0"/>
              <w:spacing w:line="324" w:lineRule="auto"/>
              <w:jc w:val="center"/>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是（监狱企业、残疾人福利性单位视同小微企业）</w:t>
            </w:r>
            <w:r>
              <w:rPr>
                <w:rFonts w:hint="eastAsia" w:cs="宋体"/>
                <w:color w:val="auto"/>
                <w:sz w:val="24"/>
                <w:szCs w:val="24"/>
                <w:highlight w:val="none"/>
                <w:lang w:val="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vMerge w:val="continue"/>
            <w:tcBorders>
              <w:bottom w:val="single" w:color="auto" w:sz="6" w:space="0"/>
              <w:right w:val="single" w:color="auto" w:sz="6" w:space="0"/>
            </w:tcBorders>
            <w:noWrap w:val="0"/>
            <w:vAlign w:val="center"/>
          </w:tcPr>
          <w:p>
            <w:pPr>
              <w:pStyle w:val="21"/>
              <w:keepNext w:val="0"/>
              <w:keepLines w:val="0"/>
              <w:pageBreakBefore w:val="0"/>
              <w:kinsoku/>
              <w:wordWrap/>
              <w:overflowPunct/>
              <w:topLinePunct w:val="0"/>
              <w:bidi w:val="0"/>
              <w:spacing w:line="324" w:lineRule="auto"/>
              <w:jc w:val="center"/>
              <w:textAlignment w:val="auto"/>
              <w:outlineLvl w:val="9"/>
              <w:rPr>
                <w:rFonts w:hint="eastAsia" w:ascii="宋体" w:hAnsi="宋体" w:eastAsia="宋体" w:cs="宋体"/>
                <w:color w:val="auto"/>
                <w:sz w:val="24"/>
                <w:szCs w:val="24"/>
                <w:highlight w:val="none"/>
                <w:lang w:val="zh-CN"/>
              </w:rPr>
            </w:pPr>
          </w:p>
        </w:tc>
        <w:tc>
          <w:tcPr>
            <w:tcW w:w="2208" w:type="dxa"/>
            <w:tcBorders>
              <w:top w:val="single" w:color="auto" w:sz="6" w:space="0"/>
              <w:left w:val="single" w:color="auto" w:sz="6" w:space="0"/>
              <w:bottom w:val="single" w:color="auto" w:sz="6" w:space="0"/>
              <w:right w:val="single" w:color="auto" w:sz="6" w:space="0"/>
            </w:tcBorders>
            <w:noWrap w:val="0"/>
            <w:vAlign w:val="center"/>
          </w:tcPr>
          <w:p>
            <w:pPr>
              <w:pStyle w:val="21"/>
              <w:keepNext w:val="0"/>
              <w:keepLines w:val="0"/>
              <w:pageBreakBefore w:val="0"/>
              <w:widowControl w:val="0"/>
              <w:kinsoku/>
              <w:wordWrap/>
              <w:overflowPunct/>
              <w:topLinePunct w:val="0"/>
              <w:autoSpaceDE w:val="0"/>
              <w:autoSpaceDN w:val="0"/>
              <w:bidi w:val="0"/>
              <w:adjustRightInd w:val="0"/>
              <w:snapToGrid w:val="0"/>
              <w:spacing w:line="324" w:lineRule="auto"/>
              <w:jc w:val="center"/>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最高限价</w:t>
            </w:r>
          </w:p>
          <w:p>
            <w:pPr>
              <w:pStyle w:val="21"/>
              <w:keepNext w:val="0"/>
              <w:keepLines w:val="0"/>
              <w:pageBreakBefore w:val="0"/>
              <w:widowControl w:val="0"/>
              <w:kinsoku/>
              <w:wordWrap/>
              <w:overflowPunct/>
              <w:topLinePunct w:val="0"/>
              <w:autoSpaceDE w:val="0"/>
              <w:autoSpaceDN w:val="0"/>
              <w:bidi w:val="0"/>
              <w:adjustRightInd w:val="0"/>
              <w:snapToGrid w:val="0"/>
              <w:spacing w:line="324" w:lineRule="auto"/>
              <w:jc w:val="center"/>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w:t>
            </w:r>
            <w:r>
              <w:rPr>
                <w:rFonts w:hint="eastAsia" w:ascii="宋体" w:hAnsi="宋体" w:eastAsia="宋体" w:cs="宋体"/>
                <w:b/>
                <w:color w:val="auto"/>
                <w:sz w:val="24"/>
                <w:szCs w:val="24"/>
                <w:highlight w:val="none"/>
              </w:rPr>
              <w:t>实质性要求）</w:t>
            </w:r>
          </w:p>
        </w:tc>
        <w:tc>
          <w:tcPr>
            <w:tcW w:w="6302" w:type="dxa"/>
            <w:tcBorders>
              <w:top w:val="single" w:color="auto" w:sz="6" w:space="0"/>
              <w:left w:val="single" w:color="auto" w:sz="6" w:space="0"/>
              <w:bottom w:val="single" w:color="auto" w:sz="6" w:space="0"/>
            </w:tcBorders>
            <w:noWrap w:val="0"/>
            <w:vAlign w:val="center"/>
          </w:tcPr>
          <w:p>
            <w:pPr>
              <w:pStyle w:val="21"/>
              <w:keepNext w:val="0"/>
              <w:keepLines w:val="0"/>
              <w:pageBreakBefore w:val="0"/>
              <w:widowControl w:val="0"/>
              <w:kinsoku/>
              <w:wordWrap/>
              <w:overflowPunct/>
              <w:topLinePunct w:val="0"/>
              <w:autoSpaceDE w:val="0"/>
              <w:autoSpaceDN w:val="0"/>
              <w:bidi w:val="0"/>
              <w:adjustRightInd w:val="0"/>
              <w:snapToGrid w:val="0"/>
              <w:spacing w:line="324" w:lineRule="auto"/>
              <w:jc w:val="center"/>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1632600.00元（壹佰陆拾叁万贰仟陆佰元整）</w:t>
            </w:r>
          </w:p>
          <w:p>
            <w:pPr>
              <w:pStyle w:val="21"/>
              <w:keepNext w:val="0"/>
              <w:keepLines w:val="0"/>
              <w:pageBreakBefore w:val="0"/>
              <w:widowControl w:val="0"/>
              <w:kinsoku/>
              <w:wordWrap/>
              <w:overflowPunct/>
              <w:topLinePunct w:val="0"/>
              <w:autoSpaceDE w:val="0"/>
              <w:autoSpaceDN w:val="0"/>
              <w:bidi w:val="0"/>
              <w:adjustRightInd w:val="0"/>
              <w:snapToGrid w:val="0"/>
              <w:spacing w:line="324" w:lineRule="auto"/>
              <w:jc w:val="lef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b/>
                <w:color w:val="auto"/>
                <w:highlight w:val="none"/>
                <w:lang w:val="zh-CN"/>
              </w:rPr>
              <w:t>供应商最后报价超过本项目最高限价的作无效报价处理，不允许进入综合评审。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bottom w:val="single" w:color="auto" w:sz="6" w:space="0"/>
              <w:right w:val="single" w:color="auto" w:sz="6" w:space="0"/>
            </w:tcBorders>
            <w:noWrap w:val="0"/>
            <w:vAlign w:val="center"/>
          </w:tcPr>
          <w:p>
            <w:pPr>
              <w:pStyle w:val="21"/>
              <w:keepNext w:val="0"/>
              <w:keepLines w:val="0"/>
              <w:pageBreakBefore w:val="0"/>
              <w:widowControl w:val="0"/>
              <w:kinsoku/>
              <w:wordWrap/>
              <w:overflowPunct/>
              <w:topLinePunct w:val="0"/>
              <w:bidi w:val="0"/>
              <w:snapToGrid/>
              <w:spacing w:line="336" w:lineRule="auto"/>
              <w:ind w:left="0" w:leftChars="0" w:right="0" w:rightChars="0"/>
              <w:jc w:val="center"/>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en-US" w:eastAsia="zh-CN"/>
              </w:rPr>
              <w:t>3</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pStyle w:val="21"/>
              <w:keepNext w:val="0"/>
              <w:keepLines w:val="0"/>
              <w:pageBreakBefore w:val="0"/>
              <w:widowControl w:val="0"/>
              <w:kinsoku/>
              <w:wordWrap/>
              <w:overflowPunct/>
              <w:topLinePunct w:val="0"/>
              <w:autoSpaceDE w:val="0"/>
              <w:autoSpaceDN w:val="0"/>
              <w:bidi w:val="0"/>
              <w:adjustRightInd w:val="0"/>
              <w:snapToGrid w:val="0"/>
              <w:spacing w:line="324" w:lineRule="auto"/>
              <w:jc w:val="center"/>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是否允许分包</w:t>
            </w:r>
          </w:p>
          <w:p>
            <w:pPr>
              <w:pStyle w:val="21"/>
              <w:keepNext w:val="0"/>
              <w:keepLines w:val="0"/>
              <w:pageBreakBefore w:val="0"/>
              <w:widowControl w:val="0"/>
              <w:kinsoku/>
              <w:wordWrap/>
              <w:overflowPunct/>
              <w:topLinePunct w:val="0"/>
              <w:autoSpaceDE w:val="0"/>
              <w:autoSpaceDN w:val="0"/>
              <w:bidi w:val="0"/>
              <w:adjustRightInd w:val="0"/>
              <w:snapToGrid w:val="0"/>
              <w:spacing w:line="324" w:lineRule="auto"/>
              <w:jc w:val="center"/>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w:t>
            </w:r>
            <w:r>
              <w:rPr>
                <w:rFonts w:hint="eastAsia" w:ascii="宋体" w:hAnsi="宋体" w:eastAsia="宋体" w:cs="宋体"/>
                <w:b/>
                <w:color w:val="auto"/>
                <w:sz w:val="24"/>
                <w:szCs w:val="24"/>
                <w:highlight w:val="none"/>
              </w:rPr>
              <w:t>实质性要求）</w:t>
            </w:r>
          </w:p>
        </w:tc>
        <w:tc>
          <w:tcPr>
            <w:tcW w:w="6302" w:type="dxa"/>
            <w:tcBorders>
              <w:top w:val="single" w:color="auto" w:sz="6" w:space="0"/>
              <w:left w:val="single" w:color="auto" w:sz="6" w:space="0"/>
              <w:bottom w:val="single" w:color="auto" w:sz="6" w:space="0"/>
            </w:tcBorders>
            <w:noWrap w:val="0"/>
            <w:vAlign w:val="center"/>
          </w:tcPr>
          <w:p>
            <w:pPr>
              <w:pStyle w:val="21"/>
              <w:keepNext w:val="0"/>
              <w:keepLines w:val="0"/>
              <w:pageBreakBefore w:val="0"/>
              <w:widowControl w:val="0"/>
              <w:kinsoku/>
              <w:wordWrap/>
              <w:overflowPunct/>
              <w:topLinePunct w:val="0"/>
              <w:autoSpaceDE w:val="0"/>
              <w:autoSpaceDN w:val="0"/>
              <w:bidi w:val="0"/>
              <w:adjustRightInd w:val="0"/>
              <w:snapToGrid w:val="0"/>
              <w:spacing w:line="324" w:lineRule="auto"/>
              <w:jc w:val="center"/>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12" w:hRule="atLeast"/>
          <w:jc w:val="center"/>
        </w:trPr>
        <w:tc>
          <w:tcPr>
            <w:tcW w:w="710" w:type="dxa"/>
            <w:tcBorders>
              <w:bottom w:val="single" w:color="auto" w:sz="6" w:space="0"/>
              <w:right w:val="single" w:color="auto" w:sz="6" w:space="0"/>
            </w:tcBorders>
            <w:noWrap w:val="0"/>
            <w:vAlign w:val="center"/>
          </w:tcPr>
          <w:p>
            <w:pPr>
              <w:pStyle w:val="21"/>
              <w:keepNext w:val="0"/>
              <w:keepLines w:val="0"/>
              <w:pageBreakBefore w:val="0"/>
              <w:widowControl w:val="0"/>
              <w:kinsoku/>
              <w:wordWrap/>
              <w:overflowPunct/>
              <w:topLinePunct w:val="0"/>
              <w:bidi w:val="0"/>
              <w:snapToGrid/>
              <w:spacing w:line="336" w:lineRule="auto"/>
              <w:ind w:left="0" w:leftChars="0" w:right="0" w:rightChars="0"/>
              <w:jc w:val="center"/>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en-US" w:eastAsia="zh-CN"/>
              </w:rPr>
              <w:t>4</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pStyle w:val="21"/>
              <w:keepNext w:val="0"/>
              <w:keepLines w:val="0"/>
              <w:pageBreakBefore w:val="0"/>
              <w:numPr>
                <w:ilvl w:val="1"/>
                <w:numId w:val="0"/>
              </w:numPr>
              <w:kinsoku/>
              <w:wordWrap/>
              <w:overflowPunct/>
              <w:topLinePunct w:val="0"/>
              <w:bidi w:val="0"/>
              <w:spacing w:line="324" w:lineRule="auto"/>
              <w:ind w:left="38"/>
              <w:jc w:val="center"/>
              <w:textAlignment w:val="auto"/>
              <w:rPr>
                <w:rFonts w:hint="eastAsia" w:ascii="宋体" w:hAnsi="宋体" w:eastAsia="宋体" w:cs="宋体"/>
                <w:b/>
                <w:color w:val="auto"/>
                <w:kern w:val="2"/>
                <w:highlight w:val="none"/>
              </w:rPr>
            </w:pPr>
            <w:r>
              <w:rPr>
                <w:rFonts w:hint="eastAsia" w:ascii="宋体" w:hAnsi="宋体" w:eastAsia="宋体" w:cs="宋体"/>
                <w:b/>
                <w:color w:val="auto"/>
                <w:kern w:val="2"/>
                <w:highlight w:val="none"/>
              </w:rPr>
              <w:t>低于成本价不正当</w:t>
            </w:r>
          </w:p>
          <w:p>
            <w:pPr>
              <w:pStyle w:val="21"/>
              <w:keepNext w:val="0"/>
              <w:keepLines w:val="0"/>
              <w:pageBreakBefore w:val="0"/>
              <w:numPr>
                <w:ilvl w:val="1"/>
                <w:numId w:val="0"/>
              </w:numPr>
              <w:kinsoku/>
              <w:wordWrap/>
              <w:overflowPunct/>
              <w:topLinePunct w:val="0"/>
              <w:bidi w:val="0"/>
              <w:spacing w:line="324" w:lineRule="auto"/>
              <w:ind w:left="38"/>
              <w:jc w:val="center"/>
              <w:textAlignment w:val="auto"/>
              <w:rPr>
                <w:rFonts w:hint="eastAsia" w:ascii="宋体" w:hAnsi="宋体" w:eastAsia="宋体" w:cs="宋体"/>
                <w:b/>
                <w:color w:val="auto"/>
                <w:kern w:val="2"/>
                <w:highlight w:val="none"/>
              </w:rPr>
            </w:pPr>
            <w:r>
              <w:rPr>
                <w:rFonts w:hint="eastAsia" w:ascii="宋体" w:hAnsi="宋体" w:eastAsia="宋体" w:cs="宋体"/>
                <w:b/>
                <w:color w:val="auto"/>
                <w:kern w:val="2"/>
                <w:highlight w:val="none"/>
              </w:rPr>
              <w:t>竞争预防措施</w:t>
            </w:r>
          </w:p>
          <w:p>
            <w:pPr>
              <w:pStyle w:val="21"/>
              <w:keepNext w:val="0"/>
              <w:keepLines w:val="0"/>
              <w:pageBreakBefore w:val="0"/>
              <w:numPr>
                <w:ilvl w:val="1"/>
                <w:numId w:val="0"/>
              </w:numPr>
              <w:kinsoku/>
              <w:wordWrap/>
              <w:overflowPunct/>
              <w:topLinePunct w:val="0"/>
              <w:bidi w:val="0"/>
              <w:spacing w:line="324" w:lineRule="auto"/>
              <w:ind w:left="38" w:leftChars="0" w:firstLine="0" w:firstLine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w:t>
            </w:r>
            <w:r>
              <w:rPr>
                <w:rFonts w:hint="eastAsia" w:ascii="宋体" w:hAnsi="宋体" w:eastAsia="宋体" w:cs="宋体"/>
                <w:b/>
                <w:color w:val="auto"/>
                <w:sz w:val="24"/>
                <w:szCs w:val="24"/>
                <w:highlight w:val="none"/>
              </w:rPr>
              <w:t>实质性要求）</w:t>
            </w:r>
          </w:p>
        </w:tc>
        <w:tc>
          <w:tcPr>
            <w:tcW w:w="6302" w:type="dxa"/>
            <w:tcBorders>
              <w:top w:val="single" w:color="auto" w:sz="6" w:space="0"/>
              <w:left w:val="single" w:color="auto" w:sz="6" w:space="0"/>
              <w:bottom w:val="single" w:color="auto" w:sz="6" w:space="0"/>
            </w:tcBorders>
            <w:noWrap w:val="0"/>
            <w:vAlign w:val="center"/>
          </w:tcPr>
          <w:p>
            <w:pPr>
              <w:pStyle w:val="21"/>
              <w:keepNext w:val="0"/>
              <w:keepLines w:val="0"/>
              <w:pageBreakBefore w:val="0"/>
              <w:numPr>
                <w:ilvl w:val="1"/>
                <w:numId w:val="0"/>
              </w:numPr>
              <w:kinsoku/>
              <w:wordWrap/>
              <w:overflowPunct/>
              <w:topLinePunct w:val="0"/>
              <w:bidi w:val="0"/>
              <w:spacing w:line="324"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1、在评标过程中，</w:t>
            </w:r>
            <w:r>
              <w:rPr>
                <w:rFonts w:hint="eastAsia" w:cs="宋体"/>
                <w:color w:val="auto"/>
                <w:sz w:val="24"/>
                <w:szCs w:val="24"/>
                <w:highlight w:val="none"/>
                <w:lang w:val="en-US" w:eastAsia="zh-CN"/>
              </w:rPr>
              <w:t>磋商小组</w:t>
            </w:r>
            <w:r>
              <w:rPr>
                <w:rFonts w:hint="eastAsia" w:ascii="宋体" w:hAnsi="宋体" w:eastAsia="宋体" w:cs="宋体"/>
                <w:color w:val="auto"/>
                <w:sz w:val="24"/>
                <w:szCs w:val="24"/>
                <w:highlight w:val="none"/>
              </w:rPr>
              <w:t>会认为</w:t>
            </w: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rPr>
              <w:t>的报价明显低于其他通过符合性审查</w:t>
            </w: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rPr>
              <w:t>的报价，有可能影响产品质量或者不能诚信履约的，应当要求其在评标现场合理的时间内提供书面说明，必要时提交相关证明材料；</w:t>
            </w: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rPr>
              <w:t>不能证明其报价合理性的，</w:t>
            </w:r>
            <w:r>
              <w:rPr>
                <w:rFonts w:hint="eastAsia" w:cs="宋体"/>
                <w:color w:val="auto"/>
                <w:sz w:val="24"/>
                <w:szCs w:val="24"/>
                <w:highlight w:val="none"/>
                <w:lang w:val="en-US" w:eastAsia="zh-CN"/>
              </w:rPr>
              <w:t>磋商小组</w:t>
            </w:r>
            <w:r>
              <w:rPr>
                <w:rFonts w:hint="eastAsia" w:ascii="宋体" w:hAnsi="宋体" w:eastAsia="宋体" w:cs="宋体"/>
                <w:color w:val="auto"/>
                <w:sz w:val="24"/>
                <w:szCs w:val="24"/>
                <w:highlight w:val="none"/>
              </w:rPr>
              <w:t>应当将其作为无效投标处理。</w:t>
            </w:r>
          </w:p>
          <w:p>
            <w:pPr>
              <w:pStyle w:val="21"/>
              <w:keepNext w:val="0"/>
              <w:keepLines w:val="0"/>
              <w:pageBreakBefore w:val="0"/>
              <w:numPr>
                <w:ilvl w:val="1"/>
                <w:numId w:val="0"/>
              </w:numPr>
              <w:kinsoku/>
              <w:wordWrap/>
              <w:overflowPunct/>
              <w:topLinePunct w:val="0"/>
              <w:bidi w:val="0"/>
              <w:spacing w:line="324"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rPr>
              <w:t>书面说明应当按照国家财务会计制度的规定要求，逐项就供应商提供的货物、工程和服务的主营业务成本（应根据</w:t>
            </w: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rPr>
              <w:t>企业类型予以区别）、税金及附加、销售费用、管理费用、财务费用等成本构成事项详细陈述。</w:t>
            </w: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rPr>
              <w:t>书面说明应当签字确认或者加盖公章，否则无效。书面说明的签字确认，</w:t>
            </w: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rPr>
              <w:t>为法人的，由其法定代表人或者代理人签字确认；</w:t>
            </w: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rPr>
              <w:t>为其他组织的，由其主要负责人或者代理人签字确认；</w:t>
            </w: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rPr>
              <w:t>为自然人的，由其本人或者代理人签字确认。</w:t>
            </w:r>
          </w:p>
          <w:p>
            <w:pPr>
              <w:pStyle w:val="21"/>
              <w:keepNext w:val="0"/>
              <w:keepLines w:val="0"/>
              <w:pageBreakBefore w:val="0"/>
              <w:numPr>
                <w:ilvl w:val="1"/>
                <w:numId w:val="0"/>
              </w:numPr>
              <w:kinsoku/>
              <w:wordWrap/>
              <w:overflowPunct/>
              <w:topLinePunct w:val="0"/>
              <w:bidi w:val="0"/>
              <w:spacing w:line="324"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rPr>
              <w:t>提供书面说明后，评标委员会应当结合采购项目采购需求、专业实际情况、供应商财务状况报告、与其他供应商比较情况等就</w:t>
            </w: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rPr>
              <w:t>书面说明进行审查评价。</w:t>
            </w: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rPr>
              <w:t>拒绝或者变相拒绝提供有效书面说明或者书面说明不能证明其报价合理性的，评标委员会应当将其投标文件作为无效处理。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vMerge w:val="restart"/>
            <w:tcBorders>
              <w:right w:val="single" w:color="auto" w:sz="6" w:space="0"/>
            </w:tcBorders>
            <w:noWrap w:val="0"/>
            <w:vAlign w:val="center"/>
          </w:tcPr>
          <w:p>
            <w:pPr>
              <w:pStyle w:val="21"/>
              <w:keepNext w:val="0"/>
              <w:keepLines w:val="0"/>
              <w:pageBreakBefore w:val="0"/>
              <w:widowControl w:val="0"/>
              <w:kinsoku/>
              <w:wordWrap/>
              <w:overflowPunct/>
              <w:topLinePunct w:val="0"/>
              <w:bidi w:val="0"/>
              <w:snapToGrid/>
              <w:spacing w:line="336" w:lineRule="auto"/>
              <w:ind w:left="0" w:leftChars="0" w:right="0" w:rightChars="0"/>
              <w:jc w:val="center"/>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en-US" w:eastAsia="zh-CN"/>
              </w:rPr>
              <w:t>5</w:t>
            </w:r>
          </w:p>
        </w:tc>
        <w:tc>
          <w:tcPr>
            <w:tcW w:w="2208" w:type="dxa"/>
            <w:vMerge w:val="restart"/>
            <w:tcBorders>
              <w:top w:val="single" w:color="auto" w:sz="6" w:space="0"/>
              <w:left w:val="single" w:color="auto" w:sz="6" w:space="0"/>
              <w:right w:val="single" w:color="auto" w:sz="6" w:space="0"/>
            </w:tcBorders>
            <w:noWrap w:val="0"/>
            <w:vAlign w:val="center"/>
          </w:tcPr>
          <w:p>
            <w:pPr>
              <w:pStyle w:val="21"/>
              <w:keepNext w:val="0"/>
              <w:keepLines w:val="0"/>
              <w:pageBreakBefore w:val="0"/>
              <w:kinsoku/>
              <w:wordWrap/>
              <w:overflowPunct/>
              <w:topLinePunct w:val="0"/>
              <w:bidi w:val="0"/>
              <w:snapToGrid w:val="0"/>
              <w:spacing w:line="324" w:lineRule="auto"/>
              <w:jc w:val="center"/>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kern w:val="2"/>
                <w:sz w:val="24"/>
                <w:szCs w:val="24"/>
                <w:highlight w:val="none"/>
              </w:rPr>
              <w:t>小微企业、监狱企业、残疾人福利性单位价格扣除</w:t>
            </w:r>
          </w:p>
        </w:tc>
        <w:tc>
          <w:tcPr>
            <w:tcW w:w="6302" w:type="dxa"/>
            <w:tcBorders>
              <w:top w:val="single" w:color="auto" w:sz="6" w:space="0"/>
              <w:left w:val="single" w:color="auto" w:sz="6" w:space="0"/>
              <w:bottom w:val="single" w:color="auto" w:sz="6" w:space="0"/>
            </w:tcBorders>
            <w:noWrap w:val="0"/>
            <w:vAlign w:val="top"/>
          </w:tcPr>
          <w:p>
            <w:pPr>
              <w:keepNext w:val="0"/>
              <w:keepLines w:val="0"/>
              <w:pageBreakBefore w:val="0"/>
              <w:widowControl/>
              <w:suppressLineNumbers w:val="0"/>
              <w:kinsoku/>
              <w:wordWrap w:val="0"/>
              <w:overflowPunct/>
              <w:topLinePunct w:val="0"/>
              <w:bidi w:val="0"/>
              <w:spacing w:line="36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本项目专门面向中小企业采购</w:t>
            </w:r>
            <w:r>
              <w:rPr>
                <w:rFonts w:hint="eastAsia" w:ascii="宋体" w:hAnsi="宋体" w:eastAsia="宋体" w:cs="宋体"/>
                <w:b/>
                <w:color w:val="auto"/>
                <w:kern w:val="0"/>
                <w:sz w:val="24"/>
                <w:szCs w:val="24"/>
                <w:highlight w:val="none"/>
                <w:lang w:val="en-US" w:eastAsia="zh-CN" w:bidi="ar-SA"/>
              </w:rPr>
              <w:t>(实质性要求)</w:t>
            </w:r>
            <w:r>
              <w:rPr>
                <w:rFonts w:hint="eastAsia" w:ascii="宋体" w:hAnsi="宋体" w:eastAsia="宋体" w:cs="宋体"/>
                <w:color w:val="auto"/>
                <w:kern w:val="0"/>
                <w:sz w:val="24"/>
                <w:szCs w:val="24"/>
                <w:highlight w:val="none"/>
                <w:lang w:val="en-US" w:eastAsia="zh-CN" w:bidi="ar-SA"/>
              </w:rPr>
              <w:t xml:space="preserve">。 </w:t>
            </w:r>
          </w:p>
          <w:p>
            <w:pPr>
              <w:keepNext w:val="0"/>
              <w:keepLines w:val="0"/>
              <w:pageBreakBefore w:val="0"/>
              <w:widowControl/>
              <w:suppressLineNumbers w:val="0"/>
              <w:kinsoku/>
              <w:wordWrap w:val="0"/>
              <w:overflowPunct/>
              <w:topLinePunct w:val="0"/>
              <w:bidi w:val="0"/>
              <w:spacing w:line="36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备注：监狱企业、残疾人福利性单位视同小微企业。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vMerge w:val="continue"/>
            <w:tcBorders>
              <w:right w:val="single" w:color="auto" w:sz="6" w:space="0"/>
            </w:tcBorders>
            <w:noWrap w:val="0"/>
            <w:vAlign w:val="center"/>
          </w:tcPr>
          <w:p>
            <w:pPr>
              <w:pStyle w:val="21"/>
              <w:keepNext w:val="0"/>
              <w:keepLines w:val="0"/>
              <w:pageBreakBefore w:val="0"/>
              <w:widowControl w:val="0"/>
              <w:kinsoku/>
              <w:wordWrap/>
              <w:overflowPunct/>
              <w:topLinePunct w:val="0"/>
              <w:bidi w:val="0"/>
              <w:snapToGrid/>
              <w:spacing w:line="336" w:lineRule="auto"/>
              <w:ind w:left="0" w:leftChars="0" w:right="0" w:rightChars="0"/>
              <w:jc w:val="center"/>
              <w:textAlignment w:val="auto"/>
              <w:rPr>
                <w:rFonts w:hint="eastAsia" w:ascii="宋体" w:hAnsi="宋体" w:eastAsia="宋体" w:cs="宋体"/>
                <w:color w:val="auto"/>
                <w:sz w:val="24"/>
                <w:szCs w:val="24"/>
                <w:highlight w:val="none"/>
                <w:lang w:val="en-US" w:eastAsia="zh-CN"/>
              </w:rPr>
            </w:pPr>
          </w:p>
        </w:tc>
        <w:tc>
          <w:tcPr>
            <w:tcW w:w="2208" w:type="dxa"/>
            <w:vMerge w:val="continue"/>
            <w:tcBorders>
              <w:left w:val="single" w:color="auto" w:sz="6" w:space="0"/>
              <w:right w:val="single" w:color="auto" w:sz="6" w:space="0"/>
            </w:tcBorders>
            <w:noWrap w:val="0"/>
            <w:vAlign w:val="center"/>
          </w:tcPr>
          <w:p>
            <w:pPr>
              <w:pStyle w:val="21"/>
              <w:keepNext w:val="0"/>
              <w:keepLines w:val="0"/>
              <w:pageBreakBefore w:val="0"/>
              <w:kinsoku/>
              <w:wordWrap/>
              <w:overflowPunct/>
              <w:topLinePunct w:val="0"/>
              <w:bidi w:val="0"/>
              <w:snapToGrid w:val="0"/>
              <w:spacing w:line="324" w:lineRule="auto"/>
              <w:jc w:val="center"/>
              <w:textAlignment w:val="auto"/>
              <w:outlineLvl w:val="9"/>
              <w:rPr>
                <w:rFonts w:hint="eastAsia" w:ascii="宋体" w:hAnsi="宋体" w:eastAsia="宋体" w:cs="宋体"/>
                <w:color w:val="auto"/>
                <w:kern w:val="2"/>
                <w:sz w:val="24"/>
                <w:szCs w:val="24"/>
                <w:highlight w:val="none"/>
              </w:rPr>
            </w:pPr>
          </w:p>
        </w:tc>
        <w:tc>
          <w:tcPr>
            <w:tcW w:w="6302" w:type="dxa"/>
            <w:tcBorders>
              <w:top w:val="single" w:color="auto" w:sz="6" w:space="0"/>
              <w:left w:val="single" w:color="auto" w:sz="6" w:space="0"/>
              <w:bottom w:val="single" w:color="auto" w:sz="6" w:space="0"/>
            </w:tcBorders>
            <w:noWrap w:val="0"/>
            <w:vAlign w:val="top"/>
          </w:tcPr>
          <w:p>
            <w:pPr>
              <w:keepNext w:val="0"/>
              <w:keepLines w:val="0"/>
              <w:pageBreakBefore w:val="0"/>
              <w:widowControl/>
              <w:suppressLineNumbers w:val="0"/>
              <w:kinsoku/>
              <w:wordWrap w:val="0"/>
              <w:overflowPunct/>
              <w:topLinePunct w:val="0"/>
              <w:bidi w:val="0"/>
              <w:spacing w:line="36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企业划型标准依据《工业和信息化部、国家统计局、国家发展和改革委员 会、财政部关于印发中小企业划型标准规定的通知》（工信部联企业〔2011〕300 号）规定的划分。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vMerge w:val="continue"/>
            <w:tcBorders>
              <w:bottom w:val="single" w:color="auto" w:sz="6" w:space="0"/>
              <w:right w:val="single" w:color="auto" w:sz="6" w:space="0"/>
            </w:tcBorders>
            <w:noWrap w:val="0"/>
            <w:vAlign w:val="center"/>
          </w:tcPr>
          <w:p>
            <w:pPr>
              <w:pStyle w:val="21"/>
              <w:keepNext w:val="0"/>
              <w:keepLines w:val="0"/>
              <w:pageBreakBefore w:val="0"/>
              <w:widowControl w:val="0"/>
              <w:kinsoku/>
              <w:wordWrap/>
              <w:overflowPunct/>
              <w:topLinePunct w:val="0"/>
              <w:bidi w:val="0"/>
              <w:snapToGrid/>
              <w:spacing w:line="336" w:lineRule="auto"/>
              <w:ind w:left="0" w:leftChars="0" w:right="0" w:rightChars="0"/>
              <w:jc w:val="center"/>
              <w:textAlignment w:val="auto"/>
              <w:rPr>
                <w:rFonts w:hint="eastAsia" w:ascii="宋体" w:hAnsi="宋体" w:eastAsia="宋体" w:cs="宋体"/>
                <w:color w:val="auto"/>
                <w:sz w:val="24"/>
                <w:szCs w:val="24"/>
                <w:highlight w:val="none"/>
                <w:lang w:val="en-US" w:eastAsia="zh-CN"/>
              </w:rPr>
            </w:pPr>
          </w:p>
        </w:tc>
        <w:tc>
          <w:tcPr>
            <w:tcW w:w="2208" w:type="dxa"/>
            <w:vMerge w:val="continue"/>
            <w:tcBorders>
              <w:left w:val="single" w:color="auto" w:sz="6" w:space="0"/>
              <w:bottom w:val="single" w:color="auto" w:sz="6" w:space="0"/>
              <w:right w:val="single" w:color="auto" w:sz="6" w:space="0"/>
            </w:tcBorders>
            <w:noWrap w:val="0"/>
            <w:vAlign w:val="center"/>
          </w:tcPr>
          <w:p>
            <w:pPr>
              <w:pStyle w:val="21"/>
              <w:keepNext w:val="0"/>
              <w:keepLines w:val="0"/>
              <w:pageBreakBefore w:val="0"/>
              <w:kinsoku/>
              <w:wordWrap/>
              <w:overflowPunct/>
              <w:topLinePunct w:val="0"/>
              <w:bidi w:val="0"/>
              <w:snapToGrid w:val="0"/>
              <w:spacing w:line="324" w:lineRule="auto"/>
              <w:jc w:val="center"/>
              <w:textAlignment w:val="auto"/>
              <w:outlineLvl w:val="9"/>
              <w:rPr>
                <w:rFonts w:hint="eastAsia" w:ascii="宋体" w:hAnsi="宋体" w:eastAsia="宋体" w:cs="宋体"/>
                <w:color w:val="auto"/>
                <w:kern w:val="2"/>
                <w:sz w:val="24"/>
                <w:szCs w:val="24"/>
                <w:highlight w:val="none"/>
              </w:rPr>
            </w:pPr>
          </w:p>
        </w:tc>
        <w:tc>
          <w:tcPr>
            <w:tcW w:w="6302" w:type="dxa"/>
            <w:tcBorders>
              <w:top w:val="single" w:color="auto" w:sz="6" w:space="0"/>
              <w:left w:val="single" w:color="auto" w:sz="6" w:space="0"/>
              <w:bottom w:val="single" w:color="auto" w:sz="6" w:space="0"/>
            </w:tcBorders>
            <w:noWrap w:val="0"/>
            <w:vAlign w:val="top"/>
          </w:tcPr>
          <w:p>
            <w:pPr>
              <w:keepNext w:val="0"/>
              <w:keepLines w:val="0"/>
              <w:pageBreakBefore w:val="0"/>
              <w:widowControl/>
              <w:suppressLineNumbers w:val="0"/>
              <w:kinsoku/>
              <w:wordWrap w:val="0"/>
              <w:overflowPunct/>
              <w:topLinePunct w:val="0"/>
              <w:bidi w:val="0"/>
              <w:spacing w:line="36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一、对于非专门面向中小企业的项目或采购包，小微企业（监狱企业、残疾人福利性单位视同小微企业）价格扣除规定如下：</w:t>
            </w:r>
          </w:p>
          <w:p>
            <w:pPr>
              <w:keepNext w:val="0"/>
              <w:keepLines w:val="0"/>
              <w:pageBreakBefore w:val="0"/>
              <w:widowControl/>
              <w:suppressLineNumbers w:val="0"/>
              <w:kinsoku/>
              <w:wordWrap w:val="0"/>
              <w:overflowPunct/>
              <w:topLinePunct w:val="0"/>
              <w:bidi w:val="0"/>
              <w:spacing w:line="36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1．根据《政府采购促进中小企业发展管理办法》（财库[2020]46 号）的规定，对小型和微型企业产品的价格给予 10%的价格扣除，用扣除后的价格参与评审。参加政府采购活动的中小企业应当提供《中小企业声明函》原件； </w:t>
            </w:r>
          </w:p>
          <w:p>
            <w:pPr>
              <w:keepNext w:val="0"/>
              <w:keepLines w:val="0"/>
              <w:pageBreakBefore w:val="0"/>
              <w:widowControl/>
              <w:suppressLineNumbers w:val="0"/>
              <w:kinsoku/>
              <w:wordWrap w:val="0"/>
              <w:overflowPunct/>
              <w:topLinePunct w:val="0"/>
              <w:bidi w:val="0"/>
              <w:spacing w:line="36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2．根据《财政部、司法部关于政府采购支持 监狱企业发展有关问题的通知》（财库〔2014〕68 号）的规定，监狱企业视同小微企业，参加政府采购活动的监狱企业应当提供省级以上监狱管理局、戒毒管理局（含新疆生产建设兵团）出具的属于监狱企业的证明文件。 </w:t>
            </w:r>
          </w:p>
          <w:p>
            <w:pPr>
              <w:keepNext w:val="0"/>
              <w:keepLines w:val="0"/>
              <w:pageBreakBefore w:val="0"/>
              <w:widowControl/>
              <w:suppressLineNumbers w:val="0"/>
              <w:kinsoku/>
              <w:wordWrap w:val="0"/>
              <w:overflowPunct/>
              <w:topLinePunct w:val="0"/>
              <w:bidi w:val="0"/>
              <w:spacing w:line="36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3．根据《三部门联合发布关于促进残疾人就业政府采购政策的通知》（财库〔2017〕141 号）的规定，残疾人福利性单位属于小型、微型企业的，不重复享受政策。参加政府采购活动的残疾人福利性单位应当提供《残疾人福利性单位声明函》原件（本项目成交供应商属于残疾人福利性单位的，在结果公告中将同时公示其声明函）。 </w:t>
            </w:r>
          </w:p>
          <w:p>
            <w:pPr>
              <w:keepNext w:val="0"/>
              <w:keepLines w:val="0"/>
              <w:pageBreakBefore w:val="0"/>
              <w:widowControl/>
              <w:suppressLineNumbers w:val="0"/>
              <w:kinsoku/>
              <w:wordWrap w:val="0"/>
              <w:overflowPunct/>
              <w:topLinePunct w:val="0"/>
              <w:bidi w:val="0"/>
              <w:spacing w:line="36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4.供应商在参加政府采购活动时，提供以上虚假声明或证明材料的，按《中华人民共和国政府采购法》第七十七条规定处理。 </w:t>
            </w:r>
          </w:p>
          <w:p>
            <w:pPr>
              <w:keepNext w:val="0"/>
              <w:keepLines w:val="0"/>
              <w:pageBreakBefore w:val="0"/>
              <w:widowControl/>
              <w:suppressLineNumbers w:val="0"/>
              <w:kinsoku/>
              <w:wordWrap w:val="0"/>
              <w:overflowPunct/>
              <w:topLinePunct w:val="0"/>
              <w:bidi w:val="0"/>
              <w:spacing w:line="36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5.大中型企业和其他自然人、法人或者其他组织与小型、微型企业组成联合体共同参加非专门面向中小企业的政府采购活动的，联合体投标协议中约定，小型、微型企业的协议合同金额占到联合体投标协议合同总金额 30%以上的，可给予联合体 3%的价格扣除。 </w:t>
            </w:r>
          </w:p>
          <w:p>
            <w:pPr>
              <w:keepNext w:val="0"/>
              <w:keepLines w:val="0"/>
              <w:pageBreakBefore w:val="0"/>
              <w:widowControl/>
              <w:suppressLineNumbers w:val="0"/>
              <w:kinsoku/>
              <w:wordWrap w:val="0"/>
              <w:overflowPunct/>
              <w:topLinePunct w:val="0"/>
              <w:bidi w:val="0"/>
              <w:spacing w:line="36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6.联合体各方均为小型、微型企业的，联合体视同为小型、微型企业享受规定的扶持政策。组成联合体的大中型企业和其他自然人、法人或者其他组织，与小型、微型企业之间不得存在投资关系。 </w:t>
            </w:r>
          </w:p>
          <w:p>
            <w:pPr>
              <w:keepNext w:val="0"/>
              <w:keepLines w:val="0"/>
              <w:pageBreakBefore w:val="0"/>
              <w:widowControl/>
              <w:suppressLineNumbers w:val="0"/>
              <w:kinsoku/>
              <w:wordWrap w:val="0"/>
              <w:overflowPunct/>
              <w:topLinePunct w:val="0"/>
              <w:bidi w:val="0"/>
              <w:spacing w:line="36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二、失信企业报价加成或者扣分 </w:t>
            </w:r>
          </w:p>
          <w:p>
            <w:pPr>
              <w:keepNext w:val="0"/>
              <w:keepLines w:val="0"/>
              <w:pageBreakBefore w:val="0"/>
              <w:widowControl/>
              <w:suppressLineNumbers w:val="0"/>
              <w:kinsoku/>
              <w:wordWrap w:val="0"/>
              <w:overflowPunct/>
              <w:topLinePunct w:val="0"/>
              <w:bidi w:val="0"/>
              <w:spacing w:line="36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1.对按照《四川省政府采购当事人诚信管理办法》（川财采[2015]33 号）记入诚信档案的且在有效期内的失信供应商，在参加政府采购活动中实行10%的报价加成、以加成后报价作为该供应商报价评审，且供应商失信行为惩戒实行无限制累加制，因其失信行为进行报价加成惩戒后报价超过政府采购预算或最高限价的，其响应文件按照无效处理。</w:t>
            </w:r>
          </w:p>
          <w:p>
            <w:pPr>
              <w:keepNext w:val="0"/>
              <w:keepLines w:val="0"/>
              <w:pageBreakBefore w:val="0"/>
              <w:widowControl/>
              <w:suppressLineNumbers w:val="0"/>
              <w:kinsoku/>
              <w:wordWrap w:val="0"/>
              <w:overflowPunct/>
              <w:topLinePunct w:val="0"/>
              <w:bidi w:val="0"/>
              <w:spacing w:line="36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2.供应商参加政府采购活动时，应当就自己的诚信情况在响应文件中进行承诺。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21"/>
              <w:keepNext w:val="0"/>
              <w:keepLines w:val="0"/>
              <w:pageBreakBefore w:val="0"/>
              <w:widowControl w:val="0"/>
              <w:kinsoku/>
              <w:overflowPunct/>
              <w:topLinePunct w:val="0"/>
              <w:bidi w:val="0"/>
              <w:snapToGrid/>
              <w:spacing w:line="336" w:lineRule="auto"/>
              <w:ind w:left="0" w:leftChars="0" w:right="0" w:right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pStyle w:val="21"/>
              <w:keepNext w:val="0"/>
              <w:keepLines w:val="0"/>
              <w:pageBreakBefore w:val="0"/>
              <w:widowControl w:val="0"/>
              <w:kinsoku/>
              <w:wordWrap/>
              <w:overflowPunct/>
              <w:topLinePunct w:val="0"/>
              <w:autoSpaceDE w:val="0"/>
              <w:autoSpaceDN w:val="0"/>
              <w:bidi w:val="0"/>
              <w:adjustRightInd w:val="0"/>
              <w:snapToGrid w:val="0"/>
              <w:spacing w:line="324" w:lineRule="auto"/>
              <w:jc w:val="center"/>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采购方式</w:t>
            </w:r>
          </w:p>
        </w:tc>
        <w:tc>
          <w:tcPr>
            <w:tcW w:w="6302" w:type="dxa"/>
            <w:tcBorders>
              <w:top w:val="single" w:color="auto" w:sz="6" w:space="0"/>
              <w:left w:val="single" w:color="auto" w:sz="6" w:space="0"/>
              <w:bottom w:val="single" w:color="auto" w:sz="6" w:space="0"/>
            </w:tcBorders>
            <w:noWrap w:val="0"/>
            <w:vAlign w:val="center"/>
          </w:tcPr>
          <w:p>
            <w:pPr>
              <w:pStyle w:val="21"/>
              <w:keepNext w:val="0"/>
              <w:keepLines w:val="0"/>
              <w:pageBreakBefore w:val="0"/>
              <w:widowControl w:val="0"/>
              <w:kinsoku/>
              <w:wordWrap/>
              <w:overflowPunct/>
              <w:topLinePunct w:val="0"/>
              <w:autoSpaceDE w:val="0"/>
              <w:autoSpaceDN w:val="0"/>
              <w:bidi w:val="0"/>
              <w:adjustRightInd w:val="0"/>
              <w:snapToGrid w:val="0"/>
              <w:spacing w:line="324" w:lineRule="auto"/>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竞争性磋商。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21"/>
              <w:keepNext w:val="0"/>
              <w:keepLines w:val="0"/>
              <w:pageBreakBefore w:val="0"/>
              <w:widowControl w:val="0"/>
              <w:kinsoku/>
              <w:overflowPunct/>
              <w:topLinePunct w:val="0"/>
              <w:bidi w:val="0"/>
              <w:snapToGrid/>
              <w:spacing w:line="336" w:lineRule="auto"/>
              <w:ind w:left="0" w:leftChars="0" w:right="0" w:right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7</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pacing w:line="324" w:lineRule="auto"/>
              <w:ind w:firstLine="0" w:firstLineChars="0"/>
              <w:jc w:val="center"/>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评标方法</w:t>
            </w:r>
          </w:p>
        </w:tc>
        <w:tc>
          <w:tcPr>
            <w:tcW w:w="6302" w:type="dxa"/>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bidi w:val="0"/>
              <w:spacing w:line="324" w:lineRule="auto"/>
              <w:ind w:firstLine="0" w:firstLineChars="0"/>
              <w:jc w:val="both"/>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综合评分法。</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21"/>
              <w:keepNext w:val="0"/>
              <w:keepLines w:val="0"/>
              <w:pageBreakBefore w:val="0"/>
              <w:widowControl w:val="0"/>
              <w:kinsoku/>
              <w:overflowPunct/>
              <w:topLinePunct w:val="0"/>
              <w:bidi w:val="0"/>
              <w:snapToGrid/>
              <w:spacing w:line="336" w:lineRule="auto"/>
              <w:ind w:left="0" w:leftChars="0" w:right="0" w:right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8</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pStyle w:val="21"/>
              <w:keepNext w:val="0"/>
              <w:keepLines w:val="0"/>
              <w:pageBreakBefore w:val="0"/>
              <w:widowControl w:val="0"/>
              <w:kinsoku/>
              <w:wordWrap/>
              <w:overflowPunct/>
              <w:topLinePunct w:val="0"/>
              <w:autoSpaceDE w:val="0"/>
              <w:autoSpaceDN w:val="0"/>
              <w:bidi w:val="0"/>
              <w:adjustRightInd w:val="0"/>
              <w:snapToGrid w:val="0"/>
              <w:spacing w:line="312" w:lineRule="auto"/>
              <w:jc w:val="center"/>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联合体投标</w:t>
            </w:r>
          </w:p>
          <w:p>
            <w:pPr>
              <w:pStyle w:val="21"/>
              <w:keepNext w:val="0"/>
              <w:keepLines w:val="0"/>
              <w:pageBreakBefore w:val="0"/>
              <w:widowControl w:val="0"/>
              <w:kinsoku/>
              <w:wordWrap/>
              <w:overflowPunct/>
              <w:topLinePunct w:val="0"/>
              <w:autoSpaceDE w:val="0"/>
              <w:autoSpaceDN w:val="0"/>
              <w:bidi w:val="0"/>
              <w:adjustRightInd w:val="0"/>
              <w:snapToGrid w:val="0"/>
              <w:spacing w:line="312" w:lineRule="auto"/>
              <w:jc w:val="center"/>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（实质性要求）</w:t>
            </w:r>
          </w:p>
        </w:tc>
        <w:tc>
          <w:tcPr>
            <w:tcW w:w="6302" w:type="dxa"/>
            <w:tcBorders>
              <w:top w:val="single" w:color="auto" w:sz="6" w:space="0"/>
              <w:left w:val="single" w:color="auto" w:sz="6" w:space="0"/>
              <w:bottom w:val="single" w:color="auto" w:sz="6" w:space="0"/>
            </w:tcBorders>
            <w:noWrap w:val="0"/>
            <w:vAlign w:val="center"/>
          </w:tcPr>
          <w:p>
            <w:pPr>
              <w:pStyle w:val="21"/>
              <w:keepNext w:val="0"/>
              <w:keepLines w:val="0"/>
              <w:pageBreakBefore w:val="0"/>
              <w:widowControl w:val="0"/>
              <w:kinsoku/>
              <w:wordWrap/>
              <w:overflowPunct/>
              <w:topLinePunct w:val="0"/>
              <w:autoSpaceDE w:val="0"/>
              <w:autoSpaceDN w:val="0"/>
              <w:bidi w:val="0"/>
              <w:adjustRightInd w:val="0"/>
              <w:snapToGrid w:val="0"/>
              <w:spacing w:line="312" w:lineRule="auto"/>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本项目不允许联合体</w:t>
            </w:r>
            <w:r>
              <w:rPr>
                <w:rFonts w:hint="eastAsia" w:ascii="宋体" w:hAnsi="宋体" w:eastAsia="宋体" w:cs="宋体"/>
                <w:color w:val="auto"/>
                <w:sz w:val="24"/>
                <w:szCs w:val="24"/>
                <w:highlight w:val="none"/>
                <w:lang w:val="zh-CN" w:eastAsia="zh-CN"/>
              </w:rPr>
              <w:t>参与磋商。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21"/>
              <w:keepNext w:val="0"/>
              <w:keepLines w:val="0"/>
              <w:pageBreakBefore w:val="0"/>
              <w:widowControl w:val="0"/>
              <w:kinsoku/>
              <w:overflowPunct/>
              <w:topLinePunct w:val="0"/>
              <w:bidi w:val="0"/>
              <w:snapToGrid/>
              <w:spacing w:line="336" w:lineRule="auto"/>
              <w:ind w:left="0" w:leftChars="0" w:right="0" w:right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9</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pStyle w:val="21"/>
              <w:keepNext w:val="0"/>
              <w:keepLines w:val="0"/>
              <w:pageBreakBefore w:val="0"/>
              <w:widowControl w:val="0"/>
              <w:kinsoku/>
              <w:wordWrap/>
              <w:overflowPunct/>
              <w:topLinePunct w:val="0"/>
              <w:autoSpaceDE w:val="0"/>
              <w:autoSpaceDN w:val="0"/>
              <w:bidi w:val="0"/>
              <w:adjustRightInd w:val="0"/>
              <w:snapToGrid w:val="0"/>
              <w:spacing w:line="312" w:lineRule="auto"/>
              <w:jc w:val="center"/>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进口产品</w:t>
            </w:r>
          </w:p>
          <w:p>
            <w:pPr>
              <w:pStyle w:val="21"/>
              <w:keepNext w:val="0"/>
              <w:keepLines w:val="0"/>
              <w:pageBreakBefore w:val="0"/>
              <w:widowControl w:val="0"/>
              <w:kinsoku/>
              <w:wordWrap/>
              <w:overflowPunct/>
              <w:topLinePunct w:val="0"/>
              <w:autoSpaceDE w:val="0"/>
              <w:autoSpaceDN w:val="0"/>
              <w:bidi w:val="0"/>
              <w:adjustRightInd w:val="0"/>
              <w:snapToGrid w:val="0"/>
              <w:spacing w:line="312" w:lineRule="auto"/>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zh-CN"/>
              </w:rPr>
              <w:t>（</w:t>
            </w:r>
            <w:r>
              <w:rPr>
                <w:rFonts w:hint="eastAsia" w:ascii="宋体" w:hAnsi="宋体" w:eastAsia="宋体" w:cs="宋体"/>
                <w:b/>
                <w:color w:val="auto"/>
                <w:sz w:val="24"/>
                <w:szCs w:val="24"/>
                <w:highlight w:val="none"/>
              </w:rPr>
              <w:t>实质性要求）</w:t>
            </w:r>
          </w:p>
          <w:p>
            <w:pPr>
              <w:pStyle w:val="21"/>
              <w:keepNext w:val="0"/>
              <w:keepLines w:val="0"/>
              <w:pageBreakBefore w:val="0"/>
              <w:widowControl w:val="0"/>
              <w:kinsoku/>
              <w:wordWrap/>
              <w:overflowPunct/>
              <w:topLinePunct w:val="0"/>
              <w:autoSpaceDE w:val="0"/>
              <w:autoSpaceDN w:val="0"/>
              <w:bidi w:val="0"/>
              <w:adjustRightInd w:val="0"/>
              <w:snapToGrid w:val="0"/>
              <w:spacing w:line="312" w:lineRule="auto"/>
              <w:jc w:val="center"/>
              <w:textAlignment w:val="auto"/>
              <w:outlineLvl w:val="9"/>
              <w:rPr>
                <w:rFonts w:hint="eastAsia" w:ascii="宋体" w:hAnsi="宋体" w:eastAsia="宋体" w:cs="宋体"/>
                <w:color w:val="auto"/>
                <w:sz w:val="24"/>
                <w:szCs w:val="24"/>
                <w:highlight w:val="none"/>
                <w:lang w:val="zh-CN" w:eastAsia="zh-CN"/>
              </w:rPr>
            </w:pPr>
            <w:r>
              <w:rPr>
                <w:rFonts w:hint="eastAsia" w:ascii="宋体" w:hAnsi="宋体" w:eastAsia="宋体" w:cs="宋体"/>
                <w:b/>
                <w:color w:val="auto"/>
                <w:sz w:val="24"/>
                <w:szCs w:val="24"/>
                <w:highlight w:val="none"/>
                <w:lang w:eastAsia="zh-CN"/>
              </w:rPr>
              <w:t>（不涉及）</w:t>
            </w:r>
          </w:p>
        </w:tc>
        <w:tc>
          <w:tcPr>
            <w:tcW w:w="6302" w:type="dxa"/>
            <w:tcBorders>
              <w:top w:val="single" w:color="auto" w:sz="6" w:space="0"/>
              <w:left w:val="single" w:color="auto" w:sz="6" w:space="0"/>
              <w:bottom w:val="single" w:color="auto" w:sz="6" w:space="0"/>
            </w:tcBorders>
            <w:noWrap w:val="0"/>
            <w:vAlign w:val="center"/>
          </w:tcPr>
          <w:p>
            <w:pPr>
              <w:pStyle w:val="21"/>
              <w:keepNext w:val="0"/>
              <w:keepLines w:val="0"/>
              <w:pageBreakBefore w:val="0"/>
              <w:widowControl w:val="0"/>
              <w:kinsoku/>
              <w:wordWrap/>
              <w:overflowPunct/>
              <w:topLinePunct w:val="0"/>
              <w:autoSpaceDE w:val="0"/>
              <w:autoSpaceDN w:val="0"/>
              <w:bidi w:val="0"/>
              <w:adjustRightInd w:val="0"/>
              <w:snapToGrid w:val="0"/>
              <w:spacing w:line="312" w:lineRule="auto"/>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本项目不采用进口产品。</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21"/>
              <w:keepNext w:val="0"/>
              <w:keepLines w:val="0"/>
              <w:pageBreakBefore w:val="0"/>
              <w:widowControl w:val="0"/>
              <w:kinsoku/>
              <w:overflowPunct/>
              <w:topLinePunct w:val="0"/>
              <w:bidi w:val="0"/>
              <w:snapToGrid/>
              <w:spacing w:line="336" w:lineRule="auto"/>
              <w:ind w:left="0" w:leftChars="0" w:right="0" w:right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pStyle w:val="21"/>
              <w:keepNext w:val="0"/>
              <w:keepLines w:val="0"/>
              <w:pageBreakBefore w:val="0"/>
              <w:widowControl w:val="0"/>
              <w:kinsoku/>
              <w:wordWrap/>
              <w:overflowPunct/>
              <w:topLinePunct w:val="0"/>
              <w:autoSpaceDE w:val="0"/>
              <w:autoSpaceDN w:val="0"/>
              <w:bidi w:val="0"/>
              <w:adjustRightInd w:val="0"/>
              <w:snapToGrid w:val="0"/>
              <w:spacing w:line="312"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国家规定的优先、强制采购范围（节能、环保）</w:t>
            </w:r>
          </w:p>
        </w:tc>
        <w:tc>
          <w:tcPr>
            <w:tcW w:w="6302" w:type="dxa"/>
            <w:tcBorders>
              <w:top w:val="single" w:color="auto" w:sz="6" w:space="0"/>
              <w:left w:val="single" w:color="auto" w:sz="6" w:space="0"/>
              <w:bottom w:val="single" w:color="auto" w:sz="6" w:space="0"/>
            </w:tcBorders>
            <w:noWrap w:val="0"/>
            <w:vAlign w:val="center"/>
          </w:tcPr>
          <w:p>
            <w:pPr>
              <w:pStyle w:val="21"/>
              <w:keepNext w:val="0"/>
              <w:keepLines w:val="0"/>
              <w:pageBreakBefore w:val="0"/>
              <w:widowControl w:val="0"/>
              <w:kinsoku/>
              <w:wordWrap/>
              <w:overflowPunct/>
              <w:topLinePunct w:val="0"/>
              <w:autoSpaceDE w:val="0"/>
              <w:autoSpaceDN w:val="0"/>
              <w:bidi w:val="0"/>
              <w:adjustRightInd w:val="0"/>
              <w:snapToGrid w:val="0"/>
              <w:spacing w:line="312"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文件第</w:t>
            </w: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21"/>
              <w:keepNext w:val="0"/>
              <w:keepLines w:val="0"/>
              <w:pageBreakBefore w:val="0"/>
              <w:widowControl w:val="0"/>
              <w:kinsoku/>
              <w:overflowPunct/>
              <w:topLinePunct w:val="0"/>
              <w:bidi w:val="0"/>
              <w:snapToGrid/>
              <w:spacing w:line="336" w:lineRule="auto"/>
              <w:ind w:left="0" w:leftChars="0" w:right="0" w:right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11</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pStyle w:val="21"/>
              <w:keepNext w:val="0"/>
              <w:keepLines w:val="0"/>
              <w:pageBreakBefore w:val="0"/>
              <w:widowControl w:val="0"/>
              <w:kinsoku/>
              <w:wordWrap/>
              <w:overflowPunct/>
              <w:topLinePunct w:val="0"/>
              <w:autoSpaceDE w:val="0"/>
              <w:autoSpaceDN w:val="0"/>
              <w:bidi w:val="0"/>
              <w:adjustRightInd w:val="0"/>
              <w:snapToGrid w:val="0"/>
              <w:spacing w:line="324" w:lineRule="auto"/>
              <w:jc w:val="center"/>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构成磋商文件的</w:t>
            </w:r>
          </w:p>
          <w:p>
            <w:pPr>
              <w:pStyle w:val="21"/>
              <w:keepNext w:val="0"/>
              <w:keepLines w:val="0"/>
              <w:pageBreakBefore w:val="0"/>
              <w:widowControl w:val="0"/>
              <w:kinsoku/>
              <w:wordWrap/>
              <w:overflowPunct/>
              <w:topLinePunct w:val="0"/>
              <w:autoSpaceDE w:val="0"/>
              <w:autoSpaceDN w:val="0"/>
              <w:bidi w:val="0"/>
              <w:adjustRightInd w:val="0"/>
              <w:snapToGrid w:val="0"/>
              <w:spacing w:line="324" w:lineRule="auto"/>
              <w:jc w:val="center"/>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其他文件</w:t>
            </w:r>
          </w:p>
        </w:tc>
        <w:tc>
          <w:tcPr>
            <w:tcW w:w="6302" w:type="dxa"/>
            <w:tcBorders>
              <w:top w:val="single" w:color="auto" w:sz="6" w:space="0"/>
              <w:left w:val="single" w:color="auto" w:sz="6" w:space="0"/>
              <w:bottom w:val="single" w:color="auto" w:sz="6" w:space="0"/>
            </w:tcBorders>
            <w:noWrap w:val="0"/>
            <w:vAlign w:val="center"/>
          </w:tcPr>
          <w:p>
            <w:pPr>
              <w:pStyle w:val="21"/>
              <w:keepNext w:val="0"/>
              <w:keepLines w:val="0"/>
              <w:pageBreakBefore w:val="0"/>
              <w:widowControl w:val="0"/>
              <w:kinsoku/>
              <w:wordWrap/>
              <w:overflowPunct/>
              <w:topLinePunct w:val="0"/>
              <w:autoSpaceDE w:val="0"/>
              <w:autoSpaceDN w:val="0"/>
              <w:bidi w:val="0"/>
              <w:adjustRightInd w:val="0"/>
              <w:snapToGrid w:val="0"/>
              <w:spacing w:line="324" w:lineRule="auto"/>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磋商文件的澄清、修改书及有关补充通知为磋商文件的有效组成部分。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21"/>
              <w:keepNext w:val="0"/>
              <w:keepLines w:val="0"/>
              <w:pageBreakBefore w:val="0"/>
              <w:widowControl w:val="0"/>
              <w:kinsoku/>
              <w:overflowPunct/>
              <w:topLinePunct w:val="0"/>
              <w:bidi w:val="0"/>
              <w:snapToGrid/>
              <w:spacing w:line="336" w:lineRule="auto"/>
              <w:ind w:left="0" w:leftChars="0" w:right="0" w:right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12</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pStyle w:val="21"/>
              <w:keepNext w:val="0"/>
              <w:keepLines w:val="0"/>
              <w:pageBreakBefore w:val="0"/>
              <w:widowControl w:val="0"/>
              <w:kinsoku/>
              <w:wordWrap/>
              <w:overflowPunct/>
              <w:topLinePunct w:val="0"/>
              <w:autoSpaceDE w:val="0"/>
              <w:autoSpaceDN w:val="0"/>
              <w:bidi w:val="0"/>
              <w:adjustRightInd w:val="0"/>
              <w:snapToGrid w:val="0"/>
              <w:spacing w:line="324" w:lineRule="auto"/>
              <w:jc w:val="center"/>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考察现场标前答疑会</w:t>
            </w:r>
          </w:p>
        </w:tc>
        <w:tc>
          <w:tcPr>
            <w:tcW w:w="6302" w:type="dxa"/>
            <w:tcBorders>
              <w:top w:val="single" w:color="auto" w:sz="6" w:space="0"/>
              <w:left w:val="single" w:color="auto" w:sz="6" w:space="0"/>
              <w:bottom w:val="single" w:color="auto" w:sz="6" w:space="0"/>
            </w:tcBorders>
            <w:noWrap w:val="0"/>
            <w:vAlign w:val="center"/>
          </w:tcPr>
          <w:p>
            <w:pPr>
              <w:pStyle w:val="21"/>
              <w:keepNext w:val="0"/>
              <w:keepLines w:val="0"/>
              <w:pageBreakBefore w:val="0"/>
              <w:widowControl w:val="0"/>
              <w:kinsoku/>
              <w:wordWrap/>
              <w:overflowPunct/>
              <w:topLinePunct w:val="0"/>
              <w:autoSpaceDE w:val="0"/>
              <w:autoSpaceDN w:val="0"/>
              <w:bidi w:val="0"/>
              <w:adjustRightInd w:val="0"/>
              <w:snapToGrid w:val="0"/>
              <w:spacing w:line="324" w:lineRule="auto"/>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须知</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21"/>
              <w:keepNext w:val="0"/>
              <w:keepLines w:val="0"/>
              <w:pageBreakBefore w:val="0"/>
              <w:widowControl w:val="0"/>
              <w:kinsoku/>
              <w:overflowPunct/>
              <w:topLinePunct w:val="0"/>
              <w:bidi w:val="0"/>
              <w:snapToGrid/>
              <w:spacing w:line="336" w:lineRule="auto"/>
              <w:ind w:left="0" w:leftChars="0" w:right="0" w:right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13</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pStyle w:val="8"/>
              <w:keepNext w:val="0"/>
              <w:keepLines w:val="0"/>
              <w:pageBreakBefore w:val="0"/>
              <w:kinsoku/>
              <w:wordWrap/>
              <w:overflowPunct/>
              <w:topLinePunct w:val="0"/>
              <w:bidi w:val="0"/>
              <w:spacing w:line="324" w:lineRule="auto"/>
              <w:ind w:firstLine="0" w:firstLineChars="0"/>
              <w:jc w:val="center"/>
              <w:textAlignment w:val="auto"/>
              <w:outlineLvl w:val="9"/>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eastAsia="zh-CN"/>
              </w:rPr>
              <w:t>磋商</w:t>
            </w:r>
            <w:r>
              <w:rPr>
                <w:rFonts w:hint="eastAsia" w:ascii="宋体" w:hAnsi="宋体" w:eastAsia="宋体" w:cs="宋体"/>
                <w:b/>
                <w:color w:val="auto"/>
                <w:kern w:val="2"/>
                <w:sz w:val="24"/>
                <w:szCs w:val="24"/>
                <w:highlight w:val="none"/>
              </w:rPr>
              <w:t>保证金</w:t>
            </w:r>
          </w:p>
          <w:p>
            <w:pPr>
              <w:pStyle w:val="8"/>
              <w:keepNext w:val="0"/>
              <w:keepLines w:val="0"/>
              <w:pageBreakBefore w:val="0"/>
              <w:kinsoku/>
              <w:wordWrap/>
              <w:overflowPunct/>
              <w:topLinePunct w:val="0"/>
              <w:bidi w:val="0"/>
              <w:spacing w:line="324" w:lineRule="auto"/>
              <w:ind w:firstLine="0" w:firstLineChars="0"/>
              <w:jc w:val="center"/>
              <w:textAlignment w:val="auto"/>
              <w:outlineLvl w:val="9"/>
              <w:rPr>
                <w:rFonts w:hint="eastAsia" w:ascii="宋体" w:hAnsi="宋体" w:eastAsia="宋体" w:cs="宋体"/>
                <w:b/>
                <w:color w:val="auto"/>
                <w:kern w:val="2"/>
                <w:sz w:val="24"/>
                <w:szCs w:val="24"/>
                <w:highlight w:val="none"/>
              </w:rPr>
            </w:pPr>
            <w:r>
              <w:rPr>
                <w:rFonts w:hint="eastAsia" w:ascii="宋体" w:hAnsi="宋体" w:eastAsia="宋体" w:cs="宋体"/>
                <w:b/>
                <w:color w:val="auto"/>
                <w:sz w:val="24"/>
                <w:szCs w:val="24"/>
                <w:highlight w:val="none"/>
              </w:rPr>
              <w:t>（实质性要求）</w:t>
            </w:r>
          </w:p>
        </w:tc>
        <w:tc>
          <w:tcPr>
            <w:tcW w:w="6302" w:type="dxa"/>
            <w:tcBorders>
              <w:top w:val="single" w:color="auto" w:sz="6" w:space="0"/>
              <w:left w:val="single" w:color="auto" w:sz="6" w:space="0"/>
              <w:bottom w:val="single" w:color="auto" w:sz="6" w:space="0"/>
            </w:tcBorders>
            <w:noWrap w:val="0"/>
            <w:vAlign w:val="center"/>
          </w:tcPr>
          <w:p>
            <w:pPr>
              <w:pStyle w:val="23"/>
              <w:keepNext w:val="0"/>
              <w:keepLines w:val="0"/>
              <w:pageBreakBefore w:val="0"/>
              <w:widowControl w:val="0"/>
              <w:kinsoku/>
              <w:wordWrap/>
              <w:overflowPunct/>
              <w:topLinePunct w:val="0"/>
              <w:autoSpaceDE w:val="0"/>
              <w:autoSpaceDN w:val="0"/>
              <w:bidi w:val="0"/>
              <w:adjustRightInd w:val="0"/>
              <w:snapToGrid w:val="0"/>
              <w:spacing w:line="324" w:lineRule="auto"/>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本项目不涉及</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21"/>
              <w:keepNext w:val="0"/>
              <w:keepLines w:val="0"/>
              <w:pageBreakBefore w:val="0"/>
              <w:widowControl w:val="0"/>
              <w:kinsoku/>
              <w:overflowPunct/>
              <w:topLinePunct w:val="0"/>
              <w:bidi w:val="0"/>
              <w:snapToGrid/>
              <w:spacing w:line="336" w:lineRule="auto"/>
              <w:ind w:left="0" w:leftChars="0" w:right="0" w:right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14</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pStyle w:val="8"/>
              <w:keepNext w:val="0"/>
              <w:keepLines w:val="0"/>
              <w:pageBreakBefore w:val="0"/>
              <w:kinsoku/>
              <w:wordWrap/>
              <w:overflowPunct/>
              <w:topLinePunct w:val="0"/>
              <w:bidi w:val="0"/>
              <w:spacing w:line="324" w:lineRule="auto"/>
              <w:ind w:firstLine="0" w:firstLineChars="0"/>
              <w:jc w:val="center"/>
              <w:textAlignment w:val="auto"/>
              <w:outlineLvl w:val="9"/>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投标有效期</w:t>
            </w:r>
          </w:p>
          <w:p>
            <w:pPr>
              <w:pStyle w:val="8"/>
              <w:keepNext w:val="0"/>
              <w:keepLines w:val="0"/>
              <w:pageBreakBefore w:val="0"/>
              <w:kinsoku/>
              <w:wordWrap/>
              <w:overflowPunct/>
              <w:topLinePunct w:val="0"/>
              <w:bidi w:val="0"/>
              <w:spacing w:line="324" w:lineRule="auto"/>
              <w:ind w:firstLine="0" w:firstLineChars="0"/>
              <w:jc w:val="center"/>
              <w:textAlignment w:val="auto"/>
              <w:outlineLvl w:val="9"/>
              <w:rPr>
                <w:rFonts w:hint="eastAsia" w:ascii="宋体" w:hAnsi="宋体" w:eastAsia="宋体" w:cs="宋体"/>
                <w:b/>
                <w:color w:val="auto"/>
                <w:kern w:val="2"/>
                <w:sz w:val="24"/>
                <w:szCs w:val="24"/>
                <w:highlight w:val="none"/>
              </w:rPr>
            </w:pPr>
            <w:r>
              <w:rPr>
                <w:rFonts w:hint="eastAsia" w:ascii="宋体" w:hAnsi="宋体" w:eastAsia="宋体" w:cs="宋体"/>
                <w:b/>
                <w:color w:val="auto"/>
                <w:sz w:val="24"/>
                <w:szCs w:val="24"/>
                <w:highlight w:val="none"/>
              </w:rPr>
              <w:t>（实质性要求）</w:t>
            </w:r>
          </w:p>
        </w:tc>
        <w:tc>
          <w:tcPr>
            <w:tcW w:w="6302" w:type="dxa"/>
            <w:tcBorders>
              <w:top w:val="single" w:color="auto" w:sz="6" w:space="0"/>
              <w:left w:val="single" w:color="auto" w:sz="6" w:space="0"/>
              <w:bottom w:val="single" w:color="auto" w:sz="6" w:space="0"/>
            </w:tcBorders>
            <w:noWrap w:val="0"/>
            <w:vAlign w:val="center"/>
          </w:tcPr>
          <w:p>
            <w:pPr>
              <w:pStyle w:val="21"/>
              <w:keepNext w:val="0"/>
              <w:keepLines w:val="0"/>
              <w:pageBreakBefore w:val="0"/>
              <w:kinsoku/>
              <w:wordWrap/>
              <w:overflowPunct/>
              <w:topLinePunct w:val="0"/>
              <w:bidi w:val="0"/>
              <w:snapToGrid w:val="0"/>
              <w:spacing w:line="324" w:lineRule="auto"/>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highlight w:val="none"/>
              </w:rPr>
              <w:t>递交磋商响应文件截止之日起</w:t>
            </w:r>
            <w:r>
              <w:rPr>
                <w:rFonts w:hint="eastAsia" w:ascii="宋体" w:hAnsi="宋体" w:eastAsia="宋体" w:cs="宋体"/>
                <w:color w:val="auto"/>
                <w:sz w:val="24"/>
                <w:highlight w:val="none"/>
                <w:lang w:val="en-US" w:eastAsia="zh-CN"/>
              </w:rPr>
              <w:t>90</w:t>
            </w:r>
            <w:r>
              <w:rPr>
                <w:rFonts w:hint="eastAsia" w:ascii="宋体" w:hAnsi="宋体" w:eastAsia="宋体" w:cs="宋体"/>
                <w:color w:val="auto"/>
                <w:sz w:val="24"/>
                <w:highlight w:val="none"/>
              </w:rPr>
              <w:t>天</w:t>
            </w:r>
            <w:r>
              <w:rPr>
                <w:rFonts w:hint="eastAsia" w:ascii="宋体" w:hAnsi="宋体" w:eastAsia="宋体" w:cs="宋体"/>
                <w:color w:val="auto"/>
                <w:sz w:val="24"/>
                <w:szCs w:val="24"/>
                <w:highlight w:val="none"/>
                <w:lang w:val="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21"/>
              <w:keepNext w:val="0"/>
              <w:keepLines w:val="0"/>
              <w:pageBreakBefore w:val="0"/>
              <w:widowControl w:val="0"/>
              <w:kinsoku/>
              <w:overflowPunct/>
              <w:topLinePunct w:val="0"/>
              <w:bidi w:val="0"/>
              <w:snapToGrid/>
              <w:spacing w:line="336" w:lineRule="auto"/>
              <w:ind w:left="0" w:leftChars="0" w:right="0" w:right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15</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bidi w:val="0"/>
              <w:spacing w:line="324" w:lineRule="auto"/>
              <w:ind w:firstLine="0" w:firstLineChars="0"/>
              <w:jc w:val="center"/>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询问、质疑</w:t>
            </w:r>
          </w:p>
        </w:tc>
        <w:tc>
          <w:tcPr>
            <w:tcW w:w="6302" w:type="dxa"/>
            <w:tcBorders>
              <w:top w:val="single" w:color="auto" w:sz="6" w:space="0"/>
              <w:left w:val="single" w:color="auto" w:sz="6" w:space="0"/>
              <w:bottom w:val="single" w:color="auto" w:sz="6" w:space="0"/>
            </w:tcBorders>
            <w:noWrap w:val="0"/>
            <w:vAlign w:val="center"/>
          </w:tcPr>
          <w:p>
            <w:pPr>
              <w:pStyle w:val="21"/>
              <w:keepNext w:val="0"/>
              <w:keepLines w:val="0"/>
              <w:pageBreakBefore w:val="0"/>
              <w:widowControl w:val="0"/>
              <w:kinsoku/>
              <w:wordWrap/>
              <w:overflowPunct/>
              <w:topLinePunct w:val="0"/>
              <w:autoSpaceDE w:val="0"/>
              <w:autoSpaceDN w:val="0"/>
              <w:bidi w:val="0"/>
              <w:adjustRightInd w:val="0"/>
              <w:snapToGrid w:val="0"/>
              <w:spacing w:line="336" w:lineRule="auto"/>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1.对磋商文件技术指标、参数、资质要求、评分办法的</w:t>
            </w:r>
            <w:r>
              <w:rPr>
                <w:rFonts w:hint="eastAsia" w:ascii="宋体" w:hAnsi="宋体" w:eastAsia="宋体" w:cs="宋体"/>
                <w:color w:val="auto"/>
                <w:sz w:val="24"/>
                <w:szCs w:val="24"/>
                <w:highlight w:val="none"/>
              </w:rPr>
              <w:t>询问、</w:t>
            </w:r>
            <w:r>
              <w:rPr>
                <w:rFonts w:hint="eastAsia" w:ascii="宋体" w:hAnsi="宋体" w:eastAsia="宋体" w:cs="宋体"/>
                <w:color w:val="auto"/>
                <w:sz w:val="24"/>
                <w:szCs w:val="24"/>
                <w:highlight w:val="none"/>
                <w:lang w:val="zh-CN"/>
              </w:rPr>
              <w:t xml:space="preserve">质疑：                                                            </w:t>
            </w:r>
          </w:p>
          <w:p>
            <w:pPr>
              <w:pStyle w:val="21"/>
              <w:keepNext w:val="0"/>
              <w:keepLines w:val="0"/>
              <w:pageBreakBefore w:val="0"/>
              <w:widowControl w:val="0"/>
              <w:kinsoku/>
              <w:wordWrap/>
              <w:overflowPunct/>
              <w:topLinePunct w:val="0"/>
              <w:autoSpaceDE w:val="0"/>
              <w:autoSpaceDN w:val="0"/>
              <w:bidi w:val="0"/>
              <w:adjustRightInd w:val="0"/>
              <w:snapToGrid w:val="0"/>
              <w:spacing w:line="336" w:lineRule="auto"/>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向采购人提出，并由采购人按相关规定做出答复。</w:t>
            </w:r>
          </w:p>
          <w:p>
            <w:pPr>
              <w:pStyle w:val="21"/>
              <w:keepNext w:val="0"/>
              <w:keepLines w:val="0"/>
              <w:pageBreakBefore w:val="0"/>
              <w:widowControl w:val="0"/>
              <w:kinsoku/>
              <w:wordWrap/>
              <w:overflowPunct/>
              <w:topLinePunct w:val="0"/>
              <w:autoSpaceDE w:val="0"/>
              <w:autoSpaceDN w:val="0"/>
              <w:bidi w:val="0"/>
              <w:adjustRightInd w:val="0"/>
              <w:snapToGrid w:val="0"/>
              <w:spacing w:line="336" w:lineRule="auto"/>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质疑时间：购买磋商文件之日起七个工作日内。</w:t>
            </w:r>
          </w:p>
          <w:p>
            <w:pPr>
              <w:pStyle w:val="21"/>
              <w:keepNext w:val="0"/>
              <w:keepLines w:val="0"/>
              <w:pageBreakBefore w:val="0"/>
              <w:widowControl w:val="0"/>
              <w:kinsoku/>
              <w:wordWrap/>
              <w:overflowPunct/>
              <w:topLinePunct w:val="0"/>
              <w:autoSpaceDE w:val="0"/>
              <w:autoSpaceDN w:val="0"/>
              <w:bidi w:val="0"/>
              <w:adjustRightInd w:val="0"/>
              <w:snapToGrid w:val="0"/>
              <w:spacing w:line="336" w:lineRule="auto"/>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w:t>
            </w:r>
            <w:r>
              <w:rPr>
                <w:rFonts w:hint="eastAsia" w:ascii="宋体" w:hAnsi="宋体" w:eastAsia="宋体" w:cs="宋体"/>
                <w:color w:val="auto"/>
                <w:sz w:val="24"/>
                <w:szCs w:val="24"/>
                <w:highlight w:val="none"/>
              </w:rPr>
              <w:t>刘</w:t>
            </w:r>
            <w:r>
              <w:rPr>
                <w:rFonts w:hint="eastAsia" w:ascii="宋体" w:hAnsi="宋体" w:cs="宋体"/>
                <w:color w:val="auto"/>
                <w:sz w:val="24"/>
                <w:szCs w:val="24"/>
                <w:highlight w:val="none"/>
                <w:lang w:eastAsia="zh-CN"/>
              </w:rPr>
              <w:t>先生</w:t>
            </w:r>
          </w:p>
          <w:p>
            <w:pPr>
              <w:pStyle w:val="21"/>
              <w:keepNext w:val="0"/>
              <w:keepLines w:val="0"/>
              <w:pageBreakBefore w:val="0"/>
              <w:widowControl w:val="0"/>
              <w:kinsoku/>
              <w:wordWrap/>
              <w:overflowPunct/>
              <w:topLinePunct w:val="0"/>
              <w:autoSpaceDE w:val="0"/>
              <w:autoSpaceDN w:val="0"/>
              <w:bidi w:val="0"/>
              <w:adjustRightInd w:val="0"/>
              <w:snapToGrid w:val="0"/>
              <w:spacing w:line="336" w:lineRule="auto"/>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w:t>
            </w:r>
            <w:r>
              <w:rPr>
                <w:rFonts w:hint="eastAsia" w:ascii="宋体" w:hAnsi="宋体" w:cs="宋体"/>
                <w:color w:val="auto"/>
                <w:kern w:val="0"/>
                <w:sz w:val="24"/>
                <w:szCs w:val="24"/>
                <w:highlight w:val="none"/>
                <w:lang w:val="en-US" w:eastAsia="zh-CN" w:bidi="ar"/>
              </w:rPr>
              <w:t>028-27243973</w:t>
            </w:r>
          </w:p>
          <w:p>
            <w:pPr>
              <w:pStyle w:val="21"/>
              <w:keepNext w:val="0"/>
              <w:keepLines w:val="0"/>
              <w:pageBreakBefore w:val="0"/>
              <w:widowControl w:val="0"/>
              <w:kinsoku/>
              <w:wordWrap/>
              <w:overflowPunct/>
              <w:topLinePunct w:val="0"/>
              <w:autoSpaceDE w:val="0"/>
              <w:autoSpaceDN w:val="0"/>
              <w:bidi w:val="0"/>
              <w:adjustRightInd w:val="0"/>
              <w:snapToGrid w:val="0"/>
              <w:spacing w:line="336" w:lineRule="auto"/>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kern w:val="2"/>
                <w:sz w:val="24"/>
                <w:szCs w:val="24"/>
                <w:highlight w:val="none"/>
              </w:rPr>
              <w:t>对采购过程和采购结果的询问、质疑：</w:t>
            </w:r>
          </w:p>
          <w:p>
            <w:pPr>
              <w:pStyle w:val="21"/>
              <w:keepNext w:val="0"/>
              <w:keepLines w:val="0"/>
              <w:pageBreakBefore w:val="0"/>
              <w:widowControl w:val="0"/>
              <w:kinsoku/>
              <w:wordWrap/>
              <w:overflowPunct/>
              <w:topLinePunct w:val="0"/>
              <w:autoSpaceDE w:val="0"/>
              <w:autoSpaceDN w:val="0"/>
              <w:bidi w:val="0"/>
              <w:adjustRightInd w:val="0"/>
              <w:snapToGrid w:val="0"/>
              <w:spacing w:line="336"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向采购代理机构提出，并由采购代理机构按相关规定作出答复。</w:t>
            </w:r>
          </w:p>
          <w:p>
            <w:pPr>
              <w:pStyle w:val="21"/>
              <w:keepNext w:val="0"/>
              <w:keepLines w:val="0"/>
              <w:pageBreakBefore w:val="0"/>
              <w:widowControl w:val="0"/>
              <w:kinsoku/>
              <w:wordWrap/>
              <w:overflowPunct/>
              <w:topLinePunct w:val="0"/>
              <w:autoSpaceDE w:val="0"/>
              <w:autoSpaceDN w:val="0"/>
              <w:bidi w:val="0"/>
              <w:adjustRightInd w:val="0"/>
              <w:snapToGrid w:val="0"/>
              <w:spacing w:line="336"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对采购过程质疑时间为：各采购程序环节结束之日起七个工作日内。</w:t>
            </w:r>
          </w:p>
          <w:p>
            <w:pPr>
              <w:pStyle w:val="21"/>
              <w:keepNext w:val="0"/>
              <w:keepLines w:val="0"/>
              <w:pageBreakBefore w:val="0"/>
              <w:widowControl w:val="0"/>
              <w:kinsoku/>
              <w:wordWrap/>
              <w:overflowPunct/>
              <w:topLinePunct w:val="0"/>
              <w:autoSpaceDE w:val="0"/>
              <w:autoSpaceDN w:val="0"/>
              <w:bidi w:val="0"/>
              <w:adjustRightInd w:val="0"/>
              <w:snapToGrid w:val="0"/>
              <w:spacing w:line="336"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对采购结果提出质疑时间为：中标结果公告期限界满之日起七个工作日内。</w:t>
            </w:r>
          </w:p>
          <w:p>
            <w:pPr>
              <w:pStyle w:val="7"/>
              <w:keepNext w:val="0"/>
              <w:keepLines w:val="0"/>
              <w:pageBreakBefore w:val="0"/>
              <w:widowControl w:val="0"/>
              <w:kinsoku/>
              <w:wordWrap/>
              <w:overflowPunct/>
              <w:topLinePunct w:val="0"/>
              <w:autoSpaceDE/>
              <w:autoSpaceDN/>
              <w:bidi w:val="0"/>
              <w:adjustRightInd/>
              <w:snapToGrid/>
              <w:spacing w:line="372" w:lineRule="auto"/>
              <w:ind w:left="0" w:leftChars="0" w:right="0" w:rightChars="0" w:firstLine="0" w:firstLineChars="0"/>
              <w:textAlignment w:val="auto"/>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联系人：</w:t>
            </w:r>
            <w:r>
              <w:rPr>
                <w:rFonts w:hint="eastAsia" w:ascii="宋体" w:hAnsi="宋体" w:cs="宋体"/>
                <w:bCs/>
                <w:color w:val="auto"/>
                <w:sz w:val="24"/>
                <w:szCs w:val="24"/>
                <w:highlight w:val="none"/>
                <w:lang w:eastAsia="zh-CN"/>
              </w:rPr>
              <w:t>王先生</w:t>
            </w:r>
          </w:p>
          <w:p>
            <w:pPr>
              <w:pStyle w:val="7"/>
              <w:keepNext w:val="0"/>
              <w:keepLines w:val="0"/>
              <w:pageBreakBefore w:val="0"/>
              <w:widowControl w:val="0"/>
              <w:kinsoku/>
              <w:wordWrap/>
              <w:overflowPunct/>
              <w:topLinePunct w:val="0"/>
              <w:autoSpaceDE/>
              <w:autoSpaceDN/>
              <w:bidi w:val="0"/>
              <w:adjustRightInd/>
              <w:snapToGrid/>
              <w:spacing w:line="372" w:lineRule="auto"/>
              <w:ind w:left="0" w:leftChars="0" w:right="0" w:rightChars="0" w:firstLine="0" w:firstLineChars="0"/>
              <w:textAlignment w:val="auto"/>
              <w:outlineLvl w:val="9"/>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联系</w:t>
            </w:r>
            <w:r>
              <w:rPr>
                <w:rFonts w:hint="eastAsia" w:ascii="宋体" w:hAnsi="宋体" w:eastAsia="宋体" w:cs="宋体"/>
                <w:color w:val="auto"/>
                <w:kern w:val="0"/>
                <w:sz w:val="24"/>
                <w:szCs w:val="24"/>
                <w:highlight w:val="none"/>
                <w:lang w:val="en-US" w:eastAsia="zh-CN" w:bidi="ar"/>
              </w:rPr>
              <w:t>电话：028-86981015、15196691603</w:t>
            </w:r>
          </w:p>
          <w:p>
            <w:pPr>
              <w:pStyle w:val="21"/>
              <w:keepNext w:val="0"/>
              <w:keepLines w:val="0"/>
              <w:pageBreakBefore w:val="0"/>
              <w:widowControl w:val="0"/>
              <w:kinsoku/>
              <w:wordWrap/>
              <w:overflowPunct/>
              <w:topLinePunct w:val="0"/>
              <w:autoSpaceDE w:val="0"/>
              <w:autoSpaceDN w:val="0"/>
              <w:bidi w:val="0"/>
              <w:adjustRightInd w:val="0"/>
              <w:snapToGrid w:val="0"/>
              <w:spacing w:line="336" w:lineRule="auto"/>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3.询问、质疑必须以书面形式(原件)提出，以其他形式提出的询问、质疑均不接受和回复。</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21"/>
              <w:keepNext w:val="0"/>
              <w:keepLines w:val="0"/>
              <w:pageBreakBefore w:val="0"/>
              <w:widowControl w:val="0"/>
              <w:kinsoku/>
              <w:overflowPunct/>
              <w:topLinePunct w:val="0"/>
              <w:bidi w:val="0"/>
              <w:snapToGrid/>
              <w:spacing w:line="336" w:lineRule="auto"/>
              <w:ind w:left="0" w:leftChars="0" w:right="0" w:right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16</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bidi w:val="0"/>
              <w:spacing w:line="360" w:lineRule="auto"/>
              <w:ind w:firstLine="0" w:firstLineChars="0"/>
              <w:jc w:val="center"/>
              <w:textAlignment w:val="auto"/>
              <w:outlineLvl w:val="9"/>
              <w:rPr>
                <w:rFonts w:hint="eastAsia" w:ascii="宋体" w:hAnsi="宋体" w:eastAsia="宋体" w:cs="宋体"/>
                <w:b/>
                <w:color w:val="auto"/>
                <w:kern w:val="2"/>
                <w:sz w:val="24"/>
                <w:szCs w:val="24"/>
                <w:highlight w:val="none"/>
              </w:rPr>
            </w:pPr>
            <w:r>
              <w:rPr>
                <w:rFonts w:hint="eastAsia" w:ascii="宋体" w:hAnsi="宋体" w:eastAsia="宋体" w:cs="宋体"/>
                <w:color w:val="auto"/>
                <w:sz w:val="24"/>
                <w:szCs w:val="24"/>
                <w:highlight w:val="none"/>
              </w:rPr>
              <w:t>投诉</w:t>
            </w:r>
          </w:p>
        </w:tc>
        <w:tc>
          <w:tcPr>
            <w:tcW w:w="6302" w:type="dxa"/>
            <w:tcBorders>
              <w:top w:val="single" w:color="auto" w:sz="6" w:space="0"/>
              <w:left w:val="single" w:color="auto" w:sz="6" w:space="0"/>
              <w:bottom w:val="single" w:color="auto" w:sz="6" w:space="0"/>
            </w:tcBorders>
            <w:noWrap w:val="0"/>
            <w:vAlign w:val="center"/>
          </w:tcPr>
          <w:p>
            <w:pPr>
              <w:pStyle w:val="21"/>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投诉受理单位：本项目同级财政部门，即简阳市财政局。</w:t>
            </w:r>
          </w:p>
          <w:p>
            <w:pPr>
              <w:pStyle w:val="21"/>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联系电话：028-27224330。</w:t>
            </w:r>
          </w:p>
          <w:p>
            <w:pPr>
              <w:pStyle w:val="21"/>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联系地址：简阳市人民路。</w:t>
            </w:r>
          </w:p>
          <w:p>
            <w:pPr>
              <w:pStyle w:val="21"/>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邮政编码：641400。</w:t>
            </w:r>
          </w:p>
          <w:p>
            <w:pPr>
              <w:pStyle w:val="21"/>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highlight w:val="none"/>
                <w:lang w:val="zh-CN"/>
              </w:rPr>
              <w:t>注：根据《中华人民共和国政府采购法实施条例》的规定，供应商投诉事项不得超出已质疑事项的范围。</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21"/>
              <w:keepNext w:val="0"/>
              <w:keepLines w:val="0"/>
              <w:pageBreakBefore w:val="0"/>
              <w:widowControl w:val="0"/>
              <w:kinsoku/>
              <w:overflowPunct/>
              <w:topLinePunct w:val="0"/>
              <w:bidi w:val="0"/>
              <w:snapToGrid/>
              <w:spacing w:line="336" w:lineRule="auto"/>
              <w:ind w:left="0" w:leftChars="0" w:right="0" w:right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17</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pStyle w:val="8"/>
              <w:keepNext w:val="0"/>
              <w:keepLines w:val="0"/>
              <w:pageBreakBefore w:val="0"/>
              <w:kinsoku/>
              <w:wordWrap/>
              <w:overflowPunct/>
              <w:topLinePunct w:val="0"/>
              <w:bidi w:val="0"/>
              <w:spacing w:line="360" w:lineRule="auto"/>
              <w:ind w:left="0" w:lef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eastAsia="zh-CN"/>
              </w:rPr>
              <w:t>评审情况的公告</w:t>
            </w:r>
          </w:p>
        </w:tc>
        <w:tc>
          <w:tcPr>
            <w:tcW w:w="6302" w:type="dxa"/>
            <w:tcBorders>
              <w:top w:val="single" w:color="auto" w:sz="6" w:space="0"/>
              <w:left w:val="single" w:color="auto" w:sz="6" w:space="0"/>
              <w:bottom w:val="single" w:color="auto" w:sz="6" w:space="0"/>
            </w:tcBorders>
            <w:noWrap w:val="0"/>
            <w:vAlign w:val="center"/>
          </w:tcPr>
          <w:p>
            <w:pPr>
              <w:pStyle w:val="21"/>
              <w:keepNext w:val="0"/>
              <w:keepLines w:val="0"/>
              <w:pageBreakBefore w:val="0"/>
              <w:numPr>
                <w:ilvl w:val="0"/>
                <w:numId w:val="0"/>
              </w:numPr>
              <w:kinsoku/>
              <w:wordWrap/>
              <w:overflowPunct/>
              <w:topLinePunct w:val="0"/>
              <w:bidi w:val="0"/>
              <w:snapToGrid w:val="0"/>
              <w:spacing w:line="360" w:lineRule="auto"/>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1.所有供应商响应文件资格性、符合性审查情况，采用综合评分法时的总得分和分项汇总得分情况、评审结果等将在“四川政府采购网”上采购结果公告附件中予以公告。</w:t>
            </w:r>
          </w:p>
          <w:p>
            <w:pPr>
              <w:pStyle w:val="21"/>
              <w:keepNext w:val="0"/>
              <w:keepLines w:val="0"/>
              <w:pageBreakBefore w:val="0"/>
              <w:numPr>
                <w:ilvl w:val="0"/>
                <w:numId w:val="0"/>
              </w:numPr>
              <w:kinsoku/>
              <w:wordWrap/>
              <w:overflowPunct/>
              <w:topLinePunct w:val="0"/>
              <w:bidi w:val="0"/>
              <w:snapToGrid w:val="0"/>
              <w:spacing w:line="360" w:lineRule="auto"/>
              <w:ind w:left="0" w:leftChars="0" w:firstLine="0" w:firstLineChars="0"/>
              <w:textAlignment w:val="auto"/>
              <w:outlineLvl w:val="9"/>
              <w:rPr>
                <w:rFonts w:hint="eastAsia" w:ascii="宋体" w:hAnsi="宋体" w:eastAsia="宋体" w:cs="宋体"/>
                <w:color w:val="auto"/>
                <w:highlight w:val="none"/>
                <w:lang w:val="zh-CN"/>
              </w:rPr>
            </w:pPr>
            <w:r>
              <w:rPr>
                <w:rFonts w:hint="eastAsia" w:ascii="宋体" w:hAnsi="宋体" w:eastAsia="宋体" w:cs="宋体"/>
                <w:color w:val="auto"/>
                <w:sz w:val="24"/>
                <w:szCs w:val="24"/>
                <w:highlight w:val="none"/>
                <w:lang w:val="en-US" w:eastAsia="zh-CN"/>
              </w:rPr>
              <w:t>2.根据《中华人民共和国政府采购法实施条例》第四十三条的规定，公告内容应当包括主要中标或者成交标的名称、规格型号、数量、单价、服务要求以及评审专家名单。供应商须将响应文件中涉及商业秘密和知识产权的内容进行标注和说明，若未进行标注和说明的，视为全部内容均可公布，采购人或者采购代理机构对此不承担任何责任。</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21"/>
              <w:keepNext w:val="0"/>
              <w:keepLines w:val="0"/>
              <w:pageBreakBefore w:val="0"/>
              <w:widowControl w:val="0"/>
              <w:kinsoku/>
              <w:overflowPunct/>
              <w:topLinePunct w:val="0"/>
              <w:bidi w:val="0"/>
              <w:snapToGrid/>
              <w:spacing w:line="336" w:lineRule="auto"/>
              <w:ind w:left="0" w:leftChars="0" w:right="0" w:right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18</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pStyle w:val="21"/>
              <w:keepNext w:val="0"/>
              <w:keepLines w:val="0"/>
              <w:pageBreakBefore w:val="0"/>
              <w:kinsoku/>
              <w:wordWrap/>
              <w:overflowPunct/>
              <w:topLinePunct w:val="0"/>
              <w:bidi w:val="0"/>
              <w:snapToGrid w:val="0"/>
              <w:spacing w:line="324" w:lineRule="auto"/>
              <w:jc w:val="center"/>
              <w:textAlignment w:val="auto"/>
              <w:outlineLvl w:val="9"/>
              <w:rPr>
                <w:rFonts w:hint="eastAsia" w:ascii="宋体" w:hAnsi="宋体" w:eastAsia="宋体" w:cs="宋体"/>
                <w:b/>
                <w:color w:val="auto"/>
                <w:kern w:val="2"/>
                <w:sz w:val="24"/>
                <w:szCs w:val="24"/>
                <w:highlight w:val="none"/>
              </w:rPr>
            </w:pPr>
            <w:r>
              <w:rPr>
                <w:rFonts w:hint="eastAsia" w:ascii="宋体" w:hAnsi="宋体" w:eastAsia="宋体" w:cs="宋体"/>
                <w:color w:val="auto"/>
                <w:sz w:val="24"/>
                <w:szCs w:val="24"/>
                <w:highlight w:val="none"/>
                <w:lang w:val="zh-CN"/>
              </w:rPr>
              <w:t>履约保证金</w:t>
            </w:r>
          </w:p>
        </w:tc>
        <w:tc>
          <w:tcPr>
            <w:tcW w:w="6302" w:type="dxa"/>
            <w:tcBorders>
              <w:top w:val="single" w:color="auto" w:sz="6" w:space="0"/>
              <w:left w:val="single" w:color="auto" w:sz="6" w:space="0"/>
              <w:bottom w:val="single" w:color="auto" w:sz="6" w:space="0"/>
            </w:tcBorders>
            <w:noWrap w:val="0"/>
            <w:vAlign w:val="center"/>
          </w:tcPr>
          <w:p>
            <w:pPr>
              <w:pStyle w:val="23"/>
              <w:keepNext w:val="0"/>
              <w:keepLines w:val="0"/>
              <w:pageBreakBefore w:val="0"/>
              <w:widowControl w:val="0"/>
              <w:kinsoku/>
              <w:wordWrap/>
              <w:overflowPunct/>
              <w:topLinePunct w:val="0"/>
              <w:bidi w:val="0"/>
              <w:snapToGrid w:val="0"/>
              <w:spacing w:line="336" w:lineRule="auto"/>
              <w:jc w:val="lef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b w:val="0"/>
                <w:bCs w:val="0"/>
                <w:color w:val="auto"/>
                <w:sz w:val="24"/>
                <w:szCs w:val="24"/>
                <w:highlight w:val="none"/>
                <w:lang w:val="en-US" w:eastAsia="zh-CN"/>
              </w:rPr>
              <w:t>本项目不涉及。</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69" w:hRule="atLeast"/>
          <w:jc w:val="center"/>
        </w:trPr>
        <w:tc>
          <w:tcPr>
            <w:tcW w:w="710" w:type="dxa"/>
            <w:tcBorders>
              <w:top w:val="single" w:color="auto" w:sz="6" w:space="0"/>
              <w:bottom w:val="single" w:color="auto" w:sz="6" w:space="0"/>
              <w:right w:val="single" w:color="auto" w:sz="6" w:space="0"/>
            </w:tcBorders>
            <w:noWrap w:val="0"/>
            <w:vAlign w:val="center"/>
          </w:tcPr>
          <w:p>
            <w:pPr>
              <w:pStyle w:val="21"/>
              <w:keepNext w:val="0"/>
              <w:keepLines w:val="0"/>
              <w:pageBreakBefore w:val="0"/>
              <w:widowControl w:val="0"/>
              <w:kinsoku/>
              <w:overflowPunct/>
              <w:topLinePunct w:val="0"/>
              <w:bidi w:val="0"/>
              <w:snapToGrid/>
              <w:spacing w:line="336" w:lineRule="auto"/>
              <w:ind w:left="0" w:leftChars="0" w:right="0" w:right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19</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bidi w:val="0"/>
              <w:spacing w:line="360" w:lineRule="auto"/>
              <w:ind w:firstLine="0" w:firstLineChars="0"/>
              <w:jc w:val="center"/>
              <w:textAlignment w:val="auto"/>
              <w:outlineLvl w:val="9"/>
              <w:rPr>
                <w:rFonts w:hint="eastAsia" w:ascii="宋体" w:hAnsi="宋体" w:eastAsia="宋体" w:cs="宋体"/>
                <w:b/>
                <w:color w:val="auto"/>
                <w:kern w:val="2"/>
                <w:sz w:val="24"/>
                <w:szCs w:val="24"/>
                <w:highlight w:val="none"/>
              </w:rPr>
            </w:pPr>
            <w:r>
              <w:rPr>
                <w:rFonts w:hint="eastAsia" w:ascii="宋体" w:hAnsi="宋体" w:eastAsia="宋体" w:cs="宋体"/>
                <w:color w:val="auto"/>
                <w:sz w:val="24"/>
                <w:szCs w:val="24"/>
                <w:highlight w:val="none"/>
              </w:rPr>
              <w:t>招标代理服务费（实质性要求）</w:t>
            </w:r>
          </w:p>
        </w:tc>
        <w:tc>
          <w:tcPr>
            <w:tcW w:w="6302" w:type="dxa"/>
            <w:tcBorders>
              <w:top w:val="single" w:color="auto" w:sz="6" w:space="0"/>
              <w:left w:val="single" w:color="auto" w:sz="6" w:space="0"/>
              <w:bottom w:val="single" w:color="auto" w:sz="6" w:space="0"/>
            </w:tcBorders>
            <w:noWrap w:val="0"/>
            <w:vAlign w:val="center"/>
          </w:tcPr>
          <w:p>
            <w:pPr>
              <w:wordWrap w:val="0"/>
              <w:spacing w:line="360" w:lineRule="auto"/>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w:t>
            </w:r>
            <w:r>
              <w:rPr>
                <w:rFonts w:hint="eastAsia" w:ascii="宋体" w:hAnsi="宋体" w:cs="宋体"/>
                <w:kern w:val="0"/>
                <w:sz w:val="24"/>
                <w:szCs w:val="24"/>
                <w:lang w:val="en-US" w:eastAsia="zh-CN" w:bidi="ar-SA"/>
              </w:rPr>
              <w:t>采购预算：</w:t>
            </w:r>
            <w:r>
              <w:rPr>
                <w:rFonts w:hint="eastAsia" w:ascii="宋体" w:hAnsi="宋体" w:eastAsia="宋体" w:cs="宋体"/>
                <w:color w:val="auto"/>
                <w:sz w:val="24"/>
                <w:szCs w:val="24"/>
                <w:highlight w:val="none"/>
              </w:rPr>
              <w:t>1632600.00元（壹佰陆拾叁万贰仟陆佰元整）</w:t>
            </w:r>
          </w:p>
          <w:p>
            <w:pPr>
              <w:wordWrap w:val="0"/>
              <w:spacing w:line="360" w:lineRule="auto"/>
              <w:jc w:val="left"/>
              <w:rPr>
                <w:rFonts w:hint="eastAsia" w:ascii="宋体" w:hAnsi="宋体" w:eastAsia="宋体" w:cs="宋体"/>
                <w:kern w:val="0"/>
                <w:sz w:val="24"/>
                <w:szCs w:val="24"/>
                <w:lang w:val="zh-CN" w:eastAsia="zh-CN" w:bidi="ar-SA"/>
              </w:rPr>
            </w:pPr>
            <w:r>
              <w:rPr>
                <w:rFonts w:hint="eastAsia" w:ascii="宋体" w:hAnsi="宋体" w:cs="宋体"/>
                <w:kern w:val="0"/>
                <w:sz w:val="24"/>
                <w:szCs w:val="24"/>
                <w:lang w:val="en-US" w:eastAsia="zh-CN" w:bidi="ar-SA"/>
              </w:rPr>
              <w:t>2</w:t>
            </w:r>
            <w:r>
              <w:rPr>
                <w:rFonts w:hint="eastAsia" w:ascii="宋体" w:hAnsi="宋体" w:eastAsia="宋体" w:cs="宋体"/>
                <w:kern w:val="0"/>
                <w:sz w:val="24"/>
                <w:szCs w:val="24"/>
                <w:lang w:val="zh-CN" w:eastAsia="zh-CN" w:bidi="ar-SA"/>
              </w:rPr>
              <w:t>.</w:t>
            </w:r>
            <w:r>
              <w:rPr>
                <w:rFonts w:hint="eastAsia" w:ascii="宋体" w:hAnsi="宋体" w:eastAsia="宋体" w:cs="宋体"/>
                <w:kern w:val="0"/>
                <w:sz w:val="24"/>
                <w:szCs w:val="24"/>
                <w:lang w:val="en-US" w:eastAsia="zh-CN" w:bidi="ar-SA"/>
              </w:rPr>
              <w:t>本</w:t>
            </w:r>
            <w:r>
              <w:rPr>
                <w:rFonts w:hint="eastAsia" w:ascii="宋体" w:hAnsi="宋体" w:cs="宋体"/>
                <w:kern w:val="0"/>
                <w:sz w:val="24"/>
                <w:szCs w:val="24"/>
                <w:lang w:val="en-US" w:eastAsia="zh-CN" w:bidi="ar-SA"/>
              </w:rPr>
              <w:t>磋商</w:t>
            </w:r>
            <w:r>
              <w:rPr>
                <w:rFonts w:hint="eastAsia" w:ascii="宋体" w:hAnsi="宋体" w:eastAsia="宋体" w:cs="宋体"/>
                <w:kern w:val="0"/>
                <w:sz w:val="24"/>
                <w:szCs w:val="24"/>
                <w:lang w:val="en-US" w:eastAsia="zh-CN" w:bidi="ar-SA"/>
              </w:rPr>
              <w:t>文件约定，招标代理服务费</w:t>
            </w:r>
            <w:r>
              <w:rPr>
                <w:rFonts w:hint="eastAsia" w:ascii="宋体" w:hAnsi="宋体" w:cs="宋体"/>
                <w:kern w:val="0"/>
                <w:sz w:val="24"/>
                <w:szCs w:val="24"/>
                <w:lang w:val="en-US" w:eastAsia="zh-CN" w:bidi="ar-SA"/>
              </w:rPr>
              <w:t>由成交供应商</w:t>
            </w:r>
            <w:r>
              <w:rPr>
                <w:rFonts w:hint="eastAsia" w:ascii="宋体" w:hAnsi="宋体" w:eastAsia="宋体" w:cs="宋体"/>
                <w:kern w:val="0"/>
                <w:sz w:val="24"/>
                <w:szCs w:val="24"/>
                <w:lang w:val="en-US" w:eastAsia="zh-CN" w:bidi="ar-SA"/>
              </w:rPr>
              <w:t>向采购代理机构支付。采购代理机构将参照“国家计委关于印发《招标代理服务收费管理暂行办法的通知》（计价格[2002]1980号）” 的规定采用差额定率累进计费方式（100万以下（含100万）收费比例为1.5%，100万至500万（含500万）收费比例为1.1%），</w:t>
            </w:r>
            <w:r>
              <w:rPr>
                <w:rFonts w:hint="eastAsia" w:ascii="宋体" w:hAnsi="宋体" w:cs="宋体"/>
                <w:kern w:val="0"/>
                <w:sz w:val="24"/>
                <w:szCs w:val="24"/>
                <w:lang w:val="en-US" w:eastAsia="zh-CN" w:bidi="ar-SA"/>
              </w:rPr>
              <w:t>下浮20%</w:t>
            </w:r>
            <w:r>
              <w:rPr>
                <w:rFonts w:hint="eastAsia" w:ascii="宋体" w:hAnsi="宋体" w:eastAsia="宋体" w:cs="宋体"/>
                <w:kern w:val="0"/>
                <w:sz w:val="24"/>
                <w:szCs w:val="24"/>
                <w:lang w:val="en-US" w:eastAsia="zh-CN" w:bidi="ar-SA"/>
              </w:rPr>
              <w:t>向</w:t>
            </w:r>
            <w:r>
              <w:rPr>
                <w:rFonts w:hint="eastAsia" w:ascii="宋体" w:hAnsi="宋体" w:cs="宋体"/>
                <w:kern w:val="0"/>
                <w:sz w:val="24"/>
                <w:szCs w:val="24"/>
                <w:lang w:val="en-US" w:eastAsia="zh-CN" w:bidi="ar-SA"/>
              </w:rPr>
              <w:t>成交供应商</w:t>
            </w:r>
            <w:r>
              <w:rPr>
                <w:rFonts w:hint="eastAsia" w:ascii="宋体" w:hAnsi="宋体" w:eastAsia="宋体" w:cs="宋体"/>
                <w:kern w:val="0"/>
                <w:sz w:val="24"/>
                <w:szCs w:val="24"/>
                <w:lang w:val="en-US" w:eastAsia="zh-CN" w:bidi="ar-SA"/>
              </w:rPr>
              <w:t>收取代理服务费。</w:t>
            </w:r>
          </w:p>
          <w:p>
            <w:pPr>
              <w:wordWrap w:val="0"/>
              <w:spacing w:line="360" w:lineRule="auto"/>
              <w:jc w:val="left"/>
              <w:rPr>
                <w:rFonts w:hint="eastAsia" w:ascii="宋体" w:hAnsi="宋体" w:eastAsia="宋体" w:cs="宋体"/>
                <w:kern w:val="0"/>
                <w:sz w:val="24"/>
                <w:szCs w:val="24"/>
                <w:lang w:val="zh-CN" w:eastAsia="zh-CN" w:bidi="ar-SA"/>
              </w:rPr>
            </w:pPr>
            <w:r>
              <w:rPr>
                <w:rFonts w:hint="eastAsia" w:ascii="宋体" w:hAnsi="宋体" w:cs="宋体"/>
                <w:kern w:val="0"/>
                <w:sz w:val="24"/>
                <w:szCs w:val="24"/>
                <w:lang w:val="en-US" w:eastAsia="zh-CN" w:bidi="ar-SA"/>
              </w:rPr>
              <w:t>3</w:t>
            </w:r>
            <w:r>
              <w:rPr>
                <w:rFonts w:hint="eastAsia" w:ascii="宋体" w:hAnsi="宋体" w:eastAsia="宋体" w:cs="宋体"/>
                <w:kern w:val="0"/>
                <w:sz w:val="24"/>
                <w:szCs w:val="24"/>
                <w:lang w:val="zh-CN" w:eastAsia="zh-CN" w:bidi="ar-SA"/>
              </w:rPr>
              <w:t>.</w:t>
            </w:r>
            <w:r>
              <w:rPr>
                <w:rFonts w:hint="eastAsia" w:ascii="宋体" w:hAnsi="宋体" w:cs="宋体"/>
                <w:kern w:val="0"/>
                <w:sz w:val="24"/>
                <w:szCs w:val="24"/>
                <w:lang w:val="zh-CN" w:eastAsia="zh-CN" w:bidi="ar-SA"/>
              </w:rPr>
              <w:t>成交供应商</w:t>
            </w:r>
            <w:r>
              <w:rPr>
                <w:rFonts w:hint="eastAsia" w:ascii="宋体" w:hAnsi="宋体" w:eastAsia="宋体" w:cs="宋体"/>
                <w:kern w:val="0"/>
                <w:sz w:val="24"/>
                <w:szCs w:val="24"/>
                <w:lang w:val="zh-CN" w:eastAsia="zh-CN" w:bidi="ar-SA"/>
              </w:rPr>
              <w:t>在领取</w:t>
            </w:r>
            <w:r>
              <w:rPr>
                <w:rFonts w:hint="eastAsia" w:ascii="宋体" w:hAnsi="宋体" w:cs="宋体"/>
                <w:kern w:val="0"/>
                <w:sz w:val="24"/>
                <w:szCs w:val="24"/>
                <w:lang w:val="zh-CN" w:eastAsia="zh-CN" w:bidi="ar-SA"/>
              </w:rPr>
              <w:t>成交</w:t>
            </w:r>
            <w:r>
              <w:rPr>
                <w:rFonts w:hint="eastAsia" w:ascii="宋体" w:hAnsi="宋体" w:eastAsia="宋体" w:cs="宋体"/>
                <w:kern w:val="0"/>
                <w:sz w:val="24"/>
                <w:szCs w:val="24"/>
                <w:lang w:val="zh-CN" w:eastAsia="zh-CN" w:bidi="ar-SA"/>
              </w:rPr>
              <w:t>通知书前应按规定缴纳招标代理服务费，可使用银行转账或采购代理机构认可的方式支付。</w:t>
            </w:r>
          </w:p>
          <w:p>
            <w:pPr>
              <w:pStyle w:val="21"/>
              <w:spacing w:line="360" w:lineRule="auto"/>
              <w:rPr>
                <w:rFonts w:hint="eastAsia" w:ascii="宋体" w:hAnsi="宋体" w:eastAsia="宋体" w:cs="宋体"/>
                <w:kern w:val="0"/>
                <w:sz w:val="24"/>
                <w:szCs w:val="24"/>
                <w:lang w:val="zh-CN" w:eastAsia="zh-CN" w:bidi="ar-SA"/>
              </w:rPr>
            </w:pPr>
            <w:r>
              <w:rPr>
                <w:rFonts w:hint="eastAsia" w:cs="宋体"/>
                <w:kern w:val="0"/>
                <w:sz w:val="24"/>
                <w:szCs w:val="24"/>
                <w:lang w:val="en-US" w:eastAsia="zh-CN" w:bidi="ar-SA"/>
              </w:rPr>
              <w:t>4</w:t>
            </w:r>
            <w:r>
              <w:rPr>
                <w:rFonts w:hint="eastAsia" w:ascii="宋体" w:hAnsi="宋体" w:eastAsia="宋体" w:cs="宋体"/>
                <w:kern w:val="0"/>
                <w:sz w:val="24"/>
                <w:szCs w:val="24"/>
                <w:lang w:val="zh-CN" w:eastAsia="zh-CN" w:bidi="ar-SA"/>
              </w:rPr>
              <w:t>.收款单位：四川东来印象招标代理有限公司</w:t>
            </w:r>
          </w:p>
          <w:p>
            <w:pPr>
              <w:spacing w:line="360" w:lineRule="auto"/>
              <w:jc w:val="left"/>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开户银行：成都银行股份有限公司成都简阳支行</w:t>
            </w:r>
          </w:p>
          <w:p>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kern w:val="0"/>
                <w:sz w:val="24"/>
                <w:szCs w:val="24"/>
                <w:lang w:val="zh-CN" w:eastAsia="zh-CN" w:bidi="ar-SA"/>
              </w:rPr>
              <w:t>帐    号：1001300000624150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21"/>
              <w:keepNext w:val="0"/>
              <w:keepLines w:val="0"/>
              <w:pageBreakBefore w:val="0"/>
              <w:widowControl w:val="0"/>
              <w:kinsoku/>
              <w:overflowPunct/>
              <w:topLinePunct w:val="0"/>
              <w:bidi w:val="0"/>
              <w:snapToGrid/>
              <w:spacing w:line="336" w:lineRule="auto"/>
              <w:ind w:left="0" w:leftChars="0" w:right="0" w:right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20</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bidi w:val="0"/>
              <w:spacing w:line="324" w:lineRule="auto"/>
              <w:ind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通知书领取</w:t>
            </w:r>
          </w:p>
        </w:tc>
        <w:tc>
          <w:tcPr>
            <w:tcW w:w="6302" w:type="dxa"/>
            <w:tcBorders>
              <w:top w:val="single" w:color="auto" w:sz="6" w:space="0"/>
              <w:left w:val="single" w:color="auto" w:sz="6" w:space="0"/>
              <w:bottom w:val="single" w:color="auto" w:sz="6" w:space="0"/>
            </w:tcBorders>
            <w:noWrap w:val="0"/>
            <w:vAlign w:val="center"/>
          </w:tcPr>
          <w:p>
            <w:pPr>
              <w:pStyle w:val="21"/>
              <w:keepNext w:val="0"/>
              <w:keepLines w:val="0"/>
              <w:pageBreakBefore w:val="0"/>
              <w:kinsoku/>
              <w:wordWrap/>
              <w:overflowPunct/>
              <w:topLinePunct w:val="0"/>
              <w:bidi w:val="0"/>
              <w:snapToGrid w:val="0"/>
              <w:spacing w:line="324" w:lineRule="auto"/>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接采购代理机构通知后，成交供应商应凭有效身份证明证件及招标代理服务费交纳凭证到</w:t>
            </w:r>
            <w:r>
              <w:rPr>
                <w:rFonts w:hint="eastAsia" w:ascii="宋体" w:hAnsi="宋体" w:eastAsia="宋体" w:cs="宋体"/>
                <w:color w:val="auto"/>
                <w:sz w:val="24"/>
                <w:highlight w:val="none"/>
                <w:u w:val="none"/>
                <w:lang w:eastAsia="zh-CN"/>
              </w:rPr>
              <w:t>四川东来印象招标代理有限公司</w:t>
            </w:r>
            <w:r>
              <w:rPr>
                <w:rFonts w:hint="eastAsia" w:ascii="宋体" w:hAnsi="宋体" w:eastAsia="宋体" w:cs="宋体"/>
                <w:color w:val="auto"/>
                <w:sz w:val="24"/>
                <w:szCs w:val="24"/>
                <w:highlight w:val="none"/>
                <w:lang w:val="zh-CN"/>
              </w:rPr>
              <w:t>领取成交通知书。</w:t>
            </w:r>
          </w:p>
          <w:p>
            <w:pPr>
              <w:pStyle w:val="21"/>
              <w:keepNext w:val="0"/>
              <w:keepLines w:val="0"/>
              <w:pageBreakBefore w:val="0"/>
              <w:kinsoku/>
              <w:wordWrap/>
              <w:overflowPunct/>
              <w:topLinePunct w:val="0"/>
              <w:bidi w:val="0"/>
              <w:snapToGrid w:val="0"/>
              <w:spacing w:line="324" w:lineRule="auto"/>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联系人：</w:t>
            </w:r>
            <w:r>
              <w:rPr>
                <w:rFonts w:hint="eastAsia" w:cs="宋体"/>
                <w:color w:val="auto"/>
                <w:sz w:val="24"/>
                <w:szCs w:val="24"/>
                <w:highlight w:val="none"/>
                <w:lang w:val="zh-CN"/>
              </w:rPr>
              <w:t>王先生。</w:t>
            </w:r>
          </w:p>
          <w:p>
            <w:pPr>
              <w:pStyle w:val="21"/>
              <w:keepNext w:val="0"/>
              <w:keepLines w:val="0"/>
              <w:pageBreakBefore w:val="0"/>
              <w:kinsoku/>
              <w:wordWrap/>
              <w:overflowPunct/>
              <w:topLinePunct w:val="0"/>
              <w:bidi w:val="0"/>
              <w:snapToGrid w:val="0"/>
              <w:spacing w:line="324" w:lineRule="auto"/>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联系电话：</w:t>
            </w:r>
            <w:r>
              <w:rPr>
                <w:rFonts w:hint="eastAsia" w:ascii="宋体" w:hAnsi="宋体" w:eastAsia="宋体" w:cs="宋体"/>
                <w:color w:val="auto"/>
                <w:kern w:val="0"/>
                <w:sz w:val="24"/>
                <w:szCs w:val="24"/>
                <w:highlight w:val="none"/>
                <w:lang w:val="en-US" w:eastAsia="zh-CN" w:bidi="ar"/>
              </w:rPr>
              <w:t>028-86981015、15196691603</w:t>
            </w:r>
            <w:r>
              <w:rPr>
                <w:rFonts w:hint="eastAsia" w:cs="宋体"/>
                <w:color w:val="auto"/>
                <w:kern w:val="0"/>
                <w:sz w:val="24"/>
                <w:szCs w:val="24"/>
                <w:highlight w:val="none"/>
                <w:lang w:val="en-US" w:eastAsia="zh-CN" w:bidi="ar"/>
              </w:rPr>
              <w:t>。</w:t>
            </w:r>
          </w:p>
          <w:p>
            <w:pPr>
              <w:pStyle w:val="22"/>
              <w:keepNext w:val="0"/>
              <w:keepLines w:val="0"/>
              <w:pageBreakBefore w:val="0"/>
              <w:widowControl w:val="0"/>
              <w:kinsoku/>
              <w:wordWrap/>
              <w:overflowPunct/>
              <w:topLinePunct w:val="0"/>
              <w:autoSpaceDE/>
              <w:autoSpaceDN/>
              <w:bidi w:val="0"/>
              <w:adjustRightInd/>
              <w:snapToGrid/>
              <w:spacing w:line="324" w:lineRule="auto"/>
              <w:ind w:left="0" w:leftChars="0" w:right="0" w:rightChars="0" w:firstLine="0" w:firstLineChars="0"/>
              <w:textAlignment w:val="auto"/>
              <w:outlineLvl w:val="9"/>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zh-CN"/>
              </w:rPr>
              <w:t>地址：</w:t>
            </w:r>
            <w:r>
              <w:rPr>
                <w:rFonts w:hint="eastAsia" w:ascii="宋体" w:hAnsi="宋体" w:eastAsia="宋体" w:cs="宋体"/>
                <w:b w:val="0"/>
                <w:bCs/>
                <w:color w:val="auto"/>
                <w:kern w:val="2"/>
                <w:sz w:val="24"/>
                <w:szCs w:val="24"/>
                <w:highlight w:val="none"/>
                <w:lang w:val="en-US" w:eastAsia="zh-CN"/>
              </w:rPr>
              <w:t>成都市锦江区驿都西路316号绿地468中心锦峰</w:t>
            </w:r>
            <w:r>
              <w:rPr>
                <w:rFonts w:hint="eastAsia" w:ascii="宋体" w:hAnsi="宋体" w:cs="宋体"/>
                <w:b w:val="0"/>
                <w:bCs/>
                <w:color w:val="auto"/>
                <w:kern w:val="2"/>
                <w:sz w:val="24"/>
                <w:szCs w:val="24"/>
                <w:highlight w:val="none"/>
                <w:lang w:val="en-US" w:eastAsia="zh-CN"/>
              </w:rPr>
              <w:t>15</w:t>
            </w:r>
            <w:r>
              <w:rPr>
                <w:rFonts w:hint="eastAsia" w:ascii="宋体" w:hAnsi="宋体" w:eastAsia="宋体" w:cs="宋体"/>
                <w:b w:val="0"/>
                <w:bCs/>
                <w:color w:val="auto"/>
                <w:kern w:val="2"/>
                <w:sz w:val="24"/>
                <w:szCs w:val="24"/>
                <w:highlight w:val="none"/>
                <w:lang w:val="en-US" w:eastAsia="zh-CN"/>
              </w:rPr>
              <w:t>07</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highlight w:val="none"/>
                <w:u w:val="none"/>
                <w:lang w:eastAsia="zh-CN"/>
              </w:rPr>
              <w:t>四川东来印象招标代理有限公司</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bidi w:val="0"/>
              <w:spacing w:line="324" w:lineRule="auto"/>
              <w:ind w:firstLine="0" w:firstLineChars="0"/>
              <w:jc w:val="center"/>
              <w:textAlignment w:val="auto"/>
              <w:outlineLvl w:val="9"/>
              <w:rPr>
                <w:rFonts w:hint="eastAsia" w:ascii="宋体" w:hAnsi="宋体" w:eastAsia="宋体" w:cs="宋体"/>
                <w:color w:val="auto"/>
                <w:sz w:val="24"/>
                <w:szCs w:val="24"/>
                <w:highlight w:val="none"/>
                <w:lang w:val="en-US" w:eastAsia="zh-CN"/>
              </w:rPr>
            </w:pPr>
          </w:p>
        </w:tc>
        <w:tc>
          <w:tcPr>
            <w:tcW w:w="2208" w:type="dxa"/>
            <w:tcBorders>
              <w:top w:val="single" w:color="auto" w:sz="6" w:space="0"/>
              <w:left w:val="single" w:color="auto" w:sz="6" w:space="0"/>
              <w:bottom w:val="single" w:color="auto" w:sz="6" w:space="0"/>
              <w:right w:val="single" w:color="auto" w:sz="6" w:space="0"/>
            </w:tcBorders>
            <w:noWrap w:val="0"/>
            <w:vAlign w:val="center"/>
          </w:tcPr>
          <w:p>
            <w:pPr>
              <w:pStyle w:val="21"/>
              <w:keepNext w:val="0"/>
              <w:keepLines w:val="0"/>
              <w:pageBreakBefore w:val="0"/>
              <w:kinsoku/>
              <w:wordWrap/>
              <w:overflowPunct/>
              <w:topLinePunct w:val="0"/>
              <w:bidi w:val="0"/>
              <w:snapToGrid w:val="0"/>
              <w:spacing w:line="324" w:lineRule="auto"/>
              <w:jc w:val="center"/>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政府采购合同</w:t>
            </w:r>
          </w:p>
          <w:p>
            <w:pPr>
              <w:pStyle w:val="21"/>
              <w:keepNext w:val="0"/>
              <w:keepLines w:val="0"/>
              <w:pageBreakBefore w:val="0"/>
              <w:kinsoku/>
              <w:wordWrap/>
              <w:overflowPunct/>
              <w:topLinePunct w:val="0"/>
              <w:bidi w:val="0"/>
              <w:snapToGrid w:val="0"/>
              <w:spacing w:line="324" w:lineRule="auto"/>
              <w:jc w:val="center"/>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公告备案</w:t>
            </w:r>
          </w:p>
        </w:tc>
        <w:tc>
          <w:tcPr>
            <w:tcW w:w="6302" w:type="dxa"/>
            <w:tcBorders>
              <w:top w:val="single" w:color="auto" w:sz="6" w:space="0"/>
              <w:left w:val="single" w:color="auto" w:sz="6" w:space="0"/>
              <w:bottom w:val="single" w:color="auto" w:sz="6" w:space="0"/>
            </w:tcBorders>
            <w:noWrap w:val="0"/>
            <w:vAlign w:val="center"/>
          </w:tcPr>
          <w:p>
            <w:pPr>
              <w:pStyle w:val="21"/>
              <w:keepNext w:val="0"/>
              <w:keepLines w:val="0"/>
              <w:pageBreakBefore w:val="0"/>
              <w:kinsoku/>
              <w:wordWrap/>
              <w:overflowPunct/>
              <w:topLinePunct w:val="0"/>
              <w:bidi w:val="0"/>
              <w:snapToGrid w:val="0"/>
              <w:spacing w:line="324" w:lineRule="auto"/>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政府采购合同签订之日起2个工作日内，政府采购合同将在四川政府采购网公告；政府采购合同签订之日起七个工作日内，政府采购合同将向采购项目同级财政部门备案，即简阳市财政局备案。</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21"/>
              <w:keepNext w:val="0"/>
              <w:keepLines w:val="0"/>
              <w:pageBreakBefore w:val="0"/>
              <w:widowControl w:val="0"/>
              <w:kinsoku/>
              <w:overflowPunct/>
              <w:topLinePunct w:val="0"/>
              <w:bidi w:val="0"/>
              <w:snapToGrid/>
              <w:spacing w:line="336" w:lineRule="auto"/>
              <w:ind w:left="0" w:leftChars="0" w:right="0" w:right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21</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pStyle w:val="33"/>
              <w:spacing w:line="360" w:lineRule="auto"/>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产品强制认证</w:t>
            </w:r>
          </w:p>
          <w:p>
            <w:pPr>
              <w:pStyle w:val="33"/>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highlight w:val="none"/>
                <w:lang w:val="zh-CN"/>
              </w:rPr>
              <w:t>（如涉及）</w:t>
            </w:r>
          </w:p>
        </w:tc>
        <w:tc>
          <w:tcPr>
            <w:tcW w:w="6302" w:type="dxa"/>
            <w:tcBorders>
              <w:top w:val="single" w:color="auto" w:sz="6" w:space="0"/>
              <w:left w:val="single" w:color="auto" w:sz="6" w:space="0"/>
              <w:bottom w:val="single" w:color="auto" w:sz="6" w:space="0"/>
            </w:tcBorders>
            <w:noWrap w:val="0"/>
            <w:vAlign w:val="center"/>
          </w:tcPr>
          <w:p>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kern w:val="0"/>
                <w:sz w:val="24"/>
                <w:highlight w:val="none"/>
                <w:lang w:val="zh-CN"/>
              </w:rPr>
              <w:t>按照《强制性产品认证管理规定》，如供应商所投产品属于国家质检总局、国家认监委联合发布强制性产品认证最新目录，则必须在响应文件中提供所投产品有效期内的产品强制认证证书（实质性要求）。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21"/>
              <w:keepNext w:val="0"/>
              <w:keepLines w:val="0"/>
              <w:pageBreakBefore w:val="0"/>
              <w:widowControl w:val="0"/>
              <w:kinsoku/>
              <w:overflowPunct/>
              <w:topLinePunct w:val="0"/>
              <w:bidi w:val="0"/>
              <w:snapToGrid/>
              <w:spacing w:line="336" w:lineRule="auto"/>
              <w:ind w:left="0" w:leftChars="0" w:right="0" w:right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22</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pStyle w:val="33"/>
              <w:spacing w:line="360" w:lineRule="auto"/>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强制节能采购</w:t>
            </w:r>
          </w:p>
          <w:p>
            <w:pPr>
              <w:pStyle w:val="33"/>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highlight w:val="none"/>
                <w:lang w:val="zh-CN"/>
              </w:rPr>
              <w:t>（实质性要求）（如涉及）</w:t>
            </w:r>
          </w:p>
        </w:tc>
        <w:tc>
          <w:tcPr>
            <w:tcW w:w="6302" w:type="dxa"/>
            <w:tcBorders>
              <w:top w:val="single" w:color="auto" w:sz="6" w:space="0"/>
              <w:left w:val="single" w:color="auto" w:sz="6" w:space="0"/>
              <w:bottom w:val="single" w:color="auto" w:sz="6" w:space="0"/>
            </w:tcBorders>
            <w:noWrap w:val="0"/>
            <w:vAlign w:val="center"/>
          </w:tcPr>
          <w:p>
            <w:pPr>
              <w:pStyle w:val="33"/>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kern w:val="0"/>
                <w:highlight w:val="none"/>
                <w:lang w:val="zh-CN"/>
              </w:rPr>
              <w:t>根据财政部发布的《财政部 发展改革委 生态环境部 市场监管总局关于调整优化节能产品、环境标志产品政府采购执行机制的通知》（财库〔2019〕9号）的规定，财政部、发展改革委、生态环境部等部门根据产品节能环保性能、技术水平和市场成熟程度等因素，确定实施强制采购的产品类别及所依据的相关标准规范的品目清单，如供应商销售的产品的品目属于政府采购强制节能品目清单，则必须在投标（响应）文件中提供依据国家确定的认证机构出具的、处于有效期之内的强制节能产品认证证书复印件。</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vMerge w:val="restart"/>
            <w:tcBorders>
              <w:top w:val="single" w:color="auto" w:sz="6" w:space="0"/>
              <w:right w:val="single" w:color="auto" w:sz="6" w:space="0"/>
            </w:tcBorders>
            <w:noWrap w:val="0"/>
            <w:vAlign w:val="center"/>
          </w:tcPr>
          <w:p>
            <w:pPr>
              <w:keepNext w:val="0"/>
              <w:keepLines w:val="0"/>
              <w:pageBreakBefore w:val="0"/>
              <w:kinsoku/>
              <w:wordWrap/>
              <w:overflowPunct/>
              <w:topLinePunct w:val="0"/>
              <w:bidi w:val="0"/>
              <w:spacing w:line="324" w:lineRule="auto"/>
              <w:ind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p>
        </w:tc>
        <w:tc>
          <w:tcPr>
            <w:tcW w:w="2208" w:type="dxa"/>
            <w:vMerge w:val="restart"/>
            <w:tcBorders>
              <w:top w:val="single" w:color="auto" w:sz="6" w:space="0"/>
              <w:left w:val="single" w:color="auto" w:sz="6" w:space="0"/>
              <w:right w:val="single" w:color="auto" w:sz="6" w:space="0"/>
            </w:tcBorders>
            <w:noWrap w:val="0"/>
            <w:vAlign w:val="center"/>
          </w:tcPr>
          <w:p>
            <w:pPr>
              <w:snapToGri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进口产品</w:t>
            </w:r>
          </w:p>
          <w:p>
            <w:pPr>
              <w:pStyle w:val="21"/>
              <w:keepNext w:val="0"/>
              <w:keepLines w:val="0"/>
              <w:pageBreakBefore w:val="0"/>
              <w:kinsoku/>
              <w:wordWrap/>
              <w:overflowPunct/>
              <w:topLinePunct w:val="0"/>
              <w:bidi w:val="0"/>
              <w:snapToGrid w:val="0"/>
              <w:spacing w:line="324" w:lineRule="auto"/>
              <w:jc w:val="center"/>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（如涉及）</w:t>
            </w:r>
          </w:p>
        </w:tc>
        <w:tc>
          <w:tcPr>
            <w:tcW w:w="6302" w:type="dxa"/>
            <w:tcBorders>
              <w:top w:val="single" w:color="auto" w:sz="6" w:space="0"/>
              <w:left w:val="single" w:color="auto" w:sz="6" w:space="0"/>
              <w:bottom w:val="single" w:color="auto" w:sz="6" w:space="0"/>
            </w:tcBorders>
            <w:noWrap w:val="0"/>
            <w:vAlign w:val="center"/>
          </w:tcPr>
          <w:p>
            <w:pPr>
              <w:pStyle w:val="21"/>
              <w:keepNext w:val="0"/>
              <w:keepLines w:val="0"/>
              <w:pageBreakBefore w:val="0"/>
              <w:kinsoku/>
              <w:wordWrap/>
              <w:overflowPunct/>
              <w:topLinePunct w:val="0"/>
              <w:bidi w:val="0"/>
              <w:snapToGrid w:val="0"/>
              <w:spacing w:line="324" w:lineRule="auto"/>
              <w:jc w:val="center"/>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kern w:val="0"/>
                <w:sz w:val="24"/>
                <w:highlight w:val="none"/>
                <w:lang w:val="zh-CN"/>
              </w:rPr>
              <w:t>本项目不允许进口产品参加。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vMerge w:val="continue"/>
            <w:tcBorders>
              <w:bottom w:val="single" w:color="auto" w:sz="4" w:space="0"/>
              <w:right w:val="single" w:color="auto" w:sz="6" w:space="0"/>
            </w:tcBorders>
            <w:noWrap w:val="0"/>
            <w:vAlign w:val="center"/>
          </w:tcPr>
          <w:p>
            <w:pPr>
              <w:keepNext w:val="0"/>
              <w:keepLines w:val="0"/>
              <w:pageBreakBefore w:val="0"/>
              <w:kinsoku/>
              <w:wordWrap/>
              <w:overflowPunct/>
              <w:topLinePunct w:val="0"/>
              <w:bidi w:val="0"/>
              <w:spacing w:line="324" w:lineRule="auto"/>
              <w:ind w:firstLine="0" w:firstLineChars="0"/>
              <w:jc w:val="center"/>
              <w:textAlignment w:val="auto"/>
              <w:outlineLvl w:val="9"/>
              <w:rPr>
                <w:rFonts w:hint="eastAsia" w:ascii="宋体" w:hAnsi="宋体" w:eastAsia="宋体" w:cs="宋体"/>
                <w:color w:val="auto"/>
                <w:sz w:val="24"/>
                <w:szCs w:val="24"/>
                <w:highlight w:val="none"/>
                <w:lang w:val="en-US" w:eastAsia="zh-CN"/>
              </w:rPr>
            </w:pPr>
          </w:p>
        </w:tc>
        <w:tc>
          <w:tcPr>
            <w:tcW w:w="2208" w:type="dxa"/>
            <w:vMerge w:val="continue"/>
            <w:tcBorders>
              <w:left w:val="single" w:color="auto" w:sz="6" w:space="0"/>
              <w:bottom w:val="single" w:color="auto" w:sz="4" w:space="0"/>
              <w:right w:val="single" w:color="auto" w:sz="6" w:space="0"/>
            </w:tcBorders>
            <w:noWrap w:val="0"/>
            <w:vAlign w:val="center"/>
          </w:tcPr>
          <w:p>
            <w:pPr>
              <w:pStyle w:val="21"/>
              <w:keepNext w:val="0"/>
              <w:keepLines w:val="0"/>
              <w:pageBreakBefore w:val="0"/>
              <w:kinsoku/>
              <w:wordWrap/>
              <w:overflowPunct/>
              <w:topLinePunct w:val="0"/>
              <w:bidi w:val="0"/>
              <w:snapToGrid w:val="0"/>
              <w:spacing w:line="324" w:lineRule="auto"/>
              <w:jc w:val="center"/>
              <w:textAlignment w:val="auto"/>
              <w:outlineLvl w:val="9"/>
              <w:rPr>
                <w:rFonts w:hint="eastAsia" w:ascii="宋体" w:hAnsi="宋体" w:eastAsia="宋体" w:cs="宋体"/>
                <w:color w:val="auto"/>
                <w:sz w:val="24"/>
                <w:szCs w:val="24"/>
                <w:highlight w:val="none"/>
                <w:lang w:val="zh-CN"/>
              </w:rPr>
            </w:pPr>
          </w:p>
        </w:tc>
        <w:tc>
          <w:tcPr>
            <w:tcW w:w="6302" w:type="dxa"/>
            <w:tcBorders>
              <w:top w:val="single" w:color="auto" w:sz="6" w:space="0"/>
              <w:left w:val="single" w:color="auto" w:sz="6" w:space="0"/>
              <w:bottom w:val="single" w:color="auto" w:sz="4" w:space="0"/>
            </w:tcBorders>
            <w:noWrap w:val="0"/>
            <w:vAlign w:val="center"/>
          </w:tcPr>
          <w:p>
            <w:pPr>
              <w:snapToGrid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 根据《中华人民共和国海关法》（以下简称海关法）的规定，我国现行关境是指适用海关法的中华人民共和国行政管辖区域，不包括香港、澳门和台湾金马等单独关境地区。 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p>
            <w:pPr>
              <w:pStyle w:val="21"/>
              <w:keepNext w:val="0"/>
              <w:keepLines w:val="0"/>
              <w:pageBreakBefore w:val="0"/>
              <w:kinsoku/>
              <w:wordWrap/>
              <w:overflowPunct/>
              <w:topLinePunct w:val="0"/>
              <w:bidi w:val="0"/>
              <w:snapToGrid w:val="0"/>
              <w:spacing w:line="324" w:lineRule="auto"/>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kern w:val="0"/>
                <w:sz w:val="24"/>
                <w:highlight w:val="none"/>
                <w:lang w:val="zh-CN"/>
              </w:rPr>
              <w:t>2. 采购人采购进口产品时，应当坚持有利于本国企业自主创新或消化吸收核心技术的原则，优先购买向我方转让技术、提供培训服务及其他补偿贸易措施的产品。如果因信息不对称等原因，仍有满足需求的国内产品要求参与采购竞争的，采购人及其委托的采购代理机构不得对其加以限制，应当按照公平竞争原则实施采购。</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bottom w:val="single" w:color="auto" w:sz="4" w:space="0"/>
              <w:right w:val="single" w:color="auto" w:sz="6" w:space="0"/>
            </w:tcBorders>
            <w:noWrap w:val="0"/>
            <w:vAlign w:val="center"/>
          </w:tcPr>
          <w:p>
            <w:pPr>
              <w:keepNext w:val="0"/>
              <w:keepLines w:val="0"/>
              <w:pageBreakBefore w:val="0"/>
              <w:kinsoku/>
              <w:wordWrap/>
              <w:overflowPunct/>
              <w:topLinePunct w:val="0"/>
              <w:bidi w:val="0"/>
              <w:spacing w:line="324" w:lineRule="auto"/>
              <w:ind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p>
        </w:tc>
        <w:tc>
          <w:tcPr>
            <w:tcW w:w="2208" w:type="dxa"/>
            <w:tcBorders>
              <w:left w:val="single" w:color="auto" w:sz="6" w:space="0"/>
              <w:bottom w:val="single" w:color="auto" w:sz="4" w:space="0"/>
              <w:right w:val="single" w:color="auto" w:sz="6" w:space="0"/>
            </w:tcBorders>
            <w:noWrap w:val="0"/>
            <w:vAlign w:val="center"/>
          </w:tcPr>
          <w:p>
            <w:pPr>
              <w:keepNext w:val="0"/>
              <w:keepLines w:val="0"/>
              <w:pageBreakBefore w:val="0"/>
              <w:widowControl/>
              <w:suppressLineNumbers w:val="0"/>
              <w:kinsoku/>
              <w:overflowPunct/>
              <w:topLinePunct w:val="0"/>
              <w:bidi w:val="0"/>
              <w:spacing w:line="336" w:lineRule="auto"/>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0"/>
                <w:sz w:val="24"/>
                <w:szCs w:val="24"/>
                <w:highlight w:val="none"/>
                <w:lang w:val="en-US" w:eastAsia="zh-CN" w:bidi="ar"/>
              </w:rPr>
              <w:t>关于磋商文件规定的时间释义</w:t>
            </w:r>
          </w:p>
        </w:tc>
        <w:tc>
          <w:tcPr>
            <w:tcW w:w="6302" w:type="dxa"/>
            <w:tcBorders>
              <w:top w:val="single" w:color="auto" w:sz="6" w:space="0"/>
              <w:left w:val="single" w:color="auto" w:sz="6" w:space="0"/>
              <w:bottom w:val="single" w:color="auto" w:sz="4" w:space="0"/>
            </w:tcBorders>
            <w:noWrap w:val="0"/>
            <w:vAlign w:val="center"/>
          </w:tcPr>
          <w:p>
            <w:pPr>
              <w:keepNext w:val="0"/>
              <w:keepLines w:val="0"/>
              <w:pageBreakBefore w:val="0"/>
              <w:widowControl/>
              <w:suppressLineNumbers w:val="0"/>
              <w:kinsoku/>
              <w:overflowPunct/>
              <w:topLinePunct w:val="0"/>
              <w:bidi w:val="0"/>
              <w:spacing w:line="336" w:lineRule="auto"/>
              <w:ind w:firstLine="480" w:firstLineChars="20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0"/>
                <w:sz w:val="24"/>
                <w:szCs w:val="24"/>
                <w:highlight w:val="none"/>
                <w:lang w:val="en-US" w:eastAsia="zh-CN" w:bidi="ar"/>
              </w:rPr>
              <w:t>本项目磋商文件中规定的时间均以北京时间为准。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bottom w:val="single" w:color="auto" w:sz="4" w:space="0"/>
              <w:right w:val="single" w:color="auto" w:sz="6" w:space="0"/>
            </w:tcBorders>
            <w:noWrap w:val="0"/>
            <w:vAlign w:val="center"/>
          </w:tcPr>
          <w:p>
            <w:pPr>
              <w:keepNext w:val="0"/>
              <w:keepLines w:val="0"/>
              <w:pageBreakBefore w:val="0"/>
              <w:kinsoku/>
              <w:wordWrap/>
              <w:overflowPunct/>
              <w:topLinePunct w:val="0"/>
              <w:bidi w:val="0"/>
              <w:spacing w:line="324" w:lineRule="auto"/>
              <w:ind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2208" w:type="dxa"/>
            <w:tcBorders>
              <w:left w:val="single" w:color="auto" w:sz="6" w:space="0"/>
              <w:bottom w:val="single" w:color="auto" w:sz="4" w:space="0"/>
              <w:right w:val="single" w:color="auto" w:sz="6" w:space="0"/>
            </w:tcBorders>
            <w:noWrap w:val="0"/>
            <w:vAlign w:val="center"/>
          </w:tcPr>
          <w:p>
            <w:pPr>
              <w:keepNext w:val="0"/>
              <w:keepLines w:val="0"/>
              <w:pageBreakBefore w:val="0"/>
              <w:widowControl/>
              <w:suppressLineNumbers w:val="0"/>
              <w:kinsoku/>
              <w:overflowPunct/>
              <w:topLinePunct w:val="0"/>
              <w:bidi w:val="0"/>
              <w:spacing w:line="336" w:lineRule="auto"/>
              <w:jc w:val="center"/>
              <w:textAlignment w:val="auto"/>
              <w:rPr>
                <w:rFonts w:hint="eastAsia" w:ascii="宋体" w:hAnsi="宋体" w:eastAsia="宋体" w:cs="宋体"/>
                <w:color w:val="auto"/>
                <w:kern w:val="0"/>
                <w:sz w:val="24"/>
                <w:szCs w:val="24"/>
                <w:highlight w:val="none"/>
                <w:lang w:val="en-US" w:eastAsia="zh-CN" w:bidi="ar"/>
              </w:rPr>
            </w:pPr>
          </w:p>
          <w:p>
            <w:pPr>
              <w:keepNext w:val="0"/>
              <w:keepLines w:val="0"/>
              <w:pageBreakBefore w:val="0"/>
              <w:widowControl/>
              <w:suppressLineNumbers w:val="0"/>
              <w:kinsoku/>
              <w:overflowPunct/>
              <w:topLinePunct w:val="0"/>
              <w:bidi w:val="0"/>
              <w:spacing w:line="336" w:lineRule="auto"/>
              <w:jc w:val="center"/>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落实政策</w:t>
            </w:r>
          </w:p>
          <w:p>
            <w:pPr>
              <w:keepNext w:val="0"/>
              <w:keepLines w:val="0"/>
              <w:pageBreakBefore w:val="0"/>
              <w:widowControl/>
              <w:suppressLineNumbers w:val="0"/>
              <w:kinsoku/>
              <w:overflowPunct/>
              <w:topLinePunct w:val="0"/>
              <w:bidi w:val="0"/>
              <w:spacing w:line="336" w:lineRule="auto"/>
              <w:jc w:val="center"/>
              <w:textAlignment w:val="auto"/>
              <w:rPr>
                <w:rFonts w:hint="eastAsia" w:ascii="宋体" w:hAnsi="宋体" w:eastAsia="宋体" w:cs="宋体"/>
                <w:color w:val="auto"/>
                <w:kern w:val="0"/>
                <w:sz w:val="24"/>
                <w:szCs w:val="24"/>
                <w:highlight w:val="none"/>
                <w:lang w:val="zh-CN" w:eastAsia="zh-CN" w:bidi="ar"/>
              </w:rPr>
            </w:pPr>
          </w:p>
        </w:tc>
        <w:tc>
          <w:tcPr>
            <w:tcW w:w="6302" w:type="dxa"/>
            <w:tcBorders>
              <w:top w:val="single" w:color="auto" w:sz="6" w:space="0"/>
              <w:left w:val="single" w:color="auto" w:sz="6" w:space="0"/>
              <w:bottom w:val="single" w:color="auto" w:sz="4" w:space="0"/>
            </w:tcBorders>
            <w:noWrap w:val="0"/>
            <w:vAlign w:val="center"/>
          </w:tcPr>
          <w:p>
            <w:pPr>
              <w:keepNext w:val="0"/>
              <w:keepLines w:val="0"/>
              <w:pageBreakBefore w:val="0"/>
              <w:widowControl/>
              <w:suppressLineNumbers w:val="0"/>
              <w:kinsoku/>
              <w:overflowPunct/>
              <w:topLinePunct w:val="0"/>
              <w:bidi w:val="0"/>
              <w:spacing w:line="336" w:lineRule="auto"/>
              <w:ind w:firstLine="480" w:firstLineChars="200"/>
              <w:jc w:val="both"/>
              <w:textAlignment w:val="auto"/>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优先采购节能、环境标志、无线局域网产品（如有），扶持不发达地区和少数民族地区，扶持中小企业发展等目标。</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bottom w:val="single" w:color="auto" w:sz="4" w:space="0"/>
              <w:right w:val="single" w:color="auto" w:sz="6" w:space="0"/>
            </w:tcBorders>
            <w:noWrap w:val="0"/>
            <w:vAlign w:val="center"/>
          </w:tcPr>
          <w:p>
            <w:pPr>
              <w:keepNext w:val="0"/>
              <w:keepLines w:val="0"/>
              <w:pageBreakBefore w:val="0"/>
              <w:kinsoku/>
              <w:wordWrap/>
              <w:overflowPunct/>
              <w:topLinePunct w:val="0"/>
              <w:bidi w:val="0"/>
              <w:spacing w:line="324" w:lineRule="auto"/>
              <w:ind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26</w:t>
            </w:r>
          </w:p>
        </w:tc>
        <w:tc>
          <w:tcPr>
            <w:tcW w:w="2208" w:type="dxa"/>
            <w:tcBorders>
              <w:left w:val="single" w:color="auto" w:sz="6" w:space="0"/>
              <w:bottom w:val="single" w:color="auto" w:sz="4" w:space="0"/>
              <w:right w:val="single" w:color="auto" w:sz="6" w:space="0"/>
            </w:tcBorders>
            <w:noWrap w:val="0"/>
            <w:vAlign w:val="center"/>
          </w:tcPr>
          <w:p>
            <w:pPr>
              <w:keepNext w:val="0"/>
              <w:keepLines w:val="0"/>
              <w:pageBreakBefore w:val="0"/>
              <w:widowControl/>
              <w:suppressLineNumbers w:val="0"/>
              <w:kinsoku/>
              <w:overflowPunct/>
              <w:topLinePunct w:val="0"/>
              <w:bidi w:val="0"/>
              <w:spacing w:line="360"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履约验收 </w:t>
            </w:r>
          </w:p>
          <w:p>
            <w:pPr>
              <w:keepNext w:val="0"/>
              <w:keepLines w:val="0"/>
              <w:pageBreakBefore w:val="0"/>
              <w:widowControl/>
              <w:suppressLineNumbers w:val="0"/>
              <w:kinsoku/>
              <w:overflowPunct/>
              <w:topLinePunct w:val="0"/>
              <w:bidi w:val="0"/>
              <w:spacing w:line="360"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标准和要求</w:t>
            </w:r>
          </w:p>
          <w:p>
            <w:pPr>
              <w:keepNext w:val="0"/>
              <w:keepLines w:val="0"/>
              <w:pageBreakBefore w:val="0"/>
              <w:widowControl/>
              <w:suppressLineNumbers w:val="0"/>
              <w:kinsoku/>
              <w:overflowPunct/>
              <w:topLinePunct w:val="0"/>
              <w:bidi w:val="0"/>
              <w:spacing w:line="360" w:lineRule="auto"/>
              <w:jc w:val="center"/>
              <w:textAlignment w:val="auto"/>
              <w:rPr>
                <w:rFonts w:hint="eastAsia" w:ascii="宋体" w:hAnsi="宋体" w:eastAsia="宋体" w:cs="宋体"/>
                <w:color w:val="auto"/>
                <w:kern w:val="0"/>
                <w:sz w:val="24"/>
                <w:szCs w:val="24"/>
                <w:highlight w:val="none"/>
                <w:lang w:val="zh-CN" w:eastAsia="zh-CN" w:bidi="ar"/>
              </w:rPr>
            </w:pPr>
          </w:p>
        </w:tc>
        <w:tc>
          <w:tcPr>
            <w:tcW w:w="6302" w:type="dxa"/>
            <w:tcBorders>
              <w:top w:val="single" w:color="auto" w:sz="6" w:space="0"/>
              <w:left w:val="single" w:color="auto" w:sz="6" w:space="0"/>
              <w:bottom w:val="single" w:color="auto" w:sz="4" w:space="0"/>
            </w:tcBorders>
            <w:noWrap w:val="0"/>
            <w:vAlign w:val="center"/>
          </w:tcPr>
          <w:p>
            <w:pPr>
              <w:keepNext w:val="0"/>
              <w:keepLines w:val="0"/>
              <w:pageBreakBefore w:val="0"/>
              <w:widowControl/>
              <w:suppressLineNumbers w:val="0"/>
              <w:kinsoku/>
              <w:wordWrap w:val="0"/>
              <w:overflowPunct/>
              <w:topLinePunct w:val="0"/>
              <w:bidi w:val="0"/>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本项目严格将按照</w:t>
            </w:r>
            <w:r>
              <w:rPr>
                <w:rFonts w:hint="eastAsia" w:ascii="宋体" w:hAnsi="宋体" w:eastAsia="宋体" w:cs="宋体"/>
                <w:kern w:val="0"/>
                <w:sz w:val="24"/>
              </w:rPr>
              <w:t>《财政部关于进一步加强政府采购需求和履约验收管理的指导意见》财库〔2016〕205号</w:t>
            </w:r>
            <w:r>
              <w:rPr>
                <w:rFonts w:hint="eastAsia" w:ascii="宋体" w:hAnsi="宋体" w:eastAsia="宋体" w:cs="宋体"/>
                <w:color w:val="auto"/>
                <w:kern w:val="0"/>
                <w:sz w:val="24"/>
                <w:szCs w:val="24"/>
                <w:highlight w:val="none"/>
                <w:lang w:val="en-US" w:eastAsia="zh-CN" w:bidi="ar"/>
              </w:rPr>
              <w:t xml:space="preserve">的要求进行验收，并结合本项目的磋商文件、响应文件及澄清（变更）文件的约定执行。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bottom w:val="single" w:color="auto" w:sz="4" w:space="0"/>
              <w:right w:val="single" w:color="auto" w:sz="6" w:space="0"/>
            </w:tcBorders>
            <w:noWrap w:val="0"/>
            <w:vAlign w:val="center"/>
          </w:tcPr>
          <w:p>
            <w:pPr>
              <w:keepNext w:val="0"/>
              <w:keepLines w:val="0"/>
              <w:pageBreakBefore w:val="0"/>
              <w:kinsoku/>
              <w:wordWrap/>
              <w:overflowPunct/>
              <w:topLinePunct w:val="0"/>
              <w:bidi w:val="0"/>
              <w:spacing w:line="324" w:lineRule="auto"/>
              <w:ind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27</w:t>
            </w:r>
          </w:p>
        </w:tc>
        <w:tc>
          <w:tcPr>
            <w:tcW w:w="2208" w:type="dxa"/>
            <w:tcBorders>
              <w:left w:val="single" w:color="auto" w:sz="6" w:space="0"/>
              <w:bottom w:val="single" w:color="auto" w:sz="4" w:space="0"/>
              <w:right w:val="single" w:color="auto" w:sz="6" w:space="0"/>
            </w:tcBorders>
            <w:noWrap w:val="0"/>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声明承诺提醒</w:t>
            </w:r>
          </w:p>
        </w:tc>
        <w:tc>
          <w:tcPr>
            <w:tcW w:w="6302" w:type="dxa"/>
            <w:tcBorders>
              <w:top w:val="single" w:color="auto" w:sz="6" w:space="0"/>
              <w:left w:val="single" w:color="auto" w:sz="6" w:space="0"/>
              <w:bottom w:val="single" w:color="auto" w:sz="4" w:space="0"/>
            </w:tcBorders>
            <w:noWrap w:val="0"/>
            <w:vAlign w:val="center"/>
          </w:tcPr>
          <w:p>
            <w:pPr>
              <w:keepNext w:val="0"/>
              <w:keepLines w:val="0"/>
              <w:pageBreakBefore w:val="0"/>
              <w:widowControl/>
              <w:suppressLineNumbers w:val="0"/>
              <w:kinsoku/>
              <w:overflowPunct/>
              <w:topLinePunct w:val="0"/>
              <w:bidi w:val="0"/>
              <w:spacing w:line="336" w:lineRule="auto"/>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供应商响应文件中提供的各种声明和承诺应当真实有效，无效声明和 承诺、虚假声明和承诺将由供应商自己承担由此带来的任何不利后果，虚假声明和承诺还将报告监管部门追究法律责任。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bottom w:val="single" w:color="auto" w:sz="4" w:space="0"/>
              <w:right w:val="single" w:color="auto" w:sz="6" w:space="0"/>
            </w:tcBorders>
            <w:noWrap w:val="0"/>
            <w:vAlign w:val="center"/>
          </w:tcPr>
          <w:p>
            <w:pPr>
              <w:keepNext w:val="0"/>
              <w:keepLines w:val="0"/>
              <w:pageBreakBefore w:val="0"/>
              <w:kinsoku/>
              <w:wordWrap/>
              <w:overflowPunct/>
              <w:topLinePunct w:val="0"/>
              <w:bidi w:val="0"/>
              <w:spacing w:line="324" w:lineRule="auto"/>
              <w:ind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28</w:t>
            </w:r>
          </w:p>
        </w:tc>
        <w:tc>
          <w:tcPr>
            <w:tcW w:w="2208" w:type="dxa"/>
            <w:tcBorders>
              <w:left w:val="single" w:color="auto" w:sz="6" w:space="0"/>
              <w:bottom w:val="single" w:color="auto" w:sz="4" w:space="0"/>
              <w:right w:val="single" w:color="auto" w:sz="6" w:space="0"/>
            </w:tcBorders>
            <w:noWrap w:val="0"/>
            <w:vAlign w:val="center"/>
          </w:tcPr>
          <w:p>
            <w:pPr>
              <w:spacing w:line="360" w:lineRule="auto"/>
              <w:ind w:left="105" w:leftChars="50" w:right="105" w:rightChars="50"/>
              <w:jc w:val="center"/>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供应商信用融资</w:t>
            </w:r>
          </w:p>
        </w:tc>
        <w:tc>
          <w:tcPr>
            <w:tcW w:w="6302" w:type="dxa"/>
            <w:tcBorders>
              <w:top w:val="single" w:color="auto" w:sz="6" w:space="0"/>
              <w:left w:val="single" w:color="auto" w:sz="6" w:space="0"/>
              <w:bottom w:val="single" w:color="auto" w:sz="4" w:space="0"/>
            </w:tcBorders>
            <w:noWrap w:val="0"/>
            <w:vAlign w:val="center"/>
          </w:tcPr>
          <w:p>
            <w:pPr>
              <w:keepNext w:val="0"/>
              <w:keepLines w:val="0"/>
              <w:pageBreakBefore w:val="0"/>
              <w:widowControl/>
              <w:suppressLineNumbers w:val="0"/>
              <w:kinsoku/>
              <w:wordWrap w:val="0"/>
              <w:overflowPunct/>
              <w:topLinePunct w:val="0"/>
              <w:bidi w:val="0"/>
              <w:spacing w:line="360" w:lineRule="auto"/>
              <w:jc w:val="both"/>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 xml:space="preserve">1.政府采购供应商信用融资，是指银行以政府采购供应商信用审查和政府采购 信誉为基础，依托政府采购合同，按优于一般企业的贷款程序和利率，直接向申请贷款的供应商发放无财产抵押贷款的一种融资模式。 </w:t>
            </w:r>
          </w:p>
          <w:p>
            <w:pPr>
              <w:widowControl/>
              <w:spacing w:line="360" w:lineRule="auto"/>
              <w:jc w:val="both"/>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 xml:space="preserve">2.四川省正在推进政府采购供应商信用融资工作，相关要求详见《四川省财政厅关于推进四川省政府采购供应商信用融资工作的通知》（川财采〔2018〕123号）、《成都市中小企业政府采购信用融资暂行办法》（成财采〔2019〕17 号） 等有关规定，上述文件请在四川政府采购网查询。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2" w:hRule="atLeast"/>
          <w:jc w:val="center"/>
        </w:trPr>
        <w:tc>
          <w:tcPr>
            <w:tcW w:w="9220" w:type="dxa"/>
            <w:gridSpan w:val="3"/>
            <w:tcBorders>
              <w:top w:val="single" w:color="auto" w:sz="4" w:space="0"/>
              <w:bottom w:val="single" w:color="auto" w:sz="4" w:space="0"/>
            </w:tcBorders>
            <w:noWrap w:val="0"/>
            <w:vAlign w:val="center"/>
          </w:tcPr>
          <w:p>
            <w:pPr>
              <w:pStyle w:val="21"/>
              <w:keepNext w:val="0"/>
              <w:keepLines w:val="0"/>
              <w:pageBreakBefore w:val="0"/>
              <w:kinsoku/>
              <w:wordWrap/>
              <w:overflowPunct/>
              <w:topLinePunct w:val="0"/>
              <w:bidi w:val="0"/>
              <w:snapToGrid w:val="0"/>
              <w:spacing w:line="324" w:lineRule="auto"/>
              <w:textAlignment w:val="auto"/>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4"/>
                <w:highlight w:val="none"/>
                <w:lang w:val="zh-CN"/>
              </w:rPr>
              <w:t>备注：若磋商文件中其他内容与供应商须知附表内容不一致的，以供应商须知附表为准。</w:t>
            </w:r>
          </w:p>
        </w:tc>
      </w:tr>
    </w:tbl>
    <w:p>
      <w:pPr>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outlineLvl w:val="9"/>
        <w:rPr>
          <w:rFonts w:hint="eastAsia" w:ascii="宋体" w:hAnsi="宋体" w:eastAsia="宋体" w:cs="宋体"/>
          <w:bCs w:val="0"/>
          <w:color w:val="auto"/>
          <w:highlight w:val="none"/>
        </w:rPr>
      </w:pPr>
      <w:bookmarkStart w:id="9" w:name="_Toc4183"/>
      <w:bookmarkStart w:id="10" w:name="_Toc15100"/>
    </w:p>
    <w:p>
      <w:pPr>
        <w:pStyle w:val="4"/>
        <w:keepNext w:val="0"/>
        <w:keepLines w:val="0"/>
        <w:spacing w:before="0" w:after="0" w:line="400" w:lineRule="exact"/>
        <w:jc w:val="center"/>
        <w:rPr>
          <w:rFonts w:hint="eastAsia" w:ascii="宋体" w:hAnsi="宋体" w:eastAsia="宋体" w:cs="宋体"/>
          <w:bCs w:val="0"/>
          <w:color w:val="auto"/>
          <w:highlight w:val="none"/>
        </w:rPr>
      </w:pPr>
      <w:bookmarkStart w:id="11" w:name="_Toc11428"/>
      <w:r>
        <w:rPr>
          <w:rFonts w:hint="eastAsia" w:ascii="宋体" w:hAnsi="宋体" w:eastAsia="宋体" w:cs="宋体"/>
          <w:bCs w:val="0"/>
          <w:color w:val="auto"/>
          <w:highlight w:val="none"/>
        </w:rPr>
        <w:t>二、总  则</w:t>
      </w:r>
      <w:bookmarkEnd w:id="9"/>
      <w:bookmarkEnd w:id="10"/>
      <w:bookmarkEnd w:id="11"/>
    </w:p>
    <w:p>
      <w:pPr>
        <w:rPr>
          <w:rFonts w:hint="eastAsia" w:ascii="宋体" w:hAnsi="宋体" w:eastAsia="宋体" w:cs="宋体"/>
          <w:color w:val="auto"/>
          <w:highlight w:val="none"/>
        </w:rPr>
      </w:pPr>
      <w:bookmarkStart w:id="12" w:name="_Toc183582205"/>
      <w:bookmarkStart w:id="13" w:name="_Toc183682342"/>
      <w:bookmarkStart w:id="14" w:name="_Toc217446034"/>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2" w:firstLineChars="200"/>
        <w:jc w:val="both"/>
        <w:textAlignment w:val="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bookmarkEnd w:id="12"/>
      <w:bookmarkEnd w:id="13"/>
      <w:r>
        <w:rPr>
          <w:rFonts w:hint="eastAsia" w:ascii="宋体" w:hAnsi="宋体" w:eastAsia="宋体" w:cs="宋体"/>
          <w:b/>
          <w:bCs/>
          <w:color w:val="auto"/>
          <w:sz w:val="24"/>
          <w:szCs w:val="24"/>
          <w:highlight w:val="none"/>
        </w:rPr>
        <w:t>适用范围</w:t>
      </w:r>
      <w:bookmarkEnd w:id="14"/>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1.1 本磋商文件仅适用于本次磋商所叙述的</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rPr>
        <w:t>采购。</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本磋商文件的解释权归采购人和采购代理机构所有。</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2" w:firstLineChars="200"/>
        <w:jc w:val="both"/>
        <w:textAlignment w:val="auto"/>
        <w:outlineLvl w:val="9"/>
        <w:rPr>
          <w:rFonts w:hint="eastAsia" w:ascii="宋体" w:hAnsi="宋体" w:eastAsia="宋体" w:cs="宋体"/>
          <w:b/>
          <w:bCs/>
          <w:color w:val="auto"/>
          <w:sz w:val="24"/>
          <w:highlight w:val="none"/>
        </w:rPr>
      </w:pPr>
      <w:bookmarkStart w:id="15" w:name="_Toc183682343"/>
      <w:bookmarkStart w:id="16" w:name="_Toc217446035"/>
      <w:bookmarkStart w:id="17" w:name="_Toc183582206"/>
      <w:r>
        <w:rPr>
          <w:rFonts w:hint="eastAsia" w:ascii="宋体" w:hAnsi="宋体" w:eastAsia="宋体" w:cs="宋体"/>
          <w:b/>
          <w:bCs/>
          <w:color w:val="auto"/>
          <w:sz w:val="24"/>
          <w:highlight w:val="none"/>
        </w:rPr>
        <w:t>2.</w:t>
      </w:r>
      <w:bookmarkEnd w:id="15"/>
      <w:bookmarkEnd w:id="16"/>
      <w:bookmarkEnd w:id="17"/>
      <w:r>
        <w:rPr>
          <w:rFonts w:hint="eastAsia" w:ascii="宋体" w:hAnsi="宋体" w:eastAsia="宋体" w:cs="宋体"/>
          <w:b/>
          <w:bCs/>
          <w:color w:val="auto"/>
          <w:sz w:val="24"/>
          <w:highlight w:val="none"/>
        </w:rPr>
        <w:t>采购主体</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本次磋商的采购人是</w:t>
      </w:r>
      <w:r>
        <w:rPr>
          <w:rFonts w:hint="eastAsia" w:ascii="宋体" w:hAnsi="宋体" w:cs="宋体"/>
          <w:color w:val="auto"/>
          <w:sz w:val="24"/>
          <w:highlight w:val="none"/>
          <w:u w:val="single"/>
          <w:lang w:val="en-US" w:eastAsia="zh-CN"/>
        </w:rPr>
        <w:t>简阳市水务局</w:t>
      </w:r>
      <w:r>
        <w:rPr>
          <w:rFonts w:hint="eastAsia" w:ascii="宋体" w:hAnsi="宋体" w:eastAsia="宋体" w:cs="宋体"/>
          <w:color w:val="auto"/>
          <w:sz w:val="24"/>
          <w:highlight w:val="none"/>
        </w:rPr>
        <w:t xml:space="preserve"> 。</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本次磋商的采购代理机构是</w:t>
      </w:r>
      <w:r>
        <w:rPr>
          <w:rFonts w:hint="eastAsia" w:ascii="宋体" w:hAnsi="宋体" w:eastAsia="宋体" w:cs="宋体"/>
          <w:color w:val="auto"/>
          <w:sz w:val="24"/>
          <w:highlight w:val="none"/>
          <w:u w:val="single"/>
          <w:lang w:eastAsia="zh-CN"/>
        </w:rPr>
        <w:t>四川东来印象招标代理有限公司</w:t>
      </w:r>
      <w:r>
        <w:rPr>
          <w:rFonts w:hint="eastAsia" w:ascii="宋体" w:hAnsi="宋体" w:eastAsia="宋体" w:cs="宋体"/>
          <w:color w:val="auto"/>
          <w:sz w:val="24"/>
          <w:highlight w:val="none"/>
        </w:rPr>
        <w:t>。</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2" w:firstLineChars="200"/>
        <w:jc w:val="both"/>
        <w:textAlignment w:val="auto"/>
        <w:outlineLvl w:val="9"/>
        <w:rPr>
          <w:rFonts w:hint="eastAsia" w:ascii="宋体" w:hAnsi="宋体" w:eastAsia="宋体" w:cs="宋体"/>
          <w:b/>
          <w:bCs/>
          <w:color w:val="auto"/>
          <w:sz w:val="24"/>
          <w:highlight w:val="none"/>
        </w:rPr>
      </w:pPr>
      <w:bookmarkStart w:id="18" w:name="_Toc183582207"/>
      <w:bookmarkStart w:id="19" w:name="_Toc183682344"/>
      <w:bookmarkStart w:id="20" w:name="_Toc217446036"/>
      <w:bookmarkStart w:id="21" w:name="_Toc217390843"/>
      <w:r>
        <w:rPr>
          <w:rFonts w:hint="eastAsia" w:ascii="宋体" w:hAnsi="宋体" w:eastAsia="宋体" w:cs="宋体"/>
          <w:b/>
          <w:bCs/>
          <w:color w:val="auto"/>
          <w:sz w:val="24"/>
          <w:highlight w:val="none"/>
        </w:rPr>
        <w:t>3. 合格</w:t>
      </w:r>
      <w:bookmarkEnd w:id="18"/>
      <w:bookmarkEnd w:id="19"/>
      <w:bookmarkEnd w:id="20"/>
      <w:bookmarkEnd w:id="21"/>
      <w:r>
        <w:rPr>
          <w:rFonts w:hint="eastAsia" w:ascii="宋体" w:hAnsi="宋体" w:eastAsia="宋体" w:cs="宋体"/>
          <w:b/>
          <w:bCs/>
          <w:color w:val="auto"/>
          <w:sz w:val="24"/>
          <w:highlight w:val="none"/>
        </w:rPr>
        <w:t>供应商（实质性要求）</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color w:val="auto"/>
          <w:sz w:val="24"/>
          <w:highlight w:val="none"/>
        </w:rPr>
        <w:t>合格供应商应具备以下条件：</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pacing w:val="-4"/>
          <w:sz w:val="24"/>
          <w:highlight w:val="none"/>
          <w:lang w:val="en-US" w:eastAsia="zh-CN"/>
        </w:rPr>
      </w:pPr>
      <w:r>
        <w:rPr>
          <w:rFonts w:hint="eastAsia" w:ascii="宋体" w:hAnsi="宋体" w:eastAsia="宋体" w:cs="宋体"/>
          <w:color w:val="auto"/>
          <w:sz w:val="24"/>
          <w:highlight w:val="none"/>
        </w:rPr>
        <w:t>3.1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具备法律法规和本采购文件规定的资格条件</w:t>
      </w:r>
      <w:r>
        <w:rPr>
          <w:rFonts w:hint="eastAsia" w:ascii="宋体" w:hAnsi="宋体" w:eastAsia="宋体" w:cs="宋体"/>
          <w:color w:val="auto"/>
          <w:spacing w:val="-4"/>
          <w:sz w:val="24"/>
          <w:highlight w:val="none"/>
        </w:rPr>
        <w:t>；</w:t>
      </w:r>
      <w:r>
        <w:rPr>
          <w:rFonts w:hint="eastAsia" w:ascii="宋体" w:hAnsi="宋体" w:eastAsia="宋体" w:cs="宋体"/>
          <w:color w:val="auto"/>
          <w:spacing w:val="-4"/>
          <w:sz w:val="24"/>
          <w:highlight w:val="none"/>
          <w:lang w:val="en-US" w:eastAsia="zh-CN"/>
        </w:rPr>
        <w:t xml:space="preserve">  </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64" w:firstLineChars="200"/>
        <w:jc w:val="both"/>
        <w:textAlignment w:val="auto"/>
        <w:outlineLvl w:val="9"/>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3.2</w:t>
      </w:r>
      <w:r>
        <w:rPr>
          <w:rFonts w:hint="eastAsia" w:ascii="宋体" w:hAnsi="宋体" w:eastAsia="宋体" w:cs="宋体"/>
          <w:color w:val="auto"/>
          <w:spacing w:val="-4"/>
          <w:sz w:val="24"/>
          <w:highlight w:val="none"/>
          <w:lang w:val="en-US" w:eastAsia="zh-CN"/>
        </w:rPr>
        <w:t xml:space="preserve"> </w:t>
      </w:r>
      <w:r>
        <w:rPr>
          <w:rFonts w:hint="eastAsia" w:ascii="宋体" w:hAnsi="宋体" w:eastAsia="宋体" w:cs="宋体"/>
          <w:color w:val="auto"/>
          <w:spacing w:val="-4"/>
          <w:sz w:val="24"/>
          <w:highlight w:val="none"/>
        </w:rPr>
        <w:t>不属于禁止参加本项目采购活动的供应商；</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64" w:firstLineChars="200"/>
        <w:jc w:val="both"/>
        <w:textAlignment w:val="auto"/>
        <w:outlineLvl w:val="9"/>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3.3</w:t>
      </w:r>
      <w:r>
        <w:rPr>
          <w:rFonts w:hint="eastAsia" w:ascii="宋体" w:hAnsi="宋体" w:eastAsia="宋体" w:cs="宋体"/>
          <w:color w:val="auto"/>
          <w:spacing w:val="-4"/>
          <w:sz w:val="24"/>
          <w:highlight w:val="none"/>
          <w:lang w:val="en-US" w:eastAsia="zh-CN"/>
        </w:rPr>
        <w:t xml:space="preserve"> </w:t>
      </w:r>
      <w:r>
        <w:rPr>
          <w:rFonts w:hint="eastAsia" w:ascii="宋体" w:hAnsi="宋体" w:eastAsia="宋体" w:cs="宋体"/>
          <w:color w:val="auto"/>
          <w:spacing w:val="-4"/>
          <w:sz w:val="24"/>
          <w:highlight w:val="none"/>
        </w:rPr>
        <w:t>按照规定</w:t>
      </w:r>
      <w:r>
        <w:rPr>
          <w:rFonts w:hint="eastAsia" w:ascii="宋体" w:hAnsi="宋体" w:eastAsia="宋体" w:cs="宋体"/>
          <w:color w:val="auto"/>
          <w:sz w:val="24"/>
          <w:highlight w:val="none"/>
        </w:rPr>
        <w:t>获取了磋商文件，属于实质性参加政府采购活动的供应商。</w:t>
      </w:r>
    </w:p>
    <w:p>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outlineLvl w:val="9"/>
        <w:rPr>
          <w:rFonts w:hint="eastAsia" w:ascii="宋体" w:hAnsi="宋体" w:eastAsia="宋体" w:cs="宋体"/>
          <w:color w:val="auto"/>
          <w:highlight w:val="none"/>
        </w:rPr>
      </w:pPr>
      <w:bookmarkStart w:id="22" w:name="_Toc183682345"/>
      <w:bookmarkStart w:id="23" w:name="_Toc183582208"/>
      <w:bookmarkStart w:id="24" w:name="_Toc217446037"/>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482" w:firstLineChars="200"/>
        <w:jc w:val="both"/>
        <w:textAlignment w:val="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 磋商费用</w:t>
      </w:r>
      <w:bookmarkEnd w:id="22"/>
      <w:bookmarkEnd w:id="23"/>
      <w:bookmarkEnd w:id="24"/>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供应商应自行承担参加磋商活动的全部费用。</w:t>
      </w:r>
    </w:p>
    <w:p>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outlineLvl w:val="9"/>
        <w:rPr>
          <w:rFonts w:hint="eastAsia" w:ascii="宋体" w:hAnsi="宋体" w:eastAsia="宋体" w:cs="宋体"/>
          <w:color w:val="auto"/>
          <w:highlight w:val="none"/>
        </w:rPr>
      </w:pPr>
    </w:p>
    <w:p>
      <w:pPr>
        <w:pStyle w:val="24"/>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textAlignment w:val="baseline"/>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5.充分、公平竞争保障措施（实质性要求）</w:t>
      </w:r>
    </w:p>
    <w:p>
      <w:pPr>
        <w:pStyle w:val="24"/>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4"/>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5.2利害关系授权代表处理。两家以上的供应商不得在同一合同项下的采购项目中，委托同一个自然人、同一家庭的人员、同一单位的人员作为其授权代表，否则，其响应文件作为无效处理。</w:t>
      </w:r>
    </w:p>
    <w:p>
      <w:pPr>
        <w:pStyle w:val="24"/>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4"/>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供应商实际控制人或者中高级管理人员，同时是采购代理机构工作人员，不得参与本项目政府采购活动。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同一母公司的两家以上的子公司只能组成联合体参加本项目同一合同项下的采购活动，不得以不同供应商身份同时参加本项目同一合同项下的采购活动。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供应商与采购代理机构存在关联关系，或者是采购代理机构的母公司或子公司，不得参加本项目政府采购活动。</w:t>
      </w:r>
    </w:p>
    <w:p>
      <w:pPr>
        <w:pStyle w:val="24"/>
        <w:spacing w:line="360" w:lineRule="auto"/>
        <w:ind w:left="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回避。政府采购活动中，采购人员及相关人员与供应商有下列利害关系之一的，应当回避：</w:t>
      </w:r>
    </w:p>
    <w:p>
      <w:pPr>
        <w:pStyle w:val="24"/>
        <w:spacing w:line="360" w:lineRule="auto"/>
        <w:ind w:left="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（1）参加采购活动前3年内与供应商存在劳动关系；</w:t>
      </w:r>
    </w:p>
    <w:p>
      <w:pPr>
        <w:pStyle w:val="24"/>
        <w:spacing w:line="360" w:lineRule="auto"/>
        <w:ind w:left="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（2）参加采购活动前3年内担任供应商的董事、监事；</w:t>
      </w:r>
    </w:p>
    <w:p>
      <w:pPr>
        <w:pStyle w:val="24"/>
        <w:spacing w:line="360" w:lineRule="auto"/>
        <w:ind w:left="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（3）参加采购活动前3年内是供应商的控股股东或者实际控制人；</w:t>
      </w:r>
    </w:p>
    <w:p>
      <w:pPr>
        <w:pStyle w:val="24"/>
        <w:spacing w:line="360" w:lineRule="auto"/>
        <w:ind w:left="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（4）与供应商的法定代表人或者负责人有夫妻、直系血亲、三代以内旁系血亲或者近姻亲关系；</w:t>
      </w:r>
    </w:p>
    <w:p>
      <w:pPr>
        <w:pStyle w:val="24"/>
        <w:spacing w:line="360" w:lineRule="auto"/>
        <w:ind w:left="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（5）与供应商有其他可能影响政府采购活动公平、公正进行的关系。</w:t>
      </w:r>
    </w:p>
    <w:p>
      <w:pPr>
        <w:pStyle w:val="24"/>
        <w:spacing w:line="360" w:lineRule="auto"/>
        <w:ind w:left="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24"/>
        <w:spacing w:line="360" w:lineRule="auto"/>
        <w:ind w:left="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24"/>
        <w:spacing w:line="400" w:lineRule="exact"/>
        <w:ind w:left="1" w:firstLine="482" w:firstLineChars="200"/>
        <w:rPr>
          <w:rFonts w:hint="eastAsia" w:ascii="宋体" w:hAnsi="宋体" w:eastAsia="宋体" w:cs="宋体"/>
          <w:b/>
          <w:color w:val="auto"/>
          <w:sz w:val="24"/>
          <w:highlight w:val="none"/>
        </w:rPr>
      </w:pPr>
    </w:p>
    <w:p>
      <w:pPr>
        <w:pStyle w:val="24"/>
        <w:spacing w:line="360" w:lineRule="auto"/>
        <w:ind w:left="1"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6.联合体竞争性磋商（实质性要求）</w:t>
      </w:r>
    </w:p>
    <w:p>
      <w:pPr>
        <w:pStyle w:val="24"/>
        <w:spacing w:line="400" w:lineRule="exact"/>
        <w:ind w:left="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w:t>
      </w:r>
      <w:r>
        <w:rPr>
          <w:rFonts w:hint="eastAsia" w:ascii="宋体" w:hAnsi="宋体" w:eastAsia="宋体" w:cs="宋体"/>
          <w:color w:val="auto"/>
          <w:sz w:val="24"/>
          <w:highlight w:val="none"/>
          <w:lang w:eastAsia="zh-CN"/>
        </w:rPr>
        <w:t>不</w:t>
      </w:r>
      <w:r>
        <w:rPr>
          <w:rFonts w:hint="eastAsia" w:ascii="宋体" w:hAnsi="宋体" w:eastAsia="宋体" w:cs="宋体"/>
          <w:color w:val="auto"/>
          <w:sz w:val="24"/>
          <w:highlight w:val="none"/>
        </w:rPr>
        <w:t>接受联合体参与采购活动</w:t>
      </w:r>
      <w:r>
        <w:rPr>
          <w:rFonts w:hint="eastAsia" w:ascii="宋体" w:hAnsi="宋体" w:eastAsia="宋体" w:cs="宋体"/>
          <w:color w:val="auto"/>
          <w:sz w:val="24"/>
          <w:highlight w:val="none"/>
          <w:lang w:eastAsia="zh-CN"/>
        </w:rPr>
        <w:t>。</w:t>
      </w:r>
    </w:p>
    <w:p>
      <w:pPr>
        <w:pStyle w:val="24"/>
        <w:spacing w:line="400" w:lineRule="exact"/>
        <w:ind w:left="1" w:firstLine="482" w:firstLineChars="200"/>
        <w:rPr>
          <w:rFonts w:hint="eastAsia" w:ascii="宋体" w:hAnsi="宋体" w:eastAsia="宋体" w:cs="宋体"/>
          <w:b/>
          <w:bCs/>
          <w:color w:val="auto"/>
          <w:sz w:val="24"/>
          <w:highlight w:val="none"/>
        </w:rPr>
      </w:pPr>
    </w:p>
    <w:p>
      <w:pPr>
        <w:pStyle w:val="24"/>
        <w:keepNext w:val="0"/>
        <w:keepLines w:val="0"/>
        <w:pageBreakBefore w:val="0"/>
        <w:widowControl w:val="0"/>
        <w:kinsoku/>
        <w:wordWrap/>
        <w:overflowPunct/>
        <w:topLinePunct w:val="0"/>
        <w:autoSpaceDE/>
        <w:autoSpaceDN/>
        <w:bidi w:val="0"/>
        <w:snapToGrid/>
        <w:spacing w:line="336" w:lineRule="auto"/>
        <w:ind w:left="1" w:firstLine="482" w:firstLineChars="2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7.磋商保证金（实质性要求）</w:t>
      </w:r>
      <w:r>
        <w:rPr>
          <w:rFonts w:hint="eastAsia" w:ascii="宋体" w:hAnsi="宋体" w:eastAsia="宋体" w:cs="宋体"/>
          <w:b/>
          <w:color w:val="auto"/>
          <w:sz w:val="24"/>
          <w:highlight w:val="none"/>
          <w:lang w:eastAsia="zh-CN"/>
        </w:rPr>
        <w:t>（若有）</w:t>
      </w:r>
    </w:p>
    <w:p>
      <w:pPr>
        <w:keepNext w:val="0"/>
        <w:keepLines w:val="0"/>
        <w:pageBreakBefore w:val="0"/>
        <w:widowControl w:val="0"/>
        <w:kinsoku/>
        <w:wordWrap/>
        <w:overflowPunct/>
        <w:topLinePunct w:val="0"/>
        <w:autoSpaceDE/>
        <w:autoSpaceDN/>
        <w:bidi w:val="0"/>
        <w:snapToGrid/>
        <w:spacing w:line="336"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7.1 供应商必须以人民币为计量单位提交磋商文件规定数额的磋商保证金，并作为其报价的一部分。联合体磋商的，可以由联合体的一方或者共同提交磋商保证金，以一方名义提交磋商保证金的，对联合体各方均具有约束力。</w:t>
      </w:r>
    </w:p>
    <w:p>
      <w:pPr>
        <w:keepNext w:val="0"/>
        <w:keepLines w:val="0"/>
        <w:pageBreakBefore w:val="0"/>
        <w:widowControl w:val="0"/>
        <w:kinsoku/>
        <w:wordWrap/>
        <w:overflowPunct/>
        <w:topLinePunct w:val="0"/>
        <w:autoSpaceDE/>
        <w:autoSpaceDN/>
        <w:bidi w:val="0"/>
        <w:snapToGrid/>
        <w:spacing w:line="336"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7.2 未按磋商文件要求在规定时间前交纳规定数额磋商保证金的响应文件无效。</w:t>
      </w:r>
    </w:p>
    <w:p>
      <w:pPr>
        <w:keepNext w:val="0"/>
        <w:keepLines w:val="0"/>
        <w:pageBreakBefore w:val="0"/>
        <w:widowControl w:val="0"/>
        <w:kinsoku/>
        <w:wordWrap/>
        <w:overflowPunct/>
        <w:topLinePunct w:val="0"/>
        <w:autoSpaceDE/>
        <w:autoSpaceDN/>
        <w:bidi w:val="0"/>
        <w:snapToGrid/>
        <w:spacing w:line="336"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7.3 供应商所交纳的磋商保证金不计利息。</w:t>
      </w:r>
    </w:p>
    <w:p>
      <w:pPr>
        <w:keepNext w:val="0"/>
        <w:keepLines w:val="0"/>
        <w:pageBreakBefore w:val="0"/>
        <w:widowControl w:val="0"/>
        <w:kinsoku/>
        <w:wordWrap/>
        <w:overflowPunct/>
        <w:topLinePunct w:val="0"/>
        <w:autoSpaceDE/>
        <w:autoSpaceDN/>
        <w:bidi w:val="0"/>
        <w:snapToGrid/>
        <w:spacing w:line="336"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7.4 未成交供应商的磋商保证金，将在成交通知书发出后五个工作日内全额退还。成交供应商的磋商保证金，在合同签订生效并按规定交纳了履约保证金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pPr>
        <w:keepNext w:val="0"/>
        <w:keepLines w:val="0"/>
        <w:pageBreakBefore w:val="0"/>
        <w:widowControl w:val="0"/>
        <w:kinsoku/>
        <w:wordWrap/>
        <w:overflowPunct/>
        <w:topLinePunct w:val="0"/>
        <w:autoSpaceDE/>
        <w:autoSpaceDN/>
        <w:bidi w:val="0"/>
        <w:snapToGrid/>
        <w:spacing w:line="336"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7.5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发生下列情形之一的，采购代理机构将不予退还磋商保证金：</w:t>
      </w:r>
    </w:p>
    <w:p>
      <w:pPr>
        <w:keepNext w:val="0"/>
        <w:keepLines w:val="0"/>
        <w:pageBreakBefore w:val="0"/>
        <w:widowControl w:val="0"/>
        <w:kinsoku/>
        <w:wordWrap/>
        <w:overflowPunct/>
        <w:topLinePunct w:val="0"/>
        <w:autoSpaceDE/>
        <w:autoSpaceDN/>
        <w:bidi w:val="0"/>
        <w:snapToGrid/>
        <w:spacing w:line="336"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（一）在磋商文件规定的递交响应文件截止时间后撤回响应文件的；</w:t>
      </w:r>
    </w:p>
    <w:p>
      <w:pPr>
        <w:keepNext w:val="0"/>
        <w:keepLines w:val="0"/>
        <w:pageBreakBefore w:val="0"/>
        <w:widowControl w:val="0"/>
        <w:kinsoku/>
        <w:wordWrap/>
        <w:overflowPunct/>
        <w:topLinePunct w:val="0"/>
        <w:autoSpaceDE/>
        <w:autoSpaceDN/>
        <w:bidi w:val="0"/>
        <w:snapToGrid/>
        <w:spacing w:line="336"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（二）在采购人确定成交供应商之前放弃成交候选资格的；</w:t>
      </w:r>
    </w:p>
    <w:p>
      <w:pPr>
        <w:keepNext w:val="0"/>
        <w:keepLines w:val="0"/>
        <w:pageBreakBefore w:val="0"/>
        <w:widowControl w:val="0"/>
        <w:kinsoku/>
        <w:wordWrap/>
        <w:overflowPunct/>
        <w:topLinePunct w:val="0"/>
        <w:autoSpaceDE/>
        <w:autoSpaceDN/>
        <w:bidi w:val="0"/>
        <w:snapToGrid/>
        <w:spacing w:line="336"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（三）成交后放弃、不领取或者不接收成交通知书的；</w:t>
      </w:r>
    </w:p>
    <w:p>
      <w:pPr>
        <w:keepNext w:val="0"/>
        <w:keepLines w:val="0"/>
        <w:pageBreakBefore w:val="0"/>
        <w:widowControl w:val="0"/>
        <w:kinsoku/>
        <w:wordWrap/>
        <w:overflowPunct/>
        <w:topLinePunct w:val="0"/>
        <w:autoSpaceDE/>
        <w:autoSpaceDN/>
        <w:bidi w:val="0"/>
        <w:snapToGrid/>
        <w:spacing w:line="336"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（四）由于成交供应商的原因未能按照磋商文件的规定与采购人签订合同的；</w:t>
      </w:r>
    </w:p>
    <w:p>
      <w:pPr>
        <w:keepNext w:val="0"/>
        <w:keepLines w:val="0"/>
        <w:pageBreakBefore w:val="0"/>
        <w:widowControl w:val="0"/>
        <w:kinsoku/>
        <w:wordWrap/>
        <w:overflowPunct/>
        <w:topLinePunct w:val="0"/>
        <w:autoSpaceDE/>
        <w:autoSpaceDN/>
        <w:bidi w:val="0"/>
        <w:snapToGrid/>
        <w:spacing w:line="336"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（五）由于成交供应商的原因未能按照磋商文件的规定交纳履约保证金的；</w:t>
      </w:r>
    </w:p>
    <w:p>
      <w:pPr>
        <w:keepNext w:val="0"/>
        <w:keepLines w:val="0"/>
        <w:pageBreakBefore w:val="0"/>
        <w:widowControl w:val="0"/>
        <w:kinsoku/>
        <w:wordWrap/>
        <w:overflowPunct/>
        <w:topLinePunct w:val="0"/>
        <w:autoSpaceDE/>
        <w:autoSpaceDN/>
        <w:bidi w:val="0"/>
        <w:snapToGrid/>
        <w:spacing w:line="336"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（六）供应商在政府采购活动中提供虚假材料的；</w:t>
      </w:r>
    </w:p>
    <w:p>
      <w:pPr>
        <w:keepNext w:val="0"/>
        <w:keepLines w:val="0"/>
        <w:pageBreakBefore w:val="0"/>
        <w:widowControl w:val="0"/>
        <w:kinsoku/>
        <w:wordWrap/>
        <w:overflowPunct/>
        <w:topLinePunct w:val="0"/>
        <w:autoSpaceDE/>
        <w:autoSpaceDN/>
        <w:bidi w:val="0"/>
        <w:snapToGrid/>
        <w:spacing w:line="336"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（七）报价有效期内，供应商在政府采购活动中有违法、违规、违纪行为。</w:t>
      </w:r>
    </w:p>
    <w:p>
      <w:pPr>
        <w:spacing w:line="400" w:lineRule="exact"/>
        <w:ind w:firstLine="470" w:firstLineChars="196"/>
        <w:rPr>
          <w:rFonts w:hint="eastAsia" w:ascii="宋体" w:hAnsi="宋体" w:eastAsia="宋体" w:cs="宋体"/>
          <w:color w:val="auto"/>
          <w:sz w:val="24"/>
          <w:highlight w:val="none"/>
        </w:rPr>
      </w:pPr>
    </w:p>
    <w:p>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8.响应文件有效期（实质性要求）</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8.1</w:t>
      </w:r>
      <w:r>
        <w:rPr>
          <w:rFonts w:hint="eastAsia" w:ascii="宋体" w:hAnsi="宋体" w:eastAsia="宋体" w:cs="宋体"/>
          <w:color w:val="auto"/>
          <w:sz w:val="24"/>
          <w:highlight w:val="none"/>
        </w:rPr>
        <w:t>本项目响应文件有效期为</w:t>
      </w:r>
      <w:r>
        <w:rPr>
          <w:rFonts w:hint="eastAsia" w:ascii="宋体" w:hAnsi="宋体" w:eastAsia="宋体" w:cs="宋体"/>
          <w:b/>
          <w:bCs/>
          <w:color w:val="auto"/>
          <w:sz w:val="24"/>
          <w:highlight w:val="none"/>
        </w:rPr>
        <w:t>递交磋商响应文件截止之日起</w:t>
      </w:r>
      <w:r>
        <w:rPr>
          <w:rFonts w:hint="eastAsia" w:ascii="宋体" w:hAnsi="宋体" w:eastAsia="宋体" w:cs="宋体"/>
          <w:b/>
          <w:bCs/>
          <w:color w:val="auto"/>
          <w:sz w:val="24"/>
          <w:highlight w:val="none"/>
          <w:lang w:val="en-US" w:eastAsia="zh-CN"/>
        </w:rPr>
        <w:t>90</w:t>
      </w:r>
      <w:r>
        <w:rPr>
          <w:rFonts w:hint="eastAsia" w:ascii="宋体" w:hAnsi="宋体" w:eastAsia="宋体" w:cs="宋体"/>
          <w:b/>
          <w:bCs/>
          <w:color w:val="auto"/>
          <w:sz w:val="24"/>
          <w:highlight w:val="none"/>
        </w:rPr>
        <w:t>天</w:t>
      </w:r>
      <w:r>
        <w:rPr>
          <w:rFonts w:hint="eastAsia" w:ascii="宋体" w:hAnsi="宋体" w:eastAsia="宋体" w:cs="宋体"/>
          <w:color w:val="auto"/>
          <w:sz w:val="24"/>
          <w:highlight w:val="none"/>
        </w:rPr>
        <w:t>。供应商响应文件中必须载明响应文件有效期，响应文件中载明的响应文件有效期可以长于磋商文件规定的期限，但不得短于磋商文件规定的期限。否则，其响应文件将作为无效处理。</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8.2 因不可抗力事件，采购人可于响应文件有效期届满之前与供应商协商延长响应文件有效期。供应商拒绝延长响应文件有效期的，不得再参与该项目后续采购活动，但由此给供应商造成的损失，采购人可以自主决定是否可以给予适当补偿。供应商同意延长响应文件有效期的，不能修改响应文件。 </w:t>
      </w:r>
    </w:p>
    <w:p>
      <w:pPr>
        <w:spacing w:line="40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8.3 因采购人采购需求作出必要调整，采购人可于响应文件有效期届满之前与供应商协商延长响应文件有效期。供应商拒绝延长响应文件有效期的，不得再参与该项 目后续采购活动，但由此给供应商造成的损失，采购人应当予以赔偿或者合理补偿。供应商同意延长响应文件有效期的，不能修改响应文件。</w:t>
      </w:r>
    </w:p>
    <w:p>
      <w:pPr>
        <w:pStyle w:val="8"/>
        <w:spacing w:line="360" w:lineRule="auto"/>
        <w:ind w:firstLine="482" w:firstLineChars="200"/>
        <w:rPr>
          <w:rFonts w:hint="eastAsia" w:ascii="宋体" w:hAnsi="宋体" w:eastAsia="宋体" w:cs="宋体"/>
          <w:b/>
          <w:color w:val="auto"/>
          <w:sz w:val="24"/>
          <w:highlight w:val="none"/>
        </w:rPr>
      </w:pPr>
    </w:p>
    <w:p>
      <w:pPr>
        <w:pStyle w:val="8"/>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color w:val="auto"/>
          <w:sz w:val="24"/>
          <w:highlight w:val="none"/>
        </w:rPr>
        <w:t>9.</w:t>
      </w:r>
      <w:r>
        <w:rPr>
          <w:rFonts w:hint="eastAsia" w:ascii="宋体" w:hAnsi="宋体" w:eastAsia="宋体" w:cs="宋体"/>
          <w:b/>
          <w:bCs/>
          <w:color w:val="auto"/>
          <w:sz w:val="24"/>
          <w:szCs w:val="24"/>
          <w:highlight w:val="none"/>
        </w:rPr>
        <w:t>知识产权（实质性要求）</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9.1 </w:t>
      </w:r>
      <w:r>
        <w:rPr>
          <w:rFonts w:hint="eastAsia" w:ascii="宋体" w:hAnsi="宋体" w:eastAsia="宋体" w:cs="宋体"/>
          <w:color w:val="auto"/>
          <w:sz w:val="24"/>
          <w:highlight w:val="none"/>
        </w:rPr>
        <w:t>供应商</w:t>
      </w:r>
      <w:r>
        <w:rPr>
          <w:rFonts w:hint="eastAsia" w:ascii="宋体" w:hAnsi="宋体" w:eastAsia="宋体" w:cs="宋体"/>
          <w:color w:val="auto"/>
          <w:sz w:val="24"/>
          <w:szCs w:val="24"/>
          <w:highlight w:val="none"/>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eastAsia="宋体" w:cs="宋体"/>
          <w:color w:val="auto"/>
          <w:sz w:val="24"/>
          <w:highlight w:val="none"/>
        </w:rPr>
        <w:t>供应商</w:t>
      </w:r>
      <w:r>
        <w:rPr>
          <w:rFonts w:hint="eastAsia" w:ascii="宋体" w:hAnsi="宋体" w:eastAsia="宋体" w:cs="宋体"/>
          <w:color w:val="auto"/>
          <w:sz w:val="24"/>
          <w:szCs w:val="24"/>
          <w:highlight w:val="none"/>
        </w:rPr>
        <w:t>承担所有相关责任。</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除非磋商文件特别规定，采购人享有本项目实施过程中产生的知识成果及知识产权。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24"/>
          <w:highlight w:val="none"/>
        </w:rPr>
        <w:t>9.3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9.4 如采用供应商所不拥有的知识产权，则在报价中必须包括合法获取该知识产权的相关费用。 </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9.5</w:t>
      </w:r>
      <w:r>
        <w:rPr>
          <w:rFonts w:hint="eastAsia" w:ascii="宋体" w:hAnsi="宋体" w:eastAsia="宋体" w:cs="宋体"/>
          <w:color w:val="auto"/>
          <w:sz w:val="24"/>
          <w:highlight w:val="none"/>
        </w:rPr>
        <w:t>以上条款须供应商在</w:t>
      </w:r>
      <w:r>
        <w:rPr>
          <w:rFonts w:hint="eastAsia" w:ascii="宋体" w:hAnsi="宋体" w:cs="宋体"/>
          <w:color w:val="auto"/>
          <w:sz w:val="24"/>
          <w:highlight w:val="none"/>
          <w:lang w:val="en-US" w:eastAsia="zh-CN"/>
        </w:rPr>
        <w:t>响应</w:t>
      </w:r>
      <w:r>
        <w:rPr>
          <w:rFonts w:hint="eastAsia" w:ascii="宋体" w:hAnsi="宋体" w:eastAsia="宋体" w:cs="宋体"/>
          <w:color w:val="auto"/>
          <w:sz w:val="24"/>
          <w:highlight w:val="none"/>
        </w:rPr>
        <w:t>文件中进行承诺，否则按无效投标处理。</w:t>
      </w:r>
      <w:bookmarkStart w:id="25" w:name="_Toc183682346"/>
      <w:bookmarkStart w:id="26" w:name="_Toc217446038"/>
      <w:bookmarkStart w:id="27" w:name="_Toc183582209"/>
      <w:bookmarkStart w:id="28" w:name="_Toc89075875"/>
      <w:bookmarkStart w:id="29" w:name="_Toc77400779"/>
    </w:p>
    <w:p>
      <w:pPr>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outlineLvl w:val="9"/>
        <w:rPr>
          <w:rFonts w:hint="eastAsia" w:ascii="宋体" w:hAnsi="宋体" w:eastAsia="宋体" w:cs="宋体"/>
          <w:bCs w:val="0"/>
          <w:color w:val="auto"/>
          <w:highlight w:val="none"/>
        </w:rPr>
      </w:pPr>
      <w:bookmarkStart w:id="30" w:name="_Toc4808"/>
      <w:bookmarkStart w:id="31" w:name="_Toc10267"/>
    </w:p>
    <w:p>
      <w:pPr>
        <w:pStyle w:val="4"/>
        <w:keepNext w:val="0"/>
        <w:keepLines w:val="0"/>
        <w:spacing w:before="0" w:after="0" w:line="400" w:lineRule="exact"/>
        <w:jc w:val="center"/>
        <w:rPr>
          <w:rFonts w:hint="eastAsia" w:ascii="宋体" w:hAnsi="宋体" w:eastAsia="宋体" w:cs="宋体"/>
          <w:bCs w:val="0"/>
          <w:color w:val="auto"/>
          <w:highlight w:val="none"/>
        </w:rPr>
      </w:pPr>
      <w:bookmarkStart w:id="32" w:name="_Toc1097"/>
      <w:r>
        <w:rPr>
          <w:rFonts w:hint="eastAsia" w:ascii="宋体" w:hAnsi="宋体" w:eastAsia="宋体" w:cs="宋体"/>
          <w:bCs w:val="0"/>
          <w:color w:val="auto"/>
          <w:highlight w:val="none"/>
        </w:rPr>
        <w:t>三、磋商文件</w:t>
      </w:r>
      <w:bookmarkEnd w:id="25"/>
      <w:bookmarkEnd w:id="26"/>
      <w:bookmarkEnd w:id="27"/>
      <w:bookmarkEnd w:id="28"/>
      <w:bookmarkEnd w:id="29"/>
      <w:bookmarkEnd w:id="30"/>
      <w:bookmarkEnd w:id="31"/>
      <w:bookmarkEnd w:id="32"/>
    </w:p>
    <w:p>
      <w:pPr>
        <w:rPr>
          <w:rFonts w:hint="eastAsia" w:ascii="宋体" w:hAnsi="宋体" w:eastAsia="宋体" w:cs="宋体"/>
          <w:color w:val="auto"/>
          <w:highlight w:val="none"/>
        </w:rPr>
      </w:pPr>
      <w:bookmarkStart w:id="33" w:name="_Toc183582210"/>
      <w:bookmarkStart w:id="34" w:name="_Toc183682347"/>
      <w:bookmarkStart w:id="35" w:name="_Toc217446039"/>
    </w:p>
    <w:p>
      <w:pPr>
        <w:keepNext w:val="0"/>
        <w:keepLines w:val="0"/>
        <w:pageBreakBefore w:val="0"/>
        <w:widowControl w:val="0"/>
        <w:kinsoku/>
        <w:wordWrap/>
        <w:overflowPunct/>
        <w:topLinePunct w:val="0"/>
        <w:autoSpaceDE/>
        <w:autoSpaceDN/>
        <w:bidi w:val="0"/>
        <w:adjustRightInd/>
        <w:snapToGrid/>
        <w:spacing w:before="0" w:after="0" w:line="336" w:lineRule="auto"/>
        <w:ind w:left="0" w:leftChars="0" w:right="0" w:rightChars="0" w:firstLine="482" w:firstLineChars="200"/>
        <w:jc w:val="both"/>
        <w:textAlignment w:val="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10．磋商文件的构成</w:t>
      </w:r>
      <w:bookmarkEnd w:id="33"/>
      <w:bookmarkEnd w:id="34"/>
      <w:bookmarkEnd w:id="35"/>
      <w:r>
        <w:rPr>
          <w:rFonts w:hint="eastAsia" w:ascii="宋体" w:hAnsi="宋体" w:eastAsia="宋体" w:cs="宋体"/>
          <w:b/>
          <w:bCs/>
          <w:color w:val="auto"/>
          <w:sz w:val="24"/>
          <w:highlight w:val="none"/>
        </w:rPr>
        <w:t>（实质性要求）</w:t>
      </w:r>
    </w:p>
    <w:p>
      <w:pPr>
        <w:keepNext w:val="0"/>
        <w:keepLines w:val="0"/>
        <w:pageBreakBefore w:val="0"/>
        <w:widowControl w:val="0"/>
        <w:tabs>
          <w:tab w:val="left" w:pos="720"/>
        </w:tabs>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磋商文件是供应商准备响应文件和参加磋商的依据，同时也是磋商的重要依据。磋商文件用以阐明磋商项目所需的资质、技术、服务及报价等要求、磋商程序、有关规定和注意事项以及合同主要条款等。</w:t>
      </w:r>
    </w:p>
    <w:p>
      <w:pPr>
        <w:keepNext w:val="0"/>
        <w:keepLines w:val="0"/>
        <w:pageBreakBefore w:val="0"/>
        <w:widowControl w:val="0"/>
        <w:tabs>
          <w:tab w:val="left" w:pos="7665"/>
        </w:tabs>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keepNext w:val="0"/>
        <w:keepLines w:val="0"/>
        <w:pageBreakBefore w:val="0"/>
        <w:widowControl w:val="0"/>
        <w:kinsoku/>
        <w:wordWrap/>
        <w:overflowPunct/>
        <w:topLinePunct w:val="0"/>
        <w:autoSpaceDE/>
        <w:autoSpaceDN/>
        <w:bidi w:val="0"/>
        <w:ind w:left="0" w:leftChars="0" w:right="0" w:rightChars="0"/>
        <w:jc w:val="both"/>
        <w:textAlignment w:val="auto"/>
        <w:outlineLvl w:val="9"/>
        <w:rPr>
          <w:rFonts w:hint="eastAsia" w:ascii="宋体" w:hAnsi="宋体" w:eastAsia="宋体" w:cs="宋体"/>
          <w:color w:val="auto"/>
          <w:highlight w:val="none"/>
        </w:rPr>
      </w:pPr>
      <w:bookmarkStart w:id="36" w:name="_Toc183682348"/>
      <w:bookmarkStart w:id="37" w:name="_Toc183582211"/>
      <w:bookmarkStart w:id="38" w:name="_Toc217446040"/>
    </w:p>
    <w:p>
      <w:pPr>
        <w:keepNext w:val="0"/>
        <w:keepLines w:val="0"/>
        <w:pageBreakBefore w:val="0"/>
        <w:widowControl w:val="0"/>
        <w:kinsoku/>
        <w:wordWrap/>
        <w:overflowPunct/>
        <w:topLinePunct w:val="0"/>
        <w:autoSpaceDE/>
        <w:autoSpaceDN/>
        <w:bidi w:val="0"/>
        <w:spacing w:before="0" w:after="0" w:line="360" w:lineRule="auto"/>
        <w:ind w:left="0" w:leftChars="0" w:right="0" w:rightChars="0" w:firstLine="482" w:firstLineChars="200"/>
        <w:jc w:val="both"/>
        <w:textAlignment w:val="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 磋商文件的澄清</w:t>
      </w:r>
      <w:bookmarkEnd w:id="36"/>
      <w:bookmarkEnd w:id="37"/>
      <w:r>
        <w:rPr>
          <w:rFonts w:hint="eastAsia" w:ascii="宋体" w:hAnsi="宋体" w:eastAsia="宋体" w:cs="宋体"/>
          <w:b/>
          <w:bCs/>
          <w:color w:val="auto"/>
          <w:sz w:val="24"/>
          <w:highlight w:val="none"/>
        </w:rPr>
        <w:t>和修改</w:t>
      </w:r>
      <w:bookmarkEnd w:id="38"/>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11.1 在递交响应文件截止时间前，采购人、采购代理机构可以对磋商文件进行澄清或者修改。</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11.2 采购代理机构对已发出的磋商文件进行澄清或者修改，应当以书面形式将澄清或者修改的内容通知所有购买了磋商文件的供应商，同时在</w:t>
      </w:r>
      <w:r>
        <w:rPr>
          <w:rFonts w:hint="eastAsia" w:ascii="宋体" w:hAnsi="宋体" w:eastAsia="宋体" w:cs="宋体"/>
          <w:bCs/>
          <w:color w:val="auto"/>
          <w:sz w:val="24"/>
          <w:highlight w:val="none"/>
        </w:rPr>
        <w:t>四川政府采购网（http://www.ccgp-sichuan.gov.cn）</w:t>
      </w:r>
      <w:r>
        <w:rPr>
          <w:rFonts w:hint="eastAsia" w:ascii="宋体" w:hAnsi="宋体" w:eastAsia="宋体" w:cs="宋体"/>
          <w:bCs/>
          <w:color w:val="auto"/>
          <w:sz w:val="24"/>
          <w:highlight w:val="none"/>
          <w:lang w:eastAsia="zh-CN"/>
        </w:rPr>
        <w:t>上</w:t>
      </w:r>
      <w:r>
        <w:rPr>
          <w:rFonts w:hint="eastAsia" w:ascii="宋体" w:hAnsi="宋体" w:eastAsia="宋体" w:cs="宋体"/>
          <w:color w:val="auto"/>
          <w:sz w:val="24"/>
          <w:highlight w:val="none"/>
        </w:rPr>
        <w:t>发布更正公告。该澄清或者修改的内容为磋商文件的组成部分，澄清或者修改的内容可能影响响应文件编制的，采购人或者采购代理机构发布公告并书面通知供应商的时间，应当在提交首次响应文件截止之日起3个工作日前；不足上述时间的，应当顺延递交响应文件的截止时间。</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11.3</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lang w:val="en-US"/>
        </w:rPr>
        <w:t>要求对</w:t>
      </w:r>
      <w:r>
        <w:rPr>
          <w:rFonts w:hint="eastAsia" w:ascii="宋体" w:hAnsi="宋体" w:eastAsia="宋体" w:cs="宋体"/>
          <w:color w:val="auto"/>
          <w:sz w:val="24"/>
          <w:highlight w:val="none"/>
          <w:lang w:val="en-US" w:eastAsia="zh-CN"/>
        </w:rPr>
        <w:t>磋商</w:t>
      </w:r>
      <w:r>
        <w:rPr>
          <w:rFonts w:hint="eastAsia" w:ascii="宋体" w:hAnsi="宋体" w:eastAsia="宋体" w:cs="宋体"/>
          <w:color w:val="auto"/>
          <w:sz w:val="24"/>
          <w:highlight w:val="none"/>
          <w:lang w:val="en-US"/>
        </w:rPr>
        <w:t>文件进行澄清的，均应按</w:t>
      </w:r>
      <w:r>
        <w:rPr>
          <w:rFonts w:hint="eastAsia" w:ascii="宋体" w:hAnsi="宋体" w:eastAsia="宋体" w:cs="宋体"/>
          <w:color w:val="auto"/>
          <w:sz w:val="24"/>
          <w:highlight w:val="none"/>
          <w:lang w:val="en-US" w:eastAsia="zh-CN"/>
        </w:rPr>
        <w:t>磋商</w:t>
      </w:r>
      <w:r>
        <w:rPr>
          <w:rFonts w:hint="eastAsia" w:ascii="宋体" w:hAnsi="宋体" w:eastAsia="宋体" w:cs="宋体"/>
          <w:color w:val="auto"/>
          <w:sz w:val="24"/>
          <w:highlight w:val="none"/>
          <w:lang w:val="en-US"/>
        </w:rPr>
        <w:t>文件中的联系方式，以书面形式向采购人或者采购代理机构提出申请，但采购人或者采购代理机构可以决定是否采纳</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lang w:val="en-US"/>
        </w:rPr>
        <w:t>的申请事项。</w:t>
      </w:r>
    </w:p>
    <w:p>
      <w:pPr>
        <w:keepNext w:val="0"/>
        <w:keepLines w:val="0"/>
        <w:pageBreakBefore w:val="0"/>
        <w:widowControl w:val="0"/>
        <w:kinsoku/>
        <w:wordWrap/>
        <w:overflowPunct/>
        <w:topLinePunct w:val="0"/>
        <w:autoSpaceDE/>
        <w:autoSpaceDN/>
        <w:bidi w:val="0"/>
        <w:adjustRightInd/>
        <w:snapToGrid/>
        <w:spacing w:before="0" w:after="0" w:line="336" w:lineRule="auto"/>
        <w:ind w:left="0" w:leftChars="0" w:right="0" w:rightChars="0" w:firstLine="482" w:firstLineChars="200"/>
        <w:jc w:val="both"/>
        <w:textAlignment w:val="auto"/>
        <w:outlineLvl w:val="9"/>
        <w:rPr>
          <w:rFonts w:hint="eastAsia" w:ascii="宋体" w:hAnsi="宋体" w:eastAsia="宋体" w:cs="宋体"/>
          <w:b/>
          <w:bCs/>
          <w:color w:val="auto"/>
          <w:sz w:val="24"/>
          <w:highlight w:val="none"/>
        </w:rPr>
      </w:pPr>
      <w:bookmarkStart w:id="39" w:name="_Toc208848971"/>
      <w:bookmarkStart w:id="40" w:name="_Toc217446041"/>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2" w:firstLineChars="200"/>
        <w:jc w:val="both"/>
        <w:textAlignment w:val="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 答疑会和现场考察</w:t>
      </w:r>
      <w:bookmarkEnd w:id="39"/>
      <w:bookmarkEnd w:id="4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12.1根据采购项目和具体情况，采购人、采购代理机构认为有必要，可以在磋商文件提供期限截止后响应文件提交截止前，组织已获取磋商文件的潜在供应商现场考察或者召开答疑会。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175"/>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sz w:val="24"/>
          <w:highlight w:val="none"/>
        </w:rPr>
        <w:t>12.3 供应商考察现场或者参加答疑会所发生的一切费用由供应商自己承担。</w:t>
      </w:r>
      <w:bookmarkStart w:id="41" w:name="_Toc217446042"/>
      <w:bookmarkStart w:id="42" w:name="_Toc183582214"/>
      <w:bookmarkStart w:id="43" w:name="_Toc183682351"/>
      <w:bookmarkStart w:id="44" w:name="_Toc77400780"/>
      <w:bookmarkStart w:id="45" w:name="_Toc89075876"/>
    </w:p>
    <w:p>
      <w:pPr>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outlineLvl w:val="9"/>
        <w:rPr>
          <w:rFonts w:hint="eastAsia" w:ascii="宋体" w:hAnsi="宋体" w:eastAsia="宋体" w:cs="宋体"/>
          <w:bCs w:val="0"/>
          <w:color w:val="auto"/>
          <w:highlight w:val="none"/>
        </w:rPr>
      </w:pPr>
      <w:bookmarkStart w:id="46" w:name="_Toc30252"/>
      <w:bookmarkStart w:id="47" w:name="_Toc32285"/>
    </w:p>
    <w:p>
      <w:pPr>
        <w:pStyle w:val="4"/>
        <w:keepNext w:val="0"/>
        <w:keepLines w:val="0"/>
        <w:spacing w:before="0" w:after="0" w:line="400" w:lineRule="exact"/>
        <w:jc w:val="center"/>
        <w:rPr>
          <w:rFonts w:hint="eastAsia" w:ascii="宋体" w:hAnsi="宋体" w:eastAsia="宋体" w:cs="宋体"/>
          <w:bCs w:val="0"/>
          <w:color w:val="auto"/>
          <w:highlight w:val="none"/>
        </w:rPr>
      </w:pPr>
      <w:bookmarkStart w:id="48" w:name="_Toc23229"/>
      <w:r>
        <w:rPr>
          <w:rFonts w:hint="eastAsia" w:ascii="宋体" w:hAnsi="宋体" w:eastAsia="宋体" w:cs="宋体"/>
          <w:bCs w:val="0"/>
          <w:color w:val="auto"/>
          <w:highlight w:val="none"/>
        </w:rPr>
        <w:t>四、响应文件</w:t>
      </w:r>
      <w:bookmarkEnd w:id="41"/>
      <w:bookmarkEnd w:id="42"/>
      <w:bookmarkEnd w:id="43"/>
      <w:bookmarkEnd w:id="44"/>
      <w:bookmarkEnd w:id="45"/>
      <w:bookmarkEnd w:id="46"/>
      <w:bookmarkEnd w:id="47"/>
      <w:bookmarkEnd w:id="48"/>
    </w:p>
    <w:p>
      <w:pPr>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82" w:firstLineChars="200"/>
        <w:jc w:val="both"/>
        <w:textAlignment w:val="auto"/>
        <w:outlineLvl w:val="9"/>
        <w:rPr>
          <w:rFonts w:hint="eastAsia" w:ascii="宋体" w:hAnsi="宋体" w:eastAsia="宋体" w:cs="宋体"/>
          <w:b/>
          <w:bCs/>
          <w:color w:val="auto"/>
          <w:sz w:val="24"/>
          <w:highlight w:val="none"/>
        </w:rPr>
      </w:pPr>
      <w:bookmarkStart w:id="49" w:name="_Toc217446043"/>
      <w:bookmarkStart w:id="50" w:name="_Toc183682352"/>
      <w:bookmarkStart w:id="51" w:name="_Toc183582215"/>
      <w:r>
        <w:rPr>
          <w:rFonts w:hint="eastAsia" w:ascii="宋体" w:hAnsi="宋体" w:eastAsia="宋体" w:cs="宋体"/>
          <w:b/>
          <w:bCs/>
          <w:color w:val="auto"/>
          <w:sz w:val="24"/>
          <w:highlight w:val="none"/>
        </w:rPr>
        <w:t>13.响应文件的组成（实质性要求）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r>
        <w:rPr>
          <w:rFonts w:hint="eastAsia" w:ascii="宋体" w:hAnsi="宋体" w:eastAsia="宋体" w:cs="宋体"/>
          <w:color w:val="auto"/>
          <w:sz w:val="24"/>
          <w:highlight w:val="none"/>
          <w:lang w:val="en-US" w:eastAsia="zh-CN"/>
        </w:rPr>
        <w:t>资格性响应文件用于磋商小组资格性审查，其他响应文件用 于供应商与磋商小组磋商。磋商文件中实质性要求的内容如果供应商不能在文件清楚 明确体现的，应该以承诺函的方式进行响应，否则视为不满足实质性要求。</w:t>
      </w:r>
    </w:p>
    <w:p>
      <w:pPr>
        <w:keepNext w:val="0"/>
        <w:keepLines w:val="0"/>
        <w:pageBreakBefore w:val="0"/>
        <w:widowControl w:val="0"/>
        <w:kinsoku/>
        <w:wordWrap/>
        <w:overflowPunct/>
        <w:topLinePunct w:val="0"/>
        <w:autoSpaceDE/>
        <w:autoSpaceDN/>
        <w:bidi w:val="0"/>
        <w:adjustRightInd/>
        <w:snapToGrid/>
        <w:ind w:right="0" w:rightChars="0"/>
        <w:jc w:val="both"/>
        <w:textAlignment w:val="auto"/>
        <w:outlineLvl w:val="9"/>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82" w:firstLineChars="200"/>
        <w:jc w:val="both"/>
        <w:textAlignment w:val="auto"/>
        <w:outlineLvl w:val="9"/>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14.响应文件的语言</w:t>
      </w:r>
      <w:bookmarkEnd w:id="49"/>
      <w:bookmarkEnd w:id="50"/>
      <w:bookmarkEnd w:id="51"/>
      <w:r>
        <w:rPr>
          <w:rFonts w:hint="eastAsia" w:ascii="宋体" w:hAnsi="宋体" w:eastAsia="宋体" w:cs="宋体"/>
          <w:b/>
          <w:bCs w:val="0"/>
          <w:color w:val="auto"/>
          <w:sz w:val="24"/>
          <w:highlight w:val="none"/>
        </w:rPr>
        <w:t>（实质性要求）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14.1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14.2 翻译的中文资料与外文资料如果出现差异和矛盾，以中文为准。但不能故意错误翻译，否则，供应商的响应文件将作为无效处理。</w:t>
      </w:r>
    </w:p>
    <w:p>
      <w:pPr>
        <w:keepNext w:val="0"/>
        <w:keepLines w:val="0"/>
        <w:pageBreakBefore w:val="0"/>
        <w:widowControl w:val="0"/>
        <w:kinsoku/>
        <w:wordWrap/>
        <w:overflowPunct/>
        <w:topLinePunct w:val="0"/>
        <w:autoSpaceDE/>
        <w:autoSpaceDN/>
        <w:bidi w:val="0"/>
        <w:adjustRightInd/>
        <w:snapToGrid/>
        <w:ind w:right="0" w:rightChars="0"/>
        <w:jc w:val="both"/>
        <w:textAlignment w:val="auto"/>
        <w:outlineLvl w:val="9"/>
        <w:rPr>
          <w:rFonts w:hint="eastAsia" w:ascii="宋体" w:hAnsi="宋体" w:eastAsia="宋体" w:cs="宋体"/>
          <w:color w:val="auto"/>
          <w:highlight w:val="none"/>
        </w:rPr>
      </w:pPr>
      <w:bookmarkStart w:id="52" w:name="_Toc183582216"/>
      <w:bookmarkStart w:id="53" w:name="_Toc183682353"/>
      <w:bookmarkStart w:id="54" w:name="_Toc217446044"/>
    </w:p>
    <w:p>
      <w:pPr>
        <w:keepNext w:val="0"/>
        <w:keepLines w:val="0"/>
        <w:pageBreakBefore w:val="0"/>
        <w:widowControl w:val="0"/>
        <w:kinsoku/>
        <w:wordWrap/>
        <w:overflowPunct/>
        <w:topLinePunct w:val="0"/>
        <w:autoSpaceDE/>
        <w:autoSpaceDN/>
        <w:bidi w:val="0"/>
        <w:adjustRightInd/>
        <w:snapToGrid/>
        <w:spacing w:before="0" w:after="0" w:line="400" w:lineRule="exact"/>
        <w:ind w:right="0" w:rightChars="0" w:firstLine="482" w:firstLineChars="200"/>
        <w:jc w:val="both"/>
        <w:textAlignment w:val="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15．计量单位</w:t>
      </w:r>
      <w:bookmarkEnd w:id="52"/>
      <w:bookmarkEnd w:id="53"/>
      <w:bookmarkEnd w:id="54"/>
      <w:r>
        <w:rPr>
          <w:rFonts w:hint="eastAsia" w:ascii="宋体" w:hAnsi="宋体" w:eastAsia="宋体" w:cs="宋体"/>
          <w:b/>
          <w:bCs/>
          <w:color w:val="auto"/>
          <w:sz w:val="24"/>
          <w:highlight w:val="none"/>
        </w:rPr>
        <w:t>（实质性要求）</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70" w:firstLineChars="196"/>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除磋商文件中另有规定外，本次采购项目所有合同项下的报价均采用国家法定的计量单位。</w:t>
      </w:r>
    </w:p>
    <w:p>
      <w:pPr>
        <w:spacing w:line="400" w:lineRule="exact"/>
        <w:ind w:firstLine="468" w:firstLineChars="195"/>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 xml:space="preserve"> </w:t>
      </w:r>
      <w:bookmarkStart w:id="55" w:name="_Toc217446045"/>
      <w:r>
        <w:rPr>
          <w:rFonts w:hint="eastAsia" w:ascii="宋体" w:hAnsi="宋体" w:eastAsia="宋体" w:cs="宋体"/>
          <w:color w:val="auto"/>
          <w:sz w:val="24"/>
          <w:highlight w:val="none"/>
        </w:rPr>
        <w:t xml:space="preserve">  </w:t>
      </w:r>
    </w:p>
    <w:p>
      <w:pPr>
        <w:numPr>
          <w:ilvl w:val="0"/>
          <w:numId w:val="3"/>
        </w:numPr>
        <w:spacing w:line="400" w:lineRule="exact"/>
        <w:ind w:firstLine="470" w:firstLineChars="195"/>
        <w:rPr>
          <w:rFonts w:hint="eastAsia" w:ascii="宋体" w:hAnsi="宋体" w:eastAsia="宋体" w:cs="宋体"/>
          <w:b/>
          <w:bCs/>
          <w:color w:val="auto"/>
          <w:sz w:val="24"/>
          <w:highlight w:val="none"/>
          <w:lang w:eastAsia="zh-CN"/>
        </w:rPr>
      </w:pPr>
      <w:r>
        <w:rPr>
          <w:rFonts w:hint="eastAsia" w:ascii="宋体" w:hAnsi="宋体" w:eastAsia="宋体" w:cs="宋体"/>
          <w:b/>
          <w:color w:val="auto"/>
          <w:sz w:val="24"/>
          <w:highlight w:val="none"/>
        </w:rPr>
        <w:t>报价</w:t>
      </w:r>
      <w:r>
        <w:rPr>
          <w:rFonts w:hint="eastAsia" w:ascii="宋体" w:hAnsi="宋体" w:eastAsia="宋体" w:cs="宋体"/>
          <w:b/>
          <w:bCs/>
          <w:color w:val="auto"/>
          <w:sz w:val="24"/>
          <w:highlight w:val="none"/>
          <w:lang w:eastAsia="zh-CN"/>
        </w:rPr>
        <w:t>要求</w:t>
      </w:r>
    </w:p>
    <w:p>
      <w:pPr>
        <w:spacing w:line="360" w:lineRule="auto"/>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1</w:t>
      </w:r>
      <w:r>
        <w:rPr>
          <w:rFonts w:hint="eastAsia" w:ascii="宋体" w:hAnsi="宋体" w:eastAsia="宋体" w:cs="宋体"/>
          <w:color w:val="000000" w:themeColor="text1"/>
          <w:sz w:val="24"/>
          <w:szCs w:val="28"/>
          <w:highlight w:val="none"/>
          <w:lang w:val="en-US" w:eastAsia="zh-CN"/>
          <w14:textFill>
            <w14:solidFill>
              <w14:schemeClr w14:val="tx1"/>
            </w14:solidFill>
          </w14:textFill>
        </w:rPr>
        <w:t>6</w:t>
      </w:r>
      <w:r>
        <w:rPr>
          <w:rFonts w:hint="eastAsia" w:ascii="宋体" w:hAnsi="宋体" w:eastAsia="宋体" w:cs="宋体"/>
          <w:color w:val="000000" w:themeColor="text1"/>
          <w:sz w:val="24"/>
          <w:szCs w:val="28"/>
          <w:highlight w:val="none"/>
          <w14:textFill>
            <w14:solidFill>
              <w14:schemeClr w14:val="tx1"/>
            </w14:solidFill>
          </w14:textFill>
        </w:rPr>
        <w:t xml:space="preserve">.1 </w:t>
      </w:r>
      <w:r>
        <w:rPr>
          <w:rFonts w:hint="eastAsia" w:ascii="宋体" w:hAnsi="宋体" w:eastAsia="宋体" w:cs="宋体"/>
          <w:bCs/>
          <w:color w:val="000000" w:themeColor="text1"/>
          <w:sz w:val="24"/>
          <w:highlight w:val="none"/>
          <w14:textFill>
            <w14:solidFill>
              <w14:schemeClr w14:val="tx1"/>
            </w14:solidFill>
          </w14:textFill>
        </w:rPr>
        <w:t>按磋商文件规定的内容，供应商应按磋商文件的要求报出分项综合单价和总价</w:t>
      </w:r>
      <w:r>
        <w:rPr>
          <w:rFonts w:hint="eastAsia" w:ascii="宋体" w:hAnsi="宋体" w:eastAsia="宋体" w:cs="宋体"/>
          <w:color w:val="000000" w:themeColor="text1"/>
          <w:sz w:val="24"/>
          <w:szCs w:val="28"/>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1</w:t>
      </w:r>
      <w:r>
        <w:rPr>
          <w:rFonts w:hint="eastAsia" w:ascii="宋体" w:hAnsi="宋体" w:eastAsia="宋体" w:cs="宋体"/>
          <w:color w:val="000000" w:themeColor="text1"/>
          <w:sz w:val="24"/>
          <w:szCs w:val="28"/>
          <w:highlight w:val="none"/>
          <w:lang w:val="en-US" w:eastAsia="zh-CN"/>
          <w14:textFill>
            <w14:solidFill>
              <w14:schemeClr w14:val="tx1"/>
            </w14:solidFill>
          </w14:textFill>
        </w:rPr>
        <w:t>6</w:t>
      </w:r>
      <w:r>
        <w:rPr>
          <w:rFonts w:hint="eastAsia" w:ascii="宋体" w:hAnsi="宋体" w:eastAsia="宋体" w:cs="宋体"/>
          <w:color w:val="000000" w:themeColor="text1"/>
          <w:sz w:val="24"/>
          <w:szCs w:val="28"/>
          <w:highlight w:val="none"/>
          <w14:textFill>
            <w14:solidFill>
              <w14:schemeClr w14:val="tx1"/>
            </w14:solidFill>
          </w14:textFill>
        </w:rPr>
        <w:t xml:space="preserve">.2 </w:t>
      </w:r>
      <w:r>
        <w:rPr>
          <w:rFonts w:hint="eastAsia" w:ascii="宋体" w:hAnsi="宋体" w:eastAsia="宋体" w:cs="宋体"/>
          <w:bCs/>
          <w:color w:val="000000" w:themeColor="text1"/>
          <w:sz w:val="24"/>
          <w:highlight w:val="none"/>
          <w14:textFill>
            <w14:solidFill>
              <w14:schemeClr w14:val="tx1"/>
            </w14:solidFill>
          </w14:textFill>
        </w:rPr>
        <w:t>供应商应按照磋商文件规定的商务、合同和技术责任进行报价。</w:t>
      </w:r>
    </w:p>
    <w:p>
      <w:pPr>
        <w:tabs>
          <w:tab w:val="left" w:pos="1620"/>
        </w:tabs>
        <w:autoSpaceDE w:val="0"/>
        <w:autoSpaceDN w:val="0"/>
        <w:adjustRightInd w:val="0"/>
        <w:spacing w:line="360" w:lineRule="auto"/>
        <w:ind w:firstLine="480" w:firstLineChars="200"/>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1</w:t>
      </w:r>
      <w:r>
        <w:rPr>
          <w:rFonts w:hint="eastAsia" w:ascii="宋体" w:hAnsi="宋体" w:eastAsia="宋体" w:cs="宋体"/>
          <w:color w:val="000000" w:themeColor="text1"/>
          <w:sz w:val="24"/>
          <w:szCs w:val="28"/>
          <w:highlight w:val="none"/>
          <w:lang w:val="en-US" w:eastAsia="zh-CN"/>
          <w14:textFill>
            <w14:solidFill>
              <w14:schemeClr w14:val="tx1"/>
            </w14:solidFill>
          </w14:textFill>
        </w:rPr>
        <w:t>6</w:t>
      </w:r>
      <w:r>
        <w:rPr>
          <w:rFonts w:hint="eastAsia" w:ascii="宋体" w:hAnsi="宋体" w:eastAsia="宋体" w:cs="宋体"/>
          <w:color w:val="000000" w:themeColor="text1"/>
          <w:sz w:val="24"/>
          <w:szCs w:val="28"/>
          <w:highlight w:val="none"/>
          <w14:textFill>
            <w14:solidFill>
              <w14:schemeClr w14:val="tx1"/>
            </w14:solidFill>
          </w14:textFill>
        </w:rPr>
        <w:t xml:space="preserve">.3 </w:t>
      </w:r>
      <w:r>
        <w:rPr>
          <w:rFonts w:hint="eastAsia" w:ascii="宋体" w:hAnsi="宋体" w:eastAsia="宋体" w:cs="宋体"/>
          <w:bCs/>
          <w:color w:val="000000" w:themeColor="text1"/>
          <w:sz w:val="24"/>
          <w:highlight w:val="none"/>
          <w14:textFill>
            <w14:solidFill>
              <w14:schemeClr w14:val="tx1"/>
            </w14:solidFill>
          </w14:textFill>
        </w:rPr>
        <w:t>磋商价格应是所述项目的</w:t>
      </w:r>
      <w:r>
        <w:rPr>
          <w:rFonts w:hint="eastAsia" w:ascii="宋体" w:hAnsi="宋体" w:cs="宋体"/>
          <w:bCs/>
          <w:color w:val="000000" w:themeColor="text1"/>
          <w:sz w:val="24"/>
          <w:highlight w:val="none"/>
          <w:lang w:eastAsia="zh-CN"/>
          <w14:textFill>
            <w14:solidFill>
              <w14:schemeClr w14:val="tx1"/>
            </w14:solidFill>
          </w14:textFill>
        </w:rPr>
        <w:t>工作内容</w:t>
      </w:r>
      <w:r>
        <w:rPr>
          <w:rFonts w:hint="eastAsia" w:ascii="宋体" w:hAnsi="宋体" w:eastAsia="宋体" w:cs="宋体"/>
          <w:bCs/>
          <w:color w:val="000000" w:themeColor="text1"/>
          <w:sz w:val="24"/>
          <w:highlight w:val="none"/>
          <w14:textFill>
            <w14:solidFill>
              <w14:schemeClr w14:val="tx1"/>
            </w14:solidFill>
          </w14:textFill>
        </w:rPr>
        <w:t>的报价。</w:t>
      </w:r>
    </w:p>
    <w:p>
      <w:pPr>
        <w:tabs>
          <w:tab w:val="left" w:pos="1620"/>
        </w:tabs>
        <w:autoSpaceDE w:val="0"/>
        <w:autoSpaceDN w:val="0"/>
        <w:adjustRightInd w:val="0"/>
        <w:spacing w:line="360" w:lineRule="auto"/>
        <w:ind w:firstLine="480" w:firstLineChars="200"/>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即该报价均包括完成该</w:t>
      </w:r>
      <w:r>
        <w:rPr>
          <w:rFonts w:hint="eastAsia" w:ascii="宋体" w:hAnsi="宋体" w:cs="宋体"/>
          <w:bCs/>
          <w:color w:val="000000" w:themeColor="text1"/>
          <w:sz w:val="24"/>
          <w:highlight w:val="none"/>
          <w:lang w:eastAsia="zh-CN"/>
          <w14:textFill>
            <w14:solidFill>
              <w14:schemeClr w14:val="tx1"/>
            </w14:solidFill>
          </w14:textFill>
        </w:rPr>
        <w:t>服务</w:t>
      </w:r>
      <w:r>
        <w:rPr>
          <w:rFonts w:hint="eastAsia" w:ascii="宋体" w:hAnsi="宋体" w:eastAsia="宋体" w:cs="宋体"/>
          <w:bCs/>
          <w:color w:val="000000" w:themeColor="text1"/>
          <w:sz w:val="24"/>
          <w:highlight w:val="none"/>
          <w14:textFill>
            <w14:solidFill>
              <w14:schemeClr w14:val="tx1"/>
            </w14:solidFill>
          </w14:textFill>
        </w:rPr>
        <w:t>项目的成本、利润、税金、开办费、技术措施费、大型机械进出场费、风险费、政策性文件规定费用等所有费用，并以供应商在工程量清单报价中提出的单价或总价为根据。</w:t>
      </w:r>
    </w:p>
    <w:p>
      <w:pP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w:t>
      </w:r>
      <w:r>
        <w:rPr>
          <w:rFonts w:hint="eastAsia" w:ascii="宋体" w:hAnsi="宋体" w:eastAsia="宋体" w:cs="宋体"/>
          <w:color w:val="auto"/>
          <w:sz w:val="24"/>
          <w:szCs w:val="28"/>
          <w:highlight w:val="none"/>
          <w:lang w:val="en-US" w:eastAsia="zh-CN"/>
        </w:rPr>
        <w:t>6</w:t>
      </w:r>
      <w:r>
        <w:rPr>
          <w:rFonts w:hint="eastAsia" w:ascii="宋体" w:hAnsi="宋体" w:eastAsia="宋体" w:cs="宋体"/>
          <w:color w:val="auto"/>
          <w:sz w:val="24"/>
          <w:szCs w:val="28"/>
          <w:highlight w:val="none"/>
        </w:rPr>
        <w:t>.4 所有报价币种为人民币，单位：元。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Cs/>
          <w:color w:val="auto"/>
          <w:sz w:val="24"/>
          <w:highlight w:val="none"/>
          <w:lang w:eastAsia="zh-CN"/>
        </w:rPr>
      </w:pPr>
      <w:r>
        <w:rPr>
          <w:rFonts w:hint="eastAsia" w:ascii="宋体" w:hAnsi="宋体" w:eastAsia="宋体" w:cs="宋体"/>
          <w:b/>
          <w:color w:val="auto"/>
          <w:sz w:val="24"/>
          <w:szCs w:val="28"/>
          <w:highlight w:val="none"/>
        </w:rPr>
        <w:t xml:space="preserve"> 最终报价要求:</w:t>
      </w:r>
      <w:r>
        <w:rPr>
          <w:rFonts w:hint="eastAsia" w:ascii="宋体" w:hAnsi="宋体" w:eastAsia="宋体" w:cs="宋体"/>
          <w:color w:val="auto"/>
          <w:sz w:val="24"/>
          <w:szCs w:val="28"/>
          <w:highlight w:val="none"/>
        </w:rPr>
        <w:t>在磋商结束后，供应商的最终报价以“首轮报价”为基础</w:t>
      </w:r>
      <w:r>
        <w:rPr>
          <w:rFonts w:hint="eastAsia" w:ascii="宋体" w:hAnsi="宋体" w:eastAsia="宋体" w:cs="宋体"/>
          <w:color w:val="auto"/>
          <w:sz w:val="24"/>
          <w:szCs w:val="28"/>
          <w:highlight w:val="none"/>
          <w:lang w:eastAsia="zh-CN"/>
        </w:rPr>
        <w:t>进行</w:t>
      </w:r>
      <w:r>
        <w:rPr>
          <w:rFonts w:hint="eastAsia" w:ascii="宋体" w:hAnsi="宋体" w:eastAsia="宋体" w:cs="宋体"/>
          <w:color w:val="auto"/>
          <w:sz w:val="24"/>
          <w:szCs w:val="28"/>
          <w:highlight w:val="none"/>
        </w:rPr>
        <w:t>填</w:t>
      </w:r>
      <w:r>
        <w:rPr>
          <w:rFonts w:hint="eastAsia" w:ascii="宋体" w:hAnsi="宋体" w:eastAsia="宋体" w:cs="宋体"/>
          <w:color w:val="auto"/>
          <w:sz w:val="24"/>
          <w:szCs w:val="28"/>
          <w:highlight w:val="none"/>
          <w:lang w:eastAsia="zh-CN"/>
        </w:rPr>
        <w:t>写报价。</w:t>
      </w:r>
    </w:p>
    <w:bookmarkEnd w:id="55"/>
    <w:p>
      <w:pPr>
        <w:keepNext w:val="0"/>
        <w:keepLines w:val="0"/>
        <w:pageBreakBefore w:val="0"/>
        <w:widowControl w:val="0"/>
        <w:kinsoku/>
        <w:wordWrap/>
        <w:overflowPunct/>
        <w:topLinePunct w:val="0"/>
        <w:autoSpaceDE/>
        <w:autoSpaceDN/>
        <w:bidi w:val="0"/>
        <w:adjustRightInd/>
        <w:snapToGrid/>
        <w:spacing w:line="400" w:lineRule="exact"/>
        <w:ind w:left="2" w:leftChars="1" w:firstLine="482" w:firstLineChars="200"/>
        <w:textAlignment w:val="auto"/>
        <w:rPr>
          <w:rFonts w:hint="eastAsia" w:ascii="宋体" w:hAnsi="宋体" w:eastAsia="宋体" w:cs="宋体"/>
          <w:b/>
          <w:bCs/>
          <w:color w:val="auto"/>
          <w:sz w:val="24"/>
          <w:highlight w:val="none"/>
        </w:rPr>
      </w:pPr>
    </w:p>
    <w:p>
      <w:pPr>
        <w:spacing w:line="400" w:lineRule="exact"/>
        <w:ind w:left="2" w:leftChars="1"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17.响应文件格式</w:t>
      </w:r>
    </w:p>
    <w:p>
      <w:pPr>
        <w:spacing w:line="400" w:lineRule="exact"/>
        <w:ind w:left="2" w:leftChars="1"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17.1 供应商应执行磋商文件第</w:t>
      </w:r>
      <w:r>
        <w:rPr>
          <w:rFonts w:hint="eastAsia" w:ascii="宋体" w:hAnsi="宋体" w:eastAsia="宋体" w:cs="宋体"/>
          <w:bCs/>
          <w:color w:val="auto"/>
          <w:sz w:val="24"/>
          <w:highlight w:val="none"/>
          <w:lang w:eastAsia="zh-CN"/>
        </w:rPr>
        <w:t>七</w:t>
      </w:r>
      <w:r>
        <w:rPr>
          <w:rFonts w:hint="eastAsia" w:ascii="宋体" w:hAnsi="宋体" w:eastAsia="宋体" w:cs="宋体"/>
          <w:bCs/>
          <w:color w:val="auto"/>
          <w:sz w:val="24"/>
          <w:highlight w:val="none"/>
        </w:rPr>
        <w:t>章的规定要求。</w:t>
      </w:r>
    </w:p>
    <w:p>
      <w:pPr>
        <w:spacing w:line="400" w:lineRule="exact"/>
        <w:ind w:left="2" w:leftChars="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对于没有格式要求的磋商文件由供应商自行编写。</w:t>
      </w:r>
    </w:p>
    <w:p>
      <w:pPr>
        <w:spacing w:line="400" w:lineRule="exact"/>
        <w:ind w:firstLine="470" w:firstLineChars="196"/>
        <w:rPr>
          <w:rFonts w:hint="eastAsia" w:ascii="宋体" w:hAnsi="宋体" w:eastAsia="宋体" w:cs="宋体"/>
          <w:color w:val="auto"/>
          <w:sz w:val="24"/>
          <w:highlight w:val="none"/>
        </w:rPr>
      </w:pPr>
      <w:bookmarkStart w:id="56" w:name="_Toc183682361"/>
      <w:bookmarkStart w:id="57" w:name="_Toc217446051"/>
      <w:bookmarkStart w:id="58" w:name="_Toc183582224"/>
    </w:p>
    <w:p>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18.响应文件的编制和签署</w:t>
      </w:r>
      <w:r>
        <w:rPr>
          <w:rFonts w:hint="eastAsia" w:ascii="宋体" w:hAnsi="宋体" w:eastAsia="宋体" w:cs="宋体"/>
          <w:b/>
          <w:bCs w:val="0"/>
          <w:color w:val="auto"/>
          <w:sz w:val="24"/>
          <w:highlight w:val="none"/>
        </w:rPr>
        <w:t>（实质性要求）</w:t>
      </w:r>
    </w:p>
    <w:bookmarkEnd w:id="56"/>
    <w:bookmarkEnd w:id="57"/>
    <w:bookmarkEnd w:id="58"/>
    <w:p>
      <w:pPr>
        <w:keepNext w:val="0"/>
        <w:keepLines w:val="0"/>
        <w:pageBreakBefore w:val="0"/>
        <w:widowControl w:val="0"/>
        <w:kinsoku/>
        <w:wordWrap/>
        <w:overflowPunct/>
        <w:topLinePunct w:val="0"/>
        <w:autoSpaceDE/>
        <w:autoSpaceDN/>
        <w:bidi w:val="0"/>
        <w:adjustRightInd/>
        <w:snapToGrid/>
        <w:spacing w:line="360" w:lineRule="auto"/>
        <w:ind w:firstLine="468" w:firstLineChars="195"/>
        <w:textAlignment w:val="auto"/>
        <w:rPr>
          <w:rFonts w:hint="eastAsia" w:ascii="宋体" w:hAnsi="宋体" w:eastAsia="宋体" w:cs="宋体"/>
          <w:bCs/>
          <w:color w:val="auto"/>
          <w:sz w:val="24"/>
          <w:highlight w:val="none"/>
        </w:rPr>
      </w:pPr>
      <w:bookmarkStart w:id="59" w:name="_Toc217446053"/>
      <w:bookmarkStart w:id="60" w:name="_Toc183582226"/>
      <w:bookmarkStart w:id="61" w:name="_Toc183682363"/>
      <w:bookmarkStart w:id="62" w:name="_Toc89075877"/>
      <w:bookmarkStart w:id="63" w:name="_Toc77400781"/>
      <w:r>
        <w:rPr>
          <w:rFonts w:hint="eastAsia" w:ascii="宋体" w:hAnsi="宋体" w:eastAsia="宋体" w:cs="宋体"/>
          <w:color w:val="auto"/>
          <w:sz w:val="24"/>
          <w:highlight w:val="none"/>
        </w:rPr>
        <w:t>18.1 资格性响应文件正本</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副本</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份</w:t>
      </w:r>
      <w:r>
        <w:rPr>
          <w:rFonts w:hint="eastAsia" w:ascii="宋体" w:hAnsi="宋体" w:eastAsia="宋体" w:cs="宋体"/>
          <w:bCs/>
          <w:color w:val="auto"/>
          <w:sz w:val="24"/>
          <w:highlight w:val="none"/>
        </w:rPr>
        <w:t>，并在其封面上清楚地标明资格性响应文件、项目名称、项目编号、包件号及名称（若有）、供应商名称以及“正本”或“副本”字样。若正本和副本有不一致的内容，以正本书面响应文件为准。</w:t>
      </w:r>
    </w:p>
    <w:p>
      <w:pPr>
        <w:keepNext w:val="0"/>
        <w:keepLines w:val="0"/>
        <w:pageBreakBefore w:val="0"/>
        <w:widowControl w:val="0"/>
        <w:kinsoku/>
        <w:wordWrap/>
        <w:overflowPunct/>
        <w:topLinePunct w:val="0"/>
        <w:autoSpaceDE/>
        <w:autoSpaceDN/>
        <w:bidi w:val="0"/>
        <w:adjustRightInd/>
        <w:snapToGrid/>
        <w:spacing w:line="360" w:lineRule="auto"/>
        <w:ind w:firstLine="468" w:firstLineChars="195"/>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18.2 其他响应文件正本</w:t>
      </w: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rPr>
        <w:t>份</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副本</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rPr>
        <w:t>份，并在其封面上清楚地标明其他响应文件、项目名称、项目编号、包件号及名称（若有）、供应商名称以及“正本”或“副本”字样。若正本和副本有不一致的内容，以正本书面响应文件为准。</w:t>
      </w:r>
    </w:p>
    <w:p>
      <w:pPr>
        <w:keepNext w:val="0"/>
        <w:keepLines w:val="0"/>
        <w:pageBreakBefore w:val="0"/>
        <w:widowControl w:val="0"/>
        <w:kinsoku/>
        <w:wordWrap/>
        <w:overflowPunct/>
        <w:topLinePunct w:val="0"/>
        <w:autoSpaceDE/>
        <w:autoSpaceDN/>
        <w:bidi w:val="0"/>
        <w:adjustRightInd/>
        <w:snapToGrid/>
        <w:spacing w:line="360" w:lineRule="auto"/>
        <w:ind w:firstLine="468" w:firstLineChars="195"/>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 xml:space="preserve">18.3 </w:t>
      </w:r>
      <w:r>
        <w:rPr>
          <w:rFonts w:hint="eastAsia" w:ascii="宋体" w:hAnsi="宋体" w:eastAsia="宋体" w:cs="宋体"/>
          <w:bCs/>
          <w:color w:val="auto"/>
          <w:sz w:val="24"/>
          <w:highlight w:val="none"/>
          <w:lang w:eastAsia="zh-CN"/>
        </w:rPr>
        <w:t>电子文档</w:t>
      </w:r>
      <w:r>
        <w:rPr>
          <w:rFonts w:hint="eastAsia" w:ascii="宋体" w:hAnsi="宋体" w:eastAsia="宋体" w:cs="宋体"/>
          <w:bCs/>
          <w:color w:val="auto"/>
          <w:sz w:val="24"/>
          <w:highlight w:val="none"/>
          <w:lang w:val="en-US" w:eastAsia="zh-CN"/>
        </w:rPr>
        <w:t>1份</w:t>
      </w:r>
      <w:r>
        <w:rPr>
          <w:rFonts w:hint="eastAsia" w:ascii="宋体" w:hAnsi="宋体" w:cs="宋体"/>
          <w:bCs/>
          <w:color w:val="auto"/>
          <w:sz w:val="24"/>
          <w:highlight w:val="none"/>
          <w:lang w:val="en-US" w:eastAsia="zh-CN"/>
        </w:rPr>
        <w:t>，</w:t>
      </w:r>
      <w:r>
        <w:rPr>
          <w:rFonts w:hint="eastAsia" w:ascii="宋体" w:hAnsi="宋体" w:eastAsia="宋体" w:cs="宋体"/>
          <w:bCs/>
          <w:color w:val="auto"/>
          <w:sz w:val="24"/>
          <w:highlight w:val="none"/>
          <w:lang w:val="en-US" w:eastAsia="zh-CN"/>
        </w:rPr>
        <w:t>采用U盘制作</w:t>
      </w:r>
      <w:r>
        <w:rPr>
          <w:rFonts w:hint="eastAsia" w:ascii="宋体" w:hAnsi="宋体" w:cs="宋体"/>
          <w:bCs/>
          <w:color w:val="auto"/>
          <w:sz w:val="24"/>
          <w:highlight w:val="none"/>
          <w:lang w:val="en-US" w:eastAsia="zh-CN"/>
        </w:rPr>
        <w:t>。</w:t>
      </w:r>
      <w:r>
        <w:rPr>
          <w:rFonts w:hint="eastAsia" w:ascii="宋体" w:hAnsi="宋体" w:eastAsia="宋体" w:cs="宋体"/>
          <w:bCs/>
          <w:color w:val="auto"/>
          <w:sz w:val="24"/>
          <w:highlight w:val="none"/>
        </w:rPr>
        <w:t>响应文件正本和副本均需在规定签章处签字和盖章。响应文件副本可采用正本的复印件。</w:t>
      </w:r>
    </w:p>
    <w:p>
      <w:pPr>
        <w:keepNext w:val="0"/>
        <w:keepLines w:val="0"/>
        <w:pageBreakBefore w:val="0"/>
        <w:widowControl w:val="0"/>
        <w:kinsoku/>
        <w:wordWrap/>
        <w:overflowPunct/>
        <w:topLinePunct w:val="0"/>
        <w:autoSpaceDE/>
        <w:autoSpaceDN/>
        <w:bidi w:val="0"/>
        <w:adjustRightInd/>
        <w:snapToGrid/>
        <w:spacing w:line="360" w:lineRule="auto"/>
        <w:ind w:firstLine="468" w:firstLineChars="195"/>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18.4响应文件的打印和书写应清楚工整，任何行间插字、涂改或增删，必须由供应商的法定代表人或其授权代表签字并盖供应商公章。</w:t>
      </w:r>
    </w:p>
    <w:p>
      <w:pPr>
        <w:keepNext w:val="0"/>
        <w:keepLines w:val="0"/>
        <w:pageBreakBefore w:val="0"/>
        <w:widowControl w:val="0"/>
        <w:kinsoku/>
        <w:wordWrap/>
        <w:overflowPunct/>
        <w:topLinePunct w:val="0"/>
        <w:autoSpaceDE/>
        <w:autoSpaceDN/>
        <w:bidi w:val="0"/>
        <w:adjustRightInd/>
        <w:snapToGrid/>
        <w:spacing w:line="360" w:lineRule="auto"/>
        <w:ind w:firstLine="468" w:firstLineChars="195"/>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18.5</w:t>
      </w:r>
      <w:r>
        <w:rPr>
          <w:rFonts w:hint="eastAsia" w:ascii="宋体" w:hAnsi="宋体" w:eastAsia="宋体" w:cs="宋体"/>
          <w:b/>
          <w:bCs w:val="0"/>
          <w:color w:val="auto"/>
          <w:sz w:val="24"/>
          <w:highlight w:val="none"/>
        </w:rPr>
        <w:t>（实质性要求）</w:t>
      </w:r>
      <w:r>
        <w:rPr>
          <w:rFonts w:hint="eastAsia" w:ascii="宋体" w:hAnsi="宋体" w:eastAsia="宋体" w:cs="宋体"/>
          <w:bCs/>
          <w:color w:val="auto"/>
          <w:sz w:val="24"/>
          <w:highlight w:val="none"/>
        </w:rPr>
        <w:t>响应文件应由供应商法定代表人/主要负责人/本人或其授权代表在响应文件要求的地方签字，要求加盖公章的地方加盖单位公章，不得使用专用章（如经济合同章、投标专用章等）或下属单位印章代替。</w:t>
      </w:r>
      <w:r>
        <w:rPr>
          <w:rFonts w:hint="eastAsia" w:ascii="宋体" w:hAnsi="宋体" w:eastAsia="宋体" w:cs="宋体"/>
          <w:bCs/>
          <w:color w:val="auto"/>
          <w:sz w:val="24"/>
          <w:highlight w:val="none"/>
          <w:lang w:eastAsia="zh-CN"/>
        </w:rPr>
        <w:t>响应文件封面须加盖</w:t>
      </w:r>
      <w:r>
        <w:rPr>
          <w:rFonts w:hint="eastAsia" w:ascii="宋体" w:hAnsi="宋体" w:eastAsia="宋体" w:cs="宋体"/>
          <w:bCs/>
          <w:color w:val="auto"/>
          <w:sz w:val="24"/>
          <w:highlight w:val="none"/>
        </w:rPr>
        <w:t>供应商公章</w:t>
      </w:r>
      <w:r>
        <w:rPr>
          <w:rFonts w:hint="eastAsia" w:ascii="宋体" w:hAnsi="宋体" w:eastAsia="宋体" w:cs="宋体"/>
          <w:bCs/>
          <w:color w:val="auto"/>
          <w:sz w:val="24"/>
          <w:highlight w:val="none"/>
          <w:lang w:eastAsia="zh-CN"/>
        </w:rPr>
        <w:t>，并在骑缝处加盖</w:t>
      </w:r>
      <w:r>
        <w:rPr>
          <w:rFonts w:hint="eastAsia" w:ascii="宋体" w:hAnsi="宋体" w:eastAsia="宋体" w:cs="宋体"/>
          <w:bCs/>
          <w:color w:val="auto"/>
          <w:sz w:val="24"/>
          <w:highlight w:val="none"/>
        </w:rPr>
        <w:t>供应商公章</w:t>
      </w:r>
      <w:r>
        <w:rPr>
          <w:rFonts w:hint="eastAsia" w:ascii="宋体" w:hAnsi="宋体" w:eastAsia="宋体" w:cs="宋体"/>
          <w:bCs/>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68" w:firstLineChars="195"/>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18.6响应文件正本和副本需要逐页编码。</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60" w:firstLineChars="19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18.7响应文件正本和副本应当采用胶装方式装订成册，不得散装或者合页装订。</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60" w:firstLineChars="19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18.8</w:t>
      </w:r>
      <w:r>
        <w:rPr>
          <w:rFonts w:hint="eastAsia" w:ascii="宋体" w:hAnsi="宋体" w:eastAsia="宋体" w:cs="宋体"/>
          <w:b/>
          <w:color w:val="auto"/>
          <w:sz w:val="24"/>
          <w:highlight w:val="none"/>
        </w:rPr>
        <w:t>（实质性要求）</w:t>
      </w:r>
      <w:r>
        <w:rPr>
          <w:rFonts w:hint="eastAsia" w:ascii="宋体" w:hAnsi="宋体" w:eastAsia="宋体" w:cs="宋体"/>
          <w:color w:val="auto"/>
          <w:sz w:val="24"/>
          <w:highlight w:val="none"/>
        </w:rPr>
        <w:t>响应文件应根据磋商文件的要求制作，签署、盖章。（按照《四川省政府采购评审工作规程（修订）》规范）</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60" w:firstLineChars="19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18.9响应文件统一用A4幅面纸印制，除另有规定外。</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60" w:firstLineChars="192"/>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lang w:val="en-US" w:eastAsia="zh-CN"/>
        </w:rPr>
        <w:t>18.10</w:t>
      </w: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未按以上要求进行</w:t>
      </w:r>
      <w:r>
        <w:rPr>
          <w:rFonts w:hint="eastAsia" w:ascii="宋体" w:hAnsi="宋体" w:eastAsia="宋体" w:cs="宋体"/>
          <w:b/>
          <w:color w:val="auto"/>
          <w:sz w:val="24"/>
          <w:highlight w:val="none"/>
        </w:rPr>
        <w:t>编制和签署</w:t>
      </w:r>
      <w:r>
        <w:rPr>
          <w:rFonts w:hint="eastAsia" w:ascii="宋体" w:hAnsi="宋体" w:eastAsia="宋体" w:cs="宋体"/>
          <w:b/>
          <w:bCs/>
          <w:color w:val="auto"/>
          <w:sz w:val="24"/>
          <w:highlight w:val="none"/>
        </w:rPr>
        <w:t>的响应文件</w:t>
      </w:r>
      <w:r>
        <w:rPr>
          <w:rFonts w:hint="eastAsia" w:ascii="宋体" w:hAnsi="宋体" w:eastAsia="宋体" w:cs="宋体"/>
          <w:b/>
          <w:bCs/>
          <w:color w:val="auto"/>
          <w:sz w:val="24"/>
          <w:highlight w:val="none"/>
          <w:lang w:val="en-US" w:eastAsia="zh-CN"/>
        </w:rPr>
        <w:t>,采购人、采购代理机构应当拒收</w:t>
      </w:r>
      <w:r>
        <w:rPr>
          <w:rFonts w:hint="eastAsia" w:ascii="宋体" w:hAnsi="宋体" w:eastAsia="宋体" w:cs="宋体"/>
          <w:b/>
          <w:bCs/>
          <w:color w:val="auto"/>
          <w:sz w:val="24"/>
          <w:highlight w:val="none"/>
        </w:rPr>
        <w:t>。</w:t>
      </w:r>
    </w:p>
    <w:p>
      <w:pPr>
        <w:keepNext w:val="0"/>
        <w:keepLines w:val="0"/>
        <w:pageBreakBefore w:val="0"/>
        <w:widowControl w:val="0"/>
        <w:tabs>
          <w:tab w:val="left" w:pos="1080"/>
        </w:tabs>
        <w:kinsoku/>
        <w:wordWrap/>
        <w:overflowPunct/>
        <w:topLinePunct w:val="0"/>
        <w:autoSpaceDE/>
        <w:autoSpaceDN/>
        <w:bidi w:val="0"/>
        <w:adjustRightInd/>
        <w:snapToGrid/>
        <w:spacing w:line="324" w:lineRule="auto"/>
        <w:ind w:firstLine="463" w:firstLineChars="192"/>
        <w:textAlignment w:val="auto"/>
        <w:rPr>
          <w:rFonts w:hint="eastAsia" w:ascii="宋体" w:hAnsi="宋体" w:eastAsia="宋体" w:cs="宋体"/>
          <w:b/>
          <w:color w:val="auto"/>
          <w:sz w:val="24"/>
          <w:highlight w:val="none"/>
        </w:rPr>
      </w:pP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63" w:firstLineChars="192"/>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19.响应文件的密封和标注（不属于本项目磋商小组评审范畴，由采购人、采购代理机构在接收响应文件时及时处理）</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60" w:firstLineChars="19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 响应文件可以单独密封包装，也可以所有响应文件密封包装在一个密封袋内。</w:t>
      </w:r>
    </w:p>
    <w:p>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19.2 响应文件密封袋的最外层应清楚地标明项目名称、项目编号、包件号及名称（若有）、供应商名称。</w:t>
      </w:r>
    </w:p>
    <w:p>
      <w:pPr>
        <w:tabs>
          <w:tab w:val="left" w:pos="1080"/>
        </w:tabs>
        <w:spacing w:line="360" w:lineRule="auto"/>
        <w:ind w:firstLine="460" w:firstLineChars="192"/>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19.3 </w:t>
      </w:r>
      <w:r>
        <w:rPr>
          <w:rFonts w:hint="eastAsia" w:ascii="宋体" w:hAnsi="宋体" w:eastAsia="宋体" w:cs="宋体"/>
          <w:b/>
          <w:bCs/>
          <w:color w:val="auto"/>
          <w:sz w:val="24"/>
          <w:highlight w:val="none"/>
          <w:lang w:eastAsia="zh-CN"/>
        </w:rPr>
        <w:t>（实质性要求）</w:t>
      </w:r>
      <w:r>
        <w:rPr>
          <w:rFonts w:hint="eastAsia" w:ascii="宋体" w:hAnsi="宋体" w:eastAsia="宋体" w:cs="宋体"/>
          <w:color w:val="auto"/>
          <w:sz w:val="24"/>
          <w:highlight w:val="none"/>
        </w:rPr>
        <w:t>所有外层密封袋的封口处应粘贴牢固</w:t>
      </w:r>
      <w:r>
        <w:rPr>
          <w:rFonts w:hint="eastAsia" w:ascii="宋体" w:hAnsi="宋体" w:eastAsia="宋体" w:cs="宋体"/>
          <w:color w:val="auto"/>
          <w:sz w:val="24"/>
          <w:highlight w:val="none"/>
          <w:lang w:eastAsia="zh-CN"/>
        </w:rPr>
        <w:t>，并加盖密封章（</w:t>
      </w:r>
      <w:r>
        <w:rPr>
          <w:rFonts w:hint="eastAsia" w:ascii="宋体" w:hAnsi="宋体" w:eastAsia="宋体" w:cs="宋体"/>
          <w:bCs/>
          <w:color w:val="auto"/>
          <w:sz w:val="24"/>
          <w:highlight w:val="none"/>
        </w:rPr>
        <w:t>供应商公章</w:t>
      </w:r>
      <w:r>
        <w:rPr>
          <w:rFonts w:hint="eastAsia" w:ascii="宋体" w:hAnsi="宋体" w:eastAsia="宋体" w:cs="宋体"/>
          <w:color w:val="auto"/>
          <w:sz w:val="24"/>
          <w:highlight w:val="none"/>
          <w:lang w:eastAsia="zh-CN"/>
        </w:rPr>
        <w:t>）。</w:t>
      </w:r>
    </w:p>
    <w:p>
      <w:pPr>
        <w:tabs>
          <w:tab w:val="left" w:pos="1080"/>
        </w:tabs>
        <w:spacing w:line="360" w:lineRule="auto"/>
        <w:ind w:firstLine="460" w:firstLineChars="192"/>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19.4 </w:t>
      </w:r>
      <w:r>
        <w:rPr>
          <w:rFonts w:hint="eastAsia" w:ascii="宋体" w:hAnsi="宋体" w:eastAsia="宋体" w:cs="宋体"/>
          <w:b/>
          <w:bCs/>
          <w:color w:val="auto"/>
          <w:sz w:val="24"/>
          <w:highlight w:val="none"/>
        </w:rPr>
        <w:t>未按以上要求进行密封和标注的响应文件</w:t>
      </w:r>
      <w:r>
        <w:rPr>
          <w:rFonts w:hint="eastAsia" w:ascii="宋体" w:hAnsi="宋体" w:eastAsia="宋体" w:cs="宋体"/>
          <w:b/>
          <w:bCs/>
          <w:color w:val="auto"/>
          <w:sz w:val="24"/>
          <w:highlight w:val="none"/>
          <w:lang w:val="en-US" w:eastAsia="zh-CN"/>
        </w:rPr>
        <w:t>,采购人、采购代理机构应当拒收</w:t>
      </w:r>
      <w:r>
        <w:rPr>
          <w:rFonts w:hint="eastAsia" w:ascii="宋体" w:hAnsi="宋体" w:eastAsia="宋体" w:cs="宋体"/>
          <w:b/>
          <w:bCs/>
          <w:color w:val="auto"/>
          <w:sz w:val="24"/>
          <w:highlight w:val="none"/>
        </w:rPr>
        <w:t>。</w:t>
      </w:r>
    </w:p>
    <w:p>
      <w:pPr>
        <w:tabs>
          <w:tab w:val="left" w:pos="1080"/>
        </w:tabs>
        <w:spacing w:line="360" w:lineRule="auto"/>
        <w:ind w:firstLine="463" w:firstLineChars="19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20.响应文件的递交</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60" w:firstLineChars="19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20.1 资格性响应文件和其他响应文件应于递交响应文件截止时间前送达指定地点，采购代理机构拒绝接收截止时间后送达的响应文件。</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60" w:firstLineChars="19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20.2 采购代理机构将向通过资格审查的供应商发出磋商邀请；告知未通过资格审查的供应商未通过的原因。</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60" w:firstLineChars="19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20.3 报价表在磋商后，磋商小组要求供应商进行最后报价时递交。</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60" w:firstLineChars="19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20.4 本次采购不接收邮寄的响应文件。</w:t>
      </w:r>
    </w:p>
    <w:bookmarkEnd w:id="59"/>
    <w:bookmarkEnd w:id="60"/>
    <w:bookmarkEnd w:id="61"/>
    <w:bookmarkEnd w:id="62"/>
    <w:bookmarkEnd w:id="63"/>
    <w:p>
      <w:pPr>
        <w:tabs>
          <w:tab w:val="left" w:pos="1080"/>
        </w:tabs>
        <w:spacing w:line="400" w:lineRule="exact"/>
        <w:ind w:firstLine="463" w:firstLineChars="192"/>
        <w:rPr>
          <w:rFonts w:hint="eastAsia" w:ascii="宋体" w:hAnsi="宋体" w:eastAsia="宋体" w:cs="宋体"/>
          <w:b/>
          <w:color w:val="auto"/>
          <w:sz w:val="24"/>
          <w:highlight w:val="none"/>
        </w:rPr>
      </w:pPr>
      <w:bookmarkStart w:id="64" w:name="_Toc183682365"/>
      <w:bookmarkStart w:id="65" w:name="_Toc183582228"/>
      <w:bookmarkStart w:id="66" w:name="_Toc217446055"/>
    </w:p>
    <w:p>
      <w:pPr>
        <w:keepNext w:val="0"/>
        <w:keepLines w:val="0"/>
        <w:pageBreakBefore w:val="0"/>
        <w:widowControl w:val="0"/>
        <w:tabs>
          <w:tab w:val="left" w:pos="1080"/>
        </w:tabs>
        <w:kinsoku/>
        <w:wordWrap/>
        <w:overflowPunct/>
        <w:topLinePunct w:val="0"/>
        <w:autoSpaceDE/>
        <w:autoSpaceDN/>
        <w:bidi w:val="0"/>
        <w:spacing w:line="360" w:lineRule="auto"/>
        <w:ind w:firstLine="463" w:firstLineChars="192"/>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21.响应文件的修改和撤回（补充、修改响应文件的密封和标注按照本章“19.响应文件的密封和标注”规定处理）</w:t>
      </w:r>
    </w:p>
    <w:p>
      <w:pPr>
        <w:pStyle w:val="7"/>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21.2供应商对响应文件修改的书面材料或撤回的通知应该按规定进行编写、密封、标注和递送，并注明“修改响应文件”字样。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21.3供应商不得在递交截止时间起至响应文件有效期期满前撤销其响应文件。</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21.4 响应文件中报价如果出现下列不一致的，可按以下原则进行修改：</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w:t>
      </w:r>
      <w:r>
        <w:rPr>
          <w:rFonts w:hint="eastAsia" w:ascii="宋体" w:hAnsi="宋体" w:eastAsia="宋体" w:cs="宋体"/>
          <w:color w:val="auto"/>
          <w:kern w:val="0"/>
          <w:sz w:val="24"/>
          <w:highlight w:val="none"/>
        </w:rPr>
        <w:t>大写金额和小写金额不一致的，以大写金额为准</w:t>
      </w:r>
      <w:r>
        <w:rPr>
          <w:rFonts w:hint="eastAsia" w:ascii="宋体" w:hAnsi="宋体" w:eastAsia="宋体" w:cs="宋体"/>
          <w:color w:val="auto"/>
          <w:sz w:val="24"/>
          <w:highlight w:val="none"/>
        </w:rPr>
        <w:t>，但大写金额文字存在错误的，应当先对大写金额的文字错误进行澄清、说明或者更正，再行修正。</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w:t>
      </w:r>
      <w:r>
        <w:rPr>
          <w:rFonts w:hint="eastAsia" w:ascii="宋体" w:hAnsi="宋体" w:eastAsia="宋体" w:cs="宋体"/>
          <w:color w:val="auto"/>
          <w:kern w:val="0"/>
          <w:sz w:val="24"/>
          <w:highlight w:val="none"/>
        </w:rPr>
        <w:t>总价金额与按单价汇总金额不一致的，以单价金额计算结果为准，</w:t>
      </w:r>
      <w:r>
        <w:rPr>
          <w:rFonts w:hint="eastAsia" w:ascii="宋体" w:hAnsi="宋体" w:eastAsia="宋体" w:cs="宋体"/>
          <w:color w:val="auto"/>
          <w:sz w:val="24"/>
          <w:highlight w:val="none"/>
        </w:rPr>
        <w:t>但</w:t>
      </w:r>
      <w:r>
        <w:rPr>
          <w:rFonts w:hint="eastAsia" w:ascii="宋体" w:hAnsi="宋体" w:eastAsia="宋体" w:cs="宋体"/>
          <w:color w:val="auto"/>
          <w:kern w:val="0"/>
          <w:sz w:val="24"/>
          <w:highlight w:val="none"/>
        </w:rPr>
        <w:t>单价或者单价汇总金额存在数字或者</w:t>
      </w:r>
      <w:r>
        <w:rPr>
          <w:rFonts w:hint="eastAsia" w:ascii="宋体" w:hAnsi="宋体" w:eastAsia="宋体" w:cs="宋体"/>
          <w:color w:val="auto"/>
          <w:sz w:val="24"/>
          <w:highlight w:val="none"/>
        </w:rPr>
        <w:t>文字错误的，应当先对</w:t>
      </w:r>
      <w:r>
        <w:rPr>
          <w:rFonts w:hint="eastAsia" w:ascii="宋体" w:hAnsi="宋体" w:eastAsia="宋体" w:cs="宋体"/>
          <w:color w:val="auto"/>
          <w:kern w:val="0"/>
          <w:sz w:val="24"/>
          <w:highlight w:val="none"/>
        </w:rPr>
        <w:t>数字或者</w:t>
      </w:r>
      <w:r>
        <w:rPr>
          <w:rFonts w:hint="eastAsia" w:ascii="宋体" w:hAnsi="宋体" w:eastAsia="宋体" w:cs="宋体"/>
          <w:color w:val="auto"/>
          <w:sz w:val="24"/>
          <w:highlight w:val="none"/>
        </w:rPr>
        <w:t>文字错误进行澄清、说明或者更正，再行修正。</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（三）单价金额小数点</w:t>
      </w:r>
      <w:r>
        <w:rPr>
          <w:rFonts w:hint="eastAsia" w:ascii="宋体" w:hAnsi="宋体" w:eastAsia="宋体" w:cs="宋体"/>
          <w:color w:val="auto"/>
          <w:kern w:val="0"/>
          <w:sz w:val="24"/>
          <w:highlight w:val="none"/>
        </w:rPr>
        <w:t>或者百分比有明显错位的</w:t>
      </w:r>
      <w:r>
        <w:rPr>
          <w:rFonts w:hint="eastAsia" w:ascii="宋体" w:hAnsi="宋体" w:eastAsia="宋体" w:cs="宋体"/>
          <w:color w:val="auto"/>
          <w:sz w:val="24"/>
          <w:highlight w:val="none"/>
        </w:rPr>
        <w:t>，以总价为准，修正单价。</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21.5供应商对其提交的响应文件的真实性、合法性承担法律责任。</w:t>
      </w:r>
      <w:bookmarkEnd w:id="64"/>
      <w:bookmarkEnd w:id="65"/>
      <w:bookmarkEnd w:id="66"/>
    </w:p>
    <w:p>
      <w:pPr>
        <w:pStyle w:val="4"/>
        <w:keepNext w:val="0"/>
        <w:keepLines w:val="0"/>
        <w:spacing w:line="400" w:lineRule="exact"/>
        <w:jc w:val="center"/>
        <w:rPr>
          <w:rFonts w:hint="eastAsia" w:ascii="宋体" w:hAnsi="宋体" w:eastAsia="宋体" w:cs="宋体"/>
          <w:color w:val="auto"/>
          <w:highlight w:val="none"/>
        </w:rPr>
      </w:pPr>
      <w:bookmarkStart w:id="67" w:name="_Toc19619"/>
      <w:bookmarkStart w:id="68" w:name="_Toc860"/>
      <w:bookmarkStart w:id="69" w:name="_Toc19222"/>
      <w:bookmarkStart w:id="70" w:name="_Toc89075878"/>
      <w:bookmarkStart w:id="71" w:name="_Toc183682368"/>
      <w:bookmarkStart w:id="72" w:name="_Toc77400782"/>
      <w:bookmarkStart w:id="73" w:name="_Toc183582231"/>
      <w:bookmarkStart w:id="74" w:name="_Toc217446056"/>
      <w:r>
        <w:rPr>
          <w:rFonts w:hint="eastAsia" w:ascii="宋体" w:hAnsi="宋体" w:eastAsia="宋体" w:cs="宋体"/>
          <w:color w:val="auto"/>
          <w:highlight w:val="none"/>
        </w:rPr>
        <w:t>五、评审</w:t>
      </w:r>
      <w:bookmarkEnd w:id="67"/>
      <w:bookmarkEnd w:id="68"/>
      <w:bookmarkEnd w:id="69"/>
    </w:p>
    <w:p>
      <w:pPr>
        <w:keepNext w:val="0"/>
        <w:keepLines w:val="0"/>
        <w:pageBreakBefore w:val="0"/>
        <w:widowControl w:val="0"/>
        <w:kinsoku/>
        <w:wordWrap/>
        <w:overflowPunct/>
        <w:topLinePunct w:val="0"/>
        <w:autoSpaceDE/>
        <w:autoSpaceDN/>
        <w:bidi w:val="0"/>
        <w:adjustRightInd/>
        <w:snapToGrid/>
        <w:spacing w:before="260" w:after="260" w:line="400" w:lineRule="exact"/>
        <w:ind w:left="0" w:leftChars="0" w:right="0" w:rightChars="0" w:firstLine="48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rPr>
        <w:t>22.磋商小组的组建及其评审工作按照有关法律制度和本文件第</w:t>
      </w:r>
      <w:r>
        <w:rPr>
          <w:rFonts w:hint="eastAsia" w:ascii="宋体" w:hAnsi="宋体" w:eastAsia="宋体" w:cs="宋体"/>
          <w:b w:val="0"/>
          <w:bCs w:val="0"/>
          <w:color w:val="auto"/>
          <w:sz w:val="24"/>
          <w:szCs w:val="24"/>
          <w:highlight w:val="none"/>
          <w:lang w:eastAsia="zh-CN"/>
        </w:rPr>
        <w:t>八</w:t>
      </w:r>
      <w:r>
        <w:rPr>
          <w:rFonts w:hint="eastAsia" w:ascii="宋体" w:hAnsi="宋体" w:eastAsia="宋体" w:cs="宋体"/>
          <w:b w:val="0"/>
          <w:bCs w:val="0"/>
          <w:color w:val="auto"/>
          <w:sz w:val="24"/>
          <w:szCs w:val="24"/>
          <w:highlight w:val="none"/>
        </w:rPr>
        <w:t>章的规定进行。</w:t>
      </w:r>
    </w:p>
    <w:p>
      <w:pPr>
        <w:pStyle w:val="4"/>
        <w:keepNext w:val="0"/>
        <w:keepLines w:val="0"/>
        <w:spacing w:line="400" w:lineRule="exact"/>
        <w:jc w:val="center"/>
        <w:rPr>
          <w:rFonts w:hint="eastAsia" w:ascii="宋体" w:hAnsi="宋体" w:eastAsia="宋体" w:cs="宋体"/>
          <w:color w:val="auto"/>
          <w:highlight w:val="none"/>
        </w:rPr>
      </w:pPr>
      <w:bookmarkStart w:id="75" w:name="_Toc20682"/>
      <w:bookmarkStart w:id="76" w:name="_Toc59"/>
      <w:bookmarkStart w:id="77" w:name="_Toc11996"/>
      <w:r>
        <w:rPr>
          <w:rFonts w:hint="eastAsia" w:ascii="宋体" w:hAnsi="宋体" w:eastAsia="宋体" w:cs="宋体"/>
          <w:color w:val="auto"/>
          <w:highlight w:val="none"/>
        </w:rPr>
        <w:t>六、成交事项</w:t>
      </w:r>
      <w:bookmarkEnd w:id="75"/>
      <w:bookmarkEnd w:id="76"/>
      <w:bookmarkEnd w:id="77"/>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23.确定成交供应商</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采购人将按磋商小组推荐的成交候选供应商顺序确定成交供应商。</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23.1采购代理机构自评审结束后2个工作日内将磋商报告及有关资料送交采购人确定成交供应商。</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23.3采购人确定成交供应商过程中，发现成交候选供应商有下列情形之一的，应当不予确定其为成交供应商：</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（1）发现成交候选供应商存在禁止参加本项目采购活动的违法行为的；</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（2）成交候选供应商因不可抗力，不能继续参加政府采购活动；</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（3）成交候选供应商无偿赠与或者低于成本价竞争；</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（4）成交候选供应商提供虚假材料；</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（5）成交候选供应商恶意串通。</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b w:val="0"/>
          <w:bCs/>
          <w:color w:val="auto"/>
          <w:sz w:val="24"/>
          <w:szCs w:val="24"/>
          <w:highlight w:val="none"/>
        </w:rPr>
        <w:t>成交候选供应商有本条情形之一的，采购人可以确定后一位成交候选供应商为成交供应商，依次类推。无法确定成交供应商的，应当重新组织采购。</w:t>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482" w:firstLineChars="200"/>
        <w:jc w:val="both"/>
        <w:textAlignment w:val="auto"/>
        <w:outlineLvl w:val="9"/>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24.行贿犯罪档案</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24.1成交候选供应商</w:t>
      </w:r>
      <w:r>
        <w:rPr>
          <w:rFonts w:hint="eastAsia" w:ascii="宋体" w:hAnsi="宋体" w:eastAsia="宋体" w:cs="宋体"/>
          <w:b w:val="0"/>
          <w:bCs/>
          <w:color w:val="auto"/>
          <w:sz w:val="24"/>
          <w:szCs w:val="24"/>
          <w:highlight w:val="none"/>
          <w:lang w:eastAsia="zh-CN"/>
        </w:rPr>
        <w:t>应提交</w:t>
      </w:r>
      <w:r>
        <w:rPr>
          <w:rFonts w:hint="eastAsia" w:ascii="宋体" w:hAnsi="宋体" w:eastAsia="宋体" w:cs="宋体"/>
          <w:b w:val="0"/>
          <w:bCs/>
          <w:color w:val="auto"/>
          <w:sz w:val="24"/>
          <w:szCs w:val="24"/>
          <w:highlight w:val="none"/>
        </w:rPr>
        <w:t>单位及其现任法定代表人、主要负责人是否存在行贿犯罪记录</w:t>
      </w:r>
      <w:r>
        <w:rPr>
          <w:rFonts w:hint="eastAsia" w:ascii="宋体" w:hAnsi="宋体" w:eastAsia="宋体" w:cs="宋体"/>
          <w:b w:val="0"/>
          <w:bCs/>
          <w:color w:val="auto"/>
          <w:sz w:val="24"/>
          <w:szCs w:val="24"/>
          <w:highlight w:val="none"/>
          <w:lang w:eastAsia="zh-CN"/>
        </w:rPr>
        <w:t>的承诺函</w:t>
      </w:r>
      <w:r>
        <w:rPr>
          <w:rFonts w:hint="eastAsia" w:ascii="宋体" w:hAnsi="宋体" w:eastAsia="宋体" w:cs="宋体"/>
          <w:b w:val="0"/>
          <w:bCs/>
          <w:color w:val="auto"/>
          <w:sz w:val="24"/>
          <w:szCs w:val="24"/>
          <w:highlight w:val="none"/>
        </w:rPr>
        <w:t>。</w:t>
      </w:r>
    </w:p>
    <w:p>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24.2 采购人确定成交供应商期间，采购人/采购代理机构有权向相关部门或网站查询成交候选供应商单位及其现任法定代表人、主要负责人是否存在行贿犯罪记录。 </w:t>
      </w:r>
    </w:p>
    <w:p>
      <w:pPr>
        <w:keepNext w:val="0"/>
        <w:keepLines w:val="0"/>
        <w:widowControl/>
        <w:suppressLineNumbers w:val="0"/>
        <w:spacing w:line="360" w:lineRule="auto"/>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val="en-US" w:eastAsia="zh-CN" w:bidi="ar"/>
        </w:rPr>
        <w:t>24.3 成交候选供应商单位及其现任法定代表人、主要负责人存在行贿犯罪记录 的，成交后未签订政府采购合同的，将认定成交无效；成交后签订政府采购合同未履 行的，将认定成交无效，同时撤销政府采购合同；成交后签订政府采购合同且已经履 行的，将认定采购活动违法，由相关当事人承担赔偿责任。</w:t>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25.成交结果</w:t>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480" w:firstLineChars="200"/>
        <w:jc w:val="both"/>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rPr>
        <w:t>25.1采购人确定成交供应商后，将及时书面通知采购代理机构，发出成交通知书并发布成交结果公告</w:t>
      </w:r>
      <w:r>
        <w:rPr>
          <w:rFonts w:hint="eastAsia" w:ascii="宋体" w:hAnsi="宋体" w:eastAsia="宋体" w:cs="宋体"/>
          <w:b/>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25.2成交供应商应当及时领取成交通知书。本项目需要交纳履约保证金的，成交供应商应当及时向采购人交纳。</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65"/>
        <w:jc w:val="both"/>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25.3成家供应商不能及时领取成交通知书，采购人或者采购代理机应当通过邮寄、快递等方式将项目成交通知书送达成交供应商。</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2" w:firstLineChars="200"/>
        <w:jc w:val="both"/>
        <w:textAlignment w:val="auto"/>
        <w:outlineLvl w:val="9"/>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26.成交通知书</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26.1成交通知书为签订政府采购合同的依据之一，是合同的有效组成部分。</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26.2成交通知书对采购人和成交供应商均具有法律效力。成交通知书发出后，采购人无正当理由改变成交结果，或者成交供应商无正当理由放弃成交的，将承担相应的法律责任。</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26.3成交供应商的响应文件作为无效响应文件处理或者有政府采购法律法规规章制度规定的成交无效情形的，采购代理机构在取得有权主体的认定以后，有权宣布发出的成交通知书无效，并收回发出的成交通知书，依法重新确定成交供应商或者重新开展采购活动。</w:t>
      </w:r>
    </w:p>
    <w:p>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outlineLvl w:val="9"/>
        <w:rPr>
          <w:rFonts w:hint="eastAsia" w:ascii="宋体" w:hAnsi="宋体" w:eastAsia="宋体" w:cs="宋体"/>
          <w:b w:val="0"/>
          <w:bCs/>
          <w:color w:val="auto"/>
          <w:highlight w:val="none"/>
        </w:rPr>
      </w:pPr>
    </w:p>
    <w:p>
      <w:pPr>
        <w:pStyle w:val="4"/>
        <w:keepNext w:val="0"/>
        <w:keepLines w:val="0"/>
        <w:spacing w:line="400" w:lineRule="exact"/>
        <w:jc w:val="center"/>
        <w:rPr>
          <w:rFonts w:hint="eastAsia" w:ascii="宋体" w:hAnsi="宋体" w:eastAsia="宋体" w:cs="宋体"/>
          <w:color w:val="auto"/>
          <w:highlight w:val="none"/>
        </w:rPr>
      </w:pPr>
      <w:bookmarkStart w:id="78" w:name="_Toc27977"/>
      <w:bookmarkStart w:id="79" w:name="_Toc15476"/>
      <w:bookmarkStart w:id="80" w:name="_Toc22885"/>
      <w:r>
        <w:rPr>
          <w:rFonts w:hint="eastAsia" w:ascii="宋体" w:hAnsi="宋体" w:eastAsia="宋体" w:cs="宋体"/>
          <w:color w:val="auto"/>
          <w:highlight w:val="none"/>
        </w:rPr>
        <w:t>七、合同事项</w:t>
      </w:r>
      <w:bookmarkEnd w:id="78"/>
      <w:bookmarkEnd w:id="79"/>
      <w:bookmarkEnd w:id="80"/>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32"/>
          <w:highlight w:val="none"/>
        </w:rPr>
      </w:pPr>
      <w:bookmarkStart w:id="81" w:name="_Toc430773927"/>
      <w:bookmarkStart w:id="82" w:name="_Toc101174151"/>
      <w:bookmarkStart w:id="83" w:name="_Toc209847069"/>
      <w:bookmarkStart w:id="84" w:name="_Toc101250646"/>
      <w:bookmarkStart w:id="85" w:name="_Toc101338364"/>
      <w:r>
        <w:rPr>
          <w:rFonts w:hint="eastAsia" w:ascii="宋体" w:hAnsi="宋体" w:eastAsia="宋体" w:cs="宋体"/>
          <w:b/>
          <w:bCs/>
          <w:color w:val="auto"/>
          <w:sz w:val="24"/>
          <w:szCs w:val="32"/>
          <w:highlight w:val="none"/>
        </w:rPr>
        <w:t>27.签订合同</w:t>
      </w:r>
      <w:bookmarkEnd w:id="81"/>
      <w:bookmarkEnd w:id="82"/>
      <w:bookmarkEnd w:id="83"/>
      <w:bookmarkEnd w:id="84"/>
      <w:bookmarkEnd w:id="85"/>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成交供应商应在成交通知书发出之日起</w:t>
      </w:r>
      <w:r>
        <w:rPr>
          <w:rFonts w:hint="eastAsia" w:ascii="宋体" w:hAnsi="宋体" w:eastAsia="宋体" w:cs="宋体"/>
          <w:color w:val="auto"/>
          <w:sz w:val="24"/>
          <w:highlight w:val="none"/>
          <w:lang w:eastAsia="zh-CN"/>
        </w:rPr>
        <w:t>三十</w:t>
      </w:r>
      <w:r>
        <w:rPr>
          <w:rFonts w:hint="eastAsia" w:ascii="宋体" w:hAnsi="宋体" w:eastAsia="宋体" w:cs="宋体"/>
          <w:color w:val="auto"/>
          <w:sz w:val="24"/>
          <w:highlight w:val="none"/>
        </w:rPr>
        <w:t>日内与采购人签订采购合同。由于成交供应商的原因逾期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在成交通知书发出之日起</w:t>
      </w:r>
      <w:r>
        <w:rPr>
          <w:rFonts w:hint="eastAsia" w:ascii="宋体" w:hAnsi="宋体" w:eastAsia="宋体" w:cs="宋体"/>
          <w:color w:val="auto"/>
          <w:sz w:val="24"/>
          <w:highlight w:val="none"/>
          <w:lang w:eastAsia="zh-CN"/>
        </w:rPr>
        <w:t>三十</w:t>
      </w:r>
      <w:r>
        <w:rPr>
          <w:rFonts w:hint="eastAsia" w:ascii="宋体" w:hAnsi="宋体" w:eastAsia="宋体" w:cs="宋体"/>
          <w:color w:val="auto"/>
          <w:sz w:val="24"/>
          <w:highlight w:val="none"/>
        </w:rPr>
        <w:t>日内</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未与采购人签订采购合同的，将视为放弃成交，取消其成交资格并将按相关规定进行处理。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磋商文件、成交供应商的响应文件及双方确认的澄清文件等，均为有法律约束力的合同组成部分。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27.4 成交供应商因不可抗力原因不能履行采购合同或放弃成交的，采购人可以与排在成交供应商之后第一位的成交候选人签订采购合同，以此类推。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27.5竞争性磋商文件、成交供应商提交的响应文件、磋商中的最后报价、成交供应商承诺书、成交通知书等均称为有法律约束力的合同组成内容。</w:t>
      </w:r>
    </w:p>
    <w:p>
      <w:pPr>
        <w:spacing w:line="400" w:lineRule="exact"/>
        <w:ind w:firstLine="480" w:firstLineChars="200"/>
        <w:rPr>
          <w:rFonts w:hint="eastAsia" w:ascii="宋体" w:hAnsi="宋体" w:eastAsia="宋体" w:cs="宋体"/>
          <w:color w:val="auto"/>
          <w:sz w:val="24"/>
          <w:highlight w:val="none"/>
        </w:rPr>
      </w:pP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28.合同分包（实质性要求）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分包履行合同的部分应当为采购项目的非主体、非关键性工作，不属于成交供应商的主要合同义务。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28.2 采购合同实行分包履行的，成交供应商就采购项目和分包项目向采购人负责，分包供应商就分包项目承担责任。</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29.合同转包（实质性要求）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成交供应商转包的，视同拒绝履行政府采购合同义务，将依法追究法律责任。</w:t>
      </w:r>
    </w:p>
    <w:p>
      <w:pPr>
        <w:spacing w:line="400" w:lineRule="exact"/>
        <w:ind w:firstLine="480" w:firstLineChars="200"/>
        <w:rPr>
          <w:rFonts w:hint="eastAsia" w:ascii="宋体" w:hAnsi="宋体" w:eastAsia="宋体" w:cs="宋体"/>
          <w:color w:val="auto"/>
          <w:sz w:val="24"/>
          <w:highlight w:val="none"/>
        </w:rPr>
      </w:pP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30.补充合同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rPr>
          <w:rFonts w:hint="eastAsia" w:ascii="宋体" w:hAnsi="宋体" w:eastAsia="宋体" w:cs="宋体"/>
          <w:color w:val="auto"/>
          <w:sz w:val="24"/>
          <w:highlight w:val="none"/>
        </w:rPr>
      </w:pPr>
    </w:p>
    <w:p>
      <w:pPr>
        <w:spacing w:line="400" w:lineRule="exact"/>
        <w:ind w:firstLine="482" w:firstLineChars="20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31.履约保证金（实质性要求）</w:t>
      </w:r>
      <w:r>
        <w:rPr>
          <w:rFonts w:hint="eastAsia" w:ascii="宋体" w:hAnsi="宋体" w:eastAsia="宋体" w:cs="宋体"/>
          <w:b/>
          <w:color w:val="auto"/>
          <w:sz w:val="24"/>
          <w:highlight w:val="none"/>
          <w:lang w:eastAsia="zh-CN"/>
        </w:rPr>
        <w:t>（如涉及）</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 成交供应商应在合同签订之前交纳采购文件规定数额的履约保证金。</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 如果成交供应商在规定的合同签订时间内，没有按照采购文件的规定交纳履约保证金，且又无正当理由的，将视为放弃成交。</w:t>
      </w:r>
    </w:p>
    <w:p>
      <w:pPr>
        <w:spacing w:line="400" w:lineRule="exact"/>
        <w:rPr>
          <w:rFonts w:hint="eastAsia" w:ascii="宋体" w:hAnsi="宋体" w:eastAsia="宋体" w:cs="宋体"/>
          <w:color w:val="auto"/>
          <w:sz w:val="24"/>
          <w:highlight w:val="none"/>
        </w:rPr>
      </w:pPr>
    </w:p>
    <w:p>
      <w:pPr>
        <w:spacing w:line="4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32.合同公告</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采购人应当自政府采购合同签订（双方当事人均已签字盖章）之日起2个工作日，将政府采购合同在四川政府采购网上公告，但政府采购合同中涉及国家秘密、商业秘密的内容除外。</w:t>
      </w:r>
    </w:p>
    <w:p>
      <w:pPr>
        <w:spacing w:line="360" w:lineRule="auto"/>
        <w:ind w:firstLine="482" w:firstLineChars="200"/>
        <w:rPr>
          <w:rFonts w:hint="eastAsia" w:ascii="宋体" w:hAnsi="宋体" w:eastAsia="宋体" w:cs="宋体"/>
          <w:b/>
          <w:color w:val="auto"/>
          <w:sz w:val="24"/>
          <w:highlight w:val="none"/>
        </w:rPr>
      </w:pP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33.合同备案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采购人应当将政府采购合同副本自签订（双方当事人均已签字盖章）之日起七个工作日内报同级财政部门备案。</w:t>
      </w:r>
    </w:p>
    <w:p>
      <w:pPr>
        <w:spacing w:line="400" w:lineRule="exact"/>
        <w:rPr>
          <w:rFonts w:hint="eastAsia" w:ascii="宋体" w:hAnsi="宋体" w:eastAsia="宋体" w:cs="宋体"/>
          <w:color w:val="auto"/>
          <w:sz w:val="24"/>
          <w:highlight w:val="none"/>
        </w:rPr>
      </w:pP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34.履行合同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成交供应商与采购人签订合同后，合同双方应严格执行合同条款，履行合同规定的义务，保证合同的顺利完成。</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 在合同履行过程中，如发生合同纠纷，合同双方应按照《合同法》的有关规定进行处理。</w:t>
      </w:r>
    </w:p>
    <w:p>
      <w:pPr>
        <w:spacing w:line="400" w:lineRule="exact"/>
        <w:ind w:firstLine="480" w:firstLineChars="200"/>
        <w:rPr>
          <w:rFonts w:hint="eastAsia" w:ascii="宋体" w:hAnsi="宋体" w:eastAsia="宋体" w:cs="宋体"/>
          <w:color w:val="auto"/>
          <w:sz w:val="24"/>
          <w:highlight w:val="none"/>
        </w:rPr>
      </w:pP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35.验收</w:t>
      </w:r>
    </w:p>
    <w:p>
      <w:pPr>
        <w:keepNext w:val="0"/>
        <w:keepLines w:val="0"/>
        <w:widowControl/>
        <w:suppressLineNumbers w:val="0"/>
        <w:spacing w:line="360" w:lineRule="auto"/>
        <w:ind w:firstLine="48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kern w:val="0"/>
          <w:sz w:val="24"/>
        </w:rPr>
        <w:t>本项目采购人及其委托的采购代理机构将严格参照《财政部关于进一步加强政府采购需求和履约验收管理的指导意见》财库〔2016〕205号等政府采购相关法律法规的要求进行验收</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36.资金支付</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b w:val="0"/>
          <w:color w:val="auto"/>
          <w:kern w:val="2"/>
          <w:sz w:val="24"/>
          <w:szCs w:val="24"/>
          <w:highlight w:val="none"/>
          <w:lang w:val="en-US"/>
        </w:rPr>
      </w:pPr>
      <w:r>
        <w:rPr>
          <w:rFonts w:hint="eastAsia" w:ascii="宋体" w:hAnsi="宋体" w:eastAsia="宋体" w:cs="宋体"/>
          <w:b w:val="0"/>
          <w:color w:val="auto"/>
          <w:kern w:val="2"/>
          <w:sz w:val="24"/>
          <w:szCs w:val="24"/>
          <w:highlight w:val="none"/>
          <w:lang w:val="en-US"/>
        </w:rPr>
        <w:t>采购人将按照政府采购合同规定，及时向</w:t>
      </w:r>
      <w:r>
        <w:rPr>
          <w:rFonts w:hint="eastAsia" w:ascii="宋体" w:hAnsi="宋体" w:eastAsia="宋体" w:cs="宋体"/>
          <w:b w:val="0"/>
          <w:color w:val="auto"/>
          <w:kern w:val="2"/>
          <w:sz w:val="24"/>
          <w:szCs w:val="24"/>
          <w:highlight w:val="none"/>
          <w:lang w:val="en-US" w:eastAsia="zh-CN"/>
        </w:rPr>
        <w:t>成交供应商</w:t>
      </w:r>
      <w:r>
        <w:rPr>
          <w:rFonts w:hint="eastAsia" w:ascii="宋体" w:hAnsi="宋体" w:eastAsia="宋体" w:cs="宋体"/>
          <w:b w:val="0"/>
          <w:color w:val="auto"/>
          <w:kern w:val="2"/>
          <w:sz w:val="24"/>
          <w:szCs w:val="24"/>
          <w:highlight w:val="none"/>
          <w:lang w:val="en-US"/>
        </w:rPr>
        <w:t>支付采购资金。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p>
    <w:p>
      <w:pPr>
        <w:pStyle w:val="4"/>
        <w:keepNext w:val="0"/>
        <w:keepLines w:val="0"/>
        <w:spacing w:before="0" w:after="0" w:line="360" w:lineRule="auto"/>
        <w:jc w:val="center"/>
        <w:rPr>
          <w:rFonts w:hint="eastAsia" w:ascii="宋体" w:hAnsi="宋体" w:eastAsia="宋体" w:cs="宋体"/>
          <w:color w:val="auto"/>
          <w:sz w:val="24"/>
          <w:highlight w:val="none"/>
        </w:rPr>
      </w:pPr>
      <w:bookmarkStart w:id="86" w:name="_Toc7725"/>
      <w:bookmarkStart w:id="87" w:name="_Toc15199"/>
      <w:bookmarkStart w:id="88" w:name="_Toc9533"/>
      <w:r>
        <w:rPr>
          <w:rFonts w:hint="eastAsia" w:ascii="宋体" w:hAnsi="宋体" w:eastAsia="宋体" w:cs="宋体"/>
          <w:color w:val="auto"/>
          <w:highlight w:val="none"/>
        </w:rPr>
        <w:t>八、磋商纪律要求</w:t>
      </w:r>
      <w:bookmarkEnd w:id="86"/>
      <w:bookmarkEnd w:id="87"/>
      <w:bookmarkEnd w:id="88"/>
    </w:p>
    <w:p>
      <w:pPr>
        <w:tabs>
          <w:tab w:val="left" w:pos="851"/>
        </w:tabs>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37.供应商不得具有的情形</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供应商参加本项目磋商不得有下列情形：</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（1）提供虚假材料谋取成交；</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（2）采取不正当手段诋毁、排挤其他供应商；</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（3）与采购人、采购代理机构、或其他供应商恶意串通；</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（4）向采购人、采购代理机构、磋商小组成员行贿或者提供其他不正当利益；</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（5）在磋商过程中与采购人、采购代理机构进行协商；</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（6）成交后无正当理由拒不与采购人签订政府采购合同；</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（7）未按照磋商文件确定的事项签订政府采购合同；</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（8）将政府采购合同转包或者违规分包；</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（9）提供假冒伪劣产品；</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（10）擅自变更、中止或者终止政府采购合同；</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（11）拒绝有关部门的监督检查或者向监督检查部门提供虚假情况；</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（12）法律法规规定的其他情形。</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供应商有上述情形的，按照规定追究法律责任，具备（1）-（10）条情形之一的，同时将取消被确认为成交供应商的资格或者认定成交无效。</w:t>
      </w:r>
    </w:p>
    <w:p>
      <w:pPr>
        <w:tabs>
          <w:tab w:val="left" w:pos="851"/>
        </w:tabs>
        <w:spacing w:line="360" w:lineRule="auto"/>
        <w:ind w:firstLine="480" w:firstLineChars="200"/>
        <w:rPr>
          <w:rFonts w:hint="eastAsia" w:ascii="宋体" w:hAnsi="宋体" w:eastAsia="宋体" w:cs="宋体"/>
          <w:color w:val="auto"/>
          <w:sz w:val="24"/>
          <w:highlight w:val="none"/>
        </w:rPr>
      </w:pPr>
    </w:p>
    <w:p>
      <w:pPr>
        <w:tabs>
          <w:tab w:val="left" w:pos="851"/>
        </w:tabs>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32"/>
          <w:szCs w:val="32"/>
          <w:highlight w:val="none"/>
        </w:rPr>
        <w:t>九、询问、质疑和投诉</w:t>
      </w:r>
    </w:p>
    <w:p>
      <w:pPr>
        <w:tabs>
          <w:tab w:val="left" w:pos="851"/>
        </w:tabs>
        <w:spacing w:line="360" w:lineRule="auto"/>
        <w:ind w:firstLine="495"/>
        <w:rPr>
          <w:rFonts w:hint="eastAsia" w:ascii="宋体" w:hAnsi="宋体" w:eastAsia="宋体" w:cs="宋体"/>
          <w:color w:val="auto"/>
          <w:sz w:val="24"/>
          <w:highlight w:val="none"/>
        </w:rPr>
      </w:pPr>
      <w:r>
        <w:rPr>
          <w:rFonts w:hint="eastAsia" w:ascii="宋体" w:hAnsi="宋体" w:eastAsia="宋体" w:cs="宋体"/>
          <w:color w:val="auto"/>
          <w:sz w:val="24"/>
          <w:highlight w:val="none"/>
        </w:rPr>
        <w:t>38.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32"/>
          <w:szCs w:val="32"/>
          <w:highlight w:val="none"/>
        </w:rPr>
        <w:t>十、其  他</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39.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40</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（实质性要求）</w:t>
      </w:r>
      <w:r>
        <w:rPr>
          <w:rFonts w:hint="eastAsia" w:ascii="宋体" w:hAnsi="宋体" w:eastAsia="宋体" w:cs="宋体"/>
          <w:color w:val="auto"/>
          <w:sz w:val="24"/>
          <w:highlight w:val="none"/>
        </w:rPr>
        <w:t>在本次递交</w:t>
      </w:r>
      <w:r>
        <w:rPr>
          <w:rFonts w:hint="eastAsia" w:ascii="宋体" w:hAnsi="宋体" w:cs="宋体"/>
          <w:color w:val="auto"/>
          <w:sz w:val="24"/>
          <w:highlight w:val="none"/>
          <w:lang w:val="en-US" w:eastAsia="zh-CN"/>
        </w:rPr>
        <w:t>响应</w:t>
      </w:r>
      <w:r>
        <w:rPr>
          <w:rFonts w:hint="eastAsia" w:ascii="宋体" w:hAnsi="宋体" w:eastAsia="宋体" w:cs="宋体"/>
          <w:color w:val="auto"/>
          <w:sz w:val="24"/>
          <w:highlight w:val="none"/>
        </w:rPr>
        <w:t>文件之前一周年内，供应商本次磋商中</w:t>
      </w:r>
      <w:r>
        <w:rPr>
          <w:rFonts w:hint="eastAsia" w:ascii="宋体" w:hAnsi="宋体" w:eastAsia="宋体" w:cs="宋体"/>
          <w:color w:val="auto"/>
          <w:sz w:val="24"/>
          <w:highlight w:val="none"/>
          <w:lang w:eastAsia="zh-CN"/>
        </w:rPr>
        <w:t>的服务</w:t>
      </w:r>
      <w:r>
        <w:rPr>
          <w:rFonts w:hint="eastAsia" w:ascii="宋体" w:hAnsi="宋体" w:eastAsia="宋体" w:cs="宋体"/>
          <w:color w:val="auto"/>
          <w:sz w:val="24"/>
          <w:highlight w:val="none"/>
        </w:rPr>
        <w:t>报价与其在中国境内其他地方的最低报价相比不得高于</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b/>
          <w:bCs/>
          <w:color w:val="auto"/>
          <w:sz w:val="24"/>
          <w:highlight w:val="none"/>
          <w:lang w:eastAsia="zh-CN"/>
        </w:rPr>
        <w:t>（供应商在投标时需要对此项做出承诺）</w:t>
      </w:r>
      <w:r>
        <w:rPr>
          <w:rFonts w:hint="eastAsia" w:ascii="宋体" w:hAnsi="宋体" w:eastAsia="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（实质性要求）</w:t>
      </w:r>
      <w:r>
        <w:rPr>
          <w:rFonts w:hint="eastAsia" w:ascii="宋体" w:hAnsi="宋体" w:eastAsia="宋体" w:cs="宋体"/>
          <w:color w:val="auto"/>
          <w:sz w:val="24"/>
          <w:highlight w:val="none"/>
        </w:rPr>
        <w:t>国家或行业主管部门对供应商和采购产品的技术标准、质量标准和资格资质条件等有强制性规定的，必须符合其要求。</w:t>
      </w:r>
      <w:r>
        <w:rPr>
          <w:rFonts w:hint="eastAsia" w:ascii="宋体" w:hAnsi="宋体" w:eastAsia="宋体" w:cs="宋体"/>
          <w:b/>
          <w:bCs/>
          <w:color w:val="auto"/>
          <w:sz w:val="24"/>
          <w:highlight w:val="none"/>
          <w:lang w:eastAsia="zh-CN"/>
        </w:rPr>
        <w:t>（供应商在投标时需要对此项做出承诺）</w:t>
      </w:r>
      <w:r>
        <w:rPr>
          <w:rFonts w:hint="eastAsia" w:ascii="宋体" w:hAnsi="宋体" w:eastAsia="宋体" w:cs="宋体"/>
          <w:b w:val="0"/>
          <w:bCs w:val="0"/>
          <w:color w:val="auto"/>
          <w:sz w:val="24"/>
          <w:highlight w:val="none"/>
          <w:lang w:eastAsia="zh-CN"/>
        </w:rPr>
        <w:t>。</w:t>
      </w:r>
    </w:p>
    <w:p>
      <w:pPr>
        <w:keepNext w:val="0"/>
        <w:keepLines w:val="0"/>
        <w:widowControl/>
        <w:suppressLineNumbers w:val="0"/>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b w:val="0"/>
          <w:bCs w:val="0"/>
          <w:color w:val="auto"/>
          <w:sz w:val="24"/>
          <w:highlight w:val="none"/>
          <w:lang w:val="en-US" w:eastAsia="zh-CN"/>
        </w:rPr>
        <w:t>42.</w:t>
      </w:r>
      <w:r>
        <w:rPr>
          <w:rFonts w:hint="eastAsia" w:ascii="宋体" w:hAnsi="宋体" w:eastAsia="宋体" w:cs="宋体"/>
          <w:color w:val="auto"/>
          <w:kern w:val="0"/>
          <w:sz w:val="24"/>
          <w:szCs w:val="24"/>
          <w:highlight w:val="none"/>
          <w:lang w:val="en-US" w:eastAsia="zh-CN" w:bidi="ar"/>
        </w:rPr>
        <w:t>磋商文件中采购代理机构编制的内容前后有矛盾或不一致，有时间先后顺序的，以时间在后的修改、澄清或补正文件为准；没有时间先后顺序的，按有利于供应商的原则进行处理。</w:t>
      </w:r>
    </w:p>
    <w:p>
      <w:pPr>
        <w:pStyle w:val="2"/>
        <w:ind w:firstLine="420" w:firstLineChars="200"/>
        <w:rPr>
          <w:rFonts w:hint="eastAsia" w:ascii="宋体" w:hAnsi="宋体" w:eastAsia="宋体" w:cs="宋体"/>
          <w:color w:val="auto"/>
          <w:highlight w:val="none"/>
          <w:lang w:val="en-US"/>
        </w:rPr>
      </w:pP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right="0" w:rightChars="0" w:firstLine="480" w:firstLineChars="200"/>
        <w:jc w:val="center"/>
        <w:textAlignment w:val="auto"/>
        <w:outlineLvl w:val="0"/>
        <w:rPr>
          <w:rFonts w:hint="eastAsia" w:ascii="宋体" w:hAnsi="宋体" w:eastAsia="宋体" w:cs="宋体"/>
          <w:b/>
          <w:bCs/>
          <w:color w:val="auto"/>
          <w:sz w:val="28"/>
          <w:szCs w:val="28"/>
          <w:highlight w:val="none"/>
        </w:rPr>
      </w:pPr>
      <w:r>
        <w:rPr>
          <w:rFonts w:hint="eastAsia" w:ascii="宋体" w:hAnsi="宋体" w:eastAsia="宋体" w:cs="宋体"/>
          <w:color w:val="auto"/>
          <w:sz w:val="24"/>
          <w:highlight w:val="none"/>
        </w:rPr>
        <w:br w:type="page"/>
      </w:r>
      <w:bookmarkStart w:id="89" w:name="_Toc12578"/>
      <w:bookmarkStart w:id="90" w:name="_Toc21450"/>
      <w:r>
        <w:rPr>
          <w:rStyle w:val="20"/>
          <w:rFonts w:hint="eastAsia" w:ascii="宋体" w:hAnsi="宋体" w:eastAsia="宋体" w:cs="宋体"/>
          <w:color w:val="auto"/>
          <w:highlight w:val="none"/>
        </w:rPr>
        <w:t>第三章</w:t>
      </w:r>
      <w:r>
        <w:rPr>
          <w:rStyle w:val="20"/>
          <w:rFonts w:hint="eastAsia" w:ascii="宋体" w:hAnsi="宋体" w:eastAsia="宋体" w:cs="宋体"/>
          <w:color w:val="auto"/>
          <w:highlight w:val="none"/>
          <w:lang w:val="en-US" w:eastAsia="zh-CN"/>
        </w:rPr>
        <w:t xml:space="preserve">  </w:t>
      </w:r>
      <w:r>
        <w:rPr>
          <w:rStyle w:val="20"/>
          <w:rFonts w:hint="eastAsia" w:ascii="宋体" w:hAnsi="宋体" w:eastAsia="宋体" w:cs="宋体"/>
          <w:color w:val="auto"/>
          <w:highlight w:val="none"/>
        </w:rPr>
        <w:t>供应商资格条件要求</w:t>
      </w:r>
      <w:bookmarkEnd w:id="89"/>
      <w:bookmarkEnd w:id="9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rPr>
        <w:t>参加磋商的供应商应具备下列资格条件：</w:t>
      </w:r>
    </w:p>
    <w:p>
      <w:pPr>
        <w:keepNext w:val="0"/>
        <w:keepLines w:val="0"/>
        <w:pageBreakBefore w:val="0"/>
        <w:widowControl/>
        <w:kinsoku/>
        <w:wordWrap/>
        <w:overflowPunct/>
        <w:topLinePunct w:val="0"/>
        <w:autoSpaceDE/>
        <w:autoSpaceDN/>
        <w:bidi w:val="0"/>
        <w:adjustRightInd/>
        <w:snapToGrid/>
        <w:spacing w:line="360" w:lineRule="auto"/>
        <w:ind w:right="0" w:rightChars="0" w:firstLine="482"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（一）《中华人民共和国政府采购法》第二十二条第一款第（一）至（六）规定的条件：</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3、具有履行合同所必需的设备和专业技术能力；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具</w:t>
      </w:r>
      <w:r>
        <w:rPr>
          <w:rFonts w:hint="eastAsia" w:ascii="宋体" w:hAnsi="宋体" w:eastAsia="宋体" w:cs="宋体"/>
          <w:color w:val="auto"/>
          <w:sz w:val="24"/>
          <w:szCs w:val="24"/>
          <w:highlight w:val="none"/>
        </w:rPr>
        <w:t>有依法缴纳税收和社会保障资金的良好记录；</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5、参加政府采购活动前三年内，在经营活动中没有重大违法记录；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pPr>
        <w:pStyle w:val="2"/>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highlight w:val="none"/>
        </w:rPr>
      </w:pPr>
      <w:r>
        <w:rPr>
          <w:rFonts w:hint="eastAsia" w:ascii="宋体" w:hAnsi="宋体" w:eastAsia="宋体" w:cs="宋体"/>
          <w:b/>
          <w:bCs/>
          <w:color w:val="auto"/>
          <w:spacing w:val="0"/>
          <w:kern w:val="0"/>
          <w:sz w:val="24"/>
          <w:szCs w:val="24"/>
          <w:highlight w:val="none"/>
          <w:lang w:eastAsia="zh-CN"/>
        </w:rPr>
        <w:t>（二）落实政府采购政策需满足的资格条件：</w:t>
      </w:r>
      <w:r>
        <w:rPr>
          <w:rFonts w:hint="eastAsia" w:ascii="宋体" w:hAnsi="宋体" w:eastAsia="宋体" w:cs="宋体"/>
          <w:b w:val="0"/>
          <w:color w:val="auto"/>
          <w:spacing w:val="0"/>
          <w:kern w:val="0"/>
          <w:sz w:val="24"/>
          <w:szCs w:val="24"/>
          <w:highlight w:val="none"/>
          <w:lang w:eastAsia="zh-CN"/>
        </w:rPr>
        <w:t>本项目为专门面向中小企业采购的项目。供应商为中型企业、小型企业或微型企业，监狱企业或残疾人福利性单位视同为小微企业。</w:t>
      </w:r>
    </w:p>
    <w:p>
      <w:pPr>
        <w:keepNext w:val="0"/>
        <w:keepLines w:val="0"/>
        <w:pageBreakBefore w:val="0"/>
        <w:widowControl/>
        <w:kinsoku/>
        <w:wordWrap/>
        <w:overflowPunct/>
        <w:topLinePunct w:val="0"/>
        <w:autoSpaceDE/>
        <w:autoSpaceDN/>
        <w:bidi w:val="0"/>
        <w:adjustRightInd/>
        <w:snapToGrid/>
        <w:spacing w:line="360" w:lineRule="auto"/>
        <w:ind w:right="0" w:rightChars="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rPr>
        <w:t>）根据采购项目提出的特殊条件：</w:t>
      </w:r>
    </w:p>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5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不得为“信用中国”网站(</w:t>
      </w:r>
      <w:r>
        <w:rPr>
          <w:rFonts w:hint="eastAsia" w:ascii="宋体" w:hAnsi="宋体" w:eastAsia="宋体" w:cs="宋体"/>
          <w:color w:val="auto"/>
          <w:sz w:val="24"/>
          <w:szCs w:val="24"/>
          <w:highlight w:val="none"/>
        </w:rPr>
        <w:drawing>
          <wp:inline distT="0" distB="0" distL="114300" distR="114300">
            <wp:extent cx="190500" cy="142875"/>
            <wp:effectExtent l="0" t="0" r="0" b="9525"/>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14"/>
                    <a:stretch>
                      <a:fillRect/>
                    </a:stretch>
                  </pic:blipFill>
                  <pic:spPr>
                    <a:xfrm>
                      <a:off x="0" y="0"/>
                      <a:ext cx="190500" cy="142875"/>
                    </a:xfrm>
                    <a:prstGeom prst="rect">
                      <a:avLst/>
                    </a:prstGeom>
                    <a:noFill/>
                    <a:ln w="9525">
                      <a:noFill/>
                    </a:ln>
                  </pic:spPr>
                </pic:pic>
              </a:graphicData>
            </a:graphic>
          </wp:inline>
        </w:drawing>
      </w:r>
      <w:r>
        <w:rPr>
          <w:rFonts w:hint="eastAsia" w:ascii="宋体" w:hAnsi="宋体" w:eastAsia="宋体" w:cs="宋体"/>
          <w:color w:val="auto"/>
          <w:sz w:val="24"/>
          <w:szCs w:val="24"/>
          <w:highlight w:val="none"/>
        </w:rPr>
        <w:t>www.creditchina.gov.cn)中列入失信被执行人和重大税收违法案件当事人名单的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，不得为中国政府采购网(</w:t>
      </w:r>
      <w:r>
        <w:rPr>
          <w:rFonts w:hint="eastAsia" w:ascii="宋体" w:hAnsi="宋体" w:eastAsia="宋体" w:cs="宋体"/>
          <w:color w:val="auto"/>
          <w:sz w:val="24"/>
          <w:szCs w:val="24"/>
          <w:highlight w:val="none"/>
        </w:rPr>
        <w:drawing>
          <wp:inline distT="0" distB="0" distL="114300" distR="114300">
            <wp:extent cx="190500" cy="142875"/>
            <wp:effectExtent l="0" t="0" r="0" b="9525"/>
            <wp:docPr id="9"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IMG_257"/>
                    <pic:cNvPicPr>
                      <a:picLocks noChangeAspect="1"/>
                    </pic:cNvPicPr>
                  </pic:nvPicPr>
                  <pic:blipFill>
                    <a:blip r:embed="rId14"/>
                    <a:stretch>
                      <a:fillRect/>
                    </a:stretch>
                  </pic:blipFill>
                  <pic:spPr>
                    <a:xfrm>
                      <a:off x="0" y="0"/>
                      <a:ext cx="190500" cy="142875"/>
                    </a:xfrm>
                    <a:prstGeom prst="rect">
                      <a:avLst/>
                    </a:prstGeom>
                    <a:noFill/>
                    <a:ln w="9525">
                      <a:noFill/>
                    </a:ln>
                  </pic:spPr>
                </pic:pic>
              </a:graphicData>
            </a:graphic>
          </wp:inline>
        </w:drawing>
      </w:r>
      <w:r>
        <w:rPr>
          <w:rFonts w:hint="eastAsia" w:ascii="宋体" w:hAnsi="宋体" w:eastAsia="宋体" w:cs="宋体"/>
          <w:color w:val="auto"/>
          <w:sz w:val="24"/>
          <w:szCs w:val="24"/>
          <w:highlight w:val="none"/>
        </w:rPr>
        <w:t>www.ccgp.gov.cn)政府采购严重违法失信行为记录名单中被财政部门禁止参加政府采购活动的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(处罚决定规定的时间和地域范围内)；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color w:val="auto"/>
          <w:spacing w:val="0"/>
          <w:kern w:val="0"/>
          <w:sz w:val="24"/>
          <w:szCs w:val="24"/>
          <w:highlight w:val="none"/>
          <w:lang w:val="en-US" w:eastAsia="zh-CN"/>
        </w:rPr>
        <w:t>2</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lang w:eastAsia="zh-CN"/>
        </w:rPr>
        <w:t>本次</w:t>
      </w:r>
      <w:r>
        <w:rPr>
          <w:rFonts w:hint="eastAsia" w:ascii="宋体" w:hAnsi="宋体" w:eastAsia="宋体" w:cs="宋体"/>
          <w:color w:val="auto"/>
          <w:sz w:val="24"/>
          <w:szCs w:val="24"/>
          <w:highlight w:val="none"/>
        </w:rPr>
        <w:t>采购活动的供应商、法定代表人、主要负责人在</w:t>
      </w:r>
      <w:r>
        <w:rPr>
          <w:rFonts w:hint="eastAsia" w:ascii="宋体" w:hAnsi="宋体" w:eastAsia="宋体" w:cs="宋体"/>
          <w:color w:val="auto"/>
          <w:sz w:val="24"/>
          <w:szCs w:val="24"/>
          <w:highlight w:val="none"/>
          <w:lang w:val="en-US" w:eastAsia="zh-CN"/>
        </w:rPr>
        <w:t>2018</w:t>
      </w:r>
      <w:r>
        <w:rPr>
          <w:rFonts w:hint="eastAsia" w:ascii="宋体" w:hAnsi="宋体" w:eastAsia="宋体" w:cs="宋体"/>
          <w:color w:val="auto"/>
          <w:sz w:val="24"/>
          <w:szCs w:val="24"/>
          <w:highlight w:val="none"/>
        </w:rPr>
        <w:t>年至今不得具有行贿犯罪记录；</w:t>
      </w:r>
    </w:p>
    <w:p>
      <w:pPr>
        <w:pStyle w:val="2"/>
        <w:spacing w:line="360" w:lineRule="auto"/>
        <w:ind w:firstLine="480" w:firstLineChars="200"/>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3</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0"/>
          <w:highlight w:val="none"/>
          <w:lang w:val="en-US" w:eastAsia="zh-CN" w:bidi="ar-SA"/>
        </w:rPr>
        <w:t>不属于为采购项目提供整体设计、规范编制或者项目管理、监理、检测等服务的供应商；</w:t>
      </w:r>
    </w:p>
    <w:p>
      <w:pPr>
        <w:pStyle w:val="14"/>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highlight w:val="none"/>
          <w:lang w:val="en-US" w:eastAsia="zh-CN"/>
        </w:rPr>
        <w:t>单位（自然人）没有列入失信被执行人、重大税收违法案件当事人名单、政府采购严重违法失信行为记录名单</w:t>
      </w:r>
      <w:r>
        <w:rPr>
          <w:rFonts w:hint="eastAsia" w:ascii="宋体" w:hAnsi="宋体" w:eastAsia="宋体" w:cs="宋体"/>
          <w:color w:val="auto"/>
          <w:sz w:val="24"/>
          <w:szCs w:val="24"/>
          <w:highlight w:val="none"/>
          <w:lang w:val="en-US" w:eastAsia="zh-CN"/>
        </w:rPr>
        <w:t>；</w:t>
      </w:r>
    </w:p>
    <w:p>
      <w:pPr>
        <w:pStyle w:val="14"/>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.具有国家行政主管部门颁发的检验检测机构资质CMA 证书（检测范围包含本项目检测项目内容）；</w:t>
      </w:r>
    </w:p>
    <w:p>
      <w:pPr>
        <w:pStyle w:val="14"/>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.本项目不接受联合体参加磋商；</w:t>
      </w:r>
    </w:p>
    <w:p>
      <w:pPr>
        <w:pStyle w:val="14"/>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color w:val="auto"/>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按规定获取磋商文件。</w:t>
      </w:r>
    </w:p>
    <w:p>
      <w:pPr>
        <w:keepNext w:val="0"/>
        <w:keepLines w:val="0"/>
        <w:pageBreakBefore w:val="0"/>
        <w:widowControl/>
        <w:kinsoku/>
        <w:wordWrap/>
        <w:overflowPunct/>
        <w:topLinePunct w:val="0"/>
        <w:autoSpaceDE/>
        <w:autoSpaceDN/>
        <w:bidi w:val="0"/>
        <w:adjustRightInd/>
        <w:snapToGrid/>
        <w:spacing w:line="360" w:lineRule="auto"/>
        <w:ind w:right="0" w:rightChars="0" w:firstLine="482" w:firstLineChars="200"/>
        <w:jc w:val="both"/>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sz w:val="24"/>
          <w:szCs w:val="24"/>
          <w:highlight w:val="none"/>
        </w:rPr>
        <w:t>）其他类似效力要求</w:t>
      </w:r>
      <w:r>
        <w:rPr>
          <w:rFonts w:hint="eastAsia" w:ascii="宋体" w:hAnsi="宋体" w:eastAsia="宋体" w:cs="宋体"/>
          <w:b/>
          <w:bCs/>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、企业法定代表人授权书（原件）；</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、法定代表人的身份证复印件；</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、被授权代理人的身份证复印件；</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、提供承诺书原件（格式详见响应文件）</w:t>
      </w:r>
    </w:p>
    <w:p>
      <w:pPr>
        <w:keepNext w:val="0"/>
        <w:keepLines w:val="0"/>
        <w:pageBreakBefore w:val="0"/>
        <w:widowControl/>
        <w:suppressLineNumbers w:val="0"/>
        <w:kinsoku/>
        <w:wordWrap/>
        <w:overflowPunct/>
        <w:topLinePunct w:val="0"/>
        <w:autoSpaceDE/>
        <w:autoSpaceDN/>
        <w:bidi w:val="0"/>
        <w:snapToGrid/>
        <w:spacing w:line="360" w:lineRule="auto"/>
        <w:ind w:firstLine="482" w:firstLineChars="200"/>
        <w:jc w:val="left"/>
        <w:rPr>
          <w:rFonts w:hint="eastAsia" w:ascii="宋体" w:hAnsi="宋体" w:eastAsia="宋体" w:cs="宋体"/>
          <w:b/>
          <w:color w:val="auto"/>
          <w:kern w:val="0"/>
          <w:sz w:val="24"/>
          <w:szCs w:val="24"/>
          <w:highlight w:val="none"/>
          <w:lang w:val="en-US" w:eastAsia="zh-CN" w:bidi="ar"/>
        </w:rPr>
      </w:pPr>
      <w:bookmarkStart w:id="91" w:name="_Toc20069"/>
    </w:p>
    <w:p>
      <w:pPr>
        <w:keepNext w:val="0"/>
        <w:keepLines w:val="0"/>
        <w:pageBreakBefore w:val="0"/>
        <w:widowControl/>
        <w:suppressLineNumbers w:val="0"/>
        <w:kinsoku/>
        <w:wordWrap/>
        <w:overflowPunct/>
        <w:topLinePunct w:val="0"/>
        <w:autoSpaceDE/>
        <w:autoSpaceDN/>
        <w:bidi w:val="0"/>
        <w:snapToGrid/>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en-US" w:eastAsia="zh-CN" w:bidi="ar"/>
        </w:rPr>
        <w:t>注：1.本项目确定供应商重大违法记录中较大数额罚款的金额标准按照四川省人民政府令第 317 号《四川省行政处罚听证程序规定》</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b/>
          <w:color w:val="auto"/>
          <w:kern w:val="0"/>
          <w:sz w:val="24"/>
          <w:szCs w:val="24"/>
          <w:highlight w:val="none"/>
          <w:lang w:val="en-US" w:eastAsia="zh-CN" w:bidi="ar"/>
        </w:rPr>
        <w:t xml:space="preserve">对非经营活动中公民的违法行为处以罚款或者没收财产 2000 元以上、法人或者其他组织的违法行为处以罚款或者没收财产2万元以上；对在经营活动中的违法行为处以罚款或者没收财产5万元以上。 </w:t>
      </w:r>
    </w:p>
    <w:p>
      <w:pPr>
        <w:keepNext w:val="0"/>
        <w:keepLines w:val="0"/>
        <w:pageBreakBefore w:val="0"/>
        <w:kinsoku/>
        <w:wordWrap/>
        <w:overflowPunct/>
        <w:topLinePunct w:val="0"/>
        <w:autoSpaceDE/>
        <w:autoSpaceDN/>
        <w:bidi w:val="0"/>
        <w:snapToGrid/>
        <w:spacing w:line="360" w:lineRule="auto"/>
        <w:ind w:firstLine="482" w:firstLineChars="200"/>
        <w:rPr>
          <w:rStyle w:val="20"/>
          <w:rFonts w:hint="eastAsia" w:ascii="宋体" w:hAnsi="宋体" w:eastAsia="宋体" w:cs="宋体"/>
          <w:color w:val="auto"/>
          <w:highlight w:val="none"/>
        </w:rPr>
      </w:pPr>
      <w:r>
        <w:rPr>
          <w:rFonts w:hint="eastAsia" w:ascii="宋体" w:hAnsi="宋体" w:eastAsia="宋体" w:cs="宋体"/>
          <w:b/>
          <w:color w:val="auto"/>
          <w:kern w:val="0"/>
          <w:sz w:val="24"/>
          <w:szCs w:val="24"/>
          <w:highlight w:val="none"/>
          <w:lang w:val="en-US" w:eastAsia="zh-CN" w:bidi="ar"/>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r>
        <w:rPr>
          <w:rStyle w:val="20"/>
          <w:rFonts w:hint="eastAsia" w:ascii="宋体" w:hAnsi="宋体" w:eastAsia="宋体" w:cs="宋体"/>
          <w:color w:val="auto"/>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eastAsia" w:ascii="宋体" w:hAnsi="宋体" w:eastAsia="宋体" w:cs="宋体"/>
          <w:b/>
          <w:bCs/>
          <w:color w:val="auto"/>
          <w:sz w:val="24"/>
          <w:szCs w:val="24"/>
          <w:highlight w:val="none"/>
        </w:rPr>
      </w:pPr>
      <w:bookmarkStart w:id="92" w:name="_Toc31608"/>
      <w:r>
        <w:rPr>
          <w:rStyle w:val="20"/>
          <w:rFonts w:hint="eastAsia" w:ascii="宋体" w:hAnsi="宋体" w:eastAsia="宋体" w:cs="宋体"/>
          <w:color w:val="auto"/>
          <w:highlight w:val="none"/>
        </w:rPr>
        <w:t>第四章  供应商资格证明材料</w:t>
      </w:r>
      <w:bookmarkEnd w:id="91"/>
      <w:bookmarkEnd w:id="92"/>
    </w:p>
    <w:p>
      <w:pPr>
        <w:keepNext w:val="0"/>
        <w:keepLines w:val="0"/>
        <w:pageBreakBefore w:val="0"/>
        <w:widowControl/>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（一）《中华人民共和国政府采购法》第二十二条第一款第（一）至（六）规定的条件相关证明材料：</w:t>
      </w:r>
    </w:p>
    <w:p>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1、具有独立承担民事责任的能力：</w:t>
      </w:r>
    </w:p>
    <w:p>
      <w:pPr>
        <w:keepNext w:val="0"/>
        <w:keepLines w:val="0"/>
        <w:pageBreakBefore w:val="0"/>
        <w:widowControl/>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企业法人：提供“统一社会信用代码营业执照”复印件；（2）事业法人：提供“统一社会信用代码法人登记证书”复印件；（3）其他组织：提供“统一社会信用代码社会团体法人登记证书”复印件或“统一社会信用代码民办非企业单位登记证书”复印件或“统一社会信用代码基金会法人登记证书”复印件；（4）个体工商户：提供“统一社会信用代码营业执照”复印件 或“营业执照、税务登记证”复印件。</w:t>
      </w:r>
    </w:p>
    <w:p>
      <w:pPr>
        <w:keepNext w:val="0"/>
        <w:keepLines w:val="0"/>
        <w:pageBreakBefore w:val="0"/>
        <w:widowControl/>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注：以上证件提供正/副本均可。</w:t>
      </w:r>
    </w:p>
    <w:p>
      <w:pPr>
        <w:keepNext w:val="0"/>
        <w:keepLines w:val="0"/>
        <w:pageBreakBefore w:val="0"/>
        <w:widowControl/>
        <w:numPr>
          <w:ilvl w:val="0"/>
          <w:numId w:val="4"/>
        </w:numPr>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具有良好的商业信誉和健全的财务会计制度：</w:t>
      </w:r>
    </w:p>
    <w:p>
      <w:pPr>
        <w:keepNext w:val="0"/>
        <w:keepLines w:val="0"/>
        <w:pageBreakBefore w:val="0"/>
        <w:widowControl/>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具有良好的商业信誉提供：具有良好的商业信誉的承诺函（原件。格式</w:t>
      </w:r>
      <w:r>
        <w:rPr>
          <w:rFonts w:hint="eastAsia" w:ascii="宋体" w:hAnsi="宋体" w:eastAsia="宋体" w:cs="宋体"/>
          <w:color w:val="auto"/>
          <w:sz w:val="24"/>
          <w:szCs w:val="24"/>
          <w:highlight w:val="none"/>
          <w:lang w:eastAsia="zh-CN"/>
        </w:rPr>
        <w:t>自拟</w:t>
      </w:r>
      <w:r>
        <w:rPr>
          <w:rFonts w:hint="eastAsia" w:ascii="宋体" w:hAnsi="宋体" w:eastAsia="宋体" w:cs="宋体"/>
          <w:color w:val="auto"/>
          <w:sz w:val="24"/>
          <w:szCs w:val="24"/>
          <w:highlight w:val="none"/>
        </w:rPr>
        <w:t>)(说明：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参加政府采购活动前，被纳入法院、工商行政管理部门、税务部门、银行认定的失信人名单且在有效期内，或者在前三年政府采购合同履约过程中及其他经营活动履约过程中未依法履约被有关部门处理的，不能认定为具有良好的商业信誉）；</w:t>
      </w:r>
    </w:p>
    <w:p>
      <w:pPr>
        <w:keepNext w:val="0"/>
        <w:keepLines w:val="0"/>
        <w:pageBreakBefore w:val="0"/>
        <w:widowControl/>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具有健全的财务会计制度提供：（1）财务状况报告提供201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年度</w:t>
      </w:r>
      <w:r>
        <w:rPr>
          <w:rFonts w:hint="eastAsia" w:ascii="宋体" w:hAnsi="宋体" w:cs="宋体"/>
          <w:color w:val="auto"/>
          <w:sz w:val="24"/>
          <w:szCs w:val="24"/>
          <w:highlight w:val="none"/>
          <w:lang w:eastAsia="zh-CN"/>
        </w:rPr>
        <w:t>或</w:t>
      </w:r>
      <w:r>
        <w:rPr>
          <w:rFonts w:hint="eastAsia" w:ascii="宋体" w:hAnsi="宋体" w:eastAsia="宋体" w:cs="宋体"/>
          <w:color w:val="auto"/>
          <w:sz w:val="24"/>
          <w:szCs w:val="24"/>
          <w:highlight w:val="none"/>
        </w:rPr>
        <w:t>20</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年度经审计的财务报告复印</w:t>
      </w:r>
      <w:r>
        <w:rPr>
          <w:rFonts w:hint="eastAsia" w:ascii="宋体" w:hAnsi="宋体" w:eastAsia="宋体" w:cs="宋体"/>
          <w:color w:val="auto"/>
          <w:sz w:val="24"/>
          <w:szCs w:val="24"/>
          <w:highlight w:val="none"/>
          <w:shd w:val="clear" w:color="auto" w:fill="auto"/>
        </w:rPr>
        <w:t>件（包含审计报告</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审计报告中所涉及的财务报表和报表附注），</w:t>
      </w:r>
      <w:r>
        <w:rPr>
          <w:rFonts w:hint="eastAsia" w:ascii="宋体" w:hAnsi="宋体" w:eastAsia="宋体" w:cs="宋体"/>
          <w:color w:val="auto"/>
          <w:sz w:val="24"/>
          <w:szCs w:val="24"/>
          <w:highlight w:val="none"/>
        </w:rPr>
        <w:t>（2）银行资信证明须为</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递交截止日前3个月内由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所开立账户的银行开具的复印件；（3）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注册时间截至</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递交截止日不足一年的，也可提供在工商备案的公司章程复印件。</w:t>
      </w:r>
      <w:r>
        <w:rPr>
          <w:rFonts w:hint="eastAsia" w:ascii="宋体" w:hAnsi="宋体" w:eastAsia="宋体" w:cs="宋体"/>
          <w:color w:val="auto"/>
          <w:sz w:val="24"/>
          <w:szCs w:val="24"/>
          <w:highlight w:val="none"/>
          <w:lang w:eastAsia="zh-CN"/>
        </w:rPr>
        <w:t>以上材料（</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）具有同等效力，提供任一项均可。</w:t>
      </w:r>
    </w:p>
    <w:p>
      <w:pPr>
        <w:keepNext w:val="0"/>
        <w:keepLines w:val="0"/>
        <w:pageBreakBefore w:val="0"/>
        <w:widowControl/>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3、具有履行合同所必须的设备和专业技术能力：提供供应商履行合同所必需的设备和专业技术能力的证明材料复印件</w:t>
      </w:r>
      <w:r>
        <w:rPr>
          <w:rFonts w:hint="eastAsia" w:ascii="宋体" w:hAnsi="宋体" w:eastAsia="宋体" w:cs="宋体"/>
          <w:color w:val="auto"/>
          <w:sz w:val="24"/>
          <w:szCs w:val="24"/>
          <w:highlight w:val="none"/>
          <w:lang w:eastAsia="zh-CN"/>
        </w:rPr>
        <w:t>或承诺函（格式自拟）；</w:t>
      </w:r>
    </w:p>
    <w:p>
      <w:pPr>
        <w:keepNext w:val="0"/>
        <w:keepLines w:val="0"/>
        <w:pageBreakBefore w:val="0"/>
        <w:widowControl/>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4、具有依法缴纳税收和社会保障资金的良好记录：</w:t>
      </w:r>
      <w:r>
        <w:rPr>
          <w:rFonts w:hint="eastAsia" w:ascii="宋体" w:hAnsi="宋体" w:eastAsia="宋体" w:cs="宋体"/>
          <w:color w:val="auto"/>
          <w:sz w:val="24"/>
          <w:highlight w:val="none"/>
        </w:rPr>
        <w:t>（1）提供</w:t>
      </w:r>
      <w:r>
        <w:rPr>
          <w:rFonts w:hint="eastAsia" w:ascii="宋体" w:hAnsi="宋体" w:eastAsia="宋体" w:cs="宋体"/>
          <w:color w:val="auto"/>
          <w:sz w:val="24"/>
          <w:highlight w:val="none"/>
          <w:lang w:val="en-US" w:eastAsia="zh-CN"/>
        </w:rPr>
        <w:t>2020</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eastAsia="zh-CN"/>
        </w:rPr>
        <w:t>以来</w:t>
      </w:r>
      <w:r>
        <w:rPr>
          <w:rFonts w:hint="eastAsia" w:ascii="宋体" w:hAnsi="宋体" w:eastAsia="宋体" w:cs="宋体"/>
          <w:color w:val="auto"/>
          <w:sz w:val="24"/>
          <w:highlight w:val="none"/>
        </w:rPr>
        <w:t>（任意</w:t>
      </w:r>
      <w:r>
        <w:rPr>
          <w:rFonts w:hint="eastAsia" w:ascii="宋体" w:hAnsi="宋体" w:eastAsia="宋体" w:cs="宋体"/>
          <w:color w:val="auto"/>
          <w:sz w:val="24"/>
          <w:highlight w:val="none"/>
          <w:lang w:eastAsia="zh-CN"/>
        </w:rPr>
        <w:t>三</w:t>
      </w:r>
      <w:r>
        <w:rPr>
          <w:rFonts w:hint="eastAsia" w:ascii="宋体" w:hAnsi="宋体" w:eastAsia="宋体" w:cs="宋体"/>
          <w:color w:val="auto"/>
          <w:sz w:val="24"/>
          <w:highlight w:val="none"/>
        </w:rPr>
        <w:t>个月）的缴纳税收和社保的银行缴款凭证复印件或税务、社保部门出具的证明材料复印件。（2）</w:t>
      </w:r>
      <w:r>
        <w:rPr>
          <w:rFonts w:hint="eastAsia" w:ascii="宋体" w:hAnsi="宋体" w:eastAsia="宋体" w:cs="宋体"/>
          <w:color w:val="auto"/>
          <w:sz w:val="24"/>
          <w:highlight w:val="none"/>
          <w:lang w:eastAsia="zh-CN"/>
        </w:rPr>
        <w:t>或提供</w:t>
      </w:r>
      <w:r>
        <w:rPr>
          <w:rFonts w:hint="eastAsia" w:ascii="宋体" w:hAnsi="宋体" w:eastAsia="宋体" w:cs="宋体"/>
          <w:color w:val="auto"/>
          <w:sz w:val="24"/>
          <w:highlight w:val="none"/>
        </w:rPr>
        <w:t>依法缴纳税收和社会保障资金良好记录的承诺函原件（承诺函格式自拟）。（说明：税收可提供税务部门开具的收据或网银转帐回执单等有效证明材料；社保资金可提供社保部门开具的收据、网银转帐回执单或社保部门出具的已缴费证明等有效证明材料。</w:t>
      </w:r>
      <w:r>
        <w:rPr>
          <w:rFonts w:hint="eastAsia" w:ascii="宋体" w:hAnsi="宋体" w:eastAsia="宋体" w:cs="宋体"/>
          <w:color w:val="auto"/>
          <w:sz w:val="24"/>
          <w:highlight w:val="none"/>
          <w:lang w:val="zh-CN"/>
        </w:rPr>
        <w:t>依法免税或不需要缴纳社会保障资金的供应商，应提供相应文件证明其依法免税或不需要缴纳社会保障资金</w:t>
      </w:r>
      <w:r>
        <w:rPr>
          <w:rFonts w:hint="eastAsia" w:ascii="宋体" w:hAnsi="宋体" w:eastAsia="宋体" w:cs="宋体"/>
          <w:color w:val="auto"/>
          <w:sz w:val="24"/>
          <w:highlight w:val="none"/>
          <w:lang w:val="zh-CN" w:eastAsia="zh-CN"/>
        </w:rPr>
        <w:t>。成立日期距离递交响应文件截止时间不足</w:t>
      </w:r>
      <w:r>
        <w:rPr>
          <w:rFonts w:hint="eastAsia" w:ascii="宋体" w:hAnsi="宋体" w:eastAsia="宋体" w:cs="宋体"/>
          <w:color w:val="auto"/>
          <w:sz w:val="24"/>
          <w:highlight w:val="none"/>
          <w:lang w:val="en-US" w:eastAsia="zh-CN"/>
        </w:rPr>
        <w:t>3个月的企业，对税收和社保资金可提供情况说明或承诺</w:t>
      </w:r>
      <w:r>
        <w:rPr>
          <w:rFonts w:hint="eastAsia" w:ascii="宋体" w:hAnsi="宋体" w:eastAsia="宋体" w:cs="宋体"/>
          <w:color w:val="auto"/>
          <w:sz w:val="24"/>
          <w:highlight w:val="none"/>
        </w:rPr>
        <w:t>）；</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参加本次政府采购活动前三年内，在经营活动中没有重大违法记录：</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声明函（原件，格式</w:t>
      </w:r>
      <w:r>
        <w:rPr>
          <w:rFonts w:hint="eastAsia" w:ascii="宋体" w:hAnsi="宋体" w:eastAsia="宋体" w:cs="宋体"/>
          <w:color w:val="auto"/>
          <w:sz w:val="24"/>
          <w:szCs w:val="24"/>
          <w:highlight w:val="none"/>
          <w:lang w:eastAsia="zh-CN"/>
        </w:rPr>
        <w:t>自拟</w:t>
      </w:r>
      <w:r>
        <w:rPr>
          <w:rFonts w:hint="eastAsia" w:ascii="宋体" w:hAnsi="宋体" w:eastAsia="宋体" w:cs="宋体"/>
          <w:color w:val="auto"/>
          <w:sz w:val="24"/>
          <w:szCs w:val="24"/>
          <w:highlight w:val="none"/>
        </w:rPr>
        <w:t>。说明：1、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在参加政府采购活动前3年内因违法经营被禁止在一定期限内参加政府采购活动，期限届满的，可以参加政府采购活动，但</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应提供相关证明材料复印件并加盖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公章；2、较大数额罚款的具体金额标准以本项目行业行政主管的明文规定或四川省人民政府规定的行政处罚听证标准为准）；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法律、行政法规规定的其他条件</w:t>
      </w:r>
      <w:r>
        <w:rPr>
          <w:rFonts w:hint="eastAsia" w:ascii="宋体" w:hAnsi="宋体" w:eastAsia="宋体" w:cs="宋体"/>
          <w:color w:val="auto"/>
          <w:sz w:val="24"/>
          <w:szCs w:val="24"/>
          <w:highlight w:val="none"/>
          <w:lang w:eastAsia="zh-CN"/>
        </w:rPr>
        <w:t>：本项目对此项无规定，提供有效的营业执照复印件即可。</w:t>
      </w:r>
    </w:p>
    <w:p>
      <w:pPr>
        <w:pStyle w:val="2"/>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（二）落实政府采购政策需满足的资格条件：</w:t>
      </w:r>
    </w:p>
    <w:p>
      <w:pPr>
        <w:pStyle w:val="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FF0000"/>
          <w:highlight w:val="none"/>
        </w:rPr>
      </w:pPr>
      <w:r>
        <w:rPr>
          <w:rFonts w:hint="eastAsia" w:ascii="宋体" w:hAnsi="宋体" w:cs="宋体"/>
          <w:b w:val="0"/>
          <w:color w:val="auto"/>
          <w:spacing w:val="0"/>
          <w:kern w:val="0"/>
          <w:sz w:val="24"/>
          <w:szCs w:val="24"/>
          <w:highlight w:val="none"/>
          <w:lang w:eastAsia="zh-CN"/>
        </w:rPr>
        <w:t>本项目专门面向中小企业采购（监狱企业、残疾人福利性单位均视同小微企业）。（提供中小企业承诺函）。</w:t>
      </w:r>
    </w:p>
    <w:p>
      <w:pPr>
        <w:keepNext w:val="0"/>
        <w:keepLines w:val="0"/>
        <w:pageBreakBefore w:val="0"/>
        <w:widowControl/>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（三）根据采购项目提出的特殊条件：</w:t>
      </w:r>
    </w:p>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不得为“信用中国”网站(</w:t>
      </w:r>
      <w:r>
        <w:rPr>
          <w:rFonts w:hint="eastAsia" w:ascii="宋体" w:hAnsi="宋体" w:eastAsia="宋体" w:cs="宋体"/>
          <w:color w:val="auto"/>
          <w:sz w:val="24"/>
          <w:szCs w:val="24"/>
          <w:highlight w:val="none"/>
        </w:rPr>
        <w:drawing>
          <wp:inline distT="0" distB="0" distL="114300" distR="114300">
            <wp:extent cx="190500" cy="142875"/>
            <wp:effectExtent l="0" t="0" r="0" b="9525"/>
            <wp:docPr id="10"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IMG_256"/>
                    <pic:cNvPicPr>
                      <a:picLocks noChangeAspect="1"/>
                    </pic:cNvPicPr>
                  </pic:nvPicPr>
                  <pic:blipFill>
                    <a:blip r:embed="rId14"/>
                    <a:stretch>
                      <a:fillRect/>
                    </a:stretch>
                  </pic:blipFill>
                  <pic:spPr>
                    <a:xfrm>
                      <a:off x="0" y="0"/>
                      <a:ext cx="190500" cy="142875"/>
                    </a:xfrm>
                    <a:prstGeom prst="rect">
                      <a:avLst/>
                    </a:prstGeom>
                    <a:noFill/>
                    <a:ln w="9525">
                      <a:noFill/>
                    </a:ln>
                  </pic:spPr>
                </pic:pic>
              </a:graphicData>
            </a:graphic>
          </wp:inline>
        </w:drawing>
      </w:r>
      <w:r>
        <w:rPr>
          <w:rFonts w:hint="eastAsia" w:ascii="宋体" w:hAnsi="宋体" w:eastAsia="宋体" w:cs="宋体"/>
          <w:color w:val="auto"/>
          <w:sz w:val="24"/>
          <w:szCs w:val="24"/>
          <w:highlight w:val="none"/>
        </w:rPr>
        <w:t>www.creditchina.gov.cn)中列入失信被执行人和重大税收违法案件当事人名单的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，不得为中国政府采购网(</w:t>
      </w:r>
      <w:r>
        <w:rPr>
          <w:rFonts w:hint="eastAsia" w:ascii="宋体" w:hAnsi="宋体" w:eastAsia="宋体" w:cs="宋体"/>
          <w:color w:val="auto"/>
          <w:sz w:val="24"/>
          <w:szCs w:val="24"/>
          <w:highlight w:val="none"/>
        </w:rPr>
        <w:drawing>
          <wp:inline distT="0" distB="0" distL="114300" distR="114300">
            <wp:extent cx="190500" cy="142875"/>
            <wp:effectExtent l="0" t="0" r="0" b="9525"/>
            <wp:docPr id="1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IMG_257"/>
                    <pic:cNvPicPr>
                      <a:picLocks noChangeAspect="1"/>
                    </pic:cNvPicPr>
                  </pic:nvPicPr>
                  <pic:blipFill>
                    <a:blip r:embed="rId14"/>
                    <a:stretch>
                      <a:fillRect/>
                    </a:stretch>
                  </pic:blipFill>
                  <pic:spPr>
                    <a:xfrm>
                      <a:off x="0" y="0"/>
                      <a:ext cx="190500" cy="142875"/>
                    </a:xfrm>
                    <a:prstGeom prst="rect">
                      <a:avLst/>
                    </a:prstGeom>
                    <a:noFill/>
                    <a:ln w="9525">
                      <a:noFill/>
                    </a:ln>
                  </pic:spPr>
                </pic:pic>
              </a:graphicData>
            </a:graphic>
          </wp:inline>
        </w:drawing>
      </w:r>
      <w:r>
        <w:rPr>
          <w:rFonts w:hint="eastAsia" w:ascii="宋体" w:hAnsi="宋体" w:eastAsia="宋体" w:cs="宋体"/>
          <w:color w:val="auto"/>
          <w:sz w:val="24"/>
          <w:szCs w:val="24"/>
          <w:highlight w:val="none"/>
        </w:rPr>
        <w:t>www.ccgp.gov.cn)政府采购严重违法失信行为记录名单中被财政部门禁止参加政府采购活动的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(处罚决定规定的时间和地域范围内</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lang w:eastAsia="zh-CN"/>
        </w:rPr>
        <w:t>提供</w:t>
      </w:r>
      <w:r>
        <w:rPr>
          <w:rFonts w:hint="eastAsia" w:ascii="宋体" w:hAnsi="宋体" w:cs="宋体"/>
          <w:b w:val="0"/>
          <w:bCs w:val="0"/>
          <w:color w:val="auto"/>
          <w:sz w:val="24"/>
          <w:szCs w:val="24"/>
          <w:highlight w:val="none"/>
          <w:lang w:val="en-US" w:eastAsia="zh-CN"/>
        </w:rPr>
        <w:t>网站截图</w:t>
      </w:r>
      <w:r>
        <w:rPr>
          <w:rFonts w:hint="eastAsia" w:ascii="宋体" w:hAnsi="宋体" w:cs="宋体"/>
          <w:b w:val="0"/>
          <w:bCs w:val="0"/>
          <w:color w:val="auto"/>
          <w:sz w:val="24"/>
          <w:szCs w:val="24"/>
          <w:highlight w:val="none"/>
          <w:lang w:eastAsia="zh-CN"/>
        </w:rPr>
        <w:t>）</w:t>
      </w:r>
    </w:p>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2.参加本次采购活动的供应商、法定代表人、主要负责人在2018年至今不得具有行贿犯罪记录；（提供承诺函原件，格式自拟）</w:t>
      </w:r>
    </w:p>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3．不属于为采购项目提供整体设计、规范编制或者项目管理、监理、检测等服务的供应商；（提供承诺函原件，格式自拟）</w:t>
      </w:r>
    </w:p>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4.单位（自然人）没有列入失信被执行人、重大税收违法案件当事人名单、政府采购严重违法失信行为记录名单；（提供承诺函原件，格式自拟）</w:t>
      </w:r>
    </w:p>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5．具有国家行政主管部门颁发的检验检测机构资质CMA证书；（检测范围包含本项目检测项目内容）（提供复印件）</w:t>
      </w:r>
    </w:p>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6．本项目不接受联合体参加投标。（提供承诺函原件，格式自拟）</w:t>
      </w:r>
    </w:p>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7．按规定获取磋商文件。（提供报名回执单）。</w:t>
      </w:r>
    </w:p>
    <w:p>
      <w:pPr>
        <w:keepNext w:val="0"/>
        <w:keepLines w:val="0"/>
        <w:pageBreakBefore w:val="0"/>
        <w:widowControl/>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（四）其他类似效力要求：</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、企业法定代表人授权书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格式详见</w:t>
      </w:r>
      <w:r>
        <w:rPr>
          <w:rFonts w:hint="eastAsia" w:ascii="宋体" w:hAnsi="宋体" w:eastAsia="宋体" w:cs="宋体"/>
          <w:color w:val="auto"/>
          <w:sz w:val="24"/>
          <w:szCs w:val="24"/>
          <w:highlight w:val="none"/>
          <w:lang w:val="en-US" w:eastAsia="zh-CN"/>
        </w:rPr>
        <w:t>资格性响应文件:二、</w:t>
      </w:r>
      <w:r>
        <w:rPr>
          <w:rFonts w:hint="eastAsia" w:ascii="宋体" w:hAnsi="宋体" w:eastAsia="宋体" w:cs="宋体"/>
          <w:color w:val="auto"/>
          <w:sz w:val="24"/>
          <w:szCs w:val="24"/>
          <w:highlight w:val="none"/>
        </w:rPr>
        <w:t>法定代表人授权书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、法定代表人的身份证复印件；</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、被授权代理人的身份证复印件；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、提供承诺书原件（格式详见</w:t>
      </w:r>
      <w:r>
        <w:rPr>
          <w:rFonts w:hint="eastAsia" w:ascii="宋体" w:hAnsi="宋体" w:eastAsia="宋体" w:cs="宋体"/>
          <w:color w:val="auto"/>
          <w:sz w:val="24"/>
          <w:szCs w:val="24"/>
          <w:highlight w:val="none"/>
          <w:lang w:val="en-US" w:eastAsia="zh-CN"/>
        </w:rPr>
        <w:t>资格性</w:t>
      </w:r>
      <w:r>
        <w:rPr>
          <w:rFonts w:hint="eastAsia" w:ascii="宋体" w:hAnsi="宋体" w:eastAsia="宋体" w:cs="宋体"/>
          <w:color w:val="auto"/>
          <w:sz w:val="24"/>
          <w:szCs w:val="24"/>
          <w:highlight w:val="none"/>
        </w:rPr>
        <w:t>响应文件</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承诺函）</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本章要求提供的相关证明材料应当与第三章的规定要求对应，除供应商自愿以外，不能要求供应商提供额外的证明材料。如果要求提供额外的证明材料，供应商有权拒绝提供，且不影响响应文件的有效性和完整性。</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2.本章要求提供的相关证明材料应当结合采购项目具体情况和供应商的组织机构性质确定，不得一概而论。</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 xml:space="preserve">供应商提供的以上资格证明材料为复印件的，包含对原件扫描、复印、影印等方式复制的材料；且应加盖供应商公章。复印件所在页按要求加盖公章或复印件为多页但至少有一页按要求加盖公章的，视为满足复印件加盖公章的要求。 </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highlight w:val="none"/>
        </w:rPr>
        <w:sectPr>
          <w:headerReference r:id="rId6" w:type="default"/>
          <w:footerReference r:id="rId7" w:type="default"/>
          <w:pgSz w:w="11907" w:h="16840"/>
          <w:pgMar w:top="1440" w:right="1800" w:bottom="1440" w:left="1800" w:header="850" w:footer="1134" w:gutter="0"/>
          <w:pgBorders>
            <w:top w:val="none" w:sz="0" w:space="0"/>
            <w:left w:val="none" w:sz="0" w:space="0"/>
            <w:bottom w:val="single" w:color="auto" w:sz="4" w:space="1"/>
            <w:right w:val="none" w:sz="0" w:space="0"/>
          </w:pgBorders>
          <w:pgNumType w:fmt="decimal" w:start="1"/>
          <w:cols w:space="720" w:num="1"/>
          <w:docGrid w:linePitch="312" w:charSpace="0"/>
        </w:sect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本项目在评标时进行资格审查。供应商应在</w:t>
      </w:r>
      <w:r>
        <w:rPr>
          <w:rFonts w:hint="eastAsia" w:ascii="宋体" w:hAnsi="宋体" w:cs="宋体"/>
          <w:color w:val="auto"/>
          <w:sz w:val="24"/>
          <w:highlight w:val="none"/>
          <w:lang w:eastAsia="zh-CN"/>
        </w:rPr>
        <w:t>响应</w:t>
      </w:r>
      <w:r>
        <w:rPr>
          <w:rFonts w:hint="eastAsia" w:ascii="宋体" w:hAnsi="宋体" w:eastAsia="宋体" w:cs="宋体"/>
          <w:color w:val="auto"/>
          <w:sz w:val="24"/>
          <w:highlight w:val="none"/>
        </w:rPr>
        <w:t>文件中按</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 xml:space="preserve">文件的规定和要求附上所有的资格证明文件，并在必要时提供原件备查。若提供的资格证明文件不全或不实，将导致其投标或中标资格被取消。 </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Style w:val="20"/>
          <w:rFonts w:hint="eastAsia" w:ascii="宋体" w:hAnsi="宋体" w:eastAsia="宋体" w:cs="宋体"/>
          <w:color w:val="auto"/>
          <w:highlight w:val="none"/>
        </w:rPr>
      </w:pPr>
      <w:bookmarkStart w:id="93" w:name="_Toc18756"/>
      <w:r>
        <w:rPr>
          <w:rStyle w:val="20"/>
          <w:rFonts w:hint="eastAsia" w:ascii="宋体" w:hAnsi="宋体" w:eastAsia="宋体" w:cs="宋体"/>
          <w:color w:val="auto"/>
          <w:highlight w:val="none"/>
          <w:lang w:val="en-US" w:eastAsia="zh-CN"/>
        </w:rPr>
        <w:t xml:space="preserve"> </w:t>
      </w:r>
      <w:bookmarkStart w:id="94" w:name="_Toc23942"/>
      <w:r>
        <w:rPr>
          <w:rStyle w:val="20"/>
          <w:rFonts w:hint="eastAsia" w:ascii="宋体" w:hAnsi="宋体" w:eastAsia="宋体" w:cs="宋体"/>
          <w:color w:val="auto"/>
          <w:highlight w:val="none"/>
        </w:rPr>
        <w:t>采购项目技术、服务及商务要求</w:t>
      </w:r>
      <w:bookmarkEnd w:id="70"/>
      <w:bookmarkEnd w:id="71"/>
      <w:bookmarkEnd w:id="72"/>
      <w:bookmarkEnd w:id="73"/>
      <w:bookmarkEnd w:id="74"/>
      <w:bookmarkEnd w:id="93"/>
      <w:bookmarkEnd w:id="94"/>
      <w:bookmarkStart w:id="95" w:name="_Toc3568"/>
      <w:bookmarkStart w:id="96" w:name="_Toc22437"/>
      <w:bookmarkStart w:id="97" w:name="_Toc141"/>
      <w:bookmarkStart w:id="98" w:name="_Toc25378"/>
      <w:bookmarkStart w:id="99" w:name="_Toc8289"/>
      <w:bookmarkStart w:id="100" w:name="_Toc183682369"/>
      <w:bookmarkStart w:id="101" w:name="_Toc183582232"/>
      <w:bookmarkStart w:id="102" w:name="_Toc217446057"/>
    </w:p>
    <w:p>
      <w:pPr>
        <w:pStyle w:val="2"/>
        <w:keepNext w:val="0"/>
        <w:keepLines w:val="0"/>
        <w:pageBreakBefore w:val="0"/>
        <w:widowControl w:val="0"/>
        <w:numPr>
          <w:ilvl w:val="0"/>
          <w:numId w:val="7"/>
        </w:numPr>
        <w:kinsoku/>
        <w:wordWrap/>
        <w:overflowPunct/>
        <w:topLinePunct w:val="0"/>
        <w:autoSpaceDE/>
        <w:autoSpaceDN/>
        <w:bidi w:val="0"/>
        <w:adjustRightInd/>
        <w:snapToGrid/>
        <w:spacing w:line="360" w:lineRule="auto"/>
        <w:ind w:leftChars="0"/>
        <w:textAlignment w:val="auto"/>
        <w:rPr>
          <w:rStyle w:val="20"/>
          <w:rFonts w:hint="eastAsia" w:ascii="宋体" w:hAnsi="宋体" w:eastAsia="宋体" w:cs="宋体"/>
          <w:b/>
          <w:bCs/>
          <w:color w:val="auto"/>
          <w:sz w:val="24"/>
          <w:szCs w:val="24"/>
          <w:highlight w:val="none"/>
          <w:lang w:eastAsia="zh-CN"/>
        </w:rPr>
      </w:pPr>
      <w:bookmarkStart w:id="103" w:name="_Toc26716"/>
      <w:r>
        <w:rPr>
          <w:rStyle w:val="20"/>
          <w:rFonts w:hint="eastAsia" w:ascii="宋体" w:hAnsi="宋体" w:eastAsia="宋体" w:cs="宋体"/>
          <w:b/>
          <w:bCs/>
          <w:color w:val="auto"/>
          <w:sz w:val="24"/>
          <w:szCs w:val="24"/>
          <w:highlight w:val="none"/>
          <w:lang w:eastAsia="zh-CN"/>
        </w:rPr>
        <w:t>项目概述</w:t>
      </w:r>
    </w:p>
    <w:bookmarkEnd w:id="103"/>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简阳市委、市政府主要领导在《简阳市水务局《关于我市黑臭河渠综合治理工作情况的报告》（简水〔2018〕368号）的批示精神，我市阳化河、绛溪河等黑臭河渠综合治理工程已结束。需按照《城市黑臭水体整治工作指南》开展综合治理水质监测及综合评价评估报告编制服务。</w:t>
      </w:r>
    </w:p>
    <w:p>
      <w:pPr>
        <w:pStyle w:val="2"/>
        <w:numPr>
          <w:ilvl w:val="0"/>
          <w:numId w:val="7"/>
        </w:num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b/>
          <w:bCs/>
          <w:color w:val="auto"/>
          <w:sz w:val="24"/>
          <w:szCs w:val="24"/>
          <w:highlight w:val="none"/>
          <w:lang w:eastAsia="zh-CN"/>
        </w:rPr>
        <w:t>详细的服务要求和相关要求</w:t>
      </w:r>
    </w:p>
    <w:p>
      <w:pPr>
        <w:widowControl/>
        <w:shd w:val="clear" w:color="auto" w:fill="FFFFFF"/>
        <w:spacing w:line="360" w:lineRule="auto"/>
        <w:ind w:firstLine="480" w:firstLineChars="200"/>
        <w:rPr>
          <w:rFonts w:hAnsi="宋体" w:cs="宋体"/>
          <w:sz w:val="24"/>
          <w:szCs w:val="24"/>
        </w:rPr>
      </w:pPr>
      <w:r>
        <w:rPr>
          <w:rFonts w:hint="eastAsia" w:hAnsi="宋体" w:cs="宋体"/>
          <w:sz w:val="24"/>
          <w:szCs w:val="24"/>
        </w:rPr>
        <w:t>1、项目内容</w:t>
      </w:r>
    </w:p>
    <w:p>
      <w:pPr>
        <w:widowControl/>
        <w:shd w:val="clear" w:color="auto" w:fill="FFFFFF"/>
        <w:spacing w:line="360" w:lineRule="auto"/>
        <w:ind w:firstLine="480" w:firstLineChars="200"/>
        <w:rPr>
          <w:rFonts w:hAnsi="宋体" w:eastAsia="宋体" w:cs="宋体"/>
          <w:sz w:val="24"/>
          <w:szCs w:val="24"/>
        </w:rPr>
      </w:pPr>
      <w:r>
        <w:rPr>
          <w:rFonts w:hint="eastAsia" w:hAnsi="宋体" w:cs="宋体"/>
          <w:sz w:val="24"/>
          <w:szCs w:val="24"/>
        </w:rPr>
        <w:t>参照《城市黑臭水体整治工作指南》第五章 城市黑臭水体整治效果评估要求，黑臭河渠综合治理工程完工后，需对治理工程进行连续6个月的整治效果跟踪调查检测，并完成评估工作，评估结论应向社会公示。</w:t>
      </w:r>
    </w:p>
    <w:p>
      <w:pPr>
        <w:numPr>
          <w:ilvl w:val="0"/>
          <w:numId w:val="0"/>
        </w:numPr>
        <w:spacing w:line="360" w:lineRule="auto"/>
        <w:jc w:val="left"/>
        <w:rPr>
          <w:rFonts w:hint="eastAsia" w:ascii="宋体" w:hAnsi="宋体" w:eastAsia="宋体" w:cs="宋体"/>
          <w:b w:val="0"/>
          <w:bCs w:val="0"/>
          <w:color w:val="auto"/>
          <w:highlight w:val="none"/>
          <w:lang w:eastAsia="zh-CN"/>
        </w:rPr>
      </w:pPr>
      <w:r>
        <w:rPr>
          <w:rFonts w:hint="eastAsia" w:hAnsi="宋体" w:cs="宋体"/>
          <w:sz w:val="24"/>
          <w:szCs w:val="24"/>
        </w:rPr>
        <w:t>黑臭水体整治效果评估报告的主要内容和依据应包括公众调查评议材料、专业机构检测报告、工程实施影像材料、长效机制建设情况等。其中，公众调查评议结果是判断地方政府是否完成黑臭整治目标的主要依据，其他专业评估结果可为整治工作绩效考核、政府购买服务支付服务费等提供技术支撑</w:t>
      </w:r>
      <w:r>
        <w:rPr>
          <w:rFonts w:hint="eastAsia" w:hAnsi="宋体" w:cs="宋体"/>
          <w:sz w:val="24"/>
          <w:szCs w:val="24"/>
          <w:lang w:eastAsia="zh-CN"/>
        </w:rPr>
        <w:t>。</w:t>
      </w:r>
    </w:p>
    <w:p>
      <w:pPr>
        <w:widowControl/>
        <w:shd w:val="clear" w:color="auto" w:fill="FFFFFF"/>
        <w:spacing w:line="360" w:lineRule="auto"/>
        <w:ind w:firstLine="480" w:firstLineChars="200"/>
        <w:jc w:val="left"/>
        <w:rPr>
          <w:rFonts w:hAnsi="宋体" w:eastAsia="宋体" w:cs="宋体"/>
          <w:sz w:val="24"/>
          <w:szCs w:val="24"/>
        </w:rPr>
      </w:pPr>
      <w:r>
        <w:rPr>
          <w:rFonts w:hint="eastAsia" w:hAnsi="宋体" w:cs="宋体"/>
          <w:sz w:val="24"/>
          <w:szCs w:val="24"/>
        </w:rPr>
        <w:t>2、服务要求</w:t>
      </w:r>
    </w:p>
    <w:p>
      <w:pPr>
        <w:widowControl/>
        <w:shd w:val="clear" w:color="auto" w:fill="FFFFFF"/>
        <w:spacing w:line="360" w:lineRule="auto"/>
        <w:ind w:firstLine="480" w:firstLineChars="200"/>
        <w:rPr>
          <w:rFonts w:hAnsi="宋体" w:cs="宋体"/>
          <w:sz w:val="24"/>
          <w:szCs w:val="24"/>
        </w:rPr>
      </w:pPr>
      <w:r>
        <w:rPr>
          <w:rFonts w:hint="eastAsia" w:hAnsi="宋体" w:cs="宋体"/>
          <w:sz w:val="24"/>
          <w:szCs w:val="24"/>
        </w:rPr>
        <w:t>（1）在《城市黑臭水体整治工作指南》表2中的评价指标（透明度、溶解氧、氧化还原电位、氨氮）基础上，增设一个指标：总磷，共5个评价指标。</w:t>
      </w:r>
    </w:p>
    <w:p>
      <w:pPr>
        <w:widowControl/>
        <w:shd w:val="clear" w:color="auto" w:fill="FFFFFF"/>
        <w:spacing w:line="360" w:lineRule="auto"/>
        <w:ind w:firstLine="480" w:firstLineChars="200"/>
        <w:rPr>
          <w:rFonts w:hAnsi="宋体" w:cs="宋体"/>
          <w:sz w:val="24"/>
          <w:szCs w:val="24"/>
        </w:rPr>
      </w:pPr>
      <w:r>
        <w:rPr>
          <w:rFonts w:hint="eastAsia" w:hAnsi="宋体" w:cs="宋体"/>
          <w:sz w:val="24"/>
          <w:szCs w:val="24"/>
        </w:rPr>
        <w:t>按每200</w:t>
      </w:r>
      <w:r>
        <w:rPr>
          <w:rFonts w:ascii="Times New Roman" w:hAnsi="Times New Roman" w:eastAsia="黑体" w:cs="Times New Roman"/>
          <w:sz w:val="24"/>
          <w:szCs w:val="24"/>
        </w:rPr>
        <w:t>~</w:t>
      </w:r>
      <w:r>
        <w:rPr>
          <w:rFonts w:hint="eastAsia" w:hAnsi="宋体" w:cs="宋体"/>
          <w:sz w:val="24"/>
          <w:szCs w:val="24"/>
        </w:rPr>
        <w:t>600m间距设置检测点，但每个水体的检测点不少于3个，取样点一般设置于水面下0.5m处，水深不足0.5m时，应设置在水深的1/2处。每1</w:t>
      </w:r>
      <w:r>
        <w:rPr>
          <w:rFonts w:hint="eastAsia" w:ascii="Times New Roman" w:hAnsi="Times New Roman" w:cs="Times New Roman"/>
          <w:sz w:val="24"/>
          <w:szCs w:val="24"/>
        </w:rPr>
        <w:t xml:space="preserve"> ~ </w:t>
      </w:r>
      <w:r>
        <w:rPr>
          <w:rFonts w:hint="eastAsia" w:hAnsi="宋体" w:cs="宋体"/>
          <w:sz w:val="24"/>
          <w:szCs w:val="24"/>
        </w:rPr>
        <w:t>2周取样1次，每月3次，连续测定6个月，取多个监测点各指标的平均值作为评估依据。</w:t>
      </w:r>
    </w:p>
    <w:p>
      <w:pPr>
        <w:widowControl/>
        <w:numPr>
          <w:ilvl w:val="0"/>
          <w:numId w:val="0"/>
        </w:numPr>
        <w:shd w:val="clear" w:color="auto" w:fill="FFFFFF"/>
        <w:spacing w:line="360" w:lineRule="auto"/>
        <w:ind w:firstLine="480" w:firstLineChars="200"/>
        <w:rPr>
          <w:rFonts w:hAnsi="宋体" w:cs="宋体"/>
          <w:sz w:val="24"/>
          <w:szCs w:val="24"/>
        </w:rPr>
      </w:pPr>
      <w:r>
        <w:rPr>
          <w:rFonts w:hint="eastAsia" w:hAnsi="宋体" w:cs="宋体"/>
          <w:sz w:val="24"/>
          <w:szCs w:val="24"/>
          <w:lang w:eastAsia="zh-CN"/>
        </w:rPr>
        <w:t>（</w:t>
      </w:r>
      <w:r>
        <w:rPr>
          <w:rFonts w:hint="eastAsia" w:hAnsi="宋体" w:cs="宋体"/>
          <w:sz w:val="24"/>
          <w:szCs w:val="24"/>
          <w:lang w:val="en-US" w:eastAsia="zh-CN"/>
        </w:rPr>
        <w:t>2</w:t>
      </w:r>
      <w:r>
        <w:rPr>
          <w:rFonts w:hint="eastAsia" w:hAnsi="宋体" w:cs="宋体"/>
          <w:sz w:val="24"/>
          <w:szCs w:val="24"/>
          <w:lang w:eastAsia="zh-CN"/>
        </w:rPr>
        <w:t>）</w:t>
      </w:r>
      <w:r>
        <w:rPr>
          <w:rFonts w:hint="eastAsia" w:hAnsi="宋体" w:cs="宋体"/>
          <w:sz w:val="24"/>
          <w:szCs w:val="24"/>
        </w:rPr>
        <w:t>上述监测指标分析方法如下：</w:t>
      </w:r>
    </w:p>
    <w:p>
      <w:pPr>
        <w:widowControl/>
        <w:shd w:val="clear" w:color="auto" w:fill="FFFFFF"/>
        <w:spacing w:line="360" w:lineRule="auto"/>
        <w:ind w:firstLine="480" w:firstLineChars="200"/>
        <w:rPr>
          <w:rFonts w:hAnsi="宋体" w:cs="宋体"/>
          <w:sz w:val="24"/>
          <w:szCs w:val="24"/>
        </w:rPr>
      </w:pPr>
      <w:r>
        <w:rPr>
          <w:rFonts w:hint="eastAsia" w:hAnsi="宋体" w:cs="宋体"/>
          <w:sz w:val="24"/>
          <w:szCs w:val="24"/>
        </w:rPr>
        <w:t>透明度——《水质 透明度的测定 塞氏盘法》（现场原位测定）；</w:t>
      </w:r>
    </w:p>
    <w:p>
      <w:pPr>
        <w:widowControl/>
        <w:shd w:val="clear" w:color="auto" w:fill="FFFFFF"/>
        <w:spacing w:line="360" w:lineRule="auto"/>
        <w:ind w:firstLine="480" w:firstLineChars="200"/>
        <w:rPr>
          <w:rFonts w:hAnsi="宋体" w:cs="宋体"/>
          <w:sz w:val="24"/>
          <w:szCs w:val="24"/>
        </w:rPr>
      </w:pPr>
      <w:r>
        <w:rPr>
          <w:rFonts w:hint="eastAsia" w:hAnsi="宋体" w:cs="宋体"/>
          <w:sz w:val="24"/>
          <w:szCs w:val="24"/>
        </w:rPr>
        <w:t>溶解氧——《水质 溶解氧的测定 电化学探头法》（现场原位测定）；</w:t>
      </w:r>
    </w:p>
    <w:p>
      <w:pPr>
        <w:widowControl/>
        <w:shd w:val="clear" w:color="auto" w:fill="FFFFFF"/>
        <w:spacing w:line="360" w:lineRule="auto"/>
        <w:ind w:firstLine="480" w:firstLineChars="200"/>
        <w:rPr>
          <w:rFonts w:hAnsi="宋体" w:cs="宋体"/>
          <w:sz w:val="24"/>
          <w:szCs w:val="24"/>
        </w:rPr>
      </w:pPr>
      <w:r>
        <w:rPr>
          <w:rFonts w:hint="eastAsia" w:hAnsi="宋体" w:cs="宋体"/>
          <w:sz w:val="24"/>
          <w:szCs w:val="24"/>
        </w:rPr>
        <w:t>氧化还原电位——《水质 氧化还原电位》（现场原位测定）；</w:t>
      </w:r>
    </w:p>
    <w:p>
      <w:pPr>
        <w:widowControl/>
        <w:shd w:val="clear" w:color="auto" w:fill="FFFFFF"/>
        <w:spacing w:line="360" w:lineRule="auto"/>
        <w:ind w:firstLine="480" w:firstLineChars="200"/>
        <w:rPr>
          <w:rFonts w:hAnsi="宋体" w:cs="宋体"/>
          <w:sz w:val="24"/>
          <w:szCs w:val="24"/>
        </w:rPr>
      </w:pPr>
      <w:r>
        <w:rPr>
          <w:rFonts w:hint="eastAsia" w:hAnsi="宋体" w:cs="宋体"/>
          <w:sz w:val="24"/>
          <w:szCs w:val="24"/>
        </w:rPr>
        <w:t>氨氮——《水质 氨氮的测定 纳氏试剂分光光度法》或水杨酸-次氯酸盐光度法（水样应经过0.45μm滤膜过滤）；</w:t>
      </w:r>
    </w:p>
    <w:p>
      <w:pPr>
        <w:widowControl/>
        <w:shd w:val="clear" w:color="auto" w:fill="FFFFFF"/>
        <w:spacing w:line="360" w:lineRule="auto"/>
        <w:ind w:firstLine="480" w:firstLineChars="200"/>
        <w:rPr>
          <w:rFonts w:hAnsi="宋体" w:eastAsia="宋体" w:cs="宋体"/>
          <w:sz w:val="24"/>
          <w:szCs w:val="24"/>
        </w:rPr>
      </w:pPr>
      <w:r>
        <w:rPr>
          <w:rFonts w:hint="eastAsia" w:hAnsi="宋体" w:cs="宋体"/>
          <w:sz w:val="24"/>
          <w:szCs w:val="24"/>
        </w:rPr>
        <w:t>总磷——《水质 总磷的测定 钼酸铵分光光度法》。</w:t>
      </w:r>
    </w:p>
    <w:p>
      <w:pPr>
        <w:pStyle w:val="2"/>
        <w:spacing w:line="360" w:lineRule="auto"/>
        <w:ind w:firstLine="480" w:firstLineChars="200"/>
        <w:rPr>
          <w:rFonts w:hint="eastAsia" w:eastAsia="宋体"/>
          <w:lang w:eastAsia="zh-CN"/>
        </w:rPr>
      </w:pPr>
      <w:r>
        <w:rPr>
          <w:rFonts w:hint="eastAsia" w:hAnsi="宋体" w:cs="宋体"/>
          <w:sz w:val="24"/>
          <w:szCs w:val="24"/>
        </w:rPr>
        <w:t>（</w:t>
      </w:r>
      <w:r>
        <w:rPr>
          <w:rFonts w:hint="eastAsia" w:hAnsi="宋体" w:cs="宋体"/>
          <w:sz w:val="24"/>
          <w:szCs w:val="24"/>
          <w:lang w:val="en-US" w:eastAsia="zh-CN"/>
        </w:rPr>
        <w:t>3</w:t>
      </w:r>
      <w:r>
        <w:rPr>
          <w:rFonts w:hint="eastAsia" w:hAnsi="宋体" w:cs="宋体"/>
          <w:sz w:val="24"/>
          <w:szCs w:val="24"/>
        </w:rPr>
        <w:t>）</w:t>
      </w:r>
      <w:r>
        <w:rPr>
          <w:rFonts w:hint="eastAsia" w:ascii="宋体" w:hAnsi="宋体" w:eastAsia="宋体" w:cs="宋体"/>
          <w:b/>
          <w:bCs/>
          <w:sz w:val="24"/>
          <w:szCs w:val="24"/>
        </w:rPr>
        <w:t>★</w:t>
      </w:r>
      <w:r>
        <w:rPr>
          <w:rFonts w:hint="eastAsia" w:hAnsi="宋体" w:cs="宋体"/>
          <w:sz w:val="24"/>
          <w:szCs w:val="24"/>
          <w:lang w:eastAsia="zh-CN"/>
        </w:rPr>
        <w:t>成交</w:t>
      </w:r>
      <w:r>
        <w:rPr>
          <w:rFonts w:hint="eastAsia" w:hAnsi="宋体" w:cs="宋体"/>
          <w:sz w:val="24"/>
          <w:szCs w:val="24"/>
        </w:rPr>
        <w:t>供应商应系统整理黑臭水体整治前后的水质变化情况，结合公众调查评议材料、监测报告、工程实施记录及影像材料等材料，编制评估报告，作为专家评议的主要依据</w:t>
      </w:r>
      <w:r>
        <w:rPr>
          <w:rFonts w:hint="eastAsia" w:hAnsi="宋体" w:cs="宋体"/>
          <w:sz w:val="24"/>
          <w:szCs w:val="24"/>
          <w:lang w:eastAsia="zh-CN"/>
        </w:rPr>
        <w:t>。</w:t>
      </w:r>
    </w:p>
    <w:p>
      <w:pPr>
        <w:widowControl/>
        <w:shd w:val="clear" w:color="auto" w:fill="FFFFFF"/>
        <w:spacing w:line="360" w:lineRule="auto"/>
        <w:ind w:firstLine="480" w:firstLineChars="200"/>
        <w:rPr>
          <w:rFonts w:hAnsi="宋体" w:cs="宋体"/>
          <w:sz w:val="24"/>
          <w:szCs w:val="24"/>
        </w:rPr>
      </w:pPr>
      <w:r>
        <w:rPr>
          <w:rFonts w:hint="eastAsia" w:hAnsi="宋体" w:cs="宋体"/>
          <w:sz w:val="24"/>
          <w:szCs w:val="24"/>
        </w:rPr>
        <w:t>3、项目其他服务要求</w:t>
      </w:r>
    </w:p>
    <w:p>
      <w:pPr>
        <w:widowControl/>
        <w:shd w:val="clear" w:color="auto" w:fill="FFFFFF"/>
        <w:spacing w:line="360" w:lineRule="auto"/>
        <w:ind w:firstLine="480" w:firstLineChars="200"/>
        <w:rPr>
          <w:rFonts w:hAnsi="宋体" w:cs="宋体"/>
          <w:sz w:val="24"/>
          <w:szCs w:val="24"/>
        </w:rPr>
      </w:pPr>
      <w:r>
        <w:rPr>
          <w:rFonts w:hint="eastAsia" w:hAnsi="宋体" w:cs="宋体"/>
          <w:sz w:val="24"/>
          <w:szCs w:val="24"/>
        </w:rPr>
        <w:t>（1）监测工作应保证结果的科学性、代表性和真实性，监测任务承担单位对监测结果负责。</w:t>
      </w:r>
    </w:p>
    <w:p>
      <w:pPr>
        <w:widowControl/>
        <w:shd w:val="clear" w:color="auto" w:fill="FFFFFF"/>
        <w:spacing w:line="360" w:lineRule="auto"/>
        <w:ind w:firstLine="480" w:firstLineChars="200"/>
        <w:rPr>
          <w:rFonts w:hAnsi="宋体" w:cs="宋体"/>
          <w:sz w:val="24"/>
          <w:szCs w:val="24"/>
        </w:rPr>
      </w:pPr>
      <w:r>
        <w:rPr>
          <w:rFonts w:hint="eastAsia" w:hAnsi="宋体" w:cs="宋体"/>
          <w:sz w:val="24"/>
          <w:szCs w:val="24"/>
        </w:rPr>
        <w:t>（2）开展监测前，应当详细拟定本次监测方案，包括监测方法、布点数量、监测指标等内容，报简阳市水务局备案。备案通过后，方可开展监测工作</w:t>
      </w:r>
      <w:r>
        <w:rPr>
          <w:rFonts w:hint="eastAsia" w:hAnsi="宋体" w:cs="宋体"/>
          <w:color w:val="000000"/>
          <w:sz w:val="24"/>
          <w:szCs w:val="24"/>
        </w:rPr>
        <w:t>。</w:t>
      </w:r>
    </w:p>
    <w:p>
      <w:pPr>
        <w:spacing w:line="360" w:lineRule="auto"/>
        <w:ind w:firstLine="480" w:firstLineChars="200"/>
        <w:rPr>
          <w:rFonts w:hint="eastAsia" w:eastAsia="宋体"/>
          <w:lang w:eastAsia="zh-CN"/>
        </w:rPr>
      </w:pPr>
      <w:r>
        <w:rPr>
          <w:rFonts w:hint="eastAsia" w:hAnsi="宋体" w:cs="宋体"/>
          <w:sz w:val="24"/>
          <w:szCs w:val="24"/>
        </w:rPr>
        <w:t>（3）若上级部门印发新的相关要求(如监测指标、频次和交付时间等)，以最新文件要求为准</w:t>
      </w:r>
      <w:r>
        <w:rPr>
          <w:rFonts w:hint="eastAsia" w:hAnsi="宋体" w:cs="宋体"/>
          <w:sz w:val="24"/>
          <w:szCs w:val="24"/>
          <w:lang w:eastAsia="zh-CN"/>
        </w:rPr>
        <w:t>。</w:t>
      </w:r>
    </w:p>
    <w:p>
      <w:pPr>
        <w:widowControl/>
        <w:shd w:val="clear" w:color="auto" w:fill="FFFFFF"/>
        <w:spacing w:line="360" w:lineRule="auto"/>
        <w:ind w:firstLine="480" w:firstLineChars="200"/>
        <w:rPr>
          <w:rFonts w:hint="eastAsia" w:hAnsi="宋体" w:cs="宋体"/>
          <w:sz w:val="24"/>
          <w:szCs w:val="24"/>
          <w:lang w:eastAsia="zh-CN"/>
        </w:rPr>
      </w:pPr>
      <w:r>
        <w:rPr>
          <w:rFonts w:hint="eastAsia" w:hAnsi="宋体" w:cs="宋体"/>
          <w:sz w:val="24"/>
          <w:szCs w:val="24"/>
        </w:rPr>
        <w:t>4、简阳市黑臭水体名称及水质监测点位表</w:t>
      </w:r>
    </w:p>
    <w:tbl>
      <w:tblPr>
        <w:tblStyle w:val="16"/>
        <w:tblW w:w="8860" w:type="dxa"/>
        <w:jc w:val="center"/>
        <w:tblLayout w:type="fixed"/>
        <w:tblCellMar>
          <w:top w:w="0" w:type="dxa"/>
          <w:left w:w="0" w:type="dxa"/>
          <w:bottom w:w="0" w:type="dxa"/>
          <w:right w:w="0" w:type="dxa"/>
        </w:tblCellMar>
      </w:tblPr>
      <w:tblGrid>
        <w:gridCol w:w="474"/>
        <w:gridCol w:w="1163"/>
        <w:gridCol w:w="1700"/>
        <w:gridCol w:w="484"/>
        <w:gridCol w:w="1042"/>
        <w:gridCol w:w="465"/>
        <w:gridCol w:w="915"/>
        <w:gridCol w:w="465"/>
        <w:gridCol w:w="795"/>
        <w:gridCol w:w="645"/>
        <w:gridCol w:w="712"/>
      </w:tblGrid>
      <w:tr>
        <w:tblPrEx>
          <w:tblCellMar>
            <w:top w:w="0" w:type="dxa"/>
            <w:left w:w="0" w:type="dxa"/>
            <w:bottom w:w="0" w:type="dxa"/>
            <w:right w:w="0" w:type="dxa"/>
          </w:tblCellMar>
        </w:tblPrEx>
        <w:trPr>
          <w:trHeight w:val="420" w:hRule="atLeast"/>
          <w:jc w:val="center"/>
        </w:trPr>
        <w:tc>
          <w:tcPr>
            <w:tcW w:w="47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b/>
                <w:sz w:val="24"/>
                <w:szCs w:val="24"/>
              </w:rPr>
            </w:pPr>
            <w:r>
              <w:rPr>
                <w:rFonts w:hint="eastAsia" w:ascii="宋体" w:hAnsi="宋体" w:eastAsia="宋体" w:cs="宋体"/>
                <w:b/>
                <w:kern w:val="0"/>
                <w:sz w:val="24"/>
                <w:szCs w:val="24"/>
                <w:lang w:bidi="ar"/>
              </w:rPr>
              <w:t>序号</w:t>
            </w:r>
          </w:p>
        </w:tc>
        <w:tc>
          <w:tcPr>
            <w:tcW w:w="6234"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b/>
                <w:sz w:val="24"/>
                <w:szCs w:val="24"/>
              </w:rPr>
            </w:pPr>
            <w:r>
              <w:rPr>
                <w:rFonts w:hint="eastAsia" w:ascii="宋体" w:hAnsi="宋体" w:eastAsia="宋体" w:cs="宋体"/>
                <w:b/>
                <w:kern w:val="0"/>
                <w:sz w:val="24"/>
                <w:szCs w:val="24"/>
                <w:lang w:bidi="ar"/>
              </w:rPr>
              <w:t>黑臭水体</w:t>
            </w:r>
          </w:p>
        </w:tc>
        <w:tc>
          <w:tcPr>
            <w:tcW w:w="79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b/>
                <w:sz w:val="24"/>
                <w:szCs w:val="24"/>
              </w:rPr>
            </w:pPr>
            <w:r>
              <w:rPr>
                <w:rFonts w:hint="eastAsia" w:ascii="宋体" w:hAnsi="宋体" w:eastAsia="宋体" w:cs="宋体"/>
                <w:b/>
                <w:kern w:val="0"/>
                <w:sz w:val="24"/>
                <w:szCs w:val="24"/>
                <w:lang w:bidi="ar"/>
              </w:rPr>
              <w:t>水体类型</w:t>
            </w:r>
          </w:p>
        </w:tc>
        <w:tc>
          <w:tcPr>
            <w:tcW w:w="64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b/>
                <w:kern w:val="0"/>
                <w:sz w:val="24"/>
                <w:szCs w:val="24"/>
                <w:lang w:bidi="ar"/>
              </w:rPr>
            </w:pPr>
            <w:r>
              <w:rPr>
                <w:rFonts w:hint="eastAsia" w:ascii="宋体" w:hAnsi="宋体" w:eastAsia="宋体" w:cs="宋体"/>
                <w:b/>
                <w:kern w:val="0"/>
                <w:sz w:val="24"/>
                <w:szCs w:val="24"/>
                <w:lang w:bidi="ar"/>
              </w:rPr>
              <w:t>长度</w:t>
            </w:r>
          </w:p>
          <w:p>
            <w:pPr>
              <w:widowControl/>
              <w:spacing w:line="360" w:lineRule="auto"/>
              <w:jc w:val="center"/>
              <w:textAlignment w:val="center"/>
              <w:rPr>
                <w:rFonts w:hint="eastAsia" w:ascii="宋体" w:hAnsi="宋体" w:eastAsia="宋体" w:cs="宋体"/>
                <w:b/>
                <w:sz w:val="24"/>
                <w:szCs w:val="24"/>
              </w:rPr>
            </w:pPr>
            <w:r>
              <w:rPr>
                <w:rFonts w:hint="eastAsia" w:ascii="宋体" w:hAnsi="宋体" w:eastAsia="宋体" w:cs="宋体"/>
                <w:b/>
                <w:kern w:val="0"/>
                <w:sz w:val="24"/>
                <w:szCs w:val="24"/>
                <w:lang w:bidi="ar"/>
              </w:rPr>
              <w:t>(千米)</w:t>
            </w:r>
          </w:p>
        </w:tc>
        <w:tc>
          <w:tcPr>
            <w:tcW w:w="7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b/>
                <w:sz w:val="24"/>
                <w:szCs w:val="24"/>
              </w:rPr>
            </w:pPr>
            <w:r>
              <w:rPr>
                <w:rFonts w:hint="eastAsia" w:ascii="宋体" w:hAnsi="宋体" w:eastAsia="宋体" w:cs="宋体"/>
                <w:b/>
                <w:kern w:val="0"/>
                <w:sz w:val="24"/>
                <w:szCs w:val="24"/>
                <w:lang w:bidi="ar"/>
              </w:rPr>
              <w:t>检测点数量</w:t>
            </w:r>
          </w:p>
        </w:tc>
      </w:tr>
      <w:tr>
        <w:tblPrEx>
          <w:tblCellMar>
            <w:top w:w="0" w:type="dxa"/>
            <w:left w:w="0" w:type="dxa"/>
            <w:bottom w:w="0" w:type="dxa"/>
            <w:right w:w="0" w:type="dxa"/>
          </w:tblCellMar>
        </w:tblPrEx>
        <w:trPr>
          <w:trHeight w:val="420" w:hRule="atLeast"/>
          <w:jc w:val="center"/>
        </w:trPr>
        <w:tc>
          <w:tcPr>
            <w:tcW w:w="4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b/>
                <w:sz w:val="24"/>
                <w:szCs w:val="24"/>
              </w:rPr>
            </w:pPr>
          </w:p>
        </w:tc>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b/>
                <w:sz w:val="24"/>
                <w:szCs w:val="24"/>
              </w:rPr>
            </w:pPr>
            <w:r>
              <w:rPr>
                <w:rFonts w:hint="eastAsia" w:ascii="宋体" w:hAnsi="宋体" w:eastAsia="宋体" w:cs="宋体"/>
                <w:b/>
                <w:kern w:val="0"/>
                <w:sz w:val="24"/>
                <w:szCs w:val="24"/>
                <w:lang w:bidi="ar"/>
              </w:rPr>
              <w:t>名称</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b/>
                <w:sz w:val="24"/>
                <w:szCs w:val="24"/>
              </w:rPr>
            </w:pPr>
            <w:r>
              <w:rPr>
                <w:rFonts w:hint="eastAsia" w:ascii="宋体" w:hAnsi="宋体" w:eastAsia="宋体" w:cs="宋体"/>
                <w:b/>
                <w:kern w:val="0"/>
                <w:sz w:val="24"/>
                <w:szCs w:val="24"/>
                <w:lang w:bidi="ar"/>
              </w:rPr>
              <w:t>起始边界</w:t>
            </w:r>
          </w:p>
        </w:tc>
        <w:tc>
          <w:tcPr>
            <w:tcW w:w="337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b/>
                <w:sz w:val="24"/>
                <w:szCs w:val="24"/>
              </w:rPr>
            </w:pPr>
            <w:r>
              <w:rPr>
                <w:rFonts w:hint="eastAsia" w:ascii="宋体" w:hAnsi="宋体" w:eastAsia="宋体" w:cs="宋体"/>
                <w:b/>
                <w:kern w:val="0"/>
                <w:sz w:val="24"/>
                <w:szCs w:val="24"/>
                <w:lang w:bidi="ar"/>
              </w:rPr>
              <w:t>地理坐标（经纬度）</w:t>
            </w:r>
          </w:p>
        </w:tc>
        <w:tc>
          <w:tcPr>
            <w:tcW w:w="79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b/>
                <w:sz w:val="24"/>
                <w:szCs w:val="24"/>
              </w:rPr>
            </w:pPr>
          </w:p>
        </w:tc>
        <w:tc>
          <w:tcPr>
            <w:tcW w:w="64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b/>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b/>
                <w:sz w:val="24"/>
                <w:szCs w:val="24"/>
              </w:rPr>
            </w:pPr>
          </w:p>
        </w:tc>
      </w:tr>
      <w:tr>
        <w:tblPrEx>
          <w:tblCellMar>
            <w:top w:w="0" w:type="dxa"/>
            <w:left w:w="0" w:type="dxa"/>
            <w:bottom w:w="0" w:type="dxa"/>
            <w:right w:w="0" w:type="dxa"/>
          </w:tblCellMar>
        </w:tblPrEx>
        <w:trPr>
          <w:trHeight w:val="285" w:hRule="atLeast"/>
          <w:jc w:val="center"/>
        </w:trPr>
        <w:tc>
          <w:tcPr>
            <w:tcW w:w="47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11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平息乡双河水库</w:t>
            </w:r>
          </w:p>
        </w:tc>
        <w:tc>
          <w:tcPr>
            <w:tcW w:w="1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竹山村4社</w:t>
            </w:r>
          </w:p>
        </w:tc>
        <w:tc>
          <w:tcPr>
            <w:tcW w:w="48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起：</w:t>
            </w:r>
          </w:p>
        </w:tc>
        <w:tc>
          <w:tcPr>
            <w:tcW w:w="104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104.4845</w:t>
            </w:r>
          </w:p>
        </w:tc>
        <w:tc>
          <w:tcPr>
            <w:tcW w:w="4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30.2076</w:t>
            </w:r>
          </w:p>
        </w:tc>
        <w:tc>
          <w:tcPr>
            <w:tcW w:w="4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河流</w:t>
            </w:r>
          </w:p>
        </w:tc>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7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r>
      <w:tr>
        <w:tblPrEx>
          <w:tblCellMar>
            <w:top w:w="0" w:type="dxa"/>
            <w:left w:w="0" w:type="dxa"/>
            <w:bottom w:w="0" w:type="dxa"/>
            <w:right w:w="0" w:type="dxa"/>
          </w:tblCellMar>
        </w:tblPrEx>
        <w:trPr>
          <w:trHeight w:val="285" w:hRule="atLeast"/>
          <w:jc w:val="center"/>
        </w:trPr>
        <w:tc>
          <w:tcPr>
            <w:tcW w:w="4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1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古桥村5</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止：</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104.4776</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30.2064</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285" w:hRule="atLeast"/>
          <w:jc w:val="center"/>
        </w:trPr>
        <w:tc>
          <w:tcPr>
            <w:tcW w:w="47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11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平息乡索溪河</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安庆村3、7社</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起：</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104.4734</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30.2317</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河流</w:t>
            </w:r>
          </w:p>
        </w:tc>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7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r>
      <w:tr>
        <w:tblPrEx>
          <w:tblCellMar>
            <w:top w:w="0" w:type="dxa"/>
            <w:left w:w="0" w:type="dxa"/>
            <w:bottom w:w="0" w:type="dxa"/>
            <w:right w:w="0" w:type="dxa"/>
          </w:tblCellMar>
        </w:tblPrEx>
        <w:trPr>
          <w:trHeight w:val="285" w:hRule="atLeast"/>
          <w:jc w:val="center"/>
        </w:trPr>
        <w:tc>
          <w:tcPr>
            <w:tcW w:w="4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1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新安村8社</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止：</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104.4649</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30.2256</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285" w:hRule="atLeast"/>
          <w:jc w:val="center"/>
        </w:trPr>
        <w:tc>
          <w:tcPr>
            <w:tcW w:w="47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11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平息乡双河水库泄洪道</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双河水库大坝</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起：</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104.4776</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30.2064</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河流</w:t>
            </w:r>
          </w:p>
        </w:tc>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4.5</w:t>
            </w:r>
          </w:p>
        </w:tc>
        <w:tc>
          <w:tcPr>
            <w:tcW w:w="7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w:t>
            </w:r>
          </w:p>
        </w:tc>
      </w:tr>
      <w:tr>
        <w:tblPrEx>
          <w:tblCellMar>
            <w:top w:w="0" w:type="dxa"/>
            <w:left w:w="0" w:type="dxa"/>
            <w:bottom w:w="0" w:type="dxa"/>
            <w:right w:w="0" w:type="dxa"/>
          </w:tblCellMar>
        </w:tblPrEx>
        <w:trPr>
          <w:trHeight w:val="285" w:hRule="atLeast"/>
          <w:jc w:val="center"/>
        </w:trPr>
        <w:tc>
          <w:tcPr>
            <w:tcW w:w="4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1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义和村2社</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止：</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104.4706</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30.2035</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379" w:hRule="atLeast"/>
          <w:jc w:val="center"/>
        </w:trPr>
        <w:tc>
          <w:tcPr>
            <w:tcW w:w="47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11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平息乡清水水库渠道</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清水水库大坝</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起：</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104.4939</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30.2115</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河流</w:t>
            </w:r>
          </w:p>
        </w:tc>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w:t>
            </w:r>
          </w:p>
        </w:tc>
        <w:tc>
          <w:tcPr>
            <w:tcW w:w="7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r>
      <w:tr>
        <w:tblPrEx>
          <w:tblCellMar>
            <w:top w:w="0" w:type="dxa"/>
            <w:left w:w="0" w:type="dxa"/>
            <w:bottom w:w="0" w:type="dxa"/>
            <w:right w:w="0" w:type="dxa"/>
          </w:tblCellMar>
        </w:tblPrEx>
        <w:trPr>
          <w:trHeight w:val="285" w:hRule="atLeast"/>
          <w:jc w:val="center"/>
        </w:trPr>
        <w:tc>
          <w:tcPr>
            <w:tcW w:w="4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1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长征桥</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止：</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104.4845</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30.2076</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285" w:hRule="atLeast"/>
          <w:jc w:val="center"/>
        </w:trPr>
        <w:tc>
          <w:tcPr>
            <w:tcW w:w="47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11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禾丰镇环溪河</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玉清村8组</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起：</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104.7451</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30.4569</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河流</w:t>
            </w:r>
          </w:p>
        </w:tc>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4.5</w:t>
            </w:r>
          </w:p>
        </w:tc>
        <w:tc>
          <w:tcPr>
            <w:tcW w:w="7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w:t>
            </w:r>
          </w:p>
        </w:tc>
      </w:tr>
      <w:tr>
        <w:tblPrEx>
          <w:tblCellMar>
            <w:top w:w="0" w:type="dxa"/>
            <w:left w:w="0" w:type="dxa"/>
            <w:bottom w:w="0" w:type="dxa"/>
            <w:right w:w="0" w:type="dxa"/>
          </w:tblCellMar>
        </w:tblPrEx>
        <w:trPr>
          <w:trHeight w:val="285" w:hRule="atLeast"/>
          <w:jc w:val="center"/>
        </w:trPr>
        <w:tc>
          <w:tcPr>
            <w:tcW w:w="4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1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合群村1组</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止：</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104.7408</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30.4161</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285" w:hRule="atLeast"/>
          <w:jc w:val="center"/>
        </w:trPr>
        <w:tc>
          <w:tcPr>
            <w:tcW w:w="47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11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禾丰镇清水河</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接龙村9组</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起：</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104.7684</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30.3991</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河流</w:t>
            </w:r>
          </w:p>
        </w:tc>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7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w:t>
            </w:r>
          </w:p>
        </w:tc>
      </w:tr>
      <w:tr>
        <w:tblPrEx>
          <w:tblCellMar>
            <w:top w:w="0" w:type="dxa"/>
            <w:left w:w="0" w:type="dxa"/>
            <w:bottom w:w="0" w:type="dxa"/>
            <w:right w:w="0" w:type="dxa"/>
          </w:tblCellMar>
        </w:tblPrEx>
        <w:trPr>
          <w:trHeight w:val="285" w:hRule="atLeast"/>
          <w:jc w:val="center"/>
        </w:trPr>
        <w:tc>
          <w:tcPr>
            <w:tcW w:w="4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1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高石村10组</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止：</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104.773</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30.3911</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285" w:hRule="atLeast"/>
          <w:jc w:val="center"/>
        </w:trPr>
        <w:tc>
          <w:tcPr>
            <w:tcW w:w="47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w:t>
            </w:r>
          </w:p>
        </w:tc>
        <w:tc>
          <w:tcPr>
            <w:tcW w:w="11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禾丰镇响水河</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元吉村6组</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起：</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104.7054</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30.4208</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河流</w:t>
            </w:r>
          </w:p>
        </w:tc>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7.2</w:t>
            </w:r>
          </w:p>
        </w:tc>
        <w:tc>
          <w:tcPr>
            <w:tcW w:w="7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w:t>
            </w:r>
          </w:p>
        </w:tc>
      </w:tr>
      <w:tr>
        <w:tblPrEx>
          <w:tblCellMar>
            <w:top w:w="0" w:type="dxa"/>
            <w:left w:w="0" w:type="dxa"/>
            <w:bottom w:w="0" w:type="dxa"/>
            <w:right w:w="0" w:type="dxa"/>
          </w:tblCellMar>
        </w:tblPrEx>
        <w:trPr>
          <w:trHeight w:val="285" w:hRule="atLeast"/>
          <w:jc w:val="center"/>
        </w:trPr>
        <w:tc>
          <w:tcPr>
            <w:tcW w:w="4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1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翰林村6组</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止：</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104.7343</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30.4</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285" w:hRule="atLeast"/>
          <w:jc w:val="center"/>
        </w:trPr>
        <w:tc>
          <w:tcPr>
            <w:tcW w:w="47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w:t>
            </w:r>
          </w:p>
        </w:tc>
        <w:tc>
          <w:tcPr>
            <w:tcW w:w="11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云龙镇字库河</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云龙镇天宫村3组</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起：</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104.8078</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30.4214</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河流</w:t>
            </w:r>
          </w:p>
        </w:tc>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7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w:t>
            </w:r>
          </w:p>
        </w:tc>
      </w:tr>
      <w:tr>
        <w:tblPrEx>
          <w:tblCellMar>
            <w:top w:w="0" w:type="dxa"/>
            <w:left w:w="0" w:type="dxa"/>
            <w:bottom w:w="0" w:type="dxa"/>
            <w:right w:w="0" w:type="dxa"/>
          </w:tblCellMar>
        </w:tblPrEx>
        <w:trPr>
          <w:trHeight w:val="285" w:hRule="atLeast"/>
          <w:jc w:val="center"/>
        </w:trPr>
        <w:tc>
          <w:tcPr>
            <w:tcW w:w="4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1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云龙镇鱼荐村4组</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止：</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104.8094</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30.42</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285" w:hRule="atLeast"/>
          <w:jc w:val="center"/>
        </w:trPr>
        <w:tc>
          <w:tcPr>
            <w:tcW w:w="47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w:t>
            </w:r>
          </w:p>
        </w:tc>
        <w:tc>
          <w:tcPr>
            <w:tcW w:w="11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施家镇环溪河</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法堂村6社</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起：</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104.8083</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30.3472</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河流</w:t>
            </w:r>
          </w:p>
        </w:tc>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w:t>
            </w:r>
          </w:p>
        </w:tc>
        <w:tc>
          <w:tcPr>
            <w:tcW w:w="7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w:t>
            </w:r>
          </w:p>
        </w:tc>
      </w:tr>
      <w:tr>
        <w:tblPrEx>
          <w:tblCellMar>
            <w:top w:w="0" w:type="dxa"/>
            <w:left w:w="0" w:type="dxa"/>
            <w:bottom w:w="0" w:type="dxa"/>
            <w:right w:w="0" w:type="dxa"/>
          </w:tblCellMar>
        </w:tblPrEx>
        <w:trPr>
          <w:trHeight w:val="285" w:hRule="atLeast"/>
          <w:jc w:val="center"/>
        </w:trPr>
        <w:tc>
          <w:tcPr>
            <w:tcW w:w="4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1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环溪河3社</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止：</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104.8565</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30.4167</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285" w:hRule="atLeast"/>
          <w:jc w:val="center"/>
        </w:trPr>
        <w:tc>
          <w:tcPr>
            <w:tcW w:w="47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w:t>
            </w:r>
          </w:p>
        </w:tc>
        <w:tc>
          <w:tcPr>
            <w:tcW w:w="11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踏水镇金简河</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金堂青松社区1社</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起：</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104.7066</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30.6013</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河流</w:t>
            </w:r>
          </w:p>
        </w:tc>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6.8</w:t>
            </w:r>
          </w:p>
        </w:tc>
        <w:tc>
          <w:tcPr>
            <w:tcW w:w="7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w:t>
            </w:r>
          </w:p>
        </w:tc>
      </w:tr>
      <w:tr>
        <w:tblPrEx>
          <w:tblCellMar>
            <w:top w:w="0" w:type="dxa"/>
            <w:left w:w="0" w:type="dxa"/>
            <w:bottom w:w="0" w:type="dxa"/>
            <w:right w:w="0" w:type="dxa"/>
          </w:tblCellMar>
        </w:tblPrEx>
        <w:trPr>
          <w:trHeight w:val="285" w:hRule="atLeast"/>
          <w:jc w:val="center"/>
        </w:trPr>
        <w:tc>
          <w:tcPr>
            <w:tcW w:w="4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1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简阳踏水良安4社</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止：</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104.6694</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30.6062</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285" w:hRule="atLeast"/>
          <w:jc w:val="center"/>
        </w:trPr>
        <w:tc>
          <w:tcPr>
            <w:tcW w:w="47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w:t>
            </w:r>
          </w:p>
        </w:tc>
        <w:tc>
          <w:tcPr>
            <w:tcW w:w="11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踏水镇字库河</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简阳踏水油房4社</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起：</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104.4112</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30.3134</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河流</w:t>
            </w:r>
          </w:p>
        </w:tc>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w:t>
            </w:r>
          </w:p>
        </w:tc>
        <w:tc>
          <w:tcPr>
            <w:tcW w:w="7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r>
      <w:tr>
        <w:tblPrEx>
          <w:tblCellMar>
            <w:top w:w="0" w:type="dxa"/>
            <w:left w:w="0" w:type="dxa"/>
            <w:bottom w:w="0" w:type="dxa"/>
            <w:right w:w="0" w:type="dxa"/>
          </w:tblCellMar>
        </w:tblPrEx>
        <w:trPr>
          <w:trHeight w:val="285" w:hRule="atLeast"/>
          <w:jc w:val="center"/>
        </w:trPr>
        <w:tc>
          <w:tcPr>
            <w:tcW w:w="4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1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简阳三合石马2社</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止：</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104.4204</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30.3103</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285" w:hRule="atLeast"/>
          <w:jc w:val="center"/>
        </w:trPr>
        <w:tc>
          <w:tcPr>
            <w:tcW w:w="47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w:t>
            </w:r>
          </w:p>
        </w:tc>
        <w:tc>
          <w:tcPr>
            <w:tcW w:w="11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金马镇马庙河</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金马场镇</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起：</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104.8611</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30.5639</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河流</w:t>
            </w:r>
          </w:p>
        </w:tc>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1.45</w:t>
            </w:r>
          </w:p>
        </w:tc>
        <w:tc>
          <w:tcPr>
            <w:tcW w:w="7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r>
      <w:tr>
        <w:tblPrEx>
          <w:tblCellMar>
            <w:top w:w="0" w:type="dxa"/>
            <w:left w:w="0" w:type="dxa"/>
            <w:bottom w:w="0" w:type="dxa"/>
            <w:right w:w="0" w:type="dxa"/>
          </w:tblCellMar>
        </w:tblPrEx>
        <w:trPr>
          <w:trHeight w:val="285" w:hRule="atLeast"/>
          <w:jc w:val="center"/>
        </w:trPr>
        <w:tc>
          <w:tcPr>
            <w:tcW w:w="4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1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金马村4组</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止：</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104.8361</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30.5945</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285" w:hRule="atLeast"/>
          <w:jc w:val="center"/>
        </w:trPr>
        <w:tc>
          <w:tcPr>
            <w:tcW w:w="47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w:t>
            </w:r>
          </w:p>
        </w:tc>
        <w:tc>
          <w:tcPr>
            <w:tcW w:w="11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涌泉镇索溪河</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文会村7组周家湾</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起：</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104.8778</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30.4666</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河流</w:t>
            </w:r>
          </w:p>
        </w:tc>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w:t>
            </w:r>
          </w:p>
        </w:tc>
        <w:tc>
          <w:tcPr>
            <w:tcW w:w="7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r>
      <w:tr>
        <w:tblPrEx>
          <w:tblCellMar>
            <w:top w:w="0" w:type="dxa"/>
            <w:left w:w="0" w:type="dxa"/>
            <w:bottom w:w="0" w:type="dxa"/>
            <w:right w:w="0" w:type="dxa"/>
          </w:tblCellMar>
        </w:tblPrEx>
        <w:trPr>
          <w:trHeight w:val="285" w:hRule="atLeast"/>
          <w:jc w:val="center"/>
        </w:trPr>
        <w:tc>
          <w:tcPr>
            <w:tcW w:w="4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1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四宁村6组</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止：</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104.9528</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30.4139</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285" w:hRule="atLeast"/>
          <w:jc w:val="center"/>
        </w:trPr>
        <w:tc>
          <w:tcPr>
            <w:tcW w:w="47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w:t>
            </w:r>
          </w:p>
        </w:tc>
        <w:tc>
          <w:tcPr>
            <w:tcW w:w="11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涌泉镇场镇内河</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凉塘村桥</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起：</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104.8489</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30.3797</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河流</w:t>
            </w:r>
          </w:p>
        </w:tc>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7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r>
      <w:tr>
        <w:tblPrEx>
          <w:tblCellMar>
            <w:top w:w="0" w:type="dxa"/>
            <w:left w:w="0" w:type="dxa"/>
            <w:bottom w:w="0" w:type="dxa"/>
            <w:right w:w="0" w:type="dxa"/>
          </w:tblCellMar>
        </w:tblPrEx>
        <w:trPr>
          <w:trHeight w:val="285" w:hRule="atLeast"/>
          <w:jc w:val="center"/>
        </w:trPr>
        <w:tc>
          <w:tcPr>
            <w:tcW w:w="4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1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场镇两河口</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止：</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104.8458</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30.3831</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0" w:hRule="atLeast"/>
          <w:jc w:val="center"/>
        </w:trPr>
        <w:tc>
          <w:tcPr>
            <w:tcW w:w="47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w:t>
            </w:r>
          </w:p>
        </w:tc>
        <w:tc>
          <w:tcPr>
            <w:tcW w:w="11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三合镇马骡河</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马骡村8社（杨李沟）</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起：</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104.6917</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30.4947</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河流</w:t>
            </w:r>
          </w:p>
        </w:tc>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8.1</w:t>
            </w:r>
          </w:p>
        </w:tc>
        <w:tc>
          <w:tcPr>
            <w:tcW w:w="7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w:t>
            </w:r>
          </w:p>
        </w:tc>
      </w:tr>
      <w:tr>
        <w:tblPrEx>
          <w:tblCellMar>
            <w:top w:w="0" w:type="dxa"/>
            <w:left w:w="0" w:type="dxa"/>
            <w:bottom w:w="0" w:type="dxa"/>
            <w:right w:w="0" w:type="dxa"/>
          </w:tblCellMar>
        </w:tblPrEx>
        <w:trPr>
          <w:trHeight w:val="450" w:hRule="atLeast"/>
          <w:jc w:val="center"/>
        </w:trPr>
        <w:tc>
          <w:tcPr>
            <w:tcW w:w="4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1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水磨村8社（新河堰）</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止：</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104.7286</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30.47</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0" w:hRule="atLeast"/>
          <w:jc w:val="center"/>
        </w:trPr>
        <w:tc>
          <w:tcPr>
            <w:tcW w:w="47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w:t>
            </w:r>
          </w:p>
        </w:tc>
        <w:tc>
          <w:tcPr>
            <w:tcW w:w="11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三合镇杨柳河</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石马井村2社（河坝湾）</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起：</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104.7121</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30.5259</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河流</w:t>
            </w:r>
          </w:p>
        </w:tc>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w:t>
            </w:r>
          </w:p>
        </w:tc>
        <w:tc>
          <w:tcPr>
            <w:tcW w:w="7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w:t>
            </w:r>
          </w:p>
        </w:tc>
      </w:tr>
      <w:tr>
        <w:tblPrEx>
          <w:tblCellMar>
            <w:top w:w="0" w:type="dxa"/>
            <w:left w:w="0" w:type="dxa"/>
            <w:bottom w:w="0" w:type="dxa"/>
            <w:right w:w="0" w:type="dxa"/>
          </w:tblCellMar>
        </w:tblPrEx>
        <w:trPr>
          <w:trHeight w:val="300" w:hRule="atLeast"/>
          <w:jc w:val="center"/>
        </w:trPr>
        <w:tc>
          <w:tcPr>
            <w:tcW w:w="4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1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塘坝村11社（伏尔岩）</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止：</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104.7649</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30.5088</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285" w:hRule="atLeast"/>
          <w:jc w:val="center"/>
        </w:trPr>
        <w:tc>
          <w:tcPr>
            <w:tcW w:w="47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w:t>
            </w:r>
          </w:p>
        </w:tc>
        <w:tc>
          <w:tcPr>
            <w:tcW w:w="11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平泉镇平泉河（小龙溪）</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平泉镇龙泉村3社</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起：</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104.3818</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30.2045</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河流</w:t>
            </w:r>
          </w:p>
        </w:tc>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7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r>
      <w:tr>
        <w:tblPrEx>
          <w:tblCellMar>
            <w:top w:w="0" w:type="dxa"/>
            <w:left w:w="0" w:type="dxa"/>
            <w:bottom w:w="0" w:type="dxa"/>
            <w:right w:w="0" w:type="dxa"/>
          </w:tblCellMar>
        </w:tblPrEx>
        <w:trPr>
          <w:trHeight w:val="450" w:hRule="atLeast"/>
          <w:jc w:val="center"/>
        </w:trPr>
        <w:tc>
          <w:tcPr>
            <w:tcW w:w="4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1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平泉镇龙泉寺社区</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止：</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104.3821</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30.2027</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285" w:hRule="atLeast"/>
          <w:jc w:val="center"/>
        </w:trPr>
        <w:tc>
          <w:tcPr>
            <w:tcW w:w="47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w:t>
            </w:r>
          </w:p>
        </w:tc>
        <w:tc>
          <w:tcPr>
            <w:tcW w:w="11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石钟镇跨河堰河</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青龙场镇</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起：</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104.3638</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30.2848</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河流</w:t>
            </w:r>
          </w:p>
        </w:tc>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7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w:t>
            </w:r>
          </w:p>
        </w:tc>
      </w:tr>
      <w:tr>
        <w:tblPrEx>
          <w:tblCellMar>
            <w:top w:w="0" w:type="dxa"/>
            <w:left w:w="0" w:type="dxa"/>
            <w:bottom w:w="0" w:type="dxa"/>
            <w:right w:w="0" w:type="dxa"/>
          </w:tblCellMar>
        </w:tblPrEx>
        <w:trPr>
          <w:trHeight w:val="285" w:hRule="atLeast"/>
          <w:jc w:val="center"/>
        </w:trPr>
        <w:tc>
          <w:tcPr>
            <w:tcW w:w="4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1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长沟村</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止：</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104.3412</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30.2711</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285" w:hRule="atLeast"/>
          <w:jc w:val="center"/>
        </w:trPr>
        <w:tc>
          <w:tcPr>
            <w:tcW w:w="47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w:t>
            </w:r>
          </w:p>
        </w:tc>
        <w:tc>
          <w:tcPr>
            <w:tcW w:w="11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石钟镇场镇小河沟</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石钟镇综合市场</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起：</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104.3436</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30.2703</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河流</w:t>
            </w:r>
          </w:p>
        </w:tc>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w:t>
            </w:r>
          </w:p>
        </w:tc>
        <w:tc>
          <w:tcPr>
            <w:tcW w:w="7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r>
      <w:tr>
        <w:tblPrEx>
          <w:tblCellMar>
            <w:top w:w="0" w:type="dxa"/>
            <w:left w:w="0" w:type="dxa"/>
            <w:bottom w:w="0" w:type="dxa"/>
            <w:right w:w="0" w:type="dxa"/>
          </w:tblCellMar>
        </w:tblPrEx>
        <w:trPr>
          <w:trHeight w:val="285" w:hRule="atLeast"/>
          <w:jc w:val="center"/>
        </w:trPr>
        <w:tc>
          <w:tcPr>
            <w:tcW w:w="4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1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石钟九义校</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止：</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104.3414</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30.2705</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0" w:hRule="atLeast"/>
          <w:jc w:val="center"/>
        </w:trPr>
        <w:tc>
          <w:tcPr>
            <w:tcW w:w="47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w:t>
            </w:r>
          </w:p>
        </w:tc>
        <w:tc>
          <w:tcPr>
            <w:tcW w:w="11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青龙镇三叉河</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青龙镇场镇青龙桥</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起：</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104.6275</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30.4882</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河流</w:t>
            </w:r>
          </w:p>
        </w:tc>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7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w:t>
            </w:r>
          </w:p>
        </w:tc>
      </w:tr>
      <w:tr>
        <w:tblPrEx>
          <w:tblCellMar>
            <w:top w:w="0" w:type="dxa"/>
            <w:left w:w="0" w:type="dxa"/>
            <w:bottom w:w="0" w:type="dxa"/>
            <w:right w:w="0" w:type="dxa"/>
          </w:tblCellMar>
        </w:tblPrEx>
        <w:trPr>
          <w:trHeight w:val="285" w:hRule="atLeast"/>
          <w:jc w:val="center"/>
        </w:trPr>
        <w:tc>
          <w:tcPr>
            <w:tcW w:w="4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1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青龙镇银洞村3社</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止：</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104.6406</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30.4923</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285" w:hRule="atLeast"/>
          <w:jc w:val="center"/>
        </w:trPr>
        <w:tc>
          <w:tcPr>
            <w:tcW w:w="47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w:t>
            </w:r>
          </w:p>
        </w:tc>
        <w:tc>
          <w:tcPr>
            <w:tcW w:w="11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平武镇江南河</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高店村会龙桥</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起：</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104.6338</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30.4539</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河流</w:t>
            </w:r>
          </w:p>
        </w:tc>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7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w:t>
            </w:r>
          </w:p>
        </w:tc>
      </w:tr>
      <w:tr>
        <w:tblPrEx>
          <w:tblCellMar>
            <w:top w:w="0" w:type="dxa"/>
            <w:left w:w="0" w:type="dxa"/>
            <w:bottom w:w="0" w:type="dxa"/>
            <w:right w:w="0" w:type="dxa"/>
          </w:tblCellMar>
        </w:tblPrEx>
        <w:trPr>
          <w:trHeight w:val="285" w:hRule="atLeast"/>
          <w:jc w:val="center"/>
        </w:trPr>
        <w:tc>
          <w:tcPr>
            <w:tcW w:w="4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1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皮匠街3社团林坝</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止：</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104.6258</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30.4073</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285" w:hRule="atLeast"/>
          <w:jc w:val="center"/>
        </w:trPr>
        <w:tc>
          <w:tcPr>
            <w:tcW w:w="47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w:t>
            </w:r>
          </w:p>
        </w:tc>
        <w:tc>
          <w:tcPr>
            <w:tcW w:w="11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普安乡人民水库自流渠</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人民水库</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起：</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104.7723</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30.5056</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河流</w:t>
            </w:r>
          </w:p>
        </w:tc>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w:t>
            </w:r>
          </w:p>
        </w:tc>
        <w:tc>
          <w:tcPr>
            <w:tcW w:w="7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r>
      <w:tr>
        <w:tblPrEx>
          <w:tblCellMar>
            <w:top w:w="0" w:type="dxa"/>
            <w:left w:w="0" w:type="dxa"/>
            <w:bottom w:w="0" w:type="dxa"/>
            <w:right w:w="0" w:type="dxa"/>
          </w:tblCellMar>
        </w:tblPrEx>
        <w:trPr>
          <w:trHeight w:val="450" w:hRule="atLeast"/>
          <w:jc w:val="center"/>
        </w:trPr>
        <w:tc>
          <w:tcPr>
            <w:tcW w:w="4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1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大柏村六组囤水田</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止：</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104.8139</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30.4361</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285" w:hRule="atLeast"/>
          <w:jc w:val="center"/>
        </w:trPr>
        <w:tc>
          <w:tcPr>
            <w:tcW w:w="47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w:t>
            </w:r>
          </w:p>
        </w:tc>
        <w:tc>
          <w:tcPr>
            <w:tcW w:w="11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普安乡新村聚居点渠道</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新村聚居点</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起：</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104.7167</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30.525</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河流</w:t>
            </w:r>
          </w:p>
        </w:tc>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1.88</w:t>
            </w:r>
          </w:p>
        </w:tc>
        <w:tc>
          <w:tcPr>
            <w:tcW w:w="7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b/>
                <w:sz w:val="24"/>
                <w:szCs w:val="24"/>
              </w:rPr>
            </w:pPr>
            <w:r>
              <w:rPr>
                <w:rFonts w:hint="eastAsia" w:ascii="宋体" w:hAnsi="宋体" w:eastAsia="宋体" w:cs="宋体"/>
                <w:b/>
                <w:kern w:val="0"/>
                <w:sz w:val="24"/>
                <w:szCs w:val="24"/>
                <w:lang w:bidi="ar"/>
              </w:rPr>
              <w:t>5</w:t>
            </w:r>
          </w:p>
        </w:tc>
      </w:tr>
      <w:tr>
        <w:tblPrEx>
          <w:tblCellMar>
            <w:top w:w="0" w:type="dxa"/>
            <w:left w:w="0" w:type="dxa"/>
            <w:bottom w:w="0" w:type="dxa"/>
            <w:right w:w="0" w:type="dxa"/>
          </w:tblCellMar>
        </w:tblPrEx>
        <w:trPr>
          <w:trHeight w:val="450" w:hRule="atLeast"/>
          <w:jc w:val="center"/>
        </w:trPr>
        <w:tc>
          <w:tcPr>
            <w:tcW w:w="4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1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大柏村六组囤水田</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止：</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104.8111</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30.4389</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b/>
                <w:sz w:val="24"/>
                <w:szCs w:val="24"/>
              </w:rPr>
            </w:pPr>
          </w:p>
        </w:tc>
      </w:tr>
      <w:tr>
        <w:tblPrEx>
          <w:tblCellMar>
            <w:top w:w="0" w:type="dxa"/>
            <w:left w:w="0" w:type="dxa"/>
            <w:bottom w:w="0" w:type="dxa"/>
            <w:right w:w="0" w:type="dxa"/>
          </w:tblCellMar>
        </w:tblPrEx>
        <w:trPr>
          <w:trHeight w:val="285" w:hRule="atLeast"/>
          <w:jc w:val="center"/>
        </w:trPr>
        <w:tc>
          <w:tcPr>
            <w:tcW w:w="47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w:t>
            </w:r>
          </w:p>
        </w:tc>
        <w:tc>
          <w:tcPr>
            <w:tcW w:w="11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五星乡农建河</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农建村1组</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起：</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104.7105</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30.3234</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河流</w:t>
            </w:r>
          </w:p>
        </w:tc>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7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r>
      <w:tr>
        <w:tblPrEx>
          <w:tblCellMar>
            <w:top w:w="0" w:type="dxa"/>
            <w:left w:w="0" w:type="dxa"/>
            <w:bottom w:w="0" w:type="dxa"/>
            <w:right w:w="0" w:type="dxa"/>
          </w:tblCellMar>
        </w:tblPrEx>
        <w:trPr>
          <w:trHeight w:val="285" w:hRule="atLeast"/>
          <w:jc w:val="center"/>
        </w:trPr>
        <w:tc>
          <w:tcPr>
            <w:tcW w:w="4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1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农建村3组</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止：</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104.693</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30.341</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285" w:hRule="atLeast"/>
          <w:jc w:val="center"/>
        </w:trPr>
        <w:tc>
          <w:tcPr>
            <w:tcW w:w="47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w:t>
            </w:r>
          </w:p>
        </w:tc>
        <w:tc>
          <w:tcPr>
            <w:tcW w:w="11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三星镇五桂河</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双桂村1社</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起：</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104.3733</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30.3438</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河流</w:t>
            </w:r>
          </w:p>
        </w:tc>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7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w:t>
            </w:r>
          </w:p>
        </w:tc>
      </w:tr>
      <w:tr>
        <w:tblPrEx>
          <w:tblCellMar>
            <w:top w:w="0" w:type="dxa"/>
            <w:left w:w="0" w:type="dxa"/>
            <w:bottom w:w="0" w:type="dxa"/>
            <w:right w:w="0" w:type="dxa"/>
          </w:tblCellMar>
        </w:tblPrEx>
        <w:trPr>
          <w:trHeight w:val="285" w:hRule="atLeast"/>
          <w:jc w:val="center"/>
        </w:trPr>
        <w:tc>
          <w:tcPr>
            <w:tcW w:w="4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1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游林村11社</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止：</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104.3531</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30.3121</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675" w:hRule="atLeast"/>
          <w:jc w:val="center"/>
        </w:trPr>
        <w:tc>
          <w:tcPr>
            <w:tcW w:w="4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1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鲤鱼村7社两岔河（坛罐乡南堰河）</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止：</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104.3484</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30.3991</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285" w:hRule="atLeast"/>
          <w:jc w:val="center"/>
        </w:trPr>
        <w:tc>
          <w:tcPr>
            <w:tcW w:w="47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w:t>
            </w:r>
          </w:p>
        </w:tc>
        <w:tc>
          <w:tcPr>
            <w:tcW w:w="11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太平桥镇夏家河</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太平加油站后</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起：</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104.4244</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30.4255</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河流</w:t>
            </w:r>
          </w:p>
        </w:tc>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0.48</w:t>
            </w:r>
          </w:p>
        </w:tc>
        <w:tc>
          <w:tcPr>
            <w:tcW w:w="7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r>
      <w:tr>
        <w:tblPrEx>
          <w:tblCellMar>
            <w:top w:w="0" w:type="dxa"/>
            <w:left w:w="0" w:type="dxa"/>
            <w:bottom w:w="0" w:type="dxa"/>
            <w:right w:w="0" w:type="dxa"/>
          </w:tblCellMar>
        </w:tblPrEx>
        <w:trPr>
          <w:trHeight w:val="285" w:hRule="atLeast"/>
          <w:jc w:val="center"/>
        </w:trPr>
        <w:tc>
          <w:tcPr>
            <w:tcW w:w="4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1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预制厂后</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止：</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104.4204</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30.4235</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0" w:hRule="atLeast"/>
          <w:jc w:val="center"/>
        </w:trPr>
        <w:tc>
          <w:tcPr>
            <w:tcW w:w="47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w:t>
            </w:r>
          </w:p>
        </w:tc>
        <w:tc>
          <w:tcPr>
            <w:tcW w:w="11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杨柳街道杨柳溪</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杨柳街道团结村5社</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起：</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104.5133</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30.42</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河流</w:t>
            </w:r>
          </w:p>
        </w:tc>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7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r>
      <w:tr>
        <w:tblPrEx>
          <w:tblCellMar>
            <w:top w:w="0" w:type="dxa"/>
            <w:left w:w="0" w:type="dxa"/>
            <w:bottom w:w="0" w:type="dxa"/>
            <w:right w:w="0" w:type="dxa"/>
          </w:tblCellMar>
        </w:tblPrEx>
        <w:trPr>
          <w:trHeight w:val="450" w:hRule="atLeast"/>
          <w:jc w:val="center"/>
        </w:trPr>
        <w:tc>
          <w:tcPr>
            <w:tcW w:w="4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1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杨柳街道大街社区沱江河</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止：</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104.5256</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30.4231</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0" w:hRule="atLeast"/>
          <w:jc w:val="center"/>
        </w:trPr>
        <w:tc>
          <w:tcPr>
            <w:tcW w:w="47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w:t>
            </w:r>
          </w:p>
        </w:tc>
        <w:tc>
          <w:tcPr>
            <w:tcW w:w="11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杨柳街道九曲河</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杨柳街道利民村3社</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起：</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104.5361</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30.425</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河流</w:t>
            </w:r>
          </w:p>
        </w:tc>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7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r>
      <w:tr>
        <w:tblPrEx>
          <w:tblCellMar>
            <w:top w:w="0" w:type="dxa"/>
            <w:left w:w="0" w:type="dxa"/>
            <w:bottom w:w="0" w:type="dxa"/>
            <w:right w:w="0" w:type="dxa"/>
          </w:tblCellMar>
        </w:tblPrEx>
        <w:trPr>
          <w:trHeight w:val="450" w:hRule="atLeast"/>
          <w:jc w:val="center"/>
        </w:trPr>
        <w:tc>
          <w:tcPr>
            <w:tcW w:w="4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1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杨柳街道杨柳村6社杨柳溪</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止：</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104.5206</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30.4206</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0" w:hRule="atLeast"/>
          <w:jc w:val="center"/>
        </w:trPr>
        <w:tc>
          <w:tcPr>
            <w:tcW w:w="47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w:t>
            </w:r>
          </w:p>
        </w:tc>
        <w:tc>
          <w:tcPr>
            <w:tcW w:w="11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杨柳街道天星河</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杨柳街道天星村7社</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起：</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104.5183</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30.4439</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河流</w:t>
            </w:r>
          </w:p>
        </w:tc>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7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r>
      <w:tr>
        <w:tblPrEx>
          <w:tblCellMar>
            <w:top w:w="0" w:type="dxa"/>
            <w:left w:w="0" w:type="dxa"/>
            <w:bottom w:w="0" w:type="dxa"/>
            <w:right w:w="0" w:type="dxa"/>
          </w:tblCellMar>
        </w:tblPrEx>
        <w:trPr>
          <w:trHeight w:val="450" w:hRule="atLeast"/>
          <w:jc w:val="center"/>
        </w:trPr>
        <w:tc>
          <w:tcPr>
            <w:tcW w:w="4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1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杨柳街道天星村1社沱江河</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止：</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104.5261</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30.4231</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285" w:hRule="atLeast"/>
          <w:jc w:val="center"/>
        </w:trPr>
        <w:tc>
          <w:tcPr>
            <w:tcW w:w="47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w:t>
            </w:r>
          </w:p>
        </w:tc>
        <w:tc>
          <w:tcPr>
            <w:tcW w:w="11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江源镇马江河</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江源场镇</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起：</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104.3159</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30.1615</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河流</w:t>
            </w:r>
          </w:p>
        </w:tc>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w:t>
            </w:r>
          </w:p>
        </w:tc>
        <w:tc>
          <w:tcPr>
            <w:tcW w:w="7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w:t>
            </w:r>
          </w:p>
        </w:tc>
      </w:tr>
      <w:tr>
        <w:tblPrEx>
          <w:tblCellMar>
            <w:top w:w="0" w:type="dxa"/>
            <w:left w:w="0" w:type="dxa"/>
            <w:bottom w:w="0" w:type="dxa"/>
            <w:right w:w="0" w:type="dxa"/>
          </w:tblCellMar>
        </w:tblPrEx>
        <w:trPr>
          <w:trHeight w:val="285" w:hRule="atLeast"/>
          <w:jc w:val="center"/>
        </w:trPr>
        <w:tc>
          <w:tcPr>
            <w:tcW w:w="4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1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雷家乡金竹村</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止：</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104.3111</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30.1451</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285" w:hRule="atLeast"/>
          <w:jc w:val="center"/>
        </w:trPr>
        <w:tc>
          <w:tcPr>
            <w:tcW w:w="47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w:t>
            </w:r>
          </w:p>
        </w:tc>
        <w:tc>
          <w:tcPr>
            <w:tcW w:w="11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镇金镇小湾村小沟斗渠</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小湾村7组</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起：</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104.4417</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30.1397</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河流</w:t>
            </w:r>
          </w:p>
        </w:tc>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w:t>
            </w:r>
          </w:p>
        </w:tc>
        <w:tc>
          <w:tcPr>
            <w:tcW w:w="7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w:t>
            </w:r>
          </w:p>
        </w:tc>
      </w:tr>
      <w:tr>
        <w:tblPrEx>
          <w:tblCellMar>
            <w:top w:w="0" w:type="dxa"/>
            <w:left w:w="0" w:type="dxa"/>
            <w:bottom w:w="0" w:type="dxa"/>
            <w:right w:w="0" w:type="dxa"/>
          </w:tblCellMar>
        </w:tblPrEx>
        <w:trPr>
          <w:trHeight w:val="285" w:hRule="atLeast"/>
          <w:jc w:val="center"/>
        </w:trPr>
        <w:tc>
          <w:tcPr>
            <w:tcW w:w="4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1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小湾村4组</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止：</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104.4164</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30.1389</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285" w:hRule="atLeast"/>
          <w:jc w:val="center"/>
        </w:trPr>
        <w:tc>
          <w:tcPr>
            <w:tcW w:w="4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1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沱江入河口</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止：</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104.5036</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30.5019</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375" w:hRule="atLeast"/>
          <w:jc w:val="center"/>
        </w:trPr>
        <w:tc>
          <w:tcPr>
            <w:tcW w:w="47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w:t>
            </w:r>
          </w:p>
        </w:tc>
        <w:tc>
          <w:tcPr>
            <w:tcW w:w="11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十里坝街道新达街社区桂子溪</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牛王庙街</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起：</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104.0426</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30.7409</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河流</w:t>
            </w:r>
          </w:p>
        </w:tc>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2.88</w:t>
            </w:r>
          </w:p>
        </w:tc>
        <w:tc>
          <w:tcPr>
            <w:tcW w:w="7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r>
      <w:tr>
        <w:tblPrEx>
          <w:tblCellMar>
            <w:top w:w="0" w:type="dxa"/>
            <w:left w:w="0" w:type="dxa"/>
            <w:bottom w:w="0" w:type="dxa"/>
            <w:right w:w="0" w:type="dxa"/>
          </w:tblCellMar>
        </w:tblPrEx>
        <w:trPr>
          <w:trHeight w:val="285" w:hRule="atLeast"/>
          <w:jc w:val="center"/>
        </w:trPr>
        <w:tc>
          <w:tcPr>
            <w:tcW w:w="4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1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桂子溪</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止：</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104.3531</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30.1946</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375" w:hRule="atLeast"/>
          <w:jc w:val="center"/>
        </w:trPr>
        <w:tc>
          <w:tcPr>
            <w:tcW w:w="47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w:t>
            </w:r>
          </w:p>
        </w:tc>
        <w:tc>
          <w:tcPr>
            <w:tcW w:w="11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十里坝街道飞马社区铁路边千米沟</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新五7组</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起：</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104.3435</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30.202</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河流</w:t>
            </w:r>
          </w:p>
        </w:tc>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w:t>
            </w:r>
          </w:p>
        </w:tc>
        <w:tc>
          <w:tcPr>
            <w:tcW w:w="7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r>
      <w:tr>
        <w:tblPrEx>
          <w:tblCellMar>
            <w:top w:w="0" w:type="dxa"/>
            <w:left w:w="0" w:type="dxa"/>
            <w:bottom w:w="0" w:type="dxa"/>
            <w:right w:w="0" w:type="dxa"/>
          </w:tblCellMar>
        </w:tblPrEx>
        <w:trPr>
          <w:trHeight w:val="285" w:hRule="atLeast"/>
          <w:jc w:val="center"/>
        </w:trPr>
        <w:tc>
          <w:tcPr>
            <w:tcW w:w="4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1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三友农家乐</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止：</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104.3416</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30.2049</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285" w:hRule="atLeast"/>
          <w:jc w:val="center"/>
        </w:trPr>
        <w:tc>
          <w:tcPr>
            <w:tcW w:w="47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w:t>
            </w:r>
          </w:p>
        </w:tc>
        <w:tc>
          <w:tcPr>
            <w:tcW w:w="116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望水乡九曲河</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望水寺村1组</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起：</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104.455</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30.1908</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河流</w:t>
            </w:r>
          </w:p>
        </w:tc>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w:t>
            </w:r>
          </w:p>
        </w:tc>
        <w:tc>
          <w:tcPr>
            <w:tcW w:w="7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r>
      <w:tr>
        <w:tblPrEx>
          <w:tblCellMar>
            <w:top w:w="0" w:type="dxa"/>
            <w:left w:w="0" w:type="dxa"/>
            <w:bottom w:w="0" w:type="dxa"/>
            <w:right w:w="0" w:type="dxa"/>
          </w:tblCellMar>
        </w:tblPrEx>
        <w:trPr>
          <w:trHeight w:val="285" w:hRule="atLeast"/>
          <w:jc w:val="center"/>
        </w:trPr>
        <w:tc>
          <w:tcPr>
            <w:tcW w:w="474"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163"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黑水寺村5组</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止：</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104.4778</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30.1903</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285" w:hRule="atLeast"/>
          <w:jc w:val="center"/>
        </w:trPr>
        <w:tc>
          <w:tcPr>
            <w:tcW w:w="47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35</w:t>
            </w:r>
          </w:p>
        </w:tc>
        <w:tc>
          <w:tcPr>
            <w:tcW w:w="11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简城街道节约村小河</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节约村3社</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起：</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104.5228</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30.405</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河流</w:t>
            </w:r>
          </w:p>
        </w:tc>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7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r>
      <w:tr>
        <w:tblPrEx>
          <w:tblCellMar>
            <w:top w:w="0" w:type="dxa"/>
            <w:left w:w="0" w:type="dxa"/>
            <w:bottom w:w="0" w:type="dxa"/>
            <w:right w:w="0" w:type="dxa"/>
          </w:tblCellMar>
        </w:tblPrEx>
        <w:trPr>
          <w:trHeight w:val="285" w:hRule="atLeast"/>
          <w:jc w:val="center"/>
        </w:trPr>
        <w:tc>
          <w:tcPr>
            <w:tcW w:w="4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1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节约村7社</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止：</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104.5303</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30.4122</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285" w:hRule="atLeast"/>
          <w:jc w:val="center"/>
        </w:trPr>
        <w:tc>
          <w:tcPr>
            <w:tcW w:w="47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36</w:t>
            </w:r>
          </w:p>
        </w:tc>
        <w:tc>
          <w:tcPr>
            <w:tcW w:w="11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简城街道民望村5社小河</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民望村5社</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起：</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104.5392</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30.3617</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河流</w:t>
            </w:r>
          </w:p>
        </w:tc>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0.8</w:t>
            </w:r>
          </w:p>
        </w:tc>
        <w:tc>
          <w:tcPr>
            <w:tcW w:w="7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r>
      <w:tr>
        <w:tblPrEx>
          <w:tblCellMar>
            <w:top w:w="0" w:type="dxa"/>
            <w:left w:w="0" w:type="dxa"/>
            <w:bottom w:w="0" w:type="dxa"/>
            <w:right w:w="0" w:type="dxa"/>
          </w:tblCellMar>
        </w:tblPrEx>
        <w:trPr>
          <w:trHeight w:val="285" w:hRule="atLeast"/>
          <w:jc w:val="center"/>
        </w:trPr>
        <w:tc>
          <w:tcPr>
            <w:tcW w:w="4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1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民望村5社</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止：</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104.5442</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30.3639</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285" w:hRule="atLeast"/>
          <w:jc w:val="center"/>
        </w:trPr>
        <w:tc>
          <w:tcPr>
            <w:tcW w:w="47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37</w:t>
            </w:r>
          </w:p>
        </w:tc>
        <w:tc>
          <w:tcPr>
            <w:tcW w:w="11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简城街道绛溪河</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三葫村3社</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起：</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104.5562</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30.3456</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河流</w:t>
            </w:r>
          </w:p>
        </w:tc>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7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r>
      <w:tr>
        <w:tblPrEx>
          <w:tblCellMar>
            <w:top w:w="0" w:type="dxa"/>
            <w:left w:w="0" w:type="dxa"/>
            <w:bottom w:w="0" w:type="dxa"/>
            <w:right w:w="0" w:type="dxa"/>
          </w:tblCellMar>
        </w:tblPrEx>
        <w:trPr>
          <w:trHeight w:val="285" w:hRule="atLeast"/>
          <w:jc w:val="center"/>
        </w:trPr>
        <w:tc>
          <w:tcPr>
            <w:tcW w:w="4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1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三葫村3社</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止：</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104.5636</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30.3258</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375" w:hRule="atLeast"/>
          <w:jc w:val="center"/>
        </w:trPr>
        <w:tc>
          <w:tcPr>
            <w:tcW w:w="47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38</w:t>
            </w:r>
          </w:p>
        </w:tc>
        <w:tc>
          <w:tcPr>
            <w:tcW w:w="11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石桥镇沱江河支流绛溪河</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同心村1组</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起：</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104.4692</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30.3595</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河流</w:t>
            </w:r>
          </w:p>
        </w:tc>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3.5</w:t>
            </w:r>
          </w:p>
        </w:tc>
        <w:tc>
          <w:tcPr>
            <w:tcW w:w="7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w:t>
            </w:r>
          </w:p>
        </w:tc>
      </w:tr>
      <w:tr>
        <w:tblPrEx>
          <w:tblCellMar>
            <w:top w:w="0" w:type="dxa"/>
            <w:left w:w="0" w:type="dxa"/>
            <w:bottom w:w="0" w:type="dxa"/>
            <w:right w:w="0" w:type="dxa"/>
          </w:tblCellMar>
        </w:tblPrEx>
        <w:trPr>
          <w:trHeight w:val="285" w:hRule="atLeast"/>
          <w:jc w:val="center"/>
        </w:trPr>
        <w:tc>
          <w:tcPr>
            <w:tcW w:w="4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1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三溪村4组</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止：</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104.4619</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30.3883</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375" w:hRule="atLeast"/>
          <w:jc w:val="center"/>
        </w:trPr>
        <w:tc>
          <w:tcPr>
            <w:tcW w:w="47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39</w:t>
            </w:r>
          </w:p>
        </w:tc>
        <w:tc>
          <w:tcPr>
            <w:tcW w:w="11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石桥镇沱江河支流赤水河</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回龙寺村7组</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起：</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104.4867</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30.4294</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河流</w:t>
            </w:r>
          </w:p>
        </w:tc>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w:t>
            </w:r>
          </w:p>
        </w:tc>
        <w:tc>
          <w:tcPr>
            <w:tcW w:w="7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r>
      <w:tr>
        <w:tblPrEx>
          <w:tblCellMar>
            <w:top w:w="0" w:type="dxa"/>
            <w:left w:w="0" w:type="dxa"/>
            <w:bottom w:w="0" w:type="dxa"/>
            <w:right w:w="0" w:type="dxa"/>
          </w:tblCellMar>
        </w:tblPrEx>
        <w:trPr>
          <w:trHeight w:val="285" w:hRule="atLeast"/>
          <w:jc w:val="center"/>
        </w:trPr>
        <w:tc>
          <w:tcPr>
            <w:tcW w:w="4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1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方家寺村8组</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止：</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104.4683</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30.4308</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285" w:hRule="atLeast"/>
          <w:jc w:val="center"/>
        </w:trPr>
        <w:tc>
          <w:tcPr>
            <w:tcW w:w="4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1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协合村3社</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止：</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104.4069</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ºE</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30.4236</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ºN</w:t>
            </w:r>
          </w:p>
        </w:tc>
        <w:tc>
          <w:tcPr>
            <w:tcW w:w="7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宋体" w:hAnsi="宋体" w:eastAsia="宋体" w:cs="宋体"/>
                <w:sz w:val="24"/>
                <w:szCs w:val="24"/>
              </w:rPr>
            </w:pPr>
          </w:p>
        </w:tc>
      </w:tr>
    </w:tbl>
    <w:p>
      <w:pPr>
        <w:spacing w:line="360" w:lineRule="auto"/>
        <w:rPr>
          <w:rFonts w:hint="eastAsia"/>
          <w:lang w:eastAsia="zh-CN"/>
        </w:rPr>
      </w:pPr>
    </w:p>
    <w:p>
      <w:pPr>
        <w:pStyle w:val="2"/>
        <w:numPr>
          <w:ilvl w:val="0"/>
          <w:numId w:val="7"/>
        </w:numPr>
        <w:spacing w:line="360" w:lineRule="auto"/>
        <w:ind w:left="0" w:leftChars="0" w:firstLine="0" w:firstLineChars="0"/>
        <w:rPr>
          <w:rFonts w:hint="eastAsia" w:ascii="宋体" w:hAnsi="宋体" w:eastAsia="宋体" w:cs="宋体"/>
          <w:b/>
          <w:bCs/>
          <w:color w:val="auto"/>
          <w:sz w:val="24"/>
          <w:szCs w:val="24"/>
          <w:highlight w:val="none"/>
          <w:lang w:eastAsia="zh-CN"/>
        </w:rPr>
      </w:pPr>
      <w:r>
        <w:rPr>
          <w:rFonts w:hint="eastAsia" w:ascii="宋体" w:hAnsi="宋体" w:eastAsia="宋体" w:cs="宋体"/>
          <w:b/>
          <w:bCs/>
          <w:sz w:val="24"/>
          <w:szCs w:val="24"/>
        </w:rPr>
        <w:t>★</w:t>
      </w:r>
      <w:r>
        <w:rPr>
          <w:rFonts w:hint="eastAsia" w:ascii="宋体" w:hAnsi="宋体" w:eastAsia="宋体" w:cs="宋体"/>
          <w:b/>
          <w:bCs/>
          <w:color w:val="auto"/>
          <w:sz w:val="24"/>
          <w:szCs w:val="24"/>
          <w:highlight w:val="none"/>
          <w:lang w:eastAsia="zh-CN"/>
        </w:rPr>
        <w:t>商务要求</w:t>
      </w:r>
    </w:p>
    <w:p>
      <w:pPr>
        <w:widowControl/>
        <w:shd w:val="clear" w:color="auto" w:fill="FFFFFF"/>
        <w:spacing w:line="360" w:lineRule="auto"/>
        <w:ind w:firstLine="480" w:firstLineChars="200"/>
        <w:jc w:val="left"/>
        <w:rPr>
          <w:rFonts w:hAnsi="宋体" w:cs="宋体"/>
          <w:sz w:val="24"/>
          <w:szCs w:val="24"/>
        </w:rPr>
      </w:pPr>
      <w:r>
        <w:rPr>
          <w:rFonts w:hint="eastAsia" w:hAnsi="宋体" w:cs="宋体"/>
          <w:sz w:val="24"/>
          <w:szCs w:val="24"/>
        </w:rPr>
        <w:t>1、服务期限：合同签订之日起至</w:t>
      </w:r>
      <w:r>
        <w:rPr>
          <w:rFonts w:hint="eastAsia" w:hAnsi="宋体" w:cs="宋体"/>
          <w:color w:val="auto"/>
          <w:sz w:val="24"/>
          <w:szCs w:val="24"/>
        </w:rPr>
        <w:t>2021年12月上旬</w:t>
      </w:r>
      <w:r>
        <w:rPr>
          <w:rFonts w:hint="eastAsia" w:hAnsi="宋体" w:cs="宋体"/>
          <w:sz w:val="24"/>
          <w:szCs w:val="24"/>
        </w:rPr>
        <w:t>前，向简阳市水务局提交经评审合格的《简阳市</w:t>
      </w:r>
      <w:r>
        <w:rPr>
          <w:rFonts w:hint="eastAsia" w:hAnsi="宋体" w:cs="宋体"/>
          <w:sz w:val="24"/>
          <w:szCs w:val="24"/>
          <w:lang w:eastAsia="zh-CN"/>
        </w:rPr>
        <w:t>水务局</w:t>
      </w:r>
      <w:r>
        <w:rPr>
          <w:rFonts w:hint="eastAsia" w:hAnsi="宋体" w:cs="宋体"/>
          <w:sz w:val="24"/>
          <w:szCs w:val="24"/>
        </w:rPr>
        <w:t>黑臭河渠综合治理水质监测以及综合评估报告》。</w:t>
      </w:r>
    </w:p>
    <w:p>
      <w:pPr>
        <w:spacing w:line="360" w:lineRule="auto"/>
        <w:ind w:firstLine="480" w:firstLineChars="200"/>
        <w:rPr>
          <w:rFonts w:ascii="宋体" w:hAnsi="宋体" w:eastAsia="宋体" w:cs="宋体"/>
        </w:rPr>
      </w:pPr>
      <w:r>
        <w:rPr>
          <w:rFonts w:hint="eastAsia" w:hAnsi="宋体" w:cs="宋体"/>
          <w:sz w:val="24"/>
          <w:szCs w:val="24"/>
        </w:rPr>
        <w:t>2、付款方式：</w:t>
      </w:r>
      <w:r>
        <w:rPr>
          <w:rFonts w:hint="eastAsia" w:ascii="宋体" w:hAnsi="宋体" w:eastAsia="宋体" w:cs="宋体"/>
          <w:sz w:val="24"/>
        </w:rPr>
        <w:t>（1）在本合同签订生效之日起接到</w:t>
      </w:r>
      <w:r>
        <w:rPr>
          <w:rFonts w:hint="eastAsia" w:ascii="宋体" w:hAnsi="宋体" w:cs="宋体"/>
          <w:sz w:val="24"/>
          <w:lang w:eastAsia="zh-CN"/>
        </w:rPr>
        <w:t>成交</w:t>
      </w:r>
      <w:r>
        <w:rPr>
          <w:rFonts w:hint="eastAsia" w:ascii="宋体" w:hAnsi="宋体" w:eastAsia="宋体" w:cs="宋体"/>
          <w:sz w:val="24"/>
        </w:rPr>
        <w:t>供应商通知和票据凭证资料后的30日内，按照财政性资金支付有关规定，向</w:t>
      </w:r>
      <w:r>
        <w:rPr>
          <w:rFonts w:hint="eastAsia" w:ascii="宋体" w:hAnsi="宋体" w:cs="宋体"/>
          <w:sz w:val="24"/>
          <w:lang w:eastAsia="zh-CN"/>
        </w:rPr>
        <w:t>成交</w:t>
      </w:r>
      <w:r>
        <w:rPr>
          <w:rFonts w:hint="eastAsia" w:ascii="宋体" w:hAnsi="宋体" w:eastAsia="宋体" w:cs="宋体"/>
          <w:sz w:val="24"/>
        </w:rPr>
        <w:t>供应商预支付合同金额百分之三十的价款；</w:t>
      </w:r>
    </w:p>
    <w:p>
      <w:pPr>
        <w:widowControl/>
        <w:shd w:val="clear" w:color="auto" w:fill="FFFFFF"/>
        <w:spacing w:line="360" w:lineRule="auto"/>
        <w:ind w:firstLine="480" w:firstLineChars="200"/>
        <w:jc w:val="left"/>
        <w:rPr>
          <w:rFonts w:hAnsi="宋体" w:eastAsia="宋体" w:cs="宋体"/>
          <w:sz w:val="24"/>
          <w:szCs w:val="24"/>
        </w:rPr>
      </w:pPr>
      <w:r>
        <w:rPr>
          <w:rFonts w:hint="eastAsia" w:ascii="宋体" w:hAnsi="宋体" w:eastAsia="宋体" w:cs="宋体"/>
          <w:sz w:val="24"/>
          <w:szCs w:val="24"/>
        </w:rPr>
        <w:t>（2）全部服务履行完毕，项目履约验收合格之日起，接到</w:t>
      </w:r>
      <w:r>
        <w:rPr>
          <w:rFonts w:hint="eastAsia" w:ascii="宋体" w:hAnsi="宋体" w:cs="宋体"/>
          <w:sz w:val="24"/>
          <w:lang w:eastAsia="zh-CN"/>
        </w:rPr>
        <w:t>成交</w:t>
      </w:r>
      <w:r>
        <w:rPr>
          <w:rFonts w:hint="eastAsia" w:ascii="宋体" w:hAnsi="宋体" w:eastAsia="宋体" w:cs="宋体"/>
          <w:sz w:val="24"/>
        </w:rPr>
        <w:t>供应商</w:t>
      </w:r>
      <w:r>
        <w:rPr>
          <w:rFonts w:hint="eastAsia" w:ascii="宋体" w:hAnsi="宋体" w:eastAsia="宋体" w:cs="宋体"/>
          <w:sz w:val="24"/>
          <w:szCs w:val="24"/>
        </w:rPr>
        <w:t>通知和票据凭证资料后的30日内，按照财政性资金支付有关规定，向</w:t>
      </w:r>
      <w:r>
        <w:rPr>
          <w:rFonts w:hint="eastAsia" w:ascii="宋体" w:hAnsi="宋体" w:cs="宋体"/>
          <w:sz w:val="24"/>
          <w:szCs w:val="24"/>
          <w:lang w:eastAsia="zh-CN"/>
        </w:rPr>
        <w:t>成交</w:t>
      </w:r>
      <w:r>
        <w:rPr>
          <w:rFonts w:hint="eastAsia" w:ascii="宋体" w:hAnsi="宋体" w:eastAsia="宋体" w:cs="宋体"/>
          <w:sz w:val="24"/>
        </w:rPr>
        <w:t>供应商</w:t>
      </w:r>
      <w:r>
        <w:rPr>
          <w:rFonts w:hint="eastAsia" w:ascii="宋体" w:hAnsi="宋体" w:eastAsia="宋体" w:cs="宋体"/>
          <w:sz w:val="24"/>
          <w:szCs w:val="24"/>
        </w:rPr>
        <w:t>支付合同金额百分之七十的价款。</w:t>
      </w:r>
    </w:p>
    <w:p>
      <w:pPr>
        <w:widowControl/>
        <w:shd w:val="clear" w:color="auto" w:fill="FFFFFF"/>
        <w:spacing w:line="360" w:lineRule="auto"/>
        <w:ind w:firstLine="480" w:firstLineChars="200"/>
        <w:jc w:val="left"/>
        <w:rPr>
          <w:rFonts w:hAnsi="宋体" w:cs="宋体"/>
          <w:sz w:val="24"/>
          <w:szCs w:val="24"/>
        </w:rPr>
      </w:pPr>
      <w:r>
        <w:rPr>
          <w:rFonts w:hint="eastAsia" w:hAnsi="宋体" w:cs="宋体"/>
          <w:sz w:val="24"/>
          <w:szCs w:val="24"/>
        </w:rPr>
        <w:t>3、服务地点：采购人指定地点。</w:t>
      </w:r>
    </w:p>
    <w:p>
      <w:pPr>
        <w:widowControl/>
        <w:shd w:val="clear" w:color="auto" w:fill="FFFFFF"/>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4、其它要求： </w:t>
      </w:r>
    </w:p>
    <w:p>
      <w:pPr>
        <w:widowControl/>
        <w:shd w:val="clear" w:color="auto" w:fill="FFFFFF"/>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（1）服务单位配备足够的人员和设备开展工作，以满足工作进展需要。 </w:t>
      </w:r>
    </w:p>
    <w:p>
      <w:pPr>
        <w:widowControl/>
        <w:shd w:val="clear" w:color="auto" w:fill="FFFFFF"/>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成交</w:t>
      </w:r>
      <w:r>
        <w:rPr>
          <w:rFonts w:hint="eastAsia" w:ascii="宋体" w:hAnsi="宋体" w:eastAsia="宋体" w:cs="宋体"/>
          <w:sz w:val="24"/>
          <w:szCs w:val="24"/>
        </w:rPr>
        <w:t xml:space="preserve">供应商应在约定的时限内严格按照相关标准规范客观、公正的出具综合评估报告，并对采（取）样、实验室检测、报告出具全流程的合法性负责。 </w:t>
      </w:r>
    </w:p>
    <w:p>
      <w:pPr>
        <w:widowControl/>
        <w:shd w:val="clear" w:color="auto" w:fill="FFFFFF"/>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（3）服务过程中发生的人身及设备事故由服务单位自行负责。 </w:t>
      </w:r>
    </w:p>
    <w:p>
      <w:pPr>
        <w:pStyle w:val="2"/>
        <w:spacing w:line="360" w:lineRule="auto"/>
        <w:ind w:firstLine="480" w:firstLineChars="200"/>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sz w:val="24"/>
          <w:szCs w:val="24"/>
        </w:rPr>
        <w:t>（4）供应商应按承诺时间到达采购人单位，如未按时到达，每有一次扣款500元</w:t>
      </w:r>
      <w:r>
        <w:rPr>
          <w:rFonts w:hint="eastAsia" w:ascii="宋体" w:hAnsi="宋体" w:eastAsia="宋体" w:cs="宋体"/>
          <w:b w:val="0"/>
          <w:bCs w:val="0"/>
          <w:color w:val="auto"/>
          <w:sz w:val="24"/>
          <w:szCs w:val="24"/>
          <w:highlight w:val="none"/>
          <w:lang w:val="en-US" w:eastAsia="zh-CN" w:bidi="ar-SA"/>
        </w:rPr>
        <w:t>。</w:t>
      </w:r>
    </w:p>
    <w:p>
      <w:pPr>
        <w:pStyle w:val="2"/>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bidi="ar-SA"/>
        </w:rPr>
        <w:t>（5）</w:t>
      </w:r>
      <w:r>
        <w:rPr>
          <w:rFonts w:hint="eastAsia" w:hAnsi="宋体" w:cs="宋体"/>
          <w:sz w:val="24"/>
          <w:szCs w:val="24"/>
          <w:lang w:eastAsia="zh-CN"/>
        </w:rPr>
        <w:t>成交供应商应对</w:t>
      </w:r>
      <w:r>
        <w:rPr>
          <w:rFonts w:hint="eastAsia" w:hAnsi="宋体" w:cs="宋体"/>
          <w:sz w:val="24"/>
          <w:szCs w:val="24"/>
        </w:rPr>
        <w:t>每个治理水体</w:t>
      </w:r>
      <w:r>
        <w:rPr>
          <w:rFonts w:hint="eastAsia" w:hAnsi="宋体" w:cs="宋体"/>
          <w:sz w:val="24"/>
          <w:szCs w:val="24"/>
          <w:lang w:eastAsia="zh-CN"/>
        </w:rPr>
        <w:t>进行</w:t>
      </w:r>
      <w:r>
        <w:rPr>
          <w:rFonts w:hint="eastAsia" w:hAnsi="宋体" w:cs="宋体"/>
          <w:sz w:val="24"/>
          <w:szCs w:val="24"/>
        </w:rPr>
        <w:t>调查问卷</w:t>
      </w:r>
      <w:r>
        <w:rPr>
          <w:rFonts w:hint="eastAsia" w:hAnsi="宋体" w:cs="宋体"/>
          <w:sz w:val="24"/>
          <w:szCs w:val="24"/>
          <w:lang w:eastAsia="zh-CN"/>
        </w:rPr>
        <w:t>，问卷调查的</w:t>
      </w:r>
      <w:r>
        <w:rPr>
          <w:rFonts w:hint="eastAsia" w:hAnsi="宋体" w:cs="宋体"/>
          <w:sz w:val="24"/>
          <w:szCs w:val="24"/>
        </w:rPr>
        <w:t>有效数量不少于100份，如90%以上的问卷对黑臭水体工程整治效果答复“非常满意”或“满意”，则认定该水体达到整治目标</w:t>
      </w:r>
      <w:r>
        <w:rPr>
          <w:rFonts w:hint="eastAsia" w:hAnsi="宋体" w:cs="宋体"/>
          <w:sz w:val="24"/>
          <w:szCs w:val="24"/>
          <w:lang w:val="en-US" w:eastAsia="zh-CN"/>
        </w:rPr>
        <w:t>(提供承诺函</w:t>
      </w:r>
      <w:bookmarkStart w:id="407" w:name="_GoBack"/>
      <w:bookmarkEnd w:id="407"/>
      <w:r>
        <w:rPr>
          <w:rFonts w:hint="eastAsia" w:hAnsi="宋体" w:cs="宋体"/>
          <w:sz w:val="24"/>
          <w:szCs w:val="24"/>
          <w:lang w:val="en-US" w:eastAsia="zh-CN"/>
        </w:rPr>
        <w:t>)</w:t>
      </w:r>
      <w:r>
        <w:rPr>
          <w:rFonts w:hint="eastAsia" w:hAnsi="宋体" w:cs="宋体"/>
          <w:sz w:val="24"/>
          <w:szCs w:val="24"/>
          <w:lang w:eastAsia="zh-CN"/>
        </w:rPr>
        <w:t>。</w:t>
      </w:r>
    </w:p>
    <w:p>
      <w:pPr>
        <w:pStyle w:val="7"/>
        <w:spacing w:line="360" w:lineRule="auto"/>
        <w:ind w:firstLine="537" w:firstLineChars="224"/>
        <w:rPr>
          <w:rFonts w:hint="eastAsia" w:ascii="宋体" w:hAnsi="宋体" w:eastAsia="宋体" w:cs="宋体"/>
          <w:b/>
          <w:bCs/>
          <w:color w:val="auto"/>
          <w:sz w:val="24"/>
          <w:highlight w:val="none"/>
        </w:rPr>
      </w:pPr>
      <w:r>
        <w:rPr>
          <w:rFonts w:hint="eastAsia" w:ascii="宋体" w:hAnsi="宋体" w:eastAsia="宋体" w:cs="宋体"/>
          <w:b/>
          <w:bCs/>
          <w:color w:val="auto"/>
          <w:sz w:val="24"/>
          <w:szCs w:val="24"/>
          <w:highlight w:val="none"/>
        </w:rPr>
        <w:t>备注：本次采购以上述参数和要求为准，若上述参数和要求中表述不完整的，各</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自行与采购人联系，了解情况并现场踏勘，必须在</w:t>
      </w:r>
      <w:r>
        <w:rPr>
          <w:rFonts w:hint="eastAsia" w:ascii="宋体" w:hAnsi="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文件中补充完整（否则可能导致扣分），但必须符合国家的相关要求；如参数中涉及有名称、品牌和规格的为参考名称、品牌和规格，其他能够达到同等参数和要求的其他产品均可参加，带★号参数和要求不得有负偏离</w:t>
      </w:r>
      <w:r>
        <w:rPr>
          <w:rFonts w:hint="eastAsia" w:ascii="宋体" w:hAnsi="宋体" w:eastAsia="宋体" w:cs="宋体"/>
          <w:b/>
          <w:bCs/>
          <w:color w:val="auto"/>
          <w:sz w:val="28"/>
          <w:szCs w:val="28"/>
          <w:highlight w:val="none"/>
        </w:rPr>
        <w:t>。</w:t>
      </w:r>
    </w:p>
    <w:p>
      <w:pPr>
        <w:pStyle w:val="2"/>
        <w:numPr>
          <w:ilvl w:val="0"/>
          <w:numId w:val="0"/>
        </w:numPr>
        <w:rPr>
          <w:rFonts w:hint="eastAsia" w:ascii="宋体" w:hAnsi="宋体" w:eastAsia="宋体" w:cs="宋体"/>
          <w:color w:val="auto"/>
          <w:highlight w:val="none"/>
        </w:rPr>
      </w:pPr>
    </w:p>
    <w:bookmarkEnd w:id="95"/>
    <w:bookmarkEnd w:id="96"/>
    <w:bookmarkEnd w:id="97"/>
    <w:bookmarkEnd w:id="98"/>
    <w:bookmarkEnd w:id="99"/>
    <w:p>
      <w:pPr>
        <w:rPr>
          <w:rStyle w:val="20"/>
          <w:rFonts w:hint="eastAsia" w:ascii="宋体" w:hAnsi="宋体" w:eastAsia="宋体" w:cs="宋体"/>
          <w:b/>
          <w:bCs/>
          <w:color w:val="auto"/>
          <w:sz w:val="44"/>
          <w:szCs w:val="44"/>
          <w:highlight w:val="none"/>
        </w:rPr>
      </w:pPr>
      <w:bookmarkStart w:id="104" w:name="_Toc30724"/>
      <w:r>
        <w:rPr>
          <w:rStyle w:val="20"/>
          <w:rFonts w:hint="eastAsia" w:ascii="宋体" w:hAnsi="宋体" w:eastAsia="宋体" w:cs="宋体"/>
          <w:b/>
          <w:bCs/>
          <w:color w:val="auto"/>
          <w:sz w:val="44"/>
          <w:szCs w:val="44"/>
          <w:highlight w:val="none"/>
        </w:rPr>
        <w:br w:type="page"/>
      </w:r>
    </w:p>
    <w:p>
      <w:pPr>
        <w:pStyle w:val="3"/>
        <w:bidi w:val="0"/>
        <w:rPr>
          <w:rFonts w:hint="eastAsia" w:ascii="宋体" w:hAnsi="宋体" w:eastAsia="宋体" w:cs="宋体"/>
          <w:b/>
          <w:color w:val="auto"/>
          <w:sz w:val="44"/>
          <w:szCs w:val="44"/>
          <w:highlight w:val="none"/>
        </w:rPr>
      </w:pPr>
      <w:bookmarkStart w:id="105" w:name="_Toc6212"/>
      <w:r>
        <w:rPr>
          <w:rStyle w:val="20"/>
          <w:rFonts w:hint="eastAsia" w:ascii="宋体" w:hAnsi="宋体" w:eastAsia="宋体" w:cs="宋体"/>
          <w:b/>
          <w:bCs/>
          <w:color w:val="auto"/>
          <w:sz w:val="44"/>
          <w:szCs w:val="44"/>
          <w:highlight w:val="none"/>
        </w:rPr>
        <w:t>第六章  采购项目实质性要求</w:t>
      </w:r>
      <w:bookmarkEnd w:id="104"/>
      <w:bookmarkEnd w:id="105"/>
    </w:p>
    <w:p>
      <w:pPr>
        <w:widowControl/>
        <w:spacing w:line="480" w:lineRule="auto"/>
        <w:ind w:firstLine="480"/>
        <w:rPr>
          <w:rFonts w:hint="eastAsia" w:ascii="宋体" w:hAnsi="宋体" w:eastAsia="宋体" w:cs="宋体"/>
          <w:color w:val="auto"/>
          <w:sz w:val="24"/>
          <w:szCs w:val="24"/>
          <w:highlight w:val="none"/>
          <w:lang w:eastAsia="zh-CN"/>
        </w:rPr>
      </w:pPr>
      <w:bookmarkStart w:id="106" w:name="_Toc503794733"/>
      <w:r>
        <w:rPr>
          <w:rFonts w:hint="eastAsia" w:ascii="宋体" w:hAnsi="宋体" w:eastAsia="宋体" w:cs="宋体"/>
          <w:color w:val="auto"/>
          <w:sz w:val="24"/>
          <w:szCs w:val="24"/>
          <w:highlight w:val="none"/>
        </w:rPr>
        <w:t>1.技术、服务要求：满足磋商文件第五章的要求</w:t>
      </w:r>
      <w:bookmarkEnd w:id="106"/>
      <w:r>
        <w:rPr>
          <w:rFonts w:hint="eastAsia" w:ascii="宋体" w:hAnsi="宋体" w:eastAsia="宋体" w:cs="宋体"/>
          <w:color w:val="auto"/>
          <w:sz w:val="24"/>
          <w:szCs w:val="24"/>
          <w:highlight w:val="none"/>
          <w:lang w:eastAsia="zh-CN"/>
        </w:rPr>
        <w:t>。</w:t>
      </w:r>
    </w:p>
    <w:p>
      <w:pPr>
        <w:widowControl/>
        <w:spacing w:line="480" w:lineRule="auto"/>
        <w:ind w:firstLine="480"/>
        <w:rPr>
          <w:rFonts w:hint="eastAsia" w:ascii="宋体" w:hAnsi="宋体" w:eastAsia="宋体" w:cs="宋体"/>
          <w:color w:val="auto"/>
          <w:sz w:val="24"/>
          <w:szCs w:val="24"/>
          <w:highlight w:val="none"/>
          <w:lang w:eastAsia="zh-CN"/>
        </w:rPr>
      </w:pPr>
      <w:bookmarkStart w:id="107" w:name="_Toc503794734"/>
      <w:r>
        <w:rPr>
          <w:rFonts w:hint="eastAsia" w:ascii="宋体" w:hAnsi="宋体" w:eastAsia="宋体" w:cs="宋体"/>
          <w:color w:val="auto"/>
          <w:sz w:val="24"/>
          <w:szCs w:val="24"/>
          <w:highlight w:val="none"/>
        </w:rPr>
        <w:t>2.政府采购合同内容条款要求：响应磋商文件第九章</w:t>
      </w:r>
      <w:bookmarkEnd w:id="107"/>
      <w:r>
        <w:rPr>
          <w:rFonts w:hint="eastAsia" w:ascii="宋体" w:hAnsi="宋体" w:eastAsia="宋体" w:cs="宋体"/>
          <w:color w:val="auto"/>
          <w:sz w:val="24"/>
          <w:szCs w:val="24"/>
          <w:highlight w:val="none"/>
          <w:lang w:eastAsia="zh-CN"/>
        </w:rPr>
        <w:t>。</w:t>
      </w:r>
    </w:p>
    <w:p>
      <w:pPr>
        <w:widowControl/>
        <w:spacing w:line="480" w:lineRule="auto"/>
        <w:ind w:firstLine="480"/>
        <w:rPr>
          <w:rFonts w:hint="eastAsia" w:ascii="宋体" w:hAnsi="宋体" w:eastAsia="宋体" w:cs="宋体"/>
          <w:color w:val="auto"/>
          <w:sz w:val="24"/>
          <w:szCs w:val="24"/>
          <w:highlight w:val="none"/>
          <w:lang w:eastAsia="zh-CN"/>
        </w:rPr>
      </w:pPr>
      <w:bookmarkStart w:id="108" w:name="_Toc503794735"/>
      <w:r>
        <w:rPr>
          <w:rFonts w:hint="eastAsia" w:ascii="宋体" w:hAnsi="宋体" w:eastAsia="宋体" w:cs="宋体"/>
          <w:color w:val="auto"/>
          <w:sz w:val="24"/>
          <w:szCs w:val="24"/>
          <w:highlight w:val="none"/>
        </w:rPr>
        <w:t>3.商务要求：满足磋商文件第五章的要求</w:t>
      </w:r>
      <w:bookmarkEnd w:id="108"/>
      <w:r>
        <w:rPr>
          <w:rFonts w:hint="eastAsia" w:ascii="宋体" w:hAnsi="宋体" w:eastAsia="宋体" w:cs="宋体"/>
          <w:color w:val="auto"/>
          <w:sz w:val="24"/>
          <w:szCs w:val="24"/>
          <w:highlight w:val="none"/>
          <w:lang w:eastAsia="zh-CN"/>
        </w:rPr>
        <w:t>。</w:t>
      </w:r>
    </w:p>
    <w:p>
      <w:pPr>
        <w:widowControl/>
        <w:spacing w:line="48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4.政府采购政策要求：执行小微企业（监狱企业、残疾人福利性单位视同小微企业）价格扣除和失信企业报价加成；按照国家“财库[2004]185 号、财库[2006]90 号、国办发[2007]51 号”、文件的规定，对节能、环保产品强制采购、优先采购的评审标准（如涉及）。</w:t>
      </w:r>
    </w:p>
    <w:p>
      <w:pPr>
        <w:ind w:firstLine="360" w:firstLineChars="150"/>
        <w:rPr>
          <w:rFonts w:hint="eastAsia" w:ascii="宋体" w:hAnsi="宋体" w:eastAsia="宋体" w:cs="宋体"/>
          <w:color w:val="auto"/>
          <w:sz w:val="24"/>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tabs>
          <w:tab w:val="left" w:pos="7665"/>
        </w:tabs>
        <w:spacing w:line="400" w:lineRule="exact"/>
        <w:ind w:firstLine="480"/>
        <w:rPr>
          <w:rFonts w:hint="eastAsia" w:ascii="宋体" w:hAnsi="宋体" w:eastAsia="宋体" w:cs="宋体"/>
          <w:bCs/>
          <w:color w:val="auto"/>
          <w:sz w:val="24"/>
          <w:highlight w:val="none"/>
        </w:rPr>
      </w:pPr>
    </w:p>
    <w:p>
      <w:pPr>
        <w:tabs>
          <w:tab w:val="left" w:pos="7665"/>
        </w:tabs>
        <w:spacing w:line="400" w:lineRule="exact"/>
        <w:ind w:firstLine="480"/>
        <w:rPr>
          <w:rFonts w:hint="eastAsia" w:ascii="宋体" w:hAnsi="宋体" w:eastAsia="宋体" w:cs="宋体"/>
          <w:bCs/>
          <w:color w:val="auto"/>
          <w:sz w:val="24"/>
          <w:highlight w:val="none"/>
        </w:rPr>
      </w:pPr>
    </w:p>
    <w:p>
      <w:pPr>
        <w:tabs>
          <w:tab w:val="left" w:pos="7665"/>
        </w:tabs>
        <w:spacing w:line="400" w:lineRule="exact"/>
        <w:ind w:firstLine="480"/>
        <w:rPr>
          <w:rFonts w:hint="eastAsia" w:ascii="宋体" w:hAnsi="宋体" w:eastAsia="宋体" w:cs="宋体"/>
          <w:bCs/>
          <w:color w:val="auto"/>
          <w:sz w:val="24"/>
          <w:highlight w:val="none"/>
        </w:rPr>
      </w:pPr>
    </w:p>
    <w:p>
      <w:pPr>
        <w:keepNext w:val="0"/>
        <w:keepLines w:val="0"/>
        <w:pageBreakBefore w:val="0"/>
        <w:widowControl w:val="0"/>
        <w:tabs>
          <w:tab w:val="left" w:pos="7665"/>
        </w:tabs>
        <w:kinsoku/>
        <w:wordWrap/>
        <w:overflowPunct/>
        <w:topLinePunct w:val="0"/>
        <w:autoSpaceDE/>
        <w:autoSpaceDN/>
        <w:bidi w:val="0"/>
        <w:adjustRightInd/>
        <w:snapToGrid/>
        <w:spacing w:line="240" w:lineRule="auto"/>
        <w:ind w:left="0" w:leftChars="0" w:right="0" w:rightChars="0" w:firstLine="482" w:firstLineChars="0"/>
        <w:jc w:val="center"/>
        <w:textAlignment w:val="auto"/>
        <w:outlineLvl w:val="0"/>
        <w:rPr>
          <w:rStyle w:val="20"/>
          <w:rFonts w:hint="eastAsia" w:ascii="宋体" w:hAnsi="宋体" w:eastAsia="宋体" w:cs="宋体"/>
          <w:color w:val="auto"/>
          <w:highlight w:val="none"/>
        </w:rPr>
      </w:pPr>
      <w:r>
        <w:rPr>
          <w:rFonts w:hint="eastAsia" w:ascii="宋体" w:hAnsi="宋体" w:eastAsia="宋体" w:cs="宋体"/>
          <w:bCs/>
          <w:color w:val="auto"/>
          <w:sz w:val="24"/>
          <w:highlight w:val="none"/>
        </w:rPr>
        <w:br w:type="page"/>
      </w:r>
      <w:bookmarkStart w:id="109" w:name="_Toc11519"/>
      <w:bookmarkStart w:id="110" w:name="_Toc12126"/>
      <w:r>
        <w:rPr>
          <w:rStyle w:val="20"/>
          <w:rFonts w:hint="eastAsia" w:ascii="宋体" w:hAnsi="宋体" w:eastAsia="宋体" w:cs="宋体"/>
          <w:color w:val="auto"/>
          <w:highlight w:val="none"/>
        </w:rPr>
        <w:t>第</w:t>
      </w:r>
      <w:r>
        <w:rPr>
          <w:rStyle w:val="20"/>
          <w:rFonts w:hint="eastAsia" w:ascii="宋体" w:hAnsi="宋体" w:eastAsia="宋体" w:cs="宋体"/>
          <w:color w:val="auto"/>
          <w:highlight w:val="none"/>
          <w:lang w:eastAsia="zh-CN"/>
        </w:rPr>
        <w:t>七</w:t>
      </w:r>
      <w:r>
        <w:rPr>
          <w:rStyle w:val="20"/>
          <w:rFonts w:hint="eastAsia" w:ascii="宋体" w:hAnsi="宋体" w:eastAsia="宋体" w:cs="宋体"/>
          <w:color w:val="auto"/>
          <w:highlight w:val="none"/>
        </w:rPr>
        <w:t>章  响应文件格式</w:t>
      </w:r>
      <w:bookmarkEnd w:id="109"/>
      <w:bookmarkEnd w:id="11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一、本章所制响应文件格式，除格式中明确将该格式作为实质性要求的，一律不具有强制性，但是，供应商响应文件相关资料和本章所制格式不一致</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磋商小组将在评分时以响应文件不规范予以扣分处理。</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二、本章所制响应文件格式有关表格中的备注栏，由供应商根据自身响应情况作解释性说明，不作为必填项。</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三、本章所制响应文件格式中需要填写的相关内容事项，可能会与本采购项目无关，在不改变响应文件原义、不影响本项目采购需求的情况下，供应商可以不予填写，但应当注明。</w:t>
      </w:r>
    </w:p>
    <w:p>
      <w:pPr>
        <w:spacing w:line="360" w:lineRule="auto"/>
        <w:jc w:val="center"/>
        <w:rPr>
          <w:rFonts w:hint="eastAsia" w:ascii="宋体" w:hAnsi="宋体" w:eastAsia="宋体" w:cs="宋体"/>
          <w:b/>
          <w:color w:val="auto"/>
          <w:sz w:val="32"/>
          <w:szCs w:val="32"/>
          <w:highlight w:val="none"/>
        </w:rPr>
      </w:pPr>
    </w:p>
    <w:p>
      <w:pPr>
        <w:jc w:val="center"/>
        <w:rPr>
          <w:rFonts w:hint="eastAsia" w:ascii="宋体" w:hAnsi="宋体" w:eastAsia="宋体" w:cs="宋体"/>
          <w:b/>
          <w:color w:val="auto"/>
          <w:sz w:val="32"/>
          <w:szCs w:val="32"/>
          <w:highlight w:val="none"/>
        </w:rPr>
      </w:pPr>
    </w:p>
    <w:p>
      <w:pPr>
        <w:jc w:val="center"/>
        <w:rPr>
          <w:rFonts w:hint="eastAsia" w:ascii="宋体" w:hAnsi="宋体" w:eastAsia="宋体" w:cs="宋体"/>
          <w:b/>
          <w:color w:val="auto"/>
          <w:sz w:val="32"/>
          <w:szCs w:val="32"/>
          <w:highlight w:val="none"/>
        </w:rPr>
      </w:pPr>
    </w:p>
    <w:p>
      <w:pPr>
        <w:jc w:val="center"/>
        <w:rPr>
          <w:rFonts w:hint="eastAsia" w:ascii="宋体" w:hAnsi="宋体" w:eastAsia="宋体" w:cs="宋体"/>
          <w:b/>
          <w:color w:val="auto"/>
          <w:sz w:val="32"/>
          <w:szCs w:val="32"/>
          <w:highlight w:val="none"/>
        </w:rPr>
      </w:pPr>
    </w:p>
    <w:p>
      <w:pPr>
        <w:jc w:val="center"/>
        <w:rPr>
          <w:rFonts w:hint="eastAsia" w:ascii="宋体" w:hAnsi="宋体" w:eastAsia="宋体" w:cs="宋体"/>
          <w:b/>
          <w:color w:val="auto"/>
          <w:sz w:val="32"/>
          <w:szCs w:val="32"/>
          <w:highlight w:val="none"/>
        </w:rPr>
      </w:pPr>
    </w:p>
    <w:p>
      <w:pPr>
        <w:jc w:val="center"/>
        <w:rPr>
          <w:rFonts w:hint="eastAsia" w:ascii="宋体" w:hAnsi="宋体" w:eastAsia="宋体" w:cs="宋体"/>
          <w:b/>
          <w:color w:val="auto"/>
          <w:sz w:val="32"/>
          <w:szCs w:val="32"/>
          <w:highlight w:val="none"/>
        </w:rPr>
      </w:pPr>
    </w:p>
    <w:p>
      <w:pPr>
        <w:jc w:val="center"/>
        <w:rPr>
          <w:rFonts w:hint="eastAsia" w:ascii="宋体" w:hAnsi="宋体" w:eastAsia="宋体" w:cs="宋体"/>
          <w:b/>
          <w:color w:val="auto"/>
          <w:sz w:val="32"/>
          <w:szCs w:val="32"/>
          <w:highlight w:val="none"/>
        </w:rPr>
      </w:pPr>
    </w:p>
    <w:p>
      <w:pPr>
        <w:jc w:val="center"/>
        <w:rPr>
          <w:rFonts w:hint="eastAsia" w:ascii="宋体" w:hAnsi="宋体" w:eastAsia="宋体" w:cs="宋体"/>
          <w:b/>
          <w:color w:val="auto"/>
          <w:sz w:val="32"/>
          <w:szCs w:val="32"/>
          <w:highlight w:val="none"/>
        </w:rPr>
      </w:pPr>
    </w:p>
    <w:p>
      <w:pPr>
        <w:jc w:val="center"/>
        <w:rPr>
          <w:rFonts w:hint="eastAsia" w:ascii="宋体" w:hAnsi="宋体" w:eastAsia="宋体" w:cs="宋体"/>
          <w:b/>
          <w:color w:val="auto"/>
          <w:sz w:val="32"/>
          <w:szCs w:val="32"/>
          <w:highlight w:val="none"/>
        </w:rPr>
      </w:pPr>
    </w:p>
    <w:p>
      <w:pPr>
        <w:jc w:val="center"/>
        <w:rPr>
          <w:rFonts w:hint="eastAsia" w:ascii="宋体" w:hAnsi="宋体" w:eastAsia="宋体" w:cs="宋体"/>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eastAsia" w:ascii="宋体" w:hAnsi="宋体" w:eastAsia="宋体" w:cs="宋体"/>
          <w:b/>
          <w:color w:val="auto"/>
          <w:sz w:val="32"/>
          <w:szCs w:val="32"/>
          <w:highlight w:val="none"/>
        </w:rPr>
        <w:sectPr>
          <w:footerReference r:id="rId10" w:type="first"/>
          <w:headerReference r:id="rId8" w:type="default"/>
          <w:footerReference r:id="rId9" w:type="default"/>
          <w:pgSz w:w="11850" w:h="16783"/>
          <w:pgMar w:top="1440" w:right="1800" w:bottom="1440" w:left="1800" w:header="851" w:footer="1134" w:gutter="0"/>
          <w:pgBorders>
            <w:top w:val="none" w:sz="0" w:space="0"/>
            <w:left w:val="none" w:sz="0" w:space="0"/>
            <w:bottom w:val="single" w:color="auto" w:sz="4" w:space="1"/>
            <w:right w:val="none" w:sz="0" w:space="0"/>
          </w:pgBorders>
          <w:pgNumType w:fmt="decimal"/>
          <w:cols w:space="720" w:num="1"/>
          <w:docGrid w:type="linesAndChars" w:linePitch="312" w:charSpace="0"/>
        </w:sectPr>
      </w:pPr>
    </w:p>
    <w:p>
      <w:pPr>
        <w:keepNext/>
        <w:keepLines/>
        <w:spacing w:before="260" w:after="260" w:line="413" w:lineRule="auto"/>
        <w:ind w:firstLine="643" w:firstLineChars="200"/>
        <w:jc w:val="center"/>
        <w:outlineLvl w:val="1"/>
        <w:rPr>
          <w:rFonts w:hint="eastAsia" w:ascii="宋体" w:hAnsi="宋体" w:eastAsia="宋体" w:cs="宋体"/>
          <w:b/>
          <w:bCs/>
          <w:color w:val="auto"/>
          <w:sz w:val="32"/>
          <w:szCs w:val="32"/>
          <w:highlight w:val="none"/>
        </w:rPr>
      </w:pPr>
      <w:bookmarkStart w:id="111" w:name="_Toc19442"/>
      <w:bookmarkStart w:id="112" w:name="_Toc102"/>
      <w:bookmarkStart w:id="113" w:name="_Toc19040"/>
      <w:r>
        <w:rPr>
          <w:rFonts w:hint="eastAsia" w:ascii="宋体" w:hAnsi="宋体" w:eastAsia="宋体" w:cs="宋体"/>
          <w:b/>
          <w:bCs/>
          <w:color w:val="auto"/>
          <w:sz w:val="32"/>
          <w:szCs w:val="32"/>
          <w:highlight w:val="none"/>
        </w:rPr>
        <w:t>第一部分     资格性响应文件</w:t>
      </w:r>
      <w:bookmarkEnd w:id="111"/>
      <w:bookmarkEnd w:id="112"/>
      <w:bookmarkEnd w:id="113"/>
    </w:p>
    <w:p>
      <w:pPr>
        <w:widowControl/>
        <w:ind w:firstLine="48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封   面</w:t>
      </w:r>
    </w:p>
    <w:p>
      <w:pPr>
        <w:widowControl/>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bdr w:val="single" w:color="auto" w:sz="4" w:space="0"/>
        </w:rPr>
        <w:t>正本或副本</w:t>
      </w:r>
    </w:p>
    <w:p>
      <w:pPr>
        <w:widowControl/>
        <w:ind w:firstLine="480"/>
        <w:rPr>
          <w:rFonts w:hint="eastAsia" w:ascii="宋体" w:hAnsi="宋体" w:eastAsia="宋体" w:cs="宋体"/>
          <w:color w:val="auto"/>
          <w:sz w:val="24"/>
          <w:szCs w:val="24"/>
          <w:highlight w:val="none"/>
        </w:rPr>
      </w:pPr>
    </w:p>
    <w:p>
      <w:pPr>
        <w:widowControl/>
        <w:ind w:firstLine="480"/>
        <w:rPr>
          <w:rFonts w:hint="eastAsia" w:ascii="宋体" w:hAnsi="宋体" w:eastAsia="宋体" w:cs="宋体"/>
          <w:color w:val="auto"/>
          <w:sz w:val="24"/>
          <w:szCs w:val="24"/>
          <w:highlight w:val="none"/>
        </w:rPr>
      </w:pPr>
    </w:p>
    <w:p>
      <w:pPr>
        <w:widowControl/>
        <w:ind w:firstLine="480"/>
        <w:rPr>
          <w:rFonts w:hint="eastAsia" w:ascii="宋体" w:hAnsi="宋体" w:eastAsia="宋体" w:cs="宋体"/>
          <w:color w:val="auto"/>
          <w:sz w:val="24"/>
          <w:szCs w:val="24"/>
          <w:highlight w:val="none"/>
        </w:rPr>
      </w:pPr>
    </w:p>
    <w:p>
      <w:pPr>
        <w:widowControl/>
        <w:ind w:firstLine="480"/>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响 应 文 件</w:t>
      </w:r>
    </w:p>
    <w:p>
      <w:pPr>
        <w:widowControl/>
        <w:ind w:firstLine="480"/>
        <w:rPr>
          <w:rFonts w:hint="eastAsia" w:ascii="宋体" w:hAnsi="宋体" w:eastAsia="宋体" w:cs="宋体"/>
          <w:color w:val="auto"/>
          <w:sz w:val="24"/>
          <w:szCs w:val="24"/>
          <w:highlight w:val="none"/>
        </w:rPr>
      </w:pPr>
    </w:p>
    <w:p>
      <w:pPr>
        <w:widowControl/>
        <w:ind w:firstLine="4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（资格性响应文件）</w:t>
      </w:r>
    </w:p>
    <w:p>
      <w:pPr>
        <w:widowControl/>
        <w:ind w:firstLine="480"/>
        <w:rPr>
          <w:rFonts w:hint="eastAsia" w:ascii="宋体" w:hAnsi="宋体" w:eastAsia="宋体" w:cs="宋体"/>
          <w:color w:val="auto"/>
          <w:sz w:val="28"/>
          <w:szCs w:val="28"/>
          <w:highlight w:val="none"/>
        </w:rPr>
      </w:pPr>
    </w:p>
    <w:p>
      <w:pPr>
        <w:widowControl/>
        <w:ind w:firstLine="480"/>
        <w:rPr>
          <w:rFonts w:hint="eastAsia" w:ascii="宋体" w:hAnsi="宋体" w:eastAsia="宋体" w:cs="宋体"/>
          <w:color w:val="auto"/>
          <w:sz w:val="28"/>
          <w:szCs w:val="28"/>
          <w:highlight w:val="none"/>
        </w:rPr>
      </w:pPr>
    </w:p>
    <w:p>
      <w:pPr>
        <w:widowControl/>
        <w:ind w:firstLine="480"/>
        <w:rPr>
          <w:rFonts w:hint="eastAsia" w:ascii="宋体" w:hAnsi="宋体" w:eastAsia="宋体" w:cs="宋体"/>
          <w:color w:val="auto"/>
          <w:sz w:val="28"/>
          <w:szCs w:val="28"/>
          <w:highlight w:val="none"/>
        </w:rPr>
      </w:pPr>
    </w:p>
    <w:p>
      <w:pPr>
        <w:widowControl/>
        <w:ind w:firstLine="48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项目编号：</w:t>
      </w:r>
      <w:r>
        <w:rPr>
          <w:rFonts w:hint="eastAsia" w:ascii="宋体" w:hAnsi="宋体" w:eastAsia="宋体" w:cs="宋体"/>
          <w:color w:val="auto"/>
          <w:sz w:val="28"/>
          <w:szCs w:val="28"/>
          <w:highlight w:val="none"/>
          <w:u w:val="single"/>
        </w:rPr>
        <w:t xml:space="preserve">                           </w:t>
      </w:r>
    </w:p>
    <w:p>
      <w:pPr>
        <w:widowControl/>
        <w:ind w:firstLine="480"/>
        <w:rPr>
          <w:rFonts w:hint="eastAsia" w:ascii="宋体" w:hAnsi="宋体" w:eastAsia="宋体" w:cs="宋体"/>
          <w:color w:val="auto"/>
          <w:sz w:val="28"/>
          <w:szCs w:val="28"/>
          <w:highlight w:val="none"/>
          <w:u w:val="single"/>
        </w:rPr>
      </w:pPr>
    </w:p>
    <w:p>
      <w:pPr>
        <w:widowControl/>
        <w:ind w:firstLine="48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项目名称：</w:t>
      </w:r>
      <w:r>
        <w:rPr>
          <w:rFonts w:hint="eastAsia" w:ascii="宋体" w:hAnsi="宋体" w:eastAsia="宋体" w:cs="宋体"/>
          <w:color w:val="auto"/>
          <w:sz w:val="28"/>
          <w:szCs w:val="28"/>
          <w:highlight w:val="none"/>
          <w:u w:val="single"/>
        </w:rPr>
        <w:t xml:space="preserve">                           </w:t>
      </w:r>
    </w:p>
    <w:p>
      <w:pPr>
        <w:widowControl/>
        <w:ind w:firstLine="480"/>
        <w:rPr>
          <w:rFonts w:hint="eastAsia" w:ascii="宋体" w:hAnsi="宋体" w:eastAsia="宋体" w:cs="宋体"/>
          <w:color w:val="auto"/>
          <w:sz w:val="28"/>
          <w:szCs w:val="28"/>
          <w:highlight w:val="none"/>
        </w:rPr>
      </w:pPr>
    </w:p>
    <w:p>
      <w:pPr>
        <w:widowControl/>
        <w:ind w:firstLine="48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供应商名称（全称加盖公章）：</w:t>
      </w:r>
      <w:r>
        <w:rPr>
          <w:rFonts w:hint="eastAsia" w:ascii="宋体" w:hAnsi="宋体" w:eastAsia="宋体" w:cs="宋体"/>
          <w:color w:val="auto"/>
          <w:sz w:val="28"/>
          <w:szCs w:val="28"/>
          <w:highlight w:val="none"/>
          <w:u w:val="single"/>
        </w:rPr>
        <w:t xml:space="preserve">                 </w:t>
      </w:r>
    </w:p>
    <w:p>
      <w:pPr>
        <w:widowControl/>
        <w:ind w:firstLine="480"/>
        <w:rPr>
          <w:rFonts w:hint="eastAsia" w:ascii="宋体" w:hAnsi="宋体" w:eastAsia="宋体" w:cs="宋体"/>
          <w:color w:val="auto"/>
          <w:sz w:val="28"/>
          <w:szCs w:val="28"/>
          <w:highlight w:val="none"/>
        </w:rPr>
      </w:pPr>
    </w:p>
    <w:p>
      <w:pPr>
        <w:widowControl/>
        <w:ind w:firstLine="48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法定代表人或授权代表（签字或加盖个人名章）：</w:t>
      </w:r>
      <w:r>
        <w:rPr>
          <w:rFonts w:hint="eastAsia" w:ascii="宋体" w:hAnsi="宋体" w:eastAsia="宋体" w:cs="宋体"/>
          <w:color w:val="auto"/>
          <w:sz w:val="28"/>
          <w:szCs w:val="28"/>
          <w:highlight w:val="none"/>
          <w:u w:val="single"/>
        </w:rPr>
        <w:t xml:space="preserve">               </w:t>
      </w:r>
    </w:p>
    <w:p>
      <w:pPr>
        <w:widowControl/>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pPr>
        <w:widowControl/>
        <w:ind w:firstLine="480"/>
        <w:rPr>
          <w:rFonts w:hint="eastAsia" w:ascii="宋体" w:hAnsi="宋体" w:eastAsia="宋体" w:cs="宋体"/>
          <w:color w:val="auto"/>
          <w:sz w:val="28"/>
          <w:szCs w:val="28"/>
          <w:highlight w:val="none"/>
        </w:rPr>
      </w:pPr>
    </w:p>
    <w:p>
      <w:pPr>
        <w:widowControl/>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widowControl/>
        <w:ind w:firstLine="480"/>
        <w:rPr>
          <w:rFonts w:hint="eastAsia" w:ascii="宋体" w:hAnsi="宋体" w:eastAsia="宋体" w:cs="宋体"/>
          <w:color w:val="auto"/>
          <w:sz w:val="24"/>
          <w:szCs w:val="24"/>
          <w:highlight w:val="none"/>
        </w:rPr>
      </w:pPr>
    </w:p>
    <w:p>
      <w:pPr>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26"/>
        <w:spacing w:before="156" w:after="156"/>
        <w:jc w:val="center"/>
        <w:rPr>
          <w:rFonts w:hint="eastAsia" w:ascii="宋体" w:hAnsi="宋体" w:eastAsia="宋体" w:cs="宋体"/>
          <w:color w:val="auto"/>
          <w:highlight w:val="none"/>
        </w:rPr>
      </w:pPr>
      <w:bookmarkStart w:id="114" w:name="_Toc13692"/>
      <w:bookmarkStart w:id="115" w:name="_Toc5275"/>
      <w:bookmarkStart w:id="116" w:name="_Toc24547"/>
      <w:r>
        <w:rPr>
          <w:rFonts w:hint="eastAsia" w:ascii="宋体" w:hAnsi="宋体" w:eastAsia="宋体" w:cs="宋体"/>
          <w:color w:val="auto"/>
          <w:highlight w:val="none"/>
        </w:rPr>
        <w:t>一、承诺函（实质性要求）</w:t>
      </w:r>
      <w:bookmarkEnd w:id="114"/>
      <w:bookmarkEnd w:id="115"/>
      <w:bookmarkEnd w:id="116"/>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宋体" w:hAnsi="宋体" w:eastAsia="宋体" w:cs="宋体"/>
          <w:color w:val="auto"/>
          <w:sz w:val="24"/>
          <w:szCs w:val="24"/>
          <w:highlight w:val="none"/>
        </w:rPr>
      </w:pPr>
      <w:bookmarkStart w:id="117" w:name="_Toc480288345"/>
      <w:bookmarkStart w:id="118" w:name="_Toc480288574"/>
      <w:bookmarkStart w:id="119" w:name="_Toc482366498"/>
      <w:r>
        <w:rPr>
          <w:rFonts w:hint="eastAsia" w:ascii="宋体" w:hAnsi="宋体" w:eastAsia="宋体" w:cs="宋体"/>
          <w:color w:val="auto"/>
          <w:sz w:val="24"/>
          <w:szCs w:val="24"/>
          <w:highlight w:val="none"/>
          <w:u w:val="single"/>
        </w:rPr>
        <w:t xml:space="preserve">          </w:t>
      </w:r>
      <w:bookmarkStart w:id="120" w:name="_Toc503794737"/>
      <w:r>
        <w:rPr>
          <w:rFonts w:hint="eastAsia" w:ascii="宋体" w:hAnsi="宋体" w:eastAsia="宋体" w:cs="宋体"/>
          <w:color w:val="auto"/>
          <w:sz w:val="24"/>
          <w:szCs w:val="24"/>
          <w:highlight w:val="none"/>
        </w:rPr>
        <w:t>（采购代理机构名称）：</w:t>
      </w:r>
      <w:bookmarkEnd w:id="117"/>
      <w:bookmarkEnd w:id="118"/>
      <w:bookmarkEnd w:id="119"/>
      <w:bookmarkEnd w:id="120"/>
    </w:p>
    <w:p>
      <w:pPr>
        <w:keepNext w:val="0"/>
        <w:keepLines w:val="0"/>
        <w:pageBreakBefore w:val="0"/>
        <w:widowControl/>
        <w:kinsoku/>
        <w:wordWrap/>
        <w:overflowPunct/>
        <w:topLinePunct w:val="0"/>
        <w:autoSpaceDE/>
        <w:autoSpaceDN/>
        <w:bidi w:val="0"/>
        <w:adjustRightInd/>
        <w:snapToGrid/>
        <w:spacing w:line="312" w:lineRule="auto"/>
        <w:ind w:right="0" w:rightChars="0" w:firstLine="480" w:firstLineChars="200"/>
        <w:jc w:val="both"/>
        <w:textAlignment w:val="auto"/>
        <w:outlineLvl w:val="9"/>
        <w:rPr>
          <w:rFonts w:hint="eastAsia" w:ascii="宋体" w:hAnsi="宋体" w:eastAsia="宋体" w:cs="宋体"/>
          <w:color w:val="auto"/>
          <w:sz w:val="24"/>
          <w:szCs w:val="24"/>
          <w:highlight w:val="none"/>
        </w:rPr>
      </w:pPr>
      <w:bookmarkStart w:id="121" w:name="_Toc482366499"/>
      <w:bookmarkStart w:id="122" w:name="_Toc480288575"/>
      <w:bookmarkStart w:id="123" w:name="_Toc503794738"/>
      <w:bookmarkStart w:id="124" w:name="_Toc480288346"/>
      <w:r>
        <w:rPr>
          <w:rFonts w:hint="eastAsia" w:ascii="宋体" w:hAnsi="宋体" w:eastAsia="宋体" w:cs="宋体"/>
          <w:color w:val="auto"/>
          <w:sz w:val="24"/>
          <w:szCs w:val="24"/>
          <w:highlight w:val="none"/>
        </w:rPr>
        <w:t>我公司作为本次采购项目的供应商，根据本项目竞争性磋商文件要求，现郑重承诺如下：</w:t>
      </w:r>
      <w:bookmarkEnd w:id="121"/>
      <w:bookmarkEnd w:id="122"/>
      <w:bookmarkEnd w:id="123"/>
      <w:bookmarkEnd w:id="124"/>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宋体" w:hAnsi="宋体" w:eastAsia="宋体" w:cs="宋体"/>
          <w:color w:val="auto"/>
          <w:sz w:val="24"/>
          <w:szCs w:val="24"/>
          <w:highlight w:val="none"/>
        </w:rPr>
      </w:pPr>
      <w:bookmarkStart w:id="125" w:name="_Toc480288347"/>
      <w:bookmarkStart w:id="126" w:name="_Toc482366500"/>
      <w:bookmarkStart w:id="127" w:name="_Toc480288576"/>
      <w:bookmarkStart w:id="128" w:name="_Toc503794739"/>
      <w:r>
        <w:rPr>
          <w:rFonts w:hint="eastAsia" w:ascii="宋体" w:hAnsi="宋体" w:eastAsia="宋体" w:cs="宋体"/>
          <w:color w:val="auto"/>
          <w:sz w:val="24"/>
          <w:szCs w:val="24"/>
          <w:highlight w:val="none"/>
        </w:rPr>
        <w:t>一、具备《中华人民共和国政府采购法》第二十二条第一款和本项目规定的条件：</w:t>
      </w:r>
      <w:bookmarkEnd w:id="125"/>
      <w:bookmarkEnd w:id="126"/>
      <w:bookmarkEnd w:id="127"/>
      <w:bookmarkEnd w:id="128"/>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宋体" w:hAnsi="宋体" w:eastAsia="宋体" w:cs="宋体"/>
          <w:color w:val="auto"/>
          <w:sz w:val="24"/>
          <w:szCs w:val="24"/>
          <w:highlight w:val="none"/>
        </w:rPr>
      </w:pPr>
      <w:bookmarkStart w:id="129" w:name="_Toc480288577"/>
      <w:bookmarkStart w:id="130" w:name="_Toc503794740"/>
      <w:bookmarkStart w:id="131" w:name="_Toc480288348"/>
      <w:bookmarkStart w:id="132" w:name="_Toc482366501"/>
      <w:r>
        <w:rPr>
          <w:rFonts w:hint="eastAsia" w:ascii="宋体" w:hAnsi="宋体" w:eastAsia="宋体" w:cs="宋体"/>
          <w:color w:val="auto"/>
          <w:sz w:val="24"/>
          <w:szCs w:val="24"/>
          <w:highlight w:val="none"/>
        </w:rPr>
        <w:t xml:space="preserve">（一）具有独立承担民事责任的能力；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（二）具有良好的商业信誉和健全的财务会计制度；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（三）具有履行合同所必需的设备和专业技术能力；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（四）具有依法缴纳税收和社会保障资金的良好记录；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（五）参加政府采购活动前三年内，在经营活动中没有重大违法记录；</w:t>
      </w:r>
      <w:bookmarkEnd w:id="129"/>
      <w:bookmarkEnd w:id="130"/>
      <w:bookmarkEnd w:id="131"/>
      <w:bookmarkEnd w:id="132"/>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宋体" w:hAnsi="宋体" w:eastAsia="宋体" w:cs="宋体"/>
          <w:color w:val="auto"/>
          <w:sz w:val="24"/>
          <w:szCs w:val="24"/>
          <w:highlight w:val="none"/>
        </w:rPr>
      </w:pPr>
      <w:bookmarkStart w:id="133" w:name="_Toc503794741"/>
      <w:bookmarkStart w:id="134" w:name="_Toc482366502"/>
      <w:bookmarkStart w:id="135" w:name="_Toc480288578"/>
      <w:bookmarkStart w:id="136" w:name="_Toc480288349"/>
      <w:r>
        <w:rPr>
          <w:rFonts w:hint="eastAsia" w:ascii="宋体" w:hAnsi="宋体" w:eastAsia="宋体" w:cs="宋体"/>
          <w:color w:val="auto"/>
          <w:sz w:val="24"/>
          <w:szCs w:val="24"/>
          <w:highlight w:val="none"/>
        </w:rPr>
        <w:t>（六）法律、行政法规规定的其他条件；</w:t>
      </w:r>
      <w:bookmarkEnd w:id="133"/>
      <w:bookmarkEnd w:id="134"/>
      <w:bookmarkEnd w:id="135"/>
      <w:bookmarkEnd w:id="136"/>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宋体" w:hAnsi="宋体" w:eastAsia="宋体" w:cs="宋体"/>
          <w:color w:val="auto"/>
          <w:sz w:val="24"/>
          <w:szCs w:val="24"/>
          <w:highlight w:val="none"/>
        </w:rPr>
      </w:pPr>
      <w:bookmarkStart w:id="137" w:name="_Toc480288350"/>
      <w:bookmarkStart w:id="138" w:name="_Toc503794742"/>
      <w:bookmarkStart w:id="139" w:name="_Toc482366503"/>
      <w:bookmarkStart w:id="140" w:name="_Toc480288579"/>
      <w:r>
        <w:rPr>
          <w:rFonts w:hint="eastAsia" w:ascii="宋体" w:hAnsi="宋体" w:eastAsia="宋体" w:cs="宋体"/>
          <w:color w:val="auto"/>
          <w:sz w:val="24"/>
          <w:szCs w:val="24"/>
          <w:highlight w:val="none"/>
        </w:rPr>
        <w:t>（七）根据采购项目提出的特殊条件。</w:t>
      </w:r>
      <w:bookmarkEnd w:id="137"/>
      <w:bookmarkEnd w:id="138"/>
      <w:bookmarkEnd w:id="139"/>
      <w:bookmarkEnd w:id="140"/>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宋体" w:hAnsi="宋体" w:eastAsia="宋体" w:cs="宋体"/>
          <w:color w:val="auto"/>
          <w:sz w:val="24"/>
          <w:szCs w:val="24"/>
          <w:highlight w:val="none"/>
        </w:rPr>
      </w:pPr>
      <w:bookmarkStart w:id="141" w:name="_Toc482366504"/>
      <w:bookmarkStart w:id="142" w:name="_Toc480288351"/>
      <w:bookmarkStart w:id="143" w:name="_Toc480288580"/>
      <w:bookmarkStart w:id="144" w:name="_Toc503794743"/>
      <w:r>
        <w:rPr>
          <w:rFonts w:hint="eastAsia" w:ascii="宋体" w:hAnsi="宋体" w:eastAsia="宋体" w:cs="宋体"/>
          <w:color w:val="auto"/>
          <w:sz w:val="24"/>
          <w:szCs w:val="24"/>
          <w:highlight w:val="none"/>
        </w:rPr>
        <w:t>二、完全接受和满足本项目竞争性磋商文件中规定的实质性要求，如对竞争性磋商文件有异议，已经在响应文件递交截止时间届满前依法进行维权救济，不存在对竞争性磋商文件有异议的同时又参加磋商以求侥幸成交或者为实现其他非法目的的行为。</w:t>
      </w:r>
      <w:bookmarkEnd w:id="141"/>
      <w:bookmarkEnd w:id="142"/>
      <w:bookmarkEnd w:id="143"/>
      <w:bookmarkEnd w:id="144"/>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宋体" w:hAnsi="宋体" w:eastAsia="宋体" w:cs="宋体"/>
          <w:color w:val="auto"/>
          <w:sz w:val="24"/>
          <w:szCs w:val="24"/>
          <w:highlight w:val="none"/>
        </w:rPr>
      </w:pPr>
      <w:bookmarkStart w:id="145" w:name="_Toc503794744"/>
      <w:bookmarkStart w:id="146" w:name="_Toc480288581"/>
      <w:bookmarkStart w:id="147" w:name="_Toc480288352"/>
      <w:bookmarkStart w:id="148" w:name="_Toc482366505"/>
      <w:r>
        <w:rPr>
          <w:rFonts w:hint="eastAsia" w:ascii="宋体" w:hAnsi="宋体" w:eastAsia="宋体" w:cs="宋体"/>
          <w:color w:val="auto"/>
          <w:sz w:val="24"/>
          <w:szCs w:val="24"/>
          <w:highlight w:val="none"/>
        </w:rPr>
        <w:t>三、参加本次招标采购活动，不存在与单位负责人为同一人或者存在直接控股、管理关系的其他供应商参与同一合同项下的政府采购活动的行为。</w:t>
      </w:r>
      <w:bookmarkEnd w:id="145"/>
      <w:bookmarkEnd w:id="146"/>
      <w:bookmarkEnd w:id="147"/>
      <w:bookmarkEnd w:id="148"/>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宋体" w:hAnsi="宋体" w:eastAsia="宋体" w:cs="宋体"/>
          <w:color w:val="auto"/>
          <w:sz w:val="24"/>
          <w:szCs w:val="24"/>
          <w:highlight w:val="none"/>
        </w:rPr>
      </w:pPr>
      <w:bookmarkStart w:id="149" w:name="_Toc480288353"/>
      <w:bookmarkStart w:id="150" w:name="_Toc480288582"/>
      <w:bookmarkStart w:id="151" w:name="_Toc503794745"/>
      <w:bookmarkStart w:id="152" w:name="_Toc482366506"/>
      <w:r>
        <w:rPr>
          <w:rFonts w:hint="eastAsia" w:ascii="宋体" w:hAnsi="宋体" w:eastAsia="宋体" w:cs="宋体"/>
          <w:color w:val="auto"/>
          <w:sz w:val="24"/>
          <w:szCs w:val="24"/>
          <w:highlight w:val="none"/>
        </w:rPr>
        <w:t>四、参加本次招标采购活动，不存在和其他供应商在同一合同项下的采购项目中，同时委托同一个自然人、同一家庭的人员、同一单位的人员作为代理人的行为。</w:t>
      </w:r>
      <w:bookmarkEnd w:id="149"/>
      <w:bookmarkEnd w:id="150"/>
      <w:bookmarkEnd w:id="151"/>
      <w:bookmarkEnd w:id="152"/>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宋体" w:hAnsi="宋体" w:eastAsia="宋体" w:cs="宋体"/>
          <w:color w:val="auto"/>
          <w:sz w:val="24"/>
          <w:szCs w:val="24"/>
          <w:highlight w:val="none"/>
        </w:rPr>
      </w:pPr>
      <w:bookmarkStart w:id="153" w:name="_Toc482366507"/>
      <w:bookmarkStart w:id="154" w:name="_Toc503794746"/>
      <w:bookmarkStart w:id="155" w:name="_Toc480288583"/>
      <w:bookmarkStart w:id="156" w:name="_Toc480288354"/>
      <w:r>
        <w:rPr>
          <w:rFonts w:hint="eastAsia" w:ascii="宋体" w:hAnsi="宋体" w:eastAsia="宋体" w:cs="宋体"/>
          <w:color w:val="auto"/>
          <w:sz w:val="24"/>
          <w:szCs w:val="24"/>
          <w:highlight w:val="none"/>
        </w:rPr>
        <w:t>五、不属于为本采购项目提供整体设计、规范编制或者项目管理、监理、检测等服务的供应商。</w:t>
      </w:r>
      <w:bookmarkEnd w:id="153"/>
      <w:bookmarkEnd w:id="154"/>
      <w:bookmarkEnd w:id="155"/>
      <w:bookmarkEnd w:id="156"/>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宋体" w:hAnsi="宋体" w:eastAsia="宋体" w:cs="宋体"/>
          <w:color w:val="auto"/>
          <w:sz w:val="24"/>
          <w:szCs w:val="24"/>
          <w:highlight w:val="none"/>
        </w:rPr>
      </w:pPr>
      <w:bookmarkStart w:id="157" w:name="_Toc503794747"/>
      <w:bookmarkStart w:id="158" w:name="_Toc480288355"/>
      <w:bookmarkStart w:id="159" w:name="_Toc482366508"/>
      <w:bookmarkStart w:id="160" w:name="_Toc480288584"/>
      <w:r>
        <w:rPr>
          <w:rFonts w:hint="eastAsia" w:ascii="宋体" w:hAnsi="宋体" w:eastAsia="宋体" w:cs="宋体"/>
          <w:color w:val="auto"/>
          <w:sz w:val="24"/>
          <w:szCs w:val="24"/>
          <w:highlight w:val="none"/>
        </w:rPr>
        <w:t>六、响应文件中提供</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任何材料资料和技术、服务、商务等响应承诺情况都是真实的、有效的、合法的。</w:t>
      </w:r>
      <w:bookmarkEnd w:id="157"/>
      <w:bookmarkEnd w:id="158"/>
      <w:bookmarkEnd w:id="159"/>
      <w:bookmarkEnd w:id="160"/>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宋体" w:hAnsi="宋体" w:eastAsia="宋体" w:cs="宋体"/>
          <w:color w:val="auto"/>
          <w:sz w:val="24"/>
          <w:szCs w:val="24"/>
          <w:highlight w:val="none"/>
        </w:rPr>
      </w:pPr>
      <w:bookmarkStart w:id="161" w:name="_Toc482366509"/>
      <w:bookmarkStart w:id="162" w:name="_Toc503794748"/>
      <w:bookmarkStart w:id="163" w:name="_Toc480288356"/>
      <w:bookmarkStart w:id="164" w:name="_Toc480288585"/>
      <w:r>
        <w:rPr>
          <w:rFonts w:hint="eastAsia" w:ascii="宋体" w:hAnsi="宋体" w:eastAsia="宋体" w:cs="宋体"/>
          <w:color w:val="auto"/>
          <w:sz w:val="24"/>
          <w:szCs w:val="24"/>
          <w:highlight w:val="none"/>
        </w:rPr>
        <w:t>本公司对上述承诺的内容事项真实性负责。如经查实上述承诺的内容事项存在虚假，我公司愿意接受以提供虚假材料谋取成交追究法律责任。</w:t>
      </w:r>
      <w:bookmarkEnd w:id="161"/>
      <w:bookmarkEnd w:id="162"/>
      <w:bookmarkEnd w:id="163"/>
      <w:bookmarkEnd w:id="164"/>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宋体" w:hAnsi="宋体" w:eastAsia="宋体" w:cs="宋体"/>
          <w:color w:val="auto"/>
          <w:sz w:val="24"/>
          <w:szCs w:val="24"/>
          <w:highlight w:val="none"/>
        </w:rPr>
      </w:pPr>
      <w:bookmarkStart w:id="165" w:name="_Toc480288586"/>
      <w:bookmarkStart w:id="166" w:name="_Toc482366510"/>
      <w:bookmarkStart w:id="167" w:name="_Toc480288357"/>
      <w:bookmarkStart w:id="168" w:name="_Toc503794749"/>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（单位公章）。</w:t>
      </w:r>
      <w:bookmarkEnd w:id="165"/>
      <w:bookmarkEnd w:id="166"/>
      <w:bookmarkEnd w:id="167"/>
      <w:bookmarkEnd w:id="168"/>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宋体" w:hAnsi="宋体" w:eastAsia="宋体" w:cs="宋体"/>
          <w:color w:val="auto"/>
          <w:sz w:val="24"/>
          <w:szCs w:val="24"/>
          <w:highlight w:val="none"/>
        </w:rPr>
      </w:pPr>
      <w:bookmarkStart w:id="169" w:name="_Toc480288587"/>
      <w:bookmarkStart w:id="170" w:name="_Toc480288358"/>
      <w:bookmarkStart w:id="171" w:name="_Toc482366511"/>
      <w:bookmarkStart w:id="172" w:name="_Toc503794750"/>
      <w:r>
        <w:rPr>
          <w:rFonts w:hint="eastAsia" w:ascii="宋体" w:hAnsi="宋体" w:eastAsia="宋体" w:cs="宋体"/>
          <w:color w:val="auto"/>
          <w:sz w:val="24"/>
          <w:szCs w:val="24"/>
          <w:highlight w:val="none"/>
        </w:rPr>
        <w:t>法定代表人或授权代表（签字或加盖个人名章）：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bookmarkEnd w:id="169"/>
      <w:bookmarkEnd w:id="170"/>
      <w:bookmarkEnd w:id="171"/>
      <w:bookmarkEnd w:id="172"/>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widowControl/>
        <w:ind w:firstLine="480"/>
        <w:rPr>
          <w:rFonts w:hint="eastAsia" w:ascii="宋体" w:hAnsi="宋体" w:eastAsia="宋体" w:cs="宋体"/>
          <w:color w:val="auto"/>
          <w:sz w:val="24"/>
          <w:szCs w:val="24"/>
          <w:highlight w:val="none"/>
        </w:rPr>
      </w:pPr>
    </w:p>
    <w:p>
      <w:pPr>
        <w:pStyle w:val="4"/>
        <w:bidi w:val="0"/>
        <w:jc w:val="center"/>
        <w:rPr>
          <w:rFonts w:hint="eastAsia" w:ascii="宋体" w:hAnsi="宋体" w:eastAsia="宋体" w:cs="宋体"/>
          <w:color w:val="auto"/>
          <w:highlight w:val="none"/>
        </w:rPr>
      </w:pPr>
      <w:bookmarkStart w:id="173" w:name="_Toc9005"/>
      <w:r>
        <w:rPr>
          <w:rFonts w:hint="eastAsia" w:ascii="宋体" w:hAnsi="宋体" w:eastAsia="宋体" w:cs="宋体"/>
          <w:color w:val="auto"/>
          <w:highlight w:val="none"/>
        </w:rPr>
        <w:t>二、</w:t>
      </w:r>
      <w:r>
        <w:rPr>
          <w:rFonts w:hint="eastAsia" w:ascii="宋体" w:hAnsi="宋体" w:eastAsia="宋体" w:cs="宋体"/>
          <w:color w:val="auto"/>
          <w:highlight w:val="none"/>
          <w:lang w:val="en-US" w:eastAsia="zh-CN"/>
        </w:rPr>
        <w:t>法定代表人授权委托书格式</w:t>
      </w:r>
      <w:r>
        <w:rPr>
          <w:rFonts w:hint="eastAsia" w:ascii="宋体" w:hAnsi="宋体" w:eastAsia="宋体" w:cs="宋体"/>
          <w:color w:val="auto"/>
          <w:highlight w:val="none"/>
        </w:rPr>
        <w:t>（实质性要求）</w:t>
      </w:r>
      <w:bookmarkEnd w:id="173"/>
    </w:p>
    <w:p>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供应商根据自身情况在响应文件中提供（1）或（2）。 </w:t>
      </w:r>
    </w:p>
    <w:p>
      <w:pPr>
        <w:keepNext w:val="0"/>
        <w:keepLines w:val="0"/>
        <w:widowControl/>
        <w:suppressLineNumbers w:val="0"/>
        <w:spacing w:line="360" w:lineRule="auto"/>
        <w:jc w:val="center"/>
        <w:rPr>
          <w:rFonts w:hint="eastAsia" w:ascii="宋体" w:hAnsi="宋体" w:eastAsia="宋体" w:cs="宋体"/>
          <w:b/>
          <w:color w:val="auto"/>
          <w:kern w:val="0"/>
          <w:sz w:val="24"/>
          <w:szCs w:val="24"/>
          <w:highlight w:val="none"/>
          <w:lang w:val="en-US" w:eastAsia="zh-CN" w:bidi="ar"/>
        </w:rPr>
      </w:pPr>
    </w:p>
    <w:p>
      <w:pPr>
        <w:keepNext w:val="0"/>
        <w:keepLines w:val="0"/>
        <w:widowControl/>
        <w:suppressLineNumbers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b/>
          <w:color w:val="auto"/>
          <w:kern w:val="0"/>
          <w:sz w:val="32"/>
          <w:szCs w:val="32"/>
          <w:highlight w:val="none"/>
          <w:lang w:val="en-US" w:eastAsia="zh-CN" w:bidi="ar"/>
        </w:rPr>
        <w:t>（1）</w:t>
      </w:r>
      <w:r>
        <w:rPr>
          <w:rFonts w:hint="eastAsia" w:ascii="宋体" w:hAnsi="宋体" w:eastAsia="宋体" w:cs="宋体"/>
          <w:b/>
          <w:bCs w:val="0"/>
          <w:color w:val="auto"/>
          <w:kern w:val="0"/>
          <w:sz w:val="32"/>
          <w:szCs w:val="32"/>
          <w:highlight w:val="none"/>
          <w:lang w:val="en-US" w:eastAsia="zh-CN" w:bidi="ar"/>
        </w:rPr>
        <w:t>法定代表人证明</w:t>
      </w:r>
      <w:r>
        <w:rPr>
          <w:rFonts w:hint="eastAsia" w:ascii="宋体" w:hAnsi="宋体" w:eastAsia="宋体" w:cs="宋体"/>
          <w:b/>
          <w:bCs w:val="0"/>
          <w:color w:val="auto"/>
          <w:sz w:val="32"/>
          <w:szCs w:val="32"/>
          <w:highlight w:val="none"/>
        </w:rPr>
        <w:t>（实质性要求）</w:t>
      </w:r>
    </w:p>
    <w:p>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（仅在法定代表人参加竞争性磋商时须提供此证明） </w:t>
      </w:r>
    </w:p>
    <w:p>
      <w:pPr>
        <w:keepNext w:val="0"/>
        <w:keepLines w:val="0"/>
        <w:widowControl/>
        <w:suppressLineNumbers w:val="0"/>
        <w:spacing w:line="480" w:lineRule="auto"/>
        <w:jc w:val="left"/>
        <w:rPr>
          <w:rFonts w:hint="eastAsia" w:ascii="宋体" w:hAnsi="宋体" w:eastAsia="宋体" w:cs="宋体"/>
          <w:color w:val="auto"/>
          <w:sz w:val="24"/>
          <w:szCs w:val="24"/>
          <w:highlight w:val="none"/>
          <w:u w:val="single"/>
          <w:lang w:val="en-US"/>
        </w:rPr>
      </w:pPr>
      <w:r>
        <w:rPr>
          <w:rFonts w:hint="eastAsia" w:ascii="宋体" w:hAnsi="宋体" w:eastAsia="宋体" w:cs="宋体"/>
          <w:color w:val="auto"/>
          <w:kern w:val="0"/>
          <w:sz w:val="24"/>
          <w:szCs w:val="24"/>
          <w:highlight w:val="none"/>
          <w:lang w:val="en-US" w:eastAsia="zh-CN" w:bidi="ar"/>
        </w:rPr>
        <w:t>供应商名称：</w:t>
      </w:r>
      <w:r>
        <w:rPr>
          <w:rFonts w:hint="eastAsia" w:ascii="宋体" w:hAnsi="宋体" w:eastAsia="宋体" w:cs="宋体"/>
          <w:color w:val="auto"/>
          <w:kern w:val="0"/>
          <w:sz w:val="24"/>
          <w:szCs w:val="24"/>
          <w:highlight w:val="none"/>
          <w:u w:val="single"/>
          <w:lang w:val="en-US" w:eastAsia="zh-CN" w:bidi="ar"/>
        </w:rPr>
        <w:t xml:space="preserve">                               </w:t>
      </w:r>
    </w:p>
    <w:p>
      <w:pPr>
        <w:keepNext w:val="0"/>
        <w:keepLines w:val="0"/>
        <w:widowControl/>
        <w:suppressLineNumbers w:val="0"/>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单位性质： </w:t>
      </w:r>
      <w:r>
        <w:rPr>
          <w:rFonts w:hint="eastAsia" w:ascii="宋体" w:hAnsi="宋体" w:eastAsia="宋体" w:cs="宋体"/>
          <w:color w:val="auto"/>
          <w:kern w:val="0"/>
          <w:sz w:val="24"/>
          <w:szCs w:val="24"/>
          <w:highlight w:val="none"/>
          <w:u w:val="single"/>
          <w:lang w:val="en-US" w:eastAsia="zh-CN" w:bidi="ar"/>
        </w:rPr>
        <w:t xml:space="preserve">                               </w:t>
      </w:r>
    </w:p>
    <w:p>
      <w:pPr>
        <w:keepNext w:val="0"/>
        <w:keepLines w:val="0"/>
        <w:widowControl/>
        <w:suppressLineNumbers w:val="0"/>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地址：</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 </w:t>
      </w:r>
    </w:p>
    <w:p>
      <w:pPr>
        <w:keepNext w:val="0"/>
        <w:keepLines w:val="0"/>
        <w:widowControl/>
        <w:suppressLineNumbers w:val="0"/>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成立时间：</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 年 </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月 </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日 </w:t>
      </w:r>
    </w:p>
    <w:p>
      <w:pPr>
        <w:keepNext w:val="0"/>
        <w:keepLines w:val="0"/>
        <w:widowControl/>
        <w:suppressLineNumbers w:val="0"/>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经营期限： </w:t>
      </w:r>
      <w:r>
        <w:rPr>
          <w:rFonts w:hint="eastAsia" w:ascii="宋体" w:hAnsi="宋体" w:eastAsia="宋体" w:cs="宋体"/>
          <w:color w:val="auto"/>
          <w:kern w:val="0"/>
          <w:sz w:val="24"/>
          <w:szCs w:val="24"/>
          <w:highlight w:val="none"/>
          <w:u w:val="single"/>
          <w:lang w:val="en-US" w:eastAsia="zh-CN" w:bidi="ar"/>
        </w:rPr>
        <w:t xml:space="preserve">              </w:t>
      </w:r>
    </w:p>
    <w:p>
      <w:pPr>
        <w:keepNext w:val="0"/>
        <w:keepLines w:val="0"/>
        <w:widowControl/>
        <w:suppressLineNumbers w:val="0"/>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姓名：</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 性别：</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 年龄：</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 职务： </w:t>
      </w:r>
      <w:r>
        <w:rPr>
          <w:rFonts w:hint="eastAsia" w:ascii="宋体" w:hAnsi="宋体" w:eastAsia="宋体" w:cs="宋体"/>
          <w:color w:val="auto"/>
          <w:kern w:val="0"/>
          <w:sz w:val="24"/>
          <w:szCs w:val="24"/>
          <w:highlight w:val="none"/>
          <w:u w:val="single"/>
          <w:lang w:val="en-US" w:eastAsia="zh-CN" w:bidi="ar"/>
        </w:rPr>
        <w:t xml:space="preserve">         </w:t>
      </w:r>
    </w:p>
    <w:p>
      <w:pPr>
        <w:keepNext w:val="0"/>
        <w:keepLines w:val="0"/>
        <w:widowControl/>
        <w:suppressLineNumbers w:val="0"/>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身份证号码： </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系 </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（供应商名称）的法定代表人。 </w:t>
      </w:r>
    </w:p>
    <w:p>
      <w:pPr>
        <w:keepNext w:val="0"/>
        <w:keepLines w:val="0"/>
        <w:widowControl/>
        <w:suppressLineNumbers w:val="0"/>
        <w:spacing w:line="480" w:lineRule="auto"/>
        <w:ind w:firstLine="480" w:firstLineChars="200"/>
        <w:jc w:val="left"/>
        <w:rPr>
          <w:rFonts w:hint="eastAsia" w:ascii="宋体" w:hAnsi="宋体" w:eastAsia="宋体" w:cs="宋体"/>
          <w:color w:val="auto"/>
          <w:kern w:val="0"/>
          <w:sz w:val="24"/>
          <w:szCs w:val="24"/>
          <w:highlight w:val="none"/>
          <w:lang w:val="en-US" w:eastAsia="zh-CN" w:bidi="ar"/>
        </w:rPr>
      </w:pPr>
    </w:p>
    <w:p>
      <w:pPr>
        <w:keepNext w:val="0"/>
        <w:keepLines w:val="0"/>
        <w:widowControl/>
        <w:suppressLineNumbers w:val="0"/>
        <w:spacing w:line="48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特此证明。 </w:t>
      </w:r>
    </w:p>
    <w:p>
      <w:pPr>
        <w:keepNext w:val="0"/>
        <w:keepLines w:val="0"/>
        <w:widowControl/>
        <w:suppressLineNumbers w:val="0"/>
        <w:spacing w:line="480" w:lineRule="auto"/>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highlight w:val="none"/>
          <w:lang w:eastAsia="zh-CN"/>
        </w:rPr>
        <w:t>附：法定代表人身份证复印件</w:t>
      </w:r>
    </w:p>
    <w:p>
      <w:pPr>
        <w:keepNext w:val="0"/>
        <w:keepLines w:val="0"/>
        <w:widowControl/>
        <w:suppressLineNumbers w:val="0"/>
        <w:spacing w:line="480" w:lineRule="auto"/>
        <w:jc w:val="right"/>
        <w:rPr>
          <w:rFonts w:hint="eastAsia" w:ascii="宋体" w:hAnsi="宋体" w:eastAsia="宋体" w:cs="宋体"/>
          <w:color w:val="auto"/>
          <w:kern w:val="0"/>
          <w:sz w:val="24"/>
          <w:szCs w:val="24"/>
          <w:highlight w:val="none"/>
          <w:lang w:val="en-US" w:eastAsia="zh-CN" w:bidi="ar"/>
        </w:rPr>
      </w:pPr>
    </w:p>
    <w:p>
      <w:pPr>
        <w:keepNext w:val="0"/>
        <w:keepLines w:val="0"/>
        <w:widowControl/>
        <w:suppressLineNumbers w:val="0"/>
        <w:spacing w:line="480" w:lineRule="auto"/>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供应商： </w:t>
      </w:r>
      <w:r>
        <w:rPr>
          <w:rFonts w:hint="eastAsia" w:ascii="宋体" w:hAnsi="宋体" w:eastAsia="宋体" w:cs="宋体"/>
          <w:color w:val="auto"/>
          <w:sz w:val="24"/>
          <w:szCs w:val="24"/>
          <w:highlight w:val="none"/>
          <w:u w:val="single"/>
        </w:rPr>
        <w:t>         </w:t>
      </w:r>
      <w:r>
        <w:rPr>
          <w:rFonts w:hint="eastAsia" w:ascii="宋体" w:hAnsi="宋体" w:eastAsia="宋体" w:cs="宋体"/>
          <w:color w:val="auto"/>
          <w:kern w:val="0"/>
          <w:sz w:val="24"/>
          <w:szCs w:val="24"/>
          <w:highlight w:val="none"/>
          <w:lang w:val="en-US" w:eastAsia="zh-CN" w:bidi="ar"/>
        </w:rPr>
        <w:t xml:space="preserve">（盖单位公章） </w:t>
      </w:r>
    </w:p>
    <w:p>
      <w:pPr>
        <w:widowControl/>
        <w:spacing w:line="360" w:lineRule="auto"/>
        <w:ind w:firstLine="4142" w:firstLineChars="17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pPr>
        <w:jc w:val="both"/>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br w:type="page"/>
      </w:r>
    </w:p>
    <w:p>
      <w:pPr>
        <w:pStyle w:val="4"/>
        <w:bidi w:val="0"/>
        <w:jc w:val="center"/>
        <w:rPr>
          <w:rFonts w:hint="eastAsia" w:ascii="宋体" w:hAnsi="宋体" w:eastAsia="宋体" w:cs="宋体"/>
          <w:bCs/>
          <w:color w:val="auto"/>
          <w:sz w:val="24"/>
          <w:szCs w:val="24"/>
          <w:highlight w:val="none"/>
          <w:lang w:eastAsia="zh-CN"/>
        </w:rPr>
      </w:pPr>
      <w:bookmarkStart w:id="174" w:name="_Toc29335"/>
      <w:r>
        <w:rPr>
          <w:rFonts w:hint="eastAsia" w:ascii="宋体" w:hAnsi="宋体" w:eastAsia="宋体" w:cs="宋体"/>
          <w:bCs/>
          <w:color w:val="auto"/>
          <w:sz w:val="24"/>
          <w:szCs w:val="24"/>
          <w:highlight w:val="none"/>
          <w:lang w:eastAsia="zh-CN"/>
        </w:rPr>
        <w:t>二、</w:t>
      </w:r>
      <w:r>
        <w:rPr>
          <w:rFonts w:hint="eastAsia" w:ascii="宋体" w:hAnsi="宋体" w:eastAsia="宋体" w:cs="宋体"/>
          <w:color w:val="auto"/>
          <w:highlight w:val="none"/>
        </w:rPr>
        <w:t>法定代表人授权书（实质性要求）</w:t>
      </w:r>
      <w:bookmarkEnd w:id="174"/>
    </w:p>
    <w:p>
      <w:pPr>
        <w:widowControl/>
        <w:spacing w:line="360" w:lineRule="auto"/>
        <w:ind w:firstLine="480"/>
        <w:rPr>
          <w:rFonts w:hint="eastAsia" w:ascii="宋体" w:hAnsi="宋体" w:eastAsia="宋体" w:cs="宋体"/>
          <w:color w:val="auto"/>
          <w:sz w:val="24"/>
          <w:szCs w:val="24"/>
          <w:highlight w:val="none"/>
          <w:u w:val="single"/>
        </w:rPr>
      </w:pPr>
      <w:bookmarkStart w:id="175" w:name="_Toc485828487"/>
    </w:p>
    <w:p>
      <w:pPr>
        <w:widowControl/>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w:t>
      </w:r>
      <w:bookmarkStart w:id="176" w:name="_Toc503794751"/>
      <w:r>
        <w:rPr>
          <w:rFonts w:hint="eastAsia" w:ascii="宋体" w:hAnsi="宋体" w:eastAsia="宋体" w:cs="宋体"/>
          <w:color w:val="auto"/>
          <w:sz w:val="24"/>
          <w:szCs w:val="24"/>
          <w:highlight w:val="none"/>
        </w:rPr>
        <w:t>（采购代理机构名称）：</w:t>
      </w:r>
      <w:bookmarkEnd w:id="175"/>
      <w:bookmarkEnd w:id="176"/>
    </w:p>
    <w:p>
      <w:pPr>
        <w:widowControl/>
        <w:spacing w:line="360" w:lineRule="auto"/>
        <w:ind w:firstLine="480"/>
        <w:rPr>
          <w:rFonts w:hint="eastAsia" w:ascii="宋体" w:hAnsi="宋体" w:eastAsia="宋体" w:cs="宋体"/>
          <w:color w:val="auto"/>
          <w:sz w:val="24"/>
          <w:szCs w:val="24"/>
          <w:highlight w:val="none"/>
        </w:rPr>
      </w:pPr>
      <w:bookmarkStart w:id="177" w:name="_Toc485828488"/>
      <w:bookmarkStart w:id="178" w:name="_Toc503794752"/>
      <w:r>
        <w:rPr>
          <w:rFonts w:hint="eastAsia" w:ascii="宋体" w:hAnsi="宋体" w:eastAsia="宋体" w:cs="宋体"/>
          <w:color w:val="auto"/>
          <w:sz w:val="24"/>
          <w:szCs w:val="24"/>
          <w:highlight w:val="none"/>
        </w:rPr>
        <w:t>本授权声明：</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（供应商名称）（法定代表人姓名、职务）</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授权（被授权人姓名、职务）</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为我方“</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”项目（项目编号：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）磋商活动的合法代表，以我方名义全权处理该项目有关磋商、签订合同以及执行合同等一切事宜。</w:t>
      </w:r>
      <w:bookmarkEnd w:id="177"/>
      <w:bookmarkEnd w:id="178"/>
    </w:p>
    <w:p>
      <w:pPr>
        <w:widowControl/>
        <w:spacing w:line="360" w:lineRule="auto"/>
        <w:ind w:firstLine="480"/>
        <w:rPr>
          <w:rFonts w:hint="eastAsia" w:ascii="宋体" w:hAnsi="宋体" w:eastAsia="宋体" w:cs="宋体"/>
          <w:color w:val="auto"/>
          <w:sz w:val="24"/>
          <w:szCs w:val="24"/>
          <w:highlight w:val="none"/>
        </w:rPr>
      </w:pPr>
      <w:bookmarkStart w:id="179" w:name="_Toc485828489"/>
      <w:bookmarkStart w:id="180" w:name="_Toc503794753"/>
      <w:r>
        <w:rPr>
          <w:rFonts w:hint="eastAsia" w:ascii="宋体" w:hAnsi="宋体" w:eastAsia="宋体" w:cs="宋体"/>
          <w:color w:val="auto"/>
          <w:sz w:val="24"/>
          <w:szCs w:val="24"/>
          <w:highlight w:val="none"/>
        </w:rPr>
        <w:t>特此声明。</w:t>
      </w:r>
      <w:bookmarkEnd w:id="179"/>
      <w:bookmarkEnd w:id="180"/>
    </w:p>
    <w:p>
      <w:pPr>
        <w:widowControl/>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附：法定代表人身份证件复印件、被授权人身份证件复印件</w:t>
      </w:r>
    </w:p>
    <w:p>
      <w:pPr>
        <w:widowControl/>
        <w:spacing w:line="360" w:lineRule="auto"/>
        <w:ind w:firstLine="480"/>
        <w:rPr>
          <w:rFonts w:hint="eastAsia" w:ascii="宋体" w:hAnsi="宋体" w:eastAsia="宋体" w:cs="宋体"/>
          <w:color w:val="auto"/>
          <w:sz w:val="24"/>
          <w:szCs w:val="24"/>
          <w:highlight w:val="none"/>
        </w:rPr>
      </w:pPr>
    </w:p>
    <w:p>
      <w:pPr>
        <w:widowControl/>
        <w:spacing w:line="360" w:lineRule="auto"/>
        <w:ind w:firstLine="480"/>
        <w:rPr>
          <w:rFonts w:hint="eastAsia" w:ascii="宋体" w:hAnsi="宋体" w:eastAsia="宋体" w:cs="宋体"/>
          <w:color w:val="auto"/>
          <w:sz w:val="24"/>
          <w:szCs w:val="24"/>
          <w:highlight w:val="none"/>
        </w:rPr>
      </w:pPr>
      <w:bookmarkStart w:id="181" w:name="_Toc503794754"/>
      <w:bookmarkStart w:id="182" w:name="_Toc485828490"/>
      <w:r>
        <w:rPr>
          <w:rFonts w:hint="eastAsia" w:ascii="宋体" w:hAnsi="宋体" w:eastAsia="宋体" w:cs="宋体"/>
          <w:color w:val="auto"/>
          <w:sz w:val="24"/>
          <w:szCs w:val="24"/>
          <w:highlight w:val="none"/>
        </w:rPr>
        <w:t>法定代表人签字或者加盖个人名章：</w:t>
      </w:r>
      <w:bookmarkEnd w:id="181"/>
      <w:bookmarkEnd w:id="182"/>
      <w:r>
        <w:rPr>
          <w:rFonts w:hint="eastAsia" w:ascii="宋体" w:hAnsi="宋体" w:eastAsia="宋体" w:cs="宋体"/>
          <w:color w:val="auto"/>
          <w:sz w:val="24"/>
          <w:szCs w:val="24"/>
          <w:highlight w:val="none"/>
          <w:u w:val="single"/>
        </w:rPr>
        <w:t>         </w:t>
      </w:r>
    </w:p>
    <w:p>
      <w:pPr>
        <w:widowControl/>
        <w:spacing w:line="360" w:lineRule="auto"/>
        <w:ind w:firstLine="480"/>
        <w:rPr>
          <w:rFonts w:hint="eastAsia" w:ascii="宋体" w:hAnsi="宋体" w:eastAsia="宋体" w:cs="宋体"/>
          <w:color w:val="auto"/>
          <w:sz w:val="24"/>
          <w:szCs w:val="24"/>
          <w:highlight w:val="none"/>
        </w:rPr>
      </w:pPr>
      <w:bookmarkStart w:id="183" w:name="_Toc485828491"/>
      <w:bookmarkStart w:id="184" w:name="_Toc503794755"/>
      <w:r>
        <w:rPr>
          <w:rFonts w:hint="eastAsia" w:ascii="宋体" w:hAnsi="宋体" w:eastAsia="宋体" w:cs="宋体"/>
          <w:color w:val="auto"/>
          <w:sz w:val="24"/>
          <w:szCs w:val="24"/>
          <w:highlight w:val="none"/>
        </w:rPr>
        <w:t>授权代表签字：</w:t>
      </w:r>
      <w:bookmarkEnd w:id="183"/>
      <w:bookmarkEnd w:id="184"/>
      <w:r>
        <w:rPr>
          <w:rFonts w:hint="eastAsia" w:ascii="宋体" w:hAnsi="宋体" w:eastAsia="宋体" w:cs="宋体"/>
          <w:color w:val="auto"/>
          <w:sz w:val="24"/>
          <w:szCs w:val="24"/>
          <w:highlight w:val="none"/>
          <w:u w:val="single"/>
        </w:rPr>
        <w:t>             </w:t>
      </w:r>
    </w:p>
    <w:p>
      <w:pPr>
        <w:widowControl/>
        <w:spacing w:line="360" w:lineRule="auto"/>
        <w:ind w:firstLine="480"/>
        <w:rPr>
          <w:rFonts w:hint="eastAsia" w:ascii="宋体" w:hAnsi="宋体" w:eastAsia="宋体" w:cs="宋体"/>
          <w:color w:val="auto"/>
          <w:sz w:val="24"/>
          <w:szCs w:val="24"/>
          <w:highlight w:val="none"/>
        </w:rPr>
      </w:pPr>
      <w:bookmarkStart w:id="185" w:name="_Toc503794756"/>
      <w:bookmarkStart w:id="186" w:name="_Toc485828492"/>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（单位盖章）</w:t>
      </w:r>
      <w:bookmarkEnd w:id="185"/>
      <w:bookmarkEnd w:id="186"/>
    </w:p>
    <w:p>
      <w:pPr>
        <w:widowControl/>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pPr>
        <w:widowControl/>
        <w:spacing w:line="360" w:lineRule="auto"/>
        <w:ind w:firstLine="480"/>
        <w:rPr>
          <w:rFonts w:hint="eastAsia" w:ascii="宋体" w:hAnsi="宋体" w:eastAsia="宋体" w:cs="宋体"/>
          <w:color w:val="auto"/>
          <w:sz w:val="24"/>
          <w:szCs w:val="24"/>
          <w:highlight w:val="none"/>
        </w:rPr>
      </w:pPr>
    </w:p>
    <w:p>
      <w:pPr>
        <w:widowControl/>
        <w:spacing w:line="360" w:lineRule="auto"/>
        <w:ind w:firstLine="480"/>
        <w:rPr>
          <w:rFonts w:hint="eastAsia" w:ascii="宋体" w:hAnsi="宋体" w:eastAsia="宋体" w:cs="宋体"/>
          <w:color w:val="auto"/>
          <w:sz w:val="24"/>
          <w:szCs w:val="24"/>
          <w:highlight w:val="none"/>
        </w:rPr>
      </w:pPr>
    </w:p>
    <w:p>
      <w:pPr>
        <w:widowControl/>
        <w:spacing w:line="360" w:lineRule="auto"/>
        <w:ind w:firstLine="480"/>
        <w:rPr>
          <w:rFonts w:hint="eastAsia" w:ascii="宋体" w:hAnsi="宋体" w:eastAsia="宋体" w:cs="宋体"/>
          <w:color w:val="auto"/>
          <w:sz w:val="24"/>
          <w:szCs w:val="24"/>
          <w:highlight w:val="none"/>
        </w:rPr>
      </w:pPr>
    </w:p>
    <w:p>
      <w:pPr>
        <w:widowControl/>
        <w:spacing w:line="360" w:lineRule="auto"/>
        <w:ind w:firstLine="480"/>
        <w:rPr>
          <w:rFonts w:hint="eastAsia" w:ascii="宋体" w:hAnsi="宋体" w:eastAsia="宋体" w:cs="宋体"/>
          <w:bCs/>
          <w:color w:val="auto"/>
          <w:sz w:val="24"/>
          <w:szCs w:val="24"/>
          <w:highlight w:val="none"/>
        </w:rPr>
      </w:pPr>
    </w:p>
    <w:p>
      <w:pPr>
        <w:widowControl/>
        <w:spacing w:line="360" w:lineRule="auto"/>
        <w:ind w:firstLine="480"/>
        <w:rPr>
          <w:rFonts w:hint="eastAsia" w:ascii="宋体" w:hAnsi="宋体" w:eastAsia="宋体" w:cs="宋体"/>
          <w:color w:val="auto"/>
          <w:sz w:val="24"/>
          <w:szCs w:val="24"/>
          <w:highlight w:val="none"/>
        </w:rPr>
      </w:pPr>
    </w:p>
    <w:p>
      <w:pPr>
        <w:widowControl/>
        <w:spacing w:line="360" w:lineRule="auto"/>
        <w:ind w:firstLine="480"/>
        <w:rPr>
          <w:rFonts w:hint="eastAsia" w:ascii="宋体" w:hAnsi="宋体" w:eastAsia="宋体" w:cs="宋体"/>
          <w:color w:val="auto"/>
          <w:sz w:val="24"/>
          <w:szCs w:val="24"/>
          <w:highlight w:val="none"/>
        </w:rPr>
      </w:pPr>
    </w:p>
    <w:p>
      <w:pPr>
        <w:widowControl/>
        <w:spacing w:line="360" w:lineRule="auto"/>
        <w:ind w:firstLine="480"/>
        <w:rPr>
          <w:rFonts w:hint="eastAsia" w:ascii="宋体" w:hAnsi="宋体" w:eastAsia="宋体" w:cs="宋体"/>
          <w:color w:val="auto"/>
          <w:sz w:val="24"/>
          <w:szCs w:val="24"/>
          <w:highlight w:val="none"/>
        </w:rPr>
      </w:pPr>
    </w:p>
    <w:p>
      <w:pPr>
        <w:widowControl/>
        <w:ind w:firstLine="480"/>
        <w:rPr>
          <w:rFonts w:hint="eastAsia" w:ascii="宋体" w:hAnsi="宋体" w:eastAsia="宋体" w:cs="宋体"/>
          <w:bCs/>
          <w:color w:val="auto"/>
          <w:sz w:val="24"/>
          <w:szCs w:val="24"/>
          <w:highlight w:val="none"/>
        </w:rPr>
      </w:pPr>
    </w:p>
    <w:p>
      <w:pPr>
        <w:widowControl/>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br w:type="page"/>
      </w:r>
    </w:p>
    <w:p>
      <w:pPr>
        <w:pStyle w:val="26"/>
        <w:spacing w:before="156" w:after="156"/>
        <w:jc w:val="center"/>
        <w:rPr>
          <w:rFonts w:hint="eastAsia" w:ascii="宋体" w:hAnsi="宋体" w:eastAsia="宋体" w:cs="宋体"/>
          <w:color w:val="auto"/>
          <w:sz w:val="24"/>
          <w:szCs w:val="24"/>
          <w:highlight w:val="none"/>
        </w:rPr>
      </w:pPr>
      <w:bookmarkStart w:id="187" w:name="_Toc485828477"/>
      <w:bookmarkStart w:id="188" w:name="_Toc18483"/>
      <w:bookmarkStart w:id="189" w:name="_Toc30350"/>
      <w:bookmarkStart w:id="190" w:name="_Toc12285"/>
      <w:r>
        <w:rPr>
          <w:rFonts w:hint="eastAsia" w:ascii="宋体" w:hAnsi="宋体" w:cs="宋体"/>
          <w:color w:val="auto"/>
          <w:highlight w:val="none"/>
          <w:lang w:val="en-US" w:eastAsia="zh-CN"/>
        </w:rPr>
        <w:t>三</w:t>
      </w:r>
      <w:r>
        <w:rPr>
          <w:rFonts w:hint="eastAsia" w:ascii="宋体" w:hAnsi="宋体" w:eastAsia="宋体" w:cs="宋体"/>
          <w:color w:val="auto"/>
          <w:highlight w:val="none"/>
        </w:rPr>
        <w:t>、供应商应当提供的其他资格、资质性及其他类似效力</w:t>
      </w:r>
      <w:bookmarkEnd w:id="187"/>
      <w:bookmarkStart w:id="191" w:name="_Toc503794757"/>
      <w:bookmarkStart w:id="192" w:name="_Toc485828478"/>
      <w:r>
        <w:rPr>
          <w:rFonts w:hint="eastAsia" w:ascii="宋体" w:hAnsi="宋体" w:eastAsia="宋体" w:cs="宋体"/>
          <w:color w:val="auto"/>
          <w:highlight w:val="none"/>
        </w:rPr>
        <w:t>要求的相关证明材料</w:t>
      </w:r>
      <w:bookmarkEnd w:id="188"/>
      <w:bookmarkEnd w:id="189"/>
      <w:bookmarkEnd w:id="190"/>
      <w:bookmarkEnd w:id="191"/>
      <w:bookmarkEnd w:id="192"/>
    </w:p>
    <w:p>
      <w:pPr>
        <w:widowControl/>
        <w:ind w:firstLine="480"/>
        <w:rPr>
          <w:rFonts w:hint="eastAsia" w:ascii="宋体" w:hAnsi="宋体" w:eastAsia="宋体" w:cs="宋体"/>
          <w:color w:val="auto"/>
          <w:sz w:val="24"/>
          <w:szCs w:val="24"/>
          <w:highlight w:val="none"/>
        </w:rPr>
      </w:pPr>
    </w:p>
    <w:p>
      <w:pPr>
        <w:widowControl/>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供应商应根据本项目竞争性磋商文件第四章的要求提供的其他相关证明材料，格式自拟。</w:t>
      </w:r>
    </w:p>
    <w:p>
      <w:pPr>
        <w:widowControl/>
        <w:spacing w:line="360" w:lineRule="auto"/>
        <w:ind w:firstLine="480"/>
        <w:rPr>
          <w:rFonts w:hint="eastAsia" w:ascii="宋体" w:hAnsi="宋体" w:eastAsia="宋体" w:cs="宋体"/>
          <w:color w:val="auto"/>
          <w:sz w:val="24"/>
          <w:szCs w:val="24"/>
          <w:highlight w:val="none"/>
        </w:rPr>
      </w:pPr>
    </w:p>
    <w:p>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pPr>
        <w:pStyle w:val="4"/>
        <w:bidi w:val="0"/>
        <w:jc w:val="center"/>
        <w:rPr>
          <w:rFonts w:hint="eastAsia" w:ascii="宋体" w:hAnsi="宋体" w:eastAsia="宋体" w:cs="宋体"/>
          <w:color w:val="auto"/>
          <w:highlight w:val="none"/>
          <w:lang w:eastAsia="zh-CN"/>
        </w:rPr>
      </w:pPr>
      <w:bookmarkStart w:id="193" w:name="_Toc31055"/>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lang w:eastAsia="zh-CN"/>
        </w:rPr>
        <w:t>、相关文书格式</w:t>
      </w:r>
      <w:bookmarkEnd w:id="193"/>
    </w:p>
    <w:p>
      <w:pPr>
        <w:jc w:val="left"/>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格式一：</w:t>
      </w:r>
    </w:p>
    <w:p>
      <w:pPr>
        <w:keepNext w:val="0"/>
        <w:keepLines w:val="0"/>
        <w:widowControl/>
        <w:suppressLineNumbers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en-US" w:eastAsia="zh-CN" w:bidi="ar"/>
        </w:rPr>
        <w:t>中小企业声明函（</w:t>
      </w:r>
      <w:r>
        <w:rPr>
          <w:rFonts w:hint="eastAsia" w:ascii="宋体" w:hAnsi="宋体" w:cs="宋体"/>
          <w:b/>
          <w:color w:val="auto"/>
          <w:kern w:val="0"/>
          <w:sz w:val="24"/>
          <w:szCs w:val="24"/>
          <w:highlight w:val="none"/>
          <w:lang w:val="en-US" w:eastAsia="zh-CN" w:bidi="ar"/>
        </w:rPr>
        <w:t>服务</w:t>
      </w:r>
      <w:r>
        <w:rPr>
          <w:rFonts w:hint="eastAsia" w:ascii="宋体" w:hAnsi="宋体" w:eastAsia="宋体" w:cs="宋体"/>
          <w:b/>
          <w:color w:val="auto"/>
          <w:kern w:val="0"/>
          <w:sz w:val="24"/>
          <w:szCs w:val="24"/>
          <w:highlight w:val="none"/>
          <w:lang w:val="en-US" w:eastAsia="zh-CN" w:bidi="ar"/>
        </w:rPr>
        <w:t>类）</w:t>
      </w:r>
    </w:p>
    <w:p>
      <w:pPr>
        <w:pStyle w:val="2"/>
        <w:spacing w:line="360" w:lineRule="auto"/>
        <w:jc w:val="both"/>
        <w:rPr>
          <w:rFonts w:hint="eastAsia" w:ascii="宋体" w:hAnsi="宋体" w:eastAsia="宋体" w:cs="宋体"/>
          <w:color w:val="auto"/>
          <w:sz w:val="24"/>
          <w:szCs w:val="24"/>
          <w:highlight w:val="none"/>
          <w:lang w:eastAsia="zh-CN"/>
        </w:rPr>
      </w:pPr>
    </w:p>
    <w:p>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本公司（联合体）郑重声明，根据《政府采购促进中小企业发展管理办法》（财库【2020】46 号）的规定，本公司（联合体）参加</w:t>
      </w:r>
      <w:r>
        <w:rPr>
          <w:rFonts w:hint="eastAsia" w:ascii="宋体" w:hAnsi="宋体" w:eastAsia="宋体" w:cs="宋体"/>
          <w:color w:val="auto"/>
          <w:kern w:val="0"/>
          <w:sz w:val="24"/>
          <w:szCs w:val="24"/>
          <w:highlight w:val="none"/>
          <w:u w:val="single"/>
          <w:lang w:val="en-US" w:eastAsia="zh-CN" w:bidi="ar"/>
        </w:rPr>
        <w:t>（单位名称）</w:t>
      </w:r>
      <w:r>
        <w:rPr>
          <w:rFonts w:hint="eastAsia" w:ascii="宋体" w:hAnsi="宋体" w:eastAsia="宋体" w:cs="宋体"/>
          <w:color w:val="auto"/>
          <w:kern w:val="0"/>
          <w:sz w:val="24"/>
          <w:szCs w:val="24"/>
          <w:highlight w:val="none"/>
          <w:lang w:val="en-US" w:eastAsia="zh-CN" w:bidi="ar"/>
        </w:rPr>
        <w:t>的</w:t>
      </w:r>
      <w:r>
        <w:rPr>
          <w:rFonts w:hint="eastAsia" w:ascii="宋体" w:hAnsi="宋体" w:eastAsia="宋体" w:cs="宋体"/>
          <w:color w:val="auto"/>
          <w:kern w:val="0"/>
          <w:sz w:val="24"/>
          <w:szCs w:val="24"/>
          <w:highlight w:val="none"/>
          <w:u w:val="single"/>
          <w:lang w:val="en-US" w:eastAsia="zh-CN" w:bidi="ar"/>
        </w:rPr>
        <w:t>（项目名称）</w:t>
      </w:r>
      <w:r>
        <w:rPr>
          <w:rFonts w:hint="eastAsia" w:ascii="宋体" w:hAnsi="宋体" w:eastAsia="宋体" w:cs="宋体"/>
          <w:color w:val="auto"/>
          <w:kern w:val="0"/>
          <w:sz w:val="24"/>
          <w:szCs w:val="24"/>
          <w:highlight w:val="none"/>
          <w:lang w:val="en-US" w:eastAsia="zh-CN" w:bidi="ar"/>
        </w:rPr>
        <w:t>采购活动，提供的</w:t>
      </w:r>
      <w:r>
        <w:rPr>
          <w:rFonts w:hint="eastAsia" w:ascii="宋体" w:hAnsi="宋体" w:cs="宋体"/>
          <w:color w:val="auto"/>
          <w:kern w:val="0"/>
          <w:sz w:val="24"/>
          <w:szCs w:val="24"/>
          <w:highlight w:val="none"/>
          <w:lang w:val="en-US" w:eastAsia="zh-CN" w:bidi="ar"/>
        </w:rPr>
        <w:t>服务</w:t>
      </w:r>
      <w:r>
        <w:rPr>
          <w:rFonts w:hint="eastAsia" w:ascii="宋体" w:hAnsi="宋体" w:eastAsia="宋体" w:cs="宋体"/>
          <w:color w:val="auto"/>
          <w:kern w:val="0"/>
          <w:sz w:val="24"/>
          <w:szCs w:val="24"/>
          <w:highlight w:val="none"/>
          <w:lang w:val="en-US" w:eastAsia="zh-CN" w:bidi="ar"/>
        </w:rPr>
        <w:t>全部由符合政策要求的中小企业</w:t>
      </w:r>
      <w:r>
        <w:rPr>
          <w:rFonts w:hint="eastAsia" w:ascii="宋体" w:hAnsi="宋体" w:cs="宋体"/>
          <w:color w:val="auto"/>
          <w:kern w:val="0"/>
          <w:sz w:val="24"/>
          <w:szCs w:val="24"/>
          <w:highlight w:val="none"/>
          <w:lang w:val="en-US" w:eastAsia="zh-CN" w:bidi="ar"/>
        </w:rPr>
        <w:t>承接</w:t>
      </w:r>
      <w:r>
        <w:rPr>
          <w:rFonts w:hint="eastAsia" w:ascii="宋体" w:hAnsi="宋体" w:eastAsia="宋体" w:cs="宋体"/>
          <w:color w:val="auto"/>
          <w:kern w:val="0"/>
          <w:sz w:val="24"/>
          <w:szCs w:val="24"/>
          <w:highlight w:val="none"/>
          <w:lang w:val="en-US" w:eastAsia="zh-CN" w:bidi="ar"/>
        </w:rPr>
        <w:t xml:space="preserve">。相关企业（含联合体中的中 小企业、签订分包意向协议的中小企业）的具体情况如下： </w:t>
      </w:r>
    </w:p>
    <w:p>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u w:val="single"/>
          <w:lang w:val="en-US" w:eastAsia="zh-CN" w:bidi="ar"/>
        </w:rPr>
        <w:t>（标的名称）</w:t>
      </w:r>
      <w:r>
        <w:rPr>
          <w:rFonts w:hint="eastAsia" w:ascii="宋体" w:hAnsi="宋体" w:eastAsia="宋体" w:cs="宋体"/>
          <w:color w:val="auto"/>
          <w:kern w:val="0"/>
          <w:sz w:val="24"/>
          <w:szCs w:val="24"/>
          <w:highlight w:val="none"/>
          <w:lang w:val="en-US" w:eastAsia="zh-CN" w:bidi="ar"/>
        </w:rPr>
        <w:t>，属于</w:t>
      </w:r>
      <w:r>
        <w:rPr>
          <w:rFonts w:hint="eastAsia" w:ascii="宋体" w:hAnsi="宋体" w:eastAsia="宋体" w:cs="宋体"/>
          <w:color w:val="auto"/>
          <w:kern w:val="0"/>
          <w:sz w:val="24"/>
          <w:szCs w:val="24"/>
          <w:highlight w:val="none"/>
          <w:u w:val="single"/>
          <w:lang w:val="en-US" w:eastAsia="zh-CN" w:bidi="ar"/>
        </w:rPr>
        <w:t>（</w:t>
      </w:r>
      <w:r>
        <w:rPr>
          <w:rFonts w:hint="eastAsia" w:ascii="宋体" w:hAnsi="宋体" w:cs="宋体"/>
          <w:color w:val="auto"/>
          <w:kern w:val="0"/>
          <w:sz w:val="24"/>
          <w:szCs w:val="24"/>
          <w:highlight w:val="none"/>
          <w:u w:val="single"/>
          <w:lang w:val="en-US" w:eastAsia="zh-CN" w:bidi="ar"/>
        </w:rPr>
        <w:t>采购文件中明确的</w:t>
      </w:r>
      <w:r>
        <w:rPr>
          <w:rFonts w:hint="eastAsia" w:ascii="宋体" w:hAnsi="宋体" w:eastAsia="宋体" w:cs="宋体"/>
          <w:color w:val="auto"/>
          <w:kern w:val="0"/>
          <w:sz w:val="24"/>
          <w:szCs w:val="24"/>
          <w:highlight w:val="none"/>
          <w:u w:val="single"/>
          <w:lang w:val="en-US" w:eastAsia="zh-CN" w:bidi="ar"/>
        </w:rPr>
        <w:t>所属行业）</w:t>
      </w:r>
      <w:r>
        <w:rPr>
          <w:rFonts w:hint="eastAsia" w:ascii="宋体" w:hAnsi="宋体" w:eastAsia="宋体" w:cs="宋体"/>
          <w:color w:val="auto"/>
          <w:kern w:val="0"/>
          <w:sz w:val="24"/>
          <w:szCs w:val="24"/>
          <w:highlight w:val="none"/>
          <w:lang w:val="en-US" w:eastAsia="zh-CN" w:bidi="ar"/>
        </w:rPr>
        <w:t>行业；</w:t>
      </w:r>
      <w:r>
        <w:rPr>
          <w:rFonts w:hint="eastAsia" w:ascii="宋体" w:hAnsi="宋体" w:cs="宋体"/>
          <w:color w:val="auto"/>
          <w:kern w:val="0"/>
          <w:sz w:val="24"/>
          <w:szCs w:val="24"/>
          <w:highlight w:val="none"/>
          <w:lang w:val="en-US" w:eastAsia="zh-CN" w:bidi="ar"/>
        </w:rPr>
        <w:t>承接企业</w:t>
      </w:r>
      <w:r>
        <w:rPr>
          <w:rFonts w:hint="eastAsia" w:ascii="宋体" w:hAnsi="宋体" w:eastAsia="宋体" w:cs="宋体"/>
          <w:color w:val="auto"/>
          <w:kern w:val="0"/>
          <w:sz w:val="24"/>
          <w:szCs w:val="24"/>
          <w:highlight w:val="none"/>
          <w:lang w:val="en-US" w:eastAsia="zh-CN" w:bidi="ar"/>
        </w:rPr>
        <w:t>为</w:t>
      </w:r>
      <w:r>
        <w:rPr>
          <w:rFonts w:hint="eastAsia" w:ascii="宋体" w:hAnsi="宋体" w:eastAsia="宋体" w:cs="宋体"/>
          <w:color w:val="auto"/>
          <w:kern w:val="0"/>
          <w:sz w:val="24"/>
          <w:szCs w:val="24"/>
          <w:highlight w:val="none"/>
          <w:u w:val="single"/>
          <w:lang w:val="en-US" w:eastAsia="zh-CN" w:bidi="ar"/>
        </w:rPr>
        <w:t>（企业名称）</w:t>
      </w:r>
      <w:r>
        <w:rPr>
          <w:rFonts w:hint="eastAsia" w:ascii="宋体" w:hAnsi="宋体" w:eastAsia="宋体" w:cs="宋体"/>
          <w:color w:val="auto"/>
          <w:kern w:val="0"/>
          <w:sz w:val="24"/>
          <w:szCs w:val="24"/>
          <w:highlight w:val="none"/>
          <w:lang w:val="en-US" w:eastAsia="zh-CN" w:bidi="ar"/>
        </w:rPr>
        <w:t>，从业人员</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人，营业收入为</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 万元，资产总额为</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万元，属于</w:t>
      </w:r>
      <w:r>
        <w:rPr>
          <w:rFonts w:hint="eastAsia" w:ascii="宋体" w:hAnsi="宋体" w:eastAsia="宋体" w:cs="宋体"/>
          <w:color w:val="auto"/>
          <w:kern w:val="0"/>
          <w:sz w:val="24"/>
          <w:szCs w:val="24"/>
          <w:highlight w:val="none"/>
          <w:u w:val="single"/>
          <w:lang w:val="en-US" w:eastAsia="zh-CN" w:bidi="ar"/>
        </w:rPr>
        <w:t>（中型企业、小型企业、微型企业）</w:t>
      </w:r>
      <w:r>
        <w:rPr>
          <w:rFonts w:hint="eastAsia" w:ascii="宋体" w:hAnsi="宋体" w:eastAsia="宋体" w:cs="宋体"/>
          <w:color w:val="auto"/>
          <w:kern w:val="0"/>
          <w:sz w:val="24"/>
          <w:szCs w:val="24"/>
          <w:highlight w:val="none"/>
          <w:lang w:val="en-US" w:eastAsia="zh-CN" w:bidi="ar"/>
        </w:rPr>
        <w:t xml:space="preserve">； </w:t>
      </w:r>
    </w:p>
    <w:p>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u w:val="single"/>
          <w:lang w:val="en-US" w:eastAsia="zh-CN" w:bidi="ar"/>
        </w:rPr>
        <w:t>（标的名称）</w:t>
      </w:r>
      <w:r>
        <w:rPr>
          <w:rFonts w:hint="eastAsia" w:ascii="宋体" w:hAnsi="宋体" w:eastAsia="宋体" w:cs="宋体"/>
          <w:color w:val="auto"/>
          <w:kern w:val="0"/>
          <w:sz w:val="24"/>
          <w:szCs w:val="24"/>
          <w:highlight w:val="none"/>
          <w:lang w:val="en-US" w:eastAsia="zh-CN" w:bidi="ar"/>
        </w:rPr>
        <w:t>，属于</w:t>
      </w:r>
      <w:r>
        <w:rPr>
          <w:rFonts w:hint="eastAsia" w:ascii="宋体" w:hAnsi="宋体" w:eastAsia="宋体" w:cs="宋体"/>
          <w:color w:val="auto"/>
          <w:kern w:val="0"/>
          <w:sz w:val="24"/>
          <w:szCs w:val="24"/>
          <w:highlight w:val="none"/>
          <w:u w:val="single"/>
          <w:lang w:val="en-US" w:eastAsia="zh-CN" w:bidi="ar"/>
        </w:rPr>
        <w:t>（</w:t>
      </w:r>
      <w:r>
        <w:rPr>
          <w:rFonts w:hint="eastAsia" w:ascii="宋体" w:hAnsi="宋体" w:cs="宋体"/>
          <w:color w:val="auto"/>
          <w:kern w:val="0"/>
          <w:sz w:val="24"/>
          <w:szCs w:val="24"/>
          <w:highlight w:val="none"/>
          <w:u w:val="single"/>
          <w:lang w:val="en-US" w:eastAsia="zh-CN" w:bidi="ar"/>
        </w:rPr>
        <w:t>采购文件中明确的</w:t>
      </w:r>
      <w:r>
        <w:rPr>
          <w:rFonts w:hint="eastAsia" w:ascii="宋体" w:hAnsi="宋体" w:eastAsia="宋体" w:cs="宋体"/>
          <w:color w:val="auto"/>
          <w:kern w:val="0"/>
          <w:sz w:val="24"/>
          <w:szCs w:val="24"/>
          <w:highlight w:val="none"/>
          <w:u w:val="single"/>
          <w:lang w:val="en-US" w:eastAsia="zh-CN" w:bidi="ar"/>
        </w:rPr>
        <w:t>所属行业）</w:t>
      </w:r>
      <w:r>
        <w:rPr>
          <w:rFonts w:hint="eastAsia" w:ascii="宋体" w:hAnsi="宋体" w:eastAsia="宋体" w:cs="宋体"/>
          <w:color w:val="auto"/>
          <w:kern w:val="0"/>
          <w:sz w:val="24"/>
          <w:szCs w:val="24"/>
          <w:highlight w:val="none"/>
          <w:lang w:val="en-US" w:eastAsia="zh-CN" w:bidi="ar"/>
        </w:rPr>
        <w:t>行业；</w:t>
      </w:r>
      <w:r>
        <w:rPr>
          <w:rFonts w:hint="eastAsia" w:ascii="宋体" w:hAnsi="宋体" w:cs="宋体"/>
          <w:color w:val="auto"/>
          <w:kern w:val="0"/>
          <w:sz w:val="24"/>
          <w:szCs w:val="24"/>
          <w:highlight w:val="none"/>
          <w:lang w:val="en-US" w:eastAsia="zh-CN" w:bidi="ar"/>
        </w:rPr>
        <w:t>承接企业</w:t>
      </w:r>
      <w:r>
        <w:rPr>
          <w:rFonts w:hint="eastAsia" w:ascii="宋体" w:hAnsi="宋体" w:eastAsia="宋体" w:cs="宋体"/>
          <w:color w:val="auto"/>
          <w:kern w:val="0"/>
          <w:sz w:val="24"/>
          <w:szCs w:val="24"/>
          <w:highlight w:val="none"/>
          <w:lang w:val="en-US" w:eastAsia="zh-CN" w:bidi="ar"/>
        </w:rPr>
        <w:t>为</w:t>
      </w:r>
      <w:r>
        <w:rPr>
          <w:rFonts w:hint="eastAsia" w:ascii="宋体" w:hAnsi="宋体" w:eastAsia="宋体" w:cs="宋体"/>
          <w:color w:val="auto"/>
          <w:kern w:val="0"/>
          <w:sz w:val="24"/>
          <w:szCs w:val="24"/>
          <w:highlight w:val="none"/>
          <w:u w:val="single"/>
          <w:lang w:val="en-US" w:eastAsia="zh-CN" w:bidi="ar"/>
        </w:rPr>
        <w:t>（企业名称）</w:t>
      </w:r>
      <w:r>
        <w:rPr>
          <w:rFonts w:hint="eastAsia" w:ascii="宋体" w:hAnsi="宋体" w:eastAsia="宋体" w:cs="宋体"/>
          <w:color w:val="auto"/>
          <w:kern w:val="0"/>
          <w:sz w:val="24"/>
          <w:szCs w:val="24"/>
          <w:highlight w:val="none"/>
          <w:lang w:val="en-US" w:eastAsia="zh-CN" w:bidi="ar"/>
        </w:rPr>
        <w:t>，从业人员</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人，营业收入为</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万元，资产总额为</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万元，属于</w:t>
      </w:r>
      <w:r>
        <w:rPr>
          <w:rFonts w:hint="eastAsia" w:ascii="宋体" w:hAnsi="宋体" w:eastAsia="宋体" w:cs="宋体"/>
          <w:color w:val="auto"/>
          <w:kern w:val="0"/>
          <w:sz w:val="24"/>
          <w:szCs w:val="24"/>
          <w:highlight w:val="none"/>
          <w:u w:val="single"/>
          <w:lang w:val="en-US" w:eastAsia="zh-CN" w:bidi="ar"/>
        </w:rPr>
        <w:t>（中型企业、小型企业、微型企业）</w:t>
      </w:r>
      <w:r>
        <w:rPr>
          <w:rFonts w:hint="eastAsia" w:ascii="宋体" w:hAnsi="宋体" w:eastAsia="宋体" w:cs="宋体"/>
          <w:color w:val="auto"/>
          <w:kern w:val="0"/>
          <w:sz w:val="24"/>
          <w:szCs w:val="24"/>
          <w:highlight w:val="none"/>
          <w:lang w:val="en-US" w:eastAsia="zh-CN" w:bidi="ar"/>
        </w:rPr>
        <w:t>；</w:t>
      </w:r>
    </w:p>
    <w:p>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以上企业，不属于大企业的分支机构，不存在控股股东为大企业的情形，也不存在于大企业的负责人为同一人的情形。 </w:t>
      </w:r>
    </w:p>
    <w:p>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本企业对上述声明内容的真实性负责。如有虚假，将依法承担相应责任。 </w:t>
      </w:r>
    </w:p>
    <w:p>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p>
    <w:p>
      <w:pPr>
        <w:keepNext w:val="0"/>
        <w:keepLines w:val="0"/>
        <w:widowControl/>
        <w:suppressLineNumbers w:val="0"/>
        <w:spacing w:line="360" w:lineRule="auto"/>
        <w:ind w:firstLine="4560" w:firstLineChars="19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企业名称（盖章）： </w:t>
      </w:r>
    </w:p>
    <w:p>
      <w:pPr>
        <w:keepNext w:val="0"/>
        <w:keepLines w:val="0"/>
        <w:widowControl/>
        <w:suppressLineNumbers w:val="0"/>
        <w:spacing w:line="360" w:lineRule="auto"/>
        <w:ind w:firstLine="4560" w:firstLineChars="19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日期： </w:t>
      </w:r>
    </w:p>
    <w:p>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en-US" w:eastAsia="zh-CN" w:bidi="ar"/>
        </w:rPr>
        <w:t xml:space="preserve">注：1、从业人员、营业收入、资产总额填报上一年度数据，无上一年度数据的新成立企业可不填报。 </w:t>
      </w: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jc w:val="left"/>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格式二：</w:t>
      </w:r>
    </w:p>
    <w:p>
      <w:pPr>
        <w:jc w:val="both"/>
        <w:rPr>
          <w:rFonts w:hint="eastAsia" w:ascii="宋体" w:hAnsi="宋体" w:eastAsia="宋体" w:cs="宋体"/>
          <w:b/>
          <w:bCs/>
          <w:color w:val="auto"/>
          <w:sz w:val="32"/>
          <w:szCs w:val="32"/>
          <w:highlight w:val="none"/>
        </w:rPr>
      </w:pPr>
    </w:p>
    <w:p>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残疾人福利性单位声明函</w:t>
      </w:r>
    </w:p>
    <w:p>
      <w:pPr>
        <w:widowControl/>
        <w:spacing w:before="100" w:beforeAutospacing="1" w:after="100" w:afterAutospacing="1"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highlight w:val="none"/>
        </w:rPr>
        <w:t>〔2017〕 141</w:t>
      </w:r>
      <w:r>
        <w:rPr>
          <w:rFonts w:hint="eastAsia" w:ascii="宋体" w:hAnsi="宋体" w:eastAsia="宋体" w:cs="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360" w:lineRule="auto"/>
        <w:ind w:firstLine="504"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pacing w:val="6"/>
          <w:sz w:val="24"/>
          <w:highlight w:val="none"/>
        </w:rPr>
        <w:t>本单位对上述声明的真实性负责。如有虚假，将依法承担相应责任。</w:t>
      </w:r>
    </w:p>
    <w:p>
      <w:pPr>
        <w:widowControl/>
        <w:spacing w:line="360" w:lineRule="auto"/>
        <w:jc w:val="left"/>
        <w:rPr>
          <w:rFonts w:hint="eastAsia" w:ascii="宋体" w:hAnsi="宋体" w:eastAsia="宋体" w:cs="宋体"/>
          <w:color w:val="auto"/>
          <w:kern w:val="0"/>
          <w:sz w:val="24"/>
          <w:highlight w:val="none"/>
        </w:rPr>
      </w:pPr>
    </w:p>
    <w:p>
      <w:pPr>
        <w:widowControl/>
        <w:spacing w:line="400" w:lineRule="exact"/>
        <w:jc w:val="left"/>
        <w:rPr>
          <w:rFonts w:hint="eastAsia" w:ascii="宋体" w:hAnsi="宋体" w:eastAsia="宋体" w:cs="宋体"/>
          <w:color w:val="auto"/>
          <w:kern w:val="0"/>
          <w:sz w:val="24"/>
          <w:highlight w:val="none"/>
        </w:rPr>
      </w:pPr>
    </w:p>
    <w:p>
      <w:pPr>
        <w:widowControl/>
        <w:spacing w:line="400" w:lineRule="exact"/>
        <w:jc w:val="left"/>
        <w:rPr>
          <w:rFonts w:hint="eastAsia" w:ascii="宋体" w:hAnsi="宋体" w:eastAsia="宋体" w:cs="宋体"/>
          <w:color w:val="auto"/>
          <w:kern w:val="0"/>
          <w:sz w:val="24"/>
          <w:highlight w:val="none"/>
        </w:rPr>
      </w:pPr>
    </w:p>
    <w:p>
      <w:pPr>
        <w:widowControl/>
        <w:spacing w:line="400" w:lineRule="exact"/>
        <w:jc w:val="left"/>
        <w:rPr>
          <w:rFonts w:hint="eastAsia" w:ascii="宋体" w:hAnsi="宋体" w:eastAsia="宋体" w:cs="宋体"/>
          <w:color w:val="auto"/>
          <w:kern w:val="0"/>
          <w:sz w:val="24"/>
          <w:highlight w:val="none"/>
        </w:rPr>
      </w:pPr>
    </w:p>
    <w:p>
      <w:pPr>
        <w:widowControl/>
        <w:spacing w:line="4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供应商名称：XXXX（</w:t>
      </w:r>
      <w:r>
        <w:rPr>
          <w:rFonts w:hint="eastAsia" w:ascii="宋体" w:hAnsi="宋体" w:eastAsia="宋体" w:cs="宋体"/>
          <w:color w:val="auto"/>
          <w:sz w:val="24"/>
          <w:highlight w:val="none"/>
          <w:lang w:eastAsia="zh-CN"/>
        </w:rPr>
        <w:t>单位</w:t>
      </w:r>
      <w:r>
        <w:rPr>
          <w:rFonts w:hint="eastAsia" w:ascii="宋体" w:hAnsi="宋体" w:eastAsia="宋体" w:cs="宋体"/>
          <w:color w:val="auto"/>
          <w:sz w:val="24"/>
          <w:highlight w:val="none"/>
        </w:rPr>
        <w:t>盖章）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法定代表人或</w:t>
      </w:r>
      <w:r>
        <w:rPr>
          <w:rFonts w:hint="eastAsia" w:ascii="宋体" w:hAnsi="宋体" w:eastAsia="宋体" w:cs="宋体"/>
          <w:color w:val="auto"/>
          <w:sz w:val="24"/>
          <w:highlight w:val="none"/>
        </w:rPr>
        <w:t>授权</w:t>
      </w:r>
      <w:r>
        <w:rPr>
          <w:rFonts w:hint="eastAsia" w:ascii="宋体" w:hAnsi="宋体" w:eastAsia="宋体" w:cs="宋体"/>
          <w:color w:val="auto"/>
          <w:sz w:val="24"/>
          <w:highlight w:val="none"/>
          <w:lang w:eastAsia="zh-CN"/>
        </w:rPr>
        <w:t>代表（签字或加盖个人名章）</w:t>
      </w:r>
      <w:r>
        <w:rPr>
          <w:rFonts w:hint="eastAsia" w:ascii="宋体" w:hAnsi="宋体" w:eastAsia="宋体" w:cs="宋体"/>
          <w:color w:val="auto"/>
          <w:sz w:val="24"/>
          <w:highlight w:val="none"/>
        </w:rPr>
        <w:t>：XXXX</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日    期：XXX年XXX月XXX日</w:t>
      </w:r>
    </w:p>
    <w:p>
      <w:pPr>
        <w:spacing w:line="360" w:lineRule="auto"/>
        <w:ind w:firstLine="480" w:firstLineChars="200"/>
        <w:jc w:val="left"/>
        <w:rPr>
          <w:rFonts w:hint="eastAsia" w:ascii="宋体" w:hAnsi="宋体" w:eastAsia="宋体" w:cs="宋体"/>
          <w:color w:val="auto"/>
          <w:sz w:val="24"/>
          <w:highlight w:val="none"/>
        </w:rPr>
      </w:pPr>
    </w:p>
    <w:p>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pPr>
        <w:pStyle w:val="5"/>
        <w:bidi w:val="0"/>
        <w:rPr>
          <w:rFonts w:hint="eastAsia" w:ascii="宋体" w:hAnsi="宋体" w:eastAsia="宋体" w:cs="宋体"/>
          <w:color w:val="auto"/>
          <w:highlight w:val="none"/>
          <w:lang w:eastAsia="zh-CN"/>
        </w:rPr>
      </w:pPr>
      <w:bookmarkStart w:id="194" w:name="_Toc13689"/>
      <w:r>
        <w:rPr>
          <w:rFonts w:hint="eastAsia" w:ascii="宋体" w:hAnsi="宋体" w:eastAsia="宋体" w:cs="宋体"/>
          <w:color w:val="auto"/>
          <w:highlight w:val="none"/>
          <w:lang w:eastAsia="zh-CN"/>
        </w:rPr>
        <w:t>格式三：</w:t>
      </w:r>
      <w:bookmarkEnd w:id="194"/>
    </w:p>
    <w:p>
      <w:pPr>
        <w:pStyle w:val="5"/>
        <w:bidi w:val="0"/>
        <w:jc w:val="center"/>
        <w:rPr>
          <w:rFonts w:hint="eastAsia" w:ascii="宋体" w:hAnsi="宋体" w:eastAsia="宋体" w:cs="宋体"/>
          <w:color w:val="auto"/>
          <w:highlight w:val="none"/>
        </w:rPr>
      </w:pPr>
      <w:bookmarkStart w:id="195" w:name="_Toc30886"/>
      <w:r>
        <w:rPr>
          <w:rFonts w:hint="eastAsia" w:ascii="宋体" w:hAnsi="宋体" w:eastAsia="宋体" w:cs="宋体"/>
          <w:color w:val="auto"/>
          <w:highlight w:val="none"/>
          <w:lang w:val="en-US" w:eastAsia="zh-CN"/>
        </w:rPr>
        <w:t>监狱企业证明材料</w:t>
      </w:r>
      <w:bookmarkEnd w:id="195"/>
    </w:p>
    <w:p>
      <w:pPr>
        <w:keepNext w:val="0"/>
        <w:keepLines w:val="0"/>
        <w:widowControl/>
        <w:suppressLineNumbers w:val="0"/>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注： </w:t>
      </w:r>
    </w:p>
    <w:p>
      <w:pPr>
        <w:keepNext w:val="0"/>
        <w:keepLines w:val="0"/>
        <w:widowControl/>
        <w:suppressLineNumbers w:val="0"/>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1.根据《财政部 司法部关于政府采购支持监狱企业发展有关问题的通知》财库 </w:t>
      </w:r>
    </w:p>
    <w:p>
      <w:pPr>
        <w:keepNext w:val="0"/>
        <w:keepLines w:val="0"/>
        <w:widowControl/>
        <w:suppressLineNumbers w:val="0"/>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〔2014〕68 号文的规定，监狱企业参加政府采购活动时，应当提供由省级以上监狱管理局、戒毒管理局（含新疆生产建设兵团）出具的属于监狱企业的证明文件。 </w:t>
      </w:r>
    </w:p>
    <w:p>
      <w:pPr>
        <w:keepNext w:val="0"/>
        <w:keepLines w:val="0"/>
        <w:widowControl/>
        <w:suppressLineNumbers w:val="0"/>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 在政府采购活动中，监狱企业视同小型、微型企业，享受预留份额、评审中价格扣除等政府采购促进中小企业发展的政府采购政策。 </w:t>
      </w:r>
    </w:p>
    <w:p>
      <w:pPr>
        <w:keepNext w:val="0"/>
        <w:keepLines w:val="0"/>
        <w:widowControl/>
        <w:suppressLineNumbers w:val="0"/>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3.如未提供监狱企业相关证明材料的，则不能享受采购文件规定的价格扣除，但不影响供应商文件的有效性 。</w:t>
      </w:r>
    </w:p>
    <w:p>
      <w:pPr>
        <w:keepNext w:val="0"/>
        <w:keepLines w:val="0"/>
        <w:widowControl/>
        <w:suppressLineNumbers w:val="0"/>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4.非监狱企业参加本次采购活动，无需提供本证明材料</w:t>
      </w:r>
    </w:p>
    <w:p>
      <w:pPr>
        <w:widowControl/>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keepNext/>
        <w:keepLines/>
        <w:spacing w:before="260" w:after="260" w:line="413" w:lineRule="auto"/>
        <w:ind w:firstLine="643" w:firstLineChars="200"/>
        <w:jc w:val="center"/>
        <w:outlineLvl w:val="1"/>
        <w:rPr>
          <w:rFonts w:hint="eastAsia" w:ascii="宋体" w:hAnsi="宋体" w:eastAsia="宋体" w:cs="宋体"/>
          <w:b/>
          <w:bCs/>
          <w:color w:val="auto"/>
          <w:sz w:val="32"/>
          <w:szCs w:val="32"/>
          <w:highlight w:val="none"/>
        </w:rPr>
      </w:pPr>
      <w:bookmarkStart w:id="196" w:name="_Toc18229"/>
      <w:bookmarkStart w:id="197" w:name="_Toc14672"/>
      <w:bookmarkStart w:id="198" w:name="_Toc12060"/>
      <w:r>
        <w:rPr>
          <w:rFonts w:hint="eastAsia" w:ascii="宋体" w:hAnsi="宋体" w:eastAsia="宋体" w:cs="宋体"/>
          <w:b/>
          <w:bCs/>
          <w:color w:val="auto"/>
          <w:sz w:val="32"/>
          <w:szCs w:val="32"/>
          <w:highlight w:val="none"/>
        </w:rPr>
        <w:t>第二部分     其他响应文件</w:t>
      </w:r>
      <w:bookmarkEnd w:id="196"/>
      <w:bookmarkEnd w:id="197"/>
      <w:bookmarkEnd w:id="198"/>
    </w:p>
    <w:p>
      <w:pPr>
        <w:widowControl/>
        <w:ind w:firstLine="480"/>
        <w:rPr>
          <w:rFonts w:hint="eastAsia" w:ascii="宋体" w:hAnsi="宋体" w:eastAsia="宋体" w:cs="宋体"/>
          <w:color w:val="auto"/>
          <w:sz w:val="24"/>
          <w:szCs w:val="24"/>
          <w:highlight w:val="none"/>
        </w:rPr>
      </w:pPr>
    </w:p>
    <w:p>
      <w:pPr>
        <w:widowControl/>
        <w:ind w:firstLine="48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封  面</w:t>
      </w:r>
    </w:p>
    <w:p>
      <w:pPr>
        <w:widowControl/>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bdr w:val="single" w:color="auto" w:sz="4" w:space="0"/>
        </w:rPr>
        <w:t>正本或副本</w:t>
      </w:r>
    </w:p>
    <w:p>
      <w:pPr>
        <w:widowControl/>
        <w:ind w:firstLine="480"/>
        <w:rPr>
          <w:rFonts w:hint="eastAsia" w:ascii="宋体" w:hAnsi="宋体" w:eastAsia="宋体" w:cs="宋体"/>
          <w:color w:val="auto"/>
          <w:sz w:val="24"/>
          <w:szCs w:val="24"/>
          <w:highlight w:val="none"/>
        </w:rPr>
      </w:pPr>
    </w:p>
    <w:p>
      <w:pPr>
        <w:widowControl/>
        <w:ind w:firstLine="480"/>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响 应 文 件</w:t>
      </w:r>
    </w:p>
    <w:p>
      <w:pPr>
        <w:widowControl/>
        <w:ind w:firstLine="480"/>
        <w:rPr>
          <w:rFonts w:hint="eastAsia" w:ascii="宋体" w:hAnsi="宋体" w:eastAsia="宋体" w:cs="宋体"/>
          <w:color w:val="auto"/>
          <w:sz w:val="24"/>
          <w:szCs w:val="24"/>
          <w:highlight w:val="none"/>
        </w:rPr>
      </w:pPr>
    </w:p>
    <w:p>
      <w:pPr>
        <w:widowControl/>
        <w:ind w:firstLine="4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（其他响应文件）</w:t>
      </w:r>
    </w:p>
    <w:p>
      <w:pPr>
        <w:widowControl/>
        <w:ind w:firstLine="480"/>
        <w:rPr>
          <w:rFonts w:hint="eastAsia" w:ascii="宋体" w:hAnsi="宋体" w:eastAsia="宋体" w:cs="宋体"/>
          <w:color w:val="auto"/>
          <w:sz w:val="24"/>
          <w:szCs w:val="24"/>
          <w:highlight w:val="none"/>
        </w:rPr>
      </w:pPr>
    </w:p>
    <w:p>
      <w:pPr>
        <w:widowControl/>
        <w:ind w:firstLine="480"/>
        <w:rPr>
          <w:rFonts w:hint="eastAsia" w:ascii="宋体" w:hAnsi="宋体" w:eastAsia="宋体" w:cs="宋体"/>
          <w:color w:val="auto"/>
          <w:sz w:val="24"/>
          <w:szCs w:val="24"/>
          <w:highlight w:val="none"/>
        </w:rPr>
      </w:pPr>
    </w:p>
    <w:p>
      <w:pPr>
        <w:widowControl/>
        <w:ind w:firstLine="48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eastAsia="zh-CN"/>
        </w:rPr>
        <w:t>项</w:t>
      </w:r>
      <w:r>
        <w:rPr>
          <w:rFonts w:hint="eastAsia" w:ascii="宋体" w:hAnsi="宋体" w:eastAsia="宋体" w:cs="宋体"/>
          <w:color w:val="auto"/>
          <w:sz w:val="28"/>
          <w:szCs w:val="28"/>
          <w:highlight w:val="none"/>
        </w:rPr>
        <w:t>目编号：</w:t>
      </w:r>
      <w:r>
        <w:rPr>
          <w:rFonts w:hint="eastAsia" w:ascii="宋体" w:hAnsi="宋体" w:eastAsia="宋体" w:cs="宋体"/>
          <w:color w:val="auto"/>
          <w:sz w:val="28"/>
          <w:szCs w:val="28"/>
          <w:highlight w:val="none"/>
          <w:u w:val="single"/>
        </w:rPr>
        <w:t xml:space="preserve">                           </w:t>
      </w:r>
    </w:p>
    <w:p>
      <w:pPr>
        <w:widowControl/>
        <w:ind w:firstLine="480"/>
        <w:rPr>
          <w:rFonts w:hint="eastAsia" w:ascii="宋体" w:hAnsi="宋体" w:eastAsia="宋体" w:cs="宋体"/>
          <w:color w:val="auto"/>
          <w:sz w:val="28"/>
          <w:szCs w:val="28"/>
          <w:highlight w:val="none"/>
          <w:u w:val="single"/>
        </w:rPr>
      </w:pPr>
    </w:p>
    <w:p>
      <w:pPr>
        <w:widowControl/>
        <w:ind w:firstLine="48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项目名称：</w:t>
      </w:r>
      <w:r>
        <w:rPr>
          <w:rFonts w:hint="eastAsia" w:ascii="宋体" w:hAnsi="宋体" w:eastAsia="宋体" w:cs="宋体"/>
          <w:color w:val="auto"/>
          <w:sz w:val="28"/>
          <w:szCs w:val="28"/>
          <w:highlight w:val="none"/>
          <w:u w:val="single"/>
        </w:rPr>
        <w:t xml:space="preserve">                           </w:t>
      </w:r>
    </w:p>
    <w:p>
      <w:pPr>
        <w:widowControl/>
        <w:ind w:firstLine="480"/>
        <w:rPr>
          <w:rFonts w:hint="eastAsia" w:ascii="宋体" w:hAnsi="宋体" w:eastAsia="宋体" w:cs="宋体"/>
          <w:color w:val="auto"/>
          <w:sz w:val="28"/>
          <w:szCs w:val="28"/>
          <w:highlight w:val="none"/>
        </w:rPr>
      </w:pPr>
    </w:p>
    <w:p>
      <w:pPr>
        <w:widowControl/>
        <w:ind w:firstLine="48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供应商名称（全称加盖公章）：</w:t>
      </w:r>
      <w:r>
        <w:rPr>
          <w:rFonts w:hint="eastAsia" w:ascii="宋体" w:hAnsi="宋体" w:eastAsia="宋体" w:cs="宋体"/>
          <w:color w:val="auto"/>
          <w:sz w:val="28"/>
          <w:szCs w:val="28"/>
          <w:highlight w:val="none"/>
          <w:u w:val="single"/>
        </w:rPr>
        <w:t xml:space="preserve">                 </w:t>
      </w:r>
    </w:p>
    <w:p>
      <w:pPr>
        <w:widowControl/>
        <w:ind w:firstLine="480"/>
        <w:rPr>
          <w:rFonts w:hint="eastAsia" w:ascii="宋体" w:hAnsi="宋体" w:eastAsia="宋体" w:cs="宋体"/>
          <w:color w:val="auto"/>
          <w:sz w:val="28"/>
          <w:szCs w:val="28"/>
          <w:highlight w:val="none"/>
        </w:rPr>
      </w:pPr>
    </w:p>
    <w:p>
      <w:pPr>
        <w:widowControl/>
        <w:ind w:firstLine="48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法定代表人或授权代表（签字或加盖个人名章）：</w:t>
      </w:r>
      <w:r>
        <w:rPr>
          <w:rFonts w:hint="eastAsia" w:ascii="宋体" w:hAnsi="宋体" w:eastAsia="宋体" w:cs="宋体"/>
          <w:color w:val="auto"/>
          <w:sz w:val="28"/>
          <w:szCs w:val="28"/>
          <w:highlight w:val="none"/>
          <w:u w:val="single"/>
        </w:rPr>
        <w:t xml:space="preserve">               </w:t>
      </w:r>
    </w:p>
    <w:p>
      <w:pPr>
        <w:widowControl/>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pPr>
        <w:widowControl/>
        <w:ind w:firstLine="480"/>
        <w:rPr>
          <w:rFonts w:hint="eastAsia" w:ascii="宋体" w:hAnsi="宋体" w:eastAsia="宋体" w:cs="宋体"/>
          <w:color w:val="auto"/>
          <w:sz w:val="28"/>
          <w:szCs w:val="28"/>
          <w:highlight w:val="none"/>
        </w:rPr>
      </w:pPr>
    </w:p>
    <w:p>
      <w:pPr>
        <w:widowControl/>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widowControl/>
        <w:ind w:firstLine="480"/>
        <w:rPr>
          <w:rFonts w:hint="eastAsia" w:ascii="宋体" w:hAnsi="宋体" w:eastAsia="宋体" w:cs="宋体"/>
          <w:color w:val="auto"/>
          <w:sz w:val="24"/>
          <w:szCs w:val="24"/>
          <w:highlight w:val="none"/>
        </w:rPr>
      </w:pPr>
    </w:p>
    <w:p>
      <w:pPr>
        <w:widowControl/>
        <w:ind w:firstLine="480"/>
        <w:rPr>
          <w:rFonts w:hint="eastAsia" w:ascii="宋体" w:hAnsi="宋体" w:eastAsia="宋体" w:cs="宋体"/>
          <w:color w:val="auto"/>
          <w:sz w:val="24"/>
          <w:szCs w:val="24"/>
          <w:highlight w:val="none"/>
        </w:rPr>
      </w:pPr>
    </w:p>
    <w:p>
      <w:pPr>
        <w:pStyle w:val="26"/>
        <w:spacing w:before="156" w:after="156"/>
        <w:rPr>
          <w:rFonts w:hint="eastAsia" w:ascii="宋体" w:hAnsi="宋体" w:eastAsia="宋体" w:cs="宋体"/>
          <w:color w:val="auto"/>
          <w:sz w:val="24"/>
          <w:szCs w:val="24"/>
          <w:highlight w:val="none"/>
        </w:rPr>
      </w:pPr>
      <w:bookmarkStart w:id="199" w:name="_Toc480288375"/>
      <w:bookmarkStart w:id="200" w:name="_Toc503794758"/>
      <w:bookmarkStart w:id="201" w:name="_Toc480288604"/>
      <w:bookmarkStart w:id="202" w:name="_Toc482366528"/>
      <w:r>
        <w:rPr>
          <w:rFonts w:hint="eastAsia" w:ascii="宋体" w:hAnsi="宋体" w:eastAsia="宋体" w:cs="宋体"/>
          <w:color w:val="auto"/>
          <w:highlight w:val="none"/>
        </w:rPr>
        <w:br w:type="page"/>
      </w:r>
      <w:bookmarkEnd w:id="199"/>
      <w:bookmarkEnd w:id="200"/>
      <w:bookmarkEnd w:id="201"/>
      <w:bookmarkEnd w:id="202"/>
      <w:bookmarkStart w:id="203" w:name="_Toc14867"/>
      <w:bookmarkStart w:id="204" w:name="_Toc19243"/>
      <w:bookmarkStart w:id="205" w:name="_Toc17712"/>
      <w:bookmarkStart w:id="206" w:name="_Toc485828493"/>
      <w:r>
        <w:rPr>
          <w:rFonts w:hint="eastAsia" w:ascii="宋体" w:hAnsi="宋体" w:eastAsia="宋体" w:cs="宋体"/>
          <w:b/>
          <w:bCs/>
          <w:color w:val="auto"/>
          <w:highlight w:val="none"/>
        </w:rPr>
        <w:t>一、报 价 函</w:t>
      </w:r>
      <w:r>
        <w:rPr>
          <w:rFonts w:hint="eastAsia" w:ascii="宋体" w:hAnsi="宋体" w:eastAsia="宋体" w:cs="宋体"/>
          <w:b/>
          <w:bCs/>
          <w:color w:val="auto"/>
          <w:sz w:val="28"/>
          <w:szCs w:val="28"/>
          <w:highlight w:val="none"/>
        </w:rPr>
        <w:t>（实质性要求）</w:t>
      </w:r>
      <w:bookmarkEnd w:id="203"/>
      <w:bookmarkEnd w:id="204"/>
      <w:bookmarkEnd w:id="205"/>
    </w:p>
    <w:p>
      <w:pPr>
        <w:keepNext w:val="0"/>
        <w:keepLines w:val="0"/>
        <w:pageBreakBefore w:val="0"/>
        <w:widowControl/>
        <w:kinsoku/>
        <w:wordWrap/>
        <w:overflowPunct/>
        <w:topLinePunct w:val="0"/>
        <w:autoSpaceDE/>
        <w:autoSpaceDN/>
        <w:bidi w:val="0"/>
        <w:snapToGrid/>
        <w:spacing w:line="336" w:lineRule="auto"/>
        <w:ind w:firstLine="480"/>
        <w:textAlignment w:val="auto"/>
        <w:rPr>
          <w:rFonts w:hint="eastAsia" w:ascii="宋体" w:hAnsi="宋体" w:eastAsia="宋体" w:cs="宋体"/>
          <w:color w:val="auto"/>
          <w:sz w:val="24"/>
          <w:szCs w:val="24"/>
          <w:highlight w:val="none"/>
        </w:rPr>
      </w:pPr>
      <w:bookmarkStart w:id="207" w:name="_Toc480288376"/>
      <w:bookmarkStart w:id="208" w:name="_Toc482366529"/>
      <w:bookmarkStart w:id="209" w:name="_Toc480288605"/>
      <w:r>
        <w:rPr>
          <w:rFonts w:hint="eastAsia" w:ascii="宋体" w:hAnsi="宋体" w:eastAsia="宋体" w:cs="宋体"/>
          <w:color w:val="auto"/>
          <w:sz w:val="24"/>
          <w:szCs w:val="24"/>
          <w:highlight w:val="none"/>
          <w:u w:val="single"/>
        </w:rPr>
        <w:t xml:space="preserve">        </w:t>
      </w:r>
      <w:bookmarkStart w:id="210" w:name="_Toc503794759"/>
      <w:r>
        <w:rPr>
          <w:rFonts w:hint="eastAsia" w:ascii="宋体" w:hAnsi="宋体" w:eastAsia="宋体" w:cs="宋体"/>
          <w:color w:val="auto"/>
          <w:sz w:val="24"/>
          <w:szCs w:val="24"/>
          <w:highlight w:val="none"/>
        </w:rPr>
        <w:t>（采购代理机构名称）：</w:t>
      </w:r>
      <w:bookmarkEnd w:id="207"/>
      <w:bookmarkEnd w:id="208"/>
      <w:bookmarkEnd w:id="209"/>
      <w:bookmarkEnd w:id="210"/>
    </w:p>
    <w:p>
      <w:pPr>
        <w:keepNext w:val="0"/>
        <w:keepLines w:val="0"/>
        <w:pageBreakBefore w:val="0"/>
        <w:widowControl/>
        <w:kinsoku/>
        <w:wordWrap/>
        <w:overflowPunct/>
        <w:topLinePunct w:val="0"/>
        <w:autoSpaceDE/>
        <w:autoSpaceDN/>
        <w:bidi w:val="0"/>
        <w:snapToGrid/>
        <w:spacing w:line="336"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我方全面研究了“</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”项目（项目编号：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）竞争性磋商文件，决定参加贵单位组织的本项目磋商。我方授权（姓名）</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代表我方</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（供应商名称）全权处理本项目报价的有关事宜。</w:t>
      </w:r>
    </w:p>
    <w:p>
      <w:pPr>
        <w:keepNext w:val="0"/>
        <w:keepLines w:val="0"/>
        <w:pageBreakBefore w:val="0"/>
        <w:widowControl/>
        <w:kinsoku/>
        <w:wordWrap/>
        <w:overflowPunct/>
        <w:topLinePunct w:val="0"/>
        <w:autoSpaceDE/>
        <w:autoSpaceDN/>
        <w:bidi w:val="0"/>
        <w:snapToGrid/>
        <w:spacing w:line="336" w:lineRule="auto"/>
        <w:ind w:firstLine="48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一、我方自愿按照本项目竞争性磋商文件规定的各项要求向采购人提供所需服务，本次竞争性磋商首轮报价为人民币（大写）</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keepNext w:val="0"/>
        <w:keepLines w:val="0"/>
        <w:pageBreakBefore w:val="0"/>
        <w:widowControl/>
        <w:kinsoku/>
        <w:wordWrap/>
        <w:overflowPunct/>
        <w:topLinePunct w:val="0"/>
        <w:autoSpaceDE/>
        <w:autoSpaceDN/>
        <w:bidi w:val="0"/>
        <w:snapToGrid/>
        <w:spacing w:line="336"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二、一旦我方成交，将严格履行合同规定的责任和义务。</w:t>
      </w:r>
    </w:p>
    <w:p>
      <w:pPr>
        <w:keepNext w:val="0"/>
        <w:keepLines w:val="0"/>
        <w:pageBreakBefore w:val="0"/>
        <w:widowControl/>
        <w:kinsoku/>
        <w:wordWrap/>
        <w:overflowPunct/>
        <w:topLinePunct w:val="0"/>
        <w:autoSpaceDE/>
        <w:autoSpaceDN/>
        <w:bidi w:val="0"/>
        <w:snapToGrid/>
        <w:spacing w:line="336"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三、我方为本项目提交的响应文件正本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电子文档</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份，用于磋商报价。</w:t>
      </w:r>
    </w:p>
    <w:p>
      <w:pPr>
        <w:keepNext w:val="0"/>
        <w:keepLines w:val="0"/>
        <w:pageBreakBefore w:val="0"/>
        <w:widowControl/>
        <w:kinsoku/>
        <w:wordWrap/>
        <w:overflowPunct/>
        <w:topLinePunct w:val="0"/>
        <w:autoSpaceDE/>
        <w:autoSpaceDN/>
        <w:bidi w:val="0"/>
        <w:snapToGrid/>
        <w:spacing w:line="336"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四、我方同意本次招标的磋商有效期为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天。</w:t>
      </w:r>
    </w:p>
    <w:p>
      <w:pPr>
        <w:keepNext w:val="0"/>
        <w:keepLines w:val="0"/>
        <w:pageBreakBefore w:val="0"/>
        <w:widowControl/>
        <w:kinsoku/>
        <w:wordWrap/>
        <w:overflowPunct/>
        <w:topLinePunct w:val="0"/>
        <w:autoSpaceDE/>
        <w:autoSpaceDN/>
        <w:bidi w:val="0"/>
        <w:snapToGrid/>
        <w:spacing w:line="336"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五、我方愿意提供贵</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可能另外要求的，与磋商有关的文件资料，并保证我方已提供和将要提供的文件资料是真实、准确的。</w:t>
      </w:r>
    </w:p>
    <w:p>
      <w:pPr>
        <w:keepNext w:val="0"/>
        <w:keepLines w:val="0"/>
        <w:pageBreakBefore w:val="0"/>
        <w:widowControl/>
        <w:kinsoku/>
        <w:wordWrap/>
        <w:overflowPunct/>
        <w:topLinePunct w:val="0"/>
        <w:autoSpaceDE/>
        <w:autoSpaceDN/>
        <w:bidi w:val="0"/>
        <w:snapToGrid/>
        <w:spacing w:line="336"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六、如果我方成交，保证按照本竞争性磋商文件的规定向贵方交纳采购代理服务费。</w:t>
      </w:r>
    </w:p>
    <w:p>
      <w:pPr>
        <w:keepNext w:val="0"/>
        <w:keepLines w:val="0"/>
        <w:pageBreakBefore w:val="0"/>
        <w:kinsoku/>
        <w:wordWrap/>
        <w:overflowPunct/>
        <w:topLinePunct w:val="0"/>
        <w:autoSpaceDE/>
        <w:autoSpaceDN/>
        <w:bidi w:val="0"/>
        <w:adjustRightInd w:val="0"/>
        <w:snapToGrid/>
        <w:spacing w:line="336"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七</w:t>
      </w:r>
      <w:r>
        <w:rPr>
          <w:rFonts w:hint="eastAsia" w:ascii="宋体" w:hAnsi="宋体" w:eastAsia="宋体" w:cs="宋体"/>
          <w:color w:val="auto"/>
          <w:sz w:val="24"/>
          <w:highlight w:val="none"/>
        </w:rPr>
        <w:t>、我方愿意提供贵单位可能另外要求的，与响应有关的文件资料，并保证我方已提供和将要提供的文件资料是真实、准确的。</w:t>
      </w:r>
    </w:p>
    <w:p>
      <w:pPr>
        <w:keepNext w:val="0"/>
        <w:keepLines w:val="0"/>
        <w:pageBreakBefore w:val="0"/>
        <w:kinsoku/>
        <w:wordWrap/>
        <w:overflowPunct/>
        <w:topLinePunct w:val="0"/>
        <w:autoSpaceDE/>
        <w:autoSpaceDN/>
        <w:bidi w:val="0"/>
        <w:adjustRightInd w:val="0"/>
        <w:snapToGrid/>
        <w:spacing w:line="336"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八</w:t>
      </w:r>
      <w:r>
        <w:rPr>
          <w:rFonts w:hint="eastAsia" w:ascii="宋体" w:hAnsi="宋体" w:eastAsia="宋体" w:cs="宋体"/>
          <w:color w:val="auto"/>
          <w:sz w:val="24"/>
          <w:highlight w:val="none"/>
        </w:rPr>
        <w:t>、我方承诺履行</w:t>
      </w:r>
      <w:r>
        <w:rPr>
          <w:rFonts w:hint="eastAsia" w:ascii="宋体" w:hAnsi="宋体" w:cs="宋体"/>
          <w:color w:val="auto"/>
          <w:sz w:val="24"/>
          <w:highlight w:val="none"/>
          <w:lang w:eastAsia="zh-CN"/>
        </w:rPr>
        <w:t>磋商</w:t>
      </w:r>
      <w:r>
        <w:rPr>
          <w:rFonts w:hint="eastAsia" w:ascii="宋体" w:hAnsi="宋体" w:eastAsia="宋体" w:cs="宋体"/>
          <w:color w:val="auto"/>
          <w:sz w:val="24"/>
          <w:highlight w:val="none"/>
        </w:rPr>
        <w:t>须知中</w:t>
      </w:r>
      <w:r>
        <w:rPr>
          <w:rFonts w:hint="eastAsia" w:ascii="宋体" w:hAnsi="宋体" w:cs="宋体"/>
          <w:color w:val="auto"/>
          <w:sz w:val="24"/>
          <w:highlight w:val="none"/>
          <w:lang w:eastAsia="zh-CN"/>
        </w:rPr>
        <w:t>招标代理服务</w:t>
      </w:r>
      <w:r>
        <w:rPr>
          <w:rFonts w:hint="eastAsia" w:ascii="宋体" w:hAnsi="宋体" w:eastAsia="宋体" w:cs="宋体"/>
          <w:color w:val="auto"/>
          <w:sz w:val="24"/>
          <w:highlight w:val="none"/>
        </w:rPr>
        <w:t>费用的规定。</w:t>
      </w:r>
    </w:p>
    <w:p>
      <w:pPr>
        <w:keepNext w:val="0"/>
        <w:keepLines w:val="0"/>
        <w:pageBreakBefore w:val="0"/>
        <w:kinsoku/>
        <w:wordWrap/>
        <w:overflowPunct/>
        <w:topLinePunct w:val="0"/>
        <w:autoSpaceDE/>
        <w:autoSpaceDN/>
        <w:bidi w:val="0"/>
        <w:adjustRightInd w:val="0"/>
        <w:snapToGrid/>
        <w:spacing w:line="336"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九</w:t>
      </w:r>
      <w:r>
        <w:rPr>
          <w:rFonts w:hint="eastAsia" w:ascii="宋体" w:hAnsi="宋体" w:eastAsia="宋体" w:cs="宋体"/>
          <w:color w:val="auto"/>
          <w:sz w:val="24"/>
          <w:highlight w:val="none"/>
        </w:rPr>
        <w:t xml:space="preserve">、我单位如存在《四川省政府采购当事人诚信管理办法》川财采〔2015〕33 号规定的记入诚信档案的且在有效期内的情形，关于记录情况及次数我单位将在响应文件中如实反映。 </w:t>
      </w:r>
    </w:p>
    <w:p>
      <w:pPr>
        <w:keepNext w:val="0"/>
        <w:keepLines w:val="0"/>
        <w:pageBreakBefore w:val="0"/>
        <w:widowControl/>
        <w:kinsoku/>
        <w:wordWrap/>
        <w:overflowPunct/>
        <w:topLinePunct w:val="0"/>
        <w:autoSpaceDE/>
        <w:autoSpaceDN/>
        <w:bidi w:val="0"/>
        <w:snapToGrid/>
        <w:spacing w:line="336" w:lineRule="auto"/>
        <w:ind w:firstLine="48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snapToGrid/>
        <w:spacing w:line="336" w:lineRule="auto"/>
        <w:ind w:firstLine="480"/>
        <w:textAlignment w:val="auto"/>
        <w:rPr>
          <w:rFonts w:hint="eastAsia" w:ascii="宋体" w:hAnsi="宋体" w:eastAsia="宋体" w:cs="宋体"/>
          <w:color w:val="auto"/>
          <w:sz w:val="24"/>
          <w:szCs w:val="24"/>
          <w:highlight w:val="none"/>
        </w:rPr>
      </w:pPr>
      <w:bookmarkStart w:id="211" w:name="_Toc503794760"/>
      <w:bookmarkStart w:id="212" w:name="_Toc480288606"/>
      <w:bookmarkStart w:id="213" w:name="_Toc480288377"/>
      <w:bookmarkStart w:id="214" w:name="_Toc482366530"/>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（单位公章）。</w:t>
      </w:r>
      <w:bookmarkEnd w:id="211"/>
      <w:bookmarkEnd w:id="212"/>
      <w:bookmarkEnd w:id="213"/>
      <w:bookmarkEnd w:id="214"/>
    </w:p>
    <w:p>
      <w:pPr>
        <w:keepNext w:val="0"/>
        <w:keepLines w:val="0"/>
        <w:pageBreakBefore w:val="0"/>
        <w:widowControl/>
        <w:kinsoku/>
        <w:wordWrap/>
        <w:overflowPunct/>
        <w:topLinePunct w:val="0"/>
        <w:autoSpaceDE/>
        <w:autoSpaceDN/>
        <w:bidi w:val="0"/>
        <w:snapToGrid/>
        <w:spacing w:line="336" w:lineRule="auto"/>
        <w:ind w:firstLine="480"/>
        <w:textAlignment w:val="auto"/>
        <w:rPr>
          <w:rFonts w:hint="eastAsia" w:ascii="宋体" w:hAnsi="宋体" w:eastAsia="宋体" w:cs="宋体"/>
          <w:color w:val="auto"/>
          <w:sz w:val="24"/>
          <w:szCs w:val="24"/>
          <w:highlight w:val="none"/>
        </w:rPr>
      </w:pPr>
      <w:bookmarkStart w:id="215" w:name="_Toc480288378"/>
      <w:bookmarkStart w:id="216" w:name="_Toc482366531"/>
      <w:bookmarkStart w:id="217" w:name="_Toc503794761"/>
      <w:bookmarkStart w:id="218" w:name="_Toc480288607"/>
      <w:r>
        <w:rPr>
          <w:rFonts w:hint="eastAsia" w:ascii="宋体" w:hAnsi="宋体" w:eastAsia="宋体" w:cs="宋体"/>
          <w:color w:val="auto"/>
          <w:sz w:val="24"/>
          <w:szCs w:val="24"/>
          <w:highlight w:val="none"/>
        </w:rPr>
        <w:t>法定代表人或授权代表（签字或加盖个人名章）：</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bookmarkEnd w:id="215"/>
      <w:bookmarkEnd w:id="216"/>
      <w:bookmarkEnd w:id="217"/>
      <w:bookmarkEnd w:id="218"/>
    </w:p>
    <w:p>
      <w:pPr>
        <w:keepNext w:val="0"/>
        <w:keepLines w:val="0"/>
        <w:pageBreakBefore w:val="0"/>
        <w:widowControl/>
        <w:kinsoku/>
        <w:wordWrap/>
        <w:overflowPunct/>
        <w:topLinePunct w:val="0"/>
        <w:autoSpaceDE/>
        <w:autoSpaceDN/>
        <w:bidi w:val="0"/>
        <w:snapToGrid/>
        <w:spacing w:line="336" w:lineRule="auto"/>
        <w:ind w:firstLine="480"/>
        <w:textAlignment w:val="auto"/>
        <w:rPr>
          <w:rFonts w:hint="eastAsia" w:ascii="宋体" w:hAnsi="宋体" w:eastAsia="宋体" w:cs="宋体"/>
          <w:color w:val="auto"/>
          <w:sz w:val="24"/>
          <w:szCs w:val="24"/>
          <w:highlight w:val="none"/>
        </w:rPr>
      </w:pPr>
      <w:bookmarkStart w:id="219" w:name="_Toc480288608"/>
      <w:bookmarkStart w:id="220" w:name="_Toc503794762"/>
      <w:bookmarkStart w:id="221" w:name="_Toc480288379"/>
      <w:bookmarkStart w:id="222" w:name="_Toc482366532"/>
      <w:r>
        <w:rPr>
          <w:rFonts w:hint="eastAsia" w:ascii="宋体" w:hAnsi="宋体" w:eastAsia="宋体" w:cs="宋体"/>
          <w:color w:val="auto"/>
          <w:sz w:val="24"/>
          <w:szCs w:val="24"/>
          <w:highlight w:val="none"/>
        </w:rPr>
        <w:t>通讯地址：</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bookmarkEnd w:id="219"/>
      <w:bookmarkEnd w:id="220"/>
      <w:bookmarkEnd w:id="221"/>
      <w:bookmarkEnd w:id="222"/>
    </w:p>
    <w:p>
      <w:pPr>
        <w:keepNext w:val="0"/>
        <w:keepLines w:val="0"/>
        <w:pageBreakBefore w:val="0"/>
        <w:widowControl/>
        <w:kinsoku/>
        <w:wordWrap/>
        <w:overflowPunct/>
        <w:topLinePunct w:val="0"/>
        <w:autoSpaceDE/>
        <w:autoSpaceDN/>
        <w:bidi w:val="0"/>
        <w:snapToGrid/>
        <w:spacing w:line="336" w:lineRule="auto"/>
        <w:ind w:firstLine="480"/>
        <w:textAlignment w:val="auto"/>
        <w:rPr>
          <w:rFonts w:hint="eastAsia" w:ascii="宋体" w:hAnsi="宋体" w:eastAsia="宋体" w:cs="宋体"/>
          <w:color w:val="auto"/>
          <w:sz w:val="24"/>
          <w:szCs w:val="24"/>
          <w:highlight w:val="none"/>
        </w:rPr>
      </w:pPr>
      <w:bookmarkStart w:id="223" w:name="_Toc503794763"/>
      <w:bookmarkStart w:id="224" w:name="_Toc480288609"/>
      <w:bookmarkStart w:id="225" w:name="_Toc480288380"/>
      <w:bookmarkStart w:id="226" w:name="_Toc482366533"/>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bookmarkEnd w:id="223"/>
      <w:bookmarkEnd w:id="224"/>
      <w:bookmarkEnd w:id="225"/>
      <w:bookmarkEnd w:id="226"/>
    </w:p>
    <w:p>
      <w:pPr>
        <w:keepNext w:val="0"/>
        <w:keepLines w:val="0"/>
        <w:pageBreakBefore w:val="0"/>
        <w:widowControl/>
        <w:kinsoku/>
        <w:wordWrap/>
        <w:overflowPunct/>
        <w:topLinePunct w:val="0"/>
        <w:autoSpaceDE/>
        <w:autoSpaceDN/>
        <w:bidi w:val="0"/>
        <w:snapToGrid/>
        <w:spacing w:line="336" w:lineRule="auto"/>
        <w:ind w:firstLine="480"/>
        <w:textAlignment w:val="auto"/>
        <w:rPr>
          <w:rFonts w:hint="eastAsia" w:ascii="宋体" w:hAnsi="宋体" w:eastAsia="宋体" w:cs="宋体"/>
          <w:color w:val="auto"/>
          <w:sz w:val="24"/>
          <w:szCs w:val="24"/>
          <w:highlight w:val="none"/>
        </w:rPr>
      </w:pPr>
      <w:bookmarkStart w:id="227" w:name="_Toc480288381"/>
      <w:bookmarkStart w:id="228" w:name="_Toc482366534"/>
      <w:bookmarkStart w:id="229" w:name="_Toc480288610"/>
      <w:bookmarkStart w:id="230" w:name="_Toc503794764"/>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bookmarkEnd w:id="227"/>
      <w:bookmarkEnd w:id="228"/>
      <w:bookmarkEnd w:id="229"/>
      <w:bookmarkEnd w:id="230"/>
    </w:p>
    <w:p>
      <w:pPr>
        <w:keepNext w:val="0"/>
        <w:keepLines w:val="0"/>
        <w:pageBreakBefore w:val="0"/>
        <w:widowControl/>
        <w:kinsoku/>
        <w:wordWrap/>
        <w:overflowPunct/>
        <w:topLinePunct w:val="0"/>
        <w:autoSpaceDE/>
        <w:autoSpaceDN/>
        <w:bidi w:val="0"/>
        <w:snapToGrid/>
        <w:spacing w:line="336" w:lineRule="auto"/>
        <w:ind w:firstLine="480"/>
        <w:textAlignment w:val="auto"/>
        <w:rPr>
          <w:rFonts w:hint="eastAsia" w:ascii="宋体" w:hAnsi="宋体" w:eastAsia="宋体" w:cs="宋体"/>
          <w:color w:val="auto"/>
          <w:sz w:val="24"/>
          <w:szCs w:val="24"/>
          <w:highlight w:val="none"/>
        </w:rPr>
      </w:pPr>
      <w:bookmarkStart w:id="231" w:name="_Toc503794765"/>
      <w:bookmarkStart w:id="232" w:name="_Toc482366535"/>
      <w:bookmarkStart w:id="233" w:name="_Toc480288382"/>
      <w:bookmarkStart w:id="234" w:name="_Toc480288611"/>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bookmarkEnd w:id="231"/>
      <w:bookmarkEnd w:id="232"/>
      <w:bookmarkEnd w:id="233"/>
      <w:bookmarkEnd w:id="234"/>
    </w:p>
    <w:p>
      <w:pPr>
        <w:keepNext w:val="0"/>
        <w:keepLines w:val="0"/>
        <w:pageBreakBefore w:val="0"/>
        <w:widowControl/>
        <w:kinsoku/>
        <w:wordWrap/>
        <w:overflowPunct/>
        <w:topLinePunct w:val="0"/>
        <w:autoSpaceDE/>
        <w:autoSpaceDN/>
        <w:bidi w:val="0"/>
        <w:snapToGrid/>
        <w:spacing w:line="336"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bookmarkEnd w:id="206"/>
    <w:p>
      <w:pPr>
        <w:pStyle w:val="26"/>
        <w:spacing w:before="156" w:after="156"/>
        <w:jc w:val="center"/>
        <w:rPr>
          <w:rFonts w:hint="eastAsia" w:ascii="宋体" w:hAnsi="宋体" w:eastAsia="宋体" w:cs="宋体"/>
          <w:color w:val="auto"/>
          <w:sz w:val="24"/>
          <w:szCs w:val="24"/>
          <w:highlight w:val="none"/>
        </w:rPr>
      </w:pPr>
      <w:bookmarkStart w:id="235" w:name="_Toc19376"/>
      <w:bookmarkStart w:id="236" w:name="_Toc12963"/>
      <w:bookmarkStart w:id="237" w:name="_Toc2392"/>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、商务应答表</w:t>
      </w:r>
      <w:bookmarkEnd w:id="235"/>
      <w:bookmarkEnd w:id="236"/>
      <w:bookmarkEnd w:id="237"/>
    </w:p>
    <w:p>
      <w:pPr>
        <w:widowControl/>
        <w:ind w:firstLine="480"/>
        <w:rPr>
          <w:rFonts w:hint="eastAsia" w:ascii="宋体" w:hAnsi="宋体" w:eastAsia="宋体" w:cs="宋体"/>
          <w:bCs/>
          <w:color w:val="auto"/>
          <w:sz w:val="24"/>
          <w:szCs w:val="24"/>
          <w:highlight w:val="none"/>
        </w:rPr>
      </w:pPr>
    </w:p>
    <w:p>
      <w:pPr>
        <w:widowControl/>
        <w:ind w:firstLine="480"/>
        <w:rPr>
          <w:rFonts w:hint="eastAsia" w:ascii="宋体" w:hAnsi="宋体" w:eastAsia="宋体" w:cs="宋体"/>
          <w:color w:val="auto"/>
          <w:sz w:val="24"/>
          <w:szCs w:val="24"/>
          <w:highlight w:val="none"/>
        </w:rPr>
      </w:pPr>
      <w:bookmarkStart w:id="238" w:name="_Toc503794766"/>
      <w:bookmarkStart w:id="239" w:name="_Toc485828494"/>
      <w:r>
        <w:rPr>
          <w:rFonts w:hint="eastAsia" w:ascii="宋体" w:hAnsi="宋体" w:eastAsia="宋体" w:cs="宋体"/>
          <w:color w:val="auto"/>
          <w:sz w:val="24"/>
          <w:szCs w:val="24"/>
          <w:highlight w:val="none"/>
        </w:rPr>
        <w:t>项目编号：</w:t>
      </w:r>
      <w:bookmarkEnd w:id="238"/>
      <w:bookmarkEnd w:id="239"/>
    </w:p>
    <w:tbl>
      <w:tblPr>
        <w:tblStyle w:val="16"/>
        <w:tblW w:w="8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2457"/>
        <w:gridCol w:w="2526"/>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08" w:type="dxa"/>
            <w:noWrap w:val="0"/>
            <w:vAlign w:val="center"/>
          </w:tcPr>
          <w:p>
            <w:pPr>
              <w:pStyle w:val="27"/>
              <w:jc w:val="center"/>
              <w:rPr>
                <w:rFonts w:hint="eastAsia" w:ascii="宋体" w:hAnsi="宋体" w:eastAsia="宋体" w:cs="宋体"/>
                <w:color w:val="auto"/>
                <w:sz w:val="24"/>
                <w:szCs w:val="24"/>
                <w:highlight w:val="none"/>
              </w:rPr>
            </w:pPr>
            <w:bookmarkStart w:id="240" w:name="_Toc485828495"/>
            <w:bookmarkStart w:id="241" w:name="_Toc503794767"/>
            <w:r>
              <w:rPr>
                <w:rFonts w:hint="eastAsia" w:ascii="宋体" w:hAnsi="宋体" w:eastAsia="宋体" w:cs="宋体"/>
                <w:color w:val="auto"/>
                <w:sz w:val="24"/>
                <w:szCs w:val="24"/>
                <w:highlight w:val="none"/>
              </w:rPr>
              <w:t>序号</w:t>
            </w:r>
            <w:bookmarkEnd w:id="240"/>
            <w:bookmarkEnd w:id="241"/>
          </w:p>
        </w:tc>
        <w:tc>
          <w:tcPr>
            <w:tcW w:w="2457" w:type="dxa"/>
            <w:noWrap w:val="0"/>
            <w:vAlign w:val="center"/>
          </w:tcPr>
          <w:p>
            <w:pPr>
              <w:pStyle w:val="27"/>
              <w:jc w:val="center"/>
              <w:rPr>
                <w:rFonts w:hint="eastAsia" w:ascii="宋体" w:hAnsi="宋体" w:eastAsia="宋体" w:cs="宋体"/>
                <w:color w:val="auto"/>
                <w:sz w:val="24"/>
                <w:szCs w:val="24"/>
                <w:highlight w:val="none"/>
              </w:rPr>
            </w:pPr>
            <w:bookmarkStart w:id="242" w:name="_Toc485828496"/>
            <w:bookmarkStart w:id="243" w:name="_Toc503794768"/>
            <w:r>
              <w:rPr>
                <w:rFonts w:hint="eastAsia" w:ascii="宋体" w:hAnsi="宋体" w:eastAsia="宋体" w:cs="宋体"/>
                <w:color w:val="auto"/>
                <w:sz w:val="24"/>
                <w:szCs w:val="24"/>
                <w:highlight w:val="none"/>
              </w:rPr>
              <w:t>磋商文件要求</w:t>
            </w:r>
            <w:bookmarkEnd w:id="242"/>
            <w:bookmarkEnd w:id="243"/>
          </w:p>
        </w:tc>
        <w:tc>
          <w:tcPr>
            <w:tcW w:w="2526" w:type="dxa"/>
            <w:noWrap w:val="0"/>
            <w:vAlign w:val="center"/>
          </w:tcPr>
          <w:p>
            <w:pPr>
              <w:pStyle w:val="27"/>
              <w:jc w:val="center"/>
              <w:rPr>
                <w:rFonts w:hint="eastAsia" w:ascii="宋体" w:hAnsi="宋体" w:eastAsia="宋体" w:cs="宋体"/>
                <w:color w:val="auto"/>
                <w:sz w:val="24"/>
                <w:szCs w:val="24"/>
                <w:highlight w:val="none"/>
              </w:rPr>
            </w:pPr>
            <w:bookmarkStart w:id="244" w:name="_Toc485828497"/>
            <w:bookmarkStart w:id="245" w:name="_Toc503794769"/>
            <w:r>
              <w:rPr>
                <w:rFonts w:hint="eastAsia" w:ascii="宋体" w:hAnsi="宋体" w:eastAsia="宋体" w:cs="宋体"/>
                <w:color w:val="auto"/>
                <w:sz w:val="24"/>
                <w:szCs w:val="24"/>
                <w:highlight w:val="none"/>
              </w:rPr>
              <w:t>磋商应答</w:t>
            </w:r>
            <w:bookmarkEnd w:id="244"/>
            <w:bookmarkEnd w:id="245"/>
          </w:p>
        </w:tc>
        <w:tc>
          <w:tcPr>
            <w:tcW w:w="1949" w:type="dxa"/>
            <w:noWrap w:val="0"/>
            <w:vAlign w:val="center"/>
          </w:tcPr>
          <w:p>
            <w:pPr>
              <w:pStyle w:val="27"/>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08" w:type="dxa"/>
            <w:noWrap w:val="0"/>
            <w:vAlign w:val="center"/>
          </w:tcPr>
          <w:p>
            <w:pPr>
              <w:pStyle w:val="27"/>
              <w:jc w:val="center"/>
              <w:rPr>
                <w:rFonts w:hint="eastAsia" w:ascii="宋体" w:hAnsi="宋体" w:eastAsia="宋体" w:cs="宋体"/>
                <w:color w:val="auto"/>
                <w:sz w:val="24"/>
                <w:szCs w:val="24"/>
                <w:highlight w:val="none"/>
              </w:rPr>
            </w:pPr>
          </w:p>
        </w:tc>
        <w:tc>
          <w:tcPr>
            <w:tcW w:w="2457" w:type="dxa"/>
            <w:noWrap w:val="0"/>
            <w:vAlign w:val="center"/>
          </w:tcPr>
          <w:p>
            <w:pPr>
              <w:pStyle w:val="27"/>
              <w:jc w:val="center"/>
              <w:rPr>
                <w:rFonts w:hint="eastAsia" w:ascii="宋体" w:hAnsi="宋体" w:eastAsia="宋体" w:cs="宋体"/>
                <w:color w:val="auto"/>
                <w:sz w:val="24"/>
                <w:szCs w:val="24"/>
                <w:highlight w:val="none"/>
              </w:rPr>
            </w:pPr>
          </w:p>
        </w:tc>
        <w:tc>
          <w:tcPr>
            <w:tcW w:w="2526" w:type="dxa"/>
            <w:noWrap w:val="0"/>
            <w:vAlign w:val="center"/>
          </w:tcPr>
          <w:p>
            <w:pPr>
              <w:pStyle w:val="27"/>
              <w:jc w:val="center"/>
              <w:rPr>
                <w:rFonts w:hint="eastAsia" w:ascii="宋体" w:hAnsi="宋体" w:eastAsia="宋体" w:cs="宋体"/>
                <w:color w:val="auto"/>
                <w:sz w:val="24"/>
                <w:szCs w:val="24"/>
                <w:highlight w:val="none"/>
              </w:rPr>
            </w:pPr>
          </w:p>
        </w:tc>
        <w:tc>
          <w:tcPr>
            <w:tcW w:w="1949" w:type="dxa"/>
            <w:noWrap w:val="0"/>
            <w:vAlign w:val="center"/>
          </w:tcPr>
          <w:p>
            <w:pPr>
              <w:pStyle w:val="27"/>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08" w:type="dxa"/>
            <w:noWrap w:val="0"/>
            <w:vAlign w:val="center"/>
          </w:tcPr>
          <w:p>
            <w:pPr>
              <w:pStyle w:val="27"/>
              <w:jc w:val="center"/>
              <w:rPr>
                <w:rFonts w:hint="eastAsia" w:ascii="宋体" w:hAnsi="宋体" w:eastAsia="宋体" w:cs="宋体"/>
                <w:color w:val="auto"/>
                <w:sz w:val="24"/>
                <w:szCs w:val="24"/>
                <w:highlight w:val="none"/>
              </w:rPr>
            </w:pPr>
          </w:p>
        </w:tc>
        <w:tc>
          <w:tcPr>
            <w:tcW w:w="2457" w:type="dxa"/>
            <w:noWrap w:val="0"/>
            <w:vAlign w:val="center"/>
          </w:tcPr>
          <w:p>
            <w:pPr>
              <w:pStyle w:val="27"/>
              <w:jc w:val="center"/>
              <w:rPr>
                <w:rFonts w:hint="eastAsia" w:ascii="宋体" w:hAnsi="宋体" w:eastAsia="宋体" w:cs="宋体"/>
                <w:color w:val="auto"/>
                <w:sz w:val="24"/>
                <w:szCs w:val="24"/>
                <w:highlight w:val="none"/>
              </w:rPr>
            </w:pPr>
          </w:p>
        </w:tc>
        <w:tc>
          <w:tcPr>
            <w:tcW w:w="2526" w:type="dxa"/>
            <w:noWrap w:val="0"/>
            <w:vAlign w:val="center"/>
          </w:tcPr>
          <w:p>
            <w:pPr>
              <w:pStyle w:val="27"/>
              <w:jc w:val="center"/>
              <w:rPr>
                <w:rFonts w:hint="eastAsia" w:ascii="宋体" w:hAnsi="宋体" w:eastAsia="宋体" w:cs="宋体"/>
                <w:color w:val="auto"/>
                <w:sz w:val="24"/>
                <w:szCs w:val="24"/>
                <w:highlight w:val="none"/>
              </w:rPr>
            </w:pPr>
          </w:p>
        </w:tc>
        <w:tc>
          <w:tcPr>
            <w:tcW w:w="1949" w:type="dxa"/>
            <w:noWrap w:val="0"/>
            <w:vAlign w:val="center"/>
          </w:tcPr>
          <w:p>
            <w:pPr>
              <w:pStyle w:val="27"/>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08" w:type="dxa"/>
            <w:noWrap w:val="0"/>
            <w:vAlign w:val="center"/>
          </w:tcPr>
          <w:p>
            <w:pPr>
              <w:pStyle w:val="27"/>
              <w:jc w:val="center"/>
              <w:rPr>
                <w:rFonts w:hint="eastAsia" w:ascii="宋体" w:hAnsi="宋体" w:eastAsia="宋体" w:cs="宋体"/>
                <w:color w:val="auto"/>
                <w:sz w:val="24"/>
                <w:szCs w:val="24"/>
                <w:highlight w:val="none"/>
              </w:rPr>
            </w:pPr>
          </w:p>
        </w:tc>
        <w:tc>
          <w:tcPr>
            <w:tcW w:w="2457" w:type="dxa"/>
            <w:noWrap w:val="0"/>
            <w:vAlign w:val="center"/>
          </w:tcPr>
          <w:p>
            <w:pPr>
              <w:pStyle w:val="27"/>
              <w:jc w:val="center"/>
              <w:rPr>
                <w:rFonts w:hint="eastAsia" w:ascii="宋体" w:hAnsi="宋体" w:eastAsia="宋体" w:cs="宋体"/>
                <w:color w:val="auto"/>
                <w:sz w:val="24"/>
                <w:szCs w:val="24"/>
                <w:highlight w:val="none"/>
              </w:rPr>
            </w:pPr>
          </w:p>
        </w:tc>
        <w:tc>
          <w:tcPr>
            <w:tcW w:w="2526" w:type="dxa"/>
            <w:noWrap w:val="0"/>
            <w:vAlign w:val="center"/>
          </w:tcPr>
          <w:p>
            <w:pPr>
              <w:pStyle w:val="27"/>
              <w:jc w:val="center"/>
              <w:rPr>
                <w:rFonts w:hint="eastAsia" w:ascii="宋体" w:hAnsi="宋体" w:eastAsia="宋体" w:cs="宋体"/>
                <w:color w:val="auto"/>
                <w:sz w:val="24"/>
                <w:szCs w:val="24"/>
                <w:highlight w:val="none"/>
              </w:rPr>
            </w:pPr>
          </w:p>
        </w:tc>
        <w:tc>
          <w:tcPr>
            <w:tcW w:w="1949" w:type="dxa"/>
            <w:noWrap w:val="0"/>
            <w:vAlign w:val="center"/>
          </w:tcPr>
          <w:p>
            <w:pPr>
              <w:pStyle w:val="27"/>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08" w:type="dxa"/>
            <w:noWrap w:val="0"/>
            <w:vAlign w:val="center"/>
          </w:tcPr>
          <w:p>
            <w:pPr>
              <w:pStyle w:val="27"/>
              <w:jc w:val="center"/>
              <w:rPr>
                <w:rFonts w:hint="eastAsia" w:ascii="宋体" w:hAnsi="宋体" w:eastAsia="宋体" w:cs="宋体"/>
                <w:color w:val="auto"/>
                <w:sz w:val="24"/>
                <w:szCs w:val="24"/>
                <w:highlight w:val="none"/>
              </w:rPr>
            </w:pPr>
          </w:p>
        </w:tc>
        <w:tc>
          <w:tcPr>
            <w:tcW w:w="2457" w:type="dxa"/>
            <w:noWrap w:val="0"/>
            <w:vAlign w:val="center"/>
          </w:tcPr>
          <w:p>
            <w:pPr>
              <w:pStyle w:val="27"/>
              <w:jc w:val="center"/>
              <w:rPr>
                <w:rFonts w:hint="eastAsia" w:ascii="宋体" w:hAnsi="宋体" w:eastAsia="宋体" w:cs="宋体"/>
                <w:color w:val="auto"/>
                <w:sz w:val="24"/>
                <w:szCs w:val="24"/>
                <w:highlight w:val="none"/>
              </w:rPr>
            </w:pPr>
          </w:p>
        </w:tc>
        <w:tc>
          <w:tcPr>
            <w:tcW w:w="2526" w:type="dxa"/>
            <w:noWrap w:val="0"/>
            <w:vAlign w:val="center"/>
          </w:tcPr>
          <w:p>
            <w:pPr>
              <w:pStyle w:val="27"/>
              <w:jc w:val="center"/>
              <w:rPr>
                <w:rFonts w:hint="eastAsia" w:ascii="宋体" w:hAnsi="宋体" w:eastAsia="宋体" w:cs="宋体"/>
                <w:color w:val="auto"/>
                <w:sz w:val="24"/>
                <w:szCs w:val="24"/>
                <w:highlight w:val="none"/>
              </w:rPr>
            </w:pPr>
          </w:p>
        </w:tc>
        <w:tc>
          <w:tcPr>
            <w:tcW w:w="1949" w:type="dxa"/>
            <w:noWrap w:val="0"/>
            <w:vAlign w:val="center"/>
          </w:tcPr>
          <w:p>
            <w:pPr>
              <w:pStyle w:val="27"/>
              <w:jc w:val="center"/>
              <w:rPr>
                <w:rFonts w:hint="eastAsia" w:ascii="宋体" w:hAnsi="宋体" w:eastAsia="宋体" w:cs="宋体"/>
                <w:color w:val="auto"/>
                <w:sz w:val="24"/>
                <w:szCs w:val="24"/>
                <w:highlight w:val="none"/>
              </w:rPr>
            </w:pPr>
          </w:p>
        </w:tc>
      </w:tr>
    </w:tbl>
    <w:p>
      <w:pPr>
        <w:widowControl/>
        <w:spacing w:line="360" w:lineRule="auto"/>
        <w:ind w:firstLine="480"/>
        <w:rPr>
          <w:rFonts w:hint="eastAsia" w:ascii="宋体" w:hAnsi="宋体" w:eastAsia="宋体" w:cs="宋体"/>
          <w:color w:val="auto"/>
          <w:sz w:val="24"/>
          <w:szCs w:val="24"/>
          <w:highlight w:val="none"/>
        </w:rPr>
      </w:pPr>
      <w:bookmarkStart w:id="246" w:name="_Toc503794772"/>
      <w:bookmarkStart w:id="247" w:name="_Toc485828498"/>
      <w:r>
        <w:rPr>
          <w:rFonts w:hint="eastAsia" w:ascii="宋体" w:hAnsi="宋体" w:eastAsia="宋体" w:cs="宋体"/>
          <w:color w:val="auto"/>
          <w:sz w:val="24"/>
          <w:szCs w:val="24"/>
          <w:highlight w:val="none"/>
        </w:rPr>
        <w:t>注：</w:t>
      </w:r>
      <w:bookmarkEnd w:id="246"/>
      <w:bookmarkEnd w:id="247"/>
      <w:r>
        <w:rPr>
          <w:rFonts w:hint="eastAsia" w:ascii="宋体" w:hAnsi="宋体" w:eastAsia="宋体" w:cs="宋体"/>
          <w:color w:val="auto"/>
          <w:sz w:val="24"/>
          <w:highlight w:val="none"/>
        </w:rPr>
        <w:t>供应商若完全满足竞争性磋商文件要求的，可不填写。若有偏离，应逐一填写。供应商不得虚假响应，否则将取消其报价或成交资格，并按有关规定进行处罚。</w:t>
      </w:r>
    </w:p>
    <w:p>
      <w:pPr>
        <w:widowControl/>
        <w:spacing w:line="360" w:lineRule="auto"/>
        <w:ind w:firstLine="480"/>
        <w:rPr>
          <w:rFonts w:hint="eastAsia" w:ascii="宋体" w:hAnsi="宋体" w:eastAsia="宋体" w:cs="宋体"/>
          <w:color w:val="auto"/>
          <w:sz w:val="24"/>
          <w:szCs w:val="24"/>
          <w:highlight w:val="none"/>
        </w:rPr>
      </w:pPr>
    </w:p>
    <w:p>
      <w:pPr>
        <w:widowControl/>
        <w:spacing w:line="360" w:lineRule="auto"/>
        <w:ind w:firstLine="480"/>
        <w:rPr>
          <w:rFonts w:hint="eastAsia" w:ascii="宋体" w:hAnsi="宋体" w:eastAsia="宋体" w:cs="宋体"/>
          <w:color w:val="auto"/>
          <w:sz w:val="24"/>
          <w:szCs w:val="24"/>
          <w:highlight w:val="none"/>
        </w:rPr>
      </w:pPr>
    </w:p>
    <w:p>
      <w:pPr>
        <w:widowControl/>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（单位盖章）</w:t>
      </w:r>
    </w:p>
    <w:p>
      <w:pPr>
        <w:widowControl/>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（签字或加盖个人名章）</w:t>
      </w:r>
    </w:p>
    <w:p>
      <w:pPr>
        <w:widowControl/>
        <w:spacing w:line="360" w:lineRule="auto"/>
        <w:ind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pPr>
        <w:pStyle w:val="26"/>
        <w:spacing w:before="156" w:after="156" w:line="360" w:lineRule="auto"/>
        <w:rPr>
          <w:rFonts w:hint="eastAsia" w:ascii="宋体" w:hAnsi="宋体" w:eastAsia="宋体" w:cs="宋体"/>
          <w:color w:val="auto"/>
          <w:sz w:val="24"/>
          <w:szCs w:val="24"/>
          <w:highlight w:val="none"/>
        </w:rPr>
      </w:pPr>
      <w:bookmarkStart w:id="248" w:name="_Toc485400619"/>
      <w:bookmarkStart w:id="249" w:name="_Toc485400402"/>
      <w:r>
        <w:rPr>
          <w:rFonts w:hint="eastAsia" w:ascii="宋体" w:hAnsi="宋体" w:eastAsia="宋体" w:cs="宋体"/>
          <w:color w:val="auto"/>
          <w:sz w:val="24"/>
          <w:szCs w:val="24"/>
          <w:highlight w:val="none"/>
        </w:rPr>
        <w:br w:type="page"/>
      </w:r>
      <w:bookmarkStart w:id="250" w:name="_Toc1794"/>
      <w:bookmarkStart w:id="251" w:name="_Toc28573"/>
      <w:bookmarkStart w:id="252" w:name="_Toc485828499"/>
      <w:bookmarkStart w:id="253" w:name="_Toc3014"/>
      <w:bookmarkStart w:id="254" w:name="_Toc503794774"/>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、技术、服务应答表</w:t>
      </w:r>
      <w:bookmarkEnd w:id="248"/>
      <w:bookmarkEnd w:id="249"/>
      <w:bookmarkEnd w:id="250"/>
      <w:bookmarkEnd w:id="251"/>
      <w:bookmarkEnd w:id="252"/>
      <w:bookmarkEnd w:id="253"/>
      <w:bookmarkEnd w:id="254"/>
    </w:p>
    <w:p>
      <w:pPr>
        <w:widowControl/>
        <w:ind w:firstLine="240" w:firstLineChars="100"/>
        <w:rPr>
          <w:rFonts w:hint="eastAsia" w:ascii="宋体" w:hAnsi="宋体" w:eastAsia="宋体" w:cs="宋体"/>
          <w:color w:val="auto"/>
          <w:sz w:val="24"/>
          <w:szCs w:val="24"/>
          <w:highlight w:val="none"/>
        </w:rPr>
      </w:pPr>
      <w:bookmarkStart w:id="255" w:name="_Toc485400620"/>
      <w:bookmarkStart w:id="256" w:name="_Toc485828500"/>
      <w:bookmarkStart w:id="257" w:name="_Toc503794775"/>
      <w:bookmarkStart w:id="258" w:name="_Toc485400403"/>
    </w:p>
    <w:p>
      <w:pPr>
        <w:widowControl/>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bookmarkEnd w:id="255"/>
      <w:bookmarkEnd w:id="256"/>
      <w:bookmarkEnd w:id="257"/>
      <w:bookmarkEnd w:id="258"/>
    </w:p>
    <w:tbl>
      <w:tblPr>
        <w:tblStyle w:val="16"/>
        <w:tblW w:w="9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501"/>
        <w:gridCol w:w="2766"/>
        <w:gridCol w:w="2879"/>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Align w:val="center"/>
          </w:tcPr>
          <w:p>
            <w:pPr>
              <w:pStyle w:val="35"/>
              <w:spacing w:line="440" w:lineRule="exact"/>
              <w:jc w:val="center"/>
              <w:rPr>
                <w:rFonts w:hint="eastAsia" w:ascii="宋体" w:hAnsi="宋体" w:eastAsia="宋体" w:cs="宋体"/>
              </w:rPr>
            </w:pPr>
            <w:r>
              <w:rPr>
                <w:rFonts w:hint="eastAsia" w:ascii="宋体" w:hAnsi="宋体" w:eastAsia="宋体" w:cs="宋体"/>
              </w:rPr>
              <w:t>序号</w:t>
            </w:r>
          </w:p>
        </w:tc>
        <w:tc>
          <w:tcPr>
            <w:tcW w:w="1501" w:type="dxa"/>
            <w:vAlign w:val="center"/>
          </w:tcPr>
          <w:p>
            <w:pPr>
              <w:pStyle w:val="35"/>
              <w:spacing w:line="440" w:lineRule="exact"/>
              <w:jc w:val="center"/>
              <w:rPr>
                <w:rFonts w:hint="eastAsia" w:ascii="宋体" w:hAnsi="宋体" w:eastAsia="宋体" w:cs="宋体"/>
              </w:rPr>
            </w:pPr>
            <w:r>
              <w:rPr>
                <w:rFonts w:hint="eastAsia" w:ascii="宋体" w:hAnsi="宋体" w:eastAsia="宋体" w:cs="宋体"/>
              </w:rPr>
              <w:t>服务内容</w:t>
            </w:r>
          </w:p>
        </w:tc>
        <w:tc>
          <w:tcPr>
            <w:tcW w:w="2766" w:type="dxa"/>
            <w:vAlign w:val="center"/>
          </w:tcPr>
          <w:p>
            <w:pPr>
              <w:pStyle w:val="35"/>
              <w:spacing w:line="440" w:lineRule="exact"/>
              <w:jc w:val="center"/>
              <w:rPr>
                <w:rFonts w:hint="eastAsia" w:ascii="宋体" w:hAnsi="宋体" w:eastAsia="宋体" w:cs="宋体"/>
              </w:rPr>
            </w:pPr>
            <w:r>
              <w:rPr>
                <w:rFonts w:hint="eastAsia" w:ascii="宋体" w:hAnsi="宋体" w:eastAsia="宋体" w:cs="宋体"/>
                <w:lang w:eastAsia="zh-CN"/>
              </w:rPr>
              <w:t>磋商</w:t>
            </w:r>
            <w:r>
              <w:rPr>
                <w:rFonts w:hint="eastAsia" w:ascii="宋体" w:hAnsi="宋体" w:eastAsia="宋体" w:cs="宋体"/>
              </w:rPr>
              <w:t>文件</w:t>
            </w:r>
          </w:p>
          <w:p>
            <w:pPr>
              <w:pStyle w:val="35"/>
              <w:spacing w:line="440" w:lineRule="exact"/>
              <w:jc w:val="center"/>
              <w:rPr>
                <w:rFonts w:hint="eastAsia" w:ascii="宋体" w:hAnsi="宋体" w:eastAsia="宋体" w:cs="宋体"/>
              </w:rPr>
            </w:pPr>
            <w:r>
              <w:rPr>
                <w:rFonts w:hint="eastAsia" w:ascii="宋体" w:hAnsi="宋体" w:eastAsia="宋体" w:cs="宋体"/>
              </w:rPr>
              <w:t>“详细的服务要求和相关要求”</w:t>
            </w:r>
          </w:p>
        </w:tc>
        <w:tc>
          <w:tcPr>
            <w:tcW w:w="2879" w:type="dxa"/>
            <w:vAlign w:val="center"/>
          </w:tcPr>
          <w:p>
            <w:pPr>
              <w:pStyle w:val="35"/>
              <w:spacing w:line="440" w:lineRule="exact"/>
              <w:jc w:val="center"/>
              <w:rPr>
                <w:rFonts w:hint="eastAsia" w:ascii="宋体" w:hAnsi="宋体" w:eastAsia="宋体" w:cs="宋体"/>
              </w:rPr>
            </w:pPr>
            <w:r>
              <w:rPr>
                <w:rFonts w:hint="eastAsia" w:ascii="宋体" w:hAnsi="宋体" w:eastAsia="宋体" w:cs="宋体"/>
                <w:lang w:eastAsia="zh-CN"/>
              </w:rPr>
              <w:t>响应</w:t>
            </w:r>
            <w:r>
              <w:rPr>
                <w:rFonts w:hint="eastAsia" w:ascii="宋体" w:hAnsi="宋体" w:eastAsia="宋体" w:cs="宋体"/>
              </w:rPr>
              <w:t>文件</w:t>
            </w:r>
          </w:p>
          <w:p>
            <w:pPr>
              <w:pStyle w:val="35"/>
              <w:spacing w:line="440" w:lineRule="exact"/>
              <w:jc w:val="center"/>
              <w:rPr>
                <w:rFonts w:hint="eastAsia" w:ascii="宋体" w:hAnsi="宋体" w:eastAsia="宋体" w:cs="宋体"/>
              </w:rPr>
            </w:pPr>
            <w:r>
              <w:rPr>
                <w:rFonts w:hint="eastAsia" w:ascii="宋体" w:hAnsi="宋体" w:eastAsia="宋体" w:cs="宋体"/>
              </w:rPr>
              <w:t>“详细的服务要求和相关要求”</w:t>
            </w:r>
          </w:p>
        </w:tc>
        <w:tc>
          <w:tcPr>
            <w:tcW w:w="1394" w:type="dxa"/>
            <w:vAlign w:val="center"/>
          </w:tcPr>
          <w:p>
            <w:pPr>
              <w:pStyle w:val="35"/>
              <w:spacing w:line="440" w:lineRule="exact"/>
              <w:jc w:val="center"/>
              <w:rPr>
                <w:rFonts w:hint="eastAsia" w:ascii="宋体" w:hAnsi="宋体" w:eastAsia="宋体" w:cs="宋体"/>
              </w:rPr>
            </w:pPr>
            <w:r>
              <w:rPr>
                <w:rFonts w:hint="eastAsia" w:ascii="宋体" w:hAnsi="宋体" w:eastAsia="宋体" w:cs="宋体"/>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tcPr>
          <w:p>
            <w:pPr>
              <w:pStyle w:val="35"/>
              <w:spacing w:line="440" w:lineRule="exact"/>
              <w:rPr>
                <w:rFonts w:hint="eastAsia" w:ascii="宋体" w:hAnsi="宋体" w:eastAsia="宋体" w:cs="宋体"/>
              </w:rPr>
            </w:pPr>
          </w:p>
        </w:tc>
        <w:tc>
          <w:tcPr>
            <w:tcW w:w="1501" w:type="dxa"/>
          </w:tcPr>
          <w:p>
            <w:pPr>
              <w:pStyle w:val="35"/>
              <w:spacing w:line="440" w:lineRule="exact"/>
              <w:rPr>
                <w:rFonts w:hint="eastAsia" w:ascii="宋体" w:hAnsi="宋体" w:eastAsia="宋体" w:cs="宋体"/>
              </w:rPr>
            </w:pPr>
          </w:p>
        </w:tc>
        <w:tc>
          <w:tcPr>
            <w:tcW w:w="2766" w:type="dxa"/>
          </w:tcPr>
          <w:p>
            <w:pPr>
              <w:pStyle w:val="35"/>
              <w:spacing w:line="440" w:lineRule="exact"/>
              <w:rPr>
                <w:rFonts w:hint="eastAsia" w:ascii="宋体" w:hAnsi="宋体" w:eastAsia="宋体" w:cs="宋体"/>
              </w:rPr>
            </w:pPr>
          </w:p>
        </w:tc>
        <w:tc>
          <w:tcPr>
            <w:tcW w:w="2879" w:type="dxa"/>
          </w:tcPr>
          <w:p>
            <w:pPr>
              <w:pStyle w:val="35"/>
              <w:spacing w:line="440" w:lineRule="exact"/>
              <w:rPr>
                <w:rFonts w:hint="eastAsia" w:ascii="宋体" w:hAnsi="宋体" w:eastAsia="宋体" w:cs="宋体"/>
              </w:rPr>
            </w:pPr>
          </w:p>
        </w:tc>
        <w:tc>
          <w:tcPr>
            <w:tcW w:w="1394" w:type="dxa"/>
          </w:tcPr>
          <w:p>
            <w:pPr>
              <w:pStyle w:val="35"/>
              <w:spacing w:line="440" w:lineRule="exac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tcPr>
          <w:p>
            <w:pPr>
              <w:pStyle w:val="35"/>
              <w:spacing w:line="440" w:lineRule="exact"/>
              <w:rPr>
                <w:rFonts w:hint="eastAsia" w:ascii="宋体" w:hAnsi="宋体" w:eastAsia="宋体" w:cs="宋体"/>
              </w:rPr>
            </w:pPr>
          </w:p>
        </w:tc>
        <w:tc>
          <w:tcPr>
            <w:tcW w:w="1501" w:type="dxa"/>
          </w:tcPr>
          <w:p>
            <w:pPr>
              <w:pStyle w:val="35"/>
              <w:spacing w:line="440" w:lineRule="exact"/>
              <w:rPr>
                <w:rFonts w:hint="eastAsia" w:ascii="宋体" w:hAnsi="宋体" w:eastAsia="宋体" w:cs="宋体"/>
              </w:rPr>
            </w:pPr>
          </w:p>
        </w:tc>
        <w:tc>
          <w:tcPr>
            <w:tcW w:w="2766" w:type="dxa"/>
          </w:tcPr>
          <w:p>
            <w:pPr>
              <w:pStyle w:val="35"/>
              <w:spacing w:line="440" w:lineRule="exact"/>
              <w:rPr>
                <w:rFonts w:hint="eastAsia" w:ascii="宋体" w:hAnsi="宋体" w:eastAsia="宋体" w:cs="宋体"/>
              </w:rPr>
            </w:pPr>
          </w:p>
        </w:tc>
        <w:tc>
          <w:tcPr>
            <w:tcW w:w="2879" w:type="dxa"/>
          </w:tcPr>
          <w:p>
            <w:pPr>
              <w:pStyle w:val="35"/>
              <w:spacing w:line="440" w:lineRule="exact"/>
              <w:rPr>
                <w:rFonts w:hint="eastAsia" w:ascii="宋体" w:hAnsi="宋体" w:eastAsia="宋体" w:cs="宋体"/>
              </w:rPr>
            </w:pPr>
          </w:p>
        </w:tc>
        <w:tc>
          <w:tcPr>
            <w:tcW w:w="1394" w:type="dxa"/>
          </w:tcPr>
          <w:p>
            <w:pPr>
              <w:pStyle w:val="35"/>
              <w:spacing w:line="440" w:lineRule="exac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tcPr>
          <w:p>
            <w:pPr>
              <w:pStyle w:val="35"/>
              <w:spacing w:line="440" w:lineRule="exact"/>
              <w:rPr>
                <w:rFonts w:hint="eastAsia" w:ascii="宋体" w:hAnsi="宋体" w:eastAsia="宋体" w:cs="宋体"/>
              </w:rPr>
            </w:pPr>
          </w:p>
        </w:tc>
        <w:tc>
          <w:tcPr>
            <w:tcW w:w="1501" w:type="dxa"/>
          </w:tcPr>
          <w:p>
            <w:pPr>
              <w:pStyle w:val="35"/>
              <w:spacing w:line="440" w:lineRule="exact"/>
              <w:rPr>
                <w:rFonts w:hint="eastAsia" w:ascii="宋体" w:hAnsi="宋体" w:eastAsia="宋体" w:cs="宋体"/>
              </w:rPr>
            </w:pPr>
          </w:p>
        </w:tc>
        <w:tc>
          <w:tcPr>
            <w:tcW w:w="2766" w:type="dxa"/>
          </w:tcPr>
          <w:p>
            <w:pPr>
              <w:pStyle w:val="35"/>
              <w:spacing w:line="440" w:lineRule="exact"/>
              <w:rPr>
                <w:rFonts w:hint="eastAsia" w:ascii="宋体" w:hAnsi="宋体" w:eastAsia="宋体" w:cs="宋体"/>
              </w:rPr>
            </w:pPr>
          </w:p>
        </w:tc>
        <w:tc>
          <w:tcPr>
            <w:tcW w:w="2879" w:type="dxa"/>
          </w:tcPr>
          <w:p>
            <w:pPr>
              <w:pStyle w:val="35"/>
              <w:spacing w:line="440" w:lineRule="exact"/>
              <w:rPr>
                <w:rFonts w:hint="eastAsia" w:ascii="宋体" w:hAnsi="宋体" w:eastAsia="宋体" w:cs="宋体"/>
              </w:rPr>
            </w:pPr>
          </w:p>
        </w:tc>
        <w:tc>
          <w:tcPr>
            <w:tcW w:w="1394" w:type="dxa"/>
          </w:tcPr>
          <w:p>
            <w:pPr>
              <w:pStyle w:val="35"/>
              <w:spacing w:line="440" w:lineRule="exac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tcPr>
          <w:p>
            <w:pPr>
              <w:pStyle w:val="35"/>
              <w:spacing w:line="440" w:lineRule="exact"/>
              <w:rPr>
                <w:rFonts w:hint="eastAsia" w:ascii="宋体" w:hAnsi="宋体" w:eastAsia="宋体" w:cs="宋体"/>
              </w:rPr>
            </w:pPr>
          </w:p>
        </w:tc>
        <w:tc>
          <w:tcPr>
            <w:tcW w:w="1501" w:type="dxa"/>
          </w:tcPr>
          <w:p>
            <w:pPr>
              <w:pStyle w:val="35"/>
              <w:spacing w:line="440" w:lineRule="exact"/>
              <w:rPr>
                <w:rFonts w:hint="eastAsia" w:ascii="宋体" w:hAnsi="宋体" w:eastAsia="宋体" w:cs="宋体"/>
              </w:rPr>
            </w:pPr>
          </w:p>
        </w:tc>
        <w:tc>
          <w:tcPr>
            <w:tcW w:w="2766" w:type="dxa"/>
          </w:tcPr>
          <w:p>
            <w:pPr>
              <w:pStyle w:val="35"/>
              <w:spacing w:line="440" w:lineRule="exact"/>
              <w:rPr>
                <w:rFonts w:hint="eastAsia" w:ascii="宋体" w:hAnsi="宋体" w:eastAsia="宋体" w:cs="宋体"/>
              </w:rPr>
            </w:pPr>
          </w:p>
        </w:tc>
        <w:tc>
          <w:tcPr>
            <w:tcW w:w="2879" w:type="dxa"/>
          </w:tcPr>
          <w:p>
            <w:pPr>
              <w:pStyle w:val="35"/>
              <w:spacing w:line="440" w:lineRule="exact"/>
              <w:rPr>
                <w:rFonts w:hint="eastAsia" w:ascii="宋体" w:hAnsi="宋体" w:eastAsia="宋体" w:cs="宋体"/>
              </w:rPr>
            </w:pPr>
          </w:p>
        </w:tc>
        <w:tc>
          <w:tcPr>
            <w:tcW w:w="1394" w:type="dxa"/>
          </w:tcPr>
          <w:p>
            <w:pPr>
              <w:pStyle w:val="35"/>
              <w:spacing w:line="440" w:lineRule="exac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tcPr>
          <w:p>
            <w:pPr>
              <w:pStyle w:val="35"/>
              <w:spacing w:line="440" w:lineRule="exact"/>
              <w:rPr>
                <w:rFonts w:hint="eastAsia" w:ascii="宋体" w:hAnsi="宋体" w:eastAsia="宋体" w:cs="宋体"/>
              </w:rPr>
            </w:pPr>
          </w:p>
        </w:tc>
        <w:tc>
          <w:tcPr>
            <w:tcW w:w="1501" w:type="dxa"/>
          </w:tcPr>
          <w:p>
            <w:pPr>
              <w:pStyle w:val="35"/>
              <w:spacing w:line="440" w:lineRule="exact"/>
              <w:rPr>
                <w:rFonts w:hint="eastAsia" w:ascii="宋体" w:hAnsi="宋体" w:eastAsia="宋体" w:cs="宋体"/>
              </w:rPr>
            </w:pPr>
          </w:p>
        </w:tc>
        <w:tc>
          <w:tcPr>
            <w:tcW w:w="2766" w:type="dxa"/>
          </w:tcPr>
          <w:p>
            <w:pPr>
              <w:pStyle w:val="35"/>
              <w:spacing w:line="440" w:lineRule="exact"/>
              <w:rPr>
                <w:rFonts w:hint="eastAsia" w:ascii="宋体" w:hAnsi="宋体" w:eastAsia="宋体" w:cs="宋体"/>
              </w:rPr>
            </w:pPr>
          </w:p>
        </w:tc>
        <w:tc>
          <w:tcPr>
            <w:tcW w:w="2879" w:type="dxa"/>
          </w:tcPr>
          <w:p>
            <w:pPr>
              <w:pStyle w:val="35"/>
              <w:spacing w:line="440" w:lineRule="exact"/>
              <w:rPr>
                <w:rFonts w:hint="eastAsia" w:ascii="宋体" w:hAnsi="宋体" w:eastAsia="宋体" w:cs="宋体"/>
              </w:rPr>
            </w:pPr>
          </w:p>
        </w:tc>
        <w:tc>
          <w:tcPr>
            <w:tcW w:w="1394" w:type="dxa"/>
          </w:tcPr>
          <w:p>
            <w:pPr>
              <w:pStyle w:val="35"/>
              <w:spacing w:line="440" w:lineRule="exac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tcPr>
          <w:p>
            <w:pPr>
              <w:pStyle w:val="35"/>
              <w:spacing w:line="440" w:lineRule="exact"/>
              <w:rPr>
                <w:rFonts w:hint="eastAsia" w:ascii="宋体" w:hAnsi="宋体" w:eastAsia="宋体" w:cs="宋体"/>
              </w:rPr>
            </w:pPr>
          </w:p>
        </w:tc>
        <w:tc>
          <w:tcPr>
            <w:tcW w:w="1501" w:type="dxa"/>
          </w:tcPr>
          <w:p>
            <w:pPr>
              <w:pStyle w:val="35"/>
              <w:spacing w:line="440" w:lineRule="exact"/>
              <w:rPr>
                <w:rFonts w:hint="eastAsia" w:ascii="宋体" w:hAnsi="宋体" w:eastAsia="宋体" w:cs="宋体"/>
              </w:rPr>
            </w:pPr>
          </w:p>
        </w:tc>
        <w:tc>
          <w:tcPr>
            <w:tcW w:w="2766" w:type="dxa"/>
          </w:tcPr>
          <w:p>
            <w:pPr>
              <w:pStyle w:val="35"/>
              <w:spacing w:line="440" w:lineRule="exact"/>
              <w:rPr>
                <w:rFonts w:hint="eastAsia" w:ascii="宋体" w:hAnsi="宋体" w:eastAsia="宋体" w:cs="宋体"/>
              </w:rPr>
            </w:pPr>
          </w:p>
        </w:tc>
        <w:tc>
          <w:tcPr>
            <w:tcW w:w="2879" w:type="dxa"/>
          </w:tcPr>
          <w:p>
            <w:pPr>
              <w:pStyle w:val="35"/>
              <w:spacing w:line="440" w:lineRule="exact"/>
              <w:rPr>
                <w:rFonts w:hint="eastAsia" w:ascii="宋体" w:hAnsi="宋体" w:eastAsia="宋体" w:cs="宋体"/>
              </w:rPr>
            </w:pPr>
          </w:p>
        </w:tc>
        <w:tc>
          <w:tcPr>
            <w:tcW w:w="1394" w:type="dxa"/>
          </w:tcPr>
          <w:p>
            <w:pPr>
              <w:pStyle w:val="35"/>
              <w:spacing w:line="440" w:lineRule="exac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tcPr>
          <w:p>
            <w:pPr>
              <w:pStyle w:val="35"/>
              <w:spacing w:line="440" w:lineRule="exact"/>
              <w:rPr>
                <w:rFonts w:hint="eastAsia" w:ascii="宋体" w:hAnsi="宋体" w:eastAsia="宋体" w:cs="宋体"/>
              </w:rPr>
            </w:pPr>
          </w:p>
        </w:tc>
        <w:tc>
          <w:tcPr>
            <w:tcW w:w="1501" w:type="dxa"/>
          </w:tcPr>
          <w:p>
            <w:pPr>
              <w:pStyle w:val="35"/>
              <w:spacing w:line="440" w:lineRule="exact"/>
              <w:rPr>
                <w:rFonts w:hint="eastAsia" w:ascii="宋体" w:hAnsi="宋体" w:eastAsia="宋体" w:cs="宋体"/>
              </w:rPr>
            </w:pPr>
          </w:p>
        </w:tc>
        <w:tc>
          <w:tcPr>
            <w:tcW w:w="2766" w:type="dxa"/>
          </w:tcPr>
          <w:p>
            <w:pPr>
              <w:pStyle w:val="35"/>
              <w:spacing w:line="440" w:lineRule="exact"/>
              <w:rPr>
                <w:rFonts w:hint="eastAsia" w:ascii="宋体" w:hAnsi="宋体" w:eastAsia="宋体" w:cs="宋体"/>
              </w:rPr>
            </w:pPr>
          </w:p>
        </w:tc>
        <w:tc>
          <w:tcPr>
            <w:tcW w:w="2879" w:type="dxa"/>
          </w:tcPr>
          <w:p>
            <w:pPr>
              <w:pStyle w:val="35"/>
              <w:spacing w:line="440" w:lineRule="exact"/>
              <w:rPr>
                <w:rFonts w:hint="eastAsia" w:ascii="宋体" w:hAnsi="宋体" w:eastAsia="宋体" w:cs="宋体"/>
              </w:rPr>
            </w:pPr>
          </w:p>
        </w:tc>
        <w:tc>
          <w:tcPr>
            <w:tcW w:w="1394" w:type="dxa"/>
          </w:tcPr>
          <w:p>
            <w:pPr>
              <w:pStyle w:val="35"/>
              <w:spacing w:line="440" w:lineRule="exact"/>
              <w:rPr>
                <w:rFonts w:hint="eastAsia" w:ascii="宋体" w:hAnsi="宋体" w:eastAsia="宋体" w:cs="宋体"/>
              </w:rPr>
            </w:pPr>
          </w:p>
        </w:tc>
      </w:tr>
    </w:tbl>
    <w:p>
      <w:pPr>
        <w:widowControl/>
        <w:ind w:firstLine="480"/>
        <w:rPr>
          <w:rFonts w:hint="eastAsia" w:ascii="宋体" w:hAnsi="宋体" w:eastAsia="宋体" w:cs="宋体"/>
          <w:color w:val="auto"/>
          <w:sz w:val="24"/>
          <w:szCs w:val="24"/>
          <w:highlight w:val="none"/>
        </w:rPr>
      </w:pPr>
    </w:p>
    <w:p>
      <w:pPr>
        <w:widowControl/>
        <w:spacing w:line="360" w:lineRule="auto"/>
        <w:ind w:firstLine="480"/>
        <w:rPr>
          <w:rFonts w:hint="eastAsia" w:ascii="宋体" w:hAnsi="宋体" w:eastAsia="宋体" w:cs="宋体"/>
          <w:color w:val="auto"/>
          <w:sz w:val="24"/>
          <w:highlight w:val="none"/>
        </w:rPr>
      </w:pPr>
      <w:bookmarkStart w:id="259" w:name="_Toc485828504"/>
      <w:bookmarkStart w:id="260" w:name="_Toc485400407"/>
      <w:bookmarkStart w:id="261" w:name="_Toc485400624"/>
      <w:bookmarkStart w:id="262" w:name="_Toc503794779"/>
      <w:r>
        <w:rPr>
          <w:rFonts w:hint="eastAsia" w:ascii="宋体" w:hAnsi="宋体" w:eastAsia="宋体" w:cs="宋体"/>
          <w:color w:val="auto"/>
          <w:sz w:val="24"/>
          <w:szCs w:val="24"/>
          <w:highlight w:val="none"/>
        </w:rPr>
        <w:t>注：</w:t>
      </w:r>
      <w:bookmarkEnd w:id="259"/>
      <w:bookmarkEnd w:id="260"/>
      <w:bookmarkEnd w:id="261"/>
      <w:bookmarkEnd w:id="262"/>
      <w:r>
        <w:rPr>
          <w:rFonts w:hint="eastAsia" w:ascii="宋体" w:hAnsi="宋体" w:cs="宋体"/>
          <w:color w:val="auto"/>
          <w:sz w:val="24"/>
          <w:szCs w:val="24"/>
          <w:highlight w:val="none"/>
          <w:lang w:val="en-US" w:eastAsia="zh-CN"/>
        </w:rPr>
        <w:t>1.</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必须把</w:t>
      </w:r>
      <w:r>
        <w:rPr>
          <w:rFonts w:hint="eastAsia" w:ascii="宋体" w:hAnsi="宋体" w:cs="宋体"/>
          <w:color w:val="auto"/>
          <w:sz w:val="24"/>
          <w:highlight w:val="none"/>
          <w:lang w:eastAsia="zh-CN"/>
        </w:rPr>
        <w:t>磋商</w:t>
      </w:r>
      <w:r>
        <w:rPr>
          <w:rFonts w:hint="eastAsia" w:ascii="宋体" w:hAnsi="宋体" w:eastAsia="宋体" w:cs="宋体"/>
          <w:color w:val="auto"/>
          <w:sz w:val="24"/>
          <w:highlight w:val="none"/>
        </w:rPr>
        <w:t>项目的全部详细的服务要求和相关要求（含</w:t>
      </w:r>
      <w:r>
        <w:rPr>
          <w:rFonts w:hint="eastAsia" w:ascii="宋体" w:hAnsi="宋体" w:cs="宋体"/>
          <w:color w:val="auto"/>
          <w:sz w:val="24"/>
          <w:highlight w:val="none"/>
          <w:lang w:eastAsia="zh-CN"/>
        </w:rPr>
        <w:t>磋商</w:t>
      </w:r>
      <w:r>
        <w:rPr>
          <w:rFonts w:hint="eastAsia" w:ascii="宋体" w:hAnsi="宋体" w:eastAsia="宋体" w:cs="宋体"/>
          <w:color w:val="auto"/>
          <w:sz w:val="24"/>
          <w:highlight w:val="none"/>
        </w:rPr>
        <w:t>文件要求和投标服务内容及相关要求）列入此表，否则按无效投标处理（</w:t>
      </w:r>
      <w:r>
        <w:rPr>
          <w:rFonts w:hint="eastAsia" w:ascii="宋体" w:hAnsi="宋体" w:cs="宋体"/>
          <w:color w:val="auto"/>
          <w:sz w:val="24"/>
          <w:highlight w:val="none"/>
          <w:lang w:eastAsia="zh-CN"/>
        </w:rPr>
        <w:t>磋商</w:t>
      </w:r>
      <w:r>
        <w:rPr>
          <w:rFonts w:hint="eastAsia" w:ascii="宋体" w:hAnsi="宋体" w:eastAsia="宋体" w:cs="宋体"/>
          <w:color w:val="auto"/>
          <w:sz w:val="24"/>
          <w:highlight w:val="none"/>
        </w:rPr>
        <w:t>文件要求是指第</w:t>
      </w:r>
      <w:r>
        <w:rPr>
          <w:rFonts w:hint="eastAsia" w:ascii="宋体" w:hAnsi="宋体" w:cs="宋体"/>
          <w:color w:val="auto"/>
          <w:sz w:val="24"/>
          <w:highlight w:val="none"/>
          <w:lang w:eastAsia="zh-CN"/>
        </w:rPr>
        <w:t>五</w:t>
      </w:r>
      <w:r>
        <w:rPr>
          <w:rFonts w:hint="eastAsia" w:ascii="宋体" w:hAnsi="宋体" w:eastAsia="宋体" w:cs="宋体"/>
          <w:color w:val="auto"/>
          <w:sz w:val="24"/>
          <w:highlight w:val="none"/>
        </w:rPr>
        <w:t>章“详细的服务要求和相关要求”，投标服务内容及相关要求是指投标人对第</w:t>
      </w:r>
      <w:r>
        <w:rPr>
          <w:rFonts w:hint="eastAsia" w:ascii="宋体" w:hAnsi="宋体" w:cs="宋体"/>
          <w:color w:val="auto"/>
          <w:sz w:val="24"/>
          <w:highlight w:val="none"/>
          <w:lang w:eastAsia="zh-CN"/>
        </w:rPr>
        <w:t>五</w:t>
      </w:r>
      <w:r>
        <w:rPr>
          <w:rFonts w:hint="eastAsia" w:ascii="宋体" w:hAnsi="宋体" w:eastAsia="宋体" w:cs="宋体"/>
          <w:color w:val="auto"/>
          <w:sz w:val="24"/>
          <w:highlight w:val="none"/>
        </w:rPr>
        <w:t>章“详细的服务要求和相关要求”逐项进行的应答）。</w:t>
      </w:r>
    </w:p>
    <w:p>
      <w:pPr>
        <w:widowControl/>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 </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必须按照</w:t>
      </w:r>
      <w:r>
        <w:rPr>
          <w:rFonts w:hint="eastAsia" w:ascii="宋体" w:hAnsi="宋体" w:cs="宋体"/>
          <w:color w:val="auto"/>
          <w:sz w:val="24"/>
          <w:highlight w:val="none"/>
          <w:lang w:eastAsia="zh-CN"/>
        </w:rPr>
        <w:t>磋商</w:t>
      </w:r>
      <w:r>
        <w:rPr>
          <w:rFonts w:hint="eastAsia" w:ascii="宋体" w:hAnsi="宋体" w:eastAsia="宋体" w:cs="宋体"/>
          <w:color w:val="auto"/>
          <w:sz w:val="24"/>
          <w:highlight w:val="none"/>
        </w:rPr>
        <w:t>项目技术要求的顺序对应填写，否则按无效投标处理。</w:t>
      </w:r>
    </w:p>
    <w:p>
      <w:pPr>
        <w:widowControl/>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3． 该表格</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必须据实全部填写，不得虚假填写，否则按无效投标处理。</w:t>
      </w:r>
    </w:p>
    <w:p>
      <w:pPr>
        <w:widowControl/>
        <w:spacing w:line="360" w:lineRule="auto"/>
        <w:ind w:firstLine="480"/>
        <w:rPr>
          <w:rFonts w:hint="eastAsia" w:ascii="宋体" w:hAnsi="宋体" w:eastAsia="宋体" w:cs="宋体"/>
          <w:color w:val="auto"/>
          <w:sz w:val="24"/>
          <w:szCs w:val="24"/>
          <w:highlight w:val="none"/>
        </w:rPr>
      </w:pPr>
    </w:p>
    <w:p>
      <w:pPr>
        <w:widowControl/>
        <w:spacing w:line="360" w:lineRule="auto"/>
        <w:ind w:firstLine="480"/>
        <w:rPr>
          <w:rFonts w:hint="eastAsia" w:ascii="宋体" w:hAnsi="宋体" w:eastAsia="宋体" w:cs="宋体"/>
          <w:color w:val="auto"/>
          <w:sz w:val="24"/>
          <w:szCs w:val="24"/>
          <w:highlight w:val="none"/>
        </w:rPr>
      </w:pPr>
      <w:bookmarkStart w:id="263" w:name="_Toc485828506"/>
      <w:bookmarkStart w:id="264" w:name="_Toc485400626"/>
      <w:bookmarkStart w:id="265" w:name="_Toc485400409"/>
      <w:bookmarkStart w:id="266" w:name="_Toc503794780"/>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（单位盖章）</w:t>
      </w:r>
      <w:bookmarkEnd w:id="263"/>
      <w:bookmarkEnd w:id="264"/>
      <w:bookmarkEnd w:id="265"/>
      <w:bookmarkEnd w:id="266"/>
    </w:p>
    <w:p>
      <w:pPr>
        <w:widowControl/>
        <w:spacing w:line="360" w:lineRule="auto"/>
        <w:ind w:firstLine="480"/>
        <w:rPr>
          <w:rFonts w:hint="eastAsia" w:ascii="宋体" w:hAnsi="宋体" w:eastAsia="宋体" w:cs="宋体"/>
          <w:color w:val="auto"/>
          <w:sz w:val="24"/>
          <w:szCs w:val="24"/>
          <w:highlight w:val="none"/>
        </w:rPr>
      </w:pPr>
      <w:bookmarkStart w:id="267" w:name="_Toc485400627"/>
      <w:bookmarkStart w:id="268" w:name="_Toc485400410"/>
      <w:bookmarkStart w:id="269" w:name="_Toc485828507"/>
      <w:bookmarkStart w:id="270" w:name="_Toc503794781"/>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（签字或加盖个人名章）</w:t>
      </w:r>
      <w:bookmarkEnd w:id="267"/>
      <w:bookmarkEnd w:id="268"/>
      <w:bookmarkEnd w:id="269"/>
      <w:bookmarkEnd w:id="270"/>
    </w:p>
    <w:p>
      <w:pPr>
        <w:widowControl/>
        <w:spacing w:line="360" w:lineRule="auto"/>
        <w:ind w:firstLine="480"/>
        <w:rPr>
          <w:rFonts w:hint="eastAsia" w:ascii="宋体" w:hAnsi="宋体" w:eastAsia="宋体" w:cs="宋体"/>
          <w:color w:val="auto"/>
          <w:sz w:val="24"/>
          <w:szCs w:val="24"/>
          <w:highlight w:val="none"/>
        </w:rPr>
      </w:pPr>
      <w:bookmarkStart w:id="271" w:name="_Toc503794782"/>
      <w:bookmarkStart w:id="272" w:name="_Toc485400411"/>
      <w:bookmarkStart w:id="273" w:name="_Toc485400628"/>
      <w:bookmarkStart w:id="274" w:name="_Toc485828508"/>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bookmarkEnd w:id="271"/>
      <w:bookmarkEnd w:id="272"/>
      <w:bookmarkEnd w:id="273"/>
      <w:bookmarkEnd w:id="274"/>
    </w:p>
    <w:p>
      <w:pPr>
        <w:widowControl/>
        <w:spacing w:line="360" w:lineRule="auto"/>
        <w:ind w:firstLine="480"/>
        <w:rPr>
          <w:rFonts w:hint="eastAsia" w:ascii="宋体" w:hAnsi="宋体" w:eastAsia="宋体" w:cs="宋体"/>
          <w:color w:val="auto"/>
          <w:sz w:val="24"/>
          <w:szCs w:val="24"/>
          <w:highlight w:val="none"/>
        </w:rPr>
      </w:pPr>
    </w:p>
    <w:p>
      <w:pPr>
        <w:pStyle w:val="26"/>
        <w:spacing w:before="156" w:after="1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275" w:name="_Toc7559"/>
      <w:bookmarkStart w:id="276" w:name="_Toc19153"/>
      <w:bookmarkStart w:id="277" w:name="_Toc1009"/>
      <w:bookmarkStart w:id="278" w:name="_Toc485828509"/>
      <w:bookmarkStart w:id="279" w:name="_Toc503794783"/>
      <w:r>
        <w:rPr>
          <w:rFonts w:hint="eastAsia" w:ascii="宋体" w:hAnsi="宋体" w:eastAsia="宋体" w:cs="宋体"/>
          <w:color w:val="auto"/>
          <w:highlight w:val="none"/>
          <w:lang w:eastAsia="zh-CN"/>
        </w:rPr>
        <w:t>四</w:t>
      </w:r>
      <w:r>
        <w:rPr>
          <w:rFonts w:hint="eastAsia" w:ascii="宋体" w:hAnsi="宋体" w:eastAsia="宋体" w:cs="宋体"/>
          <w:color w:val="auto"/>
          <w:highlight w:val="none"/>
        </w:rPr>
        <w:t>、供应商基本情况表</w:t>
      </w:r>
      <w:bookmarkEnd w:id="275"/>
      <w:bookmarkEnd w:id="276"/>
      <w:bookmarkEnd w:id="277"/>
      <w:bookmarkEnd w:id="278"/>
      <w:bookmarkEnd w:id="279"/>
    </w:p>
    <w:p>
      <w:pPr>
        <w:widowControl/>
        <w:ind w:firstLine="480"/>
        <w:rPr>
          <w:rFonts w:hint="eastAsia" w:ascii="宋体" w:hAnsi="宋体" w:eastAsia="宋体" w:cs="宋体"/>
          <w:bCs/>
          <w:color w:val="auto"/>
          <w:sz w:val="24"/>
          <w:szCs w:val="24"/>
          <w:highlight w:val="none"/>
          <w:u w:val="single"/>
        </w:rPr>
      </w:pPr>
    </w:p>
    <w:tbl>
      <w:tblPr>
        <w:tblStyle w:val="16"/>
        <w:tblW w:w="8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1000"/>
        <w:gridCol w:w="1016"/>
        <w:gridCol w:w="1252"/>
        <w:gridCol w:w="8"/>
        <w:gridCol w:w="1323"/>
        <w:gridCol w:w="401"/>
        <w:gridCol w:w="775"/>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1706" w:type="dxa"/>
            <w:noWrap w:val="0"/>
            <w:vAlign w:val="center"/>
          </w:tcPr>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tc>
        <w:tc>
          <w:tcPr>
            <w:tcW w:w="6846" w:type="dxa"/>
            <w:gridSpan w:val="8"/>
            <w:noWrap w:val="0"/>
            <w:vAlign w:val="center"/>
          </w:tcPr>
          <w:p>
            <w:pPr>
              <w:pStyle w:val="27"/>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1706" w:type="dxa"/>
            <w:noWrap w:val="0"/>
            <w:vAlign w:val="center"/>
          </w:tcPr>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3276" w:type="dxa"/>
            <w:gridSpan w:val="4"/>
            <w:noWrap w:val="0"/>
            <w:vAlign w:val="center"/>
          </w:tcPr>
          <w:p>
            <w:pPr>
              <w:pStyle w:val="27"/>
              <w:jc w:val="center"/>
              <w:rPr>
                <w:rFonts w:hint="eastAsia" w:ascii="宋体" w:hAnsi="宋体" w:eastAsia="宋体" w:cs="宋体"/>
                <w:color w:val="auto"/>
                <w:sz w:val="24"/>
                <w:szCs w:val="24"/>
                <w:highlight w:val="none"/>
              </w:rPr>
            </w:pPr>
          </w:p>
        </w:tc>
        <w:tc>
          <w:tcPr>
            <w:tcW w:w="1323" w:type="dxa"/>
            <w:noWrap w:val="0"/>
            <w:vAlign w:val="center"/>
          </w:tcPr>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247" w:type="dxa"/>
            <w:gridSpan w:val="3"/>
            <w:noWrap w:val="0"/>
            <w:vAlign w:val="center"/>
          </w:tcPr>
          <w:p>
            <w:pPr>
              <w:pStyle w:val="27"/>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706" w:type="dxa"/>
            <w:vMerge w:val="restart"/>
            <w:noWrap w:val="0"/>
            <w:vAlign w:val="center"/>
          </w:tcPr>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1000" w:type="dxa"/>
            <w:noWrap w:val="0"/>
            <w:vAlign w:val="center"/>
          </w:tcPr>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268" w:type="dxa"/>
            <w:gridSpan w:val="2"/>
            <w:noWrap w:val="0"/>
            <w:vAlign w:val="center"/>
          </w:tcPr>
          <w:p>
            <w:pPr>
              <w:pStyle w:val="27"/>
              <w:jc w:val="center"/>
              <w:rPr>
                <w:rFonts w:hint="eastAsia" w:ascii="宋体" w:hAnsi="宋体" w:eastAsia="宋体" w:cs="宋体"/>
                <w:color w:val="auto"/>
                <w:sz w:val="24"/>
                <w:szCs w:val="24"/>
                <w:highlight w:val="none"/>
              </w:rPr>
            </w:pPr>
          </w:p>
        </w:tc>
        <w:tc>
          <w:tcPr>
            <w:tcW w:w="1331" w:type="dxa"/>
            <w:gridSpan w:val="2"/>
            <w:noWrap w:val="0"/>
            <w:vAlign w:val="center"/>
          </w:tcPr>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2247" w:type="dxa"/>
            <w:gridSpan w:val="3"/>
            <w:noWrap w:val="0"/>
            <w:vAlign w:val="center"/>
          </w:tcPr>
          <w:p>
            <w:pPr>
              <w:pStyle w:val="27"/>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 w:hRule="atLeast"/>
          <w:jc w:val="center"/>
        </w:trPr>
        <w:tc>
          <w:tcPr>
            <w:tcW w:w="1706" w:type="dxa"/>
            <w:vMerge w:val="continue"/>
            <w:noWrap w:val="0"/>
            <w:vAlign w:val="center"/>
          </w:tcPr>
          <w:p>
            <w:pPr>
              <w:pStyle w:val="27"/>
              <w:jc w:val="center"/>
              <w:rPr>
                <w:rFonts w:hint="eastAsia" w:ascii="宋体" w:hAnsi="宋体" w:eastAsia="宋体" w:cs="宋体"/>
                <w:color w:val="auto"/>
                <w:sz w:val="24"/>
                <w:szCs w:val="24"/>
                <w:highlight w:val="none"/>
              </w:rPr>
            </w:pPr>
          </w:p>
        </w:tc>
        <w:tc>
          <w:tcPr>
            <w:tcW w:w="1000" w:type="dxa"/>
            <w:noWrap w:val="0"/>
            <w:vAlign w:val="center"/>
          </w:tcPr>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2268" w:type="dxa"/>
            <w:gridSpan w:val="2"/>
            <w:noWrap w:val="0"/>
            <w:vAlign w:val="center"/>
          </w:tcPr>
          <w:p>
            <w:pPr>
              <w:pStyle w:val="27"/>
              <w:jc w:val="center"/>
              <w:rPr>
                <w:rFonts w:hint="eastAsia" w:ascii="宋体" w:hAnsi="宋体" w:eastAsia="宋体" w:cs="宋体"/>
                <w:color w:val="auto"/>
                <w:sz w:val="24"/>
                <w:szCs w:val="24"/>
                <w:highlight w:val="none"/>
              </w:rPr>
            </w:pPr>
          </w:p>
        </w:tc>
        <w:tc>
          <w:tcPr>
            <w:tcW w:w="1331" w:type="dxa"/>
            <w:gridSpan w:val="2"/>
            <w:noWrap w:val="0"/>
            <w:vAlign w:val="center"/>
          </w:tcPr>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w:t>
            </w:r>
          </w:p>
        </w:tc>
        <w:tc>
          <w:tcPr>
            <w:tcW w:w="2247" w:type="dxa"/>
            <w:gridSpan w:val="3"/>
            <w:noWrap w:val="0"/>
            <w:vAlign w:val="center"/>
          </w:tcPr>
          <w:p>
            <w:pPr>
              <w:pStyle w:val="27"/>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706" w:type="dxa"/>
            <w:noWrap w:val="0"/>
            <w:vAlign w:val="center"/>
          </w:tcPr>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组织结构</w:t>
            </w:r>
          </w:p>
        </w:tc>
        <w:tc>
          <w:tcPr>
            <w:tcW w:w="6846" w:type="dxa"/>
            <w:gridSpan w:val="8"/>
            <w:noWrap w:val="0"/>
            <w:vAlign w:val="center"/>
          </w:tcPr>
          <w:p>
            <w:pPr>
              <w:pStyle w:val="27"/>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706" w:type="dxa"/>
            <w:noWrap w:val="0"/>
            <w:vAlign w:val="center"/>
          </w:tcPr>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1000" w:type="dxa"/>
            <w:noWrap w:val="0"/>
            <w:vAlign w:val="center"/>
          </w:tcPr>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016" w:type="dxa"/>
            <w:noWrap w:val="0"/>
            <w:vAlign w:val="center"/>
          </w:tcPr>
          <w:p>
            <w:pPr>
              <w:pStyle w:val="27"/>
              <w:jc w:val="center"/>
              <w:rPr>
                <w:rFonts w:hint="eastAsia" w:ascii="宋体" w:hAnsi="宋体" w:eastAsia="宋体" w:cs="宋体"/>
                <w:color w:val="auto"/>
                <w:sz w:val="24"/>
                <w:szCs w:val="24"/>
                <w:highlight w:val="none"/>
              </w:rPr>
            </w:pPr>
          </w:p>
        </w:tc>
        <w:tc>
          <w:tcPr>
            <w:tcW w:w="1252" w:type="dxa"/>
            <w:noWrap w:val="0"/>
            <w:vAlign w:val="center"/>
          </w:tcPr>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331" w:type="dxa"/>
            <w:gridSpan w:val="2"/>
            <w:noWrap w:val="0"/>
            <w:vAlign w:val="center"/>
          </w:tcPr>
          <w:p>
            <w:pPr>
              <w:pStyle w:val="27"/>
              <w:jc w:val="center"/>
              <w:rPr>
                <w:rFonts w:hint="eastAsia" w:ascii="宋体" w:hAnsi="宋体" w:eastAsia="宋体" w:cs="宋体"/>
                <w:color w:val="auto"/>
                <w:sz w:val="24"/>
                <w:szCs w:val="24"/>
                <w:highlight w:val="none"/>
              </w:rPr>
            </w:pPr>
          </w:p>
        </w:tc>
        <w:tc>
          <w:tcPr>
            <w:tcW w:w="1176" w:type="dxa"/>
            <w:gridSpan w:val="2"/>
            <w:noWrap w:val="0"/>
            <w:vAlign w:val="center"/>
          </w:tcPr>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071" w:type="dxa"/>
            <w:noWrap w:val="0"/>
            <w:vAlign w:val="center"/>
          </w:tcPr>
          <w:p>
            <w:pPr>
              <w:pStyle w:val="27"/>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706" w:type="dxa"/>
            <w:noWrap w:val="0"/>
            <w:vAlign w:val="center"/>
          </w:tcPr>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1000" w:type="dxa"/>
            <w:noWrap w:val="0"/>
            <w:vAlign w:val="center"/>
          </w:tcPr>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016" w:type="dxa"/>
            <w:noWrap w:val="0"/>
            <w:vAlign w:val="center"/>
          </w:tcPr>
          <w:p>
            <w:pPr>
              <w:pStyle w:val="27"/>
              <w:jc w:val="center"/>
              <w:rPr>
                <w:rFonts w:hint="eastAsia" w:ascii="宋体" w:hAnsi="宋体" w:eastAsia="宋体" w:cs="宋体"/>
                <w:color w:val="auto"/>
                <w:sz w:val="24"/>
                <w:szCs w:val="24"/>
                <w:highlight w:val="none"/>
              </w:rPr>
            </w:pPr>
          </w:p>
        </w:tc>
        <w:tc>
          <w:tcPr>
            <w:tcW w:w="1252" w:type="dxa"/>
            <w:noWrap w:val="0"/>
            <w:vAlign w:val="center"/>
          </w:tcPr>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331" w:type="dxa"/>
            <w:gridSpan w:val="2"/>
            <w:noWrap w:val="0"/>
            <w:vAlign w:val="center"/>
          </w:tcPr>
          <w:p>
            <w:pPr>
              <w:pStyle w:val="27"/>
              <w:jc w:val="center"/>
              <w:rPr>
                <w:rFonts w:hint="eastAsia" w:ascii="宋体" w:hAnsi="宋体" w:eastAsia="宋体" w:cs="宋体"/>
                <w:color w:val="auto"/>
                <w:sz w:val="24"/>
                <w:szCs w:val="24"/>
                <w:highlight w:val="none"/>
              </w:rPr>
            </w:pPr>
          </w:p>
        </w:tc>
        <w:tc>
          <w:tcPr>
            <w:tcW w:w="1176" w:type="dxa"/>
            <w:gridSpan w:val="2"/>
            <w:noWrap w:val="0"/>
            <w:vAlign w:val="center"/>
          </w:tcPr>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071" w:type="dxa"/>
            <w:noWrap w:val="0"/>
            <w:vAlign w:val="center"/>
          </w:tcPr>
          <w:p>
            <w:pPr>
              <w:pStyle w:val="27"/>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706" w:type="dxa"/>
            <w:noWrap w:val="0"/>
            <w:vAlign w:val="center"/>
          </w:tcPr>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财务负责人</w:t>
            </w:r>
          </w:p>
        </w:tc>
        <w:tc>
          <w:tcPr>
            <w:tcW w:w="1000" w:type="dxa"/>
            <w:noWrap w:val="0"/>
            <w:vAlign w:val="center"/>
          </w:tcPr>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016" w:type="dxa"/>
            <w:noWrap w:val="0"/>
            <w:vAlign w:val="center"/>
          </w:tcPr>
          <w:p>
            <w:pPr>
              <w:pStyle w:val="27"/>
              <w:jc w:val="center"/>
              <w:rPr>
                <w:rFonts w:hint="eastAsia" w:ascii="宋体" w:hAnsi="宋体" w:eastAsia="宋体" w:cs="宋体"/>
                <w:color w:val="auto"/>
                <w:sz w:val="24"/>
                <w:szCs w:val="24"/>
                <w:highlight w:val="none"/>
              </w:rPr>
            </w:pPr>
          </w:p>
        </w:tc>
        <w:tc>
          <w:tcPr>
            <w:tcW w:w="1252" w:type="dxa"/>
            <w:noWrap w:val="0"/>
            <w:vAlign w:val="center"/>
          </w:tcPr>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331" w:type="dxa"/>
            <w:gridSpan w:val="2"/>
            <w:noWrap w:val="0"/>
            <w:vAlign w:val="center"/>
          </w:tcPr>
          <w:p>
            <w:pPr>
              <w:pStyle w:val="27"/>
              <w:jc w:val="center"/>
              <w:rPr>
                <w:rFonts w:hint="eastAsia" w:ascii="宋体" w:hAnsi="宋体" w:eastAsia="宋体" w:cs="宋体"/>
                <w:color w:val="auto"/>
                <w:sz w:val="24"/>
                <w:szCs w:val="24"/>
                <w:highlight w:val="none"/>
              </w:rPr>
            </w:pPr>
          </w:p>
        </w:tc>
        <w:tc>
          <w:tcPr>
            <w:tcW w:w="1176" w:type="dxa"/>
            <w:gridSpan w:val="2"/>
            <w:noWrap w:val="0"/>
            <w:vAlign w:val="center"/>
          </w:tcPr>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071" w:type="dxa"/>
            <w:noWrap w:val="0"/>
            <w:vAlign w:val="center"/>
          </w:tcPr>
          <w:p>
            <w:pPr>
              <w:pStyle w:val="27"/>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706" w:type="dxa"/>
            <w:noWrap w:val="0"/>
            <w:vAlign w:val="center"/>
          </w:tcPr>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2016" w:type="dxa"/>
            <w:gridSpan w:val="2"/>
            <w:noWrap w:val="0"/>
            <w:vAlign w:val="center"/>
          </w:tcPr>
          <w:p>
            <w:pPr>
              <w:pStyle w:val="27"/>
              <w:jc w:val="center"/>
              <w:rPr>
                <w:rFonts w:hint="eastAsia" w:ascii="宋体" w:hAnsi="宋体" w:eastAsia="宋体" w:cs="宋体"/>
                <w:color w:val="auto"/>
                <w:sz w:val="24"/>
                <w:szCs w:val="24"/>
                <w:highlight w:val="none"/>
              </w:rPr>
            </w:pPr>
          </w:p>
        </w:tc>
        <w:tc>
          <w:tcPr>
            <w:tcW w:w="4830" w:type="dxa"/>
            <w:gridSpan w:val="6"/>
            <w:noWrap w:val="0"/>
            <w:vAlign w:val="center"/>
          </w:tcPr>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1706" w:type="dxa"/>
            <w:noWrap w:val="0"/>
            <w:vAlign w:val="center"/>
          </w:tcPr>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企业资质等级</w:t>
            </w:r>
          </w:p>
        </w:tc>
        <w:tc>
          <w:tcPr>
            <w:tcW w:w="2016" w:type="dxa"/>
            <w:gridSpan w:val="2"/>
            <w:noWrap w:val="0"/>
            <w:vAlign w:val="center"/>
          </w:tcPr>
          <w:p>
            <w:pPr>
              <w:pStyle w:val="27"/>
              <w:jc w:val="center"/>
              <w:rPr>
                <w:rFonts w:hint="eastAsia" w:ascii="宋体" w:hAnsi="宋体" w:eastAsia="宋体" w:cs="宋体"/>
                <w:color w:val="auto"/>
                <w:sz w:val="24"/>
                <w:szCs w:val="24"/>
                <w:highlight w:val="none"/>
              </w:rPr>
            </w:pPr>
          </w:p>
        </w:tc>
        <w:tc>
          <w:tcPr>
            <w:tcW w:w="1252" w:type="dxa"/>
            <w:vMerge w:val="restart"/>
            <w:noWrap w:val="0"/>
            <w:vAlign w:val="center"/>
          </w:tcPr>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1732" w:type="dxa"/>
            <w:gridSpan w:val="3"/>
            <w:noWrap w:val="0"/>
            <w:vAlign w:val="center"/>
          </w:tcPr>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1846" w:type="dxa"/>
            <w:gridSpan w:val="2"/>
            <w:noWrap w:val="0"/>
            <w:vAlign w:val="center"/>
          </w:tcPr>
          <w:p>
            <w:pPr>
              <w:pStyle w:val="27"/>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706" w:type="dxa"/>
            <w:noWrap w:val="0"/>
            <w:vAlign w:val="center"/>
          </w:tcPr>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w:t>
            </w:r>
          </w:p>
        </w:tc>
        <w:tc>
          <w:tcPr>
            <w:tcW w:w="2016" w:type="dxa"/>
            <w:gridSpan w:val="2"/>
            <w:noWrap w:val="0"/>
            <w:vAlign w:val="center"/>
          </w:tcPr>
          <w:p>
            <w:pPr>
              <w:pStyle w:val="27"/>
              <w:jc w:val="center"/>
              <w:rPr>
                <w:rFonts w:hint="eastAsia" w:ascii="宋体" w:hAnsi="宋体" w:eastAsia="宋体" w:cs="宋体"/>
                <w:color w:val="auto"/>
                <w:sz w:val="24"/>
                <w:szCs w:val="24"/>
                <w:highlight w:val="none"/>
              </w:rPr>
            </w:pPr>
          </w:p>
        </w:tc>
        <w:tc>
          <w:tcPr>
            <w:tcW w:w="1252" w:type="dxa"/>
            <w:vMerge w:val="continue"/>
            <w:noWrap w:val="0"/>
            <w:vAlign w:val="center"/>
          </w:tcPr>
          <w:p>
            <w:pPr>
              <w:pStyle w:val="27"/>
              <w:jc w:val="center"/>
              <w:rPr>
                <w:rFonts w:hint="eastAsia" w:ascii="宋体" w:hAnsi="宋体" w:eastAsia="宋体" w:cs="宋体"/>
                <w:color w:val="auto"/>
                <w:sz w:val="24"/>
                <w:szCs w:val="24"/>
                <w:highlight w:val="none"/>
              </w:rPr>
            </w:pPr>
          </w:p>
        </w:tc>
        <w:tc>
          <w:tcPr>
            <w:tcW w:w="1732" w:type="dxa"/>
            <w:gridSpan w:val="3"/>
            <w:noWrap w:val="0"/>
            <w:vAlign w:val="center"/>
          </w:tcPr>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高级职称人员</w:t>
            </w:r>
          </w:p>
        </w:tc>
        <w:tc>
          <w:tcPr>
            <w:tcW w:w="1846" w:type="dxa"/>
            <w:gridSpan w:val="2"/>
            <w:noWrap w:val="0"/>
            <w:vAlign w:val="center"/>
          </w:tcPr>
          <w:p>
            <w:pPr>
              <w:pStyle w:val="27"/>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706" w:type="dxa"/>
            <w:noWrap w:val="0"/>
            <w:vAlign w:val="center"/>
          </w:tcPr>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2016" w:type="dxa"/>
            <w:gridSpan w:val="2"/>
            <w:noWrap w:val="0"/>
            <w:vAlign w:val="center"/>
          </w:tcPr>
          <w:p>
            <w:pPr>
              <w:pStyle w:val="27"/>
              <w:jc w:val="center"/>
              <w:rPr>
                <w:rFonts w:hint="eastAsia" w:ascii="宋体" w:hAnsi="宋体" w:eastAsia="宋体" w:cs="宋体"/>
                <w:color w:val="auto"/>
                <w:sz w:val="24"/>
                <w:szCs w:val="24"/>
                <w:highlight w:val="none"/>
              </w:rPr>
            </w:pPr>
          </w:p>
        </w:tc>
        <w:tc>
          <w:tcPr>
            <w:tcW w:w="1252" w:type="dxa"/>
            <w:vMerge w:val="continue"/>
            <w:noWrap w:val="0"/>
            <w:vAlign w:val="center"/>
          </w:tcPr>
          <w:p>
            <w:pPr>
              <w:pStyle w:val="27"/>
              <w:jc w:val="center"/>
              <w:rPr>
                <w:rFonts w:hint="eastAsia" w:ascii="宋体" w:hAnsi="宋体" w:eastAsia="宋体" w:cs="宋体"/>
                <w:color w:val="auto"/>
                <w:sz w:val="24"/>
                <w:szCs w:val="24"/>
                <w:highlight w:val="none"/>
              </w:rPr>
            </w:pPr>
          </w:p>
        </w:tc>
        <w:tc>
          <w:tcPr>
            <w:tcW w:w="1732" w:type="dxa"/>
            <w:gridSpan w:val="3"/>
            <w:noWrap w:val="0"/>
            <w:vAlign w:val="center"/>
          </w:tcPr>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中级职称人员</w:t>
            </w:r>
          </w:p>
        </w:tc>
        <w:tc>
          <w:tcPr>
            <w:tcW w:w="1846" w:type="dxa"/>
            <w:gridSpan w:val="2"/>
            <w:noWrap w:val="0"/>
            <w:vAlign w:val="center"/>
          </w:tcPr>
          <w:p>
            <w:pPr>
              <w:pStyle w:val="27"/>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1706" w:type="dxa"/>
            <w:noWrap w:val="0"/>
            <w:vAlign w:val="center"/>
          </w:tcPr>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2016" w:type="dxa"/>
            <w:gridSpan w:val="2"/>
            <w:noWrap w:val="0"/>
            <w:vAlign w:val="center"/>
          </w:tcPr>
          <w:p>
            <w:pPr>
              <w:pStyle w:val="27"/>
              <w:jc w:val="center"/>
              <w:rPr>
                <w:rFonts w:hint="eastAsia" w:ascii="宋体" w:hAnsi="宋体" w:eastAsia="宋体" w:cs="宋体"/>
                <w:color w:val="auto"/>
                <w:sz w:val="24"/>
                <w:szCs w:val="24"/>
                <w:highlight w:val="none"/>
              </w:rPr>
            </w:pPr>
          </w:p>
        </w:tc>
        <w:tc>
          <w:tcPr>
            <w:tcW w:w="1252" w:type="dxa"/>
            <w:vMerge w:val="continue"/>
            <w:noWrap w:val="0"/>
            <w:vAlign w:val="center"/>
          </w:tcPr>
          <w:p>
            <w:pPr>
              <w:pStyle w:val="27"/>
              <w:jc w:val="center"/>
              <w:rPr>
                <w:rFonts w:hint="eastAsia" w:ascii="宋体" w:hAnsi="宋体" w:eastAsia="宋体" w:cs="宋体"/>
                <w:color w:val="auto"/>
                <w:sz w:val="24"/>
                <w:szCs w:val="24"/>
                <w:highlight w:val="none"/>
              </w:rPr>
            </w:pPr>
          </w:p>
        </w:tc>
        <w:tc>
          <w:tcPr>
            <w:tcW w:w="1732" w:type="dxa"/>
            <w:gridSpan w:val="3"/>
            <w:noWrap w:val="0"/>
            <w:vAlign w:val="center"/>
          </w:tcPr>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初级职称人员</w:t>
            </w:r>
          </w:p>
        </w:tc>
        <w:tc>
          <w:tcPr>
            <w:tcW w:w="1846" w:type="dxa"/>
            <w:gridSpan w:val="2"/>
            <w:noWrap w:val="0"/>
            <w:vAlign w:val="center"/>
          </w:tcPr>
          <w:p>
            <w:pPr>
              <w:pStyle w:val="27"/>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706" w:type="dxa"/>
            <w:noWrap w:val="0"/>
            <w:vAlign w:val="center"/>
          </w:tcPr>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2016" w:type="dxa"/>
            <w:gridSpan w:val="2"/>
            <w:noWrap w:val="0"/>
            <w:vAlign w:val="center"/>
          </w:tcPr>
          <w:p>
            <w:pPr>
              <w:pStyle w:val="27"/>
              <w:jc w:val="center"/>
              <w:rPr>
                <w:rFonts w:hint="eastAsia" w:ascii="宋体" w:hAnsi="宋体" w:eastAsia="宋体" w:cs="宋体"/>
                <w:color w:val="auto"/>
                <w:sz w:val="24"/>
                <w:szCs w:val="24"/>
                <w:highlight w:val="none"/>
              </w:rPr>
            </w:pPr>
          </w:p>
        </w:tc>
        <w:tc>
          <w:tcPr>
            <w:tcW w:w="1252" w:type="dxa"/>
            <w:vMerge w:val="continue"/>
            <w:noWrap w:val="0"/>
            <w:vAlign w:val="center"/>
          </w:tcPr>
          <w:p>
            <w:pPr>
              <w:pStyle w:val="27"/>
              <w:jc w:val="center"/>
              <w:rPr>
                <w:rFonts w:hint="eastAsia" w:ascii="宋体" w:hAnsi="宋体" w:eastAsia="宋体" w:cs="宋体"/>
                <w:color w:val="auto"/>
                <w:sz w:val="24"/>
                <w:szCs w:val="24"/>
                <w:highlight w:val="none"/>
              </w:rPr>
            </w:pPr>
          </w:p>
        </w:tc>
        <w:tc>
          <w:tcPr>
            <w:tcW w:w="1732" w:type="dxa"/>
            <w:gridSpan w:val="3"/>
            <w:noWrap w:val="0"/>
            <w:vAlign w:val="center"/>
          </w:tcPr>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技工</w:t>
            </w:r>
          </w:p>
        </w:tc>
        <w:tc>
          <w:tcPr>
            <w:tcW w:w="1846" w:type="dxa"/>
            <w:gridSpan w:val="2"/>
            <w:noWrap w:val="0"/>
            <w:vAlign w:val="center"/>
          </w:tcPr>
          <w:p>
            <w:pPr>
              <w:pStyle w:val="27"/>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0" w:hRule="atLeast"/>
          <w:jc w:val="center"/>
        </w:trPr>
        <w:tc>
          <w:tcPr>
            <w:tcW w:w="1706" w:type="dxa"/>
            <w:noWrap w:val="0"/>
            <w:vAlign w:val="center"/>
          </w:tcPr>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6846" w:type="dxa"/>
            <w:gridSpan w:val="8"/>
            <w:noWrap w:val="0"/>
            <w:vAlign w:val="center"/>
          </w:tcPr>
          <w:p>
            <w:pPr>
              <w:pStyle w:val="27"/>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1706" w:type="dxa"/>
            <w:noWrap w:val="0"/>
            <w:vAlign w:val="center"/>
          </w:tcPr>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846" w:type="dxa"/>
            <w:gridSpan w:val="8"/>
            <w:noWrap w:val="0"/>
            <w:vAlign w:val="center"/>
          </w:tcPr>
          <w:p>
            <w:pPr>
              <w:pStyle w:val="27"/>
              <w:jc w:val="center"/>
              <w:rPr>
                <w:rFonts w:hint="eastAsia" w:ascii="宋体" w:hAnsi="宋体" w:eastAsia="宋体" w:cs="宋体"/>
                <w:color w:val="auto"/>
                <w:sz w:val="24"/>
                <w:szCs w:val="24"/>
                <w:highlight w:val="none"/>
              </w:rPr>
            </w:pPr>
          </w:p>
        </w:tc>
      </w:tr>
    </w:tbl>
    <w:p>
      <w:pPr>
        <w:widowControl/>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说明：表格不能满足使用时可自行增加。</w:t>
      </w:r>
    </w:p>
    <w:p>
      <w:pPr>
        <w:widowControl/>
        <w:ind w:firstLine="480"/>
        <w:rPr>
          <w:rFonts w:hint="eastAsia" w:ascii="宋体" w:hAnsi="宋体" w:eastAsia="宋体" w:cs="宋体"/>
          <w:color w:val="auto"/>
          <w:sz w:val="24"/>
          <w:szCs w:val="24"/>
          <w:highlight w:val="none"/>
        </w:rPr>
      </w:pPr>
    </w:p>
    <w:p>
      <w:pPr>
        <w:widowControl/>
        <w:ind w:firstLine="480"/>
        <w:rPr>
          <w:rFonts w:hint="eastAsia" w:ascii="宋体" w:hAnsi="宋体" w:eastAsia="宋体" w:cs="宋体"/>
          <w:color w:val="auto"/>
          <w:sz w:val="24"/>
          <w:szCs w:val="24"/>
          <w:highlight w:val="none"/>
        </w:rPr>
      </w:pPr>
    </w:p>
    <w:p>
      <w:pPr>
        <w:widowControl/>
        <w:spacing w:line="360" w:lineRule="auto"/>
        <w:ind w:firstLine="480"/>
        <w:rPr>
          <w:rFonts w:hint="eastAsia" w:ascii="宋体" w:hAnsi="宋体" w:eastAsia="宋体" w:cs="宋体"/>
          <w:color w:val="auto"/>
          <w:sz w:val="24"/>
          <w:szCs w:val="24"/>
          <w:highlight w:val="none"/>
        </w:rPr>
      </w:pPr>
      <w:bookmarkStart w:id="280" w:name="_Toc503794784"/>
      <w:bookmarkStart w:id="281" w:name="_Toc485828510"/>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（单位公章）</w:t>
      </w:r>
      <w:bookmarkEnd w:id="280"/>
      <w:bookmarkEnd w:id="281"/>
    </w:p>
    <w:p>
      <w:pPr>
        <w:widowControl/>
        <w:spacing w:line="360" w:lineRule="auto"/>
        <w:ind w:firstLine="480"/>
        <w:rPr>
          <w:rFonts w:hint="eastAsia" w:ascii="宋体" w:hAnsi="宋体" w:eastAsia="宋体" w:cs="宋体"/>
          <w:color w:val="auto"/>
          <w:sz w:val="24"/>
          <w:szCs w:val="24"/>
          <w:highlight w:val="none"/>
        </w:rPr>
      </w:pPr>
      <w:bookmarkStart w:id="282" w:name="_Toc503794785"/>
      <w:bookmarkStart w:id="283" w:name="_Toc485828511"/>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（签字或加盖个人名章）</w:t>
      </w:r>
      <w:bookmarkEnd w:id="282"/>
      <w:bookmarkEnd w:id="283"/>
    </w:p>
    <w:p>
      <w:pPr>
        <w:widowControl/>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pPr>
        <w:pStyle w:val="26"/>
        <w:spacing w:before="156" w:after="156" w:line="360" w:lineRule="auto"/>
        <w:rPr>
          <w:rFonts w:hint="eastAsia" w:ascii="宋体" w:hAnsi="宋体" w:eastAsia="宋体" w:cs="宋体"/>
          <w:color w:val="auto"/>
          <w:sz w:val="24"/>
          <w:szCs w:val="24"/>
          <w:highlight w:val="none"/>
        </w:rPr>
      </w:pPr>
      <w:bookmarkStart w:id="284" w:name="_Toc482366523"/>
      <w:bookmarkStart w:id="285" w:name="_Toc485828516"/>
      <w:bookmarkStart w:id="286" w:name="_Toc480288370"/>
      <w:bookmarkStart w:id="287" w:name="_Toc480288599"/>
      <w:r>
        <w:rPr>
          <w:rFonts w:hint="eastAsia" w:ascii="宋体" w:hAnsi="宋体" w:eastAsia="宋体" w:cs="宋体"/>
          <w:color w:val="auto"/>
          <w:sz w:val="24"/>
          <w:szCs w:val="24"/>
          <w:highlight w:val="none"/>
        </w:rPr>
        <w:br w:type="page"/>
      </w:r>
      <w:bookmarkStart w:id="288" w:name="_Toc480288597"/>
      <w:bookmarkStart w:id="289" w:name="_Toc480288368"/>
      <w:bookmarkStart w:id="290" w:name="_Toc482366521"/>
      <w:bookmarkStart w:id="291" w:name="_Toc485828512"/>
      <w:bookmarkStart w:id="292" w:name="_Toc6863"/>
      <w:bookmarkStart w:id="293" w:name="_Toc2941"/>
      <w:bookmarkStart w:id="294" w:name="_Toc503794786"/>
      <w:bookmarkStart w:id="295" w:name="_Toc28270"/>
      <w:r>
        <w:rPr>
          <w:rFonts w:hint="eastAsia" w:ascii="宋体" w:hAnsi="宋体" w:eastAsia="宋体" w:cs="宋体"/>
          <w:color w:val="auto"/>
          <w:highlight w:val="none"/>
          <w:lang w:eastAsia="zh-CN"/>
        </w:rPr>
        <w:t>五</w:t>
      </w:r>
      <w:r>
        <w:rPr>
          <w:rFonts w:hint="eastAsia" w:ascii="宋体" w:hAnsi="宋体" w:eastAsia="宋体" w:cs="宋体"/>
          <w:color w:val="auto"/>
          <w:highlight w:val="none"/>
        </w:rPr>
        <w:t>、项目管理机构配置</w:t>
      </w:r>
      <w:bookmarkEnd w:id="288"/>
      <w:bookmarkEnd w:id="289"/>
      <w:bookmarkEnd w:id="290"/>
      <w:bookmarkEnd w:id="291"/>
      <w:r>
        <w:rPr>
          <w:rFonts w:hint="eastAsia" w:ascii="宋体" w:hAnsi="宋体" w:eastAsia="宋体" w:cs="宋体"/>
          <w:color w:val="auto"/>
          <w:highlight w:val="none"/>
        </w:rPr>
        <w:t>表</w:t>
      </w:r>
      <w:bookmarkEnd w:id="292"/>
      <w:bookmarkEnd w:id="293"/>
      <w:bookmarkEnd w:id="294"/>
      <w:bookmarkEnd w:id="295"/>
    </w:p>
    <w:p>
      <w:pPr>
        <w:widowControl/>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bl>
      <w:tblPr>
        <w:tblStyle w:val="16"/>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940"/>
        <w:gridCol w:w="970"/>
        <w:gridCol w:w="830"/>
        <w:gridCol w:w="1290"/>
        <w:gridCol w:w="1371"/>
        <w:gridCol w:w="879"/>
        <w:gridCol w:w="920"/>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2" w:type="dxa"/>
            <w:noWrap w:val="0"/>
            <w:vAlign w:val="center"/>
          </w:tcPr>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类别</w:t>
            </w:r>
          </w:p>
        </w:tc>
        <w:tc>
          <w:tcPr>
            <w:tcW w:w="940" w:type="dxa"/>
            <w:noWrap w:val="0"/>
            <w:vAlign w:val="center"/>
          </w:tcPr>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970" w:type="dxa"/>
            <w:noWrap w:val="0"/>
            <w:vAlign w:val="center"/>
          </w:tcPr>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830" w:type="dxa"/>
            <w:noWrap w:val="0"/>
            <w:vAlign w:val="center"/>
          </w:tcPr>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290" w:type="dxa"/>
            <w:noWrap w:val="0"/>
            <w:vAlign w:val="center"/>
          </w:tcPr>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常住地</w:t>
            </w:r>
          </w:p>
        </w:tc>
        <w:tc>
          <w:tcPr>
            <w:tcW w:w="1371" w:type="dxa"/>
            <w:noWrap w:val="0"/>
            <w:vAlign w:val="center"/>
          </w:tcPr>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证书名称</w:t>
            </w:r>
          </w:p>
        </w:tc>
        <w:tc>
          <w:tcPr>
            <w:tcW w:w="879" w:type="dxa"/>
            <w:noWrap w:val="0"/>
            <w:vAlign w:val="center"/>
          </w:tcPr>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级别</w:t>
            </w:r>
          </w:p>
        </w:tc>
        <w:tc>
          <w:tcPr>
            <w:tcW w:w="920" w:type="dxa"/>
            <w:noWrap w:val="0"/>
            <w:vAlign w:val="center"/>
          </w:tcPr>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证号</w:t>
            </w:r>
          </w:p>
        </w:tc>
        <w:tc>
          <w:tcPr>
            <w:tcW w:w="920" w:type="dxa"/>
            <w:noWrap w:val="0"/>
            <w:vAlign w:val="center"/>
          </w:tcPr>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72" w:type="dxa"/>
            <w:vMerge w:val="restart"/>
            <w:noWrap w:val="0"/>
            <w:vAlign w:val="center"/>
          </w:tcPr>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w:t>
            </w:r>
          </w:p>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w:t>
            </w:r>
          </w:p>
        </w:tc>
        <w:tc>
          <w:tcPr>
            <w:tcW w:w="940" w:type="dxa"/>
            <w:noWrap w:val="0"/>
            <w:vAlign w:val="top"/>
          </w:tcPr>
          <w:p>
            <w:pPr>
              <w:pStyle w:val="27"/>
              <w:jc w:val="center"/>
              <w:rPr>
                <w:rFonts w:hint="eastAsia" w:ascii="宋体" w:hAnsi="宋体" w:eastAsia="宋体" w:cs="宋体"/>
                <w:color w:val="auto"/>
                <w:sz w:val="24"/>
                <w:szCs w:val="24"/>
                <w:highlight w:val="none"/>
              </w:rPr>
            </w:pPr>
          </w:p>
        </w:tc>
        <w:tc>
          <w:tcPr>
            <w:tcW w:w="970" w:type="dxa"/>
            <w:noWrap w:val="0"/>
            <w:vAlign w:val="top"/>
          </w:tcPr>
          <w:p>
            <w:pPr>
              <w:pStyle w:val="27"/>
              <w:jc w:val="center"/>
              <w:rPr>
                <w:rFonts w:hint="eastAsia" w:ascii="宋体" w:hAnsi="宋体" w:eastAsia="宋体" w:cs="宋体"/>
                <w:color w:val="auto"/>
                <w:sz w:val="24"/>
                <w:szCs w:val="24"/>
                <w:highlight w:val="none"/>
              </w:rPr>
            </w:pPr>
          </w:p>
        </w:tc>
        <w:tc>
          <w:tcPr>
            <w:tcW w:w="830" w:type="dxa"/>
            <w:noWrap w:val="0"/>
            <w:vAlign w:val="top"/>
          </w:tcPr>
          <w:p>
            <w:pPr>
              <w:pStyle w:val="27"/>
              <w:jc w:val="center"/>
              <w:rPr>
                <w:rFonts w:hint="eastAsia" w:ascii="宋体" w:hAnsi="宋体" w:eastAsia="宋体" w:cs="宋体"/>
                <w:color w:val="auto"/>
                <w:sz w:val="24"/>
                <w:szCs w:val="24"/>
                <w:highlight w:val="none"/>
              </w:rPr>
            </w:pPr>
          </w:p>
        </w:tc>
        <w:tc>
          <w:tcPr>
            <w:tcW w:w="1290" w:type="dxa"/>
            <w:noWrap w:val="0"/>
            <w:vAlign w:val="top"/>
          </w:tcPr>
          <w:p>
            <w:pPr>
              <w:pStyle w:val="27"/>
              <w:jc w:val="center"/>
              <w:rPr>
                <w:rFonts w:hint="eastAsia" w:ascii="宋体" w:hAnsi="宋体" w:eastAsia="宋体" w:cs="宋体"/>
                <w:color w:val="auto"/>
                <w:sz w:val="24"/>
                <w:szCs w:val="24"/>
                <w:highlight w:val="none"/>
              </w:rPr>
            </w:pPr>
          </w:p>
        </w:tc>
        <w:tc>
          <w:tcPr>
            <w:tcW w:w="1371" w:type="dxa"/>
            <w:noWrap w:val="0"/>
            <w:vAlign w:val="top"/>
          </w:tcPr>
          <w:p>
            <w:pPr>
              <w:pStyle w:val="27"/>
              <w:jc w:val="center"/>
              <w:rPr>
                <w:rFonts w:hint="eastAsia" w:ascii="宋体" w:hAnsi="宋体" w:eastAsia="宋体" w:cs="宋体"/>
                <w:color w:val="auto"/>
                <w:sz w:val="24"/>
                <w:szCs w:val="24"/>
                <w:highlight w:val="none"/>
              </w:rPr>
            </w:pPr>
          </w:p>
        </w:tc>
        <w:tc>
          <w:tcPr>
            <w:tcW w:w="879" w:type="dxa"/>
            <w:noWrap w:val="0"/>
            <w:vAlign w:val="top"/>
          </w:tcPr>
          <w:p>
            <w:pPr>
              <w:pStyle w:val="27"/>
              <w:jc w:val="center"/>
              <w:rPr>
                <w:rFonts w:hint="eastAsia" w:ascii="宋体" w:hAnsi="宋体" w:eastAsia="宋体" w:cs="宋体"/>
                <w:color w:val="auto"/>
                <w:sz w:val="24"/>
                <w:szCs w:val="24"/>
                <w:highlight w:val="none"/>
              </w:rPr>
            </w:pPr>
          </w:p>
        </w:tc>
        <w:tc>
          <w:tcPr>
            <w:tcW w:w="920" w:type="dxa"/>
            <w:noWrap w:val="0"/>
            <w:vAlign w:val="top"/>
          </w:tcPr>
          <w:p>
            <w:pPr>
              <w:pStyle w:val="27"/>
              <w:jc w:val="center"/>
              <w:rPr>
                <w:rFonts w:hint="eastAsia" w:ascii="宋体" w:hAnsi="宋体" w:eastAsia="宋体" w:cs="宋体"/>
                <w:color w:val="auto"/>
                <w:sz w:val="24"/>
                <w:szCs w:val="24"/>
                <w:highlight w:val="none"/>
              </w:rPr>
            </w:pPr>
          </w:p>
        </w:tc>
        <w:tc>
          <w:tcPr>
            <w:tcW w:w="920" w:type="dxa"/>
            <w:noWrap w:val="0"/>
            <w:vAlign w:val="top"/>
          </w:tcPr>
          <w:p>
            <w:pPr>
              <w:pStyle w:val="27"/>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72" w:type="dxa"/>
            <w:vMerge w:val="continue"/>
            <w:noWrap w:val="0"/>
            <w:vAlign w:val="center"/>
          </w:tcPr>
          <w:p>
            <w:pPr>
              <w:pStyle w:val="27"/>
              <w:jc w:val="center"/>
              <w:rPr>
                <w:rFonts w:hint="eastAsia" w:ascii="宋体" w:hAnsi="宋体" w:eastAsia="宋体" w:cs="宋体"/>
                <w:color w:val="auto"/>
                <w:sz w:val="24"/>
                <w:szCs w:val="24"/>
                <w:highlight w:val="none"/>
              </w:rPr>
            </w:pPr>
          </w:p>
        </w:tc>
        <w:tc>
          <w:tcPr>
            <w:tcW w:w="940" w:type="dxa"/>
            <w:noWrap w:val="0"/>
            <w:vAlign w:val="top"/>
          </w:tcPr>
          <w:p>
            <w:pPr>
              <w:pStyle w:val="27"/>
              <w:jc w:val="center"/>
              <w:rPr>
                <w:rFonts w:hint="eastAsia" w:ascii="宋体" w:hAnsi="宋体" w:eastAsia="宋体" w:cs="宋体"/>
                <w:color w:val="auto"/>
                <w:sz w:val="24"/>
                <w:szCs w:val="24"/>
                <w:highlight w:val="none"/>
              </w:rPr>
            </w:pPr>
          </w:p>
        </w:tc>
        <w:tc>
          <w:tcPr>
            <w:tcW w:w="970" w:type="dxa"/>
            <w:noWrap w:val="0"/>
            <w:vAlign w:val="top"/>
          </w:tcPr>
          <w:p>
            <w:pPr>
              <w:pStyle w:val="27"/>
              <w:jc w:val="center"/>
              <w:rPr>
                <w:rFonts w:hint="eastAsia" w:ascii="宋体" w:hAnsi="宋体" w:eastAsia="宋体" w:cs="宋体"/>
                <w:color w:val="auto"/>
                <w:sz w:val="24"/>
                <w:szCs w:val="24"/>
                <w:highlight w:val="none"/>
              </w:rPr>
            </w:pPr>
          </w:p>
        </w:tc>
        <w:tc>
          <w:tcPr>
            <w:tcW w:w="830" w:type="dxa"/>
            <w:noWrap w:val="0"/>
            <w:vAlign w:val="top"/>
          </w:tcPr>
          <w:p>
            <w:pPr>
              <w:pStyle w:val="27"/>
              <w:jc w:val="center"/>
              <w:rPr>
                <w:rFonts w:hint="eastAsia" w:ascii="宋体" w:hAnsi="宋体" w:eastAsia="宋体" w:cs="宋体"/>
                <w:color w:val="auto"/>
                <w:sz w:val="24"/>
                <w:szCs w:val="24"/>
                <w:highlight w:val="none"/>
              </w:rPr>
            </w:pPr>
          </w:p>
        </w:tc>
        <w:tc>
          <w:tcPr>
            <w:tcW w:w="1290" w:type="dxa"/>
            <w:noWrap w:val="0"/>
            <w:vAlign w:val="top"/>
          </w:tcPr>
          <w:p>
            <w:pPr>
              <w:pStyle w:val="27"/>
              <w:jc w:val="center"/>
              <w:rPr>
                <w:rFonts w:hint="eastAsia" w:ascii="宋体" w:hAnsi="宋体" w:eastAsia="宋体" w:cs="宋体"/>
                <w:color w:val="auto"/>
                <w:sz w:val="24"/>
                <w:szCs w:val="24"/>
                <w:highlight w:val="none"/>
              </w:rPr>
            </w:pPr>
          </w:p>
        </w:tc>
        <w:tc>
          <w:tcPr>
            <w:tcW w:w="1371" w:type="dxa"/>
            <w:noWrap w:val="0"/>
            <w:vAlign w:val="top"/>
          </w:tcPr>
          <w:p>
            <w:pPr>
              <w:pStyle w:val="27"/>
              <w:jc w:val="center"/>
              <w:rPr>
                <w:rFonts w:hint="eastAsia" w:ascii="宋体" w:hAnsi="宋体" w:eastAsia="宋体" w:cs="宋体"/>
                <w:color w:val="auto"/>
                <w:sz w:val="24"/>
                <w:szCs w:val="24"/>
                <w:highlight w:val="none"/>
              </w:rPr>
            </w:pPr>
          </w:p>
        </w:tc>
        <w:tc>
          <w:tcPr>
            <w:tcW w:w="879" w:type="dxa"/>
            <w:noWrap w:val="0"/>
            <w:vAlign w:val="top"/>
          </w:tcPr>
          <w:p>
            <w:pPr>
              <w:pStyle w:val="27"/>
              <w:jc w:val="center"/>
              <w:rPr>
                <w:rFonts w:hint="eastAsia" w:ascii="宋体" w:hAnsi="宋体" w:eastAsia="宋体" w:cs="宋体"/>
                <w:color w:val="auto"/>
                <w:sz w:val="24"/>
                <w:szCs w:val="24"/>
                <w:highlight w:val="none"/>
              </w:rPr>
            </w:pPr>
          </w:p>
        </w:tc>
        <w:tc>
          <w:tcPr>
            <w:tcW w:w="920" w:type="dxa"/>
            <w:noWrap w:val="0"/>
            <w:vAlign w:val="top"/>
          </w:tcPr>
          <w:p>
            <w:pPr>
              <w:pStyle w:val="27"/>
              <w:jc w:val="center"/>
              <w:rPr>
                <w:rFonts w:hint="eastAsia" w:ascii="宋体" w:hAnsi="宋体" w:eastAsia="宋体" w:cs="宋体"/>
                <w:color w:val="auto"/>
                <w:sz w:val="24"/>
                <w:szCs w:val="24"/>
                <w:highlight w:val="none"/>
              </w:rPr>
            </w:pPr>
          </w:p>
        </w:tc>
        <w:tc>
          <w:tcPr>
            <w:tcW w:w="920" w:type="dxa"/>
            <w:noWrap w:val="0"/>
            <w:vAlign w:val="top"/>
          </w:tcPr>
          <w:p>
            <w:pPr>
              <w:pStyle w:val="27"/>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72" w:type="dxa"/>
            <w:vMerge w:val="continue"/>
            <w:noWrap w:val="0"/>
            <w:vAlign w:val="center"/>
          </w:tcPr>
          <w:p>
            <w:pPr>
              <w:pStyle w:val="27"/>
              <w:jc w:val="center"/>
              <w:rPr>
                <w:rFonts w:hint="eastAsia" w:ascii="宋体" w:hAnsi="宋体" w:eastAsia="宋体" w:cs="宋体"/>
                <w:color w:val="auto"/>
                <w:sz w:val="24"/>
                <w:szCs w:val="24"/>
                <w:highlight w:val="none"/>
              </w:rPr>
            </w:pPr>
          </w:p>
        </w:tc>
        <w:tc>
          <w:tcPr>
            <w:tcW w:w="940" w:type="dxa"/>
            <w:noWrap w:val="0"/>
            <w:vAlign w:val="top"/>
          </w:tcPr>
          <w:p>
            <w:pPr>
              <w:pStyle w:val="27"/>
              <w:jc w:val="center"/>
              <w:rPr>
                <w:rFonts w:hint="eastAsia" w:ascii="宋体" w:hAnsi="宋体" w:eastAsia="宋体" w:cs="宋体"/>
                <w:color w:val="auto"/>
                <w:sz w:val="24"/>
                <w:szCs w:val="24"/>
                <w:highlight w:val="none"/>
              </w:rPr>
            </w:pPr>
          </w:p>
        </w:tc>
        <w:tc>
          <w:tcPr>
            <w:tcW w:w="970" w:type="dxa"/>
            <w:noWrap w:val="0"/>
            <w:vAlign w:val="top"/>
          </w:tcPr>
          <w:p>
            <w:pPr>
              <w:pStyle w:val="27"/>
              <w:jc w:val="center"/>
              <w:rPr>
                <w:rFonts w:hint="eastAsia" w:ascii="宋体" w:hAnsi="宋体" w:eastAsia="宋体" w:cs="宋体"/>
                <w:color w:val="auto"/>
                <w:sz w:val="24"/>
                <w:szCs w:val="24"/>
                <w:highlight w:val="none"/>
              </w:rPr>
            </w:pPr>
          </w:p>
        </w:tc>
        <w:tc>
          <w:tcPr>
            <w:tcW w:w="830" w:type="dxa"/>
            <w:noWrap w:val="0"/>
            <w:vAlign w:val="top"/>
          </w:tcPr>
          <w:p>
            <w:pPr>
              <w:pStyle w:val="27"/>
              <w:jc w:val="center"/>
              <w:rPr>
                <w:rFonts w:hint="eastAsia" w:ascii="宋体" w:hAnsi="宋体" w:eastAsia="宋体" w:cs="宋体"/>
                <w:color w:val="auto"/>
                <w:sz w:val="24"/>
                <w:szCs w:val="24"/>
                <w:highlight w:val="none"/>
              </w:rPr>
            </w:pPr>
          </w:p>
        </w:tc>
        <w:tc>
          <w:tcPr>
            <w:tcW w:w="1290" w:type="dxa"/>
            <w:noWrap w:val="0"/>
            <w:vAlign w:val="top"/>
          </w:tcPr>
          <w:p>
            <w:pPr>
              <w:pStyle w:val="27"/>
              <w:jc w:val="center"/>
              <w:rPr>
                <w:rFonts w:hint="eastAsia" w:ascii="宋体" w:hAnsi="宋体" w:eastAsia="宋体" w:cs="宋体"/>
                <w:color w:val="auto"/>
                <w:sz w:val="24"/>
                <w:szCs w:val="24"/>
                <w:highlight w:val="none"/>
              </w:rPr>
            </w:pPr>
          </w:p>
        </w:tc>
        <w:tc>
          <w:tcPr>
            <w:tcW w:w="1371" w:type="dxa"/>
            <w:noWrap w:val="0"/>
            <w:vAlign w:val="top"/>
          </w:tcPr>
          <w:p>
            <w:pPr>
              <w:pStyle w:val="27"/>
              <w:jc w:val="center"/>
              <w:rPr>
                <w:rFonts w:hint="eastAsia" w:ascii="宋体" w:hAnsi="宋体" w:eastAsia="宋体" w:cs="宋体"/>
                <w:color w:val="auto"/>
                <w:sz w:val="24"/>
                <w:szCs w:val="24"/>
                <w:highlight w:val="none"/>
              </w:rPr>
            </w:pPr>
          </w:p>
        </w:tc>
        <w:tc>
          <w:tcPr>
            <w:tcW w:w="879" w:type="dxa"/>
            <w:noWrap w:val="0"/>
            <w:vAlign w:val="top"/>
          </w:tcPr>
          <w:p>
            <w:pPr>
              <w:pStyle w:val="27"/>
              <w:jc w:val="center"/>
              <w:rPr>
                <w:rFonts w:hint="eastAsia" w:ascii="宋体" w:hAnsi="宋体" w:eastAsia="宋体" w:cs="宋体"/>
                <w:color w:val="auto"/>
                <w:sz w:val="24"/>
                <w:szCs w:val="24"/>
                <w:highlight w:val="none"/>
              </w:rPr>
            </w:pPr>
          </w:p>
        </w:tc>
        <w:tc>
          <w:tcPr>
            <w:tcW w:w="920" w:type="dxa"/>
            <w:noWrap w:val="0"/>
            <w:vAlign w:val="top"/>
          </w:tcPr>
          <w:p>
            <w:pPr>
              <w:pStyle w:val="27"/>
              <w:jc w:val="center"/>
              <w:rPr>
                <w:rFonts w:hint="eastAsia" w:ascii="宋体" w:hAnsi="宋体" w:eastAsia="宋体" w:cs="宋体"/>
                <w:color w:val="auto"/>
                <w:sz w:val="24"/>
                <w:szCs w:val="24"/>
                <w:highlight w:val="none"/>
              </w:rPr>
            </w:pPr>
          </w:p>
        </w:tc>
        <w:tc>
          <w:tcPr>
            <w:tcW w:w="920" w:type="dxa"/>
            <w:noWrap w:val="0"/>
            <w:vAlign w:val="top"/>
          </w:tcPr>
          <w:p>
            <w:pPr>
              <w:pStyle w:val="27"/>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72" w:type="dxa"/>
            <w:vMerge w:val="restart"/>
            <w:noWrap w:val="0"/>
            <w:vAlign w:val="center"/>
          </w:tcPr>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p>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w:t>
            </w:r>
          </w:p>
        </w:tc>
        <w:tc>
          <w:tcPr>
            <w:tcW w:w="940" w:type="dxa"/>
            <w:noWrap w:val="0"/>
            <w:vAlign w:val="top"/>
          </w:tcPr>
          <w:p>
            <w:pPr>
              <w:pStyle w:val="27"/>
              <w:jc w:val="center"/>
              <w:rPr>
                <w:rFonts w:hint="eastAsia" w:ascii="宋体" w:hAnsi="宋体" w:eastAsia="宋体" w:cs="宋体"/>
                <w:color w:val="auto"/>
                <w:sz w:val="24"/>
                <w:szCs w:val="24"/>
                <w:highlight w:val="none"/>
              </w:rPr>
            </w:pPr>
          </w:p>
        </w:tc>
        <w:tc>
          <w:tcPr>
            <w:tcW w:w="970" w:type="dxa"/>
            <w:noWrap w:val="0"/>
            <w:vAlign w:val="top"/>
          </w:tcPr>
          <w:p>
            <w:pPr>
              <w:pStyle w:val="27"/>
              <w:jc w:val="center"/>
              <w:rPr>
                <w:rFonts w:hint="eastAsia" w:ascii="宋体" w:hAnsi="宋体" w:eastAsia="宋体" w:cs="宋体"/>
                <w:color w:val="auto"/>
                <w:sz w:val="24"/>
                <w:szCs w:val="24"/>
                <w:highlight w:val="none"/>
              </w:rPr>
            </w:pPr>
          </w:p>
        </w:tc>
        <w:tc>
          <w:tcPr>
            <w:tcW w:w="830" w:type="dxa"/>
            <w:noWrap w:val="0"/>
            <w:vAlign w:val="top"/>
          </w:tcPr>
          <w:p>
            <w:pPr>
              <w:pStyle w:val="27"/>
              <w:jc w:val="center"/>
              <w:rPr>
                <w:rFonts w:hint="eastAsia" w:ascii="宋体" w:hAnsi="宋体" w:eastAsia="宋体" w:cs="宋体"/>
                <w:color w:val="auto"/>
                <w:sz w:val="24"/>
                <w:szCs w:val="24"/>
                <w:highlight w:val="none"/>
              </w:rPr>
            </w:pPr>
          </w:p>
        </w:tc>
        <w:tc>
          <w:tcPr>
            <w:tcW w:w="1290" w:type="dxa"/>
            <w:noWrap w:val="0"/>
            <w:vAlign w:val="top"/>
          </w:tcPr>
          <w:p>
            <w:pPr>
              <w:pStyle w:val="27"/>
              <w:jc w:val="center"/>
              <w:rPr>
                <w:rFonts w:hint="eastAsia" w:ascii="宋体" w:hAnsi="宋体" w:eastAsia="宋体" w:cs="宋体"/>
                <w:color w:val="auto"/>
                <w:sz w:val="24"/>
                <w:szCs w:val="24"/>
                <w:highlight w:val="none"/>
              </w:rPr>
            </w:pPr>
          </w:p>
        </w:tc>
        <w:tc>
          <w:tcPr>
            <w:tcW w:w="1371" w:type="dxa"/>
            <w:noWrap w:val="0"/>
            <w:vAlign w:val="top"/>
          </w:tcPr>
          <w:p>
            <w:pPr>
              <w:pStyle w:val="27"/>
              <w:jc w:val="center"/>
              <w:rPr>
                <w:rFonts w:hint="eastAsia" w:ascii="宋体" w:hAnsi="宋体" w:eastAsia="宋体" w:cs="宋体"/>
                <w:color w:val="auto"/>
                <w:sz w:val="24"/>
                <w:szCs w:val="24"/>
                <w:highlight w:val="none"/>
              </w:rPr>
            </w:pPr>
          </w:p>
        </w:tc>
        <w:tc>
          <w:tcPr>
            <w:tcW w:w="879" w:type="dxa"/>
            <w:noWrap w:val="0"/>
            <w:vAlign w:val="top"/>
          </w:tcPr>
          <w:p>
            <w:pPr>
              <w:pStyle w:val="27"/>
              <w:jc w:val="center"/>
              <w:rPr>
                <w:rFonts w:hint="eastAsia" w:ascii="宋体" w:hAnsi="宋体" w:eastAsia="宋体" w:cs="宋体"/>
                <w:color w:val="auto"/>
                <w:sz w:val="24"/>
                <w:szCs w:val="24"/>
                <w:highlight w:val="none"/>
              </w:rPr>
            </w:pPr>
          </w:p>
        </w:tc>
        <w:tc>
          <w:tcPr>
            <w:tcW w:w="920" w:type="dxa"/>
            <w:noWrap w:val="0"/>
            <w:vAlign w:val="top"/>
          </w:tcPr>
          <w:p>
            <w:pPr>
              <w:pStyle w:val="27"/>
              <w:jc w:val="center"/>
              <w:rPr>
                <w:rFonts w:hint="eastAsia" w:ascii="宋体" w:hAnsi="宋体" w:eastAsia="宋体" w:cs="宋体"/>
                <w:color w:val="auto"/>
                <w:sz w:val="24"/>
                <w:szCs w:val="24"/>
                <w:highlight w:val="none"/>
              </w:rPr>
            </w:pPr>
          </w:p>
        </w:tc>
        <w:tc>
          <w:tcPr>
            <w:tcW w:w="920" w:type="dxa"/>
            <w:noWrap w:val="0"/>
            <w:vAlign w:val="top"/>
          </w:tcPr>
          <w:p>
            <w:pPr>
              <w:pStyle w:val="27"/>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72" w:type="dxa"/>
            <w:vMerge w:val="continue"/>
            <w:noWrap w:val="0"/>
            <w:vAlign w:val="center"/>
          </w:tcPr>
          <w:p>
            <w:pPr>
              <w:pStyle w:val="27"/>
              <w:jc w:val="center"/>
              <w:rPr>
                <w:rFonts w:hint="eastAsia" w:ascii="宋体" w:hAnsi="宋体" w:eastAsia="宋体" w:cs="宋体"/>
                <w:color w:val="auto"/>
                <w:sz w:val="24"/>
                <w:szCs w:val="24"/>
                <w:highlight w:val="none"/>
              </w:rPr>
            </w:pPr>
          </w:p>
        </w:tc>
        <w:tc>
          <w:tcPr>
            <w:tcW w:w="940" w:type="dxa"/>
            <w:noWrap w:val="0"/>
            <w:vAlign w:val="top"/>
          </w:tcPr>
          <w:p>
            <w:pPr>
              <w:pStyle w:val="27"/>
              <w:jc w:val="center"/>
              <w:rPr>
                <w:rFonts w:hint="eastAsia" w:ascii="宋体" w:hAnsi="宋体" w:eastAsia="宋体" w:cs="宋体"/>
                <w:color w:val="auto"/>
                <w:sz w:val="24"/>
                <w:szCs w:val="24"/>
                <w:highlight w:val="none"/>
              </w:rPr>
            </w:pPr>
          </w:p>
        </w:tc>
        <w:tc>
          <w:tcPr>
            <w:tcW w:w="970" w:type="dxa"/>
            <w:noWrap w:val="0"/>
            <w:vAlign w:val="top"/>
          </w:tcPr>
          <w:p>
            <w:pPr>
              <w:pStyle w:val="27"/>
              <w:jc w:val="center"/>
              <w:rPr>
                <w:rFonts w:hint="eastAsia" w:ascii="宋体" w:hAnsi="宋体" w:eastAsia="宋体" w:cs="宋体"/>
                <w:color w:val="auto"/>
                <w:sz w:val="24"/>
                <w:szCs w:val="24"/>
                <w:highlight w:val="none"/>
              </w:rPr>
            </w:pPr>
          </w:p>
        </w:tc>
        <w:tc>
          <w:tcPr>
            <w:tcW w:w="830" w:type="dxa"/>
            <w:noWrap w:val="0"/>
            <w:vAlign w:val="top"/>
          </w:tcPr>
          <w:p>
            <w:pPr>
              <w:pStyle w:val="27"/>
              <w:jc w:val="center"/>
              <w:rPr>
                <w:rFonts w:hint="eastAsia" w:ascii="宋体" w:hAnsi="宋体" w:eastAsia="宋体" w:cs="宋体"/>
                <w:color w:val="auto"/>
                <w:sz w:val="24"/>
                <w:szCs w:val="24"/>
                <w:highlight w:val="none"/>
              </w:rPr>
            </w:pPr>
          </w:p>
        </w:tc>
        <w:tc>
          <w:tcPr>
            <w:tcW w:w="1290" w:type="dxa"/>
            <w:noWrap w:val="0"/>
            <w:vAlign w:val="top"/>
          </w:tcPr>
          <w:p>
            <w:pPr>
              <w:pStyle w:val="27"/>
              <w:jc w:val="center"/>
              <w:rPr>
                <w:rFonts w:hint="eastAsia" w:ascii="宋体" w:hAnsi="宋体" w:eastAsia="宋体" w:cs="宋体"/>
                <w:color w:val="auto"/>
                <w:sz w:val="24"/>
                <w:szCs w:val="24"/>
                <w:highlight w:val="none"/>
              </w:rPr>
            </w:pPr>
          </w:p>
        </w:tc>
        <w:tc>
          <w:tcPr>
            <w:tcW w:w="1371" w:type="dxa"/>
            <w:noWrap w:val="0"/>
            <w:vAlign w:val="top"/>
          </w:tcPr>
          <w:p>
            <w:pPr>
              <w:pStyle w:val="27"/>
              <w:jc w:val="center"/>
              <w:rPr>
                <w:rFonts w:hint="eastAsia" w:ascii="宋体" w:hAnsi="宋体" w:eastAsia="宋体" w:cs="宋体"/>
                <w:color w:val="auto"/>
                <w:sz w:val="24"/>
                <w:szCs w:val="24"/>
                <w:highlight w:val="none"/>
              </w:rPr>
            </w:pPr>
          </w:p>
        </w:tc>
        <w:tc>
          <w:tcPr>
            <w:tcW w:w="879" w:type="dxa"/>
            <w:noWrap w:val="0"/>
            <w:vAlign w:val="top"/>
          </w:tcPr>
          <w:p>
            <w:pPr>
              <w:pStyle w:val="27"/>
              <w:jc w:val="center"/>
              <w:rPr>
                <w:rFonts w:hint="eastAsia" w:ascii="宋体" w:hAnsi="宋体" w:eastAsia="宋体" w:cs="宋体"/>
                <w:color w:val="auto"/>
                <w:sz w:val="24"/>
                <w:szCs w:val="24"/>
                <w:highlight w:val="none"/>
              </w:rPr>
            </w:pPr>
          </w:p>
        </w:tc>
        <w:tc>
          <w:tcPr>
            <w:tcW w:w="920" w:type="dxa"/>
            <w:noWrap w:val="0"/>
            <w:vAlign w:val="top"/>
          </w:tcPr>
          <w:p>
            <w:pPr>
              <w:pStyle w:val="27"/>
              <w:jc w:val="center"/>
              <w:rPr>
                <w:rFonts w:hint="eastAsia" w:ascii="宋体" w:hAnsi="宋体" w:eastAsia="宋体" w:cs="宋体"/>
                <w:color w:val="auto"/>
                <w:sz w:val="24"/>
                <w:szCs w:val="24"/>
                <w:highlight w:val="none"/>
              </w:rPr>
            </w:pPr>
          </w:p>
        </w:tc>
        <w:tc>
          <w:tcPr>
            <w:tcW w:w="920" w:type="dxa"/>
            <w:noWrap w:val="0"/>
            <w:vAlign w:val="top"/>
          </w:tcPr>
          <w:p>
            <w:pPr>
              <w:pStyle w:val="27"/>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72" w:type="dxa"/>
            <w:vMerge w:val="continue"/>
            <w:noWrap w:val="0"/>
            <w:vAlign w:val="center"/>
          </w:tcPr>
          <w:p>
            <w:pPr>
              <w:pStyle w:val="27"/>
              <w:jc w:val="center"/>
              <w:rPr>
                <w:rFonts w:hint="eastAsia" w:ascii="宋体" w:hAnsi="宋体" w:eastAsia="宋体" w:cs="宋体"/>
                <w:color w:val="auto"/>
                <w:sz w:val="24"/>
                <w:szCs w:val="24"/>
                <w:highlight w:val="none"/>
              </w:rPr>
            </w:pPr>
          </w:p>
        </w:tc>
        <w:tc>
          <w:tcPr>
            <w:tcW w:w="940" w:type="dxa"/>
            <w:noWrap w:val="0"/>
            <w:vAlign w:val="top"/>
          </w:tcPr>
          <w:p>
            <w:pPr>
              <w:pStyle w:val="27"/>
              <w:jc w:val="center"/>
              <w:rPr>
                <w:rFonts w:hint="eastAsia" w:ascii="宋体" w:hAnsi="宋体" w:eastAsia="宋体" w:cs="宋体"/>
                <w:color w:val="auto"/>
                <w:sz w:val="24"/>
                <w:szCs w:val="24"/>
                <w:highlight w:val="none"/>
              </w:rPr>
            </w:pPr>
          </w:p>
        </w:tc>
        <w:tc>
          <w:tcPr>
            <w:tcW w:w="970" w:type="dxa"/>
            <w:noWrap w:val="0"/>
            <w:vAlign w:val="top"/>
          </w:tcPr>
          <w:p>
            <w:pPr>
              <w:pStyle w:val="27"/>
              <w:jc w:val="center"/>
              <w:rPr>
                <w:rFonts w:hint="eastAsia" w:ascii="宋体" w:hAnsi="宋体" w:eastAsia="宋体" w:cs="宋体"/>
                <w:color w:val="auto"/>
                <w:sz w:val="24"/>
                <w:szCs w:val="24"/>
                <w:highlight w:val="none"/>
              </w:rPr>
            </w:pPr>
          </w:p>
        </w:tc>
        <w:tc>
          <w:tcPr>
            <w:tcW w:w="830" w:type="dxa"/>
            <w:noWrap w:val="0"/>
            <w:vAlign w:val="top"/>
          </w:tcPr>
          <w:p>
            <w:pPr>
              <w:pStyle w:val="27"/>
              <w:jc w:val="center"/>
              <w:rPr>
                <w:rFonts w:hint="eastAsia" w:ascii="宋体" w:hAnsi="宋体" w:eastAsia="宋体" w:cs="宋体"/>
                <w:color w:val="auto"/>
                <w:sz w:val="24"/>
                <w:szCs w:val="24"/>
                <w:highlight w:val="none"/>
              </w:rPr>
            </w:pPr>
          </w:p>
        </w:tc>
        <w:tc>
          <w:tcPr>
            <w:tcW w:w="1290" w:type="dxa"/>
            <w:noWrap w:val="0"/>
            <w:vAlign w:val="top"/>
          </w:tcPr>
          <w:p>
            <w:pPr>
              <w:pStyle w:val="27"/>
              <w:jc w:val="center"/>
              <w:rPr>
                <w:rFonts w:hint="eastAsia" w:ascii="宋体" w:hAnsi="宋体" w:eastAsia="宋体" w:cs="宋体"/>
                <w:color w:val="auto"/>
                <w:sz w:val="24"/>
                <w:szCs w:val="24"/>
                <w:highlight w:val="none"/>
              </w:rPr>
            </w:pPr>
          </w:p>
        </w:tc>
        <w:tc>
          <w:tcPr>
            <w:tcW w:w="1371" w:type="dxa"/>
            <w:noWrap w:val="0"/>
            <w:vAlign w:val="top"/>
          </w:tcPr>
          <w:p>
            <w:pPr>
              <w:pStyle w:val="27"/>
              <w:jc w:val="center"/>
              <w:rPr>
                <w:rFonts w:hint="eastAsia" w:ascii="宋体" w:hAnsi="宋体" w:eastAsia="宋体" w:cs="宋体"/>
                <w:color w:val="auto"/>
                <w:sz w:val="24"/>
                <w:szCs w:val="24"/>
                <w:highlight w:val="none"/>
              </w:rPr>
            </w:pPr>
          </w:p>
        </w:tc>
        <w:tc>
          <w:tcPr>
            <w:tcW w:w="879" w:type="dxa"/>
            <w:noWrap w:val="0"/>
            <w:vAlign w:val="top"/>
          </w:tcPr>
          <w:p>
            <w:pPr>
              <w:pStyle w:val="27"/>
              <w:jc w:val="center"/>
              <w:rPr>
                <w:rFonts w:hint="eastAsia" w:ascii="宋体" w:hAnsi="宋体" w:eastAsia="宋体" w:cs="宋体"/>
                <w:color w:val="auto"/>
                <w:sz w:val="24"/>
                <w:szCs w:val="24"/>
                <w:highlight w:val="none"/>
              </w:rPr>
            </w:pPr>
          </w:p>
        </w:tc>
        <w:tc>
          <w:tcPr>
            <w:tcW w:w="920" w:type="dxa"/>
            <w:noWrap w:val="0"/>
            <w:vAlign w:val="top"/>
          </w:tcPr>
          <w:p>
            <w:pPr>
              <w:pStyle w:val="27"/>
              <w:jc w:val="center"/>
              <w:rPr>
                <w:rFonts w:hint="eastAsia" w:ascii="宋体" w:hAnsi="宋体" w:eastAsia="宋体" w:cs="宋体"/>
                <w:color w:val="auto"/>
                <w:sz w:val="24"/>
                <w:szCs w:val="24"/>
                <w:highlight w:val="none"/>
              </w:rPr>
            </w:pPr>
          </w:p>
        </w:tc>
        <w:tc>
          <w:tcPr>
            <w:tcW w:w="920" w:type="dxa"/>
            <w:noWrap w:val="0"/>
            <w:vAlign w:val="top"/>
          </w:tcPr>
          <w:p>
            <w:pPr>
              <w:pStyle w:val="27"/>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72" w:type="dxa"/>
            <w:vMerge w:val="restart"/>
            <w:noWrap w:val="0"/>
            <w:vAlign w:val="center"/>
          </w:tcPr>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其他人员</w:t>
            </w:r>
          </w:p>
        </w:tc>
        <w:tc>
          <w:tcPr>
            <w:tcW w:w="940" w:type="dxa"/>
            <w:noWrap w:val="0"/>
            <w:vAlign w:val="top"/>
          </w:tcPr>
          <w:p>
            <w:pPr>
              <w:pStyle w:val="27"/>
              <w:jc w:val="center"/>
              <w:rPr>
                <w:rFonts w:hint="eastAsia" w:ascii="宋体" w:hAnsi="宋体" w:eastAsia="宋体" w:cs="宋体"/>
                <w:color w:val="auto"/>
                <w:sz w:val="24"/>
                <w:szCs w:val="24"/>
                <w:highlight w:val="none"/>
              </w:rPr>
            </w:pPr>
          </w:p>
        </w:tc>
        <w:tc>
          <w:tcPr>
            <w:tcW w:w="970" w:type="dxa"/>
            <w:noWrap w:val="0"/>
            <w:vAlign w:val="top"/>
          </w:tcPr>
          <w:p>
            <w:pPr>
              <w:pStyle w:val="27"/>
              <w:jc w:val="center"/>
              <w:rPr>
                <w:rFonts w:hint="eastAsia" w:ascii="宋体" w:hAnsi="宋体" w:eastAsia="宋体" w:cs="宋体"/>
                <w:color w:val="auto"/>
                <w:sz w:val="24"/>
                <w:szCs w:val="24"/>
                <w:highlight w:val="none"/>
              </w:rPr>
            </w:pPr>
          </w:p>
        </w:tc>
        <w:tc>
          <w:tcPr>
            <w:tcW w:w="830" w:type="dxa"/>
            <w:noWrap w:val="0"/>
            <w:vAlign w:val="top"/>
          </w:tcPr>
          <w:p>
            <w:pPr>
              <w:pStyle w:val="27"/>
              <w:jc w:val="center"/>
              <w:rPr>
                <w:rFonts w:hint="eastAsia" w:ascii="宋体" w:hAnsi="宋体" w:eastAsia="宋体" w:cs="宋体"/>
                <w:color w:val="auto"/>
                <w:sz w:val="24"/>
                <w:szCs w:val="24"/>
                <w:highlight w:val="none"/>
              </w:rPr>
            </w:pPr>
          </w:p>
        </w:tc>
        <w:tc>
          <w:tcPr>
            <w:tcW w:w="1290" w:type="dxa"/>
            <w:noWrap w:val="0"/>
            <w:vAlign w:val="top"/>
          </w:tcPr>
          <w:p>
            <w:pPr>
              <w:pStyle w:val="27"/>
              <w:jc w:val="center"/>
              <w:rPr>
                <w:rFonts w:hint="eastAsia" w:ascii="宋体" w:hAnsi="宋体" w:eastAsia="宋体" w:cs="宋体"/>
                <w:color w:val="auto"/>
                <w:sz w:val="24"/>
                <w:szCs w:val="24"/>
                <w:highlight w:val="none"/>
              </w:rPr>
            </w:pPr>
          </w:p>
        </w:tc>
        <w:tc>
          <w:tcPr>
            <w:tcW w:w="1371" w:type="dxa"/>
            <w:noWrap w:val="0"/>
            <w:vAlign w:val="top"/>
          </w:tcPr>
          <w:p>
            <w:pPr>
              <w:pStyle w:val="27"/>
              <w:jc w:val="center"/>
              <w:rPr>
                <w:rFonts w:hint="eastAsia" w:ascii="宋体" w:hAnsi="宋体" w:eastAsia="宋体" w:cs="宋体"/>
                <w:color w:val="auto"/>
                <w:sz w:val="24"/>
                <w:szCs w:val="24"/>
                <w:highlight w:val="none"/>
              </w:rPr>
            </w:pPr>
          </w:p>
        </w:tc>
        <w:tc>
          <w:tcPr>
            <w:tcW w:w="879" w:type="dxa"/>
            <w:noWrap w:val="0"/>
            <w:vAlign w:val="top"/>
          </w:tcPr>
          <w:p>
            <w:pPr>
              <w:pStyle w:val="27"/>
              <w:jc w:val="center"/>
              <w:rPr>
                <w:rFonts w:hint="eastAsia" w:ascii="宋体" w:hAnsi="宋体" w:eastAsia="宋体" w:cs="宋体"/>
                <w:color w:val="auto"/>
                <w:sz w:val="24"/>
                <w:szCs w:val="24"/>
                <w:highlight w:val="none"/>
              </w:rPr>
            </w:pPr>
          </w:p>
        </w:tc>
        <w:tc>
          <w:tcPr>
            <w:tcW w:w="920" w:type="dxa"/>
            <w:noWrap w:val="0"/>
            <w:vAlign w:val="top"/>
          </w:tcPr>
          <w:p>
            <w:pPr>
              <w:pStyle w:val="27"/>
              <w:jc w:val="center"/>
              <w:rPr>
                <w:rFonts w:hint="eastAsia" w:ascii="宋体" w:hAnsi="宋体" w:eastAsia="宋体" w:cs="宋体"/>
                <w:color w:val="auto"/>
                <w:sz w:val="24"/>
                <w:szCs w:val="24"/>
                <w:highlight w:val="none"/>
              </w:rPr>
            </w:pPr>
          </w:p>
        </w:tc>
        <w:tc>
          <w:tcPr>
            <w:tcW w:w="920" w:type="dxa"/>
            <w:noWrap w:val="0"/>
            <w:vAlign w:val="top"/>
          </w:tcPr>
          <w:p>
            <w:pPr>
              <w:pStyle w:val="27"/>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72" w:type="dxa"/>
            <w:vMerge w:val="continue"/>
            <w:noWrap w:val="0"/>
            <w:vAlign w:val="top"/>
          </w:tcPr>
          <w:p>
            <w:pPr>
              <w:pStyle w:val="27"/>
              <w:jc w:val="center"/>
              <w:rPr>
                <w:rFonts w:hint="eastAsia" w:ascii="宋体" w:hAnsi="宋体" w:eastAsia="宋体" w:cs="宋体"/>
                <w:color w:val="auto"/>
                <w:sz w:val="24"/>
                <w:szCs w:val="24"/>
                <w:highlight w:val="none"/>
              </w:rPr>
            </w:pPr>
          </w:p>
        </w:tc>
        <w:tc>
          <w:tcPr>
            <w:tcW w:w="940" w:type="dxa"/>
            <w:noWrap w:val="0"/>
            <w:vAlign w:val="top"/>
          </w:tcPr>
          <w:p>
            <w:pPr>
              <w:pStyle w:val="27"/>
              <w:jc w:val="center"/>
              <w:rPr>
                <w:rFonts w:hint="eastAsia" w:ascii="宋体" w:hAnsi="宋体" w:eastAsia="宋体" w:cs="宋体"/>
                <w:color w:val="auto"/>
                <w:sz w:val="24"/>
                <w:szCs w:val="24"/>
                <w:highlight w:val="none"/>
              </w:rPr>
            </w:pPr>
          </w:p>
        </w:tc>
        <w:tc>
          <w:tcPr>
            <w:tcW w:w="970" w:type="dxa"/>
            <w:noWrap w:val="0"/>
            <w:vAlign w:val="top"/>
          </w:tcPr>
          <w:p>
            <w:pPr>
              <w:pStyle w:val="27"/>
              <w:jc w:val="center"/>
              <w:rPr>
                <w:rFonts w:hint="eastAsia" w:ascii="宋体" w:hAnsi="宋体" w:eastAsia="宋体" w:cs="宋体"/>
                <w:color w:val="auto"/>
                <w:sz w:val="24"/>
                <w:szCs w:val="24"/>
                <w:highlight w:val="none"/>
              </w:rPr>
            </w:pPr>
          </w:p>
        </w:tc>
        <w:tc>
          <w:tcPr>
            <w:tcW w:w="830" w:type="dxa"/>
            <w:noWrap w:val="0"/>
            <w:vAlign w:val="top"/>
          </w:tcPr>
          <w:p>
            <w:pPr>
              <w:pStyle w:val="27"/>
              <w:jc w:val="center"/>
              <w:rPr>
                <w:rFonts w:hint="eastAsia" w:ascii="宋体" w:hAnsi="宋体" w:eastAsia="宋体" w:cs="宋体"/>
                <w:color w:val="auto"/>
                <w:sz w:val="24"/>
                <w:szCs w:val="24"/>
                <w:highlight w:val="none"/>
              </w:rPr>
            </w:pPr>
          </w:p>
        </w:tc>
        <w:tc>
          <w:tcPr>
            <w:tcW w:w="1290" w:type="dxa"/>
            <w:noWrap w:val="0"/>
            <w:vAlign w:val="top"/>
          </w:tcPr>
          <w:p>
            <w:pPr>
              <w:pStyle w:val="27"/>
              <w:jc w:val="center"/>
              <w:rPr>
                <w:rFonts w:hint="eastAsia" w:ascii="宋体" w:hAnsi="宋体" w:eastAsia="宋体" w:cs="宋体"/>
                <w:color w:val="auto"/>
                <w:sz w:val="24"/>
                <w:szCs w:val="24"/>
                <w:highlight w:val="none"/>
              </w:rPr>
            </w:pPr>
          </w:p>
        </w:tc>
        <w:tc>
          <w:tcPr>
            <w:tcW w:w="1371" w:type="dxa"/>
            <w:noWrap w:val="0"/>
            <w:vAlign w:val="top"/>
          </w:tcPr>
          <w:p>
            <w:pPr>
              <w:pStyle w:val="27"/>
              <w:jc w:val="center"/>
              <w:rPr>
                <w:rFonts w:hint="eastAsia" w:ascii="宋体" w:hAnsi="宋体" w:eastAsia="宋体" w:cs="宋体"/>
                <w:color w:val="auto"/>
                <w:sz w:val="24"/>
                <w:szCs w:val="24"/>
                <w:highlight w:val="none"/>
              </w:rPr>
            </w:pPr>
          </w:p>
        </w:tc>
        <w:tc>
          <w:tcPr>
            <w:tcW w:w="879" w:type="dxa"/>
            <w:noWrap w:val="0"/>
            <w:vAlign w:val="top"/>
          </w:tcPr>
          <w:p>
            <w:pPr>
              <w:pStyle w:val="27"/>
              <w:jc w:val="center"/>
              <w:rPr>
                <w:rFonts w:hint="eastAsia" w:ascii="宋体" w:hAnsi="宋体" w:eastAsia="宋体" w:cs="宋体"/>
                <w:color w:val="auto"/>
                <w:sz w:val="24"/>
                <w:szCs w:val="24"/>
                <w:highlight w:val="none"/>
              </w:rPr>
            </w:pPr>
          </w:p>
        </w:tc>
        <w:tc>
          <w:tcPr>
            <w:tcW w:w="920" w:type="dxa"/>
            <w:noWrap w:val="0"/>
            <w:vAlign w:val="top"/>
          </w:tcPr>
          <w:p>
            <w:pPr>
              <w:pStyle w:val="27"/>
              <w:jc w:val="center"/>
              <w:rPr>
                <w:rFonts w:hint="eastAsia" w:ascii="宋体" w:hAnsi="宋体" w:eastAsia="宋体" w:cs="宋体"/>
                <w:color w:val="auto"/>
                <w:sz w:val="24"/>
                <w:szCs w:val="24"/>
                <w:highlight w:val="none"/>
              </w:rPr>
            </w:pPr>
          </w:p>
        </w:tc>
        <w:tc>
          <w:tcPr>
            <w:tcW w:w="920" w:type="dxa"/>
            <w:noWrap w:val="0"/>
            <w:vAlign w:val="top"/>
          </w:tcPr>
          <w:p>
            <w:pPr>
              <w:pStyle w:val="27"/>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72" w:type="dxa"/>
            <w:vMerge w:val="continue"/>
            <w:noWrap w:val="0"/>
            <w:vAlign w:val="top"/>
          </w:tcPr>
          <w:p>
            <w:pPr>
              <w:pStyle w:val="27"/>
              <w:jc w:val="center"/>
              <w:rPr>
                <w:rFonts w:hint="eastAsia" w:ascii="宋体" w:hAnsi="宋体" w:eastAsia="宋体" w:cs="宋体"/>
                <w:color w:val="auto"/>
                <w:sz w:val="24"/>
                <w:szCs w:val="24"/>
                <w:highlight w:val="none"/>
              </w:rPr>
            </w:pPr>
          </w:p>
        </w:tc>
        <w:tc>
          <w:tcPr>
            <w:tcW w:w="940" w:type="dxa"/>
            <w:noWrap w:val="0"/>
            <w:vAlign w:val="top"/>
          </w:tcPr>
          <w:p>
            <w:pPr>
              <w:pStyle w:val="27"/>
              <w:jc w:val="center"/>
              <w:rPr>
                <w:rFonts w:hint="eastAsia" w:ascii="宋体" w:hAnsi="宋体" w:eastAsia="宋体" w:cs="宋体"/>
                <w:color w:val="auto"/>
                <w:sz w:val="24"/>
                <w:szCs w:val="24"/>
                <w:highlight w:val="none"/>
              </w:rPr>
            </w:pPr>
          </w:p>
        </w:tc>
        <w:tc>
          <w:tcPr>
            <w:tcW w:w="970" w:type="dxa"/>
            <w:noWrap w:val="0"/>
            <w:vAlign w:val="top"/>
          </w:tcPr>
          <w:p>
            <w:pPr>
              <w:pStyle w:val="27"/>
              <w:jc w:val="center"/>
              <w:rPr>
                <w:rFonts w:hint="eastAsia" w:ascii="宋体" w:hAnsi="宋体" w:eastAsia="宋体" w:cs="宋体"/>
                <w:color w:val="auto"/>
                <w:sz w:val="24"/>
                <w:szCs w:val="24"/>
                <w:highlight w:val="none"/>
              </w:rPr>
            </w:pPr>
          </w:p>
        </w:tc>
        <w:tc>
          <w:tcPr>
            <w:tcW w:w="830" w:type="dxa"/>
            <w:noWrap w:val="0"/>
            <w:vAlign w:val="top"/>
          </w:tcPr>
          <w:p>
            <w:pPr>
              <w:pStyle w:val="27"/>
              <w:jc w:val="center"/>
              <w:rPr>
                <w:rFonts w:hint="eastAsia" w:ascii="宋体" w:hAnsi="宋体" w:eastAsia="宋体" w:cs="宋体"/>
                <w:color w:val="auto"/>
                <w:sz w:val="24"/>
                <w:szCs w:val="24"/>
                <w:highlight w:val="none"/>
              </w:rPr>
            </w:pPr>
          </w:p>
        </w:tc>
        <w:tc>
          <w:tcPr>
            <w:tcW w:w="1290" w:type="dxa"/>
            <w:noWrap w:val="0"/>
            <w:vAlign w:val="top"/>
          </w:tcPr>
          <w:p>
            <w:pPr>
              <w:pStyle w:val="27"/>
              <w:jc w:val="center"/>
              <w:rPr>
                <w:rFonts w:hint="eastAsia" w:ascii="宋体" w:hAnsi="宋体" w:eastAsia="宋体" w:cs="宋体"/>
                <w:color w:val="auto"/>
                <w:sz w:val="24"/>
                <w:szCs w:val="24"/>
                <w:highlight w:val="none"/>
              </w:rPr>
            </w:pPr>
          </w:p>
        </w:tc>
        <w:tc>
          <w:tcPr>
            <w:tcW w:w="1371" w:type="dxa"/>
            <w:noWrap w:val="0"/>
            <w:vAlign w:val="top"/>
          </w:tcPr>
          <w:p>
            <w:pPr>
              <w:pStyle w:val="27"/>
              <w:jc w:val="center"/>
              <w:rPr>
                <w:rFonts w:hint="eastAsia" w:ascii="宋体" w:hAnsi="宋体" w:eastAsia="宋体" w:cs="宋体"/>
                <w:color w:val="auto"/>
                <w:sz w:val="24"/>
                <w:szCs w:val="24"/>
                <w:highlight w:val="none"/>
              </w:rPr>
            </w:pPr>
          </w:p>
        </w:tc>
        <w:tc>
          <w:tcPr>
            <w:tcW w:w="879" w:type="dxa"/>
            <w:noWrap w:val="0"/>
            <w:vAlign w:val="top"/>
          </w:tcPr>
          <w:p>
            <w:pPr>
              <w:pStyle w:val="27"/>
              <w:jc w:val="center"/>
              <w:rPr>
                <w:rFonts w:hint="eastAsia" w:ascii="宋体" w:hAnsi="宋体" w:eastAsia="宋体" w:cs="宋体"/>
                <w:color w:val="auto"/>
                <w:sz w:val="24"/>
                <w:szCs w:val="24"/>
                <w:highlight w:val="none"/>
              </w:rPr>
            </w:pPr>
          </w:p>
        </w:tc>
        <w:tc>
          <w:tcPr>
            <w:tcW w:w="920" w:type="dxa"/>
            <w:noWrap w:val="0"/>
            <w:vAlign w:val="top"/>
          </w:tcPr>
          <w:p>
            <w:pPr>
              <w:pStyle w:val="27"/>
              <w:jc w:val="center"/>
              <w:rPr>
                <w:rFonts w:hint="eastAsia" w:ascii="宋体" w:hAnsi="宋体" w:eastAsia="宋体" w:cs="宋体"/>
                <w:color w:val="auto"/>
                <w:sz w:val="24"/>
                <w:szCs w:val="24"/>
                <w:highlight w:val="none"/>
              </w:rPr>
            </w:pPr>
          </w:p>
        </w:tc>
        <w:tc>
          <w:tcPr>
            <w:tcW w:w="920" w:type="dxa"/>
            <w:noWrap w:val="0"/>
            <w:vAlign w:val="top"/>
          </w:tcPr>
          <w:p>
            <w:pPr>
              <w:pStyle w:val="27"/>
              <w:jc w:val="center"/>
              <w:rPr>
                <w:rFonts w:hint="eastAsia" w:ascii="宋体" w:hAnsi="宋体" w:eastAsia="宋体" w:cs="宋体"/>
                <w:color w:val="auto"/>
                <w:sz w:val="24"/>
                <w:szCs w:val="24"/>
                <w:highlight w:val="none"/>
              </w:rPr>
            </w:pPr>
          </w:p>
        </w:tc>
      </w:tr>
    </w:tbl>
    <w:p>
      <w:pPr>
        <w:widowControl/>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注：人员如需附相关证明、证件的，相关证明、证件附后。</w:t>
      </w:r>
    </w:p>
    <w:p>
      <w:pPr>
        <w:widowControl/>
        <w:ind w:firstLine="480"/>
        <w:rPr>
          <w:rFonts w:hint="eastAsia" w:ascii="宋体" w:hAnsi="宋体" w:eastAsia="宋体" w:cs="宋体"/>
          <w:color w:val="auto"/>
          <w:sz w:val="24"/>
          <w:szCs w:val="24"/>
          <w:highlight w:val="none"/>
        </w:rPr>
      </w:pPr>
    </w:p>
    <w:p>
      <w:pPr>
        <w:widowControl/>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（单位盖章）</w:t>
      </w:r>
    </w:p>
    <w:p>
      <w:pPr>
        <w:widowControl/>
        <w:spacing w:line="360" w:lineRule="auto"/>
        <w:ind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（签字或加盖个人名章）</w:t>
      </w:r>
    </w:p>
    <w:p>
      <w:pPr>
        <w:widowControl/>
        <w:spacing w:line="360" w:lineRule="auto"/>
        <w:ind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bookmarkEnd w:id="284"/>
    <w:bookmarkEnd w:id="285"/>
    <w:bookmarkEnd w:id="286"/>
    <w:bookmarkEnd w:id="287"/>
    <w:p>
      <w:pPr>
        <w:widowControl/>
        <w:spacing w:line="360" w:lineRule="auto"/>
        <w:ind w:firstLine="480"/>
        <w:rPr>
          <w:rFonts w:hint="eastAsia" w:ascii="宋体" w:hAnsi="宋体" w:eastAsia="宋体" w:cs="宋体"/>
          <w:color w:val="auto"/>
          <w:w w:val="90"/>
          <w:sz w:val="24"/>
          <w:szCs w:val="24"/>
          <w:highlight w:val="none"/>
        </w:rPr>
      </w:pPr>
      <w:r>
        <w:rPr>
          <w:rFonts w:hint="eastAsia" w:ascii="宋体" w:hAnsi="宋体" w:eastAsia="宋体" w:cs="宋体"/>
          <w:bCs/>
          <w:color w:val="auto"/>
          <w:sz w:val="24"/>
          <w:szCs w:val="24"/>
          <w:highlight w:val="none"/>
        </w:rPr>
        <w:br w:type="page"/>
      </w:r>
    </w:p>
    <w:p>
      <w:pPr>
        <w:pStyle w:val="26"/>
        <w:spacing w:before="156" w:after="156"/>
        <w:rPr>
          <w:rFonts w:hint="eastAsia" w:ascii="宋体" w:hAnsi="宋体" w:eastAsia="宋体" w:cs="宋体"/>
          <w:color w:val="auto"/>
          <w:highlight w:val="none"/>
        </w:rPr>
      </w:pPr>
      <w:bookmarkStart w:id="296" w:name="_Toc23756"/>
      <w:bookmarkStart w:id="297" w:name="_Toc7424"/>
      <w:bookmarkStart w:id="298" w:name="_Toc21074"/>
      <w:r>
        <w:rPr>
          <w:rFonts w:hint="eastAsia" w:ascii="宋体" w:hAnsi="宋体" w:eastAsia="宋体" w:cs="宋体"/>
          <w:color w:val="auto"/>
          <w:highlight w:val="none"/>
          <w:lang w:eastAsia="zh-CN"/>
        </w:rPr>
        <w:t>六</w:t>
      </w:r>
      <w:r>
        <w:rPr>
          <w:rFonts w:hint="eastAsia" w:ascii="宋体" w:hAnsi="宋体" w:eastAsia="宋体" w:cs="宋体"/>
          <w:color w:val="auto"/>
          <w:highlight w:val="none"/>
        </w:rPr>
        <w:t>、供应商类似业绩一览表</w:t>
      </w:r>
      <w:bookmarkEnd w:id="296"/>
      <w:bookmarkEnd w:id="297"/>
      <w:bookmarkEnd w:id="298"/>
    </w:p>
    <w:tbl>
      <w:tblPr>
        <w:tblStyle w:val="16"/>
        <w:tblW w:w="837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1645"/>
        <w:gridCol w:w="83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76" w:hRule="atLeast"/>
          <w:jc w:val="center"/>
        </w:trPr>
        <w:tc>
          <w:tcPr>
            <w:tcW w:w="720" w:type="dxa"/>
            <w:tcBorders>
              <w:top w:val="single" w:color="auto" w:sz="4" w:space="0"/>
            </w:tcBorders>
            <w:noWrap w:val="0"/>
            <w:vAlign w:val="center"/>
          </w:tcPr>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年份</w:t>
            </w:r>
          </w:p>
        </w:tc>
        <w:tc>
          <w:tcPr>
            <w:tcW w:w="1440" w:type="dxa"/>
            <w:noWrap w:val="0"/>
            <w:vAlign w:val="center"/>
          </w:tcPr>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用户名称</w:t>
            </w:r>
          </w:p>
        </w:tc>
        <w:tc>
          <w:tcPr>
            <w:tcW w:w="1320" w:type="dxa"/>
            <w:noWrap w:val="0"/>
            <w:vAlign w:val="center"/>
          </w:tcPr>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161" w:type="dxa"/>
            <w:noWrap w:val="0"/>
            <w:vAlign w:val="center"/>
          </w:tcPr>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完成时间</w:t>
            </w:r>
          </w:p>
        </w:tc>
        <w:tc>
          <w:tcPr>
            <w:tcW w:w="1260" w:type="dxa"/>
            <w:noWrap w:val="0"/>
            <w:vAlign w:val="center"/>
          </w:tcPr>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合同金额</w:t>
            </w:r>
          </w:p>
        </w:tc>
        <w:tc>
          <w:tcPr>
            <w:tcW w:w="1645" w:type="dxa"/>
            <w:tcBorders>
              <w:right w:val="single" w:color="auto" w:sz="4" w:space="0"/>
            </w:tcBorders>
            <w:noWrap w:val="0"/>
            <w:vAlign w:val="center"/>
          </w:tcPr>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验收情况</w:t>
            </w:r>
          </w:p>
        </w:tc>
        <w:tc>
          <w:tcPr>
            <w:tcW w:w="832" w:type="dxa"/>
            <w:tcBorders>
              <w:left w:val="single" w:color="auto" w:sz="4" w:space="0"/>
            </w:tcBorders>
            <w:noWrap w:val="0"/>
            <w:vAlign w:val="center"/>
          </w:tcPr>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76" w:hRule="atLeast"/>
          <w:jc w:val="center"/>
        </w:trPr>
        <w:tc>
          <w:tcPr>
            <w:tcW w:w="720" w:type="dxa"/>
            <w:noWrap w:val="0"/>
            <w:vAlign w:val="center"/>
          </w:tcPr>
          <w:p>
            <w:pPr>
              <w:pStyle w:val="27"/>
              <w:rPr>
                <w:rFonts w:hint="eastAsia" w:ascii="宋体" w:hAnsi="宋体" w:eastAsia="宋体" w:cs="宋体"/>
                <w:color w:val="auto"/>
                <w:sz w:val="24"/>
                <w:szCs w:val="24"/>
                <w:highlight w:val="none"/>
              </w:rPr>
            </w:pPr>
          </w:p>
        </w:tc>
        <w:tc>
          <w:tcPr>
            <w:tcW w:w="1440" w:type="dxa"/>
            <w:noWrap w:val="0"/>
            <w:vAlign w:val="center"/>
          </w:tcPr>
          <w:p>
            <w:pPr>
              <w:pStyle w:val="27"/>
              <w:rPr>
                <w:rFonts w:hint="eastAsia" w:ascii="宋体" w:hAnsi="宋体" w:eastAsia="宋体" w:cs="宋体"/>
                <w:color w:val="auto"/>
                <w:sz w:val="24"/>
                <w:szCs w:val="24"/>
                <w:highlight w:val="none"/>
              </w:rPr>
            </w:pPr>
          </w:p>
        </w:tc>
        <w:tc>
          <w:tcPr>
            <w:tcW w:w="1320" w:type="dxa"/>
            <w:noWrap w:val="0"/>
            <w:vAlign w:val="center"/>
          </w:tcPr>
          <w:p>
            <w:pPr>
              <w:pStyle w:val="27"/>
              <w:rPr>
                <w:rFonts w:hint="eastAsia" w:ascii="宋体" w:hAnsi="宋体" w:eastAsia="宋体" w:cs="宋体"/>
                <w:color w:val="auto"/>
                <w:sz w:val="24"/>
                <w:szCs w:val="24"/>
                <w:highlight w:val="none"/>
              </w:rPr>
            </w:pPr>
          </w:p>
        </w:tc>
        <w:tc>
          <w:tcPr>
            <w:tcW w:w="1161" w:type="dxa"/>
            <w:noWrap w:val="0"/>
            <w:vAlign w:val="center"/>
          </w:tcPr>
          <w:p>
            <w:pPr>
              <w:pStyle w:val="27"/>
              <w:rPr>
                <w:rFonts w:hint="eastAsia" w:ascii="宋体" w:hAnsi="宋体" w:eastAsia="宋体" w:cs="宋体"/>
                <w:color w:val="auto"/>
                <w:sz w:val="24"/>
                <w:szCs w:val="24"/>
                <w:highlight w:val="none"/>
              </w:rPr>
            </w:pPr>
          </w:p>
        </w:tc>
        <w:tc>
          <w:tcPr>
            <w:tcW w:w="1260" w:type="dxa"/>
            <w:noWrap w:val="0"/>
            <w:vAlign w:val="center"/>
          </w:tcPr>
          <w:p>
            <w:pPr>
              <w:pStyle w:val="27"/>
              <w:rPr>
                <w:rFonts w:hint="eastAsia" w:ascii="宋体" w:hAnsi="宋体" w:eastAsia="宋体" w:cs="宋体"/>
                <w:color w:val="auto"/>
                <w:sz w:val="24"/>
                <w:szCs w:val="24"/>
                <w:highlight w:val="none"/>
              </w:rPr>
            </w:pPr>
          </w:p>
        </w:tc>
        <w:tc>
          <w:tcPr>
            <w:tcW w:w="1645" w:type="dxa"/>
            <w:tcBorders>
              <w:right w:val="single" w:color="auto" w:sz="4" w:space="0"/>
            </w:tcBorders>
            <w:noWrap w:val="0"/>
            <w:vAlign w:val="center"/>
          </w:tcPr>
          <w:p>
            <w:pPr>
              <w:pStyle w:val="27"/>
              <w:rPr>
                <w:rFonts w:hint="eastAsia" w:ascii="宋体" w:hAnsi="宋体" w:eastAsia="宋体" w:cs="宋体"/>
                <w:color w:val="auto"/>
                <w:sz w:val="24"/>
                <w:szCs w:val="24"/>
                <w:highlight w:val="none"/>
              </w:rPr>
            </w:pPr>
          </w:p>
        </w:tc>
        <w:tc>
          <w:tcPr>
            <w:tcW w:w="832" w:type="dxa"/>
            <w:tcBorders>
              <w:left w:val="single" w:color="auto" w:sz="4" w:space="0"/>
            </w:tcBorders>
            <w:noWrap w:val="0"/>
            <w:vAlign w:val="center"/>
          </w:tcPr>
          <w:p>
            <w:pPr>
              <w:pStyle w:val="27"/>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76" w:hRule="atLeast"/>
          <w:jc w:val="center"/>
        </w:trPr>
        <w:tc>
          <w:tcPr>
            <w:tcW w:w="720" w:type="dxa"/>
            <w:noWrap w:val="0"/>
            <w:vAlign w:val="center"/>
          </w:tcPr>
          <w:p>
            <w:pPr>
              <w:pStyle w:val="27"/>
              <w:rPr>
                <w:rFonts w:hint="eastAsia" w:ascii="宋体" w:hAnsi="宋体" w:eastAsia="宋体" w:cs="宋体"/>
                <w:color w:val="auto"/>
                <w:sz w:val="24"/>
                <w:szCs w:val="24"/>
                <w:highlight w:val="none"/>
              </w:rPr>
            </w:pPr>
          </w:p>
        </w:tc>
        <w:tc>
          <w:tcPr>
            <w:tcW w:w="1440" w:type="dxa"/>
            <w:noWrap w:val="0"/>
            <w:vAlign w:val="center"/>
          </w:tcPr>
          <w:p>
            <w:pPr>
              <w:pStyle w:val="27"/>
              <w:rPr>
                <w:rFonts w:hint="eastAsia" w:ascii="宋体" w:hAnsi="宋体" w:eastAsia="宋体" w:cs="宋体"/>
                <w:color w:val="auto"/>
                <w:sz w:val="24"/>
                <w:szCs w:val="24"/>
                <w:highlight w:val="none"/>
              </w:rPr>
            </w:pPr>
          </w:p>
        </w:tc>
        <w:tc>
          <w:tcPr>
            <w:tcW w:w="1320" w:type="dxa"/>
            <w:noWrap w:val="0"/>
            <w:vAlign w:val="center"/>
          </w:tcPr>
          <w:p>
            <w:pPr>
              <w:pStyle w:val="27"/>
              <w:rPr>
                <w:rFonts w:hint="eastAsia" w:ascii="宋体" w:hAnsi="宋体" w:eastAsia="宋体" w:cs="宋体"/>
                <w:color w:val="auto"/>
                <w:sz w:val="24"/>
                <w:szCs w:val="24"/>
                <w:highlight w:val="none"/>
              </w:rPr>
            </w:pPr>
          </w:p>
        </w:tc>
        <w:tc>
          <w:tcPr>
            <w:tcW w:w="1161" w:type="dxa"/>
            <w:noWrap w:val="0"/>
            <w:vAlign w:val="center"/>
          </w:tcPr>
          <w:p>
            <w:pPr>
              <w:pStyle w:val="27"/>
              <w:rPr>
                <w:rFonts w:hint="eastAsia" w:ascii="宋体" w:hAnsi="宋体" w:eastAsia="宋体" w:cs="宋体"/>
                <w:color w:val="auto"/>
                <w:sz w:val="24"/>
                <w:szCs w:val="24"/>
                <w:highlight w:val="none"/>
              </w:rPr>
            </w:pPr>
          </w:p>
        </w:tc>
        <w:tc>
          <w:tcPr>
            <w:tcW w:w="1260" w:type="dxa"/>
            <w:noWrap w:val="0"/>
            <w:vAlign w:val="center"/>
          </w:tcPr>
          <w:p>
            <w:pPr>
              <w:pStyle w:val="27"/>
              <w:rPr>
                <w:rFonts w:hint="eastAsia" w:ascii="宋体" w:hAnsi="宋体" w:eastAsia="宋体" w:cs="宋体"/>
                <w:color w:val="auto"/>
                <w:sz w:val="24"/>
                <w:szCs w:val="24"/>
                <w:highlight w:val="none"/>
              </w:rPr>
            </w:pPr>
          </w:p>
        </w:tc>
        <w:tc>
          <w:tcPr>
            <w:tcW w:w="1645" w:type="dxa"/>
            <w:tcBorders>
              <w:right w:val="single" w:color="auto" w:sz="4" w:space="0"/>
            </w:tcBorders>
            <w:noWrap w:val="0"/>
            <w:vAlign w:val="center"/>
          </w:tcPr>
          <w:p>
            <w:pPr>
              <w:pStyle w:val="27"/>
              <w:rPr>
                <w:rFonts w:hint="eastAsia" w:ascii="宋体" w:hAnsi="宋体" w:eastAsia="宋体" w:cs="宋体"/>
                <w:color w:val="auto"/>
                <w:sz w:val="24"/>
                <w:szCs w:val="24"/>
                <w:highlight w:val="none"/>
              </w:rPr>
            </w:pPr>
          </w:p>
        </w:tc>
        <w:tc>
          <w:tcPr>
            <w:tcW w:w="832" w:type="dxa"/>
            <w:tcBorders>
              <w:left w:val="single" w:color="auto" w:sz="4" w:space="0"/>
            </w:tcBorders>
            <w:noWrap w:val="0"/>
            <w:vAlign w:val="center"/>
          </w:tcPr>
          <w:p>
            <w:pPr>
              <w:pStyle w:val="27"/>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76" w:hRule="atLeast"/>
          <w:jc w:val="center"/>
        </w:trPr>
        <w:tc>
          <w:tcPr>
            <w:tcW w:w="720" w:type="dxa"/>
            <w:noWrap w:val="0"/>
            <w:vAlign w:val="center"/>
          </w:tcPr>
          <w:p>
            <w:pPr>
              <w:pStyle w:val="2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1440" w:type="dxa"/>
            <w:noWrap w:val="0"/>
            <w:vAlign w:val="center"/>
          </w:tcPr>
          <w:p>
            <w:pPr>
              <w:pStyle w:val="27"/>
              <w:rPr>
                <w:rFonts w:hint="eastAsia" w:ascii="宋体" w:hAnsi="宋体" w:eastAsia="宋体" w:cs="宋体"/>
                <w:color w:val="auto"/>
                <w:sz w:val="24"/>
                <w:szCs w:val="24"/>
                <w:highlight w:val="none"/>
              </w:rPr>
            </w:pPr>
          </w:p>
        </w:tc>
        <w:tc>
          <w:tcPr>
            <w:tcW w:w="1320" w:type="dxa"/>
            <w:noWrap w:val="0"/>
            <w:vAlign w:val="center"/>
          </w:tcPr>
          <w:p>
            <w:pPr>
              <w:pStyle w:val="27"/>
              <w:rPr>
                <w:rFonts w:hint="eastAsia" w:ascii="宋体" w:hAnsi="宋体" w:eastAsia="宋体" w:cs="宋体"/>
                <w:color w:val="auto"/>
                <w:sz w:val="24"/>
                <w:szCs w:val="24"/>
                <w:highlight w:val="none"/>
              </w:rPr>
            </w:pPr>
          </w:p>
        </w:tc>
        <w:tc>
          <w:tcPr>
            <w:tcW w:w="1161" w:type="dxa"/>
            <w:noWrap w:val="0"/>
            <w:vAlign w:val="center"/>
          </w:tcPr>
          <w:p>
            <w:pPr>
              <w:pStyle w:val="27"/>
              <w:rPr>
                <w:rFonts w:hint="eastAsia" w:ascii="宋体" w:hAnsi="宋体" w:eastAsia="宋体" w:cs="宋体"/>
                <w:color w:val="auto"/>
                <w:sz w:val="24"/>
                <w:szCs w:val="24"/>
                <w:highlight w:val="none"/>
              </w:rPr>
            </w:pPr>
          </w:p>
        </w:tc>
        <w:tc>
          <w:tcPr>
            <w:tcW w:w="1260" w:type="dxa"/>
            <w:noWrap w:val="0"/>
            <w:vAlign w:val="center"/>
          </w:tcPr>
          <w:p>
            <w:pPr>
              <w:pStyle w:val="27"/>
              <w:rPr>
                <w:rFonts w:hint="eastAsia" w:ascii="宋体" w:hAnsi="宋体" w:eastAsia="宋体" w:cs="宋体"/>
                <w:color w:val="auto"/>
                <w:sz w:val="24"/>
                <w:szCs w:val="24"/>
                <w:highlight w:val="none"/>
              </w:rPr>
            </w:pPr>
          </w:p>
        </w:tc>
        <w:tc>
          <w:tcPr>
            <w:tcW w:w="1645" w:type="dxa"/>
            <w:tcBorders>
              <w:right w:val="single" w:color="auto" w:sz="4" w:space="0"/>
            </w:tcBorders>
            <w:noWrap w:val="0"/>
            <w:vAlign w:val="center"/>
          </w:tcPr>
          <w:p>
            <w:pPr>
              <w:pStyle w:val="27"/>
              <w:rPr>
                <w:rFonts w:hint="eastAsia" w:ascii="宋体" w:hAnsi="宋体" w:eastAsia="宋体" w:cs="宋体"/>
                <w:color w:val="auto"/>
                <w:sz w:val="24"/>
                <w:szCs w:val="24"/>
                <w:highlight w:val="none"/>
              </w:rPr>
            </w:pPr>
          </w:p>
        </w:tc>
        <w:tc>
          <w:tcPr>
            <w:tcW w:w="832" w:type="dxa"/>
            <w:tcBorders>
              <w:left w:val="single" w:color="auto" w:sz="4" w:space="0"/>
            </w:tcBorders>
            <w:noWrap w:val="0"/>
            <w:vAlign w:val="center"/>
          </w:tcPr>
          <w:p>
            <w:pPr>
              <w:pStyle w:val="27"/>
              <w:rPr>
                <w:rFonts w:hint="eastAsia" w:ascii="宋体" w:hAnsi="宋体" w:eastAsia="宋体" w:cs="宋体"/>
                <w:color w:val="auto"/>
                <w:sz w:val="24"/>
                <w:szCs w:val="24"/>
                <w:highlight w:val="none"/>
              </w:rPr>
            </w:pPr>
          </w:p>
        </w:tc>
      </w:tr>
    </w:tbl>
    <w:p>
      <w:pPr>
        <w:widowControl/>
        <w:ind w:firstLine="480"/>
        <w:rPr>
          <w:rFonts w:hint="eastAsia" w:ascii="宋体" w:hAnsi="宋体" w:eastAsia="宋体" w:cs="宋体"/>
          <w:bCs/>
          <w:color w:val="auto"/>
          <w:sz w:val="24"/>
          <w:szCs w:val="24"/>
          <w:highlight w:val="none"/>
        </w:rPr>
      </w:pPr>
    </w:p>
    <w:p>
      <w:pPr>
        <w:widowControl/>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注：供应商（仅限于供应商自己实施的）以上业绩需提供采购合同（包括中标通知书）复印件；通过验收的需提供验收报告等书面证明材料。</w:t>
      </w:r>
    </w:p>
    <w:p>
      <w:pPr>
        <w:widowControl/>
        <w:spacing w:line="360" w:lineRule="auto"/>
        <w:ind w:firstLine="480"/>
        <w:rPr>
          <w:rFonts w:hint="eastAsia" w:ascii="宋体" w:hAnsi="宋体" w:eastAsia="宋体" w:cs="宋体"/>
          <w:color w:val="auto"/>
          <w:sz w:val="24"/>
          <w:szCs w:val="24"/>
          <w:highlight w:val="none"/>
          <w:u w:val="single"/>
        </w:rPr>
      </w:pPr>
    </w:p>
    <w:p>
      <w:pPr>
        <w:widowControl/>
        <w:spacing w:line="360" w:lineRule="auto"/>
        <w:ind w:firstLine="480"/>
        <w:rPr>
          <w:rFonts w:hint="eastAsia" w:ascii="宋体" w:hAnsi="宋体" w:eastAsia="宋体" w:cs="宋体"/>
          <w:bCs/>
          <w:color w:val="auto"/>
          <w:sz w:val="24"/>
          <w:szCs w:val="24"/>
          <w:highlight w:val="none"/>
        </w:rPr>
      </w:pPr>
    </w:p>
    <w:p>
      <w:pPr>
        <w:widowControl/>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br w:type="page"/>
      </w:r>
    </w:p>
    <w:p>
      <w:pPr>
        <w:pStyle w:val="26"/>
        <w:spacing w:before="156" w:after="156"/>
        <w:rPr>
          <w:rFonts w:hint="eastAsia" w:ascii="宋体" w:hAnsi="宋体" w:eastAsia="宋体" w:cs="宋体"/>
          <w:color w:val="auto"/>
          <w:highlight w:val="none"/>
          <w:lang w:eastAsia="zh-CN"/>
        </w:rPr>
      </w:pPr>
      <w:bookmarkStart w:id="299" w:name="_Toc18201"/>
      <w:bookmarkStart w:id="300" w:name="_Toc4193"/>
      <w:bookmarkStart w:id="301" w:name="_Toc21279"/>
      <w:r>
        <w:rPr>
          <w:rFonts w:hint="eastAsia" w:ascii="宋体" w:hAnsi="宋体" w:eastAsia="宋体" w:cs="宋体"/>
          <w:color w:val="auto"/>
          <w:highlight w:val="none"/>
          <w:lang w:eastAsia="zh-CN"/>
        </w:rPr>
        <w:t>七</w:t>
      </w:r>
      <w:r>
        <w:rPr>
          <w:rFonts w:hint="eastAsia" w:ascii="宋体" w:hAnsi="宋体" w:eastAsia="宋体" w:cs="宋体"/>
          <w:color w:val="auto"/>
          <w:highlight w:val="none"/>
        </w:rPr>
        <w:t>、</w:t>
      </w:r>
      <w:bookmarkEnd w:id="299"/>
      <w:bookmarkEnd w:id="300"/>
      <w:r>
        <w:rPr>
          <w:rFonts w:hint="eastAsia" w:ascii="宋体" w:hAnsi="宋体" w:eastAsia="宋体" w:cs="宋体"/>
          <w:color w:val="auto"/>
          <w:highlight w:val="none"/>
          <w:lang w:eastAsia="zh-CN"/>
        </w:rPr>
        <w:t>实施方案</w:t>
      </w:r>
      <w:bookmarkEnd w:id="301"/>
    </w:p>
    <w:p>
      <w:pPr>
        <w:widowControl/>
        <w:ind w:firstLine="480"/>
        <w:rPr>
          <w:rFonts w:hint="eastAsia" w:ascii="宋体" w:hAnsi="宋体" w:eastAsia="宋体" w:cs="宋体"/>
          <w:bCs/>
          <w:color w:val="auto"/>
          <w:sz w:val="24"/>
          <w:szCs w:val="24"/>
          <w:highlight w:val="none"/>
        </w:rPr>
      </w:pPr>
    </w:p>
    <w:p>
      <w:pPr>
        <w:widowControl/>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格式自拟。</w:t>
      </w:r>
    </w:p>
    <w:p>
      <w:pPr>
        <w:widowControl/>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br w:type="page"/>
      </w:r>
    </w:p>
    <w:p>
      <w:pPr>
        <w:pStyle w:val="26"/>
        <w:spacing w:before="156" w:after="156"/>
        <w:rPr>
          <w:rFonts w:hint="eastAsia" w:ascii="宋体" w:hAnsi="宋体" w:eastAsia="宋体" w:cs="宋体"/>
          <w:color w:val="auto"/>
          <w:highlight w:val="none"/>
        </w:rPr>
      </w:pPr>
      <w:bookmarkStart w:id="302" w:name="_Toc2830"/>
      <w:bookmarkStart w:id="303" w:name="_Toc24919"/>
      <w:bookmarkStart w:id="304" w:name="_Toc4185"/>
      <w:r>
        <w:rPr>
          <w:rFonts w:hint="eastAsia" w:ascii="宋体" w:hAnsi="宋体" w:eastAsia="宋体" w:cs="宋体"/>
          <w:color w:val="auto"/>
          <w:highlight w:val="none"/>
          <w:lang w:eastAsia="zh-CN"/>
        </w:rPr>
        <w:t>八</w:t>
      </w:r>
      <w:r>
        <w:rPr>
          <w:rFonts w:hint="eastAsia" w:ascii="宋体" w:hAnsi="宋体" w:eastAsia="宋体" w:cs="宋体"/>
          <w:color w:val="auto"/>
          <w:highlight w:val="none"/>
        </w:rPr>
        <w:t>、供应商认为需要提供的其他资料</w:t>
      </w:r>
      <w:bookmarkEnd w:id="302"/>
      <w:bookmarkEnd w:id="303"/>
      <w:bookmarkEnd w:id="304"/>
    </w:p>
    <w:p>
      <w:pPr>
        <w:widowControl/>
        <w:ind w:firstLine="480"/>
        <w:rPr>
          <w:rFonts w:hint="eastAsia" w:ascii="宋体" w:hAnsi="宋体" w:eastAsia="宋体" w:cs="宋体"/>
          <w:bCs/>
          <w:color w:val="auto"/>
          <w:sz w:val="24"/>
          <w:szCs w:val="24"/>
          <w:highlight w:val="none"/>
        </w:rPr>
      </w:pPr>
    </w:p>
    <w:p>
      <w:pPr>
        <w:widowControl/>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格式自拟。</w:t>
      </w:r>
    </w:p>
    <w:p>
      <w:pPr>
        <w:widowControl/>
        <w:ind w:firstLine="480"/>
        <w:rPr>
          <w:rFonts w:hint="eastAsia" w:ascii="宋体" w:hAnsi="宋体" w:eastAsia="宋体" w:cs="宋体"/>
          <w:color w:val="auto"/>
          <w:sz w:val="24"/>
          <w:szCs w:val="24"/>
          <w:highlight w:val="none"/>
        </w:rPr>
      </w:pPr>
    </w:p>
    <w:p>
      <w:pPr>
        <w:widowControl/>
        <w:ind w:firstLine="480"/>
        <w:rPr>
          <w:rFonts w:hint="eastAsia" w:ascii="宋体" w:hAnsi="宋体" w:eastAsia="宋体" w:cs="宋体"/>
          <w:color w:val="auto"/>
          <w:sz w:val="24"/>
          <w:szCs w:val="24"/>
          <w:highlight w:val="none"/>
        </w:rPr>
      </w:pPr>
    </w:p>
    <w:p>
      <w:pPr>
        <w:pStyle w:val="26"/>
        <w:spacing w:before="156" w:after="156"/>
        <w:rPr>
          <w:rFonts w:hint="eastAsia" w:ascii="宋体" w:hAnsi="宋体" w:eastAsia="宋体" w:cs="宋体"/>
          <w:color w:val="auto"/>
          <w:highlight w:val="none"/>
        </w:rPr>
      </w:pPr>
      <w:r>
        <w:rPr>
          <w:rFonts w:hint="eastAsia" w:ascii="宋体" w:hAnsi="宋体" w:eastAsia="宋体" w:cs="宋体"/>
          <w:color w:val="auto"/>
          <w:sz w:val="24"/>
          <w:szCs w:val="24"/>
          <w:highlight w:val="none"/>
        </w:rPr>
        <w:br w:type="page"/>
      </w:r>
      <w:bookmarkStart w:id="305" w:name="_Toc13568"/>
      <w:bookmarkStart w:id="306" w:name="_Toc27188"/>
      <w:bookmarkStart w:id="307" w:name="_Toc27569"/>
      <w:r>
        <w:rPr>
          <w:rFonts w:hint="eastAsia" w:ascii="宋体" w:hAnsi="宋体" w:eastAsia="宋体" w:cs="宋体"/>
          <w:color w:val="auto"/>
          <w:highlight w:val="none"/>
          <w:lang w:eastAsia="zh-CN"/>
        </w:rPr>
        <w:t>九</w:t>
      </w:r>
      <w:r>
        <w:rPr>
          <w:rFonts w:hint="eastAsia" w:ascii="宋体" w:hAnsi="宋体" w:eastAsia="宋体" w:cs="宋体"/>
          <w:color w:val="auto"/>
          <w:highlight w:val="none"/>
        </w:rPr>
        <w:t>、相关文书格式</w:t>
      </w:r>
      <w:bookmarkEnd w:id="305"/>
      <w:bookmarkEnd w:id="306"/>
      <w:bookmarkEnd w:id="307"/>
      <w:bookmarkStart w:id="308" w:name="_Toc10230"/>
    </w:p>
    <w:p>
      <w:pPr>
        <w:pStyle w:val="5"/>
        <w:spacing w:before="156" w:after="156"/>
        <w:jc w:val="center"/>
        <w:rPr>
          <w:rFonts w:hint="eastAsia" w:ascii="宋体" w:hAnsi="宋体" w:eastAsia="宋体" w:cs="宋体"/>
          <w:color w:val="auto"/>
          <w:highlight w:val="none"/>
        </w:rPr>
      </w:pPr>
      <w:bookmarkStart w:id="309" w:name="_Toc15629"/>
      <w:bookmarkStart w:id="310" w:name="_Toc6813"/>
      <w:r>
        <w:rPr>
          <w:rFonts w:hint="eastAsia" w:ascii="宋体" w:hAnsi="宋体" w:eastAsia="宋体" w:cs="宋体"/>
          <w:color w:val="auto"/>
          <w:highlight w:val="none"/>
        </w:rPr>
        <w:t>磋商报价表（第   次</w:t>
      </w:r>
      <w:r>
        <w:rPr>
          <w:rFonts w:hint="eastAsia" w:ascii="宋体" w:hAnsi="宋体" w:eastAsia="宋体" w:cs="宋体"/>
          <w:color w:val="auto"/>
          <w:highlight w:val="none"/>
          <w:lang w:val="en-US" w:eastAsia="zh-CN"/>
        </w:rPr>
        <w:t>/最终报价</w:t>
      </w:r>
      <w:r>
        <w:rPr>
          <w:rFonts w:hint="eastAsia" w:ascii="宋体" w:hAnsi="宋体" w:eastAsia="宋体" w:cs="宋体"/>
          <w:color w:val="auto"/>
          <w:highlight w:val="none"/>
        </w:rPr>
        <w:t>)（单独递交）</w:t>
      </w:r>
      <w:bookmarkEnd w:id="308"/>
      <w:bookmarkEnd w:id="309"/>
      <w:bookmarkEnd w:id="310"/>
    </w:p>
    <w:tbl>
      <w:tblPr>
        <w:tblStyle w:val="16"/>
        <w:tblW w:w="8776"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46"/>
        <w:gridCol w:w="683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946" w:type="dxa"/>
            <w:tcBorders>
              <w:top w:val="double" w:color="000000" w:sz="6" w:space="0"/>
              <w:left w:val="double" w:color="000000" w:sz="6" w:space="0"/>
              <w:bottom w:val="single" w:color="000000" w:sz="6" w:space="0"/>
              <w:right w:val="single" w:color="000000" w:sz="6" w:space="0"/>
            </w:tcBorders>
            <w:noWrap w:val="0"/>
            <w:vAlign w:val="center"/>
          </w:tcPr>
          <w:p>
            <w:pPr>
              <w:widowControl/>
              <w:spacing w:line="360" w:lineRule="auto"/>
              <w:ind w:hanging="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830" w:type="dxa"/>
            <w:tcBorders>
              <w:top w:val="double" w:color="000000" w:sz="6" w:space="0"/>
              <w:left w:val="single" w:color="000000" w:sz="6" w:space="0"/>
              <w:bottom w:val="single" w:color="000000" w:sz="6" w:space="0"/>
              <w:right w:val="double" w:color="000000" w:sz="6" w:space="0"/>
            </w:tcBorders>
            <w:noWrap w:val="0"/>
            <w:vAlign w:val="center"/>
          </w:tcPr>
          <w:p>
            <w:pPr>
              <w:widowControl/>
              <w:spacing w:line="360" w:lineRule="auto"/>
              <w:ind w:firstLine="480"/>
              <w:rPr>
                <w:rFonts w:hint="eastAsia" w:ascii="宋体" w:hAnsi="宋体" w:eastAsia="宋体" w:cs="宋体"/>
                <w:color w:val="auto"/>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946" w:type="dxa"/>
            <w:tcBorders>
              <w:top w:val="single" w:color="000000" w:sz="6" w:space="0"/>
              <w:left w:val="double" w:color="000000" w:sz="6" w:space="0"/>
              <w:bottom w:val="single" w:color="000000" w:sz="6" w:space="0"/>
              <w:right w:val="single" w:color="000000" w:sz="6" w:space="0"/>
            </w:tcBorders>
            <w:noWrap w:val="0"/>
            <w:vAlign w:val="center"/>
          </w:tcPr>
          <w:p>
            <w:pPr>
              <w:widowControl/>
              <w:spacing w:line="360" w:lineRule="auto"/>
              <w:ind w:hanging="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6830" w:type="dxa"/>
            <w:tcBorders>
              <w:top w:val="single" w:color="000000" w:sz="6" w:space="0"/>
              <w:left w:val="single" w:color="000000" w:sz="6" w:space="0"/>
              <w:bottom w:val="single" w:color="000000" w:sz="6" w:space="0"/>
              <w:right w:val="double" w:color="000000" w:sz="6" w:space="0"/>
            </w:tcBorders>
            <w:noWrap w:val="0"/>
            <w:vAlign w:val="center"/>
          </w:tcPr>
          <w:p>
            <w:pPr>
              <w:widowControl/>
              <w:spacing w:line="360" w:lineRule="auto"/>
              <w:ind w:firstLine="480"/>
              <w:rPr>
                <w:rFonts w:hint="eastAsia" w:ascii="宋体" w:hAnsi="宋体" w:eastAsia="宋体" w:cs="宋体"/>
                <w:color w:val="auto"/>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946" w:type="dxa"/>
            <w:tcBorders>
              <w:top w:val="single" w:color="000000" w:sz="6" w:space="0"/>
              <w:left w:val="double" w:color="000000" w:sz="6" w:space="0"/>
              <w:bottom w:val="single" w:color="000000" w:sz="6" w:space="0"/>
              <w:right w:val="single" w:color="000000" w:sz="6" w:space="0"/>
            </w:tcBorders>
            <w:noWrap w:val="0"/>
            <w:vAlign w:val="center"/>
          </w:tcPr>
          <w:p>
            <w:pPr>
              <w:widowControl/>
              <w:spacing w:line="360" w:lineRule="auto"/>
              <w:ind w:hanging="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tc>
        <w:tc>
          <w:tcPr>
            <w:tcW w:w="6830" w:type="dxa"/>
            <w:tcBorders>
              <w:top w:val="single" w:color="000000" w:sz="6" w:space="0"/>
              <w:left w:val="single" w:color="000000" w:sz="6" w:space="0"/>
              <w:bottom w:val="single" w:color="000000" w:sz="6" w:space="0"/>
              <w:right w:val="double" w:color="000000" w:sz="6" w:space="0"/>
            </w:tcBorders>
            <w:noWrap w:val="0"/>
            <w:vAlign w:val="center"/>
          </w:tcPr>
          <w:p>
            <w:pPr>
              <w:widowControl/>
              <w:spacing w:line="360" w:lineRule="auto"/>
              <w:ind w:firstLine="480"/>
              <w:rPr>
                <w:rFonts w:hint="eastAsia" w:ascii="宋体" w:hAnsi="宋体" w:eastAsia="宋体" w:cs="宋体"/>
                <w:color w:val="auto"/>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169" w:hRule="atLeast"/>
          <w:jc w:val="center"/>
        </w:trPr>
        <w:tc>
          <w:tcPr>
            <w:tcW w:w="1946" w:type="dxa"/>
            <w:tcBorders>
              <w:top w:val="single" w:color="auto" w:sz="4" w:space="0"/>
              <w:left w:val="double" w:color="000000" w:sz="6" w:space="0"/>
              <w:bottom w:val="single" w:color="auto" w:sz="4" w:space="0"/>
              <w:right w:val="single" w:color="000000" w:sz="6" w:space="0"/>
            </w:tcBorders>
            <w:noWrap w:val="0"/>
            <w:vAlign w:val="center"/>
          </w:tcPr>
          <w:p>
            <w:pPr>
              <w:widowControl/>
              <w:spacing w:line="360" w:lineRule="auto"/>
              <w:ind w:hanging="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报价总价（元）</w:t>
            </w:r>
          </w:p>
        </w:tc>
        <w:tc>
          <w:tcPr>
            <w:tcW w:w="6830" w:type="dxa"/>
            <w:tcBorders>
              <w:top w:val="single" w:color="000000" w:sz="6" w:space="0"/>
              <w:left w:val="single" w:color="000000" w:sz="6" w:space="0"/>
              <w:bottom w:val="single" w:color="000000" w:sz="6" w:space="0"/>
              <w:right w:val="double" w:color="000000" w:sz="6" w:space="0"/>
            </w:tcBorders>
            <w:noWrap w:val="0"/>
            <w:vAlign w:val="center"/>
          </w:tcPr>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w:t>
            </w:r>
          </w:p>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162" w:hRule="atLeast"/>
          <w:jc w:val="center"/>
        </w:trPr>
        <w:tc>
          <w:tcPr>
            <w:tcW w:w="1946" w:type="dxa"/>
            <w:tcBorders>
              <w:top w:val="single" w:color="auto" w:sz="4" w:space="0"/>
              <w:left w:val="double" w:color="000000" w:sz="6" w:space="0"/>
              <w:bottom w:val="single" w:color="auto" w:sz="4" w:space="0"/>
              <w:right w:val="single" w:color="000000" w:sz="6" w:space="0"/>
            </w:tcBorders>
            <w:noWrap w:val="0"/>
            <w:vAlign w:val="center"/>
          </w:tcPr>
          <w:p>
            <w:pPr>
              <w:widowControl/>
              <w:spacing w:line="360" w:lineRule="auto"/>
              <w:ind w:hanging="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承诺（如有）</w:t>
            </w:r>
          </w:p>
        </w:tc>
        <w:tc>
          <w:tcPr>
            <w:tcW w:w="6830" w:type="dxa"/>
            <w:tcBorders>
              <w:top w:val="single" w:color="000000" w:sz="6" w:space="0"/>
              <w:left w:val="single" w:color="000000" w:sz="6" w:space="0"/>
              <w:bottom w:val="single" w:color="000000" w:sz="6" w:space="0"/>
              <w:right w:val="double" w:color="000000" w:sz="6" w:space="0"/>
            </w:tcBorders>
            <w:noWrap w:val="0"/>
            <w:vAlign w:val="bottom"/>
          </w:tcPr>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所有报价均用人民币表示，报价应是最终用户验收合格后的总价，即为履行合同的固定价格。全部服务、人工、验收、成果提交、税费、售后服务、代理服务费等及磋商文件规定的其他所有费用均应包含在报价中。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946" w:type="dxa"/>
            <w:tcBorders>
              <w:top w:val="single" w:color="auto" w:sz="4" w:space="0"/>
              <w:left w:val="double" w:color="000000" w:sz="6" w:space="0"/>
              <w:bottom w:val="double" w:color="000000" w:sz="6" w:space="0"/>
              <w:right w:val="single" w:color="000000" w:sz="6" w:space="0"/>
            </w:tcBorders>
            <w:noWrap w:val="0"/>
            <w:vAlign w:val="center"/>
          </w:tcPr>
          <w:p>
            <w:pPr>
              <w:widowControl/>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830" w:type="dxa"/>
            <w:tcBorders>
              <w:top w:val="single" w:color="000000" w:sz="6" w:space="0"/>
              <w:left w:val="single" w:color="000000" w:sz="6" w:space="0"/>
              <w:bottom w:val="double" w:color="000000" w:sz="6" w:space="0"/>
              <w:right w:val="double" w:color="000000" w:sz="6" w:space="0"/>
            </w:tcBorders>
            <w:noWrap w:val="0"/>
            <w:vAlign w:val="bottom"/>
          </w:tcPr>
          <w:p>
            <w:pPr>
              <w:widowControl/>
              <w:spacing w:line="360" w:lineRule="auto"/>
              <w:ind w:firstLine="480"/>
              <w:rPr>
                <w:rFonts w:hint="eastAsia" w:ascii="宋体" w:hAnsi="宋体" w:eastAsia="宋体" w:cs="宋体"/>
                <w:color w:val="auto"/>
                <w:sz w:val="24"/>
                <w:szCs w:val="24"/>
                <w:highlight w:val="none"/>
              </w:rPr>
            </w:pPr>
          </w:p>
        </w:tc>
      </w:tr>
    </w:tbl>
    <w:p>
      <w:pPr>
        <w:widowControl/>
        <w:ind w:firstLine="480"/>
        <w:rPr>
          <w:rFonts w:hint="eastAsia" w:ascii="宋体" w:hAnsi="宋体" w:eastAsia="宋体" w:cs="宋体"/>
          <w:color w:val="auto"/>
          <w:sz w:val="24"/>
          <w:szCs w:val="24"/>
          <w:highlight w:val="none"/>
        </w:rPr>
      </w:pPr>
    </w:p>
    <w:p>
      <w:pPr>
        <w:widowControl/>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 </w:t>
      </w:r>
    </w:p>
    <w:p>
      <w:pPr>
        <w:widowControl/>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、供应商最终各单项价格=最终报价总价/初始报价总价*各单项初始报价（初始报价即为各供应商其他响应文件提交的报价），</w:t>
      </w:r>
    </w:p>
    <w:p>
      <w:pPr>
        <w:widowControl/>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、为方便报价，供应商应携带多份磋商报价表以供现场填写。</w:t>
      </w:r>
    </w:p>
    <w:p>
      <w:pPr>
        <w:keepNext w:val="0"/>
        <w:keepLines w:val="0"/>
        <w:widowControl/>
        <w:suppressLineNumbers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kern w:val="0"/>
          <w:sz w:val="24"/>
          <w:szCs w:val="24"/>
          <w:highlight w:val="none"/>
          <w:lang w:val="en-US" w:eastAsia="zh-CN" w:bidi="ar"/>
        </w:rPr>
        <w:t>本项目报价单（最后报价表）在供应商通过资格审查、</w:t>
      </w:r>
      <w:r>
        <w:rPr>
          <w:rFonts w:hint="eastAsia" w:ascii="宋体" w:hAnsi="宋体" w:cs="宋体"/>
          <w:b w:val="0"/>
          <w:bCs w:val="0"/>
          <w:color w:val="auto"/>
          <w:kern w:val="0"/>
          <w:sz w:val="24"/>
          <w:szCs w:val="24"/>
          <w:highlight w:val="none"/>
          <w:lang w:val="en-US" w:eastAsia="zh-CN" w:bidi="ar"/>
        </w:rPr>
        <w:t>磋商</w:t>
      </w:r>
      <w:r>
        <w:rPr>
          <w:rFonts w:hint="eastAsia" w:ascii="宋体" w:hAnsi="宋体" w:eastAsia="宋体" w:cs="宋体"/>
          <w:b w:val="0"/>
          <w:bCs w:val="0"/>
          <w:color w:val="auto"/>
          <w:kern w:val="0"/>
          <w:sz w:val="24"/>
          <w:szCs w:val="24"/>
          <w:highlight w:val="none"/>
          <w:lang w:val="en-US" w:eastAsia="zh-CN" w:bidi="ar"/>
        </w:rPr>
        <w:t xml:space="preserve">结束后填写，并需 用密封袋（自备）单独密封完整。 </w:t>
      </w:r>
    </w:p>
    <w:p>
      <w:pPr>
        <w:widowControl/>
        <w:spacing w:line="360" w:lineRule="auto"/>
        <w:ind w:firstLine="480"/>
        <w:rPr>
          <w:rFonts w:hint="eastAsia" w:ascii="宋体" w:hAnsi="宋体" w:eastAsia="宋体" w:cs="宋体"/>
          <w:color w:val="auto"/>
          <w:sz w:val="24"/>
          <w:szCs w:val="24"/>
          <w:highlight w:val="none"/>
        </w:rPr>
      </w:pPr>
    </w:p>
    <w:p>
      <w:pPr>
        <w:widowControl/>
        <w:spacing w:line="360" w:lineRule="auto"/>
        <w:ind w:firstLine="480"/>
        <w:rPr>
          <w:rFonts w:hint="eastAsia" w:ascii="宋体" w:hAnsi="宋体" w:eastAsia="宋体" w:cs="宋体"/>
          <w:color w:val="auto"/>
          <w:sz w:val="24"/>
          <w:szCs w:val="24"/>
          <w:highlight w:val="none"/>
        </w:rPr>
      </w:pPr>
    </w:p>
    <w:p>
      <w:pPr>
        <w:widowControl/>
        <w:spacing w:line="360" w:lineRule="auto"/>
        <w:ind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（单位盖章）</w:t>
      </w:r>
    </w:p>
    <w:p>
      <w:pPr>
        <w:widowControl/>
        <w:spacing w:line="360" w:lineRule="auto"/>
        <w:ind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法定代表人或其授权代表（签字或加盖个人名章）</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u w:val="single"/>
        </w:rPr>
        <w:t xml:space="preserve">          </w:t>
      </w:r>
    </w:p>
    <w:p>
      <w:pPr>
        <w:widowControl/>
        <w:spacing w:line="360" w:lineRule="auto"/>
        <w:ind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pPr>
        <w:pStyle w:val="3"/>
        <w:jc w:val="center"/>
        <w:rPr>
          <w:rFonts w:hint="eastAsia" w:ascii="宋体" w:hAnsi="宋体" w:eastAsia="宋体" w:cs="宋体"/>
          <w:color w:val="auto"/>
          <w:highlight w:val="none"/>
        </w:rPr>
      </w:pPr>
      <w:r>
        <w:rPr>
          <w:rFonts w:hint="eastAsia" w:ascii="宋体" w:hAnsi="宋体" w:eastAsia="宋体" w:cs="宋体"/>
          <w:color w:val="auto"/>
          <w:sz w:val="24"/>
          <w:szCs w:val="24"/>
          <w:highlight w:val="none"/>
        </w:rPr>
        <w:br w:type="page"/>
      </w:r>
      <w:bookmarkStart w:id="311" w:name="_Toc30039"/>
      <w:bookmarkStart w:id="312" w:name="_Toc6512"/>
      <w:r>
        <w:rPr>
          <w:rFonts w:hint="eastAsia" w:ascii="宋体" w:hAnsi="宋体" w:eastAsia="宋体" w:cs="宋体"/>
          <w:color w:val="auto"/>
          <w:highlight w:val="none"/>
        </w:rPr>
        <w:t>第</w:t>
      </w:r>
      <w:r>
        <w:rPr>
          <w:rFonts w:hint="eastAsia" w:ascii="宋体" w:hAnsi="宋体" w:eastAsia="宋体" w:cs="宋体"/>
          <w:color w:val="auto"/>
          <w:highlight w:val="none"/>
          <w:lang w:eastAsia="zh-CN"/>
        </w:rPr>
        <w:t>八</w:t>
      </w:r>
      <w:r>
        <w:rPr>
          <w:rFonts w:hint="eastAsia" w:ascii="宋体" w:hAnsi="宋体" w:eastAsia="宋体" w:cs="宋体"/>
          <w:color w:val="auto"/>
          <w:highlight w:val="none"/>
        </w:rPr>
        <w:t>章  评审方法</w:t>
      </w:r>
      <w:bookmarkEnd w:id="311"/>
      <w:bookmarkEnd w:id="312"/>
    </w:p>
    <w:p>
      <w:pPr>
        <w:keepNext w:val="0"/>
        <w:keepLines w:val="0"/>
        <w:pageBreakBefore w:val="0"/>
        <w:widowControl w:val="0"/>
        <w:kinsoku/>
        <w:wordWrap/>
        <w:overflowPunct/>
        <w:topLinePunct w:val="0"/>
        <w:autoSpaceDE/>
        <w:autoSpaceDN/>
        <w:bidi w:val="0"/>
        <w:adjustRightInd/>
        <w:snapToGrid/>
        <w:spacing w:before="0" w:after="0" w:line="288" w:lineRule="auto"/>
        <w:ind w:right="0" w:rightChars="0" w:firstLine="472" w:firstLineChars="196"/>
        <w:jc w:val="both"/>
        <w:textAlignment w:val="auto"/>
        <w:outlineLvl w:val="9"/>
        <w:rPr>
          <w:rFonts w:hint="eastAsia" w:ascii="宋体" w:hAnsi="宋体" w:eastAsia="宋体" w:cs="宋体"/>
          <w:b/>
          <w:bCs/>
          <w:color w:val="auto"/>
          <w:sz w:val="24"/>
          <w:szCs w:val="24"/>
          <w:highlight w:val="none"/>
        </w:rPr>
      </w:pPr>
      <w:bookmarkStart w:id="313" w:name="_Toc101250640"/>
      <w:bookmarkStart w:id="314" w:name="_Toc101338358"/>
      <w:bookmarkStart w:id="315" w:name="_Toc101174146"/>
      <w:bookmarkStart w:id="316" w:name="_Toc209847065"/>
      <w:bookmarkStart w:id="317" w:name="_Toc430773924"/>
      <w:r>
        <w:rPr>
          <w:rFonts w:hint="eastAsia" w:ascii="宋体" w:hAnsi="宋体" w:eastAsia="宋体" w:cs="宋体"/>
          <w:b/>
          <w:bCs/>
          <w:color w:val="auto"/>
          <w:sz w:val="24"/>
          <w:szCs w:val="24"/>
          <w:highlight w:val="none"/>
        </w:rPr>
        <w:t>1.总则</w:t>
      </w:r>
    </w:p>
    <w:p>
      <w:pPr>
        <w:keepNext w:val="0"/>
        <w:keepLines w:val="0"/>
        <w:pageBreakBefore w:val="0"/>
        <w:widowControl w:val="0"/>
        <w:kinsoku/>
        <w:wordWrap/>
        <w:overflowPunct/>
        <w:topLinePunct w:val="0"/>
        <w:autoSpaceDE/>
        <w:autoSpaceDN/>
        <w:bidi w:val="0"/>
        <w:adjustRightInd/>
        <w:snapToGrid/>
        <w:spacing w:before="0" w:after="0" w:line="288" w:lineRule="auto"/>
        <w:ind w:right="0" w:rightChars="0" w:firstLine="470" w:firstLineChars="196"/>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 根据《中华人民共和国政府采购法》、《中华人民共和国政府采购法实施条例》、《政府采购竞争性磋商采购方式管理暂行办法》等法律制度，结合本采购项目特点制定本磋商方法。</w:t>
      </w:r>
    </w:p>
    <w:p>
      <w:pPr>
        <w:keepNext w:val="0"/>
        <w:keepLines w:val="0"/>
        <w:pageBreakBefore w:val="0"/>
        <w:widowControl w:val="0"/>
        <w:kinsoku/>
        <w:wordWrap/>
        <w:overflowPunct/>
        <w:topLinePunct w:val="0"/>
        <w:autoSpaceDE/>
        <w:autoSpaceDN/>
        <w:bidi w:val="0"/>
        <w:adjustRightInd/>
        <w:snapToGrid/>
        <w:spacing w:before="0" w:after="0" w:line="288" w:lineRule="auto"/>
        <w:ind w:right="0" w:rightChars="0" w:firstLine="470" w:firstLineChars="196"/>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 磋商工作由采购代理机构负责组织，具体磋商由采购代理机构依法组建的磋商小组负责。</w:t>
      </w:r>
    </w:p>
    <w:p>
      <w:pPr>
        <w:keepNext w:val="0"/>
        <w:keepLines w:val="0"/>
        <w:pageBreakBefore w:val="0"/>
        <w:widowControl w:val="0"/>
        <w:kinsoku/>
        <w:wordWrap/>
        <w:overflowPunct/>
        <w:topLinePunct w:val="0"/>
        <w:autoSpaceDE/>
        <w:autoSpaceDN/>
        <w:bidi w:val="0"/>
        <w:adjustRightInd/>
        <w:snapToGrid/>
        <w:spacing w:before="0" w:after="0" w:line="288" w:lineRule="auto"/>
        <w:ind w:right="0" w:rightChars="0" w:firstLine="470" w:firstLineChars="196"/>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1.3 磋商工作应遵循公平、公正、科学及择优的原则，并以相同的磋商程序和标准对待所有的供应商。</w:t>
      </w:r>
    </w:p>
    <w:p>
      <w:pPr>
        <w:keepNext w:val="0"/>
        <w:keepLines w:val="0"/>
        <w:pageBreakBefore w:val="0"/>
        <w:widowControl w:val="0"/>
        <w:kinsoku/>
        <w:wordWrap/>
        <w:overflowPunct/>
        <w:topLinePunct w:val="0"/>
        <w:autoSpaceDE/>
        <w:autoSpaceDN/>
        <w:bidi w:val="0"/>
        <w:adjustRightInd/>
        <w:snapToGrid/>
        <w:spacing w:before="0" w:after="0" w:line="288" w:lineRule="auto"/>
        <w:ind w:right="0" w:rightChars="0" w:firstLine="470" w:firstLineChars="196"/>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1.4 磋商小组按照磋商文件规定的磋商程序、评分方法和标准进行评审，并独立履行下列职责：</w:t>
      </w:r>
    </w:p>
    <w:p>
      <w:pPr>
        <w:keepNext w:val="0"/>
        <w:keepLines w:val="0"/>
        <w:pageBreakBefore w:val="0"/>
        <w:widowControl w:val="0"/>
        <w:kinsoku/>
        <w:wordWrap/>
        <w:overflowPunct/>
        <w:topLinePunct w:val="0"/>
        <w:autoSpaceDE/>
        <w:autoSpaceDN/>
        <w:bidi w:val="0"/>
        <w:adjustRightInd/>
        <w:snapToGrid/>
        <w:spacing w:before="0" w:after="0" w:line="288" w:lineRule="auto"/>
        <w:ind w:right="0" w:rightChars="0" w:firstLine="470" w:firstLineChars="196"/>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（一）熟悉和理解磋商文件，确定磋商文件内容是否违反国家有关强制性规定或者磋商文件存在歧义、重大缺陷，根据需要书面要求采购人、采购代理机构对磋商文件作出解释；</w:t>
      </w:r>
    </w:p>
    <w:p>
      <w:pPr>
        <w:keepNext w:val="0"/>
        <w:keepLines w:val="0"/>
        <w:pageBreakBefore w:val="0"/>
        <w:widowControl w:val="0"/>
        <w:kinsoku/>
        <w:wordWrap/>
        <w:overflowPunct/>
        <w:topLinePunct w:val="0"/>
        <w:autoSpaceDE/>
        <w:autoSpaceDN/>
        <w:bidi w:val="0"/>
        <w:adjustRightInd/>
        <w:snapToGrid/>
        <w:spacing w:before="0" w:after="0" w:line="288" w:lineRule="auto"/>
        <w:ind w:right="0" w:rightChars="0" w:firstLine="470" w:firstLineChars="196"/>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（二）审查供应商响应文件是否满足磋商文件要求，并作出公正评价；</w:t>
      </w:r>
    </w:p>
    <w:p>
      <w:pPr>
        <w:keepNext w:val="0"/>
        <w:keepLines w:val="0"/>
        <w:pageBreakBefore w:val="0"/>
        <w:widowControl w:val="0"/>
        <w:kinsoku/>
        <w:wordWrap/>
        <w:overflowPunct/>
        <w:topLinePunct w:val="0"/>
        <w:autoSpaceDE/>
        <w:autoSpaceDN/>
        <w:bidi w:val="0"/>
        <w:adjustRightInd/>
        <w:snapToGrid/>
        <w:spacing w:before="0" w:after="0" w:line="288" w:lineRule="auto"/>
        <w:ind w:right="0" w:rightChars="0" w:firstLine="470" w:firstLineChars="196"/>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（三）根据需要要求供应商对响应文件中含义不明确、同类问题表述不一致或者有明显文字和计算错误的内容等作出必要的澄清、说明或者更正；</w:t>
      </w:r>
    </w:p>
    <w:p>
      <w:pPr>
        <w:keepNext w:val="0"/>
        <w:keepLines w:val="0"/>
        <w:pageBreakBefore w:val="0"/>
        <w:widowControl w:val="0"/>
        <w:kinsoku/>
        <w:wordWrap/>
        <w:overflowPunct/>
        <w:topLinePunct w:val="0"/>
        <w:autoSpaceDE/>
        <w:autoSpaceDN/>
        <w:bidi w:val="0"/>
        <w:adjustRightInd/>
        <w:snapToGrid/>
        <w:spacing w:before="0" w:after="0" w:line="288" w:lineRule="auto"/>
        <w:ind w:right="0" w:rightChars="0" w:firstLine="470" w:firstLineChars="196"/>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（四）推荐成交供应商，或者受采购人委托确定成交供应商；</w:t>
      </w:r>
    </w:p>
    <w:p>
      <w:pPr>
        <w:keepNext w:val="0"/>
        <w:keepLines w:val="0"/>
        <w:pageBreakBefore w:val="0"/>
        <w:widowControl w:val="0"/>
        <w:kinsoku/>
        <w:wordWrap/>
        <w:overflowPunct/>
        <w:topLinePunct w:val="0"/>
        <w:autoSpaceDE/>
        <w:autoSpaceDN/>
        <w:bidi w:val="0"/>
        <w:adjustRightInd/>
        <w:snapToGrid/>
        <w:spacing w:before="0" w:after="0" w:line="288" w:lineRule="auto"/>
        <w:ind w:right="0" w:rightChars="0" w:firstLine="470" w:firstLineChars="196"/>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（五）起草评审报告并进行签署；</w:t>
      </w:r>
    </w:p>
    <w:p>
      <w:pPr>
        <w:keepNext w:val="0"/>
        <w:keepLines w:val="0"/>
        <w:pageBreakBefore w:val="0"/>
        <w:widowControl w:val="0"/>
        <w:kinsoku/>
        <w:wordWrap/>
        <w:overflowPunct/>
        <w:topLinePunct w:val="0"/>
        <w:autoSpaceDE/>
        <w:autoSpaceDN/>
        <w:bidi w:val="0"/>
        <w:adjustRightInd/>
        <w:snapToGrid/>
        <w:spacing w:before="0" w:after="0" w:line="288" w:lineRule="auto"/>
        <w:ind w:right="0" w:rightChars="0" w:firstLine="470" w:firstLineChars="196"/>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（六）向采购人/采购代理机构、财政部门或者其他监督部门报告非法干预评审工作的行为；</w:t>
      </w:r>
    </w:p>
    <w:p>
      <w:pPr>
        <w:keepNext w:val="0"/>
        <w:keepLines w:val="0"/>
        <w:pageBreakBefore w:val="0"/>
        <w:widowControl w:val="0"/>
        <w:kinsoku/>
        <w:wordWrap/>
        <w:overflowPunct/>
        <w:topLinePunct w:val="0"/>
        <w:autoSpaceDE/>
        <w:autoSpaceDN/>
        <w:bidi w:val="0"/>
        <w:adjustRightInd/>
        <w:snapToGrid/>
        <w:spacing w:before="0" w:after="0" w:line="288" w:lineRule="auto"/>
        <w:ind w:right="0" w:rightChars="0" w:firstLine="470" w:firstLineChars="196"/>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（七）法律、法规和规章规定的其他职责。</w:t>
      </w:r>
    </w:p>
    <w:p>
      <w:pPr>
        <w:keepNext w:val="0"/>
        <w:keepLines w:val="0"/>
        <w:pageBreakBefore w:val="0"/>
        <w:widowControl w:val="0"/>
        <w:kinsoku/>
        <w:wordWrap/>
        <w:overflowPunct/>
        <w:topLinePunct w:val="0"/>
        <w:autoSpaceDE/>
        <w:autoSpaceDN/>
        <w:bidi w:val="0"/>
        <w:adjustRightInd/>
        <w:snapToGrid/>
        <w:spacing w:before="0" w:after="0" w:line="288" w:lineRule="auto"/>
        <w:ind w:right="0" w:rightChars="0" w:firstLine="470" w:firstLineChars="196"/>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1.5 （实质性要求）磋商过程独立、保密。供应商非法干预磋商过程的，其响应文件作无效处理。</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413"/>
        <w:textAlignment w:val="auto"/>
        <w:outlineLvl w:val="9"/>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before="0" w:after="0" w:line="288" w:lineRule="auto"/>
        <w:ind w:right="0" w:rightChars="0" w:firstLine="472" w:firstLineChars="196"/>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2.磋商程序</w:t>
      </w:r>
    </w:p>
    <w:p>
      <w:pPr>
        <w:keepNext w:val="0"/>
        <w:keepLines w:val="0"/>
        <w:pageBreakBefore w:val="0"/>
        <w:widowControl w:val="0"/>
        <w:kinsoku/>
        <w:wordWrap/>
        <w:overflowPunct/>
        <w:topLinePunct w:val="0"/>
        <w:autoSpaceDE/>
        <w:autoSpaceDN/>
        <w:bidi w:val="0"/>
        <w:adjustRightInd/>
        <w:snapToGrid/>
        <w:spacing w:before="0" w:after="0" w:line="288" w:lineRule="auto"/>
        <w:ind w:right="0" w:rightChars="0" w:firstLine="470" w:firstLineChars="196"/>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2.1审查磋商文件和停止评审。</w:t>
      </w:r>
    </w:p>
    <w:p>
      <w:pPr>
        <w:keepNext w:val="0"/>
        <w:keepLines w:val="0"/>
        <w:pageBreakBefore w:val="0"/>
        <w:widowControl w:val="0"/>
        <w:kinsoku/>
        <w:wordWrap/>
        <w:overflowPunct/>
        <w:topLinePunct w:val="0"/>
        <w:autoSpaceDE/>
        <w:autoSpaceDN/>
        <w:bidi w:val="0"/>
        <w:adjustRightInd/>
        <w:snapToGrid/>
        <w:spacing w:before="0" w:after="0" w:line="288" w:lineRule="auto"/>
        <w:ind w:right="0" w:rightChars="0" w:firstLine="470" w:firstLineChars="196"/>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keepNext w:val="0"/>
        <w:keepLines w:val="0"/>
        <w:pageBreakBefore w:val="0"/>
        <w:widowControl w:val="0"/>
        <w:kinsoku/>
        <w:wordWrap/>
        <w:overflowPunct/>
        <w:topLinePunct w:val="0"/>
        <w:autoSpaceDE/>
        <w:autoSpaceDN/>
        <w:bidi w:val="0"/>
        <w:adjustRightInd/>
        <w:snapToGrid/>
        <w:spacing w:before="0" w:after="0" w:line="288" w:lineRule="auto"/>
        <w:ind w:right="0" w:rightChars="0" w:firstLine="470" w:firstLineChars="196"/>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2.1.2 本磋商文件有下列情形之一的，磋商小组应当停止评审：</w:t>
      </w:r>
    </w:p>
    <w:p>
      <w:pPr>
        <w:keepNext w:val="0"/>
        <w:keepLines w:val="0"/>
        <w:pageBreakBefore w:val="0"/>
        <w:widowControl w:val="0"/>
        <w:kinsoku/>
        <w:wordWrap/>
        <w:overflowPunct/>
        <w:topLinePunct w:val="0"/>
        <w:autoSpaceDE/>
        <w:autoSpaceDN/>
        <w:bidi w:val="0"/>
        <w:adjustRightInd/>
        <w:snapToGrid/>
        <w:spacing w:before="0" w:after="0" w:line="288" w:lineRule="auto"/>
        <w:ind w:right="0" w:rightChars="0" w:firstLine="470" w:firstLineChars="196"/>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（1）磋商文件的规定存在歧义、重大缺陷的；</w:t>
      </w:r>
    </w:p>
    <w:p>
      <w:pPr>
        <w:keepNext w:val="0"/>
        <w:keepLines w:val="0"/>
        <w:pageBreakBefore w:val="0"/>
        <w:widowControl w:val="0"/>
        <w:kinsoku/>
        <w:wordWrap/>
        <w:overflowPunct/>
        <w:topLinePunct w:val="0"/>
        <w:autoSpaceDE/>
        <w:autoSpaceDN/>
        <w:bidi w:val="0"/>
        <w:adjustRightInd/>
        <w:snapToGrid/>
        <w:spacing w:before="0" w:after="0" w:line="288" w:lineRule="auto"/>
        <w:ind w:right="0" w:rightChars="0" w:firstLine="470" w:firstLineChars="196"/>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（2）磋商文件明显以不合理条件对供应商实行差别待遇或者歧视待遇的；</w:t>
      </w:r>
    </w:p>
    <w:p>
      <w:pPr>
        <w:keepNext w:val="0"/>
        <w:keepLines w:val="0"/>
        <w:pageBreakBefore w:val="0"/>
        <w:widowControl w:val="0"/>
        <w:kinsoku/>
        <w:wordWrap/>
        <w:overflowPunct/>
        <w:topLinePunct w:val="0"/>
        <w:autoSpaceDE/>
        <w:autoSpaceDN/>
        <w:bidi w:val="0"/>
        <w:adjustRightInd/>
        <w:snapToGrid/>
        <w:spacing w:before="0" w:after="0" w:line="288" w:lineRule="auto"/>
        <w:ind w:right="0" w:rightChars="0" w:firstLine="470" w:firstLineChars="196"/>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（3）采购项目属于国家规定的优先、强制采购范围，但是磋商文件未依法体现优先、强制采购相关规定的；</w:t>
      </w:r>
    </w:p>
    <w:p>
      <w:pPr>
        <w:keepNext w:val="0"/>
        <w:keepLines w:val="0"/>
        <w:pageBreakBefore w:val="0"/>
        <w:widowControl w:val="0"/>
        <w:kinsoku/>
        <w:wordWrap/>
        <w:overflowPunct/>
        <w:topLinePunct w:val="0"/>
        <w:autoSpaceDE/>
        <w:autoSpaceDN/>
        <w:bidi w:val="0"/>
        <w:adjustRightInd/>
        <w:snapToGrid/>
        <w:spacing w:before="0" w:after="0" w:line="288" w:lineRule="auto"/>
        <w:ind w:right="0" w:rightChars="0" w:firstLine="470" w:firstLineChars="196"/>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（4）采购项目属于政府采购促进中小企业发展的范围，但是磋商文件未依法体现促进中小企业发展相关规定的；</w:t>
      </w:r>
    </w:p>
    <w:p>
      <w:pPr>
        <w:keepNext w:val="0"/>
        <w:keepLines w:val="0"/>
        <w:pageBreakBefore w:val="0"/>
        <w:widowControl w:val="0"/>
        <w:kinsoku/>
        <w:wordWrap/>
        <w:overflowPunct/>
        <w:topLinePunct w:val="0"/>
        <w:autoSpaceDE/>
        <w:autoSpaceDN/>
        <w:bidi w:val="0"/>
        <w:adjustRightInd/>
        <w:snapToGrid/>
        <w:spacing w:before="0" w:after="0" w:line="288" w:lineRule="auto"/>
        <w:ind w:right="0" w:rightChars="0" w:firstLine="470" w:firstLineChars="196"/>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（5）磋商文件将供应商的资格条件列为评分因素的；</w:t>
      </w:r>
    </w:p>
    <w:p>
      <w:pPr>
        <w:keepNext w:val="0"/>
        <w:keepLines w:val="0"/>
        <w:pageBreakBefore w:val="0"/>
        <w:widowControl w:val="0"/>
        <w:kinsoku/>
        <w:wordWrap/>
        <w:overflowPunct/>
        <w:topLinePunct w:val="0"/>
        <w:autoSpaceDE/>
        <w:autoSpaceDN/>
        <w:bidi w:val="0"/>
        <w:adjustRightInd/>
        <w:snapToGrid/>
        <w:spacing w:before="0" w:after="0" w:line="288" w:lineRule="auto"/>
        <w:ind w:right="0" w:rightChars="0" w:firstLine="470" w:firstLineChars="196"/>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（6）磋商文件载明的成交原则不合法的；</w:t>
      </w:r>
    </w:p>
    <w:p>
      <w:pPr>
        <w:keepNext w:val="0"/>
        <w:keepLines w:val="0"/>
        <w:pageBreakBefore w:val="0"/>
        <w:widowControl w:val="0"/>
        <w:kinsoku/>
        <w:wordWrap/>
        <w:overflowPunct/>
        <w:topLinePunct w:val="0"/>
        <w:autoSpaceDE/>
        <w:autoSpaceDN/>
        <w:bidi w:val="0"/>
        <w:adjustRightInd/>
        <w:snapToGrid/>
        <w:spacing w:before="0" w:after="0" w:line="288" w:lineRule="auto"/>
        <w:ind w:right="0" w:rightChars="0" w:firstLine="470" w:firstLineChars="196"/>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（7）磋商文件有违反国家其他有关强制性规定的情形。</w:t>
      </w:r>
    </w:p>
    <w:p>
      <w:pPr>
        <w:keepNext w:val="0"/>
        <w:keepLines w:val="0"/>
        <w:pageBreakBefore w:val="0"/>
        <w:widowControl w:val="0"/>
        <w:kinsoku/>
        <w:wordWrap/>
        <w:overflowPunct/>
        <w:topLinePunct w:val="0"/>
        <w:autoSpaceDE/>
        <w:autoSpaceDN/>
        <w:bidi w:val="0"/>
        <w:adjustRightInd/>
        <w:snapToGrid/>
        <w:spacing w:before="0" w:after="0" w:line="288" w:lineRule="auto"/>
        <w:ind w:right="0" w:rightChars="0" w:firstLine="470" w:firstLineChars="196"/>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2.1.3 出现本条2.1.2规定应当停止评审情形的，磋商小组应当向采购人书面说明情况。除本条规定的情形外，磋商小组不得以任何方式和理由停止评审。</w:t>
      </w:r>
    </w:p>
    <w:p>
      <w:pPr>
        <w:keepNext w:val="0"/>
        <w:keepLines w:val="0"/>
        <w:pageBreakBefore w:val="0"/>
        <w:widowControl w:val="0"/>
        <w:kinsoku/>
        <w:wordWrap/>
        <w:overflowPunct/>
        <w:topLinePunct w:val="0"/>
        <w:autoSpaceDE/>
        <w:autoSpaceDN/>
        <w:bidi w:val="0"/>
        <w:adjustRightInd/>
        <w:snapToGrid/>
        <w:spacing w:before="0" w:after="0" w:line="288" w:lineRule="auto"/>
        <w:ind w:right="0" w:rightChars="0" w:firstLine="470" w:firstLineChars="196"/>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2.2资格性审查。</w:t>
      </w:r>
    </w:p>
    <w:p>
      <w:pPr>
        <w:keepNext w:val="0"/>
        <w:keepLines w:val="0"/>
        <w:pageBreakBefore w:val="0"/>
        <w:widowControl w:val="0"/>
        <w:kinsoku/>
        <w:wordWrap/>
        <w:overflowPunct/>
        <w:topLinePunct w:val="0"/>
        <w:autoSpaceDE/>
        <w:autoSpaceDN/>
        <w:bidi w:val="0"/>
        <w:adjustRightInd/>
        <w:snapToGrid/>
        <w:spacing w:before="0" w:after="0" w:line="288" w:lineRule="auto"/>
        <w:ind w:right="0" w:rightChars="0" w:firstLine="470" w:firstLineChars="196"/>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2.2.1本项目需要磋商小组进行资格性检查。</w:t>
      </w:r>
    </w:p>
    <w:p>
      <w:pPr>
        <w:keepNext w:val="0"/>
        <w:keepLines w:val="0"/>
        <w:pageBreakBefore w:val="0"/>
        <w:widowControl w:val="0"/>
        <w:kinsoku/>
        <w:wordWrap/>
        <w:overflowPunct/>
        <w:topLinePunct w:val="0"/>
        <w:autoSpaceDE/>
        <w:autoSpaceDN/>
        <w:bidi w:val="0"/>
        <w:adjustRightInd/>
        <w:snapToGrid/>
        <w:spacing w:before="0" w:after="0" w:line="288" w:lineRule="auto"/>
        <w:ind w:right="0" w:rightChars="0" w:firstLine="470" w:firstLineChars="196"/>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磋商小组应依据法律法规和磋商文件的规定，对响应文件是否按照规定要求提供资格性证明材料、是否属于禁止参加磋商的供应商等进行审查，以确定供应商是否具备磋商资格。</w:t>
      </w:r>
    </w:p>
    <w:p>
      <w:pPr>
        <w:keepNext w:val="0"/>
        <w:keepLines w:val="0"/>
        <w:pageBreakBefore w:val="0"/>
        <w:widowControl w:val="0"/>
        <w:kinsoku/>
        <w:wordWrap/>
        <w:overflowPunct/>
        <w:topLinePunct w:val="0"/>
        <w:autoSpaceDE/>
        <w:autoSpaceDN/>
        <w:bidi w:val="0"/>
        <w:adjustRightInd/>
        <w:snapToGrid/>
        <w:spacing w:before="0" w:after="0" w:line="288" w:lineRule="auto"/>
        <w:ind w:right="0" w:rightChars="0" w:firstLine="470" w:firstLineChars="196"/>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2.2.2资格性审查结束后，磋商小组应当出具资格性审查报告，没有通过资格审查的供应商，磋商小组应当在资格审查报告中说明原因。</w:t>
      </w:r>
    </w:p>
    <w:p>
      <w:pPr>
        <w:keepNext w:val="0"/>
        <w:keepLines w:val="0"/>
        <w:pageBreakBefore w:val="0"/>
        <w:widowControl w:val="0"/>
        <w:kinsoku/>
        <w:wordWrap/>
        <w:overflowPunct/>
        <w:topLinePunct w:val="0"/>
        <w:autoSpaceDE/>
        <w:autoSpaceDN/>
        <w:bidi w:val="0"/>
        <w:adjustRightInd/>
        <w:snapToGrid/>
        <w:spacing w:before="0" w:after="0" w:line="288" w:lineRule="auto"/>
        <w:ind w:right="0" w:rightChars="0" w:firstLine="470" w:firstLineChars="196"/>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2.2.3磋商小组应依据磋商文件规定的实质性要求，对符合资格的响应文件进行有效性、完整性和响应程度审查，以确定参加磋商的供应商名单。</w:t>
      </w:r>
    </w:p>
    <w:p>
      <w:pPr>
        <w:keepNext w:val="0"/>
        <w:keepLines w:val="0"/>
        <w:pageBreakBefore w:val="0"/>
        <w:widowControl w:val="0"/>
        <w:kinsoku/>
        <w:wordWrap/>
        <w:overflowPunct/>
        <w:topLinePunct w:val="0"/>
        <w:autoSpaceDE/>
        <w:autoSpaceDN/>
        <w:bidi w:val="0"/>
        <w:adjustRightInd/>
        <w:snapToGrid/>
        <w:spacing w:before="0" w:after="0" w:line="288" w:lineRule="auto"/>
        <w:ind w:right="0" w:rightChars="0" w:firstLine="470" w:firstLineChars="196"/>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2.2.4采购人或者采购代理机构宣布未通过资格性审查的供应商名单时，应当告知供应商未通过审查的原因。</w:t>
      </w:r>
    </w:p>
    <w:p>
      <w:pPr>
        <w:keepNext w:val="0"/>
        <w:keepLines w:val="0"/>
        <w:pageBreakBefore w:val="0"/>
        <w:widowControl w:val="0"/>
        <w:kinsoku/>
        <w:wordWrap/>
        <w:overflowPunct/>
        <w:topLinePunct w:val="0"/>
        <w:autoSpaceDE/>
        <w:autoSpaceDN/>
        <w:bidi w:val="0"/>
        <w:adjustRightInd/>
        <w:snapToGrid/>
        <w:spacing w:before="0" w:after="0" w:line="288" w:lineRule="auto"/>
        <w:ind w:right="0" w:rightChars="0" w:firstLine="470" w:firstLineChars="196"/>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2.3 通过资格性审查的供应商不足</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家的，终止本次采购活动，并发布终止采购活动公告。</w:t>
      </w:r>
    </w:p>
    <w:p>
      <w:pPr>
        <w:keepNext w:val="0"/>
        <w:keepLines w:val="0"/>
        <w:pageBreakBefore w:val="0"/>
        <w:kinsoku/>
        <w:wordWrap/>
        <w:overflowPunct/>
        <w:topLinePunct w:val="0"/>
        <w:autoSpaceDE/>
        <w:autoSpaceDN/>
        <w:bidi w:val="0"/>
        <w:spacing w:before="0" w:after="0" w:line="360" w:lineRule="auto"/>
        <w:ind w:right="0" w:rightChars="0" w:firstLine="470" w:firstLineChars="196"/>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2.4磋商。</w:t>
      </w:r>
    </w:p>
    <w:p>
      <w:pPr>
        <w:keepNext w:val="0"/>
        <w:keepLines w:val="0"/>
        <w:pageBreakBefore w:val="0"/>
        <w:kinsoku/>
        <w:wordWrap/>
        <w:overflowPunct/>
        <w:topLinePunct w:val="0"/>
        <w:autoSpaceDE/>
        <w:autoSpaceDN/>
        <w:bidi w:val="0"/>
        <w:spacing w:before="0" w:after="0" w:line="360" w:lineRule="auto"/>
        <w:ind w:right="0" w:rightChars="0" w:firstLine="470" w:firstLineChars="196"/>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keepNext w:val="0"/>
        <w:keepLines w:val="0"/>
        <w:pageBreakBefore w:val="0"/>
        <w:kinsoku/>
        <w:wordWrap/>
        <w:overflowPunct/>
        <w:topLinePunct w:val="0"/>
        <w:autoSpaceDE/>
        <w:autoSpaceDN/>
        <w:bidi w:val="0"/>
        <w:spacing w:before="0" w:after="0" w:line="360" w:lineRule="auto"/>
        <w:ind w:right="0" w:rightChars="0" w:firstLine="470" w:firstLineChars="196"/>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2.4.2每轮磋商开始前，磋商小组应根据磋商文件的规定，并结合各供应商的响应文件拟定磋商内容。</w:t>
      </w:r>
    </w:p>
    <w:p>
      <w:pPr>
        <w:keepNext w:val="0"/>
        <w:keepLines w:val="0"/>
        <w:pageBreakBefore w:val="0"/>
        <w:kinsoku/>
        <w:wordWrap/>
        <w:overflowPunct/>
        <w:topLinePunct w:val="0"/>
        <w:autoSpaceDE/>
        <w:autoSpaceDN/>
        <w:bidi w:val="0"/>
        <w:spacing w:before="0" w:after="0" w:line="360" w:lineRule="auto"/>
        <w:ind w:right="0" w:rightChars="0" w:firstLine="470" w:firstLineChars="196"/>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2.4.3在磋商过程中，磋商小组可以根据磋商文件和磋商情况实质性变动磋商文件的技术、服务要求以及合同草案条款，但不得变动磋商文件中的其他内容。实质性变动的内容，须经采购人代表书面确认。</w:t>
      </w:r>
    </w:p>
    <w:p>
      <w:pPr>
        <w:keepNext w:val="0"/>
        <w:keepLines w:val="0"/>
        <w:pageBreakBefore w:val="0"/>
        <w:kinsoku/>
        <w:wordWrap/>
        <w:overflowPunct/>
        <w:topLinePunct w:val="0"/>
        <w:autoSpaceDE/>
        <w:autoSpaceDN/>
        <w:bidi w:val="0"/>
        <w:spacing w:before="0" w:after="0" w:line="360" w:lineRule="auto"/>
        <w:ind w:right="0" w:rightChars="0" w:firstLine="470" w:firstLineChars="196"/>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2.4.4对磋商文件作出的实质性变动是磋商文件的有效组成部分，磋商小组应当及时以书面形式同时通知所有参加磋商的供应商。</w:t>
      </w:r>
    </w:p>
    <w:p>
      <w:pPr>
        <w:keepNext w:val="0"/>
        <w:keepLines w:val="0"/>
        <w:pageBreakBefore w:val="0"/>
        <w:kinsoku/>
        <w:wordWrap/>
        <w:overflowPunct/>
        <w:topLinePunct w:val="0"/>
        <w:autoSpaceDE/>
        <w:autoSpaceDN/>
        <w:bidi w:val="0"/>
        <w:spacing w:before="0" w:after="0" w:line="360" w:lineRule="auto"/>
        <w:ind w:right="0" w:rightChars="0" w:firstLine="470" w:firstLineChars="196"/>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keepNext w:val="0"/>
        <w:keepLines w:val="0"/>
        <w:pageBreakBefore w:val="0"/>
        <w:kinsoku/>
        <w:wordWrap/>
        <w:overflowPunct/>
        <w:topLinePunct w:val="0"/>
        <w:autoSpaceDE/>
        <w:autoSpaceDN/>
        <w:bidi w:val="0"/>
        <w:spacing w:before="0" w:after="0" w:line="360" w:lineRule="auto"/>
        <w:ind w:right="0" w:rightChars="0" w:firstLine="470" w:firstLineChars="196"/>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2.4.6磋商过程中，磋商的任何一方不得透露与磋商有关的其他供应商的技术资料、价格和其他信息。</w:t>
      </w:r>
    </w:p>
    <w:p>
      <w:pPr>
        <w:keepNext w:val="0"/>
        <w:keepLines w:val="0"/>
        <w:pageBreakBefore w:val="0"/>
        <w:kinsoku/>
        <w:wordWrap/>
        <w:overflowPunct/>
        <w:topLinePunct w:val="0"/>
        <w:autoSpaceDE/>
        <w:autoSpaceDN/>
        <w:bidi w:val="0"/>
        <w:spacing w:before="0" w:after="0" w:line="360" w:lineRule="auto"/>
        <w:ind w:right="0" w:rightChars="0" w:firstLine="470" w:firstLineChars="196"/>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2.4.7磋商过程中，磋商小组发现或者知晓供应商存在违法、违纪行为的，磋商小组应当将该供应商响应文件作无效处理，不允许其提交最后报价。</w:t>
      </w:r>
    </w:p>
    <w:p>
      <w:pPr>
        <w:keepNext w:val="0"/>
        <w:keepLines w:val="0"/>
        <w:pageBreakBefore w:val="0"/>
        <w:kinsoku/>
        <w:wordWrap/>
        <w:overflowPunct/>
        <w:topLinePunct w:val="0"/>
        <w:autoSpaceDE/>
        <w:autoSpaceDN/>
        <w:bidi w:val="0"/>
        <w:spacing w:before="0" w:after="0" w:line="360" w:lineRule="auto"/>
        <w:ind w:right="0" w:rightChars="0" w:firstLine="470" w:firstLineChars="196"/>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rPr>
        <w:t>2.4.8磋商完成后，磋商小组应出具磋商情况记录表，磋商情况记录表需包含磋商内容、磋商意见、实质性变动内容等。</w:t>
      </w:r>
      <w:r>
        <w:rPr>
          <w:rFonts w:hint="eastAsia" w:ascii="宋体" w:hAnsi="宋体" w:eastAsia="宋体" w:cs="宋体"/>
          <w:b/>
          <w:color w:val="auto"/>
          <w:sz w:val="24"/>
          <w:szCs w:val="24"/>
          <w:highlight w:val="none"/>
        </w:rPr>
        <w:t xml:space="preserve">   </w:t>
      </w:r>
    </w:p>
    <w:p>
      <w:pPr>
        <w:keepNext w:val="0"/>
        <w:keepLines w:val="0"/>
        <w:pageBreakBefore w:val="0"/>
        <w:kinsoku/>
        <w:wordWrap/>
        <w:overflowPunct/>
        <w:topLinePunct w:val="0"/>
        <w:autoSpaceDE/>
        <w:autoSpaceDN/>
        <w:bidi w:val="0"/>
        <w:adjustRightInd/>
        <w:snapToGrid/>
        <w:spacing w:line="288" w:lineRule="auto"/>
        <w:ind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2.5最后报价。</w:t>
      </w:r>
    </w:p>
    <w:p>
      <w:pPr>
        <w:keepNext w:val="0"/>
        <w:keepLines w:val="0"/>
        <w:pageBreakBefore w:val="0"/>
        <w:kinsoku/>
        <w:wordWrap/>
        <w:overflowPunct/>
        <w:topLinePunct w:val="0"/>
        <w:autoSpaceDE/>
        <w:autoSpaceDN/>
        <w:bidi w:val="0"/>
        <w:adjustRightInd/>
        <w:snapToGrid/>
        <w:spacing w:line="288" w:lineRule="auto"/>
        <w:ind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2.5.1磋商文件能够详细列明采购标的的技术、服务要求的，磋商结束后，磋商小组应当要求所有实质性响应的供应商在规定时间内提交最后报价，提交最后报价的供应商不得少于</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家。或磋商文件不能详细列明采购标的的技术、服务要求，需经磋商由供应商提供最终设计方案或解决方案的，磋商结束后，磋商小组应当按照少数服从多数的原则投票推荐</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家以上供应商的设计方案或者解决方案，并要求其在规定时间内提交最后报价。</w:t>
      </w:r>
    </w:p>
    <w:p>
      <w:pPr>
        <w:keepNext w:val="0"/>
        <w:keepLines w:val="0"/>
        <w:pageBreakBefore w:val="0"/>
        <w:kinsoku/>
        <w:wordWrap/>
        <w:overflowPunct/>
        <w:topLinePunct w:val="0"/>
        <w:autoSpaceDE/>
        <w:autoSpaceDN/>
        <w:bidi w:val="0"/>
        <w:adjustRightInd/>
        <w:snapToGrid/>
        <w:spacing w:line="288" w:lineRule="auto"/>
        <w:ind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2.5.2磋商结束后，磋商小组应当要求所有实质性响应的供应商在规定时间内提交最后报价。两轮（</w:t>
      </w:r>
      <w:r>
        <w:rPr>
          <w:rFonts w:hint="eastAsia" w:ascii="宋体" w:hAnsi="宋体" w:eastAsia="宋体" w:cs="宋体"/>
          <w:color w:val="auto"/>
          <w:sz w:val="24"/>
          <w:highlight w:val="none"/>
          <w:lang w:eastAsia="zh-CN"/>
        </w:rPr>
        <w:t>响应文件中的报价算一轮</w:t>
      </w:r>
      <w:r>
        <w:rPr>
          <w:rFonts w:hint="eastAsia" w:ascii="宋体" w:hAnsi="宋体" w:eastAsia="宋体" w:cs="宋体"/>
          <w:color w:val="auto"/>
          <w:sz w:val="24"/>
          <w:highlight w:val="none"/>
        </w:rPr>
        <w:t>）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keepNext w:val="0"/>
        <w:keepLines w:val="0"/>
        <w:pageBreakBefore w:val="0"/>
        <w:kinsoku/>
        <w:wordWrap/>
        <w:overflowPunct/>
        <w:topLinePunct w:val="0"/>
        <w:autoSpaceDE/>
        <w:autoSpaceDN/>
        <w:bidi w:val="0"/>
        <w:adjustRightInd/>
        <w:snapToGrid/>
        <w:spacing w:line="288" w:lineRule="auto"/>
        <w:ind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2.5.3供应商最后报价应当由法定代表人/主要负责人/本人或其授权代表签字确认或加盖公章。最后报价是供应商响应文件的有效组成部分。</w:t>
      </w:r>
    </w:p>
    <w:p>
      <w:pPr>
        <w:keepNext w:val="0"/>
        <w:keepLines w:val="0"/>
        <w:pageBreakBefore w:val="0"/>
        <w:kinsoku/>
        <w:wordWrap/>
        <w:overflowPunct/>
        <w:topLinePunct w:val="0"/>
        <w:autoSpaceDE/>
        <w:autoSpaceDN/>
        <w:bidi w:val="0"/>
        <w:adjustRightInd/>
        <w:snapToGrid/>
        <w:spacing w:line="288" w:lineRule="auto"/>
        <w:ind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keepNext w:val="0"/>
        <w:keepLines w:val="0"/>
        <w:pageBreakBefore w:val="0"/>
        <w:kinsoku/>
        <w:wordWrap/>
        <w:overflowPunct/>
        <w:topLinePunct w:val="0"/>
        <w:autoSpaceDE/>
        <w:autoSpaceDN/>
        <w:bidi w:val="0"/>
        <w:adjustRightInd/>
        <w:snapToGrid/>
        <w:spacing w:line="288" w:lineRule="auto"/>
        <w:ind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2.6比较与评价。由磋商小组采用综合评分法对提交最后报价的供应商的响应文件和最后报价进行综合评分，具体要求详见本章综合评分部分。</w:t>
      </w:r>
    </w:p>
    <w:p>
      <w:pPr>
        <w:keepNext w:val="0"/>
        <w:keepLines w:val="0"/>
        <w:pageBreakBefore w:val="0"/>
        <w:kinsoku/>
        <w:wordWrap/>
        <w:overflowPunct/>
        <w:topLinePunct w:val="0"/>
        <w:autoSpaceDE/>
        <w:autoSpaceDN/>
        <w:bidi w:val="0"/>
        <w:adjustRightInd/>
        <w:snapToGrid/>
        <w:spacing w:line="288" w:lineRule="auto"/>
        <w:ind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2.7推荐成交候选供应商。磋商小组应当根据综合评分情况，按照评审得分由高到低顺序推荐</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家以上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pPr>
        <w:keepNext w:val="0"/>
        <w:keepLines w:val="0"/>
        <w:pageBreakBefore w:val="0"/>
        <w:kinsoku/>
        <w:wordWrap/>
        <w:overflowPunct/>
        <w:topLinePunct w:val="0"/>
        <w:autoSpaceDE/>
        <w:autoSpaceDN/>
        <w:bidi w:val="0"/>
        <w:adjustRightInd/>
        <w:snapToGrid/>
        <w:spacing w:line="288" w:lineRule="auto"/>
        <w:ind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2.8磋商小组复核。磋商小组评分汇总结束后，磋商小组应当进行评审复核，对拟推荐为成交候选供应商的、报价最低的、供应商资格审查未通过的、供应商响应文件作无效处理的重点复核。</w:t>
      </w:r>
    </w:p>
    <w:p>
      <w:pPr>
        <w:keepNext w:val="0"/>
        <w:keepLines w:val="0"/>
        <w:pageBreakBefore w:val="0"/>
        <w:kinsoku/>
        <w:wordWrap/>
        <w:overflowPunct/>
        <w:topLinePunct w:val="0"/>
        <w:autoSpaceDE/>
        <w:autoSpaceDN/>
        <w:bidi w:val="0"/>
        <w:adjustRightInd/>
        <w:snapToGrid/>
        <w:spacing w:line="288" w:lineRule="auto"/>
        <w:ind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2.9采购组织单位现场复核评审结果。</w:t>
      </w:r>
    </w:p>
    <w:p>
      <w:pPr>
        <w:keepNext w:val="0"/>
        <w:keepLines w:val="0"/>
        <w:pageBreakBefore w:val="0"/>
        <w:kinsoku/>
        <w:wordWrap/>
        <w:overflowPunct/>
        <w:topLinePunct w:val="0"/>
        <w:autoSpaceDE/>
        <w:autoSpaceDN/>
        <w:bidi w:val="0"/>
        <w:adjustRightInd/>
        <w:snapToGrid/>
        <w:spacing w:line="288" w:lineRule="auto"/>
        <w:ind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2.9.1评审结果汇总完成后，磋商小组拟出具磋商评审报告前，采购</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应当组织</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keepNext w:val="0"/>
        <w:keepLines w:val="0"/>
        <w:pageBreakBefore w:val="0"/>
        <w:kinsoku/>
        <w:wordWrap/>
        <w:overflowPunct/>
        <w:topLinePunct w:val="0"/>
        <w:autoSpaceDE/>
        <w:autoSpaceDN/>
        <w:bidi w:val="0"/>
        <w:adjustRightInd/>
        <w:snapToGrid/>
        <w:spacing w:line="288" w:lineRule="auto"/>
        <w:ind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（1）资格性审查认定错误的；</w:t>
      </w:r>
    </w:p>
    <w:p>
      <w:pPr>
        <w:keepNext w:val="0"/>
        <w:keepLines w:val="0"/>
        <w:pageBreakBefore w:val="0"/>
        <w:kinsoku/>
        <w:wordWrap/>
        <w:overflowPunct/>
        <w:topLinePunct w:val="0"/>
        <w:autoSpaceDE/>
        <w:autoSpaceDN/>
        <w:bidi w:val="0"/>
        <w:adjustRightInd/>
        <w:snapToGrid/>
        <w:spacing w:line="288" w:lineRule="auto"/>
        <w:ind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（2）分值汇总计算错误的；</w:t>
      </w:r>
    </w:p>
    <w:p>
      <w:pPr>
        <w:keepNext w:val="0"/>
        <w:keepLines w:val="0"/>
        <w:pageBreakBefore w:val="0"/>
        <w:kinsoku/>
        <w:wordWrap/>
        <w:overflowPunct/>
        <w:topLinePunct w:val="0"/>
        <w:autoSpaceDE/>
        <w:autoSpaceDN/>
        <w:bidi w:val="0"/>
        <w:adjustRightInd/>
        <w:snapToGrid/>
        <w:spacing w:line="288" w:lineRule="auto"/>
        <w:ind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（3）分项评分超出评分标准范围的；</w:t>
      </w:r>
    </w:p>
    <w:p>
      <w:pPr>
        <w:keepNext w:val="0"/>
        <w:keepLines w:val="0"/>
        <w:pageBreakBefore w:val="0"/>
        <w:kinsoku/>
        <w:wordWrap/>
        <w:overflowPunct/>
        <w:topLinePunct w:val="0"/>
        <w:autoSpaceDE/>
        <w:autoSpaceDN/>
        <w:bidi w:val="0"/>
        <w:adjustRightInd/>
        <w:snapToGrid/>
        <w:spacing w:line="288" w:lineRule="auto"/>
        <w:ind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（4）客观评分不一致的。</w:t>
      </w:r>
    </w:p>
    <w:p>
      <w:pPr>
        <w:keepNext w:val="0"/>
        <w:keepLines w:val="0"/>
        <w:pageBreakBefore w:val="0"/>
        <w:kinsoku/>
        <w:wordWrap/>
        <w:overflowPunct/>
        <w:topLinePunct w:val="0"/>
        <w:autoSpaceDE/>
        <w:autoSpaceDN/>
        <w:bidi w:val="0"/>
        <w:adjustRightInd/>
        <w:snapToGrid/>
        <w:spacing w:line="288" w:lineRule="auto"/>
        <w:ind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pPr>
        <w:keepNext w:val="0"/>
        <w:keepLines w:val="0"/>
        <w:pageBreakBefore w:val="0"/>
        <w:kinsoku/>
        <w:wordWrap/>
        <w:overflowPunct/>
        <w:topLinePunct w:val="0"/>
        <w:autoSpaceDE/>
        <w:autoSpaceDN/>
        <w:bidi w:val="0"/>
        <w:adjustRightInd/>
        <w:snapToGrid/>
        <w:spacing w:line="288" w:lineRule="auto"/>
        <w:ind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采购代理机构复核过程中，磋商小组成员不得离开评审现场。</w:t>
      </w:r>
    </w:p>
    <w:p>
      <w:pPr>
        <w:keepNext w:val="0"/>
        <w:keepLines w:val="0"/>
        <w:pageBreakBefore w:val="0"/>
        <w:kinsoku/>
        <w:wordWrap/>
        <w:overflowPunct/>
        <w:topLinePunct w:val="0"/>
        <w:autoSpaceDE/>
        <w:autoSpaceDN/>
        <w:bidi w:val="0"/>
        <w:adjustRightInd/>
        <w:snapToGrid/>
        <w:spacing w:line="288" w:lineRule="auto"/>
        <w:ind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2.9.2有下列情形之一的，不得现场修改评审结果：</w:t>
      </w:r>
    </w:p>
    <w:p>
      <w:pPr>
        <w:keepNext w:val="0"/>
        <w:keepLines w:val="0"/>
        <w:pageBreakBefore w:val="0"/>
        <w:kinsoku/>
        <w:wordWrap/>
        <w:overflowPunct/>
        <w:topLinePunct w:val="0"/>
        <w:autoSpaceDE/>
        <w:autoSpaceDN/>
        <w:bidi w:val="0"/>
        <w:adjustRightInd/>
        <w:snapToGrid/>
        <w:spacing w:line="288" w:lineRule="auto"/>
        <w:ind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（1）磋商小组已经出具磋商报告并且离开评审现场的；</w:t>
      </w:r>
    </w:p>
    <w:p>
      <w:pPr>
        <w:keepNext w:val="0"/>
        <w:keepLines w:val="0"/>
        <w:pageBreakBefore w:val="0"/>
        <w:kinsoku/>
        <w:wordWrap/>
        <w:overflowPunct/>
        <w:topLinePunct w:val="0"/>
        <w:autoSpaceDE/>
        <w:autoSpaceDN/>
        <w:bidi w:val="0"/>
        <w:adjustRightInd/>
        <w:snapToGrid/>
        <w:spacing w:line="288" w:lineRule="auto"/>
        <w:ind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（2）采购代理机构现场复核时，复核工作人员数量不足的；</w:t>
      </w:r>
    </w:p>
    <w:p>
      <w:pPr>
        <w:keepNext w:val="0"/>
        <w:keepLines w:val="0"/>
        <w:pageBreakBefore w:val="0"/>
        <w:kinsoku/>
        <w:wordWrap/>
        <w:overflowPunct/>
        <w:topLinePunct w:val="0"/>
        <w:autoSpaceDE/>
        <w:autoSpaceDN/>
        <w:bidi w:val="0"/>
        <w:adjustRightInd/>
        <w:snapToGrid/>
        <w:spacing w:line="288" w:lineRule="auto"/>
        <w:ind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（3）采购代理机构现场复核时，没有采购监督人员现场监督的；</w:t>
      </w:r>
    </w:p>
    <w:p>
      <w:pPr>
        <w:keepNext w:val="0"/>
        <w:keepLines w:val="0"/>
        <w:pageBreakBefore w:val="0"/>
        <w:kinsoku/>
        <w:wordWrap/>
        <w:overflowPunct/>
        <w:topLinePunct w:val="0"/>
        <w:autoSpaceDE/>
        <w:autoSpaceDN/>
        <w:bidi w:val="0"/>
        <w:adjustRightInd/>
        <w:snapToGrid/>
        <w:spacing w:line="288" w:lineRule="auto"/>
        <w:ind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（4）采购代理机构现场复核内容超出规定范围的；</w:t>
      </w:r>
    </w:p>
    <w:p>
      <w:pPr>
        <w:keepNext w:val="0"/>
        <w:keepLines w:val="0"/>
        <w:pageBreakBefore w:val="0"/>
        <w:kinsoku/>
        <w:wordWrap/>
        <w:overflowPunct/>
        <w:topLinePunct w:val="0"/>
        <w:autoSpaceDE/>
        <w:autoSpaceDN/>
        <w:bidi w:val="0"/>
        <w:adjustRightInd/>
        <w:snapToGrid/>
        <w:spacing w:line="288" w:lineRule="auto"/>
        <w:ind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（5）采购代理机构未提供书面建议的。</w:t>
      </w:r>
    </w:p>
    <w:p>
      <w:pPr>
        <w:keepNext w:val="0"/>
        <w:keepLines w:val="0"/>
        <w:pageBreakBefore w:val="0"/>
        <w:kinsoku/>
        <w:wordWrap/>
        <w:overflowPunct/>
        <w:topLinePunct w:val="0"/>
        <w:autoSpaceDE/>
        <w:autoSpaceDN/>
        <w:bidi w:val="0"/>
        <w:adjustRightInd/>
        <w:snapToGrid/>
        <w:spacing w:line="288" w:lineRule="auto"/>
        <w:ind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2.10编写磋商报告。磋商小组推荐成交候选供应商后，应向采购代理机构出具磋商报告。磋商报告应当包括以下主要内容：</w:t>
      </w:r>
    </w:p>
    <w:p>
      <w:pPr>
        <w:keepNext w:val="0"/>
        <w:keepLines w:val="0"/>
        <w:pageBreakBefore w:val="0"/>
        <w:kinsoku/>
        <w:wordWrap/>
        <w:overflowPunct/>
        <w:topLinePunct w:val="0"/>
        <w:autoSpaceDE/>
        <w:autoSpaceDN/>
        <w:bidi w:val="0"/>
        <w:adjustRightInd/>
        <w:snapToGrid/>
        <w:spacing w:line="288" w:lineRule="auto"/>
        <w:ind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（1）邀请供应商参加采购活动的具体方式和相关情况；</w:t>
      </w:r>
    </w:p>
    <w:p>
      <w:pPr>
        <w:keepNext w:val="0"/>
        <w:keepLines w:val="0"/>
        <w:pageBreakBefore w:val="0"/>
        <w:kinsoku/>
        <w:wordWrap/>
        <w:overflowPunct/>
        <w:topLinePunct w:val="0"/>
        <w:autoSpaceDE/>
        <w:autoSpaceDN/>
        <w:bidi w:val="0"/>
        <w:adjustRightInd/>
        <w:snapToGrid/>
        <w:spacing w:line="288" w:lineRule="auto"/>
        <w:ind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（2）响应文件开启日期和地点；</w:t>
      </w:r>
    </w:p>
    <w:p>
      <w:pPr>
        <w:keepNext w:val="0"/>
        <w:keepLines w:val="0"/>
        <w:pageBreakBefore w:val="0"/>
        <w:kinsoku/>
        <w:wordWrap/>
        <w:overflowPunct/>
        <w:topLinePunct w:val="0"/>
        <w:autoSpaceDE/>
        <w:autoSpaceDN/>
        <w:bidi w:val="0"/>
        <w:adjustRightInd/>
        <w:snapToGrid/>
        <w:spacing w:line="288" w:lineRule="auto"/>
        <w:ind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（3）获取磋商文件的供应商名单和磋商小组成员名单；</w:t>
      </w:r>
    </w:p>
    <w:p>
      <w:pPr>
        <w:keepNext w:val="0"/>
        <w:keepLines w:val="0"/>
        <w:pageBreakBefore w:val="0"/>
        <w:kinsoku/>
        <w:wordWrap/>
        <w:overflowPunct/>
        <w:topLinePunct w:val="0"/>
        <w:autoSpaceDE/>
        <w:autoSpaceDN/>
        <w:bidi w:val="0"/>
        <w:adjustRightInd/>
        <w:snapToGrid/>
        <w:spacing w:line="288" w:lineRule="auto"/>
        <w:ind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（4）评审情况记录和说明，包括对供应商的资格审查情况、供应商响应文件审查情况、磋商情况、报价情况等；</w:t>
      </w:r>
    </w:p>
    <w:p>
      <w:pPr>
        <w:keepNext w:val="0"/>
        <w:keepLines w:val="0"/>
        <w:pageBreakBefore w:val="0"/>
        <w:kinsoku/>
        <w:wordWrap/>
        <w:overflowPunct/>
        <w:topLinePunct w:val="0"/>
        <w:autoSpaceDE/>
        <w:autoSpaceDN/>
        <w:bidi w:val="0"/>
        <w:adjustRightInd/>
        <w:snapToGrid/>
        <w:spacing w:line="288" w:lineRule="auto"/>
        <w:ind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（5）提出的成交候选供应商的排序名单及理由。</w:t>
      </w:r>
    </w:p>
    <w:p>
      <w:pPr>
        <w:keepNext w:val="0"/>
        <w:keepLines w:val="0"/>
        <w:pageBreakBefore w:val="0"/>
        <w:kinsoku/>
        <w:wordWrap/>
        <w:overflowPunct/>
        <w:topLinePunct w:val="0"/>
        <w:autoSpaceDE/>
        <w:autoSpaceDN/>
        <w:bidi w:val="0"/>
        <w:adjustRightInd/>
        <w:snapToGrid/>
        <w:spacing w:line="288" w:lineRule="auto"/>
        <w:ind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keepNext w:val="0"/>
        <w:keepLines w:val="0"/>
        <w:pageBreakBefore w:val="0"/>
        <w:kinsoku/>
        <w:wordWrap/>
        <w:overflowPunct/>
        <w:topLinePunct w:val="0"/>
        <w:autoSpaceDE/>
        <w:autoSpaceDN/>
        <w:bidi w:val="0"/>
        <w:adjustRightInd/>
        <w:snapToGrid/>
        <w:spacing w:line="288" w:lineRule="auto"/>
        <w:ind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2.12供应商澄清、说明</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2.12.2磋商小组要求供应商澄清、说明或者更正响应文件应当以书面形式作出。供应商的澄清、说明或者更正应当由法定代表人/主要负责人/本人或其授权代表签字或者加盖公章。</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2.13终止磋商采购活动。</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出现下列情形之一的，采购人或者采购代理机构应当终止竞争性磋商采购活动，发布项目终止公告并说明原因，重新开展采购活动：</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（1）因情况变化，不再符合规定的竞争性磋商采购方式适用情形的；</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（2）出现影响采购公正的违法、违规行为的；</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480" w:firstLineChars="200"/>
        <w:textAlignment w:val="auto"/>
        <w:outlineLvl w:val="9"/>
        <w:rPr>
          <w:rFonts w:hint="eastAsia" w:ascii="宋体" w:hAnsi="宋体" w:eastAsia="宋体" w:cs="宋体"/>
          <w:b/>
          <w:color w:val="auto"/>
          <w:sz w:val="24"/>
          <w:highlight w:val="none"/>
        </w:rPr>
      </w:pPr>
      <w:r>
        <w:rPr>
          <w:rFonts w:hint="eastAsia" w:ascii="宋体" w:hAnsi="宋体" w:eastAsia="宋体" w:cs="宋体"/>
          <w:color w:val="auto"/>
          <w:sz w:val="24"/>
          <w:highlight w:val="none"/>
        </w:rPr>
        <w:t>（3）在采购过程中符合要求的供应商或者报价未超过采购预算的供应商不足</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家的。</w:t>
      </w:r>
    </w:p>
    <w:p>
      <w:pPr>
        <w:keepNext w:val="0"/>
        <w:keepLines w:val="0"/>
        <w:pageBreakBefore w:val="0"/>
        <w:kinsoku/>
        <w:wordWrap/>
        <w:overflowPunct/>
        <w:topLinePunct w:val="0"/>
        <w:autoSpaceDE/>
        <w:autoSpaceDN/>
        <w:bidi w:val="0"/>
        <w:adjustRightInd/>
        <w:snapToGrid/>
        <w:spacing w:line="288" w:lineRule="auto"/>
        <w:ind w:right="0" w:rightChars="0" w:firstLine="482" w:firstLineChars="200"/>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3.综合评分</w:t>
      </w:r>
    </w:p>
    <w:p>
      <w:pPr>
        <w:keepNext w:val="0"/>
        <w:keepLines w:val="0"/>
        <w:pageBreakBefore w:val="0"/>
        <w:widowControl/>
        <w:kinsoku/>
        <w:wordWrap/>
        <w:overflowPunct/>
        <w:topLinePunct w:val="0"/>
        <w:autoSpaceDE/>
        <w:autoSpaceDN/>
        <w:bidi w:val="0"/>
        <w:adjustRightInd/>
        <w:snapToGrid/>
        <w:spacing w:line="288" w:lineRule="auto"/>
        <w:ind w:right="0" w:rightChars="0" w:firstLine="48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3.1本次综合评分的因素是：</w:t>
      </w:r>
      <w:r>
        <w:rPr>
          <w:rFonts w:hint="eastAsia" w:ascii="宋体" w:hAnsi="宋体" w:eastAsia="宋体" w:cs="宋体"/>
          <w:color w:val="auto"/>
          <w:sz w:val="24"/>
          <w:szCs w:val="24"/>
          <w:highlight w:val="none"/>
          <w:lang w:eastAsia="zh-CN"/>
        </w:rPr>
        <w:t>详见评分明细表</w:t>
      </w:r>
      <w:r>
        <w:rPr>
          <w:rFonts w:hint="eastAsia" w:ascii="宋体" w:hAnsi="宋体" w:eastAsia="宋体" w:cs="宋体"/>
          <w:color w:val="auto"/>
          <w:sz w:val="24"/>
          <w:highlight w:val="none"/>
        </w:rPr>
        <w:t>。</w:t>
      </w:r>
    </w:p>
    <w:p>
      <w:pPr>
        <w:keepNext w:val="0"/>
        <w:keepLines w:val="0"/>
        <w:pageBreakBefore w:val="0"/>
        <w:kinsoku/>
        <w:wordWrap/>
        <w:overflowPunct/>
        <w:topLinePunct w:val="0"/>
        <w:autoSpaceDE/>
        <w:autoSpaceDN/>
        <w:bidi w:val="0"/>
        <w:adjustRightInd/>
        <w:snapToGrid/>
        <w:spacing w:line="288" w:lineRule="auto"/>
        <w:ind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3.2 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pStyle w:val="8"/>
        <w:keepNext w:val="0"/>
        <w:keepLines w:val="0"/>
        <w:pageBreakBefore w:val="0"/>
        <w:tabs>
          <w:tab w:val="left" w:pos="600"/>
        </w:tabs>
        <w:kinsoku/>
        <w:wordWrap/>
        <w:overflowPunct/>
        <w:topLinePunct w:val="0"/>
        <w:autoSpaceDE/>
        <w:autoSpaceDN/>
        <w:bidi w:val="0"/>
        <w:adjustRightInd/>
        <w:snapToGrid/>
        <w:spacing w:line="288" w:lineRule="auto"/>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3.3综合评分明细表</w:t>
      </w:r>
    </w:p>
    <w:p>
      <w:pPr>
        <w:pStyle w:val="8"/>
        <w:keepNext w:val="0"/>
        <w:keepLines w:val="0"/>
        <w:pageBreakBefore w:val="0"/>
        <w:tabs>
          <w:tab w:val="left" w:pos="600"/>
        </w:tabs>
        <w:kinsoku/>
        <w:wordWrap/>
        <w:overflowPunct/>
        <w:topLinePunct w:val="0"/>
        <w:autoSpaceDE/>
        <w:autoSpaceDN/>
        <w:bidi w:val="0"/>
        <w:adjustRightInd/>
        <w:snapToGrid/>
        <w:spacing w:line="288" w:lineRule="auto"/>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3.3.1综合评分明细表的制定以科学合理、降低评委会自由裁量权为原则。</w:t>
      </w:r>
    </w:p>
    <w:p>
      <w:pPr>
        <w:keepNext w:val="0"/>
        <w:keepLines w:val="0"/>
        <w:pageBreakBefore w:val="0"/>
        <w:kinsoku/>
        <w:wordWrap/>
        <w:overflowPunct/>
        <w:topLinePunct w:val="0"/>
        <w:autoSpaceDE/>
        <w:autoSpaceDN/>
        <w:bidi w:val="0"/>
        <w:spacing w:before="0" w:after="0" w:line="360" w:lineRule="auto"/>
        <w:ind w:right="0" w:rightChars="0" w:firstLine="472" w:firstLineChars="196"/>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3.3.2综合评分明细表</w:t>
      </w:r>
    </w:p>
    <w:bookmarkEnd w:id="313"/>
    <w:bookmarkEnd w:id="314"/>
    <w:bookmarkEnd w:id="315"/>
    <w:bookmarkEnd w:id="316"/>
    <w:tbl>
      <w:tblPr>
        <w:tblStyle w:val="1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202"/>
        <w:gridCol w:w="875"/>
        <w:gridCol w:w="4600"/>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pStyle w:val="2"/>
              <w:jc w:val="center"/>
              <w:rPr>
                <w:rFonts w:ascii="宋体" w:hAnsi="宋体" w:eastAsia="宋体" w:cs="宋体"/>
                <w:sz w:val="24"/>
                <w:szCs w:val="24"/>
              </w:rPr>
            </w:pPr>
            <w:r>
              <w:rPr>
                <w:rFonts w:hint="eastAsia" w:ascii="宋体" w:hAnsi="宋体" w:eastAsia="宋体" w:cs="宋体"/>
                <w:sz w:val="24"/>
                <w:szCs w:val="24"/>
              </w:rPr>
              <w:t>序号</w:t>
            </w:r>
          </w:p>
        </w:tc>
        <w:tc>
          <w:tcPr>
            <w:tcW w:w="1202" w:type="dxa"/>
            <w:vAlign w:val="center"/>
          </w:tcPr>
          <w:p>
            <w:pPr>
              <w:pStyle w:val="2"/>
              <w:jc w:val="center"/>
              <w:rPr>
                <w:rFonts w:ascii="宋体" w:hAnsi="宋体" w:eastAsia="宋体" w:cs="宋体"/>
                <w:sz w:val="24"/>
                <w:szCs w:val="24"/>
              </w:rPr>
            </w:pPr>
            <w:r>
              <w:rPr>
                <w:rFonts w:hint="eastAsia" w:ascii="宋体" w:hAnsi="宋体" w:eastAsia="宋体" w:cs="宋体"/>
                <w:sz w:val="24"/>
                <w:szCs w:val="24"/>
              </w:rPr>
              <w:t>评审项目</w:t>
            </w:r>
          </w:p>
        </w:tc>
        <w:tc>
          <w:tcPr>
            <w:tcW w:w="875" w:type="dxa"/>
            <w:vAlign w:val="center"/>
          </w:tcPr>
          <w:p>
            <w:pPr>
              <w:pStyle w:val="2"/>
              <w:jc w:val="center"/>
              <w:rPr>
                <w:rFonts w:ascii="宋体" w:hAnsi="宋体" w:eastAsia="宋体" w:cs="宋体"/>
                <w:sz w:val="24"/>
                <w:szCs w:val="24"/>
              </w:rPr>
            </w:pPr>
            <w:r>
              <w:rPr>
                <w:rFonts w:hint="eastAsia" w:ascii="宋体" w:hAnsi="宋体" w:eastAsia="宋体" w:cs="宋体"/>
                <w:sz w:val="24"/>
                <w:szCs w:val="24"/>
              </w:rPr>
              <w:t>分值</w:t>
            </w:r>
          </w:p>
        </w:tc>
        <w:tc>
          <w:tcPr>
            <w:tcW w:w="4600" w:type="dxa"/>
            <w:vAlign w:val="center"/>
          </w:tcPr>
          <w:p>
            <w:pPr>
              <w:pStyle w:val="2"/>
              <w:jc w:val="center"/>
              <w:rPr>
                <w:rFonts w:ascii="宋体" w:hAnsi="宋体" w:eastAsia="宋体" w:cs="宋体"/>
                <w:sz w:val="24"/>
                <w:szCs w:val="24"/>
              </w:rPr>
            </w:pPr>
            <w:r>
              <w:rPr>
                <w:rFonts w:hint="eastAsia" w:ascii="宋体" w:hAnsi="宋体" w:eastAsia="宋体" w:cs="宋体"/>
                <w:sz w:val="24"/>
                <w:szCs w:val="24"/>
              </w:rPr>
              <w:t>评分标准</w:t>
            </w:r>
          </w:p>
        </w:tc>
        <w:tc>
          <w:tcPr>
            <w:tcW w:w="916" w:type="dxa"/>
            <w:vAlign w:val="center"/>
          </w:tcPr>
          <w:p>
            <w:pPr>
              <w:pStyle w:val="2"/>
              <w:jc w:val="center"/>
              <w:rPr>
                <w:rFonts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pStyle w:val="2"/>
              <w:jc w:val="center"/>
              <w:rPr>
                <w:rFonts w:ascii="宋体" w:hAnsi="宋体" w:eastAsia="宋体" w:cs="宋体"/>
                <w:sz w:val="24"/>
                <w:szCs w:val="24"/>
              </w:rPr>
            </w:pPr>
            <w:r>
              <w:rPr>
                <w:rFonts w:hint="eastAsia" w:ascii="宋体" w:hAnsi="宋体" w:eastAsia="宋体" w:cs="宋体"/>
                <w:sz w:val="24"/>
                <w:szCs w:val="24"/>
              </w:rPr>
              <w:t>1</w:t>
            </w:r>
          </w:p>
        </w:tc>
        <w:tc>
          <w:tcPr>
            <w:tcW w:w="1202" w:type="dxa"/>
            <w:vAlign w:val="center"/>
          </w:tcPr>
          <w:p>
            <w:pPr>
              <w:pStyle w:val="2"/>
              <w:jc w:val="center"/>
              <w:rPr>
                <w:rFonts w:ascii="宋体" w:hAnsi="宋体" w:eastAsia="宋体" w:cs="宋体"/>
                <w:sz w:val="24"/>
                <w:szCs w:val="24"/>
              </w:rPr>
            </w:pPr>
            <w:r>
              <w:rPr>
                <w:rFonts w:hint="eastAsia" w:ascii="宋体" w:hAnsi="宋体" w:eastAsia="宋体" w:cs="宋体"/>
                <w:sz w:val="24"/>
                <w:szCs w:val="24"/>
              </w:rPr>
              <w:t>报价10%</w:t>
            </w:r>
          </w:p>
        </w:tc>
        <w:tc>
          <w:tcPr>
            <w:tcW w:w="875" w:type="dxa"/>
            <w:vAlign w:val="center"/>
          </w:tcPr>
          <w:p>
            <w:pPr>
              <w:pStyle w:val="2"/>
              <w:jc w:val="center"/>
              <w:rPr>
                <w:rFonts w:ascii="宋体" w:hAnsi="宋体" w:eastAsia="宋体" w:cs="宋体"/>
                <w:sz w:val="24"/>
                <w:szCs w:val="24"/>
              </w:rPr>
            </w:pPr>
            <w:r>
              <w:rPr>
                <w:rFonts w:hint="eastAsia" w:ascii="宋体" w:hAnsi="宋体" w:eastAsia="宋体" w:cs="宋体"/>
                <w:sz w:val="24"/>
                <w:szCs w:val="24"/>
              </w:rPr>
              <w:t>10分</w:t>
            </w:r>
          </w:p>
        </w:tc>
        <w:tc>
          <w:tcPr>
            <w:tcW w:w="4600" w:type="dxa"/>
          </w:tcPr>
          <w:p>
            <w:pPr>
              <w:pStyle w:val="2"/>
              <w:jc w:val="left"/>
              <w:rPr>
                <w:rFonts w:ascii="宋体" w:hAnsi="宋体" w:eastAsia="宋体" w:cs="宋体"/>
                <w:sz w:val="24"/>
                <w:szCs w:val="24"/>
                <w:lang w:val="zh-TW"/>
              </w:rPr>
            </w:pPr>
            <w:r>
              <w:rPr>
                <w:rFonts w:hint="eastAsia" w:ascii="宋体" w:hAnsi="宋体" w:eastAsia="宋体" w:cs="宋体"/>
                <w:sz w:val="24"/>
                <w:szCs w:val="24"/>
              </w:rPr>
              <w:t>以本次最低磋商有效报价为基准价，磋商报价得分＝（基准价／磋商报价）*10。</w:t>
            </w:r>
          </w:p>
        </w:tc>
        <w:tc>
          <w:tcPr>
            <w:tcW w:w="916" w:type="dxa"/>
            <w:vAlign w:val="center"/>
          </w:tcPr>
          <w:p>
            <w:pPr>
              <w:pStyle w:val="2"/>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pStyle w:val="2"/>
              <w:jc w:val="center"/>
              <w:rPr>
                <w:rFonts w:ascii="宋体" w:hAnsi="宋体" w:eastAsia="宋体" w:cs="宋体"/>
                <w:sz w:val="24"/>
                <w:szCs w:val="24"/>
              </w:rPr>
            </w:pPr>
            <w:r>
              <w:rPr>
                <w:rFonts w:hint="eastAsia" w:ascii="宋体" w:hAnsi="宋体" w:eastAsia="宋体" w:cs="宋体"/>
                <w:sz w:val="24"/>
                <w:szCs w:val="24"/>
              </w:rPr>
              <w:t>2</w:t>
            </w:r>
          </w:p>
        </w:tc>
        <w:tc>
          <w:tcPr>
            <w:tcW w:w="1202" w:type="dxa"/>
            <w:vAlign w:val="center"/>
          </w:tcPr>
          <w:p>
            <w:pPr>
              <w:pStyle w:val="2"/>
              <w:jc w:val="center"/>
              <w:rPr>
                <w:rFonts w:ascii="宋体" w:hAnsi="宋体" w:eastAsia="宋体" w:cs="宋体"/>
                <w:sz w:val="24"/>
                <w:szCs w:val="24"/>
                <w:lang w:eastAsia="zh-TW"/>
              </w:rPr>
            </w:pPr>
            <w:r>
              <w:rPr>
                <w:rFonts w:hint="eastAsia" w:ascii="宋体" w:hAnsi="宋体" w:eastAsia="宋体" w:cs="宋体"/>
                <w:sz w:val="24"/>
                <w:szCs w:val="24"/>
              </w:rPr>
              <w:t>项目实施方案42</w:t>
            </w:r>
            <w:r>
              <w:rPr>
                <w:rFonts w:hint="eastAsia" w:ascii="宋体" w:hAnsi="宋体" w:eastAsia="宋体" w:cs="宋体"/>
                <w:sz w:val="24"/>
                <w:szCs w:val="24"/>
                <w:lang w:val="zh-TW" w:eastAsia="zh-TW"/>
              </w:rPr>
              <w:t>%</w:t>
            </w:r>
          </w:p>
        </w:tc>
        <w:tc>
          <w:tcPr>
            <w:tcW w:w="875" w:type="dxa"/>
            <w:vAlign w:val="center"/>
          </w:tcPr>
          <w:p>
            <w:pPr>
              <w:pStyle w:val="2"/>
              <w:jc w:val="center"/>
              <w:rPr>
                <w:rFonts w:ascii="宋体" w:hAnsi="宋体" w:eastAsia="宋体" w:cs="宋体"/>
                <w:sz w:val="24"/>
                <w:szCs w:val="24"/>
              </w:rPr>
            </w:pPr>
            <w:r>
              <w:rPr>
                <w:rFonts w:hint="eastAsia" w:ascii="宋体" w:hAnsi="宋体" w:eastAsia="宋体" w:cs="宋体"/>
                <w:sz w:val="24"/>
                <w:szCs w:val="24"/>
              </w:rPr>
              <w:t>42分</w:t>
            </w:r>
          </w:p>
        </w:tc>
        <w:tc>
          <w:tcPr>
            <w:tcW w:w="4600" w:type="dxa"/>
          </w:tcPr>
          <w:p>
            <w:pPr>
              <w:pStyle w:val="34"/>
              <w:jc w:val="left"/>
              <w:rPr>
                <w:rFonts w:ascii="宋体" w:hAnsi="宋体" w:eastAsia="宋体" w:cs="宋体"/>
                <w:bCs/>
                <w:color w:val="auto"/>
                <w:sz w:val="24"/>
                <w:szCs w:val="24"/>
              </w:rPr>
            </w:pPr>
            <w:r>
              <w:rPr>
                <w:rFonts w:hint="eastAsia" w:ascii="宋体" w:hAnsi="宋体" w:eastAsia="宋体" w:cs="宋体"/>
                <w:bCs/>
                <w:color w:val="auto"/>
                <w:sz w:val="24"/>
                <w:szCs w:val="24"/>
              </w:rPr>
              <w:t>供应商针对项目提供</w:t>
            </w:r>
            <w:r>
              <w:rPr>
                <w:rFonts w:hint="eastAsia" w:ascii="宋体" w:hAnsi="宋体" w:eastAsia="宋体" w:cs="宋体"/>
                <w:color w:val="auto"/>
                <w:sz w:val="24"/>
                <w:szCs w:val="24"/>
              </w:rPr>
              <w:t>①项目背景分析</w:t>
            </w:r>
            <w:r>
              <w:rPr>
                <w:rFonts w:hint="eastAsia" w:ascii="宋体" w:hAnsi="宋体" w:eastAsia="宋体" w:cs="宋体"/>
                <w:color w:val="auto"/>
                <w:sz w:val="24"/>
                <w:szCs w:val="24"/>
                <w:lang w:val="zh-TW"/>
              </w:rPr>
              <w:t>②</w:t>
            </w:r>
            <w:r>
              <w:rPr>
                <w:rFonts w:hint="eastAsia" w:ascii="宋体" w:hAnsi="宋体" w:eastAsia="宋体" w:cs="宋体"/>
                <w:color w:val="auto"/>
                <w:sz w:val="24"/>
                <w:szCs w:val="24"/>
              </w:rPr>
              <w:t>项目现状分析</w:t>
            </w:r>
            <w:r>
              <w:rPr>
                <w:rFonts w:hint="eastAsia" w:ascii="宋体" w:hAnsi="宋体" w:eastAsia="宋体" w:cs="宋体"/>
                <w:bCs/>
                <w:color w:val="auto"/>
                <w:sz w:val="24"/>
                <w:szCs w:val="24"/>
                <w:lang w:val="zh-TW"/>
              </w:rPr>
              <w:t>③</w:t>
            </w:r>
            <w:r>
              <w:rPr>
                <w:rFonts w:hint="eastAsia" w:ascii="宋体" w:hAnsi="宋体" w:eastAsia="宋体" w:cs="宋体"/>
                <w:bCs/>
                <w:color w:val="auto"/>
                <w:sz w:val="24"/>
                <w:szCs w:val="24"/>
              </w:rPr>
              <w:t>项目工作进度计划</w:t>
            </w:r>
            <w:r>
              <w:rPr>
                <w:rFonts w:hint="eastAsia" w:ascii="宋体" w:hAnsi="宋体" w:eastAsia="宋体" w:cs="宋体"/>
                <w:bCs/>
                <w:color w:val="auto"/>
                <w:sz w:val="24"/>
                <w:szCs w:val="24"/>
                <w:lang w:val="zh-TW"/>
              </w:rPr>
              <w:t>④</w:t>
            </w:r>
            <w:r>
              <w:rPr>
                <w:rFonts w:hint="eastAsia" w:ascii="宋体" w:hAnsi="宋体" w:eastAsia="宋体" w:cs="宋体"/>
                <w:bCs/>
                <w:color w:val="auto"/>
                <w:sz w:val="24"/>
                <w:szCs w:val="24"/>
              </w:rPr>
              <w:t>项目人员安排⑤项目的采样、检测方案⑥项目结果报告⑦项目应急响应方案等。</w:t>
            </w:r>
          </w:p>
          <w:p>
            <w:pPr>
              <w:pStyle w:val="34"/>
              <w:jc w:val="left"/>
              <w:rPr>
                <w:rFonts w:ascii="宋体" w:hAnsi="宋体" w:eastAsia="宋体" w:cs="宋体"/>
                <w:bCs/>
                <w:color w:val="auto"/>
                <w:sz w:val="24"/>
                <w:szCs w:val="24"/>
              </w:rPr>
            </w:pPr>
            <w:r>
              <w:rPr>
                <w:rFonts w:hint="eastAsia" w:ascii="宋体" w:hAnsi="宋体" w:eastAsia="宋体" w:cs="宋体"/>
                <w:bCs/>
                <w:color w:val="auto"/>
                <w:sz w:val="24"/>
                <w:szCs w:val="24"/>
              </w:rPr>
              <w:t>以上</w:t>
            </w:r>
            <w:r>
              <w:rPr>
                <w:rFonts w:hint="eastAsia" w:ascii="宋体" w:hAnsi="宋体" w:eastAsia="宋体" w:cs="宋体"/>
                <w:bCs/>
                <w:color w:val="auto"/>
                <w:sz w:val="24"/>
                <w:szCs w:val="24"/>
                <w:highlight w:val="none"/>
              </w:rPr>
              <w:t>七</w:t>
            </w:r>
            <w:r>
              <w:rPr>
                <w:rFonts w:hint="eastAsia" w:ascii="宋体" w:hAnsi="宋体" w:eastAsia="宋体" w:cs="宋体"/>
                <w:bCs/>
                <w:color w:val="auto"/>
                <w:sz w:val="24"/>
                <w:szCs w:val="24"/>
              </w:rPr>
              <w:t>个方面内容完善，条理清晰，针对性强且符合本项目需求的得42分；每有一项内容未提供扣6分；内容不够完善，条理不清晰，描述过于简单，针对性不强，仅部分符合本项目需求的，每有一项扣3分，本项共计42分，分值扣完为止。不提供方案或方案与本项目不相关的不得分。</w:t>
            </w:r>
          </w:p>
        </w:tc>
        <w:tc>
          <w:tcPr>
            <w:tcW w:w="916" w:type="dxa"/>
            <w:vAlign w:val="center"/>
          </w:tcPr>
          <w:p>
            <w:pPr>
              <w:spacing w:line="360" w:lineRule="auto"/>
              <w:jc w:val="center"/>
              <w:rPr>
                <w:rFonts w:ascii="宋体" w:hAnsi="宋体" w:cs="宋体"/>
                <w:sz w:val="24"/>
              </w:rPr>
            </w:pPr>
            <w:r>
              <w:rPr>
                <w:rFonts w:hint="eastAsia" w:ascii="宋体" w:hAnsi="宋体" w:cs="宋体"/>
                <w:sz w:val="24"/>
              </w:rPr>
              <w:t>经济类评分</w:t>
            </w:r>
          </w:p>
          <w:p>
            <w:pPr>
              <w:pStyle w:val="2"/>
              <w:jc w:val="both"/>
              <w:rPr>
                <w:rFonts w:ascii="宋体" w:hAnsi="宋体" w:eastAsia="宋体" w:cs="宋体"/>
                <w:sz w:val="24"/>
                <w:szCs w:val="24"/>
              </w:rPr>
            </w:pPr>
            <w:r>
              <w:rPr>
                <w:rFonts w:hint="eastAsia" w:ascii="宋体" w:hAnsi="宋体" w:cs="宋体"/>
                <w:sz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03" w:type="dxa"/>
            <w:vAlign w:val="center"/>
          </w:tcPr>
          <w:p>
            <w:pPr>
              <w:pStyle w:val="2"/>
              <w:jc w:val="center"/>
              <w:rPr>
                <w:rFonts w:ascii="宋体" w:hAnsi="宋体" w:eastAsia="宋体" w:cs="宋体"/>
                <w:sz w:val="24"/>
                <w:szCs w:val="24"/>
              </w:rPr>
            </w:pPr>
            <w:r>
              <w:rPr>
                <w:rFonts w:hint="eastAsia" w:ascii="宋体" w:hAnsi="宋体" w:eastAsia="宋体" w:cs="宋体"/>
                <w:sz w:val="24"/>
                <w:szCs w:val="24"/>
              </w:rPr>
              <w:t>3</w:t>
            </w:r>
          </w:p>
        </w:tc>
        <w:tc>
          <w:tcPr>
            <w:tcW w:w="1202" w:type="dxa"/>
            <w:vAlign w:val="center"/>
          </w:tcPr>
          <w:p>
            <w:pPr>
              <w:pStyle w:val="2"/>
              <w:jc w:val="center"/>
              <w:rPr>
                <w:rFonts w:ascii="宋体" w:hAnsi="宋体" w:eastAsia="宋体" w:cs="宋体"/>
                <w:sz w:val="24"/>
                <w:szCs w:val="24"/>
              </w:rPr>
            </w:pPr>
            <w:r>
              <w:rPr>
                <w:rFonts w:hint="eastAsia" w:ascii="宋体" w:hAnsi="宋体" w:eastAsia="宋体" w:cs="宋体"/>
                <w:sz w:val="24"/>
                <w:szCs w:val="24"/>
              </w:rPr>
              <w:t>质量保障方案12</w:t>
            </w:r>
            <w:r>
              <w:rPr>
                <w:rFonts w:hint="eastAsia" w:ascii="宋体" w:hAnsi="宋体" w:eastAsia="宋体" w:cs="宋体"/>
                <w:sz w:val="24"/>
                <w:szCs w:val="24"/>
                <w:lang w:val="zh-TW" w:eastAsia="zh-TW"/>
              </w:rPr>
              <w:t>%</w:t>
            </w:r>
          </w:p>
        </w:tc>
        <w:tc>
          <w:tcPr>
            <w:tcW w:w="875" w:type="dxa"/>
            <w:vAlign w:val="center"/>
          </w:tcPr>
          <w:p>
            <w:pPr>
              <w:pStyle w:val="2"/>
              <w:jc w:val="center"/>
              <w:rPr>
                <w:rFonts w:ascii="宋体" w:hAnsi="宋体" w:eastAsia="宋体" w:cs="宋体"/>
                <w:sz w:val="24"/>
                <w:szCs w:val="24"/>
              </w:rPr>
            </w:pPr>
            <w:r>
              <w:rPr>
                <w:rFonts w:hint="eastAsia" w:ascii="宋体" w:hAnsi="宋体" w:eastAsia="宋体" w:cs="宋体"/>
                <w:sz w:val="24"/>
                <w:szCs w:val="24"/>
              </w:rPr>
              <w:t>12分</w:t>
            </w:r>
          </w:p>
        </w:tc>
        <w:tc>
          <w:tcPr>
            <w:tcW w:w="4600" w:type="dxa"/>
            <w:vAlign w:val="center"/>
          </w:tcPr>
          <w:p>
            <w:pPr>
              <w:pStyle w:val="34"/>
              <w:jc w:val="left"/>
              <w:rPr>
                <w:rFonts w:ascii="宋体" w:hAnsi="宋体" w:eastAsia="宋体" w:cs="宋体"/>
                <w:bCs/>
                <w:color w:val="auto"/>
                <w:sz w:val="24"/>
                <w:szCs w:val="24"/>
              </w:rPr>
            </w:pPr>
            <w:r>
              <w:rPr>
                <w:rFonts w:hint="eastAsia" w:ascii="宋体" w:hAnsi="宋体" w:eastAsia="宋体" w:cs="宋体"/>
                <w:bCs/>
                <w:color w:val="auto"/>
                <w:sz w:val="24"/>
                <w:szCs w:val="24"/>
              </w:rPr>
              <w:t>根据供应商针对本项目所提供的质量保障方案，包括：①完整的质量管理体系和质量管理制度；②全过程的质量控制（采样及分析）；③完整的质量保障措施。供应商所编制的“质量保障方案”中以上 3 项内容完全满足项目实施需求的得12分；根据供应商所写内容每有一项有错误或有缺陷或与所写方案相矛盾的扣2分；未提供不得分。</w:t>
            </w:r>
          </w:p>
        </w:tc>
        <w:tc>
          <w:tcPr>
            <w:tcW w:w="916" w:type="dxa"/>
            <w:vAlign w:val="center"/>
          </w:tcPr>
          <w:p>
            <w:pPr>
              <w:spacing w:line="360" w:lineRule="auto"/>
              <w:jc w:val="center"/>
              <w:rPr>
                <w:rFonts w:ascii="宋体" w:hAnsi="宋体" w:cs="宋体"/>
                <w:sz w:val="24"/>
              </w:rPr>
            </w:pPr>
            <w:r>
              <w:rPr>
                <w:rFonts w:hint="eastAsia" w:ascii="宋体" w:hAnsi="宋体" w:cs="宋体"/>
                <w:sz w:val="24"/>
              </w:rPr>
              <w:t>技术类评分</w:t>
            </w:r>
          </w:p>
          <w:p>
            <w:pPr>
              <w:pStyle w:val="2"/>
              <w:jc w:val="center"/>
              <w:rPr>
                <w:rFonts w:ascii="宋体" w:hAnsi="宋体" w:eastAsia="宋体" w:cs="宋体"/>
                <w:sz w:val="24"/>
                <w:szCs w:val="24"/>
              </w:rPr>
            </w:pPr>
            <w:r>
              <w:rPr>
                <w:rFonts w:hint="eastAsia" w:ascii="宋体" w:hAnsi="宋体" w:cs="宋体"/>
                <w:sz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03" w:type="dxa"/>
            <w:vAlign w:val="center"/>
          </w:tcPr>
          <w:p>
            <w:pPr>
              <w:pStyle w:val="2"/>
              <w:jc w:val="center"/>
              <w:rPr>
                <w:rFonts w:ascii="宋体" w:hAnsi="宋体" w:eastAsia="宋体" w:cs="宋体"/>
                <w:sz w:val="24"/>
                <w:szCs w:val="24"/>
              </w:rPr>
            </w:pPr>
            <w:r>
              <w:rPr>
                <w:rFonts w:hint="eastAsia" w:ascii="宋体" w:hAnsi="宋体" w:eastAsia="宋体" w:cs="宋体"/>
                <w:sz w:val="24"/>
                <w:szCs w:val="24"/>
              </w:rPr>
              <w:t>4</w:t>
            </w:r>
          </w:p>
        </w:tc>
        <w:tc>
          <w:tcPr>
            <w:tcW w:w="1202" w:type="dxa"/>
            <w:vAlign w:val="center"/>
          </w:tcPr>
          <w:p>
            <w:pPr>
              <w:pStyle w:val="2"/>
              <w:jc w:val="center"/>
              <w:rPr>
                <w:rFonts w:ascii="宋体" w:hAnsi="宋体" w:eastAsia="宋体" w:cs="宋体"/>
                <w:sz w:val="24"/>
                <w:szCs w:val="24"/>
              </w:rPr>
            </w:pPr>
            <w:r>
              <w:rPr>
                <w:rFonts w:hint="eastAsia" w:ascii="宋体" w:hAnsi="宋体" w:eastAsia="宋体" w:cs="宋体"/>
                <w:sz w:val="24"/>
                <w:szCs w:val="24"/>
              </w:rPr>
              <w:t>售后服务方案8%</w:t>
            </w:r>
          </w:p>
        </w:tc>
        <w:tc>
          <w:tcPr>
            <w:tcW w:w="875" w:type="dxa"/>
            <w:vAlign w:val="center"/>
          </w:tcPr>
          <w:p>
            <w:pPr>
              <w:pStyle w:val="2"/>
              <w:jc w:val="center"/>
              <w:rPr>
                <w:rFonts w:ascii="宋体" w:hAnsi="宋体" w:eastAsia="宋体" w:cs="宋体"/>
                <w:sz w:val="24"/>
                <w:szCs w:val="24"/>
              </w:rPr>
            </w:pPr>
            <w:r>
              <w:rPr>
                <w:rFonts w:hint="eastAsia" w:ascii="宋体" w:hAnsi="宋体" w:eastAsia="宋体" w:cs="宋体"/>
                <w:sz w:val="24"/>
                <w:szCs w:val="24"/>
              </w:rPr>
              <w:t>8分</w:t>
            </w:r>
          </w:p>
        </w:tc>
        <w:tc>
          <w:tcPr>
            <w:tcW w:w="4600" w:type="dxa"/>
          </w:tcPr>
          <w:p>
            <w:pPr>
              <w:pStyle w:val="2"/>
              <w:jc w:val="left"/>
              <w:rPr>
                <w:rFonts w:ascii="宋体" w:hAnsi="宋体" w:eastAsia="宋体" w:cs="宋体"/>
                <w:kern w:val="0"/>
                <w:sz w:val="24"/>
                <w:szCs w:val="24"/>
              </w:rPr>
            </w:pPr>
            <w:r>
              <w:rPr>
                <w:rFonts w:hint="eastAsia" w:ascii="宋体" w:hAnsi="宋体" w:eastAsia="宋体" w:cs="宋体"/>
                <w:sz w:val="24"/>
                <w:szCs w:val="24"/>
              </w:rPr>
              <w:t>根据供应商针对本项目拟定的售后服务方案进行评审：方案内容包含①售后服务体系②售后服务制度③售后人员配置④售后响应时间等。售后服务方案完整、有针对性、可行合理得8分，每有一项不完善扣1分，每有一项缺失扣2分，扣完为止。</w:t>
            </w:r>
          </w:p>
        </w:tc>
        <w:tc>
          <w:tcPr>
            <w:tcW w:w="916" w:type="dxa"/>
            <w:vAlign w:val="center"/>
          </w:tcPr>
          <w:p>
            <w:pPr>
              <w:spacing w:line="360" w:lineRule="auto"/>
              <w:ind w:firstLine="28"/>
              <w:jc w:val="center"/>
              <w:rPr>
                <w:rFonts w:ascii="宋体" w:hAnsi="宋体" w:cs="宋体"/>
                <w:sz w:val="24"/>
              </w:rPr>
            </w:pPr>
            <w:r>
              <w:rPr>
                <w:rFonts w:hint="eastAsia" w:ascii="宋体" w:hAnsi="宋体" w:cs="宋体"/>
                <w:sz w:val="24"/>
              </w:rPr>
              <w:t>技术类评分</w:t>
            </w:r>
          </w:p>
          <w:p>
            <w:pPr>
              <w:pStyle w:val="2"/>
              <w:jc w:val="center"/>
              <w:rPr>
                <w:rFonts w:ascii="宋体" w:hAnsi="宋体" w:eastAsia="宋体" w:cs="宋体"/>
                <w:sz w:val="24"/>
                <w:szCs w:val="24"/>
              </w:rPr>
            </w:pPr>
            <w:r>
              <w:rPr>
                <w:rFonts w:hint="eastAsia" w:ascii="宋体" w:hAnsi="宋体" w:cs="宋体"/>
                <w:sz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03" w:type="dxa"/>
            <w:vAlign w:val="center"/>
          </w:tcPr>
          <w:p>
            <w:pPr>
              <w:pStyle w:val="2"/>
              <w:jc w:val="center"/>
              <w:rPr>
                <w:rFonts w:ascii="宋体" w:hAnsi="宋体" w:eastAsia="宋体" w:cs="宋体"/>
                <w:sz w:val="24"/>
                <w:szCs w:val="24"/>
              </w:rPr>
            </w:pPr>
            <w:r>
              <w:rPr>
                <w:rFonts w:hint="eastAsia" w:ascii="宋体" w:hAnsi="宋体" w:eastAsia="宋体" w:cs="宋体"/>
                <w:sz w:val="24"/>
                <w:szCs w:val="24"/>
              </w:rPr>
              <w:t>5</w:t>
            </w:r>
          </w:p>
        </w:tc>
        <w:tc>
          <w:tcPr>
            <w:tcW w:w="1202" w:type="dxa"/>
            <w:vAlign w:val="center"/>
          </w:tcPr>
          <w:p>
            <w:pPr>
              <w:pStyle w:val="2"/>
              <w:jc w:val="center"/>
              <w:rPr>
                <w:rFonts w:ascii="宋体" w:hAnsi="宋体" w:eastAsia="宋体" w:cs="宋体"/>
                <w:sz w:val="24"/>
                <w:szCs w:val="24"/>
              </w:rPr>
            </w:pPr>
            <w:r>
              <w:rPr>
                <w:rFonts w:hint="eastAsia" w:ascii="宋体" w:hAnsi="宋体" w:eastAsia="宋体" w:cs="宋体"/>
                <w:sz w:val="24"/>
                <w:szCs w:val="24"/>
              </w:rPr>
              <w:t>人员配置1</w:t>
            </w:r>
            <w:r>
              <w:rPr>
                <w:rFonts w:hint="eastAsia" w:ascii="宋体" w:hAnsi="宋体" w:eastAsia="宋体" w:cs="宋体"/>
                <w:sz w:val="24"/>
                <w:szCs w:val="24"/>
                <w:lang w:val="en-US" w:eastAsia="zh-CN"/>
              </w:rPr>
              <w:t>3</w:t>
            </w:r>
            <w:r>
              <w:rPr>
                <w:rFonts w:hint="eastAsia" w:ascii="宋体" w:hAnsi="宋体" w:eastAsia="宋体" w:cs="宋体"/>
                <w:sz w:val="24"/>
                <w:szCs w:val="24"/>
              </w:rPr>
              <w:t>%</w:t>
            </w:r>
          </w:p>
        </w:tc>
        <w:tc>
          <w:tcPr>
            <w:tcW w:w="875" w:type="dxa"/>
            <w:vAlign w:val="center"/>
          </w:tcPr>
          <w:p>
            <w:pPr>
              <w:pStyle w:val="2"/>
              <w:jc w:val="center"/>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c>
          <w:tcPr>
            <w:tcW w:w="4600" w:type="dxa"/>
            <w:vAlign w:val="center"/>
          </w:tcPr>
          <w:p>
            <w:pPr>
              <w:pStyle w:val="34"/>
              <w:jc w:val="left"/>
              <w:rPr>
                <w:rFonts w:ascii="宋体" w:hAnsi="宋体" w:eastAsia="宋体" w:cs="宋体"/>
                <w:bCs/>
                <w:color w:val="auto"/>
                <w:sz w:val="24"/>
                <w:szCs w:val="24"/>
              </w:rPr>
            </w:pPr>
            <w:r>
              <w:rPr>
                <w:rFonts w:hint="eastAsia" w:ascii="宋体" w:hAnsi="宋体" w:eastAsia="宋体" w:cs="宋体"/>
                <w:bCs/>
                <w:color w:val="auto"/>
                <w:sz w:val="24"/>
                <w:szCs w:val="24"/>
                <w:lang w:val="zh-TW"/>
              </w:rPr>
              <w:t>1、项目负责人具有环境类</w:t>
            </w:r>
            <w:r>
              <w:rPr>
                <w:rFonts w:hint="eastAsia" w:ascii="宋体" w:hAnsi="宋体" w:eastAsia="宋体" w:cs="宋体"/>
                <w:bCs/>
                <w:color w:val="auto"/>
                <w:sz w:val="24"/>
                <w:szCs w:val="24"/>
              </w:rPr>
              <w:t>相关专业正</w:t>
            </w:r>
            <w:r>
              <w:rPr>
                <w:rFonts w:hint="eastAsia" w:ascii="宋体" w:hAnsi="宋体" w:eastAsia="宋体" w:cs="宋体"/>
                <w:bCs/>
                <w:color w:val="auto"/>
                <w:sz w:val="24"/>
                <w:szCs w:val="24"/>
                <w:lang w:val="zh-TW"/>
              </w:rPr>
              <w:t>高级及以上职称的得</w:t>
            </w: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分、</w:t>
            </w:r>
            <w:r>
              <w:rPr>
                <w:rFonts w:hint="eastAsia" w:ascii="宋体" w:hAnsi="宋体" w:eastAsia="宋体" w:cs="宋体"/>
                <w:bCs/>
                <w:color w:val="auto"/>
                <w:sz w:val="24"/>
                <w:szCs w:val="24"/>
                <w:lang w:val="zh-TW"/>
              </w:rPr>
              <w:t>高级职称的得</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分、中级职称的得</w:t>
            </w: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分；同时具有环境影响评价工程师证书的加</w:t>
            </w: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分；本项最多得</w:t>
            </w:r>
            <w:r>
              <w:rPr>
                <w:rFonts w:hint="eastAsia" w:ascii="宋体" w:hAnsi="宋体" w:eastAsia="宋体" w:cs="宋体"/>
                <w:bCs/>
                <w:color w:val="auto"/>
                <w:sz w:val="24"/>
                <w:szCs w:val="24"/>
                <w:lang w:val="en-US" w:eastAsia="zh-CN"/>
              </w:rPr>
              <w:t>6</w:t>
            </w:r>
            <w:r>
              <w:rPr>
                <w:rFonts w:hint="eastAsia" w:ascii="宋体" w:hAnsi="宋体" w:eastAsia="宋体" w:cs="宋体"/>
                <w:bCs/>
                <w:color w:val="auto"/>
                <w:sz w:val="24"/>
                <w:szCs w:val="24"/>
              </w:rPr>
              <w:t>分。</w:t>
            </w:r>
          </w:p>
          <w:p>
            <w:pPr>
              <w:pStyle w:val="34"/>
              <w:jc w:val="left"/>
              <w:rPr>
                <w:rFonts w:ascii="宋体" w:hAnsi="宋体" w:eastAsia="宋体" w:cs="宋体"/>
                <w:bCs/>
                <w:color w:val="auto"/>
                <w:sz w:val="24"/>
                <w:szCs w:val="24"/>
              </w:rPr>
            </w:pPr>
            <w:r>
              <w:rPr>
                <w:rFonts w:hint="eastAsia" w:ascii="宋体" w:hAnsi="宋体" w:eastAsia="宋体" w:cs="宋体"/>
                <w:bCs/>
                <w:color w:val="auto"/>
                <w:sz w:val="24"/>
                <w:szCs w:val="24"/>
              </w:rPr>
              <w:t>2、</w:t>
            </w:r>
            <w:r>
              <w:rPr>
                <w:rFonts w:hint="eastAsia" w:ascii="宋体" w:hAnsi="宋体" w:eastAsia="宋体" w:cs="宋体"/>
                <w:bCs/>
                <w:color w:val="auto"/>
                <w:sz w:val="24"/>
                <w:szCs w:val="24"/>
                <w:lang w:val="zh-TW"/>
              </w:rPr>
              <w:t>项目报告编制负责人具有环境影响评价工程师</w:t>
            </w:r>
            <w:r>
              <w:rPr>
                <w:rFonts w:hint="eastAsia" w:ascii="宋体" w:hAnsi="宋体" w:eastAsia="宋体" w:cs="宋体"/>
                <w:bCs/>
                <w:color w:val="auto"/>
                <w:sz w:val="24"/>
                <w:szCs w:val="24"/>
              </w:rPr>
              <w:t>证书的得</w:t>
            </w: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分。</w:t>
            </w:r>
          </w:p>
          <w:p>
            <w:pPr>
              <w:pStyle w:val="34"/>
              <w:jc w:val="left"/>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w:t>
            </w:r>
            <w:r>
              <w:rPr>
                <w:rFonts w:hint="eastAsia" w:ascii="宋体" w:hAnsi="宋体" w:eastAsia="宋体" w:cs="新宋体"/>
                <w:bCs/>
                <w:color w:val="auto"/>
                <w:sz w:val="24"/>
                <w:szCs w:val="24"/>
                <w:lang w:eastAsia="zh-CN"/>
              </w:rPr>
              <w:t>服务团队其他</w:t>
            </w:r>
            <w:r>
              <w:rPr>
                <w:rFonts w:hint="eastAsia" w:ascii="宋体" w:hAnsi="宋体" w:cs="新宋体"/>
                <w:bCs/>
                <w:color w:val="auto"/>
                <w:sz w:val="24"/>
                <w:szCs w:val="24"/>
              </w:rPr>
              <w:t>人员中具有中级及以上职称的一人得</w:t>
            </w:r>
            <w:r>
              <w:rPr>
                <w:rFonts w:hint="eastAsia" w:ascii="宋体" w:hAnsi="宋体" w:eastAsia="宋体" w:cs="新宋体"/>
                <w:bCs/>
                <w:color w:val="auto"/>
                <w:sz w:val="24"/>
                <w:szCs w:val="24"/>
                <w:lang w:val="en-US" w:eastAsia="zh-CN"/>
              </w:rPr>
              <w:t>1</w:t>
            </w:r>
            <w:r>
              <w:rPr>
                <w:rFonts w:hint="eastAsia" w:ascii="宋体" w:hAnsi="宋体" w:cs="新宋体"/>
                <w:bCs/>
                <w:color w:val="auto"/>
                <w:sz w:val="24"/>
                <w:szCs w:val="24"/>
              </w:rPr>
              <w:t>分，初级职称的一人得0.5分，此项最多得</w:t>
            </w:r>
            <w:r>
              <w:rPr>
                <w:rFonts w:hint="eastAsia" w:ascii="宋体" w:hAnsi="宋体" w:eastAsia="宋体" w:cs="新宋体"/>
                <w:bCs/>
                <w:color w:val="auto"/>
                <w:sz w:val="24"/>
                <w:szCs w:val="24"/>
                <w:lang w:val="en-US" w:eastAsia="zh-CN"/>
              </w:rPr>
              <w:t>4</w:t>
            </w:r>
            <w:r>
              <w:rPr>
                <w:rFonts w:hint="eastAsia" w:ascii="宋体" w:hAnsi="宋体" w:cs="新宋体"/>
                <w:bCs/>
                <w:color w:val="auto"/>
                <w:sz w:val="24"/>
                <w:szCs w:val="24"/>
              </w:rPr>
              <w:t>分</w:t>
            </w:r>
            <w:r>
              <w:rPr>
                <w:rFonts w:hint="eastAsia" w:ascii="宋体" w:hAnsi="宋体" w:eastAsia="宋体" w:cs="新宋体"/>
                <w:bCs/>
                <w:color w:val="auto"/>
                <w:sz w:val="24"/>
                <w:szCs w:val="24"/>
                <w:lang w:eastAsia="zh-CN"/>
              </w:rPr>
              <w:t>。</w:t>
            </w:r>
          </w:p>
          <w:p>
            <w:pPr>
              <w:pStyle w:val="34"/>
              <w:jc w:val="left"/>
              <w:rPr>
                <w:rFonts w:ascii="宋体" w:hAnsi="宋体" w:eastAsia="宋体" w:cs="宋体"/>
                <w:color w:val="auto"/>
                <w:sz w:val="24"/>
                <w:szCs w:val="24"/>
              </w:rPr>
            </w:pPr>
            <w:r>
              <w:rPr>
                <w:rFonts w:hint="eastAsia" w:ascii="宋体" w:hAnsi="宋体" w:eastAsia="宋体" w:cs="宋体"/>
                <w:bCs/>
                <w:color w:val="auto"/>
                <w:sz w:val="24"/>
                <w:szCs w:val="24"/>
              </w:rPr>
              <w:t>注：提供人员职称证复印件及其本单位的在职证明材料（提供聘任合同</w:t>
            </w:r>
            <w:r>
              <w:rPr>
                <w:rFonts w:hint="eastAsia" w:ascii="宋体" w:hAnsi="宋体" w:eastAsia="宋体" w:cs="宋体"/>
                <w:bCs/>
                <w:color w:val="auto"/>
                <w:sz w:val="24"/>
                <w:szCs w:val="24"/>
                <w:lang w:eastAsia="zh-CN"/>
              </w:rPr>
              <w:t>和</w:t>
            </w:r>
            <w:r>
              <w:rPr>
                <w:rFonts w:hint="eastAsia" w:ascii="宋体" w:hAnsi="宋体" w:eastAsia="宋体" w:cs="宋体"/>
                <w:bCs/>
                <w:color w:val="auto"/>
                <w:sz w:val="24"/>
                <w:szCs w:val="24"/>
              </w:rPr>
              <w:t>近三个月的社保证明，退休人员提供聘任合同及近3个月工资流水），盖供应商公章，否则不得分（人员不能重复得分）。</w:t>
            </w:r>
          </w:p>
        </w:tc>
        <w:tc>
          <w:tcPr>
            <w:tcW w:w="916" w:type="dxa"/>
            <w:vAlign w:val="center"/>
          </w:tcPr>
          <w:p>
            <w:pPr>
              <w:spacing w:line="360" w:lineRule="auto"/>
              <w:ind w:firstLine="28"/>
              <w:jc w:val="center"/>
              <w:rPr>
                <w:rFonts w:ascii="宋体" w:hAnsi="宋体" w:cs="宋体"/>
                <w:sz w:val="24"/>
              </w:rPr>
            </w:pPr>
            <w:r>
              <w:rPr>
                <w:rFonts w:hint="eastAsia" w:ascii="宋体" w:hAnsi="宋体" w:cs="宋体"/>
                <w:sz w:val="24"/>
              </w:rPr>
              <w:t>技术类评分</w:t>
            </w:r>
          </w:p>
          <w:p>
            <w:pPr>
              <w:pStyle w:val="2"/>
              <w:jc w:val="center"/>
              <w:rPr>
                <w:rFonts w:ascii="宋体" w:hAnsi="宋体" w:eastAsia="宋体" w:cs="宋体"/>
                <w:sz w:val="24"/>
                <w:szCs w:val="24"/>
              </w:rPr>
            </w:pPr>
            <w:r>
              <w:rPr>
                <w:rFonts w:hint="eastAsia" w:ascii="宋体" w:hAnsi="宋体" w:cs="宋体"/>
                <w:sz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703" w:type="dxa"/>
            <w:vAlign w:val="center"/>
          </w:tcPr>
          <w:p>
            <w:pPr>
              <w:pStyle w:val="2"/>
              <w:jc w:val="center"/>
              <w:rPr>
                <w:rFonts w:ascii="宋体" w:hAnsi="宋体" w:eastAsia="宋体" w:cs="宋体"/>
                <w:sz w:val="24"/>
                <w:szCs w:val="24"/>
              </w:rPr>
            </w:pPr>
            <w:r>
              <w:rPr>
                <w:rFonts w:hint="eastAsia" w:ascii="宋体" w:hAnsi="宋体" w:eastAsia="宋体" w:cs="宋体"/>
                <w:sz w:val="24"/>
                <w:szCs w:val="24"/>
              </w:rPr>
              <w:t>6</w:t>
            </w:r>
          </w:p>
        </w:tc>
        <w:tc>
          <w:tcPr>
            <w:tcW w:w="1202" w:type="dxa"/>
            <w:vAlign w:val="center"/>
          </w:tcPr>
          <w:p>
            <w:pPr>
              <w:pStyle w:val="2"/>
              <w:jc w:val="center"/>
              <w:rPr>
                <w:rFonts w:ascii="宋体" w:hAnsi="宋体" w:eastAsia="宋体" w:cs="宋体"/>
                <w:sz w:val="24"/>
                <w:szCs w:val="24"/>
              </w:rPr>
            </w:pPr>
            <w:r>
              <w:rPr>
                <w:rFonts w:hint="eastAsia" w:ascii="宋体" w:hAnsi="宋体" w:eastAsia="宋体" w:cs="宋体"/>
                <w:sz w:val="24"/>
                <w:szCs w:val="24"/>
              </w:rPr>
              <w:t>履约能力</w:t>
            </w:r>
            <w:r>
              <w:rPr>
                <w:rFonts w:hint="eastAsia" w:ascii="宋体" w:hAnsi="宋体" w:eastAsia="宋体" w:cs="宋体"/>
                <w:sz w:val="24"/>
                <w:szCs w:val="24"/>
                <w:lang w:val="en-US" w:eastAsia="zh-CN"/>
              </w:rPr>
              <w:t>9</w:t>
            </w:r>
            <w:r>
              <w:rPr>
                <w:rFonts w:hint="eastAsia" w:ascii="宋体" w:hAnsi="宋体" w:eastAsia="宋体" w:cs="宋体"/>
                <w:sz w:val="24"/>
                <w:szCs w:val="24"/>
              </w:rPr>
              <w:t>%</w:t>
            </w:r>
          </w:p>
        </w:tc>
        <w:tc>
          <w:tcPr>
            <w:tcW w:w="875" w:type="dxa"/>
            <w:vAlign w:val="center"/>
          </w:tcPr>
          <w:p>
            <w:pPr>
              <w:widowControl/>
              <w:jc w:val="center"/>
              <w:rPr>
                <w:rFonts w:ascii="宋体" w:hAnsi="宋体" w:eastAsia="宋体" w:cs="宋体"/>
                <w:sz w:val="24"/>
                <w:szCs w:val="24"/>
              </w:rPr>
            </w:pP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分</w:t>
            </w:r>
          </w:p>
        </w:tc>
        <w:tc>
          <w:tcPr>
            <w:tcW w:w="4600" w:type="dxa"/>
            <w:vAlign w:val="center"/>
          </w:tcPr>
          <w:p>
            <w:pPr>
              <w:pStyle w:val="2"/>
              <w:jc w:val="left"/>
              <w:rPr>
                <w:rFonts w:ascii="宋体" w:hAnsi="宋体" w:eastAsia="宋体" w:cs="宋体"/>
                <w:sz w:val="24"/>
                <w:szCs w:val="24"/>
              </w:rPr>
            </w:pPr>
            <w:r>
              <w:rPr>
                <w:rFonts w:hint="eastAsia" w:ascii="宋体" w:hAnsi="宋体" w:eastAsia="宋体" w:cs="宋体"/>
                <w:sz w:val="24"/>
                <w:szCs w:val="24"/>
              </w:rPr>
              <w:t>供应商2018年1月1日</w:t>
            </w:r>
            <w:r>
              <w:rPr>
                <w:rFonts w:hint="eastAsia" w:ascii="宋体" w:hAnsi="宋体" w:cs="宋体"/>
                <w:sz w:val="24"/>
                <w:szCs w:val="24"/>
                <w:lang w:eastAsia="zh-CN"/>
              </w:rPr>
              <w:t>以来</w:t>
            </w:r>
            <w:r>
              <w:rPr>
                <w:rFonts w:hint="eastAsia" w:ascii="宋体" w:hAnsi="宋体" w:eastAsia="宋体" w:cs="宋体"/>
                <w:sz w:val="24"/>
                <w:szCs w:val="24"/>
              </w:rPr>
              <w:t>每具有一个类似业绩的得3分。此项最多得</w:t>
            </w:r>
            <w:r>
              <w:rPr>
                <w:rFonts w:hint="eastAsia" w:ascii="宋体" w:hAnsi="宋体" w:eastAsia="宋体" w:cs="宋体"/>
                <w:sz w:val="24"/>
                <w:szCs w:val="24"/>
                <w:lang w:val="en-US" w:eastAsia="zh-CN"/>
              </w:rPr>
              <w:t>9</w:t>
            </w:r>
            <w:r>
              <w:rPr>
                <w:rFonts w:hint="eastAsia" w:ascii="宋体" w:hAnsi="宋体" w:eastAsia="宋体" w:cs="宋体"/>
                <w:sz w:val="24"/>
                <w:szCs w:val="24"/>
              </w:rPr>
              <w:t>分。提供合同或中标通知书复印件盖供应商单位公章，否则不得分。</w:t>
            </w:r>
          </w:p>
        </w:tc>
        <w:tc>
          <w:tcPr>
            <w:tcW w:w="916" w:type="dxa"/>
            <w:vAlign w:val="center"/>
          </w:tcPr>
          <w:p>
            <w:pPr>
              <w:pStyle w:val="2"/>
              <w:jc w:val="center"/>
              <w:rPr>
                <w:rFonts w:ascii="宋体" w:hAnsi="宋体" w:eastAsia="宋体" w:cs="宋体"/>
                <w:sz w:val="24"/>
                <w:szCs w:val="24"/>
              </w:rPr>
            </w:pPr>
            <w:r>
              <w:rPr>
                <w:rFonts w:hint="eastAsia" w:ascii="宋体" w:hAnsi="宋体" w:cs="宋体"/>
                <w:sz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pStyle w:val="2"/>
              <w:jc w:val="center"/>
              <w:rPr>
                <w:rFonts w:ascii="宋体" w:hAnsi="宋体" w:eastAsia="宋体" w:cs="宋体"/>
                <w:sz w:val="24"/>
                <w:szCs w:val="24"/>
              </w:rPr>
            </w:pPr>
            <w:r>
              <w:rPr>
                <w:rFonts w:hint="eastAsia" w:ascii="宋体" w:hAnsi="宋体" w:eastAsia="宋体" w:cs="宋体"/>
                <w:sz w:val="24"/>
                <w:szCs w:val="24"/>
              </w:rPr>
              <w:t>7</w:t>
            </w:r>
          </w:p>
        </w:tc>
        <w:tc>
          <w:tcPr>
            <w:tcW w:w="1202" w:type="dxa"/>
            <w:vAlign w:val="center"/>
          </w:tcPr>
          <w:p>
            <w:pPr>
              <w:pStyle w:val="2"/>
              <w:jc w:val="center"/>
              <w:rPr>
                <w:rFonts w:ascii="宋体" w:hAnsi="宋体" w:eastAsia="宋体" w:cs="宋体"/>
                <w:sz w:val="24"/>
                <w:szCs w:val="24"/>
              </w:rPr>
            </w:pPr>
            <w:r>
              <w:rPr>
                <w:rFonts w:hint="eastAsia" w:ascii="宋体" w:hAnsi="宋体" w:eastAsia="宋体" w:cs="宋体"/>
                <w:sz w:val="24"/>
                <w:szCs w:val="24"/>
              </w:rPr>
              <w:t>企业信誉3%</w:t>
            </w:r>
          </w:p>
        </w:tc>
        <w:tc>
          <w:tcPr>
            <w:tcW w:w="875" w:type="dxa"/>
            <w:vAlign w:val="center"/>
          </w:tcPr>
          <w:p>
            <w:pPr>
              <w:pStyle w:val="2"/>
              <w:jc w:val="center"/>
              <w:rPr>
                <w:rFonts w:ascii="宋体" w:hAnsi="宋体" w:eastAsia="宋体" w:cs="宋体"/>
                <w:sz w:val="24"/>
                <w:szCs w:val="24"/>
              </w:rPr>
            </w:pPr>
            <w:r>
              <w:rPr>
                <w:rFonts w:hint="eastAsia" w:ascii="宋体" w:hAnsi="宋体" w:eastAsia="宋体" w:cs="宋体"/>
                <w:sz w:val="24"/>
                <w:szCs w:val="24"/>
              </w:rPr>
              <w:t>3分</w:t>
            </w:r>
          </w:p>
        </w:tc>
        <w:tc>
          <w:tcPr>
            <w:tcW w:w="4600" w:type="dxa"/>
          </w:tcPr>
          <w:p>
            <w:pPr>
              <w:pStyle w:val="2"/>
              <w:numPr>
                <w:ilvl w:val="0"/>
                <w:numId w:val="8"/>
              </w:numPr>
              <w:jc w:val="left"/>
              <w:rPr>
                <w:rFonts w:ascii="宋体" w:hAnsi="宋体" w:eastAsia="宋体" w:cs="宋体"/>
                <w:sz w:val="24"/>
                <w:szCs w:val="24"/>
              </w:rPr>
            </w:pPr>
            <w:r>
              <w:rPr>
                <w:rFonts w:hint="eastAsia" w:ascii="宋体" w:hAnsi="宋体" w:eastAsia="宋体" w:cs="宋体"/>
                <w:sz w:val="24"/>
                <w:szCs w:val="24"/>
              </w:rPr>
              <w:t>供应商具有有效的“质量管理体系认证证书”得 1 分，不提供不得分；</w:t>
            </w:r>
          </w:p>
          <w:p>
            <w:pPr>
              <w:pStyle w:val="2"/>
              <w:numPr>
                <w:ilvl w:val="0"/>
                <w:numId w:val="8"/>
              </w:numPr>
              <w:jc w:val="left"/>
              <w:rPr>
                <w:rFonts w:ascii="宋体" w:hAnsi="宋体" w:eastAsia="宋体" w:cs="宋体"/>
                <w:sz w:val="24"/>
                <w:szCs w:val="24"/>
              </w:rPr>
            </w:pPr>
            <w:r>
              <w:rPr>
                <w:rFonts w:hint="eastAsia" w:ascii="宋体" w:hAnsi="宋体" w:eastAsia="宋体" w:cs="宋体"/>
                <w:sz w:val="24"/>
                <w:szCs w:val="24"/>
              </w:rPr>
              <w:t>供应商具有有效的“环境管理体系认证证书”得 1 分，不提供不得分；</w:t>
            </w:r>
          </w:p>
          <w:p>
            <w:pPr>
              <w:pStyle w:val="2"/>
              <w:numPr>
                <w:ilvl w:val="0"/>
                <w:numId w:val="8"/>
              </w:numPr>
              <w:jc w:val="left"/>
              <w:rPr>
                <w:rFonts w:ascii="宋体" w:hAnsi="宋体" w:eastAsia="宋体" w:cs="宋体"/>
                <w:sz w:val="24"/>
                <w:szCs w:val="24"/>
              </w:rPr>
            </w:pPr>
            <w:r>
              <w:rPr>
                <w:rFonts w:hint="eastAsia" w:ascii="宋体" w:hAnsi="宋体" w:eastAsia="宋体" w:cs="宋体"/>
                <w:sz w:val="24"/>
                <w:szCs w:val="24"/>
              </w:rPr>
              <w:t>供应商具有有效的“职业健康安全管理体系认证证书”的得 1 分，不提供不得分；</w:t>
            </w:r>
          </w:p>
          <w:p>
            <w:pPr>
              <w:pStyle w:val="2"/>
              <w:jc w:val="left"/>
              <w:rPr>
                <w:rFonts w:ascii="宋体" w:hAnsi="宋体" w:eastAsia="宋体" w:cs="宋体"/>
                <w:sz w:val="24"/>
                <w:szCs w:val="24"/>
              </w:rPr>
            </w:pPr>
            <w:r>
              <w:rPr>
                <w:rFonts w:hint="eastAsia" w:ascii="宋体" w:hAnsi="宋体" w:eastAsia="宋体" w:cs="宋体"/>
                <w:sz w:val="24"/>
                <w:szCs w:val="24"/>
              </w:rPr>
              <w:t>注：提供证书复印件盖供应商单位公章，否则不得分。</w:t>
            </w:r>
          </w:p>
        </w:tc>
        <w:tc>
          <w:tcPr>
            <w:tcW w:w="916" w:type="dxa"/>
            <w:vAlign w:val="center"/>
          </w:tcPr>
          <w:p>
            <w:pPr>
              <w:pStyle w:val="2"/>
              <w:jc w:val="center"/>
              <w:rPr>
                <w:rFonts w:ascii="宋体" w:hAnsi="宋体" w:eastAsia="宋体" w:cs="宋体"/>
                <w:sz w:val="24"/>
                <w:szCs w:val="24"/>
              </w:rPr>
            </w:pPr>
            <w:r>
              <w:rPr>
                <w:rFonts w:hint="eastAsia" w:ascii="宋体" w:hAnsi="宋体" w:cs="宋体"/>
                <w:sz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pStyle w:val="2"/>
              <w:jc w:val="center"/>
              <w:rPr>
                <w:rFonts w:ascii="宋体" w:hAnsi="宋体" w:eastAsia="宋体" w:cs="宋体"/>
                <w:sz w:val="24"/>
                <w:szCs w:val="24"/>
              </w:rPr>
            </w:pPr>
            <w:r>
              <w:rPr>
                <w:rFonts w:hint="eastAsia" w:ascii="宋体" w:hAnsi="宋体" w:eastAsia="宋体" w:cs="宋体"/>
                <w:sz w:val="24"/>
                <w:szCs w:val="24"/>
              </w:rPr>
              <w:t>8</w:t>
            </w:r>
          </w:p>
        </w:tc>
        <w:tc>
          <w:tcPr>
            <w:tcW w:w="1202" w:type="dxa"/>
            <w:vAlign w:val="center"/>
          </w:tcPr>
          <w:p>
            <w:pPr>
              <w:pStyle w:val="2"/>
              <w:jc w:val="center"/>
              <w:rPr>
                <w:rFonts w:ascii="宋体" w:hAnsi="宋体" w:eastAsia="宋体" w:cs="宋体"/>
                <w:sz w:val="24"/>
                <w:szCs w:val="24"/>
              </w:rPr>
            </w:pPr>
            <w:r>
              <w:rPr>
                <w:rFonts w:hint="eastAsia" w:ascii="宋体" w:hAnsi="宋体" w:eastAsia="宋体" w:cs="宋体"/>
                <w:sz w:val="24"/>
                <w:szCs w:val="24"/>
              </w:rPr>
              <w:t>少数民族地区或者不发达地区政策响应1%</w:t>
            </w:r>
          </w:p>
        </w:tc>
        <w:tc>
          <w:tcPr>
            <w:tcW w:w="875" w:type="dxa"/>
            <w:vAlign w:val="center"/>
          </w:tcPr>
          <w:p>
            <w:pPr>
              <w:pStyle w:val="2"/>
              <w:jc w:val="center"/>
              <w:rPr>
                <w:rFonts w:ascii="宋体" w:hAnsi="宋体" w:eastAsia="宋体" w:cs="宋体"/>
                <w:sz w:val="24"/>
                <w:szCs w:val="24"/>
              </w:rPr>
            </w:pPr>
            <w:r>
              <w:rPr>
                <w:rFonts w:hint="eastAsia" w:ascii="宋体" w:hAnsi="宋体" w:eastAsia="宋体" w:cs="宋体"/>
                <w:sz w:val="24"/>
                <w:szCs w:val="24"/>
              </w:rPr>
              <w:t>1分</w:t>
            </w:r>
          </w:p>
        </w:tc>
        <w:tc>
          <w:tcPr>
            <w:tcW w:w="4600" w:type="dxa"/>
            <w:vAlign w:val="center"/>
          </w:tcPr>
          <w:p>
            <w:pPr>
              <w:pStyle w:val="2"/>
              <w:jc w:val="left"/>
              <w:rPr>
                <w:rFonts w:ascii="宋体" w:hAnsi="宋体" w:eastAsia="宋体" w:cs="宋体"/>
                <w:sz w:val="24"/>
                <w:szCs w:val="24"/>
              </w:rPr>
            </w:pPr>
            <w:r>
              <w:rPr>
                <w:rFonts w:hint="eastAsia" w:ascii="宋体" w:hAnsi="宋体" w:eastAsia="宋体" w:cs="宋体"/>
                <w:sz w:val="24"/>
                <w:szCs w:val="24"/>
              </w:rPr>
              <w:t>供应商注册地在少数民族地区或者不发达地区的得1分；（指供应商注册地在民族自治州、自治县、自治乡的中小建筑企业，提供营业执照复印件。）</w:t>
            </w:r>
          </w:p>
        </w:tc>
        <w:tc>
          <w:tcPr>
            <w:tcW w:w="916" w:type="dxa"/>
            <w:vAlign w:val="center"/>
          </w:tcPr>
          <w:p>
            <w:pPr>
              <w:pStyle w:val="2"/>
              <w:jc w:val="center"/>
              <w:rPr>
                <w:rFonts w:ascii="宋体" w:hAnsi="宋体" w:eastAsia="宋体" w:cs="宋体"/>
                <w:sz w:val="24"/>
                <w:szCs w:val="24"/>
              </w:rPr>
            </w:pPr>
            <w:r>
              <w:rPr>
                <w:rFonts w:hint="eastAsia" w:ascii="宋体" w:hAnsi="宋体" w:cs="宋体"/>
                <w:sz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pStyle w:val="2"/>
              <w:jc w:val="center"/>
              <w:rPr>
                <w:rFonts w:ascii="宋体" w:hAnsi="宋体" w:eastAsia="宋体" w:cs="宋体"/>
                <w:sz w:val="24"/>
                <w:szCs w:val="24"/>
              </w:rPr>
            </w:pPr>
            <w:r>
              <w:rPr>
                <w:rFonts w:hint="eastAsia" w:ascii="宋体" w:hAnsi="宋体" w:eastAsia="宋体" w:cs="宋体"/>
                <w:sz w:val="24"/>
                <w:szCs w:val="24"/>
              </w:rPr>
              <w:t>9</w:t>
            </w:r>
          </w:p>
        </w:tc>
        <w:tc>
          <w:tcPr>
            <w:tcW w:w="1202" w:type="dxa"/>
            <w:vAlign w:val="center"/>
          </w:tcPr>
          <w:p>
            <w:pPr>
              <w:pStyle w:val="2"/>
              <w:jc w:val="center"/>
              <w:rPr>
                <w:rFonts w:ascii="宋体" w:hAnsi="宋体" w:eastAsia="宋体" w:cs="宋体"/>
                <w:sz w:val="24"/>
                <w:szCs w:val="24"/>
              </w:rPr>
            </w:pPr>
            <w:r>
              <w:rPr>
                <w:rFonts w:hint="eastAsia" w:ascii="宋体" w:hAnsi="宋体" w:cs="宋体"/>
                <w:sz w:val="24"/>
                <w:szCs w:val="24"/>
                <w:lang w:val="en-US" w:eastAsia="zh-CN"/>
              </w:rPr>
              <w:t>响应</w:t>
            </w:r>
            <w:r>
              <w:rPr>
                <w:rFonts w:hint="eastAsia" w:ascii="宋体" w:hAnsi="宋体" w:eastAsia="宋体" w:cs="宋体"/>
                <w:sz w:val="24"/>
                <w:szCs w:val="24"/>
              </w:rPr>
              <w:t>文件的规范性2%</w:t>
            </w:r>
          </w:p>
        </w:tc>
        <w:tc>
          <w:tcPr>
            <w:tcW w:w="875" w:type="dxa"/>
            <w:vAlign w:val="center"/>
          </w:tcPr>
          <w:p>
            <w:pPr>
              <w:pStyle w:val="2"/>
              <w:jc w:val="center"/>
              <w:rPr>
                <w:rFonts w:ascii="宋体" w:hAnsi="宋体" w:eastAsia="宋体" w:cs="宋体"/>
                <w:sz w:val="24"/>
                <w:szCs w:val="24"/>
              </w:rPr>
            </w:pPr>
            <w:r>
              <w:rPr>
                <w:rFonts w:hint="eastAsia" w:ascii="宋体" w:hAnsi="宋体" w:eastAsia="宋体" w:cs="宋体"/>
                <w:sz w:val="24"/>
                <w:szCs w:val="24"/>
              </w:rPr>
              <w:t>2分</w:t>
            </w:r>
          </w:p>
        </w:tc>
        <w:tc>
          <w:tcPr>
            <w:tcW w:w="4600" w:type="dxa"/>
          </w:tcPr>
          <w:p>
            <w:pPr>
              <w:pStyle w:val="2"/>
              <w:jc w:val="left"/>
              <w:rPr>
                <w:rFonts w:ascii="宋体" w:hAnsi="宋体" w:eastAsia="宋体" w:cs="宋体"/>
                <w:sz w:val="24"/>
                <w:szCs w:val="24"/>
              </w:rPr>
            </w:pPr>
            <w:r>
              <w:rPr>
                <w:rFonts w:hint="eastAsia" w:ascii="宋体" w:hAnsi="宋体" w:cs="宋体"/>
                <w:sz w:val="24"/>
                <w:szCs w:val="24"/>
                <w:lang w:val="en-US" w:eastAsia="zh-CN"/>
              </w:rPr>
              <w:t>响应</w:t>
            </w:r>
            <w:r>
              <w:rPr>
                <w:rFonts w:hint="eastAsia" w:ascii="宋体" w:hAnsi="宋体" w:eastAsia="宋体" w:cs="宋体"/>
                <w:sz w:val="24"/>
                <w:szCs w:val="24"/>
              </w:rPr>
              <w:t>文件制作规范，没有细微偏差情形的得2分；有一项细微偏差扣1分，直至该项分值扣完为止。</w:t>
            </w:r>
          </w:p>
        </w:tc>
        <w:tc>
          <w:tcPr>
            <w:tcW w:w="916" w:type="dxa"/>
            <w:vAlign w:val="center"/>
          </w:tcPr>
          <w:p>
            <w:pPr>
              <w:pStyle w:val="2"/>
              <w:jc w:val="center"/>
              <w:rPr>
                <w:rFonts w:ascii="宋体" w:hAnsi="宋体" w:eastAsia="宋体" w:cs="宋体"/>
                <w:sz w:val="24"/>
                <w:szCs w:val="24"/>
              </w:rPr>
            </w:pPr>
            <w:r>
              <w:rPr>
                <w:rFonts w:hint="eastAsia" w:ascii="宋体" w:hAnsi="宋体" w:cs="宋体"/>
                <w:sz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pStyle w:val="2"/>
              <w:jc w:val="center"/>
              <w:rPr>
                <w:rFonts w:ascii="宋体" w:hAnsi="宋体" w:eastAsia="宋体" w:cs="宋体"/>
                <w:sz w:val="24"/>
                <w:szCs w:val="24"/>
              </w:rPr>
            </w:pPr>
            <w:r>
              <w:rPr>
                <w:rFonts w:hint="eastAsia" w:ascii="宋体" w:hAnsi="宋体" w:eastAsia="宋体" w:cs="宋体"/>
                <w:sz w:val="24"/>
                <w:szCs w:val="24"/>
              </w:rPr>
              <w:t>10</w:t>
            </w:r>
          </w:p>
        </w:tc>
        <w:tc>
          <w:tcPr>
            <w:tcW w:w="1202" w:type="dxa"/>
            <w:vAlign w:val="center"/>
          </w:tcPr>
          <w:p>
            <w:pPr>
              <w:pStyle w:val="2"/>
              <w:jc w:val="center"/>
              <w:rPr>
                <w:rFonts w:ascii="宋体" w:hAnsi="宋体" w:eastAsia="宋体" w:cs="宋体"/>
                <w:sz w:val="24"/>
                <w:szCs w:val="24"/>
              </w:rPr>
            </w:pPr>
            <w:r>
              <w:rPr>
                <w:rFonts w:hint="eastAsia" w:ascii="宋体" w:hAnsi="宋体" w:eastAsia="宋体" w:cs="宋体"/>
                <w:sz w:val="24"/>
                <w:szCs w:val="24"/>
              </w:rPr>
              <w:t>总分</w:t>
            </w:r>
          </w:p>
        </w:tc>
        <w:tc>
          <w:tcPr>
            <w:tcW w:w="875" w:type="dxa"/>
            <w:vAlign w:val="center"/>
          </w:tcPr>
          <w:p>
            <w:pPr>
              <w:pStyle w:val="2"/>
              <w:jc w:val="center"/>
              <w:rPr>
                <w:rFonts w:ascii="宋体" w:hAnsi="宋体" w:eastAsia="宋体" w:cs="宋体"/>
                <w:sz w:val="24"/>
                <w:szCs w:val="24"/>
              </w:rPr>
            </w:pPr>
            <w:r>
              <w:rPr>
                <w:rFonts w:hint="eastAsia" w:ascii="宋体" w:hAnsi="宋体" w:eastAsia="宋体" w:cs="宋体"/>
                <w:sz w:val="24"/>
                <w:szCs w:val="24"/>
              </w:rPr>
              <w:t>100分</w:t>
            </w:r>
          </w:p>
        </w:tc>
        <w:tc>
          <w:tcPr>
            <w:tcW w:w="4600" w:type="dxa"/>
          </w:tcPr>
          <w:p>
            <w:pPr>
              <w:pStyle w:val="2"/>
              <w:jc w:val="left"/>
              <w:rPr>
                <w:rFonts w:ascii="宋体" w:hAnsi="宋体" w:eastAsia="宋体" w:cs="宋体"/>
                <w:sz w:val="24"/>
                <w:szCs w:val="24"/>
              </w:rPr>
            </w:pPr>
          </w:p>
        </w:tc>
        <w:tc>
          <w:tcPr>
            <w:tcW w:w="916" w:type="dxa"/>
            <w:vAlign w:val="center"/>
          </w:tcPr>
          <w:p>
            <w:pPr>
              <w:pStyle w:val="2"/>
              <w:jc w:val="center"/>
              <w:rPr>
                <w:rFonts w:ascii="宋体" w:hAnsi="宋体" w:eastAsia="宋体" w:cs="宋体"/>
                <w:sz w:val="24"/>
                <w:szCs w:val="24"/>
              </w:rPr>
            </w:pPr>
          </w:p>
        </w:tc>
      </w:tr>
    </w:tbl>
    <w:p>
      <w:pPr>
        <w:keepNext w:val="0"/>
        <w:keepLines w:val="0"/>
        <w:pageBreakBefore w:val="0"/>
        <w:widowControl w:val="0"/>
        <w:tabs>
          <w:tab w:val="left" w:pos="851"/>
        </w:tabs>
        <w:kinsoku/>
        <w:wordWrap/>
        <w:overflowPunct/>
        <w:topLinePunct w:val="0"/>
        <w:autoSpaceDE/>
        <w:autoSpaceDN/>
        <w:bidi w:val="0"/>
        <w:adjustRightInd/>
        <w:snapToGrid/>
        <w:spacing w:line="360" w:lineRule="auto"/>
        <w:ind w:right="0" w:rightChars="0" w:firstLine="482" w:firstLineChars="200"/>
        <w:textAlignment w:val="auto"/>
        <w:outlineLvl w:val="9"/>
        <w:rPr>
          <w:rFonts w:hint="eastAsia" w:ascii="宋体" w:hAnsi="宋体" w:eastAsia="宋体" w:cs="宋体"/>
          <w:b/>
          <w:color w:val="auto"/>
          <w:sz w:val="24"/>
          <w:highlight w:val="none"/>
        </w:rPr>
      </w:pP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right="0" w:rightChars="0" w:firstLine="482" w:firstLineChars="200"/>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4.磋商纪律及注意事项</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4.1磋商小组内部讨论的情况和意见必须保密，任何人不得以任何形式透露给供应商或与供应商有关的单位或个人。</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4.2在磋商过程中，供应商不得以任何形式对磋商小组成员进行旨在影响</w:t>
      </w:r>
      <w:r>
        <w:rPr>
          <w:rFonts w:hint="eastAsia" w:ascii="宋体" w:hAnsi="宋体" w:cs="宋体"/>
          <w:color w:val="auto"/>
          <w:sz w:val="24"/>
          <w:highlight w:val="none"/>
          <w:lang w:eastAsia="zh-CN"/>
        </w:rPr>
        <w:t>磋商</w:t>
      </w:r>
      <w:r>
        <w:rPr>
          <w:rFonts w:hint="eastAsia" w:ascii="宋体" w:hAnsi="宋体" w:eastAsia="宋体" w:cs="宋体"/>
          <w:color w:val="auto"/>
          <w:sz w:val="24"/>
          <w:highlight w:val="none"/>
        </w:rPr>
        <w:t>结果的私下接触，否则将取消其参与磋商的资格。</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4.3对各供应商的商业秘密，磋商小组成员应予以保密，不得泄露给其他供应商。</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4.4 磋商小组独立评判，推荐成交候选人，并写出书面报告。</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4.5 磋商小组可根据需要对供应商进行实地考察。</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b/>
          <w:color w:val="auto"/>
          <w:sz w:val="24"/>
          <w:highlight w:val="none"/>
        </w:rPr>
      </w:pPr>
      <w:r>
        <w:rPr>
          <w:rFonts w:hint="eastAsia" w:ascii="宋体" w:hAnsi="宋体" w:eastAsia="宋体" w:cs="宋体"/>
          <w:color w:val="auto"/>
          <w:sz w:val="24"/>
          <w:highlight w:val="none"/>
        </w:rPr>
        <w:t>5.</w:t>
      </w:r>
      <w:bookmarkEnd w:id="317"/>
      <w:r>
        <w:rPr>
          <w:rFonts w:hint="eastAsia" w:ascii="宋体" w:hAnsi="宋体" w:eastAsia="宋体" w:cs="宋体"/>
          <w:b/>
          <w:color w:val="auto"/>
          <w:sz w:val="24"/>
          <w:highlight w:val="none"/>
        </w:rPr>
        <w:t>磋商小组在政府采购活动中承担以下义务：</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（一）遵守评审工作纪律；</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（二）按照客观、公正、审慎的原则，根据磋商文件规定的评审程序、评审方法和评审标准进行独立评审；</w:t>
      </w:r>
    </w:p>
    <w:p>
      <w:pPr>
        <w:keepNext w:val="0"/>
        <w:keepLines w:val="0"/>
        <w:pageBreakBefore w:val="0"/>
        <w:widowControl w:val="0"/>
        <w:tabs>
          <w:tab w:val="left" w:pos="7665"/>
        </w:tabs>
        <w:kinsoku/>
        <w:wordWrap/>
        <w:overflowPunct/>
        <w:topLinePunct w:val="0"/>
        <w:autoSpaceDE/>
        <w:autoSpaceDN/>
        <w:bidi w:val="0"/>
        <w:adjustRightInd/>
        <w:snapToGrid/>
        <w:spacing w:line="336" w:lineRule="auto"/>
        <w:ind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（三）不得泄露评审文件、评审情况和在评审过程中获悉的商业秘密；</w:t>
      </w:r>
    </w:p>
    <w:p>
      <w:pPr>
        <w:keepNext w:val="0"/>
        <w:keepLines w:val="0"/>
        <w:pageBreakBefore w:val="0"/>
        <w:widowControl w:val="0"/>
        <w:tabs>
          <w:tab w:val="left" w:pos="7665"/>
        </w:tabs>
        <w:kinsoku/>
        <w:wordWrap/>
        <w:overflowPunct/>
        <w:topLinePunct w:val="0"/>
        <w:autoSpaceDE/>
        <w:autoSpaceDN/>
        <w:bidi w:val="0"/>
        <w:adjustRightInd/>
        <w:snapToGrid/>
        <w:spacing w:line="336" w:lineRule="auto"/>
        <w:ind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（四）及时向财政部门报告评审过程中发现的采购人、采购代理机构向评审专家做倾向性、误导性的解释或者说明，以及供应商行贿、提供虚假材料或者串通等违法行为；</w:t>
      </w:r>
    </w:p>
    <w:p>
      <w:pPr>
        <w:keepNext w:val="0"/>
        <w:keepLines w:val="0"/>
        <w:pageBreakBefore w:val="0"/>
        <w:widowControl w:val="0"/>
        <w:tabs>
          <w:tab w:val="left" w:pos="7665"/>
        </w:tabs>
        <w:kinsoku/>
        <w:wordWrap/>
        <w:overflowPunct/>
        <w:topLinePunct w:val="0"/>
        <w:autoSpaceDE/>
        <w:autoSpaceDN/>
        <w:bidi w:val="0"/>
        <w:adjustRightInd/>
        <w:snapToGrid/>
        <w:spacing w:line="336" w:lineRule="auto"/>
        <w:ind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（五）发现磋商文件内容违反国家有关强制性规定或者磋商文件存在歧义、重大缺陷导致评审工作无法进行时，停止评审并向采购人或者采购代理机构书面说明情况；</w:t>
      </w:r>
    </w:p>
    <w:p>
      <w:pPr>
        <w:keepNext w:val="0"/>
        <w:keepLines w:val="0"/>
        <w:pageBreakBefore w:val="0"/>
        <w:widowControl w:val="0"/>
        <w:tabs>
          <w:tab w:val="left" w:pos="7665"/>
        </w:tabs>
        <w:kinsoku/>
        <w:wordWrap/>
        <w:overflowPunct/>
        <w:topLinePunct w:val="0"/>
        <w:autoSpaceDE/>
        <w:autoSpaceDN/>
        <w:bidi w:val="0"/>
        <w:adjustRightInd/>
        <w:snapToGrid/>
        <w:spacing w:line="336" w:lineRule="auto"/>
        <w:ind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（六）及时向财政、监察等部门举报在评审过程中受到非法干预的情况；</w:t>
      </w:r>
    </w:p>
    <w:p>
      <w:pPr>
        <w:keepNext w:val="0"/>
        <w:keepLines w:val="0"/>
        <w:pageBreakBefore w:val="0"/>
        <w:widowControl w:val="0"/>
        <w:tabs>
          <w:tab w:val="left" w:pos="7665"/>
        </w:tabs>
        <w:kinsoku/>
        <w:wordWrap/>
        <w:overflowPunct/>
        <w:topLinePunct w:val="0"/>
        <w:autoSpaceDE/>
        <w:autoSpaceDN/>
        <w:bidi w:val="0"/>
        <w:adjustRightInd/>
        <w:snapToGrid/>
        <w:spacing w:line="336" w:lineRule="auto"/>
        <w:ind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（七）配合答复处理供应商的询问、质疑和投诉等事项；</w:t>
      </w:r>
    </w:p>
    <w:p>
      <w:pPr>
        <w:keepNext w:val="0"/>
        <w:keepLines w:val="0"/>
        <w:pageBreakBefore w:val="0"/>
        <w:widowControl w:val="0"/>
        <w:tabs>
          <w:tab w:val="left" w:pos="7665"/>
        </w:tabs>
        <w:kinsoku/>
        <w:wordWrap/>
        <w:overflowPunct/>
        <w:topLinePunct w:val="0"/>
        <w:autoSpaceDE/>
        <w:autoSpaceDN/>
        <w:bidi w:val="0"/>
        <w:adjustRightInd/>
        <w:snapToGrid/>
        <w:spacing w:line="336" w:lineRule="auto"/>
        <w:ind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（八）法律、法规和规章规定的其他义务。</w:t>
      </w:r>
    </w:p>
    <w:p>
      <w:pPr>
        <w:keepNext w:val="0"/>
        <w:keepLines w:val="0"/>
        <w:pageBreakBefore w:val="0"/>
        <w:widowControl w:val="0"/>
        <w:tabs>
          <w:tab w:val="left" w:pos="7665"/>
        </w:tabs>
        <w:kinsoku/>
        <w:wordWrap/>
        <w:overflowPunct/>
        <w:topLinePunct w:val="0"/>
        <w:autoSpaceDE/>
        <w:autoSpaceDN/>
        <w:bidi w:val="0"/>
        <w:adjustRightInd/>
        <w:snapToGrid/>
        <w:spacing w:line="336" w:lineRule="auto"/>
        <w:ind w:right="0" w:rightChars="0" w:firstLine="482" w:firstLineChars="200"/>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6.评审专家在政府采购活动中应当遵守以下工作纪律：</w:t>
      </w:r>
    </w:p>
    <w:p>
      <w:pPr>
        <w:keepNext w:val="0"/>
        <w:keepLines w:val="0"/>
        <w:pageBreakBefore w:val="0"/>
        <w:widowControl w:val="0"/>
        <w:tabs>
          <w:tab w:val="left" w:pos="7665"/>
        </w:tabs>
        <w:kinsoku/>
        <w:wordWrap/>
        <w:overflowPunct/>
        <w:topLinePunct w:val="0"/>
        <w:autoSpaceDE/>
        <w:autoSpaceDN/>
        <w:bidi w:val="0"/>
        <w:adjustRightInd/>
        <w:snapToGrid/>
        <w:spacing w:line="336" w:lineRule="auto"/>
        <w:ind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（一）不得参加与自己有《中华人民共和国政府采购法实施条例》第九条规定的利害关系的政府采购项目的评标活动。发现参加了与自己有利害关系的评审活动，须主动提出回避，退出评审；</w:t>
      </w:r>
    </w:p>
    <w:p>
      <w:pPr>
        <w:keepNext w:val="0"/>
        <w:keepLines w:val="0"/>
        <w:pageBreakBefore w:val="0"/>
        <w:widowControl w:val="0"/>
        <w:tabs>
          <w:tab w:val="left" w:pos="7665"/>
        </w:tabs>
        <w:kinsoku/>
        <w:wordWrap/>
        <w:overflowPunct/>
        <w:topLinePunct w:val="0"/>
        <w:autoSpaceDE/>
        <w:autoSpaceDN/>
        <w:bidi w:val="0"/>
        <w:adjustRightInd/>
        <w:snapToGrid/>
        <w:spacing w:line="336" w:lineRule="auto"/>
        <w:ind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（二）评审前，应当将通讯工具或者相关电子设备交由采购代理机构统一保管；</w:t>
      </w:r>
    </w:p>
    <w:p>
      <w:pPr>
        <w:keepNext w:val="0"/>
        <w:keepLines w:val="0"/>
        <w:pageBreakBefore w:val="0"/>
        <w:widowControl w:val="0"/>
        <w:tabs>
          <w:tab w:val="left" w:pos="7665"/>
        </w:tabs>
        <w:kinsoku/>
        <w:wordWrap/>
        <w:overflowPunct/>
        <w:topLinePunct w:val="0"/>
        <w:autoSpaceDE/>
        <w:autoSpaceDN/>
        <w:bidi w:val="0"/>
        <w:adjustRightInd/>
        <w:snapToGrid/>
        <w:spacing w:line="336" w:lineRule="auto"/>
        <w:ind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（三）评审过程中，不得与外界联系，因发生不可预见情况，确实需要与外界联系的，应当在监督人员监督之下办理；</w:t>
      </w:r>
    </w:p>
    <w:p>
      <w:pPr>
        <w:keepNext w:val="0"/>
        <w:keepLines w:val="0"/>
        <w:pageBreakBefore w:val="0"/>
        <w:widowControl w:val="0"/>
        <w:tabs>
          <w:tab w:val="left" w:pos="7665"/>
        </w:tabs>
        <w:kinsoku/>
        <w:wordWrap/>
        <w:overflowPunct/>
        <w:topLinePunct w:val="0"/>
        <w:autoSpaceDE/>
        <w:autoSpaceDN/>
        <w:bidi w:val="0"/>
        <w:adjustRightInd/>
        <w:snapToGrid/>
        <w:spacing w:line="336" w:lineRule="auto"/>
        <w:ind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keepNext w:val="0"/>
        <w:keepLines w:val="0"/>
        <w:pageBreakBefore w:val="0"/>
        <w:widowControl w:val="0"/>
        <w:tabs>
          <w:tab w:val="left" w:pos="7665"/>
        </w:tabs>
        <w:kinsoku/>
        <w:wordWrap/>
        <w:overflowPunct/>
        <w:topLinePunct w:val="0"/>
        <w:autoSpaceDE/>
        <w:autoSpaceDN/>
        <w:bidi w:val="0"/>
        <w:adjustRightInd/>
        <w:snapToGrid/>
        <w:spacing w:line="336" w:lineRule="auto"/>
        <w:ind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（五）在评审过程中和评审结束后，不得记录、复制或带走任何评审资料，不得向外界透露评审内容；</w:t>
      </w:r>
    </w:p>
    <w:p>
      <w:pPr>
        <w:keepNext w:val="0"/>
        <w:keepLines w:val="0"/>
        <w:pageBreakBefore w:val="0"/>
        <w:widowControl w:val="0"/>
        <w:tabs>
          <w:tab w:val="left" w:pos="7665"/>
        </w:tabs>
        <w:kinsoku/>
        <w:wordWrap/>
        <w:overflowPunct/>
        <w:topLinePunct w:val="0"/>
        <w:autoSpaceDE/>
        <w:autoSpaceDN/>
        <w:bidi w:val="0"/>
        <w:adjustRightInd/>
        <w:snapToGrid/>
        <w:spacing w:line="336" w:lineRule="auto"/>
        <w:ind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（六）评审现场服从采购代理机构工作人员的管理，接受现场监督人员的合法监督；</w:t>
      </w:r>
    </w:p>
    <w:p>
      <w:pPr>
        <w:keepNext w:val="0"/>
        <w:keepLines w:val="0"/>
        <w:pageBreakBefore w:val="0"/>
        <w:widowControl w:val="0"/>
        <w:tabs>
          <w:tab w:val="left" w:pos="7665"/>
        </w:tabs>
        <w:kinsoku/>
        <w:wordWrap/>
        <w:overflowPunct/>
        <w:topLinePunct w:val="0"/>
        <w:autoSpaceDE/>
        <w:autoSpaceDN/>
        <w:bidi w:val="0"/>
        <w:adjustRightInd/>
        <w:snapToGrid/>
        <w:spacing w:line="336" w:lineRule="auto"/>
        <w:ind w:right="0" w:rightChars="0" w:firstLine="48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sz w:val="24"/>
          <w:highlight w:val="none"/>
        </w:rPr>
        <w:t>（七）遵守有关廉洁自律规定，不得私下接触供应商，不得收受供应商及有关业务单位和个人的财物或好处，不得接受采购代理机构的请托。</w:t>
      </w:r>
    </w:p>
    <w:p>
      <w:pPr>
        <w:rPr>
          <w:rFonts w:hint="eastAsia" w:ascii="宋体" w:hAnsi="宋体" w:eastAsia="宋体" w:cs="宋体"/>
          <w:color w:val="auto"/>
          <w:highlight w:val="none"/>
        </w:rPr>
      </w:pPr>
      <w:bookmarkStart w:id="318" w:name="_Toc349810624"/>
      <w:bookmarkStart w:id="319" w:name="_Toc350864527"/>
      <w:r>
        <w:rPr>
          <w:rFonts w:hint="eastAsia" w:ascii="宋体" w:hAnsi="宋体" w:eastAsia="宋体" w:cs="宋体"/>
          <w:color w:val="auto"/>
          <w:highlight w:val="none"/>
          <w:lang w:val="en-US" w:eastAsia="zh-CN"/>
        </w:rPr>
        <w:br w:type="page"/>
      </w:r>
    </w:p>
    <w:p>
      <w:pPr>
        <w:pStyle w:val="3"/>
        <w:keepNext/>
        <w:keepLines/>
        <w:pageBreakBefore w:val="0"/>
        <w:widowControl w:val="0"/>
        <w:numPr>
          <w:ilvl w:val="0"/>
          <w:numId w:val="9"/>
        </w:numPr>
        <w:kinsoku/>
        <w:wordWrap/>
        <w:overflowPunct/>
        <w:topLinePunct w:val="0"/>
        <w:autoSpaceDE/>
        <w:autoSpaceDN/>
        <w:bidi w:val="0"/>
        <w:adjustRightInd/>
        <w:snapToGrid/>
        <w:spacing w:line="579"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bookmarkStart w:id="320" w:name="_Toc24740"/>
      <w:r>
        <w:rPr>
          <w:rFonts w:hint="eastAsia" w:ascii="宋体" w:hAnsi="宋体" w:eastAsia="宋体" w:cs="宋体"/>
          <w:color w:val="auto"/>
          <w:highlight w:val="none"/>
        </w:rPr>
        <w:t>政府采购合同（草案</w:t>
      </w:r>
      <w:r>
        <w:rPr>
          <w:rFonts w:hint="eastAsia" w:ascii="宋体" w:hAnsi="宋体" w:eastAsia="宋体" w:cs="宋体"/>
          <w:color w:val="auto"/>
          <w:highlight w:val="none"/>
          <w:lang w:eastAsia="zh-CN"/>
        </w:rPr>
        <w:t>、仅供参考</w:t>
      </w:r>
      <w:r>
        <w:rPr>
          <w:rFonts w:hint="eastAsia" w:ascii="宋体" w:hAnsi="宋体" w:eastAsia="宋体" w:cs="宋体"/>
          <w:color w:val="auto"/>
          <w:highlight w:val="none"/>
        </w:rPr>
        <w:t>）</w:t>
      </w:r>
      <w:bookmarkEnd w:id="100"/>
      <w:bookmarkEnd w:id="101"/>
      <w:bookmarkEnd w:id="102"/>
      <w:bookmarkEnd w:id="318"/>
      <w:bookmarkEnd w:id="319"/>
      <w:bookmarkEnd w:id="320"/>
    </w:p>
    <w:p>
      <w:pPr>
        <w:pStyle w:val="31"/>
        <w:spacing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合同编号：                                     </w:t>
      </w:r>
    </w:p>
    <w:p>
      <w:pP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签订地点：  。</w:t>
      </w:r>
    </w:p>
    <w:p>
      <w:pP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签订时间：  年  月  日。</w:t>
      </w:r>
    </w:p>
    <w:p>
      <w:pP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业主单位（甲方）：</w:t>
      </w:r>
    </w:p>
    <w:p>
      <w:pP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供应商（乙方）：</w:t>
      </w:r>
    </w:p>
    <w:p>
      <w:pPr>
        <w:spacing w:line="336" w:lineRule="auto"/>
        <w:ind w:firstLine="480" w:firstLineChars="200"/>
        <w:rPr>
          <w:rFonts w:hint="eastAsia" w:ascii="宋体" w:hAnsi="宋体" w:eastAsia="宋体" w:cs="宋体"/>
          <w:color w:val="auto"/>
          <w:sz w:val="24"/>
          <w:highlight w:val="none"/>
        </w:rPr>
      </w:pPr>
    </w:p>
    <w:p>
      <w:pPr>
        <w:pStyle w:val="2"/>
        <w:rPr>
          <w:rFonts w:hint="eastAsia" w:ascii="宋体" w:hAnsi="宋体" w:eastAsia="宋体" w:cs="宋体"/>
          <w:color w:val="auto"/>
          <w:highlight w:val="none"/>
        </w:rPr>
      </w:pPr>
    </w:p>
    <w:p>
      <w:pP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甲、乙双方同意签订本合同。详细技术说明及其他有关合同项目的特定信息由合同附件予以说明，合同附件及本项目的《</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通知书》等均为本合同的组成部分。</w:t>
      </w:r>
    </w:p>
    <w:p>
      <w:pPr>
        <w:numPr>
          <w:ilvl w:val="0"/>
          <w:numId w:val="10"/>
        </w:numPr>
        <w:spacing w:line="336" w:lineRule="auto"/>
        <w:rPr>
          <w:rFonts w:hint="eastAsia" w:ascii="宋体" w:hAnsi="宋体" w:eastAsia="宋体" w:cs="宋体"/>
          <w:b/>
          <w:bCs/>
          <w:color w:val="auto"/>
          <w:sz w:val="24"/>
          <w:highlight w:val="none"/>
        </w:rPr>
      </w:pPr>
      <w:bookmarkStart w:id="321" w:name="_Toc7129"/>
      <w:bookmarkStart w:id="322" w:name="_Toc12860"/>
      <w:r>
        <w:rPr>
          <w:rFonts w:hint="eastAsia" w:ascii="宋体" w:hAnsi="宋体" w:eastAsia="宋体" w:cs="宋体"/>
          <w:b/>
          <w:bCs/>
          <w:color w:val="auto"/>
          <w:sz w:val="24"/>
          <w:highlight w:val="none"/>
        </w:rPr>
        <w:t>项目基本情况</w:t>
      </w:r>
      <w:bookmarkEnd w:id="321"/>
      <w:bookmarkEnd w:id="322"/>
    </w:p>
    <w:p>
      <w:pPr>
        <w:spacing w:line="336" w:lineRule="auto"/>
        <w:ind w:firstLine="630"/>
        <w:rPr>
          <w:rFonts w:hint="eastAsia" w:ascii="宋体" w:hAnsi="宋体" w:eastAsia="宋体" w:cs="宋体"/>
          <w:b/>
          <w:bCs/>
          <w:color w:val="auto"/>
          <w:sz w:val="24"/>
          <w:highlight w:val="none"/>
        </w:rPr>
      </w:pPr>
    </w:p>
    <w:p>
      <w:pPr>
        <w:numPr>
          <w:ilvl w:val="0"/>
          <w:numId w:val="10"/>
        </w:numPr>
        <w:spacing w:line="336" w:lineRule="auto"/>
        <w:rPr>
          <w:rFonts w:hint="eastAsia" w:ascii="宋体" w:hAnsi="宋体" w:eastAsia="宋体" w:cs="宋体"/>
          <w:b/>
          <w:bCs/>
          <w:color w:val="auto"/>
          <w:sz w:val="24"/>
          <w:highlight w:val="none"/>
        </w:rPr>
      </w:pPr>
      <w:bookmarkStart w:id="323" w:name="_Toc152"/>
      <w:bookmarkStart w:id="324" w:name="_Toc2085"/>
      <w:r>
        <w:rPr>
          <w:rFonts w:hint="eastAsia" w:ascii="宋体" w:hAnsi="宋体" w:eastAsia="宋体" w:cs="宋体"/>
          <w:b/>
          <w:bCs/>
          <w:color w:val="auto"/>
          <w:sz w:val="24"/>
          <w:highlight w:val="none"/>
        </w:rPr>
        <w:t>合同期限</w:t>
      </w:r>
      <w:bookmarkEnd w:id="323"/>
      <w:bookmarkEnd w:id="324"/>
    </w:p>
    <w:p>
      <w:pPr>
        <w:spacing w:line="336" w:lineRule="auto"/>
        <w:ind w:firstLine="480" w:firstLineChars="200"/>
        <w:rPr>
          <w:rFonts w:hint="eastAsia" w:ascii="宋体" w:hAnsi="宋体" w:eastAsia="宋体" w:cs="宋体"/>
          <w:color w:val="auto"/>
          <w:sz w:val="24"/>
          <w:highlight w:val="none"/>
        </w:rPr>
      </w:pPr>
    </w:p>
    <w:p>
      <w:pPr>
        <w:numPr>
          <w:ilvl w:val="0"/>
          <w:numId w:val="10"/>
        </w:numPr>
        <w:spacing w:line="336" w:lineRule="auto"/>
        <w:rPr>
          <w:rFonts w:hint="eastAsia" w:ascii="宋体" w:hAnsi="宋体" w:eastAsia="宋体" w:cs="宋体"/>
          <w:b/>
          <w:bCs/>
          <w:color w:val="auto"/>
          <w:sz w:val="24"/>
          <w:highlight w:val="none"/>
        </w:rPr>
      </w:pPr>
      <w:bookmarkStart w:id="325" w:name="_Toc32468"/>
      <w:bookmarkStart w:id="326" w:name="_Toc12511"/>
      <w:bookmarkStart w:id="327" w:name="_Toc225244852"/>
      <w:bookmarkStart w:id="328" w:name="_Toc211854449"/>
      <w:bookmarkStart w:id="329" w:name="_Toc239568418"/>
      <w:bookmarkStart w:id="330" w:name="_Toc185395249"/>
      <w:bookmarkStart w:id="331" w:name="_Toc239233914"/>
      <w:bookmarkStart w:id="332" w:name="_Toc282696226"/>
      <w:bookmarkStart w:id="333" w:name="_Toc247334841"/>
      <w:bookmarkStart w:id="334" w:name="_Toc237145406"/>
      <w:bookmarkStart w:id="335" w:name="_Toc283019214"/>
      <w:bookmarkStart w:id="336" w:name="_Toc238984975"/>
      <w:bookmarkStart w:id="337" w:name="_Toc211911348"/>
      <w:bookmarkStart w:id="338" w:name="_Toc225670751"/>
      <w:bookmarkStart w:id="339" w:name="_Toc241833903"/>
      <w:bookmarkStart w:id="340" w:name="_Toc232492928"/>
      <w:bookmarkStart w:id="341" w:name="_Toc286993786"/>
      <w:bookmarkStart w:id="342" w:name="_Toc212019594"/>
      <w:bookmarkStart w:id="343" w:name="_Toc251768862"/>
      <w:bookmarkStart w:id="344" w:name="_Toc225654644"/>
      <w:r>
        <w:rPr>
          <w:rFonts w:hint="eastAsia" w:ascii="宋体" w:hAnsi="宋体" w:eastAsia="宋体" w:cs="宋体"/>
          <w:b/>
          <w:bCs/>
          <w:color w:val="auto"/>
          <w:sz w:val="24"/>
          <w:highlight w:val="none"/>
        </w:rPr>
        <w:t>服务内容与质量标准</w:t>
      </w:r>
      <w:bookmarkEnd w:id="325"/>
      <w:bookmarkEnd w:id="326"/>
    </w:p>
    <w:p>
      <w:pPr>
        <w:spacing w:line="336" w:lineRule="auto"/>
        <w:ind w:left="567"/>
        <w:rPr>
          <w:rFonts w:hint="eastAsia" w:ascii="宋体" w:hAnsi="宋体" w:eastAsia="宋体" w:cs="宋体"/>
          <w:color w:val="auto"/>
          <w:sz w:val="24"/>
          <w:highlight w:val="none"/>
        </w:rPr>
      </w:pPr>
      <w:bookmarkStart w:id="345" w:name="_Toc28907"/>
      <w:r>
        <w:rPr>
          <w:rFonts w:hint="eastAsia" w:ascii="宋体" w:hAnsi="宋体" w:eastAsia="宋体" w:cs="宋体"/>
          <w:color w:val="auto"/>
          <w:sz w:val="24"/>
          <w:highlight w:val="none"/>
        </w:rPr>
        <w:t>1、    ；</w:t>
      </w:r>
      <w:bookmarkEnd w:id="345"/>
    </w:p>
    <w:p>
      <w:pPr>
        <w:spacing w:line="336" w:lineRule="auto"/>
        <w:ind w:left="567"/>
        <w:rPr>
          <w:rFonts w:hint="eastAsia" w:ascii="宋体" w:hAnsi="宋体" w:eastAsia="宋体" w:cs="宋体"/>
          <w:color w:val="auto"/>
          <w:sz w:val="24"/>
          <w:highlight w:val="none"/>
        </w:rPr>
      </w:pPr>
      <w:bookmarkStart w:id="346" w:name="_Toc15795"/>
      <w:r>
        <w:rPr>
          <w:rFonts w:hint="eastAsia" w:ascii="宋体" w:hAnsi="宋体" w:eastAsia="宋体" w:cs="宋体"/>
          <w:color w:val="auto"/>
          <w:sz w:val="24"/>
          <w:highlight w:val="none"/>
        </w:rPr>
        <w:t>2、    ；</w:t>
      </w:r>
      <w:bookmarkEnd w:id="346"/>
    </w:p>
    <w:p>
      <w:pPr>
        <w:spacing w:line="336" w:lineRule="auto"/>
        <w:ind w:left="567"/>
        <w:rPr>
          <w:rFonts w:hint="eastAsia" w:ascii="宋体" w:hAnsi="宋体" w:eastAsia="宋体" w:cs="宋体"/>
          <w:color w:val="auto"/>
          <w:sz w:val="24"/>
          <w:highlight w:val="none"/>
        </w:rPr>
      </w:pPr>
      <w:bookmarkStart w:id="347" w:name="_Toc29156"/>
      <w:r>
        <w:rPr>
          <w:rFonts w:hint="eastAsia" w:ascii="宋体" w:hAnsi="宋体" w:eastAsia="宋体" w:cs="宋体"/>
          <w:color w:val="auto"/>
          <w:sz w:val="24"/>
          <w:highlight w:val="none"/>
        </w:rPr>
        <w:t xml:space="preserve">3、    </w:t>
      </w:r>
      <w:bookmarkEnd w:id="347"/>
      <w:r>
        <w:rPr>
          <w:rFonts w:hint="eastAsia" w:ascii="宋体" w:hAnsi="宋体" w:eastAsia="宋体" w:cs="宋体"/>
          <w:color w:val="auto"/>
          <w:sz w:val="24"/>
          <w:highlight w:val="none"/>
        </w:rPr>
        <w:t>。</w:t>
      </w:r>
    </w:p>
    <w:p>
      <w:pPr>
        <w:spacing w:line="336" w:lineRule="auto"/>
        <w:ind w:firstLine="63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numPr>
          <w:ilvl w:val="0"/>
          <w:numId w:val="10"/>
        </w:numPr>
        <w:spacing w:line="336" w:lineRule="auto"/>
        <w:rPr>
          <w:rFonts w:hint="eastAsia" w:ascii="宋体" w:hAnsi="宋体" w:eastAsia="宋体" w:cs="宋体"/>
          <w:b/>
          <w:bCs/>
          <w:color w:val="auto"/>
          <w:sz w:val="24"/>
          <w:highlight w:val="none"/>
        </w:rPr>
      </w:pPr>
      <w:bookmarkStart w:id="348" w:name="_Toc15014"/>
      <w:r>
        <w:rPr>
          <w:rFonts w:hint="eastAsia" w:ascii="宋体" w:hAnsi="宋体" w:eastAsia="宋体" w:cs="宋体"/>
          <w:b/>
          <w:bCs/>
          <w:color w:val="auto"/>
          <w:sz w:val="24"/>
          <w:highlight w:val="none"/>
        </w:rPr>
        <w:t>服务费用及支付方式</w:t>
      </w:r>
      <w:bookmarkEnd w:id="348"/>
    </w:p>
    <w:p>
      <w:pPr>
        <w:numPr>
          <w:ilvl w:val="0"/>
          <w:numId w:val="11"/>
        </w:numPr>
        <w:spacing w:line="336" w:lineRule="auto"/>
        <w:ind w:left="0" w:firstLine="567"/>
        <w:rPr>
          <w:rFonts w:hint="eastAsia" w:ascii="宋体" w:hAnsi="宋体" w:eastAsia="宋体" w:cs="宋体"/>
          <w:b/>
          <w:bCs/>
          <w:color w:val="auto"/>
          <w:sz w:val="24"/>
          <w:highlight w:val="none"/>
        </w:rPr>
      </w:pPr>
      <w:bookmarkStart w:id="349" w:name="_Toc20876"/>
      <w:r>
        <w:rPr>
          <w:rFonts w:hint="eastAsia" w:ascii="宋体" w:hAnsi="宋体" w:eastAsia="宋体" w:cs="宋体"/>
          <w:b/>
          <w:bCs/>
          <w:color w:val="auto"/>
          <w:sz w:val="24"/>
          <w:highlight w:val="none"/>
        </w:rPr>
        <w:t>本项目服务费用由以下组成：</w:t>
      </w:r>
      <w:bookmarkEnd w:id="349"/>
    </w:p>
    <w:p>
      <w:pP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    万元；</w:t>
      </w:r>
    </w:p>
    <w:p>
      <w:pP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    万元；</w:t>
      </w:r>
    </w:p>
    <w:p>
      <w:pP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万元。</w:t>
      </w:r>
    </w:p>
    <w:p>
      <w:pP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numPr>
          <w:ilvl w:val="0"/>
          <w:numId w:val="11"/>
        </w:numPr>
        <w:tabs>
          <w:tab w:val="left" w:pos="780"/>
        </w:tabs>
        <w:spacing w:line="336" w:lineRule="auto"/>
        <w:ind w:left="0" w:firstLine="567"/>
        <w:rPr>
          <w:rFonts w:hint="eastAsia" w:ascii="宋体" w:hAnsi="宋体" w:eastAsia="宋体" w:cs="宋体"/>
          <w:b/>
          <w:bCs/>
          <w:color w:val="auto"/>
          <w:sz w:val="24"/>
          <w:highlight w:val="none"/>
        </w:rPr>
      </w:pPr>
      <w:bookmarkStart w:id="350" w:name="_Toc5574"/>
      <w:r>
        <w:rPr>
          <w:rFonts w:hint="eastAsia" w:ascii="宋体" w:hAnsi="宋体" w:eastAsia="宋体" w:cs="宋体"/>
          <w:b/>
          <w:bCs/>
          <w:color w:val="auto"/>
          <w:sz w:val="24"/>
          <w:highlight w:val="none"/>
        </w:rPr>
        <w:t>服务费支付方式：</w:t>
      </w:r>
      <w:r>
        <w:rPr>
          <w:rFonts w:hint="eastAsia" w:ascii="宋体" w:hAnsi="宋体" w:eastAsia="宋体" w:cs="宋体"/>
          <w:color w:val="auto"/>
          <w:sz w:val="24"/>
          <w:highlight w:val="none"/>
        </w:rPr>
        <w:t>（具体以合同签订时为准）</w:t>
      </w:r>
      <w:bookmarkEnd w:id="350"/>
    </w:p>
    <w:p>
      <w:pPr>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br w:type="page"/>
      </w:r>
    </w:p>
    <w:p>
      <w:pPr>
        <w:numPr>
          <w:ilvl w:val="0"/>
          <w:numId w:val="10"/>
        </w:numPr>
        <w:spacing w:line="336" w:lineRule="auto"/>
        <w:rPr>
          <w:rFonts w:hint="eastAsia" w:ascii="宋体" w:hAnsi="宋体" w:eastAsia="宋体" w:cs="宋体"/>
          <w:b/>
          <w:bCs/>
          <w:color w:val="auto"/>
          <w:sz w:val="24"/>
          <w:highlight w:val="none"/>
        </w:rPr>
      </w:pPr>
      <w:bookmarkStart w:id="351" w:name="_Toc27312"/>
      <w:bookmarkStart w:id="352" w:name="_Toc22790"/>
      <w:r>
        <w:rPr>
          <w:rFonts w:hint="eastAsia" w:ascii="宋体" w:hAnsi="宋体" w:eastAsia="宋体" w:cs="宋体"/>
          <w:b/>
          <w:bCs/>
          <w:color w:val="auto"/>
          <w:sz w:val="24"/>
          <w:highlight w:val="none"/>
        </w:rPr>
        <w:t>知识产权</w:t>
      </w:r>
      <w:bookmarkEnd w:id="351"/>
      <w:bookmarkEnd w:id="352"/>
    </w:p>
    <w:p>
      <w:pPr>
        <w:tabs>
          <w:tab w:val="left" w:pos="1440"/>
        </w:tabs>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乙方应保证所提供的服务或其任何一部分均不会侵犯任何第三方的专利权、商标权或著作权。</w:t>
      </w:r>
    </w:p>
    <w:p>
      <w:pPr>
        <w:numPr>
          <w:ilvl w:val="0"/>
          <w:numId w:val="10"/>
        </w:numPr>
        <w:spacing w:line="336" w:lineRule="auto"/>
        <w:rPr>
          <w:rFonts w:hint="eastAsia" w:ascii="宋体" w:hAnsi="宋体" w:eastAsia="宋体" w:cs="宋体"/>
          <w:b/>
          <w:bCs/>
          <w:color w:val="auto"/>
          <w:sz w:val="24"/>
          <w:highlight w:val="none"/>
        </w:rPr>
      </w:pPr>
      <w:bookmarkStart w:id="353" w:name="_Toc22044"/>
      <w:r>
        <w:rPr>
          <w:rFonts w:hint="eastAsia" w:ascii="宋体" w:hAnsi="宋体" w:eastAsia="宋体" w:cs="宋体"/>
          <w:b/>
          <w:bCs/>
          <w:color w:val="auto"/>
          <w:sz w:val="24"/>
          <w:highlight w:val="none"/>
        </w:rPr>
        <w:t>无产权瑕疵条款</w:t>
      </w:r>
      <w:bookmarkEnd w:id="353"/>
    </w:p>
    <w:p>
      <w:pPr>
        <w:tabs>
          <w:tab w:val="left" w:pos="1440"/>
        </w:tabs>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乙方保证所提供的服务的所有权完全属于乙方且无任何抵押、查封等产权瑕疵。如有产权瑕疵的，视为乙方违约。乙方应负担由此而产生的一切损失。</w:t>
      </w:r>
    </w:p>
    <w:p>
      <w:pPr>
        <w:numPr>
          <w:ilvl w:val="0"/>
          <w:numId w:val="10"/>
        </w:numPr>
        <w:spacing w:line="336" w:lineRule="auto"/>
        <w:rPr>
          <w:rFonts w:hint="eastAsia" w:ascii="宋体" w:hAnsi="宋体" w:eastAsia="宋体" w:cs="宋体"/>
          <w:b/>
          <w:bCs/>
          <w:color w:val="auto"/>
          <w:sz w:val="24"/>
          <w:highlight w:val="none"/>
        </w:rPr>
      </w:pPr>
      <w:bookmarkStart w:id="354" w:name="_Toc26772"/>
      <w:bookmarkStart w:id="355" w:name="_Toc30261"/>
      <w:r>
        <w:rPr>
          <w:rFonts w:hint="eastAsia" w:ascii="宋体" w:hAnsi="宋体" w:eastAsia="宋体" w:cs="宋体"/>
          <w:b/>
          <w:bCs/>
          <w:color w:val="auto"/>
          <w:sz w:val="24"/>
          <w:highlight w:val="none"/>
        </w:rPr>
        <w:t>甲方的权利和义务</w:t>
      </w:r>
      <w:bookmarkEnd w:id="354"/>
      <w:bookmarkEnd w:id="355"/>
    </w:p>
    <w:p>
      <w:pPr>
        <w:adjustRightInd w:val="0"/>
        <w:spacing w:line="336" w:lineRule="auto"/>
        <w:ind w:firstLine="480" w:firstLineChars="20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1、甲方有权对合同规定范围内乙方的服务行为进行监督和检查，拥有监管权。有权定期核对乙方提供服务所配备的人员数量。对甲方认为不合理的部分有权下达整改通知书，并要求乙方限期整改。</w:t>
      </w:r>
    </w:p>
    <w:p>
      <w:pPr>
        <w:adjustRightInd w:val="0"/>
        <w:spacing w:line="336" w:lineRule="auto"/>
        <w:ind w:firstLine="480" w:firstLineChars="20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3、负责检查监督乙方管理工作的实施及制度的执行情况。</w:t>
      </w:r>
    </w:p>
    <w:p>
      <w:pPr>
        <w:adjustRightInd w:val="0"/>
        <w:spacing w:line="336" w:lineRule="auto"/>
        <w:ind w:firstLine="480" w:firstLineChars="20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4、根据本合同规定，按时向乙方支付应付服务费用。</w:t>
      </w:r>
    </w:p>
    <w:p>
      <w:pPr>
        <w:adjustRightInd w:val="0"/>
        <w:spacing w:line="336" w:lineRule="auto"/>
        <w:ind w:firstLine="480" w:firstLineChars="20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5、国家法律、法规所规定由甲方承担的其它责任。</w:t>
      </w:r>
    </w:p>
    <w:p>
      <w:pPr>
        <w:numPr>
          <w:ilvl w:val="0"/>
          <w:numId w:val="10"/>
        </w:numPr>
        <w:spacing w:line="336" w:lineRule="auto"/>
        <w:rPr>
          <w:rFonts w:hint="eastAsia" w:ascii="宋体" w:hAnsi="宋体" w:eastAsia="宋体" w:cs="宋体"/>
          <w:b/>
          <w:bCs/>
          <w:color w:val="auto"/>
          <w:sz w:val="24"/>
          <w:highlight w:val="none"/>
        </w:rPr>
      </w:pPr>
      <w:bookmarkStart w:id="356" w:name="_Toc27528"/>
      <w:bookmarkStart w:id="357" w:name="_Toc31019"/>
      <w:r>
        <w:rPr>
          <w:rFonts w:hint="eastAsia" w:ascii="宋体" w:hAnsi="宋体" w:eastAsia="宋体" w:cs="宋体"/>
          <w:b/>
          <w:bCs/>
          <w:color w:val="auto"/>
          <w:sz w:val="24"/>
          <w:highlight w:val="none"/>
        </w:rPr>
        <w:t>乙方的权利和义务</w:t>
      </w:r>
      <w:bookmarkEnd w:id="356"/>
      <w:bookmarkEnd w:id="357"/>
    </w:p>
    <w:p>
      <w:pPr>
        <w:adjustRightInd w:val="0"/>
        <w:spacing w:line="336" w:lineRule="auto"/>
        <w:ind w:firstLine="480" w:firstLineChars="20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1、对本合同规定的委托服务范围内的项目享有管理权及服务义务。</w:t>
      </w:r>
    </w:p>
    <w:p>
      <w:pPr>
        <w:adjustRightInd w:val="0"/>
        <w:spacing w:line="336" w:lineRule="auto"/>
        <w:ind w:firstLine="480" w:firstLineChars="20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2、根据本合同的规定向甲方收取相关服务费用，并有权在本项目管理范围内管理及合理使用。</w:t>
      </w:r>
    </w:p>
    <w:p>
      <w:pPr>
        <w:adjustRightInd w:val="0"/>
        <w:spacing w:line="336" w:lineRule="auto"/>
        <w:ind w:firstLine="480" w:firstLineChars="20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3、及时向甲方通告本项目服务范围内有关服务的重大事项，及时配合处理投诉。</w:t>
      </w:r>
    </w:p>
    <w:p>
      <w:pPr>
        <w:adjustRightInd w:val="0"/>
        <w:spacing w:line="336" w:lineRule="auto"/>
        <w:ind w:firstLine="480" w:firstLineChars="20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4、接受项目行业管理部门及政府有关部门的指导，接受甲方的监督。</w:t>
      </w:r>
    </w:p>
    <w:p>
      <w:pPr>
        <w:adjustRightInd w:val="0"/>
        <w:spacing w:line="336" w:lineRule="auto"/>
        <w:ind w:firstLine="480" w:firstLineChars="20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5、国家法律、法规所规定由乙方承担的其它责任。</w:t>
      </w:r>
    </w:p>
    <w:p>
      <w:pPr>
        <w:numPr>
          <w:ilvl w:val="0"/>
          <w:numId w:val="10"/>
        </w:numPr>
        <w:spacing w:line="336" w:lineRule="auto"/>
        <w:rPr>
          <w:rFonts w:hint="eastAsia" w:ascii="宋体" w:hAnsi="宋体" w:eastAsia="宋体" w:cs="宋体"/>
          <w:b/>
          <w:bCs/>
          <w:color w:val="auto"/>
          <w:sz w:val="24"/>
          <w:highlight w:val="none"/>
        </w:rPr>
      </w:pPr>
      <w:bookmarkStart w:id="358" w:name="_Toc30436"/>
      <w:bookmarkStart w:id="359" w:name="_Toc7746"/>
      <w:r>
        <w:rPr>
          <w:rFonts w:hint="eastAsia" w:ascii="宋体" w:hAnsi="宋体" w:eastAsia="宋体" w:cs="宋体"/>
          <w:b/>
          <w:bCs/>
          <w:color w:val="auto"/>
          <w:sz w:val="24"/>
          <w:highlight w:val="none"/>
        </w:rPr>
        <w:t>违约责任</w:t>
      </w:r>
      <w:bookmarkEnd w:id="358"/>
      <w:bookmarkEnd w:id="359"/>
    </w:p>
    <w:p>
      <w:pPr>
        <w:adjustRightInd w:val="0"/>
        <w:spacing w:line="336" w:lineRule="auto"/>
        <w:ind w:firstLine="480" w:firstLineChars="20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1、甲乙双方必须遵守本合同并执行合同中的各项规定，保证本合同的正常履行。</w:t>
      </w:r>
    </w:p>
    <w:p>
      <w:pPr>
        <w:adjustRightInd w:val="0"/>
        <w:spacing w:line="336" w:lineRule="auto"/>
        <w:ind w:firstLine="480" w:firstLineChars="20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numPr>
          <w:ilvl w:val="0"/>
          <w:numId w:val="10"/>
        </w:numPr>
        <w:spacing w:line="336" w:lineRule="auto"/>
        <w:rPr>
          <w:rFonts w:hint="eastAsia" w:ascii="宋体" w:hAnsi="宋体" w:eastAsia="宋体" w:cs="宋体"/>
          <w:b/>
          <w:bCs/>
          <w:color w:val="auto"/>
          <w:sz w:val="24"/>
          <w:highlight w:val="none"/>
        </w:rPr>
      </w:pPr>
      <w:bookmarkStart w:id="360" w:name="_Toc30468"/>
      <w:bookmarkStart w:id="361" w:name="_Toc31004"/>
      <w:r>
        <w:rPr>
          <w:rFonts w:hint="eastAsia" w:ascii="宋体" w:hAnsi="宋体" w:eastAsia="宋体" w:cs="宋体"/>
          <w:b/>
          <w:bCs/>
          <w:color w:val="auto"/>
          <w:sz w:val="24"/>
          <w:highlight w:val="none"/>
        </w:rPr>
        <w:t>不可抗力事件处理</w:t>
      </w:r>
      <w:bookmarkEnd w:id="360"/>
      <w:bookmarkEnd w:id="361"/>
    </w:p>
    <w:p>
      <w:pPr>
        <w:tabs>
          <w:tab w:val="left" w:pos="0"/>
        </w:tabs>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1、在合同有效期内，任何一方因不可抗力事件导致不能履行合同，则合同履行期可延长，其延长期与不可抗力影响期相同。</w:t>
      </w:r>
    </w:p>
    <w:p>
      <w:pPr>
        <w:tabs>
          <w:tab w:val="left" w:pos="0"/>
        </w:tabs>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2、不可抗力事件发生后，应立即通知对方，并寄送有关权威机构出具的证明。</w:t>
      </w:r>
    </w:p>
    <w:p>
      <w:pPr>
        <w:tabs>
          <w:tab w:val="left" w:pos="0"/>
        </w:tabs>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3、不可抗力事件延续 15天以上，双方应通过友好协商，确定是否继续履行合同。</w:t>
      </w:r>
    </w:p>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Pr>
        <w:numPr>
          <w:ilvl w:val="0"/>
          <w:numId w:val="10"/>
        </w:numPr>
        <w:spacing w:line="336" w:lineRule="auto"/>
        <w:rPr>
          <w:rFonts w:hint="eastAsia" w:ascii="宋体" w:hAnsi="宋体" w:eastAsia="宋体" w:cs="宋体"/>
          <w:b/>
          <w:bCs/>
          <w:color w:val="auto"/>
          <w:sz w:val="24"/>
          <w:highlight w:val="none"/>
        </w:rPr>
      </w:pPr>
      <w:bookmarkStart w:id="362" w:name="_Toc251768867"/>
      <w:bookmarkStart w:id="363" w:name="_Toc238984980"/>
      <w:bookmarkStart w:id="364" w:name="_Toc241833908"/>
      <w:bookmarkStart w:id="365" w:name="_Toc4796"/>
      <w:bookmarkStart w:id="366" w:name="_Toc225670756"/>
      <w:bookmarkStart w:id="367" w:name="_Toc225654649"/>
      <w:bookmarkStart w:id="368" w:name="_Toc185395254"/>
      <w:bookmarkStart w:id="369" w:name="_Toc211854454"/>
      <w:bookmarkStart w:id="370" w:name="_Toc247334846"/>
      <w:bookmarkStart w:id="371" w:name="_Toc211911353"/>
      <w:bookmarkStart w:id="372" w:name="_Toc232492933"/>
      <w:bookmarkStart w:id="373" w:name="_Toc28381"/>
      <w:bookmarkStart w:id="374" w:name="_Toc286993792"/>
      <w:bookmarkStart w:id="375" w:name="_Toc239233919"/>
      <w:bookmarkStart w:id="376" w:name="_Toc212019599"/>
      <w:bookmarkStart w:id="377" w:name="_Toc225244857"/>
      <w:bookmarkStart w:id="378" w:name="_Toc239568423"/>
      <w:bookmarkStart w:id="379" w:name="_Toc237145411"/>
      <w:r>
        <w:rPr>
          <w:rFonts w:hint="eastAsia" w:ascii="宋体" w:hAnsi="宋体" w:eastAsia="宋体" w:cs="宋体"/>
          <w:b/>
          <w:bCs/>
          <w:color w:val="auto"/>
          <w:sz w:val="24"/>
          <w:highlight w:val="none"/>
        </w:rPr>
        <w:t>解决合同纠纷的方式</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pPr>
        <w:tabs>
          <w:tab w:val="left" w:pos="0"/>
        </w:tabs>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1、在执行本合同中发生的或与本合同有关的争端，双方应通过友好协商解决，经协商在7天内不能达成协议时，应提交项目所在地仲裁委员会仲裁。</w:t>
      </w:r>
    </w:p>
    <w:p>
      <w:pPr>
        <w:tabs>
          <w:tab w:val="left" w:pos="0"/>
        </w:tabs>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2、仲裁裁决应为最终决定，并对双方具有约束力。</w:t>
      </w:r>
    </w:p>
    <w:p>
      <w:pPr>
        <w:tabs>
          <w:tab w:val="left" w:pos="0"/>
        </w:tabs>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3、除另有裁决外，仲裁费应由败诉方负担。 </w:t>
      </w:r>
    </w:p>
    <w:p>
      <w:pPr>
        <w:tabs>
          <w:tab w:val="left" w:pos="0"/>
        </w:tabs>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4、在仲裁期间，除正在进行仲裁部分外，合同其他部分继续执行。  </w:t>
      </w:r>
    </w:p>
    <w:p>
      <w:pPr>
        <w:numPr>
          <w:ilvl w:val="0"/>
          <w:numId w:val="10"/>
        </w:numPr>
        <w:spacing w:line="336" w:lineRule="auto"/>
        <w:rPr>
          <w:rFonts w:hint="eastAsia" w:ascii="宋体" w:hAnsi="宋体" w:eastAsia="宋体" w:cs="宋体"/>
          <w:b/>
          <w:bCs/>
          <w:color w:val="auto"/>
          <w:sz w:val="24"/>
          <w:highlight w:val="none"/>
        </w:rPr>
      </w:pPr>
      <w:bookmarkStart w:id="380" w:name="_Toc185395255"/>
      <w:bookmarkStart w:id="381" w:name="_Toc247334847"/>
      <w:bookmarkStart w:id="382" w:name="_Toc239233920"/>
      <w:bookmarkStart w:id="383" w:name="_Toc225244858"/>
      <w:bookmarkStart w:id="384" w:name="_Toc286993793"/>
      <w:bookmarkStart w:id="385" w:name="_Toc211854455"/>
      <w:bookmarkStart w:id="386" w:name="_Toc237145412"/>
      <w:bookmarkStart w:id="387" w:name="_Toc225654650"/>
      <w:bookmarkStart w:id="388" w:name="_Toc282696231"/>
      <w:bookmarkStart w:id="389" w:name="_Toc241833909"/>
      <w:bookmarkStart w:id="390" w:name="_Toc239568424"/>
      <w:bookmarkStart w:id="391" w:name="_Toc238984981"/>
      <w:bookmarkStart w:id="392" w:name="_Toc283019219"/>
      <w:bookmarkStart w:id="393" w:name="_Toc232492934"/>
      <w:bookmarkStart w:id="394" w:name="_Toc212019600"/>
      <w:bookmarkStart w:id="395" w:name="_Toc225670757"/>
      <w:bookmarkStart w:id="396" w:name="_Toc251768868"/>
      <w:bookmarkStart w:id="397" w:name="_Toc211911354"/>
      <w:bookmarkStart w:id="398" w:name="_Toc16935"/>
      <w:bookmarkStart w:id="399" w:name="_Toc28077"/>
      <w:r>
        <w:rPr>
          <w:rFonts w:hint="eastAsia" w:ascii="宋体" w:hAnsi="宋体" w:eastAsia="宋体" w:cs="宋体"/>
          <w:b/>
          <w:bCs/>
          <w:color w:val="auto"/>
          <w:sz w:val="24"/>
          <w:highlight w:val="none"/>
        </w:rPr>
        <w:t>合同</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Pr>
          <w:rFonts w:hint="eastAsia" w:ascii="宋体" w:hAnsi="宋体" w:eastAsia="宋体" w:cs="宋体"/>
          <w:b/>
          <w:bCs/>
          <w:color w:val="auto"/>
          <w:sz w:val="24"/>
          <w:highlight w:val="none"/>
        </w:rPr>
        <w:t>生效及其他</w:t>
      </w:r>
      <w:bookmarkEnd w:id="398"/>
      <w:bookmarkEnd w:id="399"/>
    </w:p>
    <w:p>
      <w:pPr>
        <w:pStyle w:val="32"/>
        <w:spacing w:line="33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1、合同经双方法定代表人或授权委托代理人签字并加盖单位公章后生效。</w:t>
      </w:r>
    </w:p>
    <w:p>
      <w:pPr>
        <w:pStyle w:val="32"/>
        <w:spacing w:line="33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2、合同执行中涉及采购资金和采购内容修改或补充的，须经政府采购监管部门审批，并签书面补充协议报政府采购监督管理部门备案，方可作为主合同不可分割的一部分。</w:t>
      </w:r>
    </w:p>
    <w:p>
      <w:pPr>
        <w:pStyle w:val="31"/>
        <w:spacing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3、本合同一式六份，自双方签章之日起生效。甲方二份，乙方二份，代理机构一份，监管部门一份，具有同等法律效力。</w:t>
      </w:r>
    </w:p>
    <w:p>
      <w:pPr>
        <w:numPr>
          <w:ilvl w:val="0"/>
          <w:numId w:val="10"/>
        </w:numPr>
        <w:spacing w:line="336" w:lineRule="auto"/>
        <w:rPr>
          <w:rFonts w:hint="eastAsia" w:ascii="宋体" w:hAnsi="宋体" w:eastAsia="宋体" w:cs="宋体"/>
          <w:b/>
          <w:bCs/>
          <w:color w:val="auto"/>
          <w:sz w:val="24"/>
          <w:highlight w:val="none"/>
        </w:rPr>
      </w:pPr>
      <w:bookmarkStart w:id="400" w:name="_Toc2904"/>
      <w:bookmarkStart w:id="401" w:name="_Toc5178"/>
      <w:r>
        <w:rPr>
          <w:rFonts w:hint="eastAsia" w:ascii="宋体" w:hAnsi="宋体" w:eastAsia="宋体" w:cs="宋体"/>
          <w:b/>
          <w:bCs/>
          <w:color w:val="auto"/>
          <w:sz w:val="24"/>
          <w:highlight w:val="none"/>
        </w:rPr>
        <w:t>附件</w:t>
      </w:r>
      <w:bookmarkEnd w:id="400"/>
      <w:bookmarkEnd w:id="401"/>
    </w:p>
    <w:p>
      <w:pPr>
        <w:pStyle w:val="32"/>
        <w:spacing w:line="336" w:lineRule="auto"/>
        <w:ind w:firstLine="480"/>
        <w:rPr>
          <w:rFonts w:hint="eastAsia" w:ascii="宋体" w:hAnsi="宋体" w:eastAsia="宋体" w:cs="宋体"/>
          <w:color w:val="auto"/>
          <w:sz w:val="24"/>
          <w:highlight w:val="none"/>
        </w:rPr>
      </w:pPr>
      <w:bookmarkStart w:id="402" w:name="_Toc29967"/>
      <w:r>
        <w:rPr>
          <w:rFonts w:hint="eastAsia" w:ascii="宋体" w:hAnsi="宋体" w:eastAsia="宋体" w:cs="宋体"/>
          <w:color w:val="auto"/>
          <w:sz w:val="24"/>
          <w:highlight w:val="none"/>
        </w:rPr>
        <w:t>1、项目磋商文件</w:t>
      </w:r>
      <w:bookmarkEnd w:id="402"/>
    </w:p>
    <w:p>
      <w:pPr>
        <w:pStyle w:val="32"/>
        <w:spacing w:line="336" w:lineRule="auto"/>
        <w:ind w:firstLine="480"/>
        <w:rPr>
          <w:rFonts w:hint="eastAsia" w:ascii="宋体" w:hAnsi="宋体" w:eastAsia="宋体" w:cs="宋体"/>
          <w:color w:val="auto"/>
          <w:sz w:val="24"/>
          <w:highlight w:val="none"/>
        </w:rPr>
      </w:pPr>
      <w:bookmarkStart w:id="403" w:name="_Toc17719"/>
      <w:r>
        <w:rPr>
          <w:rFonts w:hint="eastAsia" w:ascii="宋体" w:hAnsi="宋体" w:eastAsia="宋体" w:cs="宋体"/>
          <w:color w:val="auto"/>
          <w:sz w:val="24"/>
          <w:highlight w:val="none"/>
        </w:rPr>
        <w:t>2、项目修改澄清文件</w:t>
      </w:r>
      <w:bookmarkEnd w:id="403"/>
    </w:p>
    <w:p>
      <w:pPr>
        <w:pStyle w:val="32"/>
        <w:spacing w:line="336" w:lineRule="auto"/>
        <w:ind w:firstLine="480"/>
        <w:rPr>
          <w:rFonts w:hint="eastAsia" w:ascii="宋体" w:hAnsi="宋体" w:eastAsia="宋体" w:cs="宋体"/>
          <w:color w:val="auto"/>
          <w:sz w:val="24"/>
          <w:highlight w:val="none"/>
        </w:rPr>
      </w:pPr>
      <w:bookmarkStart w:id="404" w:name="_Toc27786"/>
      <w:r>
        <w:rPr>
          <w:rFonts w:hint="eastAsia" w:ascii="宋体" w:hAnsi="宋体" w:eastAsia="宋体" w:cs="宋体"/>
          <w:color w:val="auto"/>
          <w:sz w:val="24"/>
          <w:highlight w:val="none"/>
        </w:rPr>
        <w:t>3、项目响应文件</w:t>
      </w:r>
      <w:bookmarkEnd w:id="404"/>
    </w:p>
    <w:p>
      <w:pPr>
        <w:pStyle w:val="32"/>
        <w:spacing w:line="336" w:lineRule="auto"/>
        <w:ind w:firstLine="480"/>
        <w:rPr>
          <w:rFonts w:hint="eastAsia" w:ascii="宋体" w:hAnsi="宋体" w:eastAsia="宋体" w:cs="宋体"/>
          <w:color w:val="auto"/>
          <w:sz w:val="24"/>
          <w:highlight w:val="none"/>
        </w:rPr>
      </w:pPr>
      <w:bookmarkStart w:id="405" w:name="_Toc12318"/>
      <w:r>
        <w:rPr>
          <w:rFonts w:hint="eastAsia" w:ascii="宋体" w:hAnsi="宋体" w:eastAsia="宋体" w:cs="宋体"/>
          <w:color w:val="auto"/>
          <w:sz w:val="24"/>
          <w:highlight w:val="none"/>
        </w:rPr>
        <w:t>4、成交通知书</w:t>
      </w:r>
      <w:bookmarkEnd w:id="405"/>
    </w:p>
    <w:p>
      <w:pPr>
        <w:pStyle w:val="32"/>
        <w:spacing w:line="336" w:lineRule="auto"/>
        <w:ind w:firstLine="480"/>
        <w:rPr>
          <w:rFonts w:hint="eastAsia" w:ascii="宋体" w:hAnsi="宋体" w:eastAsia="宋体" w:cs="宋体"/>
          <w:color w:val="auto"/>
          <w:sz w:val="24"/>
          <w:highlight w:val="none"/>
        </w:rPr>
      </w:pPr>
      <w:bookmarkStart w:id="406" w:name="_Toc30184"/>
      <w:r>
        <w:rPr>
          <w:rFonts w:hint="eastAsia" w:ascii="宋体" w:hAnsi="宋体" w:eastAsia="宋体" w:cs="宋体"/>
          <w:color w:val="auto"/>
          <w:sz w:val="24"/>
          <w:highlight w:val="none"/>
        </w:rPr>
        <w:t>5、其他</w:t>
      </w:r>
      <w:bookmarkEnd w:id="406"/>
    </w:p>
    <w:p>
      <w:pPr>
        <w:spacing w:line="336" w:lineRule="auto"/>
        <w:rPr>
          <w:rFonts w:hint="eastAsia" w:ascii="宋体" w:hAnsi="宋体" w:eastAsia="宋体" w:cs="宋体"/>
          <w:color w:val="auto"/>
          <w:sz w:val="24"/>
          <w:highlight w:val="none"/>
        </w:rPr>
      </w:pPr>
    </w:p>
    <w:p>
      <w:pP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甲方：   （盖章）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乙方：   （盖章）</w:t>
      </w:r>
    </w:p>
    <w:p>
      <w:pP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法定代表人（授权代表）：           法定代表人（授权代表）：</w:t>
      </w:r>
    </w:p>
    <w:p>
      <w:pP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                         地    址：</w:t>
      </w:r>
    </w:p>
    <w:p>
      <w:pP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                         开户银行：</w:t>
      </w:r>
    </w:p>
    <w:p>
      <w:pP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账号：                             账号：</w:t>
      </w:r>
    </w:p>
    <w:p>
      <w:pP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                         电    话：</w:t>
      </w:r>
    </w:p>
    <w:p>
      <w:pP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传    真：</w:t>
      </w:r>
    </w:p>
    <w:p>
      <w:pP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签约日期：  年    月    日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签约日期：  年  月  日</w:t>
      </w:r>
    </w:p>
    <w:sectPr>
      <w:headerReference r:id="rId11" w:type="default"/>
      <w:footerReference r:id="rId12" w:type="default"/>
      <w:pgSz w:w="11850" w:h="16783"/>
      <w:pgMar w:top="1440" w:right="1800" w:bottom="1440" w:left="1800" w:header="851" w:footer="1134" w:gutter="0"/>
      <w:pgBorders>
        <w:top w:val="none" w:sz="0" w:space="0"/>
        <w:left w:val="none" w:sz="0" w:space="0"/>
        <w:bottom w:val="single" w:color="auto" w:sz="4" w:space="1"/>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
    <w:altName w:val="宋体"/>
    <w:panose1 w:val="00000000000000000000"/>
    <w:charset w:val="86"/>
    <w:family w:val="roma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24"/>
        <w:szCs w:val="24"/>
      </w:rPr>
    </w:pPr>
    <w:r>
      <w:rPr>
        <w:rFonts w:hint="eastAsia" w:ascii="宋体" w:hAnsi="宋体"/>
        <w:sz w:val="24"/>
        <w:szCs w:val="24"/>
        <w:lang w:eastAsia="zh-CN"/>
      </w:rPr>
      <w:t>四川东来印象招标代理有限公司</w:t>
    </w:r>
    <w:r>
      <w:rPr>
        <w:rFonts w:hint="eastAsia" w:ascii="宋体" w:hAnsi="宋体"/>
        <w:sz w:val="24"/>
        <w:szCs w:val="24"/>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宋体" w:hAnsi="宋体"/>
        <w:sz w:val="24"/>
        <w:szCs w:val="24"/>
        <w:lang w:eastAsia="zh-CN"/>
      </w:rPr>
      <w:t>四川东来印象招标代理有限公司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30</w:t>
                    </w:r>
                    <w:r>
                      <w:fldChar w:fldCharType="end"/>
                    </w:r>
                  </w:p>
                </w:txbxContent>
              </v:textbox>
            </v:shape>
          </w:pict>
        </mc:Fallback>
      </mc:AlternateContent>
    </w:r>
    <w:r>
      <w:rPr>
        <w:rFonts w:hint="eastAsia" w:ascii="宋体" w:hAnsi="宋体"/>
        <w:sz w:val="24"/>
        <w:szCs w:val="24"/>
        <w:lang w:eastAsia="zh-CN"/>
      </w:rPr>
      <w:t>四川东来印象招标代理有限公司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hint="eastAsia" w:ascii="宋体" w:hAnsi="宋体"/>
        <w:sz w:val="21"/>
        <w:szCs w:val="21"/>
        <w:lang w:eastAsia="zh-CN"/>
      </w:rPr>
      <w:t>四川东来印象招标代理有限公司</w:t>
    </w:r>
    <w:r>
      <w:rPr>
        <w:rFonts w:hint="eastAsia" w:ascii="宋体" w:hAnsi="宋体"/>
        <w:sz w:val="21"/>
        <w:szCs w:val="21"/>
        <w:lang w:val="en-US" w:eastAsia="zh-CN"/>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24"/>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39</w:t>
                    </w:r>
                    <w:r>
                      <w:fldChar w:fldCharType="end"/>
                    </w:r>
                  </w:p>
                </w:txbxContent>
              </v:textbox>
            </v:shape>
          </w:pict>
        </mc:Fallback>
      </mc:AlternateContent>
    </w:r>
    <w:r>
      <w:rPr>
        <w:rFonts w:hint="eastAsia" w:ascii="宋体" w:hAnsi="宋体"/>
        <w:sz w:val="24"/>
        <w:szCs w:val="24"/>
        <w:lang w:eastAsia="zh-CN"/>
      </w:rPr>
      <w:t>四川东来印象招标代理有限公司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rPr>
        <w:rFonts w:hint="default"/>
        <w:lang w:val="en-US" w:eastAsia="zh-CN"/>
      </w:rPr>
    </w:pPr>
    <w:r>
      <w:drawing>
        <wp:inline distT="0" distB="0" distL="114300" distR="114300">
          <wp:extent cx="222885" cy="220345"/>
          <wp:effectExtent l="0" t="0" r="5715" b="8255"/>
          <wp:docPr id="2" name="图片 2" descr="QQ图片20190508160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190508160752"/>
                  <pic:cNvPicPr>
                    <a:picLocks noChangeAspect="1"/>
                  </pic:cNvPicPr>
                </pic:nvPicPr>
                <pic:blipFill>
                  <a:blip r:embed="rId1"/>
                  <a:stretch>
                    <a:fillRect/>
                  </a:stretch>
                </pic:blipFill>
                <pic:spPr>
                  <a:xfrm>
                    <a:off x="0" y="0"/>
                    <a:ext cx="222885" cy="220345"/>
                  </a:xfrm>
                  <a:prstGeom prst="rect">
                    <a:avLst/>
                  </a:prstGeom>
                </pic:spPr>
              </pic:pic>
            </a:graphicData>
          </a:graphic>
        </wp:inline>
      </w:drawing>
    </w:r>
    <w:r>
      <w:rPr>
        <w:rFonts w:hint="eastAsia"/>
        <w:lang w:val="en-US" w:eastAsia="zh-CN"/>
      </w:rPr>
      <w:t xml:space="preserve">                                                                            </w:t>
    </w:r>
    <w:r>
      <w:rPr>
        <w:rFonts w:hint="eastAsia"/>
        <w:b/>
        <w:sz w:val="24"/>
        <w:szCs w:val="28"/>
      </w:rPr>
      <w:t>公开·公平·公</w:t>
    </w:r>
    <w:r>
      <w:rPr>
        <w:rFonts w:hint="eastAsia"/>
        <w:lang w:val="en-US" w:eastAsia="zh-CN"/>
      </w:rPr>
      <w:t>正</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jc w:val="both"/>
    </w:pPr>
    <w:r>
      <w:rPr>
        <w:rFonts w:hint="eastAsia"/>
        <w:lang w:val="en-US" w:eastAsia="zh-CN"/>
      </w:rPr>
      <w:t xml:space="preserve"> </w:t>
    </w:r>
    <w:r>
      <w:drawing>
        <wp:inline distT="0" distB="0" distL="114300" distR="114300">
          <wp:extent cx="222885" cy="220345"/>
          <wp:effectExtent l="0" t="0" r="5715" b="8255"/>
          <wp:docPr id="3" name="图片 3" descr="QQ图片20190508160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图片20190508160752"/>
                  <pic:cNvPicPr>
                    <a:picLocks noChangeAspect="1"/>
                  </pic:cNvPicPr>
                </pic:nvPicPr>
                <pic:blipFill>
                  <a:blip r:embed="rId1"/>
                  <a:stretch>
                    <a:fillRect/>
                  </a:stretch>
                </pic:blipFill>
                <pic:spPr>
                  <a:xfrm>
                    <a:off x="0" y="0"/>
                    <a:ext cx="222885" cy="220345"/>
                  </a:xfrm>
                  <a:prstGeom prst="rect">
                    <a:avLst/>
                  </a:prstGeom>
                </pic:spPr>
              </pic:pic>
            </a:graphicData>
          </a:graphic>
        </wp:inline>
      </w:drawing>
    </w:r>
    <w:r>
      <w:rPr>
        <w:rFonts w:hint="eastAsia"/>
        <w:lang w:val="en-US" w:eastAsia="zh-CN"/>
      </w:rPr>
      <w:t xml:space="preserve">                                                                 </w:t>
    </w:r>
    <w:r>
      <w:rPr>
        <w:rFonts w:hint="eastAsia"/>
        <w:b/>
        <w:sz w:val="24"/>
        <w:szCs w:val="28"/>
      </w:rPr>
      <w:t>公开·公平·公正</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jc w:val="both"/>
      <w:rPr>
        <w:rFonts w:hint="default"/>
        <w:lang w:val="en-US" w:eastAsia="zh-CN"/>
      </w:rPr>
    </w:pPr>
    <w:r>
      <w:drawing>
        <wp:inline distT="0" distB="0" distL="114300" distR="114300">
          <wp:extent cx="222885" cy="220345"/>
          <wp:effectExtent l="0" t="0" r="5715" b="8255"/>
          <wp:docPr id="5" name="图片 5" descr="QQ图片20190508160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Q图片20190508160752"/>
                  <pic:cNvPicPr>
                    <a:picLocks noChangeAspect="1"/>
                  </pic:cNvPicPr>
                </pic:nvPicPr>
                <pic:blipFill>
                  <a:blip r:embed="rId1"/>
                  <a:stretch>
                    <a:fillRect/>
                  </a:stretch>
                </pic:blipFill>
                <pic:spPr>
                  <a:xfrm>
                    <a:off x="0" y="0"/>
                    <a:ext cx="222885" cy="220345"/>
                  </a:xfrm>
                  <a:prstGeom prst="rect">
                    <a:avLst/>
                  </a:prstGeom>
                </pic:spPr>
              </pic:pic>
            </a:graphicData>
          </a:graphic>
        </wp:inline>
      </w:drawing>
    </w:r>
    <w:r>
      <w:rPr>
        <w:rFonts w:hint="eastAsia"/>
        <w:lang w:val="en-US" w:eastAsia="zh-CN"/>
      </w:rPr>
      <w:t xml:space="preserve">                                                                   </w:t>
    </w:r>
    <w:r>
      <w:rPr>
        <w:rFonts w:hint="eastAsia"/>
        <w:b/>
        <w:sz w:val="24"/>
        <w:szCs w:val="28"/>
      </w:rPr>
      <w:t>公开·公平·公</w:t>
    </w:r>
    <w:r>
      <w:rPr>
        <w:rFonts w:hint="eastAsia"/>
        <w:b/>
        <w:sz w:val="24"/>
        <w:szCs w:val="28"/>
        <w:lang w:val="en-US" w:eastAsia="zh-CN"/>
      </w:rPr>
      <w:t>正</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rPr>
        <w:rFonts w:hint="default"/>
        <w:lang w:val="en-US" w:eastAsia="zh-CN"/>
      </w:rPr>
    </w:pPr>
    <w:r>
      <w:drawing>
        <wp:inline distT="0" distB="0" distL="114300" distR="114300">
          <wp:extent cx="222885" cy="220345"/>
          <wp:effectExtent l="0" t="0" r="5715" b="8255"/>
          <wp:docPr id="7" name="图片 7" descr="QQ图片20190508160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QQ图片20190508160752"/>
                  <pic:cNvPicPr>
                    <a:picLocks noChangeAspect="1"/>
                  </pic:cNvPicPr>
                </pic:nvPicPr>
                <pic:blipFill>
                  <a:blip r:embed="rId1"/>
                  <a:stretch>
                    <a:fillRect/>
                  </a:stretch>
                </pic:blipFill>
                <pic:spPr>
                  <a:xfrm>
                    <a:off x="0" y="0"/>
                    <a:ext cx="222885" cy="220345"/>
                  </a:xfrm>
                  <a:prstGeom prst="rect">
                    <a:avLst/>
                  </a:prstGeom>
                </pic:spPr>
              </pic:pic>
            </a:graphicData>
          </a:graphic>
        </wp:inline>
      </w:drawing>
    </w:r>
    <w:r>
      <w:rPr>
        <w:rFonts w:hint="eastAsia"/>
        <w:lang w:val="en-US" w:eastAsia="zh-CN"/>
      </w:rPr>
      <w:t xml:space="preserve">                                                                   </w:t>
    </w:r>
    <w:r>
      <w:rPr>
        <w:rFonts w:hint="eastAsia"/>
        <w:b/>
        <w:sz w:val="24"/>
        <w:szCs w:val="28"/>
      </w:rPr>
      <w:t>公开·公平·公</w:t>
    </w:r>
    <w:r>
      <w:rPr>
        <w:rFonts w:hint="eastAsia"/>
        <w:b/>
        <w:sz w:val="24"/>
        <w:szCs w:val="28"/>
        <w:lang w:val="en-US" w:eastAsia="zh-CN"/>
      </w:rPr>
      <w:t>正</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left" w:pos="4660"/>
        <w:tab w:val="clear" w:pos="4153"/>
      </w:tabs>
      <w:jc w:val="left"/>
      <w:rPr>
        <w:rFonts w:hint="eastAsia" w:eastAsia="宋体"/>
        <w:lang w:eastAsia="zh-CN"/>
      </w:rPr>
    </w:pPr>
    <w:r>
      <w:drawing>
        <wp:inline distT="0" distB="0" distL="114300" distR="114300">
          <wp:extent cx="222885" cy="220345"/>
          <wp:effectExtent l="0" t="0" r="5715" b="8255"/>
          <wp:docPr id="1" name="图片 1" descr="QQ图片20190508160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90508160752"/>
                  <pic:cNvPicPr>
                    <a:picLocks noChangeAspect="1"/>
                  </pic:cNvPicPr>
                </pic:nvPicPr>
                <pic:blipFill>
                  <a:blip r:embed="rId1"/>
                  <a:stretch>
                    <a:fillRect/>
                  </a:stretch>
                </pic:blipFill>
                <pic:spPr>
                  <a:xfrm>
                    <a:off x="0" y="0"/>
                    <a:ext cx="222885" cy="220345"/>
                  </a:xfrm>
                  <a:prstGeom prst="rect">
                    <a:avLst/>
                  </a:prstGeom>
                </pic:spPr>
              </pic:pic>
            </a:graphicData>
          </a:graphic>
        </wp:inline>
      </w:drawing>
    </w:r>
    <w:r>
      <w:rPr>
        <w:rFonts w:hint="eastAsia"/>
        <w:lang w:val="en-US" w:eastAsia="zh-CN"/>
      </w:rPr>
      <w:t xml:space="preserve">                                                                  </w:t>
    </w:r>
    <w:r>
      <w:rPr>
        <w:rFonts w:hint="eastAsia"/>
        <w:b/>
        <w:sz w:val="24"/>
        <w:szCs w:val="24"/>
      </w:rPr>
      <w:t>公开·公平·公正</w:t>
    </w:r>
    <w:r>
      <w:rPr>
        <w:rFonts w:hint="eastAsia"/>
        <w:b/>
        <w:sz w:val="24"/>
        <w:szCs w:val="24"/>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76E28"/>
    <w:multiLevelType w:val="singleLevel"/>
    <w:tmpl w:val="8CE76E28"/>
    <w:lvl w:ilvl="0" w:tentative="0">
      <w:start w:val="16"/>
      <w:numFmt w:val="decimal"/>
      <w:suff w:val="space"/>
      <w:lvlText w:val="%1."/>
      <w:lvlJc w:val="left"/>
    </w:lvl>
  </w:abstractNum>
  <w:abstractNum w:abstractNumId="1">
    <w:nsid w:val="9787221D"/>
    <w:multiLevelType w:val="singleLevel"/>
    <w:tmpl w:val="9787221D"/>
    <w:lvl w:ilvl="0" w:tentative="0">
      <w:start w:val="9"/>
      <w:numFmt w:val="chineseCounting"/>
      <w:suff w:val="space"/>
      <w:lvlText w:val="第%1章"/>
      <w:lvlJc w:val="left"/>
      <w:rPr>
        <w:rFonts w:hint="eastAsia"/>
      </w:rPr>
    </w:lvl>
  </w:abstractNum>
  <w:abstractNum w:abstractNumId="2">
    <w:nsid w:val="B91D006E"/>
    <w:multiLevelType w:val="singleLevel"/>
    <w:tmpl w:val="B91D006E"/>
    <w:lvl w:ilvl="0" w:tentative="0">
      <w:start w:val="1"/>
      <w:numFmt w:val="decimal"/>
      <w:suff w:val="nothing"/>
      <w:lvlText w:val="%1、"/>
      <w:lvlJc w:val="left"/>
    </w:lvl>
  </w:abstractNum>
  <w:abstractNum w:abstractNumId="3">
    <w:nsid w:val="E4DCF9C8"/>
    <w:multiLevelType w:val="singleLevel"/>
    <w:tmpl w:val="E4DCF9C8"/>
    <w:lvl w:ilvl="0" w:tentative="0">
      <w:start w:val="2"/>
      <w:numFmt w:val="decimal"/>
      <w:suff w:val="nothing"/>
      <w:lvlText w:val="%1、"/>
      <w:lvlJc w:val="left"/>
    </w:lvl>
  </w:abstractNum>
  <w:abstractNum w:abstractNumId="4">
    <w:nsid w:val="00000004"/>
    <w:multiLevelType w:val="multilevel"/>
    <w:tmpl w:val="00000004"/>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rPr>
        <w:rFonts w:ascii="宋体" w:hAnsi="宋体" w:eastAsia="宋体"/>
        <w:b/>
        <w:bCs/>
        <w:i w:val="0"/>
        <w:iCs w:val="0"/>
        <w:caps w:val="0"/>
        <w:smallCaps w:val="0"/>
        <w:color w:val="auto"/>
        <w:spacing w:val="0"/>
        <w:w w:val="100"/>
        <w:kern w:val="2"/>
        <w:position w:val="0"/>
        <w:sz w:val="32"/>
        <w:u w:val="none"/>
        <w:shd w:val="clear" w:color="auto" w:fill="auto"/>
        <w:vertAlign w:val="baseline"/>
      </w:rPr>
    </w:lvl>
    <w:lvl w:ilvl="3" w:tentative="0">
      <w:start w:val="1"/>
      <w:numFmt w:val="decimal"/>
      <w:pStyle w:val="6"/>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5">
    <w:nsid w:val="00FE5D61"/>
    <w:multiLevelType w:val="singleLevel"/>
    <w:tmpl w:val="00FE5D61"/>
    <w:lvl w:ilvl="0" w:tentative="0">
      <w:start w:val="5"/>
      <w:numFmt w:val="decimal"/>
      <w:suff w:val="nothing"/>
      <w:lvlText w:val="%1、"/>
      <w:lvlJc w:val="left"/>
      <w:rPr>
        <w:rFonts w:hint="default" w:ascii="宋体" w:hAnsi="宋体" w:eastAsia="宋体" w:cs="宋体"/>
      </w:rPr>
    </w:lvl>
  </w:abstractNum>
  <w:abstractNum w:abstractNumId="6">
    <w:nsid w:val="1D9C2199"/>
    <w:multiLevelType w:val="multilevel"/>
    <w:tmpl w:val="1D9C2199"/>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1D2671"/>
    <w:multiLevelType w:val="singleLevel"/>
    <w:tmpl w:val="211D2671"/>
    <w:lvl w:ilvl="0" w:tentative="0">
      <w:start w:val="5"/>
      <w:numFmt w:val="chineseCounting"/>
      <w:suff w:val="nothing"/>
      <w:lvlText w:val="%1、"/>
      <w:lvlJc w:val="left"/>
      <w:rPr>
        <w:rFonts w:hint="eastAsia"/>
      </w:rPr>
    </w:lvl>
  </w:abstractNum>
  <w:abstractNum w:abstractNumId="8">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abstractNum w:abstractNumId="9">
    <w:nsid w:val="4F04CFDA"/>
    <w:multiLevelType w:val="singleLevel"/>
    <w:tmpl w:val="4F04CFDA"/>
    <w:lvl w:ilvl="0" w:tentative="0">
      <w:start w:val="1"/>
      <w:numFmt w:val="chineseCounting"/>
      <w:suff w:val="nothing"/>
      <w:lvlText w:val="%1、"/>
      <w:lvlJc w:val="left"/>
      <w:rPr>
        <w:rFonts w:hint="eastAsia"/>
      </w:rPr>
    </w:lvl>
  </w:abstractNum>
  <w:abstractNum w:abstractNumId="10">
    <w:nsid w:val="5234DF39"/>
    <w:multiLevelType w:val="singleLevel"/>
    <w:tmpl w:val="5234DF39"/>
    <w:lvl w:ilvl="0" w:tentative="0">
      <w:start w:val="5"/>
      <w:numFmt w:val="chineseCounting"/>
      <w:suff w:val="space"/>
      <w:lvlText w:val="第%1章"/>
      <w:lvlJc w:val="left"/>
      <w:rPr>
        <w:rFonts w:hint="eastAsia"/>
      </w:rPr>
    </w:lvl>
  </w:abstractNum>
  <w:num w:numId="1">
    <w:abstractNumId w:val="4"/>
  </w:num>
  <w:num w:numId="2">
    <w:abstractNumId w:val="7"/>
  </w:num>
  <w:num w:numId="3">
    <w:abstractNumId w:val="0"/>
  </w:num>
  <w:num w:numId="4">
    <w:abstractNumId w:val="3"/>
  </w:num>
  <w:num w:numId="5">
    <w:abstractNumId w:val="5"/>
  </w:num>
  <w:num w:numId="6">
    <w:abstractNumId w:val="10"/>
  </w:num>
  <w:num w:numId="7">
    <w:abstractNumId w:val="9"/>
  </w:num>
  <w:num w:numId="8">
    <w:abstractNumId w:val="2"/>
  </w:num>
  <w:num w:numId="9">
    <w:abstractNumId w:val="1"/>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376366"/>
    <w:rsid w:val="00042CEF"/>
    <w:rsid w:val="002968B1"/>
    <w:rsid w:val="009E088B"/>
    <w:rsid w:val="00C70102"/>
    <w:rsid w:val="00E245C2"/>
    <w:rsid w:val="00EE7DD7"/>
    <w:rsid w:val="00F62A71"/>
    <w:rsid w:val="01093A8B"/>
    <w:rsid w:val="01141478"/>
    <w:rsid w:val="011A1502"/>
    <w:rsid w:val="01296A9D"/>
    <w:rsid w:val="01635364"/>
    <w:rsid w:val="017168BA"/>
    <w:rsid w:val="018E4C3F"/>
    <w:rsid w:val="019F2538"/>
    <w:rsid w:val="01CB6BF2"/>
    <w:rsid w:val="01D53EB5"/>
    <w:rsid w:val="01DB1A1B"/>
    <w:rsid w:val="01F85A6B"/>
    <w:rsid w:val="021D52BB"/>
    <w:rsid w:val="023E2254"/>
    <w:rsid w:val="02713D9A"/>
    <w:rsid w:val="027F2D8A"/>
    <w:rsid w:val="028F16C9"/>
    <w:rsid w:val="02AF670F"/>
    <w:rsid w:val="030623FC"/>
    <w:rsid w:val="030D0817"/>
    <w:rsid w:val="03535040"/>
    <w:rsid w:val="037B22A8"/>
    <w:rsid w:val="03832BEF"/>
    <w:rsid w:val="03EB46AC"/>
    <w:rsid w:val="040505F6"/>
    <w:rsid w:val="040B4949"/>
    <w:rsid w:val="0438278B"/>
    <w:rsid w:val="045952F0"/>
    <w:rsid w:val="0463777F"/>
    <w:rsid w:val="047422E8"/>
    <w:rsid w:val="0475600D"/>
    <w:rsid w:val="048F1888"/>
    <w:rsid w:val="049116F0"/>
    <w:rsid w:val="04B2435A"/>
    <w:rsid w:val="04ED2912"/>
    <w:rsid w:val="04F57F9A"/>
    <w:rsid w:val="05385BED"/>
    <w:rsid w:val="05482BC5"/>
    <w:rsid w:val="054D715C"/>
    <w:rsid w:val="055C18FD"/>
    <w:rsid w:val="0578609C"/>
    <w:rsid w:val="05975751"/>
    <w:rsid w:val="06267888"/>
    <w:rsid w:val="06322C94"/>
    <w:rsid w:val="069E10F7"/>
    <w:rsid w:val="06C27DE9"/>
    <w:rsid w:val="06DD0054"/>
    <w:rsid w:val="06FE289A"/>
    <w:rsid w:val="070570F6"/>
    <w:rsid w:val="071178C4"/>
    <w:rsid w:val="071A3D40"/>
    <w:rsid w:val="071D2925"/>
    <w:rsid w:val="072A3931"/>
    <w:rsid w:val="0734762E"/>
    <w:rsid w:val="07382054"/>
    <w:rsid w:val="073C6BF3"/>
    <w:rsid w:val="07542DFF"/>
    <w:rsid w:val="075B4545"/>
    <w:rsid w:val="076352D7"/>
    <w:rsid w:val="07781CD8"/>
    <w:rsid w:val="07951D02"/>
    <w:rsid w:val="0796579A"/>
    <w:rsid w:val="079E6F5D"/>
    <w:rsid w:val="07C01E38"/>
    <w:rsid w:val="07CC32DA"/>
    <w:rsid w:val="07D415BC"/>
    <w:rsid w:val="07F77A36"/>
    <w:rsid w:val="08091FC7"/>
    <w:rsid w:val="089F3B6B"/>
    <w:rsid w:val="08AA45ED"/>
    <w:rsid w:val="08C071EA"/>
    <w:rsid w:val="08C34F7C"/>
    <w:rsid w:val="08EE6A38"/>
    <w:rsid w:val="08F44D27"/>
    <w:rsid w:val="08F93EF2"/>
    <w:rsid w:val="0923417F"/>
    <w:rsid w:val="09513C52"/>
    <w:rsid w:val="09805A42"/>
    <w:rsid w:val="09D34954"/>
    <w:rsid w:val="09D40BC6"/>
    <w:rsid w:val="09E56C48"/>
    <w:rsid w:val="09EB2CC3"/>
    <w:rsid w:val="09F2340D"/>
    <w:rsid w:val="0A2B7095"/>
    <w:rsid w:val="0A40673A"/>
    <w:rsid w:val="0A460A61"/>
    <w:rsid w:val="0A4F6362"/>
    <w:rsid w:val="0A527541"/>
    <w:rsid w:val="0A5A53A0"/>
    <w:rsid w:val="0A6D4C96"/>
    <w:rsid w:val="0A8A44B4"/>
    <w:rsid w:val="0A8A50D4"/>
    <w:rsid w:val="0AB5632F"/>
    <w:rsid w:val="0ABA738E"/>
    <w:rsid w:val="0AD30D91"/>
    <w:rsid w:val="0AEC05ED"/>
    <w:rsid w:val="0AF36BA5"/>
    <w:rsid w:val="0B2D5137"/>
    <w:rsid w:val="0B334ED4"/>
    <w:rsid w:val="0B531963"/>
    <w:rsid w:val="0B556C26"/>
    <w:rsid w:val="0B6B7DAF"/>
    <w:rsid w:val="0BBA156F"/>
    <w:rsid w:val="0BBD0731"/>
    <w:rsid w:val="0BD53F65"/>
    <w:rsid w:val="0BE14912"/>
    <w:rsid w:val="0BEB3A90"/>
    <w:rsid w:val="0C20080B"/>
    <w:rsid w:val="0C572AC2"/>
    <w:rsid w:val="0C671B1D"/>
    <w:rsid w:val="0C6E5681"/>
    <w:rsid w:val="0C7334BF"/>
    <w:rsid w:val="0C8A0518"/>
    <w:rsid w:val="0C8F045B"/>
    <w:rsid w:val="0CC9512A"/>
    <w:rsid w:val="0CF64285"/>
    <w:rsid w:val="0D055E90"/>
    <w:rsid w:val="0D4E0C2E"/>
    <w:rsid w:val="0D664EF6"/>
    <w:rsid w:val="0D92532A"/>
    <w:rsid w:val="0DA21DCC"/>
    <w:rsid w:val="0DB9034D"/>
    <w:rsid w:val="0DE232B9"/>
    <w:rsid w:val="0DF5171D"/>
    <w:rsid w:val="0DF83263"/>
    <w:rsid w:val="0E13461A"/>
    <w:rsid w:val="0E1B218F"/>
    <w:rsid w:val="0E2B1E97"/>
    <w:rsid w:val="0E2D1CAE"/>
    <w:rsid w:val="0E3077FA"/>
    <w:rsid w:val="0E907C28"/>
    <w:rsid w:val="0E916417"/>
    <w:rsid w:val="0E9F1947"/>
    <w:rsid w:val="0EC84C42"/>
    <w:rsid w:val="0EE63D4A"/>
    <w:rsid w:val="0EEE3A8C"/>
    <w:rsid w:val="0F025E79"/>
    <w:rsid w:val="0F0E5134"/>
    <w:rsid w:val="0F6B2981"/>
    <w:rsid w:val="0F9D1B5D"/>
    <w:rsid w:val="0FA653EC"/>
    <w:rsid w:val="0FB91F68"/>
    <w:rsid w:val="0FFA15D7"/>
    <w:rsid w:val="103C6517"/>
    <w:rsid w:val="10623A55"/>
    <w:rsid w:val="10686FA4"/>
    <w:rsid w:val="108D7F2D"/>
    <w:rsid w:val="10A52D6D"/>
    <w:rsid w:val="10A8794F"/>
    <w:rsid w:val="10B2372E"/>
    <w:rsid w:val="10C2115F"/>
    <w:rsid w:val="10CE258E"/>
    <w:rsid w:val="110A2A60"/>
    <w:rsid w:val="1121031F"/>
    <w:rsid w:val="112304D6"/>
    <w:rsid w:val="118264C8"/>
    <w:rsid w:val="118464D6"/>
    <w:rsid w:val="11A74401"/>
    <w:rsid w:val="11D74086"/>
    <w:rsid w:val="121839CF"/>
    <w:rsid w:val="126A42BE"/>
    <w:rsid w:val="12711045"/>
    <w:rsid w:val="129D1E2B"/>
    <w:rsid w:val="12A15DBF"/>
    <w:rsid w:val="12CE4624"/>
    <w:rsid w:val="12D62528"/>
    <w:rsid w:val="12FC6B2D"/>
    <w:rsid w:val="130C4D20"/>
    <w:rsid w:val="130E3612"/>
    <w:rsid w:val="13732F9E"/>
    <w:rsid w:val="139C15FB"/>
    <w:rsid w:val="13AC6842"/>
    <w:rsid w:val="13E72FD7"/>
    <w:rsid w:val="13EF753A"/>
    <w:rsid w:val="14316BE2"/>
    <w:rsid w:val="14452ECF"/>
    <w:rsid w:val="14476C69"/>
    <w:rsid w:val="14A04649"/>
    <w:rsid w:val="14BA23CD"/>
    <w:rsid w:val="14F5305A"/>
    <w:rsid w:val="14F8265B"/>
    <w:rsid w:val="152D4E8F"/>
    <w:rsid w:val="15436378"/>
    <w:rsid w:val="158C2A9E"/>
    <w:rsid w:val="15BD17CC"/>
    <w:rsid w:val="15C70211"/>
    <w:rsid w:val="15D2050D"/>
    <w:rsid w:val="15D534D5"/>
    <w:rsid w:val="15D905EF"/>
    <w:rsid w:val="15E1484F"/>
    <w:rsid w:val="15E878E7"/>
    <w:rsid w:val="15F61E65"/>
    <w:rsid w:val="160C4AD3"/>
    <w:rsid w:val="164235D2"/>
    <w:rsid w:val="164E59AC"/>
    <w:rsid w:val="16AE1659"/>
    <w:rsid w:val="16B37466"/>
    <w:rsid w:val="16B678C8"/>
    <w:rsid w:val="16B7018B"/>
    <w:rsid w:val="16CA3642"/>
    <w:rsid w:val="16CD46E2"/>
    <w:rsid w:val="16D4409F"/>
    <w:rsid w:val="16E24575"/>
    <w:rsid w:val="16E36788"/>
    <w:rsid w:val="172A3165"/>
    <w:rsid w:val="174B7E4F"/>
    <w:rsid w:val="17703CEC"/>
    <w:rsid w:val="17704CBB"/>
    <w:rsid w:val="177A427B"/>
    <w:rsid w:val="177C623F"/>
    <w:rsid w:val="17A94D46"/>
    <w:rsid w:val="17DA73FA"/>
    <w:rsid w:val="17FC4279"/>
    <w:rsid w:val="18497B8D"/>
    <w:rsid w:val="186C7557"/>
    <w:rsid w:val="187727B1"/>
    <w:rsid w:val="18787854"/>
    <w:rsid w:val="18792804"/>
    <w:rsid w:val="18AC040B"/>
    <w:rsid w:val="18AF6E77"/>
    <w:rsid w:val="190B2C52"/>
    <w:rsid w:val="192B2E0B"/>
    <w:rsid w:val="19354787"/>
    <w:rsid w:val="193C7461"/>
    <w:rsid w:val="194062AC"/>
    <w:rsid w:val="196C4EB5"/>
    <w:rsid w:val="19893408"/>
    <w:rsid w:val="19B72618"/>
    <w:rsid w:val="19D64AD9"/>
    <w:rsid w:val="1A052931"/>
    <w:rsid w:val="1A0B265E"/>
    <w:rsid w:val="1A3B6ADF"/>
    <w:rsid w:val="1A4E0D43"/>
    <w:rsid w:val="1A69015E"/>
    <w:rsid w:val="1A7363A2"/>
    <w:rsid w:val="1AA74E2F"/>
    <w:rsid w:val="1ACD1314"/>
    <w:rsid w:val="1AF705CD"/>
    <w:rsid w:val="1B0972C1"/>
    <w:rsid w:val="1B3444B3"/>
    <w:rsid w:val="1B5C62F4"/>
    <w:rsid w:val="1B725ABE"/>
    <w:rsid w:val="1B9D3526"/>
    <w:rsid w:val="1BA762F4"/>
    <w:rsid w:val="1BB00878"/>
    <w:rsid w:val="1BDA1FBE"/>
    <w:rsid w:val="1C0B2183"/>
    <w:rsid w:val="1C125B1F"/>
    <w:rsid w:val="1C2504F7"/>
    <w:rsid w:val="1C3F5043"/>
    <w:rsid w:val="1C9A4378"/>
    <w:rsid w:val="1C9F0947"/>
    <w:rsid w:val="1CA425AC"/>
    <w:rsid w:val="1CC3108C"/>
    <w:rsid w:val="1CD172EC"/>
    <w:rsid w:val="1D1A4FFD"/>
    <w:rsid w:val="1D2A71DF"/>
    <w:rsid w:val="1D341126"/>
    <w:rsid w:val="1D516F0D"/>
    <w:rsid w:val="1D6C533C"/>
    <w:rsid w:val="1D6E166D"/>
    <w:rsid w:val="1D8D6F97"/>
    <w:rsid w:val="1DA40E2D"/>
    <w:rsid w:val="1DCB2968"/>
    <w:rsid w:val="1DEB4AC6"/>
    <w:rsid w:val="1DF03FB4"/>
    <w:rsid w:val="1E020C2E"/>
    <w:rsid w:val="1E8638AA"/>
    <w:rsid w:val="1EA713CF"/>
    <w:rsid w:val="1ECB1DF8"/>
    <w:rsid w:val="1EF47E41"/>
    <w:rsid w:val="1EFB7F9E"/>
    <w:rsid w:val="1F0A0039"/>
    <w:rsid w:val="1F0A55AD"/>
    <w:rsid w:val="1F112D2C"/>
    <w:rsid w:val="1F350348"/>
    <w:rsid w:val="1F595E05"/>
    <w:rsid w:val="1F7911DF"/>
    <w:rsid w:val="1F7A4920"/>
    <w:rsid w:val="1F7F00D0"/>
    <w:rsid w:val="1F9877E0"/>
    <w:rsid w:val="1FB1298B"/>
    <w:rsid w:val="1FC84F3B"/>
    <w:rsid w:val="201F7D75"/>
    <w:rsid w:val="203B5939"/>
    <w:rsid w:val="2048474C"/>
    <w:rsid w:val="20586AF9"/>
    <w:rsid w:val="206378EF"/>
    <w:rsid w:val="206A6309"/>
    <w:rsid w:val="20782F10"/>
    <w:rsid w:val="207E3D8A"/>
    <w:rsid w:val="20B24030"/>
    <w:rsid w:val="20DF0671"/>
    <w:rsid w:val="21203FF1"/>
    <w:rsid w:val="21401E51"/>
    <w:rsid w:val="21412BEF"/>
    <w:rsid w:val="21590F09"/>
    <w:rsid w:val="216A5879"/>
    <w:rsid w:val="216B3724"/>
    <w:rsid w:val="21A25B32"/>
    <w:rsid w:val="21B11DDB"/>
    <w:rsid w:val="21FE5C2A"/>
    <w:rsid w:val="21FF60E4"/>
    <w:rsid w:val="22137E4A"/>
    <w:rsid w:val="22574BFC"/>
    <w:rsid w:val="22665BC6"/>
    <w:rsid w:val="22C47ACD"/>
    <w:rsid w:val="22C640B1"/>
    <w:rsid w:val="22C82E3F"/>
    <w:rsid w:val="22E32005"/>
    <w:rsid w:val="22E83B41"/>
    <w:rsid w:val="22EF6A91"/>
    <w:rsid w:val="22F81F41"/>
    <w:rsid w:val="23343E93"/>
    <w:rsid w:val="23394CF8"/>
    <w:rsid w:val="23444A7B"/>
    <w:rsid w:val="23F1725B"/>
    <w:rsid w:val="23FE30D2"/>
    <w:rsid w:val="2400141A"/>
    <w:rsid w:val="24076E83"/>
    <w:rsid w:val="246138B4"/>
    <w:rsid w:val="24710188"/>
    <w:rsid w:val="247707E6"/>
    <w:rsid w:val="24A12C4A"/>
    <w:rsid w:val="24F565BD"/>
    <w:rsid w:val="250977CA"/>
    <w:rsid w:val="25150427"/>
    <w:rsid w:val="2521623A"/>
    <w:rsid w:val="253636BD"/>
    <w:rsid w:val="255A3D87"/>
    <w:rsid w:val="25667DE8"/>
    <w:rsid w:val="25861A3C"/>
    <w:rsid w:val="25BF29B1"/>
    <w:rsid w:val="25D05B93"/>
    <w:rsid w:val="25D805A5"/>
    <w:rsid w:val="25DD5CD1"/>
    <w:rsid w:val="25EA5B22"/>
    <w:rsid w:val="26075673"/>
    <w:rsid w:val="260E67DA"/>
    <w:rsid w:val="264620DA"/>
    <w:rsid w:val="264D58E1"/>
    <w:rsid w:val="267E020E"/>
    <w:rsid w:val="26941050"/>
    <w:rsid w:val="26BA2CF1"/>
    <w:rsid w:val="26D755FC"/>
    <w:rsid w:val="26EA0B82"/>
    <w:rsid w:val="26FD4310"/>
    <w:rsid w:val="270F3C04"/>
    <w:rsid w:val="272B5316"/>
    <w:rsid w:val="27310839"/>
    <w:rsid w:val="27376366"/>
    <w:rsid w:val="2749208B"/>
    <w:rsid w:val="27A43CA3"/>
    <w:rsid w:val="27A75E38"/>
    <w:rsid w:val="27B34E1C"/>
    <w:rsid w:val="27C946AD"/>
    <w:rsid w:val="27D63A8E"/>
    <w:rsid w:val="28045D05"/>
    <w:rsid w:val="28055B88"/>
    <w:rsid w:val="283312D7"/>
    <w:rsid w:val="28500C93"/>
    <w:rsid w:val="285E0C14"/>
    <w:rsid w:val="287D00EF"/>
    <w:rsid w:val="288D486B"/>
    <w:rsid w:val="28954A1A"/>
    <w:rsid w:val="289E7709"/>
    <w:rsid w:val="28E21D23"/>
    <w:rsid w:val="28ED5C98"/>
    <w:rsid w:val="28F40024"/>
    <w:rsid w:val="29150C89"/>
    <w:rsid w:val="297B500B"/>
    <w:rsid w:val="298205D7"/>
    <w:rsid w:val="29C96261"/>
    <w:rsid w:val="29DD14F3"/>
    <w:rsid w:val="29F618F0"/>
    <w:rsid w:val="2A3C4E72"/>
    <w:rsid w:val="2A8632C3"/>
    <w:rsid w:val="2A9F4BDF"/>
    <w:rsid w:val="2AA54785"/>
    <w:rsid w:val="2AB2059E"/>
    <w:rsid w:val="2AB60403"/>
    <w:rsid w:val="2AC343B0"/>
    <w:rsid w:val="2ACF141A"/>
    <w:rsid w:val="2AE21060"/>
    <w:rsid w:val="2AEE01E9"/>
    <w:rsid w:val="2B1C4C5E"/>
    <w:rsid w:val="2B1D7E40"/>
    <w:rsid w:val="2B29042A"/>
    <w:rsid w:val="2B3229F9"/>
    <w:rsid w:val="2B694E64"/>
    <w:rsid w:val="2B7053E1"/>
    <w:rsid w:val="2B9A01B3"/>
    <w:rsid w:val="2BA72551"/>
    <w:rsid w:val="2BE14AA6"/>
    <w:rsid w:val="2C0828CE"/>
    <w:rsid w:val="2C2621E0"/>
    <w:rsid w:val="2C314321"/>
    <w:rsid w:val="2CE537CF"/>
    <w:rsid w:val="2CFF4B1A"/>
    <w:rsid w:val="2D21718C"/>
    <w:rsid w:val="2D3E72A4"/>
    <w:rsid w:val="2D910CCA"/>
    <w:rsid w:val="2DAB03E0"/>
    <w:rsid w:val="2DC74E76"/>
    <w:rsid w:val="2E2447F8"/>
    <w:rsid w:val="2E283095"/>
    <w:rsid w:val="2E330DFE"/>
    <w:rsid w:val="2E3F520B"/>
    <w:rsid w:val="2E450F19"/>
    <w:rsid w:val="2E744C50"/>
    <w:rsid w:val="2EAF1ECC"/>
    <w:rsid w:val="2EBB4674"/>
    <w:rsid w:val="2EF7334B"/>
    <w:rsid w:val="2EFE07BD"/>
    <w:rsid w:val="2F034795"/>
    <w:rsid w:val="2F0F262D"/>
    <w:rsid w:val="2F214A66"/>
    <w:rsid w:val="2F2E710F"/>
    <w:rsid w:val="2F3712BD"/>
    <w:rsid w:val="2F823FB3"/>
    <w:rsid w:val="2F8653BE"/>
    <w:rsid w:val="2F925D36"/>
    <w:rsid w:val="2FA6463D"/>
    <w:rsid w:val="2FE76F69"/>
    <w:rsid w:val="30747B33"/>
    <w:rsid w:val="307C2B0F"/>
    <w:rsid w:val="30CC5429"/>
    <w:rsid w:val="30CF3D8F"/>
    <w:rsid w:val="30DD3B46"/>
    <w:rsid w:val="317F4F45"/>
    <w:rsid w:val="318208CB"/>
    <w:rsid w:val="31891DEF"/>
    <w:rsid w:val="318F6FE7"/>
    <w:rsid w:val="31B65212"/>
    <w:rsid w:val="31B716CC"/>
    <w:rsid w:val="31C15144"/>
    <w:rsid w:val="3210018D"/>
    <w:rsid w:val="32172CC0"/>
    <w:rsid w:val="32762CD9"/>
    <w:rsid w:val="327C1C3A"/>
    <w:rsid w:val="329E4A9A"/>
    <w:rsid w:val="32BF31E5"/>
    <w:rsid w:val="32C0509B"/>
    <w:rsid w:val="32D00B1F"/>
    <w:rsid w:val="32E00617"/>
    <w:rsid w:val="32EB6A80"/>
    <w:rsid w:val="33155566"/>
    <w:rsid w:val="33264A12"/>
    <w:rsid w:val="33321F20"/>
    <w:rsid w:val="335B4BC6"/>
    <w:rsid w:val="335E62F5"/>
    <w:rsid w:val="33844D86"/>
    <w:rsid w:val="338E62B0"/>
    <w:rsid w:val="33D072F5"/>
    <w:rsid w:val="33F94D31"/>
    <w:rsid w:val="33FD0D5F"/>
    <w:rsid w:val="3442779C"/>
    <w:rsid w:val="344D6663"/>
    <w:rsid w:val="34564F03"/>
    <w:rsid w:val="34CE7DE6"/>
    <w:rsid w:val="34D1203B"/>
    <w:rsid w:val="34E8608B"/>
    <w:rsid w:val="35072613"/>
    <w:rsid w:val="352212B0"/>
    <w:rsid w:val="35504ABA"/>
    <w:rsid w:val="356313D6"/>
    <w:rsid w:val="35655971"/>
    <w:rsid w:val="357133D0"/>
    <w:rsid w:val="357E1ABC"/>
    <w:rsid w:val="358256DE"/>
    <w:rsid w:val="35912607"/>
    <w:rsid w:val="35C968C4"/>
    <w:rsid w:val="35CE3B2D"/>
    <w:rsid w:val="35D62C18"/>
    <w:rsid w:val="362106C5"/>
    <w:rsid w:val="36456732"/>
    <w:rsid w:val="364E7777"/>
    <w:rsid w:val="365A1B06"/>
    <w:rsid w:val="365E680B"/>
    <w:rsid w:val="366B255D"/>
    <w:rsid w:val="36BC50A3"/>
    <w:rsid w:val="36DC4BC8"/>
    <w:rsid w:val="36FD0984"/>
    <w:rsid w:val="3727484A"/>
    <w:rsid w:val="37292AB4"/>
    <w:rsid w:val="37563D94"/>
    <w:rsid w:val="376B612E"/>
    <w:rsid w:val="37B262E2"/>
    <w:rsid w:val="37BB5B97"/>
    <w:rsid w:val="37C656FF"/>
    <w:rsid w:val="38123D4F"/>
    <w:rsid w:val="3818287B"/>
    <w:rsid w:val="38230770"/>
    <w:rsid w:val="38230DDD"/>
    <w:rsid w:val="383B48EA"/>
    <w:rsid w:val="38BA0558"/>
    <w:rsid w:val="38C901B2"/>
    <w:rsid w:val="38E829D4"/>
    <w:rsid w:val="393D63DD"/>
    <w:rsid w:val="3974465C"/>
    <w:rsid w:val="39A01902"/>
    <w:rsid w:val="39C01C1B"/>
    <w:rsid w:val="39D66421"/>
    <w:rsid w:val="39E858FA"/>
    <w:rsid w:val="39F23DED"/>
    <w:rsid w:val="39F276F9"/>
    <w:rsid w:val="39FC3E90"/>
    <w:rsid w:val="3A025758"/>
    <w:rsid w:val="3A426344"/>
    <w:rsid w:val="3A481BEE"/>
    <w:rsid w:val="3A7933E4"/>
    <w:rsid w:val="3A7A5F0D"/>
    <w:rsid w:val="3A85441F"/>
    <w:rsid w:val="3A8B5597"/>
    <w:rsid w:val="3B0546BF"/>
    <w:rsid w:val="3B6A3C9A"/>
    <w:rsid w:val="3B6B44CB"/>
    <w:rsid w:val="3B871D7C"/>
    <w:rsid w:val="3BAF550E"/>
    <w:rsid w:val="3C307020"/>
    <w:rsid w:val="3C322875"/>
    <w:rsid w:val="3C577749"/>
    <w:rsid w:val="3C5B6DEA"/>
    <w:rsid w:val="3C6F2BC5"/>
    <w:rsid w:val="3CB15025"/>
    <w:rsid w:val="3CB21CF8"/>
    <w:rsid w:val="3CC92A2C"/>
    <w:rsid w:val="3CCF6470"/>
    <w:rsid w:val="3CFE6340"/>
    <w:rsid w:val="3CFF62DF"/>
    <w:rsid w:val="3D28676A"/>
    <w:rsid w:val="3D3A3241"/>
    <w:rsid w:val="3D3A324A"/>
    <w:rsid w:val="3D507B16"/>
    <w:rsid w:val="3D5E24EB"/>
    <w:rsid w:val="3D662290"/>
    <w:rsid w:val="3D693808"/>
    <w:rsid w:val="3D723567"/>
    <w:rsid w:val="3D7A394F"/>
    <w:rsid w:val="3D82334E"/>
    <w:rsid w:val="3D914435"/>
    <w:rsid w:val="3DA67CC4"/>
    <w:rsid w:val="3DDB54B1"/>
    <w:rsid w:val="3E14449E"/>
    <w:rsid w:val="3E3A30B6"/>
    <w:rsid w:val="3E4E3727"/>
    <w:rsid w:val="3E661FED"/>
    <w:rsid w:val="3E8C4394"/>
    <w:rsid w:val="3E9B2484"/>
    <w:rsid w:val="3EB22DC6"/>
    <w:rsid w:val="3EB56B05"/>
    <w:rsid w:val="3ED71207"/>
    <w:rsid w:val="3F2529F5"/>
    <w:rsid w:val="3F4E7942"/>
    <w:rsid w:val="3F4F10FA"/>
    <w:rsid w:val="3F5B30D3"/>
    <w:rsid w:val="3F787C68"/>
    <w:rsid w:val="3FB76DD9"/>
    <w:rsid w:val="3FE609C8"/>
    <w:rsid w:val="400744C4"/>
    <w:rsid w:val="406C0E76"/>
    <w:rsid w:val="406F37B6"/>
    <w:rsid w:val="40731281"/>
    <w:rsid w:val="408452FD"/>
    <w:rsid w:val="40D67BFB"/>
    <w:rsid w:val="40F62393"/>
    <w:rsid w:val="40FC30D3"/>
    <w:rsid w:val="41290EA1"/>
    <w:rsid w:val="417C6D24"/>
    <w:rsid w:val="41931181"/>
    <w:rsid w:val="41987521"/>
    <w:rsid w:val="41BF74A7"/>
    <w:rsid w:val="41C24F9E"/>
    <w:rsid w:val="41DE3E4C"/>
    <w:rsid w:val="41E63835"/>
    <w:rsid w:val="421C36DE"/>
    <w:rsid w:val="42292374"/>
    <w:rsid w:val="42395A2A"/>
    <w:rsid w:val="427773AC"/>
    <w:rsid w:val="429B490F"/>
    <w:rsid w:val="42BB78D5"/>
    <w:rsid w:val="42E74C78"/>
    <w:rsid w:val="42FD5A86"/>
    <w:rsid w:val="43157516"/>
    <w:rsid w:val="4333060A"/>
    <w:rsid w:val="434B5CA7"/>
    <w:rsid w:val="435F23A6"/>
    <w:rsid w:val="436D455C"/>
    <w:rsid w:val="44062E9A"/>
    <w:rsid w:val="4439487D"/>
    <w:rsid w:val="445864AA"/>
    <w:rsid w:val="4496411B"/>
    <w:rsid w:val="44AA5EE3"/>
    <w:rsid w:val="44AD671A"/>
    <w:rsid w:val="44B12135"/>
    <w:rsid w:val="44C638F4"/>
    <w:rsid w:val="44C82DE0"/>
    <w:rsid w:val="44D16876"/>
    <w:rsid w:val="44D32383"/>
    <w:rsid w:val="44DD11E1"/>
    <w:rsid w:val="44F520F8"/>
    <w:rsid w:val="45274B9D"/>
    <w:rsid w:val="45335F76"/>
    <w:rsid w:val="45442ABC"/>
    <w:rsid w:val="454F24FA"/>
    <w:rsid w:val="459A29F1"/>
    <w:rsid w:val="45CA61F9"/>
    <w:rsid w:val="45F127D2"/>
    <w:rsid w:val="45FA621E"/>
    <w:rsid w:val="45FD4081"/>
    <w:rsid w:val="46025C83"/>
    <w:rsid w:val="461E595F"/>
    <w:rsid w:val="4627687A"/>
    <w:rsid w:val="463F2803"/>
    <w:rsid w:val="46646E04"/>
    <w:rsid w:val="46D4028F"/>
    <w:rsid w:val="47093965"/>
    <w:rsid w:val="472F68AA"/>
    <w:rsid w:val="474C7AC9"/>
    <w:rsid w:val="477758CD"/>
    <w:rsid w:val="47804824"/>
    <w:rsid w:val="47F07144"/>
    <w:rsid w:val="47FF4D48"/>
    <w:rsid w:val="480547A1"/>
    <w:rsid w:val="48142CB3"/>
    <w:rsid w:val="481D3968"/>
    <w:rsid w:val="4851756B"/>
    <w:rsid w:val="48A05DAE"/>
    <w:rsid w:val="48C63A6A"/>
    <w:rsid w:val="48C75EB9"/>
    <w:rsid w:val="48D63864"/>
    <w:rsid w:val="48D802DB"/>
    <w:rsid w:val="49211327"/>
    <w:rsid w:val="49450559"/>
    <w:rsid w:val="495A4162"/>
    <w:rsid w:val="49A32C5B"/>
    <w:rsid w:val="49DD130A"/>
    <w:rsid w:val="4A192199"/>
    <w:rsid w:val="4A2444C0"/>
    <w:rsid w:val="4A5F1111"/>
    <w:rsid w:val="4A6F5A17"/>
    <w:rsid w:val="4AC560B0"/>
    <w:rsid w:val="4AF52427"/>
    <w:rsid w:val="4AF87D4C"/>
    <w:rsid w:val="4B050923"/>
    <w:rsid w:val="4B0769EB"/>
    <w:rsid w:val="4B1F3FB9"/>
    <w:rsid w:val="4B327FBD"/>
    <w:rsid w:val="4B373E32"/>
    <w:rsid w:val="4B4051DE"/>
    <w:rsid w:val="4B824F89"/>
    <w:rsid w:val="4B956F3C"/>
    <w:rsid w:val="4BA852CF"/>
    <w:rsid w:val="4BAA4880"/>
    <w:rsid w:val="4BD34D4E"/>
    <w:rsid w:val="4BFC2728"/>
    <w:rsid w:val="4C0E7986"/>
    <w:rsid w:val="4C525A0E"/>
    <w:rsid w:val="4C6F32BB"/>
    <w:rsid w:val="4CF0355A"/>
    <w:rsid w:val="4D07608B"/>
    <w:rsid w:val="4D1570D8"/>
    <w:rsid w:val="4D4C0D86"/>
    <w:rsid w:val="4D6001B5"/>
    <w:rsid w:val="4D835A65"/>
    <w:rsid w:val="4D88692F"/>
    <w:rsid w:val="4DB60515"/>
    <w:rsid w:val="4DC67C2C"/>
    <w:rsid w:val="4DE26C00"/>
    <w:rsid w:val="4DEE55A3"/>
    <w:rsid w:val="4E0552E1"/>
    <w:rsid w:val="4E552916"/>
    <w:rsid w:val="4E6A4DD2"/>
    <w:rsid w:val="4EAE055B"/>
    <w:rsid w:val="4ED01186"/>
    <w:rsid w:val="4EE40CD8"/>
    <w:rsid w:val="4EE80209"/>
    <w:rsid w:val="4EEA7ABC"/>
    <w:rsid w:val="4EFE69C5"/>
    <w:rsid w:val="4F040C01"/>
    <w:rsid w:val="4F0B62ED"/>
    <w:rsid w:val="4F62109D"/>
    <w:rsid w:val="4FC63BEC"/>
    <w:rsid w:val="4FC83FAB"/>
    <w:rsid w:val="4FCD54A1"/>
    <w:rsid w:val="4FD53E63"/>
    <w:rsid w:val="4FF745E3"/>
    <w:rsid w:val="501A0B87"/>
    <w:rsid w:val="5076633A"/>
    <w:rsid w:val="50890F94"/>
    <w:rsid w:val="508A27A5"/>
    <w:rsid w:val="509B410A"/>
    <w:rsid w:val="50A46DCF"/>
    <w:rsid w:val="50EF723C"/>
    <w:rsid w:val="50F408DD"/>
    <w:rsid w:val="5122660F"/>
    <w:rsid w:val="512E2F94"/>
    <w:rsid w:val="51656144"/>
    <w:rsid w:val="517C5E21"/>
    <w:rsid w:val="517E0672"/>
    <w:rsid w:val="51827D71"/>
    <w:rsid w:val="518F1083"/>
    <w:rsid w:val="519505CD"/>
    <w:rsid w:val="519C08EB"/>
    <w:rsid w:val="51B44518"/>
    <w:rsid w:val="51C1509D"/>
    <w:rsid w:val="51C336EF"/>
    <w:rsid w:val="51C90584"/>
    <w:rsid w:val="51D752E6"/>
    <w:rsid w:val="51DC72CD"/>
    <w:rsid w:val="51E97688"/>
    <w:rsid w:val="526B7959"/>
    <w:rsid w:val="52A4739B"/>
    <w:rsid w:val="52B92BBE"/>
    <w:rsid w:val="52CB5F4B"/>
    <w:rsid w:val="52FA7AC5"/>
    <w:rsid w:val="52FB77BD"/>
    <w:rsid w:val="53095451"/>
    <w:rsid w:val="53284C6A"/>
    <w:rsid w:val="533B5413"/>
    <w:rsid w:val="53861122"/>
    <w:rsid w:val="53893EDF"/>
    <w:rsid w:val="53BC703E"/>
    <w:rsid w:val="53C15403"/>
    <w:rsid w:val="53E24101"/>
    <w:rsid w:val="5414568B"/>
    <w:rsid w:val="54887AC0"/>
    <w:rsid w:val="54954CE4"/>
    <w:rsid w:val="549B7D46"/>
    <w:rsid w:val="54E5197E"/>
    <w:rsid w:val="553349F4"/>
    <w:rsid w:val="555D063D"/>
    <w:rsid w:val="55777B86"/>
    <w:rsid w:val="55821856"/>
    <w:rsid w:val="55897D62"/>
    <w:rsid w:val="55A16DAB"/>
    <w:rsid w:val="55AD492F"/>
    <w:rsid w:val="55D61354"/>
    <w:rsid w:val="55EC09CD"/>
    <w:rsid w:val="55ED77BB"/>
    <w:rsid w:val="56005477"/>
    <w:rsid w:val="56526230"/>
    <w:rsid w:val="565509F5"/>
    <w:rsid w:val="56764037"/>
    <w:rsid w:val="56845CD3"/>
    <w:rsid w:val="56845E83"/>
    <w:rsid w:val="56A1078E"/>
    <w:rsid w:val="56D70F99"/>
    <w:rsid w:val="56F2237D"/>
    <w:rsid w:val="570E7A68"/>
    <w:rsid w:val="5732767F"/>
    <w:rsid w:val="57391D98"/>
    <w:rsid w:val="573D5848"/>
    <w:rsid w:val="57440E05"/>
    <w:rsid w:val="57560C47"/>
    <w:rsid w:val="57815B25"/>
    <w:rsid w:val="57CE3270"/>
    <w:rsid w:val="57D42AB2"/>
    <w:rsid w:val="57E22154"/>
    <w:rsid w:val="57FE2A0B"/>
    <w:rsid w:val="580666C1"/>
    <w:rsid w:val="582F77BB"/>
    <w:rsid w:val="584C3888"/>
    <w:rsid w:val="586B4FAE"/>
    <w:rsid w:val="5870084C"/>
    <w:rsid w:val="5884056F"/>
    <w:rsid w:val="58B0611B"/>
    <w:rsid w:val="592E6D1B"/>
    <w:rsid w:val="594F016D"/>
    <w:rsid w:val="598E46C0"/>
    <w:rsid w:val="59A64059"/>
    <w:rsid w:val="59C063D2"/>
    <w:rsid w:val="59D71E53"/>
    <w:rsid w:val="5A094F0D"/>
    <w:rsid w:val="5A1D751F"/>
    <w:rsid w:val="5A3808F4"/>
    <w:rsid w:val="5A4D37AB"/>
    <w:rsid w:val="5A525338"/>
    <w:rsid w:val="5A6C377F"/>
    <w:rsid w:val="5A722927"/>
    <w:rsid w:val="5A7A4DD6"/>
    <w:rsid w:val="5A805DC5"/>
    <w:rsid w:val="5A877A45"/>
    <w:rsid w:val="5A896F7E"/>
    <w:rsid w:val="5A963A74"/>
    <w:rsid w:val="5AAA3AEB"/>
    <w:rsid w:val="5AE734CF"/>
    <w:rsid w:val="5AEA6985"/>
    <w:rsid w:val="5AF1705C"/>
    <w:rsid w:val="5B284341"/>
    <w:rsid w:val="5B6F370D"/>
    <w:rsid w:val="5B767D74"/>
    <w:rsid w:val="5B8239C2"/>
    <w:rsid w:val="5BA47A3D"/>
    <w:rsid w:val="5BA630DD"/>
    <w:rsid w:val="5BAA6C70"/>
    <w:rsid w:val="5BAC7BC0"/>
    <w:rsid w:val="5BB3338C"/>
    <w:rsid w:val="5BC02E0D"/>
    <w:rsid w:val="5BC763BE"/>
    <w:rsid w:val="5BCE517E"/>
    <w:rsid w:val="5BEB3803"/>
    <w:rsid w:val="5C3E1E53"/>
    <w:rsid w:val="5CAE0A29"/>
    <w:rsid w:val="5CC94F0D"/>
    <w:rsid w:val="5CE654F6"/>
    <w:rsid w:val="5CE8641E"/>
    <w:rsid w:val="5D4D542B"/>
    <w:rsid w:val="5D521AD7"/>
    <w:rsid w:val="5D6025F5"/>
    <w:rsid w:val="5D8D510F"/>
    <w:rsid w:val="5D906260"/>
    <w:rsid w:val="5D952649"/>
    <w:rsid w:val="5DB27716"/>
    <w:rsid w:val="5DB86D61"/>
    <w:rsid w:val="5DD46AEF"/>
    <w:rsid w:val="5E066B6F"/>
    <w:rsid w:val="5E18239C"/>
    <w:rsid w:val="5E2F110F"/>
    <w:rsid w:val="5E3653FE"/>
    <w:rsid w:val="5E3817E3"/>
    <w:rsid w:val="5E487849"/>
    <w:rsid w:val="5E5A2E99"/>
    <w:rsid w:val="5E8346E7"/>
    <w:rsid w:val="5ECD6401"/>
    <w:rsid w:val="5ED76166"/>
    <w:rsid w:val="5EF24E5E"/>
    <w:rsid w:val="5FB742A9"/>
    <w:rsid w:val="5FC45807"/>
    <w:rsid w:val="5FEE0E14"/>
    <w:rsid w:val="5FF113DA"/>
    <w:rsid w:val="60494240"/>
    <w:rsid w:val="60693D3F"/>
    <w:rsid w:val="60B21015"/>
    <w:rsid w:val="60E779ED"/>
    <w:rsid w:val="612D33F1"/>
    <w:rsid w:val="61577D1F"/>
    <w:rsid w:val="6162595E"/>
    <w:rsid w:val="616A31C9"/>
    <w:rsid w:val="616C0729"/>
    <w:rsid w:val="61F153F2"/>
    <w:rsid w:val="61F76216"/>
    <w:rsid w:val="621B067B"/>
    <w:rsid w:val="622E65D2"/>
    <w:rsid w:val="623B4EC1"/>
    <w:rsid w:val="624C3987"/>
    <w:rsid w:val="62A430B3"/>
    <w:rsid w:val="62C81499"/>
    <w:rsid w:val="62DA53F2"/>
    <w:rsid w:val="62F32706"/>
    <w:rsid w:val="63076C2B"/>
    <w:rsid w:val="632D76E2"/>
    <w:rsid w:val="635A29EF"/>
    <w:rsid w:val="636565EA"/>
    <w:rsid w:val="639821C8"/>
    <w:rsid w:val="63A56F4A"/>
    <w:rsid w:val="63B02D8F"/>
    <w:rsid w:val="63D72F3B"/>
    <w:rsid w:val="63DA31E8"/>
    <w:rsid w:val="63E05BD3"/>
    <w:rsid w:val="63FB4105"/>
    <w:rsid w:val="64353509"/>
    <w:rsid w:val="64486174"/>
    <w:rsid w:val="645B2FDC"/>
    <w:rsid w:val="646F6779"/>
    <w:rsid w:val="647B1929"/>
    <w:rsid w:val="64D57597"/>
    <w:rsid w:val="64EE5661"/>
    <w:rsid w:val="65055F25"/>
    <w:rsid w:val="65163488"/>
    <w:rsid w:val="65180968"/>
    <w:rsid w:val="65192C35"/>
    <w:rsid w:val="654037E9"/>
    <w:rsid w:val="6558447F"/>
    <w:rsid w:val="65664F1C"/>
    <w:rsid w:val="65A77A4C"/>
    <w:rsid w:val="65AB61D6"/>
    <w:rsid w:val="65CD611B"/>
    <w:rsid w:val="65D826B6"/>
    <w:rsid w:val="65E855D7"/>
    <w:rsid w:val="660E3750"/>
    <w:rsid w:val="66162F55"/>
    <w:rsid w:val="66183600"/>
    <w:rsid w:val="662706A8"/>
    <w:rsid w:val="66637EB4"/>
    <w:rsid w:val="66780E3C"/>
    <w:rsid w:val="66FB5FF0"/>
    <w:rsid w:val="66FB62DA"/>
    <w:rsid w:val="67184884"/>
    <w:rsid w:val="673E4C22"/>
    <w:rsid w:val="6766044E"/>
    <w:rsid w:val="67771ED3"/>
    <w:rsid w:val="677A6FBB"/>
    <w:rsid w:val="67C31C66"/>
    <w:rsid w:val="67C96DCC"/>
    <w:rsid w:val="67D04A2E"/>
    <w:rsid w:val="67EF428A"/>
    <w:rsid w:val="680D0853"/>
    <w:rsid w:val="68163279"/>
    <w:rsid w:val="6849041D"/>
    <w:rsid w:val="686243B5"/>
    <w:rsid w:val="686303A7"/>
    <w:rsid w:val="68655A5E"/>
    <w:rsid w:val="686735EB"/>
    <w:rsid w:val="68720AA4"/>
    <w:rsid w:val="6899616A"/>
    <w:rsid w:val="68AB7586"/>
    <w:rsid w:val="68B3314D"/>
    <w:rsid w:val="68B93942"/>
    <w:rsid w:val="68CC10E0"/>
    <w:rsid w:val="68D43E88"/>
    <w:rsid w:val="68E90FF1"/>
    <w:rsid w:val="68EF45DC"/>
    <w:rsid w:val="68F57672"/>
    <w:rsid w:val="690B60BB"/>
    <w:rsid w:val="69264F1A"/>
    <w:rsid w:val="694360DA"/>
    <w:rsid w:val="69443D04"/>
    <w:rsid w:val="69632EA8"/>
    <w:rsid w:val="696E3EC2"/>
    <w:rsid w:val="699650F3"/>
    <w:rsid w:val="69FD5E5B"/>
    <w:rsid w:val="6A0109C7"/>
    <w:rsid w:val="6A0B12DD"/>
    <w:rsid w:val="6A884F48"/>
    <w:rsid w:val="6AAD4240"/>
    <w:rsid w:val="6AC0170C"/>
    <w:rsid w:val="6AC10536"/>
    <w:rsid w:val="6AE73643"/>
    <w:rsid w:val="6B143C26"/>
    <w:rsid w:val="6B210158"/>
    <w:rsid w:val="6B477606"/>
    <w:rsid w:val="6B54070A"/>
    <w:rsid w:val="6B5412EC"/>
    <w:rsid w:val="6B695665"/>
    <w:rsid w:val="6B8B3600"/>
    <w:rsid w:val="6BA835B5"/>
    <w:rsid w:val="6BD44BC4"/>
    <w:rsid w:val="6BEA5DAF"/>
    <w:rsid w:val="6C077149"/>
    <w:rsid w:val="6C1C7861"/>
    <w:rsid w:val="6C4328A9"/>
    <w:rsid w:val="6C887893"/>
    <w:rsid w:val="6C923524"/>
    <w:rsid w:val="6CAE7205"/>
    <w:rsid w:val="6CB15DF2"/>
    <w:rsid w:val="6CD91C16"/>
    <w:rsid w:val="6CDB6FB2"/>
    <w:rsid w:val="6CEB3FDA"/>
    <w:rsid w:val="6D025339"/>
    <w:rsid w:val="6D204D18"/>
    <w:rsid w:val="6D24206E"/>
    <w:rsid w:val="6D396A26"/>
    <w:rsid w:val="6D3A1A46"/>
    <w:rsid w:val="6D942A73"/>
    <w:rsid w:val="6DA11AC8"/>
    <w:rsid w:val="6DAB363C"/>
    <w:rsid w:val="6DBD1874"/>
    <w:rsid w:val="6DD536BF"/>
    <w:rsid w:val="6DDA7C24"/>
    <w:rsid w:val="6E23733F"/>
    <w:rsid w:val="6E25595E"/>
    <w:rsid w:val="6E377520"/>
    <w:rsid w:val="6E386257"/>
    <w:rsid w:val="6E6764B6"/>
    <w:rsid w:val="6E8839BB"/>
    <w:rsid w:val="6E8C694C"/>
    <w:rsid w:val="6E8D495F"/>
    <w:rsid w:val="6E943470"/>
    <w:rsid w:val="6E973D16"/>
    <w:rsid w:val="6EA61032"/>
    <w:rsid w:val="6EAB580A"/>
    <w:rsid w:val="6EAE356B"/>
    <w:rsid w:val="6EF44646"/>
    <w:rsid w:val="6F0239AB"/>
    <w:rsid w:val="6F13418E"/>
    <w:rsid w:val="6F333581"/>
    <w:rsid w:val="6F4E3826"/>
    <w:rsid w:val="6F4E7729"/>
    <w:rsid w:val="6F751CC3"/>
    <w:rsid w:val="6F9146A6"/>
    <w:rsid w:val="6FA666F4"/>
    <w:rsid w:val="6FBF23CF"/>
    <w:rsid w:val="6FC95F44"/>
    <w:rsid w:val="6FE64760"/>
    <w:rsid w:val="70083442"/>
    <w:rsid w:val="700A5693"/>
    <w:rsid w:val="701D45EA"/>
    <w:rsid w:val="702B30C9"/>
    <w:rsid w:val="70357B72"/>
    <w:rsid w:val="703F4570"/>
    <w:rsid w:val="70527ECF"/>
    <w:rsid w:val="7073644F"/>
    <w:rsid w:val="708164B2"/>
    <w:rsid w:val="70B00BBA"/>
    <w:rsid w:val="70CA45E4"/>
    <w:rsid w:val="70D60D65"/>
    <w:rsid w:val="70E31415"/>
    <w:rsid w:val="71166A2D"/>
    <w:rsid w:val="714B4E4C"/>
    <w:rsid w:val="7158436D"/>
    <w:rsid w:val="7164354E"/>
    <w:rsid w:val="716A3B39"/>
    <w:rsid w:val="72162804"/>
    <w:rsid w:val="725F5363"/>
    <w:rsid w:val="72607997"/>
    <w:rsid w:val="72622DC2"/>
    <w:rsid w:val="72680B18"/>
    <w:rsid w:val="728F0A49"/>
    <w:rsid w:val="72CB0F5D"/>
    <w:rsid w:val="72DA1DEA"/>
    <w:rsid w:val="72FA3D7C"/>
    <w:rsid w:val="730C5265"/>
    <w:rsid w:val="7349159F"/>
    <w:rsid w:val="736C048B"/>
    <w:rsid w:val="739D4A2B"/>
    <w:rsid w:val="73A702D8"/>
    <w:rsid w:val="740753B6"/>
    <w:rsid w:val="742E71E4"/>
    <w:rsid w:val="74731528"/>
    <w:rsid w:val="748165AC"/>
    <w:rsid w:val="749D7CEA"/>
    <w:rsid w:val="74AE272A"/>
    <w:rsid w:val="74B254DC"/>
    <w:rsid w:val="74D23178"/>
    <w:rsid w:val="74DE789C"/>
    <w:rsid w:val="750C45D9"/>
    <w:rsid w:val="752535FB"/>
    <w:rsid w:val="753A328B"/>
    <w:rsid w:val="753E44D6"/>
    <w:rsid w:val="754524EC"/>
    <w:rsid w:val="75597FE1"/>
    <w:rsid w:val="756D430F"/>
    <w:rsid w:val="75742CBF"/>
    <w:rsid w:val="75813D9B"/>
    <w:rsid w:val="75A8650B"/>
    <w:rsid w:val="75C5409C"/>
    <w:rsid w:val="75CA34F1"/>
    <w:rsid w:val="75E31D49"/>
    <w:rsid w:val="75F704A7"/>
    <w:rsid w:val="760278E8"/>
    <w:rsid w:val="761F3AFB"/>
    <w:rsid w:val="762D6361"/>
    <w:rsid w:val="76453852"/>
    <w:rsid w:val="76543BA7"/>
    <w:rsid w:val="76737A91"/>
    <w:rsid w:val="76915A6F"/>
    <w:rsid w:val="76C7144F"/>
    <w:rsid w:val="76EC26E6"/>
    <w:rsid w:val="77217FEE"/>
    <w:rsid w:val="773C79C2"/>
    <w:rsid w:val="774875CB"/>
    <w:rsid w:val="775E1E0D"/>
    <w:rsid w:val="77641692"/>
    <w:rsid w:val="777E62CB"/>
    <w:rsid w:val="77A04E61"/>
    <w:rsid w:val="77B7420E"/>
    <w:rsid w:val="77BC388A"/>
    <w:rsid w:val="77C02440"/>
    <w:rsid w:val="77C830F1"/>
    <w:rsid w:val="780C5DC3"/>
    <w:rsid w:val="78345114"/>
    <w:rsid w:val="783D70DA"/>
    <w:rsid w:val="786C4E52"/>
    <w:rsid w:val="78801E17"/>
    <w:rsid w:val="78994637"/>
    <w:rsid w:val="78A41897"/>
    <w:rsid w:val="78B320C9"/>
    <w:rsid w:val="78BA36CB"/>
    <w:rsid w:val="78C37102"/>
    <w:rsid w:val="78D431CE"/>
    <w:rsid w:val="78D77C15"/>
    <w:rsid w:val="78E613E8"/>
    <w:rsid w:val="7919796C"/>
    <w:rsid w:val="79216338"/>
    <w:rsid w:val="7961496E"/>
    <w:rsid w:val="79860775"/>
    <w:rsid w:val="798645E0"/>
    <w:rsid w:val="79900431"/>
    <w:rsid w:val="79AF7E8F"/>
    <w:rsid w:val="79C050E9"/>
    <w:rsid w:val="79C95548"/>
    <w:rsid w:val="79FF0B5C"/>
    <w:rsid w:val="7A07106D"/>
    <w:rsid w:val="7A2E57D7"/>
    <w:rsid w:val="7A6C1201"/>
    <w:rsid w:val="7A7955DB"/>
    <w:rsid w:val="7A845618"/>
    <w:rsid w:val="7A8D1F4A"/>
    <w:rsid w:val="7AC01F1D"/>
    <w:rsid w:val="7AD84336"/>
    <w:rsid w:val="7ADF396B"/>
    <w:rsid w:val="7AFA08C3"/>
    <w:rsid w:val="7AFF0BDE"/>
    <w:rsid w:val="7B121D72"/>
    <w:rsid w:val="7B2035BA"/>
    <w:rsid w:val="7B357DDA"/>
    <w:rsid w:val="7B6A6FBC"/>
    <w:rsid w:val="7B8720CC"/>
    <w:rsid w:val="7BA00BC1"/>
    <w:rsid w:val="7BA74B77"/>
    <w:rsid w:val="7BA82D8E"/>
    <w:rsid w:val="7BB40D21"/>
    <w:rsid w:val="7BDD2D0C"/>
    <w:rsid w:val="7BF72EFE"/>
    <w:rsid w:val="7BFA0B16"/>
    <w:rsid w:val="7C3E2709"/>
    <w:rsid w:val="7C433E97"/>
    <w:rsid w:val="7C663BE1"/>
    <w:rsid w:val="7C9305CA"/>
    <w:rsid w:val="7CD30C6D"/>
    <w:rsid w:val="7CE4394B"/>
    <w:rsid w:val="7D0C4B9D"/>
    <w:rsid w:val="7D2B1FF5"/>
    <w:rsid w:val="7D3B5124"/>
    <w:rsid w:val="7D5924FF"/>
    <w:rsid w:val="7D7047C0"/>
    <w:rsid w:val="7D7452E2"/>
    <w:rsid w:val="7D7E7CA4"/>
    <w:rsid w:val="7D9745F3"/>
    <w:rsid w:val="7DA11333"/>
    <w:rsid w:val="7DA30CA5"/>
    <w:rsid w:val="7DE94120"/>
    <w:rsid w:val="7E1145E4"/>
    <w:rsid w:val="7E2C1ABD"/>
    <w:rsid w:val="7E3A5BE9"/>
    <w:rsid w:val="7E9B1399"/>
    <w:rsid w:val="7EAE279C"/>
    <w:rsid w:val="7EAF7BEC"/>
    <w:rsid w:val="7EB54DDD"/>
    <w:rsid w:val="7EBB4347"/>
    <w:rsid w:val="7EF06AC9"/>
    <w:rsid w:val="7EF94B52"/>
    <w:rsid w:val="7F202C58"/>
    <w:rsid w:val="7F556C54"/>
    <w:rsid w:val="7F742880"/>
    <w:rsid w:val="7F8508D5"/>
    <w:rsid w:val="7F8C3167"/>
    <w:rsid w:val="7F950D28"/>
    <w:rsid w:val="7FD86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0"/>
    <w:pPr>
      <w:keepNext/>
      <w:keepLines/>
      <w:spacing w:before="340" w:after="330" w:line="578" w:lineRule="auto"/>
      <w:jc w:val="center"/>
      <w:outlineLvl w:val="0"/>
    </w:pPr>
    <w:rPr>
      <w:rFonts w:ascii="Times New Roman" w:hAnsi="Times New Roman"/>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link w:val="25"/>
    <w:qFormat/>
    <w:uiPriority w:val="0"/>
    <w:pPr>
      <w:keepNext/>
      <w:keepLines/>
      <w:numPr>
        <w:ilvl w:val="3"/>
        <w:numId w:val="1"/>
      </w:numPr>
      <w:spacing w:before="280" w:after="290" w:line="376" w:lineRule="auto"/>
      <w:outlineLvl w:val="3"/>
    </w:pPr>
    <w:rPr>
      <w:rFonts w:ascii="Cambria" w:hAnsi="Cambria" w:eastAsia="宋体" w:cs="Times New Roman"/>
      <w:b/>
      <w:bCs/>
      <w:kern w:val="0"/>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7">
    <w:name w:val="Normal Indent"/>
    <w:basedOn w:val="1"/>
    <w:qFormat/>
    <w:uiPriority w:val="0"/>
    <w:pPr>
      <w:ind w:firstLine="420" w:firstLineChars="200"/>
    </w:pPr>
  </w:style>
  <w:style w:type="paragraph" w:styleId="8">
    <w:name w:val="Body Text Indent"/>
    <w:basedOn w:val="1"/>
    <w:qFormat/>
    <w:uiPriority w:val="0"/>
    <w:pPr>
      <w:ind w:firstLine="630"/>
    </w:pPr>
    <w:rPr>
      <w:sz w:val="32"/>
      <w:szCs w:val="20"/>
    </w:rPr>
  </w:style>
  <w:style w:type="paragraph" w:styleId="9">
    <w:name w:val="toc 3"/>
    <w:basedOn w:val="1"/>
    <w:next w:val="1"/>
    <w:qFormat/>
    <w:uiPriority w:val="0"/>
    <w:pPr>
      <w:ind w:left="840" w:leftChars="400"/>
    </w:p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index 1"/>
    <w:basedOn w:val="1"/>
    <w:next w:val="1"/>
    <w:qFormat/>
    <w:uiPriority w:val="0"/>
    <w:pPr>
      <w:tabs>
        <w:tab w:val="right" w:leader="dot" w:pos="8306"/>
      </w:tabs>
      <w:adjustRightInd w:val="0"/>
      <w:spacing w:before="80" w:after="80" w:line="320" w:lineRule="atLeast"/>
      <w:textAlignment w:val="baseline"/>
    </w:pPr>
    <w:rPr>
      <w:rFonts w:ascii="Times New Roman" w:hAnsi="Times New Roman"/>
      <w:kern w:val="0"/>
      <w:sz w:val="24"/>
      <w:szCs w:val="20"/>
    </w:rPr>
  </w:style>
  <w:style w:type="paragraph" w:styleId="15">
    <w:name w:val="Body Text First Indent"/>
    <w:basedOn w:val="2"/>
    <w:qFormat/>
    <w:uiPriority w:val="0"/>
    <w:pPr>
      <w:widowControl w:val="0"/>
      <w:ind w:firstLine="420" w:firstLineChars="100"/>
      <w:jc w:val="both"/>
    </w:pPr>
    <w:rPr>
      <w:rFonts w:ascii="宋体" w:hAnsi="宋体"/>
      <w:kern w:val="2"/>
      <w:sz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qFormat/>
    <w:uiPriority w:val="0"/>
    <w:rPr>
      <w:color w:val="3D3D3D"/>
      <w:u w:val="none"/>
    </w:rPr>
  </w:style>
  <w:style w:type="character" w:customStyle="1" w:styleId="20">
    <w:name w:val="标题 1 Char"/>
    <w:link w:val="3"/>
    <w:qFormat/>
    <w:uiPriority w:val="0"/>
    <w:rPr>
      <w:rFonts w:ascii="Times New Roman" w:hAnsi="Times New Roman"/>
      <w:b/>
      <w:bCs/>
      <w:kern w:val="44"/>
      <w:sz w:val="44"/>
      <w:szCs w:val="44"/>
    </w:rPr>
  </w:style>
  <w:style w:type="paragraph" w:customStyle="1" w:styleId="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2">
    <w:name w:val="正文首行缩进两字符"/>
    <w:basedOn w:val="1"/>
    <w:qFormat/>
    <w:uiPriority w:val="0"/>
    <w:pPr>
      <w:spacing w:line="360" w:lineRule="auto"/>
      <w:ind w:firstLine="200" w:firstLineChars="200"/>
    </w:pPr>
  </w:style>
  <w:style w:type="paragraph" w:customStyle="1" w:styleId="23">
    <w:name w:val="kerning2lochf13hichaf2db"/>
    <w:qFormat/>
    <w:uiPriority w:val="0"/>
    <w:pPr>
      <w:widowControl w:val="0"/>
      <w:autoSpaceDE w:val="0"/>
      <w:autoSpaceDN w:val="0"/>
      <w:adjustRightInd w:val="0"/>
      <w:jc w:val="both"/>
    </w:pPr>
    <w:rPr>
      <w:rFonts w:ascii="Calibri" w:hAnsi="Calibri" w:eastAsia="微软雅黑" w:cs="Times New Roman"/>
      <w:sz w:val="21"/>
      <w:szCs w:val="21"/>
      <w:lang w:val="en-US" w:eastAsia="zh-CN" w:bidi="ar-SA"/>
    </w:rPr>
  </w:style>
  <w:style w:type="paragraph" w:customStyle="1" w:styleId="2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25">
    <w:name w:val="标题 4 Char"/>
    <w:link w:val="6"/>
    <w:qFormat/>
    <w:uiPriority w:val="0"/>
    <w:rPr>
      <w:rFonts w:ascii="Cambria" w:hAnsi="Cambria" w:eastAsia="宋体" w:cs="Times New Roman"/>
      <w:b/>
      <w:bCs/>
      <w:kern w:val="0"/>
      <w:sz w:val="28"/>
      <w:szCs w:val="28"/>
    </w:rPr>
  </w:style>
  <w:style w:type="paragraph" w:customStyle="1" w:styleId="26">
    <w:name w:val="标题  2"/>
    <w:basedOn w:val="1"/>
    <w:next w:val="1"/>
    <w:qFormat/>
    <w:uiPriority w:val="0"/>
    <w:pPr>
      <w:tabs>
        <w:tab w:val="left" w:pos="3120"/>
      </w:tabs>
      <w:spacing w:beforeLines="50" w:afterLines="50" w:line="360" w:lineRule="auto"/>
      <w:jc w:val="center"/>
      <w:outlineLvl w:val="1"/>
    </w:pPr>
    <w:rPr>
      <w:rFonts w:ascii="华文中宋" w:hAnsi="华文中宋" w:eastAsia="宋体" w:cs="Times New Roman"/>
      <w:b/>
      <w:bCs/>
      <w:sz w:val="32"/>
      <w:szCs w:val="44"/>
    </w:rPr>
  </w:style>
  <w:style w:type="paragraph" w:customStyle="1" w:styleId="27">
    <w:name w:val="表文"/>
    <w:qFormat/>
    <w:uiPriority w:val="0"/>
    <w:pPr>
      <w:spacing w:line="276" w:lineRule="auto"/>
      <w:contextualSpacing/>
      <w:textAlignment w:val="center"/>
    </w:pPr>
    <w:rPr>
      <w:rFonts w:ascii="宋体" w:hAnsi="宋体" w:eastAsia="宋体" w:cs="Times New Roman"/>
      <w:kern w:val="2"/>
      <w:sz w:val="21"/>
      <w:szCs w:val="21"/>
      <w:lang w:val="en-US" w:eastAsia="zh-CN" w:bidi="ar-SA"/>
    </w:rPr>
  </w:style>
  <w:style w:type="character" w:customStyle="1" w:styleId="28">
    <w:name w:val="标题 1 字符"/>
    <w:link w:val="3"/>
    <w:qFormat/>
    <w:uiPriority w:val="0"/>
    <w:rPr>
      <w:rFonts w:ascii="Calibri" w:hAnsi="Calibri" w:eastAsia="宋体" w:cs="Times New Roman"/>
      <w:b/>
      <w:bCs/>
      <w:kern w:val="44"/>
      <w:sz w:val="44"/>
      <w:szCs w:val="44"/>
    </w:rPr>
  </w:style>
  <w:style w:type="paragraph" w:customStyle="1" w:styleId="29">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styleId="30">
    <w:name w:val="List Paragraph"/>
    <w:basedOn w:val="1"/>
    <w:qFormat/>
    <w:uiPriority w:val="0"/>
    <w:pPr>
      <w:ind w:firstLine="420" w:firstLineChars="200"/>
    </w:pPr>
  </w:style>
  <w:style w:type="paragraph" w:customStyle="1" w:styleId="31">
    <w:name w:val="样式 首行缩进:  2 字符"/>
    <w:basedOn w:val="1"/>
    <w:qFormat/>
    <w:uiPriority w:val="0"/>
    <w:pPr>
      <w:spacing w:line="400" w:lineRule="exact"/>
      <w:ind w:firstLine="200" w:firstLineChars="200"/>
    </w:pPr>
    <w:rPr>
      <w:rFonts w:ascii="Calibri" w:hAnsi="Calibri" w:eastAsia="宋体" w:cs="宋体"/>
      <w:sz w:val="24"/>
      <w:szCs w:val="24"/>
    </w:rPr>
  </w:style>
  <w:style w:type="paragraph" w:customStyle="1" w:styleId="32">
    <w:name w:val="List Paragraph1"/>
    <w:basedOn w:val="1"/>
    <w:qFormat/>
    <w:uiPriority w:val="99"/>
    <w:pPr>
      <w:ind w:firstLine="420" w:firstLineChars="200"/>
    </w:pPr>
    <w:rPr>
      <w:rFonts w:ascii="Calibri" w:hAnsi="Calibri" w:cs="Calibri"/>
      <w:kern w:val="0"/>
      <w:sz w:val="20"/>
      <w:lang w:val="zh-CN"/>
    </w:rPr>
  </w:style>
  <w:style w:type="paragraph" w:styleId="33">
    <w:name w:val="No Spacing"/>
    <w:qFormat/>
    <w:uiPriority w:val="1"/>
    <w:pPr>
      <w:widowControl w:val="0"/>
      <w:jc w:val="both"/>
    </w:pPr>
    <w:rPr>
      <w:rFonts w:ascii="Times New Roman" w:hAnsi="Times New Roman" w:eastAsia="宋体" w:cs="Times New Roman"/>
      <w:kern w:val="2"/>
      <w:sz w:val="24"/>
      <w:szCs w:val="24"/>
      <w:lang w:val="en-US" w:eastAsia="zh-CN" w:bidi="ar-SA"/>
    </w:rPr>
  </w:style>
  <w:style w:type="paragraph" w:customStyle="1" w:styleId="34">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35">
    <w:name w:val="表格"/>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35033</Words>
  <Characters>37705</Characters>
  <Lines>0</Lines>
  <Paragraphs>0</Paragraphs>
  <TotalTime>2</TotalTime>
  <ScaleCrop>false</ScaleCrop>
  <LinksUpToDate>false</LinksUpToDate>
  <CharactersWithSpaces>39549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2020-06-08T07:08:00Z</dcterms:created>
  <dc:creator>Administrator</dc:creator>
  <cp:lastModifiedBy>Administrator</cp:lastModifiedBy>
  <cp:lastPrinted>2021-05-08T02:26:00Z</cp:lastPrinted>
  <dcterms:modified xsi:type="dcterms:W3CDTF">2021-05-13T03:20:12Z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CAABD9D9AFF942DF84191D1FE6EC9F30</vt:lpwstr>
  </property>
</Properties>
</file>